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4CAE2" w14:textId="77777777" w:rsidR="009654D7" w:rsidRPr="00866B56" w:rsidRDefault="00E1159A" w:rsidP="00EA42C3">
      <w:pPr>
        <w:spacing w:after="120"/>
        <w:contextualSpacing/>
        <w:jc w:val="center"/>
        <w:rPr>
          <w:rFonts w:asciiTheme="minorHAnsi" w:hAnsiTheme="minorHAnsi" w:cs="Times New Roman"/>
          <w:b/>
          <w:smallCaps/>
          <w:sz w:val="28"/>
          <w:szCs w:val="28"/>
        </w:rPr>
      </w:pPr>
      <w:r w:rsidRPr="00866B56">
        <w:rPr>
          <w:rFonts w:asciiTheme="minorHAnsi" w:hAnsiTheme="minorHAnsi" w:cs="Times New Roman"/>
          <w:b/>
          <w:smallCaps/>
          <w:sz w:val="28"/>
          <w:szCs w:val="28"/>
        </w:rPr>
        <w:t xml:space="preserve">Attachment </w:t>
      </w:r>
      <w:r w:rsidR="008C1D78" w:rsidRPr="00866B56">
        <w:rPr>
          <w:rFonts w:asciiTheme="minorHAnsi" w:hAnsiTheme="minorHAnsi" w:cs="Times New Roman"/>
          <w:b/>
          <w:smallCaps/>
          <w:sz w:val="28"/>
          <w:szCs w:val="28"/>
        </w:rPr>
        <w:t>APR</w:t>
      </w:r>
    </w:p>
    <w:p w14:paraId="5A082EC5" w14:textId="77777777" w:rsidR="00595BD4" w:rsidRPr="00866B56" w:rsidRDefault="00595BD4" w:rsidP="00EA42C3">
      <w:pPr>
        <w:spacing w:after="120"/>
        <w:contextualSpacing/>
        <w:jc w:val="center"/>
        <w:rPr>
          <w:rFonts w:asciiTheme="minorHAnsi" w:hAnsiTheme="minorHAnsi" w:cs="Times New Roman"/>
          <w:b/>
          <w:smallCaps/>
          <w:sz w:val="28"/>
          <w:szCs w:val="28"/>
        </w:rPr>
      </w:pPr>
    </w:p>
    <w:p w14:paraId="06F72059" w14:textId="77777777" w:rsidR="009654D7" w:rsidRPr="00866B56" w:rsidRDefault="009654D7" w:rsidP="00EA42C3">
      <w:pPr>
        <w:spacing w:after="120"/>
        <w:contextualSpacing/>
        <w:jc w:val="center"/>
        <w:rPr>
          <w:rFonts w:asciiTheme="minorHAnsi" w:hAnsiTheme="minorHAnsi" w:cs="Times New Roman"/>
          <w:b/>
          <w:smallCaps/>
          <w:sz w:val="28"/>
          <w:szCs w:val="28"/>
        </w:rPr>
      </w:pPr>
      <w:r w:rsidRPr="00866B56">
        <w:rPr>
          <w:rFonts w:asciiTheme="minorHAnsi" w:hAnsiTheme="minorHAnsi" w:cs="Times New Roman"/>
          <w:b/>
          <w:smallCaps/>
          <w:sz w:val="28"/>
          <w:szCs w:val="28"/>
        </w:rPr>
        <w:t>Delivery System Reform Incentive Payment (DSRIP) Program</w:t>
      </w:r>
    </w:p>
    <w:p w14:paraId="51A0B592" w14:textId="77777777" w:rsidR="009654D7" w:rsidRPr="00866B56" w:rsidRDefault="009654D7" w:rsidP="00EA42C3">
      <w:pPr>
        <w:contextualSpacing/>
        <w:jc w:val="center"/>
        <w:rPr>
          <w:rFonts w:asciiTheme="minorHAnsi" w:hAnsiTheme="minorHAnsi" w:cs="Times New Roman"/>
          <w:b/>
          <w:smallCaps/>
          <w:sz w:val="28"/>
          <w:szCs w:val="28"/>
        </w:rPr>
      </w:pPr>
      <w:r w:rsidRPr="00866B56">
        <w:rPr>
          <w:rFonts w:asciiTheme="minorHAnsi" w:hAnsiTheme="minorHAnsi" w:cs="Times New Roman"/>
          <w:b/>
          <w:smallCaps/>
          <w:sz w:val="28"/>
          <w:szCs w:val="28"/>
        </w:rPr>
        <w:t xml:space="preserve">Accountable Care Organization (ACO) </w:t>
      </w:r>
      <w:r w:rsidR="00E1159A" w:rsidRPr="00866B56">
        <w:rPr>
          <w:rFonts w:asciiTheme="minorHAnsi" w:hAnsiTheme="minorHAnsi" w:cs="Times New Roman"/>
          <w:b/>
          <w:smallCaps/>
          <w:sz w:val="28"/>
          <w:szCs w:val="28"/>
        </w:rPr>
        <w:t>PY</w:t>
      </w:r>
      <w:r w:rsidR="008C1D78" w:rsidRPr="00866B56">
        <w:rPr>
          <w:rFonts w:asciiTheme="minorHAnsi" w:hAnsiTheme="minorHAnsi" w:cs="Times New Roman"/>
          <w:b/>
          <w:smallCaps/>
          <w:sz w:val="28"/>
          <w:szCs w:val="28"/>
        </w:rPr>
        <w:t>1</w:t>
      </w:r>
      <w:r w:rsidR="00E1159A" w:rsidRPr="00866B56">
        <w:rPr>
          <w:rFonts w:asciiTheme="minorHAnsi" w:hAnsiTheme="minorHAnsi" w:cs="Times New Roman"/>
          <w:b/>
          <w:smallCaps/>
          <w:sz w:val="28"/>
          <w:szCs w:val="28"/>
        </w:rPr>
        <w:t xml:space="preserve"> </w:t>
      </w:r>
      <w:r w:rsidR="008C1D78" w:rsidRPr="00866B56">
        <w:rPr>
          <w:rFonts w:asciiTheme="minorHAnsi" w:hAnsiTheme="minorHAnsi" w:cs="Times New Roman"/>
          <w:b/>
          <w:smallCaps/>
          <w:sz w:val="28"/>
          <w:szCs w:val="28"/>
        </w:rPr>
        <w:t xml:space="preserve">Annual </w:t>
      </w:r>
      <w:r w:rsidR="00E1159A" w:rsidRPr="00866B56">
        <w:rPr>
          <w:rFonts w:asciiTheme="minorHAnsi" w:hAnsiTheme="minorHAnsi" w:cs="Times New Roman"/>
          <w:b/>
          <w:smallCaps/>
          <w:sz w:val="28"/>
          <w:szCs w:val="28"/>
        </w:rPr>
        <w:t>Progress Report Response Form</w:t>
      </w:r>
    </w:p>
    <w:p w14:paraId="1D628792" w14:textId="77777777" w:rsidR="00595BD4" w:rsidRPr="00866B56" w:rsidRDefault="00595BD4" w:rsidP="00EA42C3">
      <w:pPr>
        <w:contextualSpacing/>
        <w:jc w:val="center"/>
        <w:rPr>
          <w:rFonts w:asciiTheme="minorHAnsi" w:hAnsiTheme="minorHAnsi" w:cs="Times New Roman"/>
          <w:b/>
          <w:smallCaps/>
          <w:sz w:val="28"/>
          <w:szCs w:val="28"/>
        </w:rPr>
      </w:pPr>
    </w:p>
    <w:p w14:paraId="4C3635F4" w14:textId="77777777" w:rsidR="009654D7" w:rsidRPr="00866B56" w:rsidRDefault="009654D7" w:rsidP="00662194">
      <w:pPr>
        <w:pStyle w:val="Heading1"/>
        <w:numPr>
          <w:ilvl w:val="0"/>
          <w:numId w:val="0"/>
        </w:numPr>
        <w:ind w:left="360"/>
        <w:rPr>
          <w:rFonts w:asciiTheme="minorHAnsi" w:hAnsiTheme="minorHAnsi"/>
        </w:rPr>
      </w:pPr>
      <w:r w:rsidRPr="00866B56">
        <w:rPr>
          <w:rFonts w:asciiTheme="minorHAnsi" w:hAnsiTheme="minorHAnsi"/>
        </w:rPr>
        <w:t>General Information</w:t>
      </w:r>
    </w:p>
    <w:tbl>
      <w:tblPr>
        <w:tblW w:w="9560" w:type="dxa"/>
        <w:tblInd w:w="93" w:type="dxa"/>
        <w:tblLayout w:type="fixed"/>
        <w:tblLook w:val="04A0" w:firstRow="1" w:lastRow="0" w:firstColumn="1" w:lastColumn="0" w:noHBand="0" w:noVBand="1"/>
      </w:tblPr>
      <w:tblGrid>
        <w:gridCol w:w="3122"/>
        <w:gridCol w:w="6438"/>
      </w:tblGrid>
      <w:tr w:rsidR="00CA248F" w:rsidRPr="009D4FC2" w14:paraId="61BE9E2A" w14:textId="77777777" w:rsidTr="00866B56">
        <w:trPr>
          <w:trHeight w:val="375"/>
        </w:trPr>
        <w:tc>
          <w:tcPr>
            <w:tcW w:w="31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6C0A5B6" w14:textId="77777777" w:rsidR="00CA248F" w:rsidRPr="00866B56" w:rsidRDefault="00CA248F" w:rsidP="00CA248F">
            <w:pPr>
              <w:spacing w:after="0" w:line="240" w:lineRule="auto"/>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Full ACO Name:</w:t>
            </w:r>
          </w:p>
        </w:tc>
        <w:tc>
          <w:tcPr>
            <w:tcW w:w="643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7A22051" w14:textId="77777777" w:rsidR="00CA248F" w:rsidRPr="004A27F8" w:rsidRDefault="00CA248F" w:rsidP="00CA248F">
            <w:pPr>
              <w:spacing w:after="0" w:line="240" w:lineRule="auto"/>
              <w:rPr>
                <w:rFonts w:asciiTheme="minorHAnsi" w:eastAsia="Times New Roman" w:hAnsiTheme="minorHAnsi" w:cs="Times New Roman"/>
              </w:rPr>
            </w:pPr>
            <w:r w:rsidRPr="004A27F8">
              <w:rPr>
                <w:rFonts w:asciiTheme="minorHAnsi" w:hAnsiTheme="minorHAnsi" w:cs="Times New Roman"/>
              </w:rPr>
              <w:t>Tufts Health Together with Boston Children’s ACO</w:t>
            </w:r>
          </w:p>
        </w:tc>
      </w:tr>
      <w:tr w:rsidR="009654D7" w:rsidRPr="009D4FC2" w14:paraId="184327A5" w14:textId="77777777" w:rsidTr="00866B56">
        <w:trPr>
          <w:trHeight w:val="375"/>
        </w:trPr>
        <w:tc>
          <w:tcPr>
            <w:tcW w:w="3122" w:type="dxa"/>
            <w:tcBorders>
              <w:top w:val="nil"/>
              <w:left w:val="single" w:sz="4" w:space="0" w:color="BFBFBF"/>
              <w:bottom w:val="single" w:sz="4" w:space="0" w:color="BFBFBF"/>
              <w:right w:val="single" w:sz="4" w:space="0" w:color="BFBFBF"/>
            </w:tcBorders>
            <w:shd w:val="clear" w:color="auto" w:fill="auto"/>
            <w:vAlign w:val="center"/>
            <w:hideMark/>
          </w:tcPr>
          <w:p w14:paraId="68C689D2" w14:textId="77777777" w:rsidR="009654D7" w:rsidRPr="00866B56" w:rsidRDefault="009654D7" w:rsidP="00EA42C3">
            <w:pPr>
              <w:spacing w:after="0" w:line="240" w:lineRule="auto"/>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ACO Address:</w:t>
            </w:r>
          </w:p>
        </w:tc>
        <w:tc>
          <w:tcPr>
            <w:tcW w:w="6438" w:type="dxa"/>
            <w:tcBorders>
              <w:top w:val="single" w:sz="4" w:space="0" w:color="BFBFBF"/>
              <w:left w:val="nil"/>
              <w:bottom w:val="single" w:sz="4" w:space="0" w:color="BFBFBF"/>
              <w:right w:val="single" w:sz="4" w:space="0" w:color="BFBFBF"/>
            </w:tcBorders>
            <w:shd w:val="clear" w:color="auto" w:fill="auto"/>
            <w:vAlign w:val="center"/>
            <w:hideMark/>
          </w:tcPr>
          <w:p w14:paraId="23A231F4" w14:textId="77777777" w:rsidR="00CA248F" w:rsidRPr="004A27F8" w:rsidRDefault="00CA248F" w:rsidP="00CA248F">
            <w:pPr>
              <w:autoSpaceDE w:val="0"/>
              <w:autoSpaceDN w:val="0"/>
              <w:adjustRightInd w:val="0"/>
              <w:spacing w:after="0" w:line="240" w:lineRule="auto"/>
              <w:rPr>
                <w:rFonts w:asciiTheme="minorHAnsi" w:hAnsiTheme="minorHAnsi" w:cs="Times New Roman"/>
              </w:rPr>
            </w:pPr>
            <w:r w:rsidRPr="004A27F8">
              <w:rPr>
                <w:rFonts w:asciiTheme="minorHAnsi" w:hAnsiTheme="minorHAnsi" w:cs="Times New Roman"/>
              </w:rPr>
              <w:t xml:space="preserve">705 Mount Auburn Street </w:t>
            </w:r>
          </w:p>
          <w:p w14:paraId="2063305D" w14:textId="77777777" w:rsidR="009654D7" w:rsidRPr="004A27F8" w:rsidRDefault="00CA248F" w:rsidP="00CA248F">
            <w:pPr>
              <w:spacing w:after="0" w:line="240" w:lineRule="auto"/>
              <w:contextualSpacing/>
              <w:rPr>
                <w:rFonts w:asciiTheme="minorHAnsi" w:eastAsia="Times New Roman" w:hAnsiTheme="minorHAnsi" w:cs="Times New Roman"/>
              </w:rPr>
            </w:pPr>
            <w:r w:rsidRPr="004A27F8">
              <w:rPr>
                <w:rFonts w:asciiTheme="minorHAnsi" w:hAnsiTheme="minorHAnsi"/>
              </w:rPr>
              <w:t>Watertown, MA 02472</w:t>
            </w:r>
          </w:p>
        </w:tc>
      </w:tr>
    </w:tbl>
    <w:p w14:paraId="407E999C" w14:textId="2F4900F2" w:rsidR="009654D7" w:rsidRPr="009654D7" w:rsidRDefault="009654D7" w:rsidP="00EA42C3">
      <w:pPr>
        <w:contextualSpacing/>
        <w:rPr>
          <w:rFonts w:cs="Times New Roman"/>
        </w:rPr>
      </w:pPr>
    </w:p>
    <w:p w14:paraId="53D7C924" w14:textId="77777777" w:rsidR="007925A3" w:rsidRPr="004A27F8" w:rsidRDefault="00595BD4" w:rsidP="004A27F8">
      <w:pPr>
        <w:pStyle w:val="Heading1"/>
        <w:rPr>
          <w:rFonts w:asciiTheme="minorHAnsi" w:hAnsiTheme="minorHAnsi"/>
          <w:sz w:val="22"/>
          <w:szCs w:val="22"/>
        </w:rPr>
      </w:pPr>
      <w:r w:rsidRPr="00866B56">
        <w:rPr>
          <w:rFonts w:asciiTheme="minorHAnsi" w:hAnsiTheme="minorHAnsi"/>
          <w:sz w:val="22"/>
          <w:szCs w:val="22"/>
        </w:rPr>
        <w:t xml:space="preserve"> </w:t>
      </w:r>
      <w:r w:rsidR="00D204A7" w:rsidRPr="00866B56">
        <w:rPr>
          <w:rFonts w:asciiTheme="minorHAnsi" w:hAnsiTheme="minorHAnsi"/>
          <w:sz w:val="22"/>
          <w:szCs w:val="22"/>
        </w:rPr>
        <w:t>PY</w:t>
      </w:r>
      <w:r w:rsidR="008C1D78" w:rsidRPr="00866B56">
        <w:rPr>
          <w:rFonts w:asciiTheme="minorHAnsi" w:hAnsiTheme="minorHAnsi"/>
          <w:sz w:val="22"/>
          <w:szCs w:val="22"/>
        </w:rPr>
        <w:t>1</w:t>
      </w:r>
      <w:r w:rsidR="00D204A7" w:rsidRPr="00866B56">
        <w:rPr>
          <w:rFonts w:asciiTheme="minorHAnsi" w:hAnsiTheme="minorHAnsi"/>
          <w:sz w:val="22"/>
          <w:szCs w:val="22"/>
        </w:rPr>
        <w:t xml:space="preserve"> Progress Report Executive Summary</w:t>
      </w:r>
    </w:p>
    <w:p w14:paraId="184C5142" w14:textId="77777777" w:rsidR="004C741A" w:rsidRPr="00866B56" w:rsidRDefault="00595BD4" w:rsidP="004C741A">
      <w:pPr>
        <w:pStyle w:val="Heading2"/>
        <w:spacing w:after="0"/>
        <w:rPr>
          <w:rFonts w:asciiTheme="minorHAnsi" w:hAnsiTheme="minorHAnsi"/>
          <w:szCs w:val="22"/>
        </w:rPr>
      </w:pPr>
      <w:r w:rsidRPr="00866B56">
        <w:rPr>
          <w:rFonts w:asciiTheme="minorHAnsi" w:hAnsiTheme="minorHAnsi"/>
          <w:szCs w:val="22"/>
        </w:rPr>
        <w:t xml:space="preserve"> </w:t>
      </w:r>
      <w:r w:rsidR="00C14C85" w:rsidRPr="00866B56">
        <w:rPr>
          <w:rFonts w:asciiTheme="minorHAnsi" w:hAnsiTheme="minorHAnsi"/>
          <w:szCs w:val="22"/>
        </w:rPr>
        <w:t xml:space="preserve">ACO Goals from </w:t>
      </w:r>
      <w:r w:rsidR="003A582B" w:rsidRPr="00866B56">
        <w:rPr>
          <w:rFonts w:asciiTheme="minorHAnsi" w:hAnsiTheme="minorHAnsi"/>
          <w:szCs w:val="22"/>
        </w:rPr>
        <w:t xml:space="preserve">its </w:t>
      </w:r>
      <w:r w:rsidR="008C1D78" w:rsidRPr="00866B56">
        <w:rPr>
          <w:rFonts w:asciiTheme="minorHAnsi" w:hAnsiTheme="minorHAnsi"/>
          <w:szCs w:val="22"/>
        </w:rPr>
        <w:t>Full</w:t>
      </w:r>
      <w:r w:rsidR="00C14C85" w:rsidRPr="00866B56">
        <w:rPr>
          <w:rFonts w:asciiTheme="minorHAnsi" w:hAnsiTheme="minorHAnsi"/>
          <w:szCs w:val="22"/>
        </w:rPr>
        <w:t xml:space="preserve"> </w:t>
      </w:r>
      <w:r w:rsidR="00461D55" w:rsidRPr="00866B56">
        <w:rPr>
          <w:rFonts w:asciiTheme="minorHAnsi" w:hAnsiTheme="minorHAnsi"/>
          <w:szCs w:val="22"/>
        </w:rPr>
        <w:t>Participation Plan</w:t>
      </w:r>
    </w:p>
    <w:p w14:paraId="42D60906" w14:textId="77777777" w:rsidR="00DF1F7C" w:rsidRDefault="002B7632" w:rsidP="00604E19">
      <w:pPr>
        <w:jc w:val="both"/>
        <w:rPr>
          <w:rFonts w:asciiTheme="minorHAnsi" w:hAnsiTheme="minorHAnsi" w:cs="Arial"/>
        </w:rPr>
      </w:pPr>
      <w:r>
        <w:rPr>
          <w:rFonts w:asciiTheme="minorHAnsi" w:hAnsiTheme="minorHAnsi" w:cs="Arial"/>
        </w:rPr>
        <w:t>T</w:t>
      </w:r>
      <w:r w:rsidRPr="00866B56">
        <w:rPr>
          <w:rFonts w:asciiTheme="minorHAnsi" w:hAnsiTheme="minorHAnsi" w:cs="Arial"/>
        </w:rPr>
        <w:t xml:space="preserve">he </w:t>
      </w:r>
      <w:r w:rsidR="00DF1F7C" w:rsidRPr="00866B56">
        <w:rPr>
          <w:rFonts w:asciiTheme="minorHAnsi" w:hAnsiTheme="minorHAnsi" w:cs="Arial"/>
        </w:rPr>
        <w:t>ACO has</w:t>
      </w:r>
      <w:r w:rsidR="00681559" w:rsidRPr="00866B56">
        <w:rPr>
          <w:rFonts w:asciiTheme="minorHAnsi" w:hAnsiTheme="minorHAnsi" w:cs="Arial"/>
        </w:rPr>
        <w:t xml:space="preserve"> </w:t>
      </w:r>
      <w:r w:rsidR="00B27DBC">
        <w:rPr>
          <w:rFonts w:asciiTheme="minorHAnsi" w:hAnsiTheme="minorHAnsi" w:cs="Arial"/>
        </w:rPr>
        <w:t xml:space="preserve">six </w:t>
      </w:r>
      <w:r w:rsidR="00681559" w:rsidRPr="00866B56">
        <w:rPr>
          <w:rFonts w:asciiTheme="minorHAnsi" w:hAnsiTheme="minorHAnsi" w:cs="Arial"/>
        </w:rPr>
        <w:t>PY2 goals</w:t>
      </w:r>
      <w:r>
        <w:rPr>
          <w:rFonts w:asciiTheme="minorHAnsi" w:hAnsiTheme="minorHAnsi" w:cs="Arial"/>
        </w:rPr>
        <w:t>.</w:t>
      </w:r>
      <w:r w:rsidR="00681559" w:rsidRPr="00866B56">
        <w:rPr>
          <w:rFonts w:asciiTheme="minorHAnsi" w:hAnsiTheme="minorHAnsi" w:cs="Arial"/>
        </w:rPr>
        <w:t xml:space="preserve"> </w:t>
      </w:r>
      <w:r>
        <w:rPr>
          <w:rFonts w:asciiTheme="minorHAnsi" w:hAnsiTheme="minorHAnsi" w:cs="Arial"/>
        </w:rPr>
        <w:t xml:space="preserve">Of note, the number of goals has been reduced from the </w:t>
      </w:r>
      <w:r w:rsidR="00681559" w:rsidRPr="00866B56">
        <w:rPr>
          <w:rFonts w:asciiTheme="minorHAnsi" w:hAnsiTheme="minorHAnsi" w:cs="Arial"/>
        </w:rPr>
        <w:t xml:space="preserve">20 </w:t>
      </w:r>
      <w:r w:rsidR="00B27DBC">
        <w:rPr>
          <w:rFonts w:asciiTheme="minorHAnsi" w:hAnsiTheme="minorHAnsi" w:cs="Arial"/>
        </w:rPr>
        <w:t xml:space="preserve">goals </w:t>
      </w:r>
      <w:r>
        <w:rPr>
          <w:rFonts w:asciiTheme="minorHAnsi" w:hAnsiTheme="minorHAnsi" w:cs="Arial"/>
        </w:rPr>
        <w:t>that were submitted in prior Full Participation Plans and referenced in prior Progress Reports</w:t>
      </w:r>
      <w:proofErr w:type="gramStart"/>
      <w:r>
        <w:rPr>
          <w:rFonts w:asciiTheme="minorHAnsi" w:hAnsiTheme="minorHAnsi" w:cs="Arial"/>
        </w:rPr>
        <w:t xml:space="preserve">. </w:t>
      </w:r>
      <w:r w:rsidR="00681559" w:rsidRPr="00866B56">
        <w:rPr>
          <w:rFonts w:asciiTheme="minorHAnsi" w:hAnsiTheme="minorHAnsi" w:cs="Arial"/>
        </w:rPr>
        <w:t>.</w:t>
      </w:r>
      <w:proofErr w:type="gramEnd"/>
      <w:r w:rsidR="00681559" w:rsidRPr="00866B56">
        <w:rPr>
          <w:rFonts w:asciiTheme="minorHAnsi" w:hAnsiTheme="minorHAnsi" w:cs="Arial"/>
        </w:rPr>
        <w:t xml:space="preserve"> </w:t>
      </w:r>
      <w:r w:rsidR="00B27DBC">
        <w:rPr>
          <w:rFonts w:asciiTheme="minorHAnsi" w:hAnsiTheme="minorHAnsi" w:cs="Arial"/>
        </w:rPr>
        <w:t xml:space="preserve">Table 1 presents the </w:t>
      </w:r>
      <w:r>
        <w:rPr>
          <w:rFonts w:asciiTheme="minorHAnsi" w:hAnsiTheme="minorHAnsi" w:cs="Arial"/>
        </w:rPr>
        <w:t xml:space="preserve">alignment of </w:t>
      </w:r>
      <w:r w:rsidR="00B27DBC">
        <w:rPr>
          <w:rFonts w:asciiTheme="minorHAnsi" w:hAnsiTheme="minorHAnsi" w:cs="Arial"/>
        </w:rPr>
        <w:t xml:space="preserve">PY2 </w:t>
      </w:r>
      <w:r>
        <w:rPr>
          <w:rFonts w:asciiTheme="minorHAnsi" w:hAnsiTheme="minorHAnsi" w:cs="Arial"/>
        </w:rPr>
        <w:t xml:space="preserve">goals with previously submitted </w:t>
      </w:r>
      <w:r w:rsidR="00B27DBC">
        <w:rPr>
          <w:rFonts w:asciiTheme="minorHAnsi" w:hAnsiTheme="minorHAnsi" w:cs="Arial"/>
        </w:rPr>
        <w:t>PY1 goals</w:t>
      </w:r>
      <w:r w:rsidR="0074456C" w:rsidRPr="00866B56">
        <w:rPr>
          <w:rFonts w:asciiTheme="minorHAnsi" w:hAnsiTheme="minorHAnsi" w:cs="Arial"/>
        </w:rPr>
        <w:t>.</w:t>
      </w:r>
    </w:p>
    <w:p w14:paraId="2824FFED" w14:textId="77777777" w:rsidR="00B27DBC" w:rsidRPr="00866B56" w:rsidRDefault="00B27DBC" w:rsidP="00604E19">
      <w:pPr>
        <w:jc w:val="both"/>
        <w:rPr>
          <w:rFonts w:asciiTheme="minorHAnsi" w:hAnsiTheme="minorHAnsi" w:cs="Arial"/>
        </w:rPr>
      </w:pPr>
      <w:r>
        <w:rPr>
          <w:rFonts w:asciiTheme="minorHAnsi" w:hAnsiTheme="minorHAnsi" w:cs="Arial"/>
        </w:rPr>
        <w:t>Table 1. BCH ACO PY1 and PY2 Goals Alignment</w:t>
      </w:r>
    </w:p>
    <w:tbl>
      <w:tblPr>
        <w:tblStyle w:val="TableGrid"/>
        <w:tblW w:w="9337" w:type="dxa"/>
        <w:tblInd w:w="108" w:type="dxa"/>
        <w:tblLook w:val="04A0" w:firstRow="1" w:lastRow="0" w:firstColumn="1" w:lastColumn="0" w:noHBand="0" w:noVBand="1"/>
      </w:tblPr>
      <w:tblGrid>
        <w:gridCol w:w="1223"/>
        <w:gridCol w:w="3272"/>
        <w:gridCol w:w="4842"/>
      </w:tblGrid>
      <w:tr w:rsidR="009841C9" w14:paraId="23F935B1" w14:textId="77777777" w:rsidTr="006D6682">
        <w:trPr>
          <w:tblHeader/>
        </w:trPr>
        <w:tc>
          <w:tcPr>
            <w:tcW w:w="1223" w:type="dxa"/>
            <w:tcBorders>
              <w:top w:val="single" w:sz="4" w:space="0" w:color="BFBFBF"/>
              <w:left w:val="single" w:sz="4" w:space="0" w:color="BFBFBF"/>
              <w:bottom w:val="single" w:sz="4" w:space="0" w:color="BFBFBF"/>
              <w:right w:val="single" w:sz="4" w:space="0" w:color="BFBFBF"/>
            </w:tcBorders>
            <w:shd w:val="clear" w:color="000000" w:fill="244062"/>
            <w:vAlign w:val="center"/>
          </w:tcPr>
          <w:p w14:paraId="2E7AEB49" w14:textId="77777777" w:rsidR="009841C9" w:rsidRPr="008371E4" w:rsidRDefault="009841C9" w:rsidP="00C575CF">
            <w:pPr>
              <w:rPr>
                <w:rFonts w:asciiTheme="minorHAnsi" w:eastAsia="Times New Roman" w:hAnsiTheme="minorHAnsi" w:cs="Arial"/>
                <w:b/>
                <w:bCs/>
                <w:color w:val="FFFFFF"/>
                <w:sz w:val="22"/>
              </w:rPr>
            </w:pPr>
            <w:r w:rsidRPr="008371E4">
              <w:rPr>
                <w:rFonts w:asciiTheme="minorHAnsi" w:eastAsia="Times New Roman" w:hAnsiTheme="minorHAnsi" w:cs="Arial"/>
                <w:b/>
                <w:bCs/>
                <w:color w:val="FFFFFF"/>
                <w:sz w:val="22"/>
              </w:rPr>
              <w:t>PY2 Goals</w:t>
            </w:r>
            <w:r w:rsidR="002B7632" w:rsidRPr="008371E4">
              <w:rPr>
                <w:rFonts w:asciiTheme="minorHAnsi" w:eastAsia="Times New Roman" w:hAnsiTheme="minorHAnsi" w:cs="Arial"/>
                <w:b/>
                <w:bCs/>
                <w:color w:val="FFFFFF"/>
                <w:sz w:val="22"/>
              </w:rPr>
              <w:t xml:space="preserve"> (December 2018 FPP)</w:t>
            </w:r>
            <w:r w:rsidRPr="008371E4">
              <w:rPr>
                <w:rFonts w:asciiTheme="minorHAnsi" w:eastAsia="Times New Roman" w:hAnsiTheme="minorHAnsi" w:cs="Arial"/>
                <w:b/>
                <w:bCs/>
                <w:color w:val="FFFFFF"/>
                <w:sz w:val="22"/>
              </w:rPr>
              <w:t xml:space="preserve"> </w:t>
            </w:r>
          </w:p>
        </w:tc>
        <w:tc>
          <w:tcPr>
            <w:tcW w:w="3272" w:type="dxa"/>
            <w:tcBorders>
              <w:top w:val="single" w:sz="4" w:space="0" w:color="BFBFBF"/>
              <w:left w:val="single" w:sz="4" w:space="0" w:color="BFBFBF"/>
              <w:bottom w:val="single" w:sz="4" w:space="0" w:color="BFBFBF"/>
              <w:right w:val="single" w:sz="4" w:space="0" w:color="BFBFBF"/>
            </w:tcBorders>
            <w:shd w:val="clear" w:color="000000" w:fill="244062"/>
            <w:vAlign w:val="center"/>
          </w:tcPr>
          <w:p w14:paraId="3CA10E3C" w14:textId="77777777" w:rsidR="009841C9" w:rsidRPr="008371E4" w:rsidRDefault="009841C9" w:rsidP="00C575CF">
            <w:pPr>
              <w:jc w:val="center"/>
              <w:rPr>
                <w:rFonts w:asciiTheme="minorHAnsi" w:eastAsia="Times New Roman" w:hAnsiTheme="minorHAnsi" w:cs="Arial"/>
                <w:b/>
                <w:bCs/>
                <w:color w:val="FFFFFF"/>
                <w:sz w:val="22"/>
              </w:rPr>
            </w:pPr>
            <w:r w:rsidRPr="008371E4">
              <w:rPr>
                <w:rFonts w:asciiTheme="minorHAnsi" w:eastAsia="Times New Roman" w:hAnsiTheme="minorHAnsi" w:cs="Arial"/>
                <w:b/>
                <w:bCs/>
                <w:color w:val="FFFFFF"/>
                <w:sz w:val="22"/>
              </w:rPr>
              <w:t>Descriptions</w:t>
            </w:r>
          </w:p>
        </w:tc>
        <w:tc>
          <w:tcPr>
            <w:tcW w:w="4842" w:type="dxa"/>
            <w:tcBorders>
              <w:top w:val="single" w:sz="4" w:space="0" w:color="BFBFBF"/>
              <w:left w:val="single" w:sz="4" w:space="0" w:color="BFBFBF"/>
              <w:bottom w:val="single" w:sz="4" w:space="0" w:color="BFBFBF"/>
              <w:right w:val="single" w:sz="4" w:space="0" w:color="BFBFBF"/>
            </w:tcBorders>
            <w:shd w:val="clear" w:color="000000" w:fill="244062"/>
            <w:vAlign w:val="center"/>
          </w:tcPr>
          <w:p w14:paraId="09ABEEEA" w14:textId="77777777" w:rsidR="009841C9" w:rsidRPr="008371E4" w:rsidRDefault="009841C9" w:rsidP="005864DD">
            <w:pPr>
              <w:jc w:val="center"/>
              <w:rPr>
                <w:rFonts w:asciiTheme="minorHAnsi" w:eastAsia="Times New Roman" w:hAnsiTheme="minorHAnsi" w:cs="Arial"/>
                <w:b/>
                <w:bCs/>
                <w:color w:val="FFFFFF"/>
                <w:sz w:val="22"/>
              </w:rPr>
            </w:pPr>
            <w:r w:rsidRPr="008371E4">
              <w:rPr>
                <w:rFonts w:asciiTheme="minorHAnsi" w:eastAsia="Times New Roman" w:hAnsiTheme="minorHAnsi" w:cs="Arial"/>
                <w:b/>
                <w:bCs/>
                <w:color w:val="FFFFFF"/>
                <w:sz w:val="22"/>
              </w:rPr>
              <w:t>PY1 Goals</w:t>
            </w:r>
            <w:r w:rsidR="002B7632" w:rsidRPr="008371E4">
              <w:rPr>
                <w:rFonts w:asciiTheme="minorHAnsi" w:eastAsia="Times New Roman" w:hAnsiTheme="minorHAnsi" w:cs="Arial"/>
                <w:b/>
                <w:bCs/>
                <w:color w:val="FFFFFF"/>
                <w:sz w:val="22"/>
              </w:rPr>
              <w:t xml:space="preserve"> </w:t>
            </w:r>
            <w:r w:rsidR="005864DD" w:rsidRPr="008371E4">
              <w:rPr>
                <w:rFonts w:asciiTheme="minorHAnsi" w:eastAsia="Times New Roman" w:hAnsiTheme="minorHAnsi" w:cs="Arial"/>
                <w:b/>
                <w:bCs/>
                <w:color w:val="FFFFFF"/>
                <w:sz w:val="22"/>
              </w:rPr>
              <w:t>(February 2019)</w:t>
            </w:r>
          </w:p>
        </w:tc>
      </w:tr>
      <w:tr w:rsidR="009841C9" w14:paraId="4A9F1A51" w14:textId="77777777" w:rsidTr="006D6682">
        <w:trPr>
          <w:trHeight w:val="845"/>
        </w:trPr>
        <w:tc>
          <w:tcPr>
            <w:tcW w:w="1223" w:type="dxa"/>
            <w:vMerge w:val="restart"/>
          </w:tcPr>
          <w:p w14:paraId="2A8D80FF" w14:textId="77777777" w:rsidR="009841C9" w:rsidRPr="008F4512" w:rsidRDefault="009841C9" w:rsidP="00C575CF">
            <w:pPr>
              <w:rPr>
                <w:rFonts w:ascii="Arial" w:hAnsi="Arial" w:cs="Arial"/>
                <w:sz w:val="20"/>
                <w:szCs w:val="20"/>
              </w:rPr>
            </w:pPr>
            <w:r w:rsidRPr="008F4512">
              <w:rPr>
                <w:rFonts w:ascii="Arial" w:hAnsi="Arial" w:cs="Arial"/>
                <w:sz w:val="20"/>
                <w:szCs w:val="20"/>
              </w:rPr>
              <w:t>#1</w:t>
            </w:r>
          </w:p>
        </w:tc>
        <w:tc>
          <w:tcPr>
            <w:tcW w:w="3272" w:type="dxa"/>
            <w:vMerge w:val="restart"/>
          </w:tcPr>
          <w:p w14:paraId="119A8B3C" w14:textId="77777777" w:rsidR="009841C9" w:rsidRPr="00604E19" w:rsidRDefault="009841C9" w:rsidP="00920E00">
            <w:pPr>
              <w:rPr>
                <w:rFonts w:asciiTheme="minorHAnsi" w:hAnsiTheme="minorHAnsi" w:cs="Arial"/>
                <w:sz w:val="22"/>
              </w:rPr>
            </w:pPr>
            <w:r w:rsidRPr="00604E19">
              <w:rPr>
                <w:rFonts w:asciiTheme="minorHAnsi" w:hAnsiTheme="minorHAnsi" w:cs="Arial"/>
                <w:b/>
                <w:bCs/>
                <w:sz w:val="22"/>
              </w:rPr>
              <w:t>Cost &amp; Utilization management:</w:t>
            </w:r>
            <w:r w:rsidRPr="00604E19">
              <w:rPr>
                <w:rFonts w:asciiTheme="minorHAnsi" w:hAnsiTheme="minorHAnsi" w:cs="Arial"/>
                <w:bCs/>
                <w:sz w:val="22"/>
              </w:rPr>
              <w:t xml:space="preserve">                                                        </w:t>
            </w:r>
            <w:r w:rsidRPr="00604E19">
              <w:rPr>
                <w:rFonts w:asciiTheme="minorHAnsi" w:hAnsiTheme="minorHAnsi" w:cs="Arial"/>
                <w:sz w:val="22"/>
              </w:rPr>
              <w:t>Maintain TCOC at the BCH ACO MassHealth benchmark (i.e., capitation rate) in Years 1 – 5</w:t>
            </w:r>
          </w:p>
        </w:tc>
        <w:tc>
          <w:tcPr>
            <w:tcW w:w="4842" w:type="dxa"/>
          </w:tcPr>
          <w:p w14:paraId="70DC330B"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 </w:t>
            </w:r>
            <w:r w:rsidRPr="00604E19">
              <w:rPr>
                <w:rFonts w:asciiTheme="minorHAnsi" w:hAnsiTheme="minorHAnsi" w:cs="Arial"/>
                <w:i/>
                <w:sz w:val="22"/>
              </w:rPr>
              <w:t xml:space="preserve">Establish and maintain an accurate list of patients enrolled in (attributed to) the BCH ACO over the five years of the program.  </w:t>
            </w:r>
          </w:p>
        </w:tc>
      </w:tr>
      <w:tr w:rsidR="009841C9" w14:paraId="1C50098E" w14:textId="77777777" w:rsidTr="006D6682">
        <w:tc>
          <w:tcPr>
            <w:tcW w:w="1223" w:type="dxa"/>
            <w:vMerge/>
          </w:tcPr>
          <w:p w14:paraId="54C16FDD" w14:textId="77777777" w:rsidR="009841C9" w:rsidRPr="008F4512" w:rsidRDefault="009841C9" w:rsidP="00C575CF">
            <w:pPr>
              <w:rPr>
                <w:rFonts w:ascii="Arial" w:hAnsi="Arial" w:cs="Arial"/>
                <w:sz w:val="20"/>
                <w:szCs w:val="20"/>
              </w:rPr>
            </w:pPr>
          </w:p>
        </w:tc>
        <w:tc>
          <w:tcPr>
            <w:tcW w:w="3272" w:type="dxa"/>
            <w:vMerge/>
          </w:tcPr>
          <w:p w14:paraId="1BED5458" w14:textId="77777777" w:rsidR="009841C9" w:rsidRPr="00604E19" w:rsidRDefault="009841C9" w:rsidP="00C575CF">
            <w:pPr>
              <w:rPr>
                <w:rFonts w:asciiTheme="minorHAnsi" w:hAnsiTheme="minorHAnsi" w:cs="Arial"/>
                <w:b/>
                <w:bCs/>
                <w:sz w:val="22"/>
              </w:rPr>
            </w:pPr>
          </w:p>
        </w:tc>
        <w:tc>
          <w:tcPr>
            <w:tcW w:w="4842" w:type="dxa"/>
          </w:tcPr>
          <w:p w14:paraId="7AC96C63"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#2 </w:t>
            </w:r>
            <w:r w:rsidRPr="00604E19">
              <w:rPr>
                <w:rFonts w:asciiTheme="minorHAnsi" w:hAnsiTheme="minorHAnsi" w:cs="Arial"/>
                <w:i/>
                <w:sz w:val="22"/>
              </w:rPr>
              <w:t>Import claims and other data into the BCH ACO data warehouses and validate for use in analytic and operational activities over the five years of the program.</w:t>
            </w:r>
          </w:p>
        </w:tc>
      </w:tr>
      <w:tr w:rsidR="009841C9" w14:paraId="5DA1B15E" w14:textId="77777777" w:rsidTr="006D6682">
        <w:tc>
          <w:tcPr>
            <w:tcW w:w="1223" w:type="dxa"/>
            <w:vMerge/>
          </w:tcPr>
          <w:p w14:paraId="458B3C2A" w14:textId="77777777" w:rsidR="009841C9" w:rsidRPr="008F4512" w:rsidRDefault="009841C9" w:rsidP="00C575CF">
            <w:pPr>
              <w:rPr>
                <w:rFonts w:ascii="Arial" w:hAnsi="Arial" w:cs="Arial"/>
                <w:sz w:val="20"/>
                <w:szCs w:val="20"/>
              </w:rPr>
            </w:pPr>
          </w:p>
        </w:tc>
        <w:tc>
          <w:tcPr>
            <w:tcW w:w="3272" w:type="dxa"/>
            <w:vMerge/>
          </w:tcPr>
          <w:p w14:paraId="098FFE37" w14:textId="77777777" w:rsidR="009841C9" w:rsidRPr="00604E19" w:rsidRDefault="009841C9" w:rsidP="00C575CF">
            <w:pPr>
              <w:rPr>
                <w:rFonts w:asciiTheme="minorHAnsi" w:hAnsiTheme="minorHAnsi" w:cs="Arial"/>
                <w:b/>
                <w:bCs/>
                <w:sz w:val="22"/>
              </w:rPr>
            </w:pPr>
          </w:p>
        </w:tc>
        <w:tc>
          <w:tcPr>
            <w:tcW w:w="4842" w:type="dxa"/>
          </w:tcPr>
          <w:p w14:paraId="7418271E"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#3 </w:t>
            </w:r>
            <w:r w:rsidRPr="00604E19">
              <w:rPr>
                <w:rFonts w:asciiTheme="minorHAnsi" w:hAnsiTheme="minorHAnsi" w:cs="Arial"/>
                <w:i/>
                <w:sz w:val="22"/>
              </w:rPr>
              <w:t>Use innovative analytic tools to better understand our population and inform the design and implementation of interventions to connect them to appropriate/needed resources</w:t>
            </w:r>
          </w:p>
        </w:tc>
      </w:tr>
      <w:tr w:rsidR="009841C9" w14:paraId="5FF23EB7" w14:textId="77777777" w:rsidTr="006D6682">
        <w:tc>
          <w:tcPr>
            <w:tcW w:w="1223" w:type="dxa"/>
            <w:vMerge/>
          </w:tcPr>
          <w:p w14:paraId="1F1E4C93" w14:textId="77777777" w:rsidR="009841C9" w:rsidRPr="008F4512" w:rsidRDefault="009841C9" w:rsidP="00C575CF">
            <w:pPr>
              <w:rPr>
                <w:rFonts w:ascii="Arial" w:hAnsi="Arial" w:cs="Arial"/>
                <w:sz w:val="20"/>
                <w:szCs w:val="20"/>
              </w:rPr>
            </w:pPr>
          </w:p>
        </w:tc>
        <w:tc>
          <w:tcPr>
            <w:tcW w:w="3272" w:type="dxa"/>
            <w:vMerge/>
          </w:tcPr>
          <w:p w14:paraId="686C6CAE" w14:textId="77777777" w:rsidR="009841C9" w:rsidRPr="00604E19" w:rsidRDefault="009841C9" w:rsidP="00C575CF">
            <w:pPr>
              <w:rPr>
                <w:rFonts w:asciiTheme="minorHAnsi" w:hAnsiTheme="minorHAnsi" w:cs="Arial"/>
                <w:b/>
                <w:bCs/>
                <w:sz w:val="22"/>
              </w:rPr>
            </w:pPr>
          </w:p>
        </w:tc>
        <w:tc>
          <w:tcPr>
            <w:tcW w:w="4842" w:type="dxa"/>
          </w:tcPr>
          <w:p w14:paraId="229241C7"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#4 </w:t>
            </w:r>
            <w:r w:rsidRPr="00604E19">
              <w:rPr>
                <w:rFonts w:asciiTheme="minorHAnsi" w:hAnsiTheme="minorHAnsi" w:cs="Arial"/>
                <w:i/>
                <w:sz w:val="22"/>
              </w:rPr>
              <w:t>Establish and maintain processes for analysis of pharmacy utilization and utilization management to reduce prescription expense</w:t>
            </w:r>
          </w:p>
        </w:tc>
      </w:tr>
      <w:tr w:rsidR="009841C9" w14:paraId="3C7F80E8" w14:textId="77777777" w:rsidTr="006D6682">
        <w:tc>
          <w:tcPr>
            <w:tcW w:w="1223" w:type="dxa"/>
            <w:vMerge/>
          </w:tcPr>
          <w:p w14:paraId="6B5CE0FF" w14:textId="77777777" w:rsidR="009841C9" w:rsidRPr="008F4512" w:rsidRDefault="009841C9" w:rsidP="00C575CF">
            <w:pPr>
              <w:rPr>
                <w:rFonts w:ascii="Arial" w:hAnsi="Arial" w:cs="Arial"/>
                <w:sz w:val="20"/>
                <w:szCs w:val="20"/>
              </w:rPr>
            </w:pPr>
          </w:p>
        </w:tc>
        <w:tc>
          <w:tcPr>
            <w:tcW w:w="3272" w:type="dxa"/>
            <w:vMerge/>
          </w:tcPr>
          <w:p w14:paraId="653093C4" w14:textId="77777777" w:rsidR="009841C9" w:rsidRPr="00604E19" w:rsidRDefault="009841C9" w:rsidP="00C575CF">
            <w:pPr>
              <w:rPr>
                <w:rFonts w:asciiTheme="minorHAnsi" w:hAnsiTheme="minorHAnsi" w:cs="Arial"/>
                <w:b/>
                <w:bCs/>
                <w:sz w:val="22"/>
              </w:rPr>
            </w:pPr>
          </w:p>
        </w:tc>
        <w:tc>
          <w:tcPr>
            <w:tcW w:w="4842" w:type="dxa"/>
          </w:tcPr>
          <w:p w14:paraId="13A1AD3C"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#6 </w:t>
            </w:r>
            <w:r w:rsidRPr="00604E19">
              <w:rPr>
                <w:rFonts w:asciiTheme="minorHAnsi" w:hAnsiTheme="minorHAnsi" w:cs="Arial"/>
                <w:i/>
                <w:sz w:val="22"/>
              </w:rPr>
              <w:t xml:space="preserve">Identify and implement targeted care interventions for children with complex medical conditions to improve care coordination and reduce </w:t>
            </w:r>
            <w:r w:rsidRPr="00604E19">
              <w:rPr>
                <w:rFonts w:asciiTheme="minorHAnsi" w:hAnsiTheme="minorHAnsi" w:cs="Arial"/>
                <w:i/>
                <w:sz w:val="22"/>
              </w:rPr>
              <w:lastRenderedPageBreak/>
              <w:t xml:space="preserve">impactable costs by 3-5% in this population by Year 5 </w:t>
            </w:r>
          </w:p>
        </w:tc>
      </w:tr>
      <w:tr w:rsidR="009841C9" w14:paraId="144D49BA" w14:textId="77777777" w:rsidTr="006D6682">
        <w:tc>
          <w:tcPr>
            <w:tcW w:w="1223" w:type="dxa"/>
            <w:vMerge/>
          </w:tcPr>
          <w:p w14:paraId="02812145" w14:textId="77777777" w:rsidR="009841C9" w:rsidRPr="008F4512" w:rsidRDefault="009841C9" w:rsidP="00C575CF">
            <w:pPr>
              <w:rPr>
                <w:rFonts w:ascii="Arial" w:hAnsi="Arial" w:cs="Arial"/>
                <w:sz w:val="20"/>
                <w:szCs w:val="20"/>
              </w:rPr>
            </w:pPr>
          </w:p>
        </w:tc>
        <w:tc>
          <w:tcPr>
            <w:tcW w:w="3272" w:type="dxa"/>
            <w:vMerge/>
          </w:tcPr>
          <w:p w14:paraId="2EE61781" w14:textId="77777777" w:rsidR="009841C9" w:rsidRPr="00604E19" w:rsidRDefault="009841C9" w:rsidP="00C575CF">
            <w:pPr>
              <w:rPr>
                <w:rFonts w:asciiTheme="minorHAnsi" w:hAnsiTheme="minorHAnsi" w:cs="Arial"/>
                <w:b/>
                <w:bCs/>
                <w:sz w:val="22"/>
              </w:rPr>
            </w:pPr>
          </w:p>
        </w:tc>
        <w:tc>
          <w:tcPr>
            <w:tcW w:w="4842" w:type="dxa"/>
          </w:tcPr>
          <w:p w14:paraId="4C2075A0"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#10 </w:t>
            </w:r>
            <w:r w:rsidRPr="00604E19">
              <w:rPr>
                <w:rFonts w:asciiTheme="minorHAnsi" w:hAnsiTheme="minorHAnsi" w:cs="Arial"/>
                <w:i/>
                <w:sz w:val="22"/>
              </w:rPr>
              <w:t>Promote innovation and care transformation throughout the ACO by providing grant funding for pilot projects to enhance care coordination and reduce TME</w:t>
            </w:r>
          </w:p>
        </w:tc>
      </w:tr>
      <w:tr w:rsidR="009841C9" w14:paraId="30CABBF3" w14:textId="77777777" w:rsidTr="006D6682">
        <w:tc>
          <w:tcPr>
            <w:tcW w:w="1223" w:type="dxa"/>
            <w:vMerge/>
          </w:tcPr>
          <w:p w14:paraId="74122CCC" w14:textId="77777777" w:rsidR="009841C9" w:rsidRPr="008F4512" w:rsidRDefault="009841C9" w:rsidP="00C575CF">
            <w:pPr>
              <w:rPr>
                <w:rFonts w:ascii="Arial" w:hAnsi="Arial" w:cs="Arial"/>
                <w:sz w:val="20"/>
                <w:szCs w:val="20"/>
              </w:rPr>
            </w:pPr>
          </w:p>
        </w:tc>
        <w:tc>
          <w:tcPr>
            <w:tcW w:w="3272" w:type="dxa"/>
            <w:vMerge/>
          </w:tcPr>
          <w:p w14:paraId="784D9234" w14:textId="77777777" w:rsidR="009841C9" w:rsidRPr="00604E19" w:rsidRDefault="009841C9" w:rsidP="00C575CF">
            <w:pPr>
              <w:rPr>
                <w:rFonts w:asciiTheme="minorHAnsi" w:hAnsiTheme="minorHAnsi" w:cs="Arial"/>
                <w:b/>
                <w:bCs/>
                <w:sz w:val="22"/>
              </w:rPr>
            </w:pPr>
          </w:p>
        </w:tc>
        <w:tc>
          <w:tcPr>
            <w:tcW w:w="4842" w:type="dxa"/>
          </w:tcPr>
          <w:p w14:paraId="52EEDE15"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#18 </w:t>
            </w:r>
            <w:r w:rsidRPr="00604E19">
              <w:rPr>
                <w:rFonts w:asciiTheme="minorHAnsi" w:hAnsiTheme="minorHAnsi" w:cs="Arial"/>
                <w:i/>
                <w:sz w:val="22"/>
              </w:rPr>
              <w:t xml:space="preserve">Enhance BCH ACO capacity to manage accountable care contracts, </w:t>
            </w:r>
            <w:proofErr w:type="gramStart"/>
            <w:r w:rsidRPr="00604E19">
              <w:rPr>
                <w:rFonts w:asciiTheme="minorHAnsi" w:hAnsiTheme="minorHAnsi" w:cs="Arial"/>
                <w:i/>
                <w:sz w:val="22"/>
              </w:rPr>
              <w:t>programs</w:t>
            </w:r>
            <w:proofErr w:type="gramEnd"/>
            <w:r w:rsidRPr="00604E19">
              <w:rPr>
                <w:rFonts w:asciiTheme="minorHAnsi" w:hAnsiTheme="minorHAnsi" w:cs="Arial"/>
                <w:i/>
                <w:sz w:val="22"/>
              </w:rPr>
              <w:t xml:space="preserve"> and performance</w:t>
            </w:r>
          </w:p>
        </w:tc>
      </w:tr>
      <w:tr w:rsidR="009841C9" w14:paraId="102816ED" w14:textId="77777777" w:rsidTr="006D6682">
        <w:trPr>
          <w:trHeight w:val="2789"/>
        </w:trPr>
        <w:tc>
          <w:tcPr>
            <w:tcW w:w="1223" w:type="dxa"/>
          </w:tcPr>
          <w:p w14:paraId="6C991777" w14:textId="77777777" w:rsidR="009841C9" w:rsidRPr="008F4512" w:rsidRDefault="009841C9" w:rsidP="00C575CF">
            <w:pPr>
              <w:rPr>
                <w:rFonts w:ascii="Arial" w:hAnsi="Arial" w:cs="Arial"/>
                <w:sz w:val="20"/>
                <w:szCs w:val="20"/>
              </w:rPr>
            </w:pPr>
            <w:r w:rsidRPr="008F4512">
              <w:rPr>
                <w:rFonts w:ascii="Arial" w:hAnsi="Arial" w:cs="Arial"/>
                <w:sz w:val="20"/>
                <w:szCs w:val="20"/>
              </w:rPr>
              <w:t>#2</w:t>
            </w:r>
          </w:p>
        </w:tc>
        <w:tc>
          <w:tcPr>
            <w:tcW w:w="3272" w:type="dxa"/>
          </w:tcPr>
          <w:p w14:paraId="4826274B" w14:textId="77777777" w:rsidR="009841C9" w:rsidRPr="00604E19" w:rsidRDefault="009841C9" w:rsidP="00920E00">
            <w:pPr>
              <w:rPr>
                <w:rFonts w:asciiTheme="minorHAnsi" w:hAnsiTheme="minorHAnsi" w:cs="Arial"/>
                <w:sz w:val="22"/>
              </w:rPr>
            </w:pPr>
            <w:r w:rsidRPr="00604E19">
              <w:rPr>
                <w:rFonts w:asciiTheme="minorHAnsi" w:hAnsiTheme="minorHAnsi" w:cs="Arial"/>
                <w:b/>
                <w:bCs/>
                <w:sz w:val="22"/>
              </w:rPr>
              <w:t xml:space="preserve">Access:                                                                                                    </w:t>
            </w:r>
            <w:r w:rsidRPr="00604E19">
              <w:rPr>
                <w:rFonts w:asciiTheme="minorHAnsi" w:hAnsiTheme="minorHAnsi" w:cs="Arial"/>
                <w:sz w:val="22"/>
              </w:rPr>
              <w:t>In Years 1 and 2, expand behavioral health services delivered in the primary care setting and enhance access to community-based therapists and CBHI. By the end of Year 5, ACO members receive optimal behavioral health services across the full care continuum, including appropriate use of acute behavioral health services.</w:t>
            </w:r>
          </w:p>
        </w:tc>
        <w:tc>
          <w:tcPr>
            <w:tcW w:w="4842" w:type="dxa"/>
          </w:tcPr>
          <w:p w14:paraId="7ABE33D8" w14:textId="77777777" w:rsidR="009841C9" w:rsidRPr="00604E19" w:rsidRDefault="009841C9" w:rsidP="00604E19">
            <w:pPr>
              <w:jc w:val="both"/>
              <w:rPr>
                <w:rFonts w:asciiTheme="minorHAnsi" w:hAnsiTheme="minorHAnsi" w:cs="Arial"/>
                <w:i/>
                <w:sz w:val="22"/>
              </w:rPr>
            </w:pPr>
            <w:r w:rsidRPr="00604E19">
              <w:rPr>
                <w:rFonts w:asciiTheme="minorHAnsi" w:hAnsiTheme="minorHAnsi" w:cs="Arial"/>
                <w:bCs/>
                <w:sz w:val="22"/>
              </w:rPr>
              <w:t xml:space="preserve">#8 </w:t>
            </w:r>
            <w:r w:rsidRPr="00604E19">
              <w:rPr>
                <w:rFonts w:asciiTheme="minorHAnsi" w:hAnsiTheme="minorHAnsi" w:cs="Arial"/>
                <w:i/>
                <w:sz w:val="22"/>
              </w:rPr>
              <w:t xml:space="preserve">Expand access to primary care-based behavioral health treatment to all BCH ACO primary care practices by end of Year 5; expand access to behavioral health care coordination to reach 20% of patients with high risk behavioral health needs by Year 5  </w:t>
            </w:r>
          </w:p>
          <w:p w14:paraId="6DD7F03C" w14:textId="77777777" w:rsidR="009841C9" w:rsidRPr="00604E19" w:rsidRDefault="009841C9" w:rsidP="00604E19">
            <w:pPr>
              <w:jc w:val="both"/>
              <w:rPr>
                <w:rFonts w:asciiTheme="minorHAnsi" w:hAnsiTheme="minorHAnsi" w:cs="Arial"/>
                <w:bCs/>
                <w:sz w:val="22"/>
              </w:rPr>
            </w:pPr>
          </w:p>
        </w:tc>
      </w:tr>
      <w:tr w:rsidR="009841C9" w14:paraId="4572CEFE" w14:textId="77777777" w:rsidTr="006D6682">
        <w:tc>
          <w:tcPr>
            <w:tcW w:w="1223" w:type="dxa"/>
            <w:vMerge w:val="restart"/>
          </w:tcPr>
          <w:p w14:paraId="6D042F94" w14:textId="77777777" w:rsidR="009841C9" w:rsidRPr="008F4512" w:rsidRDefault="009841C9" w:rsidP="00C575CF">
            <w:pPr>
              <w:rPr>
                <w:rFonts w:ascii="Arial" w:hAnsi="Arial" w:cs="Arial"/>
                <w:sz w:val="20"/>
                <w:szCs w:val="20"/>
              </w:rPr>
            </w:pPr>
            <w:r w:rsidRPr="008F4512">
              <w:rPr>
                <w:rFonts w:ascii="Arial" w:hAnsi="Arial" w:cs="Arial"/>
                <w:sz w:val="20"/>
                <w:szCs w:val="20"/>
              </w:rPr>
              <w:t>#3</w:t>
            </w:r>
          </w:p>
        </w:tc>
        <w:tc>
          <w:tcPr>
            <w:tcW w:w="3272" w:type="dxa"/>
            <w:vMerge w:val="restart"/>
          </w:tcPr>
          <w:p w14:paraId="54A2246B" w14:textId="77777777" w:rsidR="009841C9" w:rsidRPr="00604E19" w:rsidRDefault="009841C9" w:rsidP="00920E00">
            <w:pPr>
              <w:rPr>
                <w:rFonts w:asciiTheme="minorHAnsi" w:hAnsiTheme="minorHAnsi" w:cs="Arial"/>
                <w:sz w:val="22"/>
              </w:rPr>
            </w:pPr>
            <w:r w:rsidRPr="00604E19">
              <w:rPr>
                <w:rFonts w:asciiTheme="minorHAnsi" w:hAnsiTheme="minorHAnsi" w:cs="Arial"/>
                <w:b/>
                <w:bCs/>
                <w:sz w:val="22"/>
              </w:rPr>
              <w:t>Quality:</w:t>
            </w:r>
            <w:r w:rsidRPr="00604E19">
              <w:rPr>
                <w:rFonts w:asciiTheme="minorHAnsi" w:hAnsiTheme="minorHAnsi" w:cs="Arial"/>
                <w:b/>
                <w:sz w:val="22"/>
              </w:rPr>
              <w:t xml:space="preserve">                                                                                                          </w:t>
            </w:r>
            <w:r w:rsidRPr="00604E19">
              <w:rPr>
                <w:rFonts w:asciiTheme="minorHAnsi" w:hAnsiTheme="minorHAnsi" w:cs="Arial"/>
                <w:sz w:val="22"/>
              </w:rPr>
              <w:t>In Years 1 and 2, develop systems to measurably improve delivery of preventive services, chronic disease management, and clinical integration.  In Years 3-5, narrow gap in quality measure performance between Medicaid and commercial populations, and between racial/ethnic groups.</w:t>
            </w:r>
          </w:p>
        </w:tc>
        <w:tc>
          <w:tcPr>
            <w:tcW w:w="4842" w:type="dxa"/>
          </w:tcPr>
          <w:p w14:paraId="6B5C0D30"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#16 </w:t>
            </w:r>
            <w:r w:rsidR="0090355D" w:rsidRPr="0090355D">
              <w:rPr>
                <w:rFonts w:asciiTheme="minorHAnsi" w:hAnsiTheme="minorHAnsi" w:cs="Arial"/>
                <w:i/>
                <w:sz w:val="22"/>
              </w:rPr>
              <w:t>Conduct quality measurement to evaluate and monitor progress on state prescribed quality measures and on internal quality improvement efforts</w:t>
            </w:r>
          </w:p>
        </w:tc>
      </w:tr>
      <w:tr w:rsidR="009841C9" w14:paraId="0ED00BD7" w14:textId="77777777" w:rsidTr="006D6682">
        <w:trPr>
          <w:trHeight w:val="917"/>
        </w:trPr>
        <w:tc>
          <w:tcPr>
            <w:tcW w:w="1223" w:type="dxa"/>
            <w:vMerge/>
          </w:tcPr>
          <w:p w14:paraId="607BB71F" w14:textId="77777777" w:rsidR="009841C9" w:rsidRPr="008F4512" w:rsidRDefault="009841C9" w:rsidP="00C575CF">
            <w:pPr>
              <w:rPr>
                <w:rFonts w:ascii="Arial" w:hAnsi="Arial" w:cs="Arial"/>
                <w:sz w:val="20"/>
                <w:szCs w:val="20"/>
              </w:rPr>
            </w:pPr>
          </w:p>
        </w:tc>
        <w:tc>
          <w:tcPr>
            <w:tcW w:w="3272" w:type="dxa"/>
            <w:vMerge/>
          </w:tcPr>
          <w:p w14:paraId="052CF9BB" w14:textId="77777777" w:rsidR="009841C9" w:rsidRPr="00604E19" w:rsidRDefault="009841C9" w:rsidP="00604E19">
            <w:pPr>
              <w:jc w:val="both"/>
              <w:rPr>
                <w:rFonts w:asciiTheme="minorHAnsi" w:eastAsia="Times New Roman" w:hAnsiTheme="minorHAnsi" w:cs="Arial"/>
                <w:b/>
                <w:color w:val="000000"/>
                <w:sz w:val="22"/>
              </w:rPr>
            </w:pPr>
          </w:p>
        </w:tc>
        <w:tc>
          <w:tcPr>
            <w:tcW w:w="4842" w:type="dxa"/>
          </w:tcPr>
          <w:p w14:paraId="297529C4" w14:textId="77777777" w:rsidR="009841C9" w:rsidRPr="00604E19" w:rsidRDefault="009841C9" w:rsidP="00604E19">
            <w:pPr>
              <w:jc w:val="both"/>
              <w:rPr>
                <w:rFonts w:asciiTheme="minorHAnsi" w:hAnsiTheme="minorHAnsi" w:cs="Arial"/>
                <w:bCs/>
                <w:sz w:val="22"/>
              </w:rPr>
            </w:pPr>
            <w:r w:rsidRPr="00604E19">
              <w:rPr>
                <w:rFonts w:asciiTheme="minorHAnsi" w:hAnsiTheme="minorHAnsi" w:cs="Arial"/>
                <w:bCs/>
                <w:sz w:val="22"/>
              </w:rPr>
              <w:t xml:space="preserve">#19 </w:t>
            </w:r>
            <w:r w:rsidRPr="00604E19">
              <w:rPr>
                <w:rFonts w:asciiTheme="minorHAnsi" w:hAnsiTheme="minorHAnsi" w:cs="Arial"/>
                <w:i/>
                <w:sz w:val="22"/>
              </w:rPr>
              <w:t>Expand and maintain primary care-based medical home care coordination activities</w:t>
            </w:r>
          </w:p>
        </w:tc>
      </w:tr>
      <w:tr w:rsidR="009841C9" w14:paraId="7886D402" w14:textId="77777777" w:rsidTr="006D6682">
        <w:trPr>
          <w:trHeight w:val="1025"/>
        </w:trPr>
        <w:tc>
          <w:tcPr>
            <w:tcW w:w="1223" w:type="dxa"/>
            <w:vMerge w:val="restart"/>
          </w:tcPr>
          <w:p w14:paraId="5E62DD18" w14:textId="77777777" w:rsidR="009841C9" w:rsidRPr="008F4512" w:rsidRDefault="009841C9" w:rsidP="00C575CF">
            <w:pPr>
              <w:rPr>
                <w:rFonts w:ascii="Arial" w:hAnsi="Arial" w:cs="Arial"/>
                <w:sz w:val="20"/>
                <w:szCs w:val="20"/>
              </w:rPr>
            </w:pPr>
            <w:r w:rsidRPr="008F4512">
              <w:rPr>
                <w:rFonts w:ascii="Arial" w:hAnsi="Arial" w:cs="Arial"/>
                <w:sz w:val="20"/>
                <w:szCs w:val="20"/>
              </w:rPr>
              <w:t>#4</w:t>
            </w:r>
          </w:p>
        </w:tc>
        <w:tc>
          <w:tcPr>
            <w:tcW w:w="3272" w:type="dxa"/>
            <w:vMerge w:val="restart"/>
          </w:tcPr>
          <w:p w14:paraId="11C8BF15" w14:textId="77777777" w:rsidR="009841C9" w:rsidRPr="00604E19" w:rsidRDefault="00920E00" w:rsidP="00920E00">
            <w:pPr>
              <w:rPr>
                <w:rFonts w:asciiTheme="minorHAnsi" w:hAnsiTheme="minorHAnsi" w:cs="Arial"/>
                <w:sz w:val="22"/>
              </w:rPr>
            </w:pPr>
            <w:r>
              <w:rPr>
                <w:rFonts w:asciiTheme="minorHAnsi" w:eastAsia="Times New Roman" w:hAnsiTheme="minorHAnsi" w:cs="Arial"/>
                <w:b/>
                <w:color w:val="000000"/>
                <w:sz w:val="22"/>
              </w:rPr>
              <w:t xml:space="preserve">Member </w:t>
            </w:r>
            <w:r w:rsidR="009841C9" w:rsidRPr="00604E19">
              <w:rPr>
                <w:rFonts w:asciiTheme="minorHAnsi" w:eastAsia="Times New Roman" w:hAnsiTheme="minorHAnsi" w:cs="Arial"/>
                <w:b/>
                <w:color w:val="000000"/>
                <w:sz w:val="22"/>
              </w:rPr>
              <w:t>Experience</w:t>
            </w:r>
            <w:r w:rsidR="009841C9" w:rsidRPr="00604E19">
              <w:rPr>
                <w:rFonts w:asciiTheme="minorHAnsi" w:eastAsia="Times New Roman" w:hAnsiTheme="minorHAnsi" w:cs="Arial"/>
                <w:color w:val="000000"/>
                <w:sz w:val="22"/>
              </w:rPr>
              <w:t xml:space="preserve">:                                                                                      By </w:t>
            </w:r>
            <w:r w:rsidR="009841C9" w:rsidRPr="00604E19">
              <w:rPr>
                <w:rFonts w:asciiTheme="minorHAnsi" w:hAnsiTheme="minorHAnsi" w:cs="Arial"/>
                <w:color w:val="000000"/>
                <w:sz w:val="22"/>
              </w:rPr>
              <w:t xml:space="preserve">the end of </w:t>
            </w:r>
            <w:r w:rsidR="009841C9" w:rsidRPr="00604E19">
              <w:rPr>
                <w:rFonts w:asciiTheme="minorHAnsi" w:eastAsia="Times New Roman" w:hAnsiTheme="minorHAnsi" w:cs="Arial"/>
                <w:color w:val="000000"/>
                <w:sz w:val="22"/>
              </w:rPr>
              <w:t xml:space="preserve">Year 4, achieve or surpass benchmarks for priority MassHealth primary care child member experience measures (e.g., knowledge of patients, </w:t>
            </w:r>
            <w:r w:rsidR="009841C9" w:rsidRPr="00604E19">
              <w:rPr>
                <w:rFonts w:asciiTheme="minorHAnsi" w:eastAsia="Times New Roman" w:hAnsiTheme="minorHAnsi" w:cs="Arial"/>
                <w:color w:val="000000"/>
                <w:sz w:val="22"/>
              </w:rPr>
              <w:lastRenderedPageBreak/>
              <w:t>integration of care, access to care, willingness to recommend).</w:t>
            </w:r>
          </w:p>
        </w:tc>
        <w:tc>
          <w:tcPr>
            <w:tcW w:w="4842" w:type="dxa"/>
          </w:tcPr>
          <w:p w14:paraId="5D57488B"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bCs/>
                <w:sz w:val="22"/>
              </w:rPr>
              <w:lastRenderedPageBreak/>
              <w:t xml:space="preserve">#13 </w:t>
            </w:r>
            <w:r w:rsidRPr="00604E19">
              <w:rPr>
                <w:rFonts w:asciiTheme="minorHAnsi" w:hAnsiTheme="minorHAnsi" w:cs="Arial"/>
                <w:i/>
                <w:sz w:val="22"/>
              </w:rPr>
              <w:t>Build and deliver communications about existing and new programs available to patients within the BCH ACO including care management when applicable</w:t>
            </w:r>
          </w:p>
        </w:tc>
      </w:tr>
      <w:tr w:rsidR="009841C9" w14:paraId="6D323A5C" w14:textId="77777777" w:rsidTr="006D6682">
        <w:tc>
          <w:tcPr>
            <w:tcW w:w="1223" w:type="dxa"/>
            <w:vMerge/>
          </w:tcPr>
          <w:p w14:paraId="678056EC" w14:textId="77777777" w:rsidR="009841C9" w:rsidRPr="008F4512" w:rsidRDefault="009841C9" w:rsidP="00C575CF">
            <w:pPr>
              <w:rPr>
                <w:rFonts w:ascii="Arial" w:hAnsi="Arial" w:cs="Arial"/>
                <w:sz w:val="20"/>
                <w:szCs w:val="20"/>
              </w:rPr>
            </w:pPr>
          </w:p>
        </w:tc>
        <w:tc>
          <w:tcPr>
            <w:tcW w:w="3272" w:type="dxa"/>
            <w:vMerge/>
          </w:tcPr>
          <w:p w14:paraId="419381DD" w14:textId="77777777" w:rsidR="009841C9" w:rsidRPr="00604E19" w:rsidRDefault="009841C9" w:rsidP="00604E19">
            <w:pPr>
              <w:jc w:val="both"/>
              <w:rPr>
                <w:rFonts w:asciiTheme="minorHAnsi" w:hAnsiTheme="minorHAnsi" w:cs="Arial"/>
                <w:b/>
                <w:bCs/>
                <w:sz w:val="22"/>
              </w:rPr>
            </w:pPr>
          </w:p>
        </w:tc>
        <w:tc>
          <w:tcPr>
            <w:tcW w:w="4842" w:type="dxa"/>
          </w:tcPr>
          <w:p w14:paraId="52E9C4DD"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#14 </w:t>
            </w:r>
            <w:r w:rsidRPr="00604E19">
              <w:rPr>
                <w:rFonts w:asciiTheme="minorHAnsi" w:hAnsiTheme="minorHAnsi" w:cs="Arial"/>
                <w:i/>
                <w:sz w:val="22"/>
              </w:rPr>
              <w:t xml:space="preserve">Implement new and expanded patient pediatric care management outreach for prevention, wellness, and population management </w:t>
            </w:r>
          </w:p>
        </w:tc>
      </w:tr>
      <w:tr w:rsidR="009841C9" w14:paraId="756B0CEE" w14:textId="77777777" w:rsidTr="006D6682">
        <w:trPr>
          <w:trHeight w:val="746"/>
        </w:trPr>
        <w:tc>
          <w:tcPr>
            <w:tcW w:w="1223" w:type="dxa"/>
            <w:vMerge/>
          </w:tcPr>
          <w:p w14:paraId="3AF5C0BA" w14:textId="77777777" w:rsidR="009841C9" w:rsidRPr="008F4512" w:rsidRDefault="009841C9" w:rsidP="00C575CF">
            <w:pPr>
              <w:rPr>
                <w:rFonts w:ascii="Arial" w:hAnsi="Arial" w:cs="Arial"/>
                <w:sz w:val="20"/>
                <w:szCs w:val="20"/>
              </w:rPr>
            </w:pPr>
          </w:p>
        </w:tc>
        <w:tc>
          <w:tcPr>
            <w:tcW w:w="3272" w:type="dxa"/>
            <w:vMerge/>
          </w:tcPr>
          <w:p w14:paraId="00EF693B" w14:textId="77777777" w:rsidR="009841C9" w:rsidRPr="00604E19" w:rsidRDefault="009841C9" w:rsidP="00604E19">
            <w:pPr>
              <w:jc w:val="both"/>
              <w:rPr>
                <w:rFonts w:asciiTheme="minorHAnsi" w:hAnsiTheme="minorHAnsi" w:cs="Arial"/>
                <w:b/>
                <w:bCs/>
                <w:sz w:val="22"/>
              </w:rPr>
            </w:pPr>
          </w:p>
        </w:tc>
        <w:tc>
          <w:tcPr>
            <w:tcW w:w="4842" w:type="dxa"/>
          </w:tcPr>
          <w:p w14:paraId="7BA49EBF"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#17 </w:t>
            </w:r>
            <w:r w:rsidRPr="00604E19">
              <w:rPr>
                <w:rFonts w:asciiTheme="minorHAnsi" w:hAnsiTheme="minorHAnsi" w:cs="Arial"/>
                <w:i/>
                <w:sz w:val="22"/>
              </w:rPr>
              <w:t xml:space="preserve">Facilitate a smooth insurance transition for patients  </w:t>
            </w:r>
          </w:p>
        </w:tc>
      </w:tr>
      <w:tr w:rsidR="009841C9" w14:paraId="29610B75" w14:textId="77777777" w:rsidTr="006D6682">
        <w:tc>
          <w:tcPr>
            <w:tcW w:w="1223" w:type="dxa"/>
            <w:vMerge w:val="restart"/>
          </w:tcPr>
          <w:p w14:paraId="26DC0278" w14:textId="77777777" w:rsidR="009841C9" w:rsidRPr="008F4512" w:rsidRDefault="009841C9" w:rsidP="00C575CF">
            <w:pPr>
              <w:rPr>
                <w:rFonts w:ascii="Arial" w:hAnsi="Arial" w:cs="Arial"/>
                <w:sz w:val="20"/>
                <w:szCs w:val="20"/>
              </w:rPr>
            </w:pPr>
            <w:r w:rsidRPr="008F4512">
              <w:rPr>
                <w:rFonts w:ascii="Arial" w:hAnsi="Arial" w:cs="Arial"/>
                <w:sz w:val="20"/>
                <w:szCs w:val="20"/>
              </w:rPr>
              <w:t>#5</w:t>
            </w:r>
          </w:p>
        </w:tc>
        <w:tc>
          <w:tcPr>
            <w:tcW w:w="3272" w:type="dxa"/>
            <w:vMerge w:val="restart"/>
          </w:tcPr>
          <w:p w14:paraId="615780BF" w14:textId="77777777" w:rsidR="009841C9" w:rsidRPr="00604E19" w:rsidRDefault="009841C9" w:rsidP="00920E00">
            <w:pPr>
              <w:rPr>
                <w:rFonts w:asciiTheme="minorHAnsi" w:hAnsiTheme="minorHAnsi" w:cs="Arial"/>
                <w:sz w:val="22"/>
              </w:rPr>
            </w:pPr>
            <w:r w:rsidRPr="00604E19">
              <w:rPr>
                <w:rFonts w:asciiTheme="minorHAnsi" w:hAnsiTheme="minorHAnsi" w:cs="Arial"/>
                <w:b/>
                <w:bCs/>
                <w:sz w:val="22"/>
              </w:rPr>
              <w:t>Integration of P</w:t>
            </w:r>
            <w:r w:rsidR="00920E00">
              <w:rPr>
                <w:rFonts w:asciiTheme="minorHAnsi" w:hAnsiTheme="minorHAnsi" w:cs="Arial"/>
                <w:b/>
                <w:bCs/>
                <w:sz w:val="22"/>
              </w:rPr>
              <w:t xml:space="preserve">hysical Health, BH, LTSS, </w:t>
            </w:r>
            <w:r w:rsidRPr="00604E19">
              <w:rPr>
                <w:rFonts w:asciiTheme="minorHAnsi" w:hAnsiTheme="minorHAnsi" w:cs="Arial"/>
                <w:b/>
                <w:bCs/>
                <w:sz w:val="22"/>
              </w:rPr>
              <w:t>and Health-Related Social Services:</w:t>
            </w:r>
            <w:r w:rsidRPr="00604E19">
              <w:rPr>
                <w:rFonts w:asciiTheme="minorHAnsi" w:hAnsiTheme="minorHAnsi" w:cs="Arial"/>
                <w:bCs/>
                <w:sz w:val="22"/>
              </w:rPr>
              <w:t xml:space="preserve">                                                                                          </w:t>
            </w:r>
            <w:r w:rsidRPr="00604E19">
              <w:rPr>
                <w:rFonts w:asciiTheme="minorHAnsi" w:hAnsiTheme="minorHAnsi" w:cs="Arial"/>
                <w:sz w:val="22"/>
              </w:rPr>
              <w:t>In Years 1 and 2, develop integration between primary care medical home, regional care management, THPP care management, LTSS CPs, and other care partners (e.g., schools). By the end of Year 5, implement sustainable model of pediatric care integration.</w:t>
            </w:r>
          </w:p>
        </w:tc>
        <w:tc>
          <w:tcPr>
            <w:tcW w:w="4842" w:type="dxa"/>
          </w:tcPr>
          <w:p w14:paraId="74F30057"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#7 </w:t>
            </w:r>
            <w:r w:rsidRPr="00604E19">
              <w:rPr>
                <w:rFonts w:asciiTheme="minorHAnsi" w:hAnsiTheme="minorHAnsi" w:cs="Arial"/>
                <w:i/>
                <w:sz w:val="22"/>
              </w:rPr>
              <w:t xml:space="preserve">Expand primary care and community-based asthma programming to reach over 60% of patients with asthma by end of Year 5 </w:t>
            </w:r>
          </w:p>
        </w:tc>
      </w:tr>
      <w:tr w:rsidR="009841C9" w14:paraId="11FE6C05" w14:textId="77777777" w:rsidTr="006D6682">
        <w:tc>
          <w:tcPr>
            <w:tcW w:w="1223" w:type="dxa"/>
            <w:vMerge/>
          </w:tcPr>
          <w:p w14:paraId="0B01591B" w14:textId="77777777" w:rsidR="009841C9" w:rsidRPr="008F4512" w:rsidRDefault="009841C9" w:rsidP="00C575CF">
            <w:pPr>
              <w:rPr>
                <w:rFonts w:ascii="Arial" w:hAnsi="Arial" w:cs="Arial"/>
                <w:sz w:val="20"/>
                <w:szCs w:val="20"/>
              </w:rPr>
            </w:pPr>
          </w:p>
        </w:tc>
        <w:tc>
          <w:tcPr>
            <w:tcW w:w="3272" w:type="dxa"/>
            <w:vMerge/>
          </w:tcPr>
          <w:p w14:paraId="4DC40CDE" w14:textId="77777777" w:rsidR="009841C9" w:rsidRPr="00604E19" w:rsidRDefault="009841C9" w:rsidP="00604E19">
            <w:pPr>
              <w:jc w:val="both"/>
              <w:rPr>
                <w:rFonts w:asciiTheme="minorHAnsi" w:hAnsiTheme="minorHAnsi" w:cs="Arial"/>
                <w:b/>
                <w:bCs/>
                <w:sz w:val="22"/>
              </w:rPr>
            </w:pPr>
          </w:p>
        </w:tc>
        <w:tc>
          <w:tcPr>
            <w:tcW w:w="4842" w:type="dxa"/>
          </w:tcPr>
          <w:p w14:paraId="752E72FE"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#9 </w:t>
            </w:r>
            <w:r w:rsidRPr="00604E19">
              <w:rPr>
                <w:rFonts w:asciiTheme="minorHAnsi" w:hAnsiTheme="minorHAnsi" w:cs="Arial"/>
                <w:i/>
                <w:sz w:val="22"/>
              </w:rPr>
              <w:t xml:space="preserve">Improve integration and coordination of primary and specialty care   </w:t>
            </w:r>
          </w:p>
        </w:tc>
      </w:tr>
      <w:tr w:rsidR="009841C9" w14:paraId="37F3A491" w14:textId="77777777" w:rsidTr="006D6682">
        <w:trPr>
          <w:cantSplit/>
        </w:trPr>
        <w:tc>
          <w:tcPr>
            <w:tcW w:w="1223" w:type="dxa"/>
            <w:vMerge/>
          </w:tcPr>
          <w:p w14:paraId="6882A51A" w14:textId="77777777" w:rsidR="009841C9" w:rsidRPr="008F4512" w:rsidRDefault="009841C9" w:rsidP="00C575CF">
            <w:pPr>
              <w:rPr>
                <w:rFonts w:ascii="Arial" w:hAnsi="Arial" w:cs="Arial"/>
                <w:sz w:val="20"/>
                <w:szCs w:val="20"/>
              </w:rPr>
            </w:pPr>
          </w:p>
        </w:tc>
        <w:tc>
          <w:tcPr>
            <w:tcW w:w="3272" w:type="dxa"/>
            <w:vMerge/>
          </w:tcPr>
          <w:p w14:paraId="7704B381" w14:textId="77777777" w:rsidR="009841C9" w:rsidRPr="00604E19" w:rsidRDefault="009841C9" w:rsidP="00C575CF">
            <w:pPr>
              <w:rPr>
                <w:rFonts w:asciiTheme="minorHAnsi" w:hAnsiTheme="minorHAnsi" w:cs="Arial"/>
                <w:b/>
                <w:bCs/>
                <w:sz w:val="22"/>
              </w:rPr>
            </w:pPr>
          </w:p>
        </w:tc>
        <w:tc>
          <w:tcPr>
            <w:tcW w:w="4842" w:type="dxa"/>
          </w:tcPr>
          <w:p w14:paraId="0A674CA2"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#11 </w:t>
            </w:r>
            <w:r w:rsidRPr="00604E19">
              <w:rPr>
                <w:rFonts w:asciiTheme="minorHAnsi" w:hAnsiTheme="minorHAnsi" w:cs="Arial"/>
                <w:i/>
                <w:sz w:val="22"/>
              </w:rPr>
              <w:t>Implement and maintain connections to LTSS Community Partners and community service agencies for Behavioral Health.</w:t>
            </w:r>
          </w:p>
        </w:tc>
      </w:tr>
      <w:tr w:rsidR="009841C9" w14:paraId="0F8DAD63" w14:textId="77777777" w:rsidTr="006D6682">
        <w:tc>
          <w:tcPr>
            <w:tcW w:w="1223" w:type="dxa"/>
            <w:vMerge/>
          </w:tcPr>
          <w:p w14:paraId="18FD0D9E" w14:textId="77777777" w:rsidR="009841C9" w:rsidRPr="008F4512" w:rsidRDefault="009841C9" w:rsidP="00C575CF">
            <w:pPr>
              <w:rPr>
                <w:rFonts w:ascii="Arial" w:hAnsi="Arial" w:cs="Arial"/>
                <w:sz w:val="20"/>
                <w:szCs w:val="20"/>
              </w:rPr>
            </w:pPr>
          </w:p>
        </w:tc>
        <w:tc>
          <w:tcPr>
            <w:tcW w:w="3272" w:type="dxa"/>
            <w:vMerge/>
          </w:tcPr>
          <w:p w14:paraId="3F00300E" w14:textId="77777777" w:rsidR="009841C9" w:rsidRPr="008F4512" w:rsidRDefault="009841C9" w:rsidP="00C575CF">
            <w:pPr>
              <w:rPr>
                <w:rFonts w:ascii="Arial" w:hAnsi="Arial" w:cs="Arial"/>
                <w:b/>
                <w:bCs/>
                <w:sz w:val="20"/>
                <w:szCs w:val="20"/>
              </w:rPr>
            </w:pPr>
          </w:p>
        </w:tc>
        <w:tc>
          <w:tcPr>
            <w:tcW w:w="4842" w:type="dxa"/>
          </w:tcPr>
          <w:p w14:paraId="054051C5"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#19 </w:t>
            </w:r>
            <w:r w:rsidRPr="00604E19">
              <w:rPr>
                <w:rFonts w:asciiTheme="minorHAnsi" w:hAnsiTheme="minorHAnsi" w:cs="Arial"/>
                <w:i/>
                <w:sz w:val="22"/>
              </w:rPr>
              <w:t>Expand and maintain primary care-based medical home care coordination activities</w:t>
            </w:r>
          </w:p>
        </w:tc>
      </w:tr>
      <w:tr w:rsidR="009841C9" w14:paraId="2939BCFE" w14:textId="77777777" w:rsidTr="006D6682">
        <w:trPr>
          <w:trHeight w:val="548"/>
        </w:trPr>
        <w:tc>
          <w:tcPr>
            <w:tcW w:w="1223" w:type="dxa"/>
            <w:vMerge/>
          </w:tcPr>
          <w:p w14:paraId="494178FE" w14:textId="77777777" w:rsidR="009841C9" w:rsidRPr="008F4512" w:rsidRDefault="009841C9" w:rsidP="00C575CF">
            <w:pPr>
              <w:rPr>
                <w:rFonts w:ascii="Arial" w:hAnsi="Arial" w:cs="Arial"/>
                <w:sz w:val="20"/>
                <w:szCs w:val="20"/>
              </w:rPr>
            </w:pPr>
          </w:p>
        </w:tc>
        <w:tc>
          <w:tcPr>
            <w:tcW w:w="3272" w:type="dxa"/>
            <w:vMerge/>
          </w:tcPr>
          <w:p w14:paraId="6FCB93CB" w14:textId="77777777" w:rsidR="009841C9" w:rsidRPr="008F4512" w:rsidRDefault="009841C9" w:rsidP="00C575CF">
            <w:pPr>
              <w:rPr>
                <w:rFonts w:ascii="Arial" w:hAnsi="Arial" w:cs="Arial"/>
                <w:b/>
                <w:bCs/>
                <w:sz w:val="20"/>
                <w:szCs w:val="20"/>
              </w:rPr>
            </w:pPr>
          </w:p>
        </w:tc>
        <w:tc>
          <w:tcPr>
            <w:tcW w:w="4842" w:type="dxa"/>
          </w:tcPr>
          <w:p w14:paraId="6FF1C5AF"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#20 </w:t>
            </w:r>
            <w:r w:rsidRPr="00604E19">
              <w:rPr>
                <w:rFonts w:asciiTheme="minorHAnsi" w:hAnsiTheme="minorHAnsi" w:cs="Arial"/>
                <w:i/>
                <w:sz w:val="22"/>
              </w:rPr>
              <w:t>Ensure delivery of required care management services</w:t>
            </w:r>
          </w:p>
        </w:tc>
      </w:tr>
      <w:tr w:rsidR="009841C9" w14:paraId="2D2A7079" w14:textId="77777777" w:rsidTr="006D6682">
        <w:trPr>
          <w:trHeight w:val="1016"/>
        </w:trPr>
        <w:tc>
          <w:tcPr>
            <w:tcW w:w="1223" w:type="dxa"/>
            <w:vMerge w:val="restart"/>
          </w:tcPr>
          <w:p w14:paraId="27141DD6" w14:textId="77777777" w:rsidR="009841C9" w:rsidRPr="008F4512" w:rsidRDefault="009841C9" w:rsidP="00C575CF">
            <w:pPr>
              <w:spacing w:after="0"/>
              <w:rPr>
                <w:rFonts w:ascii="Arial" w:hAnsi="Arial" w:cs="Arial"/>
                <w:sz w:val="20"/>
                <w:szCs w:val="20"/>
              </w:rPr>
            </w:pPr>
            <w:r w:rsidRPr="008F4512">
              <w:rPr>
                <w:rFonts w:ascii="Arial" w:hAnsi="Arial" w:cs="Arial"/>
                <w:sz w:val="20"/>
                <w:szCs w:val="20"/>
              </w:rPr>
              <w:t>#6</w:t>
            </w:r>
          </w:p>
        </w:tc>
        <w:tc>
          <w:tcPr>
            <w:tcW w:w="3272" w:type="dxa"/>
            <w:vMerge w:val="restart"/>
          </w:tcPr>
          <w:p w14:paraId="49C9721C" w14:textId="77777777" w:rsidR="009841C9" w:rsidRPr="00920E00" w:rsidRDefault="009841C9" w:rsidP="00C575CF">
            <w:pPr>
              <w:spacing w:after="0"/>
              <w:rPr>
                <w:rFonts w:asciiTheme="minorHAnsi" w:hAnsiTheme="minorHAnsi" w:cs="Arial"/>
                <w:b/>
                <w:bCs/>
                <w:sz w:val="22"/>
              </w:rPr>
            </w:pPr>
            <w:r w:rsidRPr="00920E00">
              <w:rPr>
                <w:rFonts w:asciiTheme="minorHAnsi" w:hAnsiTheme="minorHAnsi" w:cs="Arial"/>
                <w:b/>
                <w:bCs/>
                <w:sz w:val="22"/>
              </w:rPr>
              <w:t>Other:</w:t>
            </w:r>
            <w:r w:rsidRPr="00920E00">
              <w:rPr>
                <w:rFonts w:asciiTheme="minorHAnsi" w:hAnsiTheme="minorHAnsi" w:cs="Arial"/>
                <w:bCs/>
                <w:sz w:val="22"/>
              </w:rPr>
              <w:t xml:space="preserve">                                                                                                           </w:t>
            </w:r>
            <w:r w:rsidRPr="00920E00">
              <w:rPr>
                <w:rFonts w:asciiTheme="minorHAnsi" w:hAnsiTheme="minorHAnsi" w:cs="Arial"/>
                <w:sz w:val="22"/>
              </w:rPr>
              <w:t>By the end of Year 3, understand distribution of health-related social needs and associated health disparities within the BCH ACO population and begin to develop targeted interventions and approaches (including resource allocation and system responses) to address identified needs and disparities.  In Years 4-5, refine and expand successful/promising approaches.</w:t>
            </w:r>
          </w:p>
        </w:tc>
        <w:tc>
          <w:tcPr>
            <w:tcW w:w="4842" w:type="dxa"/>
          </w:tcPr>
          <w:p w14:paraId="502B6E11"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#12 </w:t>
            </w:r>
            <w:r w:rsidRPr="00604E19">
              <w:rPr>
                <w:rFonts w:asciiTheme="minorHAnsi" w:hAnsiTheme="minorHAnsi" w:cs="Arial"/>
                <w:i/>
                <w:sz w:val="22"/>
              </w:rPr>
              <w:t xml:space="preserve">Understand and address the impact of social determinants of health (SDOH) on this patient population </w:t>
            </w:r>
          </w:p>
        </w:tc>
      </w:tr>
      <w:tr w:rsidR="009841C9" w14:paraId="7EF4B5B2" w14:textId="77777777" w:rsidTr="006D6682">
        <w:trPr>
          <w:trHeight w:val="539"/>
        </w:trPr>
        <w:tc>
          <w:tcPr>
            <w:tcW w:w="1223" w:type="dxa"/>
            <w:vMerge/>
          </w:tcPr>
          <w:p w14:paraId="502993D1" w14:textId="77777777" w:rsidR="009841C9" w:rsidRPr="009841C9" w:rsidRDefault="009841C9" w:rsidP="00C575CF">
            <w:pPr>
              <w:spacing w:after="0"/>
              <w:rPr>
                <w:rFonts w:ascii="Arial" w:hAnsi="Arial" w:cs="Arial"/>
                <w:sz w:val="22"/>
              </w:rPr>
            </w:pPr>
          </w:p>
        </w:tc>
        <w:tc>
          <w:tcPr>
            <w:tcW w:w="3272" w:type="dxa"/>
            <w:vMerge/>
          </w:tcPr>
          <w:p w14:paraId="6618AC2A" w14:textId="77777777" w:rsidR="009841C9" w:rsidRPr="009841C9" w:rsidRDefault="009841C9" w:rsidP="00C575CF">
            <w:pPr>
              <w:spacing w:after="0"/>
              <w:rPr>
                <w:rFonts w:ascii="Arial" w:hAnsi="Arial" w:cs="Arial"/>
                <w:b/>
                <w:bCs/>
                <w:sz w:val="22"/>
              </w:rPr>
            </w:pPr>
          </w:p>
        </w:tc>
        <w:tc>
          <w:tcPr>
            <w:tcW w:w="4842" w:type="dxa"/>
          </w:tcPr>
          <w:p w14:paraId="5B91AF08"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#15 </w:t>
            </w:r>
            <w:r w:rsidRPr="00604E19">
              <w:rPr>
                <w:rFonts w:asciiTheme="minorHAnsi" w:hAnsiTheme="minorHAnsi" w:cs="Arial"/>
                <w:i/>
                <w:sz w:val="22"/>
              </w:rPr>
              <w:t xml:space="preserve">Expand culturally and linguistically appropriate services </w:t>
            </w:r>
          </w:p>
        </w:tc>
      </w:tr>
      <w:tr w:rsidR="009841C9" w14:paraId="760D7BA3" w14:textId="77777777" w:rsidTr="006D6682">
        <w:tc>
          <w:tcPr>
            <w:tcW w:w="1223" w:type="dxa"/>
            <w:vMerge/>
          </w:tcPr>
          <w:p w14:paraId="0CEB6E2B" w14:textId="77777777" w:rsidR="009841C9" w:rsidRPr="009841C9" w:rsidRDefault="009841C9" w:rsidP="00C575CF">
            <w:pPr>
              <w:rPr>
                <w:rFonts w:ascii="Arial" w:hAnsi="Arial" w:cs="Arial"/>
                <w:sz w:val="22"/>
              </w:rPr>
            </w:pPr>
          </w:p>
        </w:tc>
        <w:tc>
          <w:tcPr>
            <w:tcW w:w="3272" w:type="dxa"/>
            <w:vMerge/>
          </w:tcPr>
          <w:p w14:paraId="3EEE2EE1" w14:textId="77777777" w:rsidR="009841C9" w:rsidRPr="009841C9" w:rsidRDefault="009841C9" w:rsidP="00C575CF">
            <w:pPr>
              <w:rPr>
                <w:rFonts w:ascii="Arial" w:hAnsi="Arial" w:cs="Arial"/>
                <w:sz w:val="22"/>
              </w:rPr>
            </w:pPr>
          </w:p>
        </w:tc>
        <w:tc>
          <w:tcPr>
            <w:tcW w:w="4842" w:type="dxa"/>
          </w:tcPr>
          <w:p w14:paraId="52893D9C" w14:textId="77777777" w:rsidR="009841C9" w:rsidRPr="00604E19" w:rsidRDefault="009841C9" w:rsidP="00604E19">
            <w:pPr>
              <w:jc w:val="both"/>
              <w:rPr>
                <w:rFonts w:asciiTheme="minorHAnsi" w:hAnsiTheme="minorHAnsi" w:cs="Arial"/>
                <w:sz w:val="22"/>
              </w:rPr>
            </w:pPr>
            <w:r w:rsidRPr="00604E19">
              <w:rPr>
                <w:rFonts w:asciiTheme="minorHAnsi" w:hAnsiTheme="minorHAnsi" w:cs="Arial"/>
                <w:sz w:val="22"/>
              </w:rPr>
              <w:t xml:space="preserve">#19 </w:t>
            </w:r>
            <w:r w:rsidRPr="00604E19">
              <w:rPr>
                <w:rFonts w:asciiTheme="minorHAnsi" w:hAnsiTheme="minorHAnsi" w:cs="Arial"/>
                <w:i/>
                <w:sz w:val="22"/>
              </w:rPr>
              <w:t>Expand and maintain primary care-based medical home care coordination activities</w:t>
            </w:r>
          </w:p>
        </w:tc>
      </w:tr>
    </w:tbl>
    <w:p w14:paraId="7E4D009E" w14:textId="77777777" w:rsidR="009841C9" w:rsidRDefault="009841C9" w:rsidP="009841C9"/>
    <w:p w14:paraId="6B1D9685" w14:textId="77777777" w:rsidR="009654D7" w:rsidRDefault="00C14C85" w:rsidP="00C14C85">
      <w:pPr>
        <w:pStyle w:val="Heading2"/>
      </w:pPr>
      <w:r>
        <w:t>PY</w:t>
      </w:r>
      <w:r w:rsidR="008C1D78">
        <w:t>1</w:t>
      </w:r>
      <w:r>
        <w:t xml:space="preserve"> Investments </w:t>
      </w:r>
      <w:r w:rsidR="003A582B">
        <w:t>Overview</w:t>
      </w:r>
      <w:r w:rsidR="002C271C">
        <w:t xml:space="preserve"> and Progress </w:t>
      </w:r>
      <w:r w:rsidR="00226D41">
        <w:t>toward</w:t>
      </w:r>
      <w:r w:rsidR="002C271C">
        <w:t xml:space="preserve"> Goals</w:t>
      </w:r>
    </w:p>
    <w:p w14:paraId="69246686" w14:textId="77777777" w:rsidR="002B143C" w:rsidRPr="00604E19" w:rsidRDefault="002B143C" w:rsidP="004A27F8">
      <w:pPr>
        <w:spacing w:after="0" w:line="240" w:lineRule="auto"/>
        <w:jc w:val="both"/>
        <w:rPr>
          <w:rFonts w:asciiTheme="minorHAnsi" w:hAnsiTheme="minorHAnsi" w:cs="Arial"/>
        </w:rPr>
      </w:pPr>
      <w:r w:rsidRPr="00604E19">
        <w:rPr>
          <w:rFonts w:asciiTheme="minorHAnsi" w:hAnsiTheme="minorHAnsi" w:cs="Arial"/>
        </w:rPr>
        <w:t>The ACO has invested in seven target areas: complex care; behavioral health; social determinants of health; overall population management; data, IT analytics and reporting; governance</w:t>
      </w:r>
      <w:r w:rsidR="0090355D">
        <w:rPr>
          <w:rFonts w:asciiTheme="minorHAnsi" w:hAnsiTheme="minorHAnsi" w:cs="Arial"/>
        </w:rPr>
        <w:t>,</w:t>
      </w:r>
      <w:r w:rsidRPr="00604E19">
        <w:rPr>
          <w:rFonts w:asciiTheme="minorHAnsi" w:hAnsiTheme="minorHAnsi" w:cs="Arial"/>
        </w:rPr>
        <w:t xml:space="preserve"> compliance, </w:t>
      </w:r>
      <w:r w:rsidR="0090355D">
        <w:rPr>
          <w:rFonts w:asciiTheme="minorHAnsi" w:hAnsiTheme="minorHAnsi" w:cs="Arial"/>
        </w:rPr>
        <w:t xml:space="preserve">and </w:t>
      </w:r>
      <w:r w:rsidRPr="00604E19">
        <w:rPr>
          <w:rFonts w:asciiTheme="minorHAnsi" w:hAnsiTheme="minorHAnsi" w:cs="Arial"/>
        </w:rPr>
        <w:t>member protections; and key payer functions</w:t>
      </w:r>
      <w:r w:rsidR="002B7632">
        <w:rPr>
          <w:rFonts w:asciiTheme="minorHAnsi" w:hAnsiTheme="minorHAnsi" w:cs="Arial"/>
        </w:rPr>
        <w:t xml:space="preserve"> (Figure 1)</w:t>
      </w:r>
      <w:r w:rsidRPr="00604E19">
        <w:rPr>
          <w:rFonts w:asciiTheme="minorHAnsi" w:hAnsiTheme="minorHAnsi" w:cs="Arial"/>
        </w:rPr>
        <w:t xml:space="preserve">. </w:t>
      </w:r>
    </w:p>
    <w:p w14:paraId="347E0669" w14:textId="77777777" w:rsidR="00D00F35" w:rsidRPr="002258FB" w:rsidRDefault="00D00F35" w:rsidP="002B143C">
      <w:pPr>
        <w:spacing w:after="0" w:line="240" w:lineRule="auto"/>
        <w:rPr>
          <w:rFonts w:ascii="Arial" w:hAnsi="Arial" w:cs="Arial"/>
          <w:sz w:val="20"/>
          <w:szCs w:val="20"/>
        </w:rPr>
      </w:pPr>
    </w:p>
    <w:p w14:paraId="61C8BAEA" w14:textId="77777777" w:rsidR="002B143C" w:rsidRPr="002258FB" w:rsidRDefault="002B143C" w:rsidP="00F30593">
      <w:pPr>
        <w:keepNext/>
        <w:spacing w:after="0" w:line="240" w:lineRule="auto"/>
        <w:jc w:val="center"/>
        <w:rPr>
          <w:rFonts w:ascii="Arial" w:hAnsi="Arial" w:cs="Arial"/>
          <w:sz w:val="20"/>
          <w:szCs w:val="20"/>
        </w:rPr>
      </w:pPr>
      <w:r w:rsidRPr="00604E19">
        <w:rPr>
          <w:rFonts w:asciiTheme="minorHAnsi" w:hAnsiTheme="minorHAnsi" w:cs="Arial"/>
          <w:noProof/>
          <w:sz w:val="20"/>
          <w:szCs w:val="20"/>
        </w:rPr>
        <w:lastRenderedPageBreak/>
        <w:drawing>
          <wp:inline distT="0" distB="0" distL="0" distR="0" wp14:anchorId="6C5B9641" wp14:editId="10A03E37">
            <wp:extent cx="4851695" cy="3323120"/>
            <wp:effectExtent l="19050" t="19050" r="2540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3215" cy="3324161"/>
                    </a:xfrm>
                    <a:prstGeom prst="rect">
                      <a:avLst/>
                    </a:prstGeom>
                    <a:noFill/>
                    <a:ln>
                      <a:solidFill>
                        <a:schemeClr val="tx1"/>
                      </a:solidFill>
                    </a:ln>
                  </pic:spPr>
                </pic:pic>
              </a:graphicData>
            </a:graphic>
          </wp:inline>
        </w:drawing>
      </w:r>
    </w:p>
    <w:p w14:paraId="6CB79BDD" w14:textId="77777777" w:rsidR="002B143C" w:rsidRPr="00604E19" w:rsidRDefault="005A4232" w:rsidP="005A4232">
      <w:pPr>
        <w:pStyle w:val="Caption"/>
        <w:spacing w:after="0"/>
        <w:ind w:left="720"/>
        <w:rPr>
          <w:rFonts w:cs="Arial"/>
          <w:sz w:val="20"/>
          <w:szCs w:val="20"/>
        </w:rPr>
      </w:pPr>
      <w:bookmarkStart w:id="0" w:name="_Ref509258715"/>
      <w:r>
        <w:rPr>
          <w:rFonts w:ascii="Arial" w:hAnsi="Arial" w:cs="Arial"/>
          <w:sz w:val="20"/>
          <w:szCs w:val="20"/>
        </w:rPr>
        <w:t xml:space="preserve">   </w:t>
      </w:r>
      <w:r w:rsidR="002B143C" w:rsidRPr="00604E19">
        <w:rPr>
          <w:rFonts w:cs="Arial"/>
          <w:sz w:val="20"/>
          <w:szCs w:val="20"/>
        </w:rPr>
        <w:t xml:space="preserve">Figure </w:t>
      </w:r>
      <w:r w:rsidR="002B143C" w:rsidRPr="00604E19">
        <w:rPr>
          <w:rFonts w:cs="Arial"/>
          <w:sz w:val="20"/>
          <w:szCs w:val="20"/>
        </w:rPr>
        <w:fldChar w:fldCharType="begin"/>
      </w:r>
      <w:r w:rsidR="002B143C" w:rsidRPr="00604E19">
        <w:rPr>
          <w:rFonts w:cs="Arial"/>
          <w:sz w:val="20"/>
          <w:szCs w:val="20"/>
        </w:rPr>
        <w:instrText xml:space="preserve"> SEQ Figure \* ARABIC </w:instrText>
      </w:r>
      <w:r w:rsidR="002B143C" w:rsidRPr="00604E19">
        <w:rPr>
          <w:rFonts w:cs="Arial"/>
          <w:sz w:val="20"/>
          <w:szCs w:val="20"/>
        </w:rPr>
        <w:fldChar w:fldCharType="separate"/>
      </w:r>
      <w:r w:rsidR="00DE5853">
        <w:rPr>
          <w:rFonts w:cs="Arial"/>
          <w:noProof/>
          <w:sz w:val="20"/>
          <w:szCs w:val="20"/>
        </w:rPr>
        <w:t>1</w:t>
      </w:r>
      <w:r w:rsidR="002B143C" w:rsidRPr="00604E19">
        <w:rPr>
          <w:rFonts w:cs="Arial"/>
          <w:noProof/>
          <w:sz w:val="20"/>
          <w:szCs w:val="20"/>
        </w:rPr>
        <w:fldChar w:fldCharType="end"/>
      </w:r>
      <w:bookmarkEnd w:id="0"/>
      <w:r w:rsidR="002B143C" w:rsidRPr="00604E19">
        <w:rPr>
          <w:rFonts w:cs="Arial"/>
          <w:sz w:val="20"/>
          <w:szCs w:val="20"/>
        </w:rPr>
        <w:t>: BCH ACO PY</w:t>
      </w:r>
      <w:r w:rsidR="00693EBB" w:rsidRPr="00604E19">
        <w:rPr>
          <w:rFonts w:cs="Arial"/>
          <w:sz w:val="20"/>
          <w:szCs w:val="20"/>
        </w:rPr>
        <w:t>1</w:t>
      </w:r>
      <w:r w:rsidR="002B143C" w:rsidRPr="00604E19">
        <w:rPr>
          <w:rFonts w:cs="Arial"/>
          <w:sz w:val="20"/>
          <w:szCs w:val="20"/>
        </w:rPr>
        <w:t xml:space="preserve"> Investment Strategy</w:t>
      </w:r>
    </w:p>
    <w:p w14:paraId="5AE36CF6" w14:textId="77777777" w:rsidR="002B143C" w:rsidRDefault="002B143C" w:rsidP="002B143C">
      <w:pPr>
        <w:spacing w:after="0" w:line="240" w:lineRule="auto"/>
        <w:rPr>
          <w:rFonts w:ascii="Arial" w:hAnsi="Arial" w:cs="Arial"/>
          <w:sz w:val="20"/>
          <w:szCs w:val="20"/>
        </w:rPr>
      </w:pPr>
    </w:p>
    <w:p w14:paraId="61D806FC" w14:textId="77777777" w:rsidR="00836A99" w:rsidRPr="00604E19" w:rsidRDefault="00836A99" w:rsidP="00604E19">
      <w:pPr>
        <w:spacing w:after="0" w:line="240" w:lineRule="auto"/>
        <w:jc w:val="both"/>
        <w:rPr>
          <w:rFonts w:asciiTheme="minorHAnsi" w:hAnsiTheme="minorHAnsi" w:cs="Arial"/>
          <w:sz w:val="20"/>
          <w:szCs w:val="20"/>
        </w:rPr>
      </w:pPr>
    </w:p>
    <w:p w14:paraId="3790E7C9" w14:textId="77777777" w:rsidR="00604E19" w:rsidRDefault="00693EBB" w:rsidP="00604E19">
      <w:pPr>
        <w:spacing w:after="0" w:line="240" w:lineRule="auto"/>
        <w:jc w:val="both"/>
        <w:rPr>
          <w:rFonts w:asciiTheme="minorHAnsi" w:hAnsiTheme="minorHAnsi" w:cs="Arial"/>
        </w:rPr>
      </w:pPr>
      <w:r w:rsidRPr="00604E19">
        <w:rPr>
          <w:rFonts w:asciiTheme="minorHAnsi" w:hAnsiTheme="minorHAnsi" w:cs="Arial"/>
        </w:rPr>
        <w:t xml:space="preserve">Each of these investment areas is linked to </w:t>
      </w:r>
      <w:r w:rsidR="00F908A6">
        <w:rPr>
          <w:rFonts w:asciiTheme="minorHAnsi" w:hAnsiTheme="minorHAnsi" w:cs="Arial"/>
        </w:rPr>
        <w:t xml:space="preserve">one or more </w:t>
      </w:r>
      <w:r w:rsidRPr="00604E19">
        <w:rPr>
          <w:rFonts w:asciiTheme="minorHAnsi" w:hAnsiTheme="minorHAnsi" w:cs="Arial"/>
        </w:rPr>
        <w:t xml:space="preserve">specific identified goal. Investments in complex care, for example, are linked to Goal #1: </w:t>
      </w:r>
      <w:r w:rsidRPr="00604E19">
        <w:rPr>
          <w:rFonts w:asciiTheme="minorHAnsi" w:hAnsiTheme="minorHAnsi" w:cs="Arial"/>
          <w:b/>
        </w:rPr>
        <w:t>Cost &amp; Utilization</w:t>
      </w:r>
      <w:r w:rsidRPr="00604E19">
        <w:rPr>
          <w:rFonts w:asciiTheme="minorHAnsi" w:hAnsiTheme="minorHAnsi" w:cs="Arial"/>
        </w:rPr>
        <w:t xml:space="preserve">: Maintain TCOC at the BCH ACO MassHealth benchmark (i.e., capitation rate) in Years 1 – 5. </w:t>
      </w:r>
      <w:r w:rsidR="00F4418E">
        <w:rPr>
          <w:rFonts w:asciiTheme="minorHAnsi" w:hAnsiTheme="minorHAnsi" w:cs="Arial"/>
        </w:rPr>
        <w:t xml:space="preserve"> </w:t>
      </w:r>
      <w:r w:rsidR="002B7632">
        <w:rPr>
          <w:rFonts w:asciiTheme="minorHAnsi" w:hAnsiTheme="minorHAnsi" w:cs="Arial"/>
        </w:rPr>
        <w:t xml:space="preserve">In this section we describe </w:t>
      </w:r>
      <w:r w:rsidR="00F4418E">
        <w:rPr>
          <w:rFonts w:asciiTheme="minorHAnsi" w:hAnsiTheme="minorHAnsi" w:cs="Arial"/>
        </w:rPr>
        <w:t xml:space="preserve">four examples of investments </w:t>
      </w:r>
      <w:r w:rsidR="0013699A">
        <w:rPr>
          <w:rFonts w:asciiTheme="minorHAnsi" w:hAnsiTheme="minorHAnsi" w:cs="Arial"/>
        </w:rPr>
        <w:t xml:space="preserve">that contributed to </w:t>
      </w:r>
      <w:r w:rsidR="00F4418E">
        <w:rPr>
          <w:rFonts w:asciiTheme="minorHAnsi" w:hAnsiTheme="minorHAnsi" w:cs="Arial"/>
        </w:rPr>
        <w:t xml:space="preserve">progress in advancing </w:t>
      </w:r>
      <w:r w:rsidR="0013699A">
        <w:rPr>
          <w:rFonts w:asciiTheme="minorHAnsi" w:hAnsiTheme="minorHAnsi" w:cs="Arial"/>
        </w:rPr>
        <w:t xml:space="preserve">the ACO </w:t>
      </w:r>
      <w:r w:rsidR="00F4418E">
        <w:rPr>
          <w:rFonts w:asciiTheme="minorHAnsi" w:hAnsiTheme="minorHAnsi" w:cs="Arial"/>
        </w:rPr>
        <w:t>goals.</w:t>
      </w:r>
    </w:p>
    <w:p w14:paraId="4D18D59F" w14:textId="77777777" w:rsidR="0090355D" w:rsidRPr="002258FB" w:rsidRDefault="0090355D" w:rsidP="00604E19">
      <w:pPr>
        <w:spacing w:after="0" w:line="240" w:lineRule="auto"/>
        <w:jc w:val="both"/>
        <w:rPr>
          <w:rFonts w:ascii="Arial" w:hAnsi="Arial" w:cs="Arial"/>
          <w:sz w:val="20"/>
          <w:szCs w:val="20"/>
        </w:rPr>
      </w:pPr>
    </w:p>
    <w:p w14:paraId="4CC8192A" w14:textId="77777777" w:rsidR="00DE274A" w:rsidRPr="00DE274A" w:rsidRDefault="00DE274A" w:rsidP="00DE274A">
      <w:pPr>
        <w:numPr>
          <w:ilvl w:val="0"/>
          <w:numId w:val="2"/>
        </w:numPr>
        <w:spacing w:after="160" w:line="252" w:lineRule="auto"/>
        <w:ind w:left="0"/>
        <w:contextualSpacing/>
        <w:rPr>
          <w:rFonts w:asciiTheme="minorHAnsi" w:hAnsiTheme="minorHAnsi" w:cs="Arial"/>
          <w:b/>
        </w:rPr>
      </w:pPr>
      <w:r w:rsidRPr="00DE274A">
        <w:rPr>
          <w:rFonts w:asciiTheme="minorHAnsi" w:hAnsiTheme="minorHAnsi" w:cs="Arial"/>
          <w:b/>
        </w:rPr>
        <w:t xml:space="preserve">Complex Care   </w:t>
      </w:r>
    </w:p>
    <w:p w14:paraId="337A4962" w14:textId="77777777" w:rsidR="00DE274A" w:rsidRPr="00DE274A" w:rsidRDefault="0013699A" w:rsidP="002512A9">
      <w:pPr>
        <w:contextualSpacing/>
        <w:jc w:val="both"/>
        <w:rPr>
          <w:rFonts w:asciiTheme="minorHAnsi" w:hAnsiTheme="minorHAnsi" w:cs="Arial"/>
        </w:rPr>
      </w:pPr>
      <w:r>
        <w:rPr>
          <w:rFonts w:asciiTheme="minorHAnsi" w:hAnsiTheme="minorHAnsi" w:cs="Arial"/>
        </w:rPr>
        <w:t>Investments related to m</w:t>
      </w:r>
      <w:r w:rsidR="00A76E03" w:rsidRPr="00DE274A">
        <w:rPr>
          <w:rFonts w:asciiTheme="minorHAnsi" w:hAnsiTheme="minorHAnsi" w:cs="Arial"/>
        </w:rPr>
        <w:t xml:space="preserve">anagement of the BCH ACO complex patient population </w:t>
      </w:r>
      <w:r w:rsidR="002B7632">
        <w:rPr>
          <w:rFonts w:asciiTheme="minorHAnsi" w:hAnsiTheme="minorHAnsi" w:cs="Arial"/>
        </w:rPr>
        <w:t xml:space="preserve">support </w:t>
      </w:r>
      <w:r w:rsidR="00A76E03" w:rsidRPr="00DE274A">
        <w:rPr>
          <w:rFonts w:asciiTheme="minorHAnsi" w:hAnsiTheme="minorHAnsi" w:cs="Arial"/>
        </w:rPr>
        <w:t xml:space="preserve">BCH ACO Goal #1: Cost and Utilization Management. </w:t>
      </w:r>
      <w:r w:rsidR="00A76E03" w:rsidRPr="00A76E03">
        <w:rPr>
          <w:rFonts w:asciiTheme="minorHAnsi" w:hAnsiTheme="minorHAnsi" w:cs="Arial"/>
        </w:rPr>
        <w:t xml:space="preserve">In PY1, one area of focus </w:t>
      </w:r>
      <w:r>
        <w:rPr>
          <w:rFonts w:asciiTheme="minorHAnsi" w:hAnsiTheme="minorHAnsi" w:cs="Arial"/>
        </w:rPr>
        <w:t xml:space="preserve">for this investment </w:t>
      </w:r>
      <w:r w:rsidR="00A76E03" w:rsidRPr="00A76E03">
        <w:rPr>
          <w:rFonts w:asciiTheme="minorHAnsi" w:hAnsiTheme="minorHAnsi" w:cs="Arial"/>
        </w:rPr>
        <w:t xml:space="preserve">was the reduction of the average monthly rate of BCH inpatient days per 100 BCH ACO complex patients in </w:t>
      </w:r>
      <w:r w:rsidR="00007502">
        <w:rPr>
          <w:rFonts w:asciiTheme="minorHAnsi" w:hAnsiTheme="minorHAnsi" w:cs="Arial"/>
        </w:rPr>
        <w:t>the</w:t>
      </w:r>
      <w:r w:rsidR="00007502" w:rsidRPr="00A76E03">
        <w:rPr>
          <w:rFonts w:asciiTheme="minorHAnsi" w:hAnsiTheme="minorHAnsi" w:cs="Arial"/>
        </w:rPr>
        <w:t xml:space="preserve"> </w:t>
      </w:r>
      <w:r w:rsidR="00A76E03" w:rsidRPr="00A76E03">
        <w:rPr>
          <w:rFonts w:asciiTheme="minorHAnsi" w:hAnsiTheme="minorHAnsi" w:cs="Arial"/>
        </w:rPr>
        <w:t xml:space="preserve">BCH Primary Care </w:t>
      </w:r>
      <w:r w:rsidR="00007502">
        <w:rPr>
          <w:rFonts w:asciiTheme="minorHAnsi" w:hAnsiTheme="minorHAnsi" w:cs="Arial"/>
        </w:rPr>
        <w:t xml:space="preserve">Longwood </w:t>
      </w:r>
      <w:r w:rsidR="00A76E03" w:rsidRPr="00A76E03">
        <w:rPr>
          <w:rFonts w:asciiTheme="minorHAnsi" w:hAnsiTheme="minorHAnsi" w:cs="Arial"/>
        </w:rPr>
        <w:t xml:space="preserve">practice by 2% by September 2018, which was successfully achieved. </w:t>
      </w:r>
      <w:r w:rsidR="00007502">
        <w:rPr>
          <w:rFonts w:asciiTheme="minorHAnsi" w:hAnsiTheme="minorHAnsi" w:cs="Arial"/>
        </w:rPr>
        <w:t xml:space="preserve">The </w:t>
      </w:r>
      <w:r w:rsidR="00A76E03" w:rsidRPr="00A76E03">
        <w:rPr>
          <w:rFonts w:asciiTheme="minorHAnsi" w:hAnsiTheme="minorHAnsi" w:cs="Arial"/>
        </w:rPr>
        <w:t xml:space="preserve">practice </w:t>
      </w:r>
      <w:r w:rsidR="00007502">
        <w:rPr>
          <w:rFonts w:asciiTheme="minorHAnsi" w:hAnsiTheme="minorHAnsi" w:cs="Arial"/>
        </w:rPr>
        <w:t xml:space="preserve">has over 800 complex ACO patients and </w:t>
      </w:r>
      <w:r w:rsidR="00A76E03" w:rsidRPr="00A76E03">
        <w:rPr>
          <w:rFonts w:asciiTheme="minorHAnsi" w:hAnsiTheme="minorHAnsi" w:cs="Arial"/>
        </w:rPr>
        <w:t xml:space="preserve">continues to monitor this measure through its complex care initiative. </w:t>
      </w:r>
    </w:p>
    <w:p w14:paraId="755E085E" w14:textId="77777777" w:rsidR="00DE274A" w:rsidRPr="00DE274A" w:rsidRDefault="00DE274A" w:rsidP="00DE274A">
      <w:pPr>
        <w:contextualSpacing/>
        <w:rPr>
          <w:rFonts w:asciiTheme="minorHAnsi" w:hAnsiTheme="minorHAnsi" w:cs="Arial"/>
        </w:rPr>
      </w:pPr>
    </w:p>
    <w:p w14:paraId="33740133" w14:textId="77777777" w:rsidR="00DE274A" w:rsidRPr="00DE274A" w:rsidRDefault="00DE274A" w:rsidP="00DE274A">
      <w:pPr>
        <w:ind w:left="-288" w:right="-720"/>
        <w:contextualSpacing/>
        <w:rPr>
          <w:rFonts w:asciiTheme="minorHAnsi" w:hAnsiTheme="minorHAnsi" w:cs="Arial"/>
        </w:rPr>
      </w:pPr>
      <w:r w:rsidRPr="00DE274A">
        <w:rPr>
          <w:rFonts w:asciiTheme="minorHAnsi" w:hAnsiTheme="minorHAnsi" w:cs="Arial"/>
          <w:b/>
        </w:rPr>
        <w:t xml:space="preserve">2.  Social Determinants of Health                                                                                                                                    </w:t>
      </w:r>
    </w:p>
    <w:p w14:paraId="045ECF88" w14:textId="77777777" w:rsidR="00DE274A" w:rsidRPr="00DE274A" w:rsidRDefault="0013699A" w:rsidP="00DE274A">
      <w:pPr>
        <w:contextualSpacing/>
        <w:jc w:val="both"/>
        <w:rPr>
          <w:rFonts w:asciiTheme="minorHAnsi" w:hAnsiTheme="minorHAnsi" w:cs="Arial"/>
        </w:rPr>
      </w:pPr>
      <w:r>
        <w:rPr>
          <w:rFonts w:asciiTheme="minorHAnsi" w:hAnsiTheme="minorHAnsi" w:cs="Arial"/>
        </w:rPr>
        <w:t>Investments related to u</w:t>
      </w:r>
      <w:r w:rsidRPr="00DE274A">
        <w:rPr>
          <w:rFonts w:asciiTheme="minorHAnsi" w:hAnsiTheme="minorHAnsi" w:cs="Arial"/>
        </w:rPr>
        <w:t xml:space="preserve">nderstanding the impact of social determinants of health (SDOH) in the BCH ACO population </w:t>
      </w:r>
      <w:r>
        <w:rPr>
          <w:rFonts w:asciiTheme="minorHAnsi" w:hAnsiTheme="minorHAnsi" w:cs="Arial"/>
        </w:rPr>
        <w:t xml:space="preserve">support </w:t>
      </w:r>
      <w:r w:rsidRPr="00DE274A">
        <w:rPr>
          <w:rFonts w:asciiTheme="minorHAnsi" w:hAnsiTheme="minorHAnsi" w:cs="Arial"/>
        </w:rPr>
        <w:t>BCH ACO Goal #6: Other.</w:t>
      </w:r>
      <w:r>
        <w:rPr>
          <w:rFonts w:asciiTheme="minorHAnsi" w:hAnsiTheme="minorHAnsi" w:cs="Arial"/>
        </w:rPr>
        <w:t xml:space="preserve"> </w:t>
      </w:r>
      <w:r w:rsidR="00DE274A" w:rsidRPr="00DE274A">
        <w:rPr>
          <w:rFonts w:asciiTheme="minorHAnsi" w:eastAsia="Times New Roman" w:hAnsiTheme="minorHAnsi" w:cs="Arial"/>
        </w:rPr>
        <w:t xml:space="preserve">In PY1, progress </w:t>
      </w:r>
      <w:r w:rsidR="00A76E03">
        <w:rPr>
          <w:rFonts w:asciiTheme="minorHAnsi" w:eastAsia="Times New Roman" w:hAnsiTheme="minorHAnsi" w:cs="Arial"/>
        </w:rPr>
        <w:t xml:space="preserve">was made </w:t>
      </w:r>
      <w:r w:rsidR="00DE274A" w:rsidRPr="00DE274A">
        <w:rPr>
          <w:rFonts w:asciiTheme="minorHAnsi" w:eastAsia="Times New Roman" w:hAnsiTheme="minorHAnsi" w:cs="Arial"/>
        </w:rPr>
        <w:t xml:space="preserve">toward </w:t>
      </w:r>
      <w:r w:rsidR="00DE274A" w:rsidRPr="00DE274A">
        <w:rPr>
          <w:rFonts w:asciiTheme="minorHAnsi" w:hAnsiTheme="minorHAnsi" w:cs="Arial"/>
        </w:rPr>
        <w:t xml:space="preserve">screening for SDOH </w:t>
      </w:r>
      <w:r w:rsidR="007B5C6E">
        <w:rPr>
          <w:rFonts w:asciiTheme="minorHAnsi" w:hAnsiTheme="minorHAnsi" w:cs="Arial"/>
        </w:rPr>
        <w:t xml:space="preserve">needs among </w:t>
      </w:r>
      <w:r w:rsidR="00DE274A" w:rsidRPr="00DE274A">
        <w:rPr>
          <w:rFonts w:asciiTheme="minorHAnsi" w:hAnsiTheme="minorHAnsi" w:cs="Arial"/>
        </w:rPr>
        <w:t xml:space="preserve">the BCH ACO population. </w:t>
      </w:r>
      <w:r w:rsidR="007B5C6E">
        <w:rPr>
          <w:rFonts w:asciiTheme="minorHAnsi" w:hAnsiTheme="minorHAnsi" w:cs="Arial"/>
        </w:rPr>
        <w:t>Specifically</w:t>
      </w:r>
      <w:r w:rsidR="00DE274A" w:rsidRPr="00DE274A">
        <w:rPr>
          <w:rFonts w:asciiTheme="minorHAnsi" w:hAnsiTheme="minorHAnsi" w:cs="Arial"/>
        </w:rPr>
        <w:t xml:space="preserve">, practices </w:t>
      </w:r>
      <w:r w:rsidR="00A76E03">
        <w:rPr>
          <w:rFonts w:asciiTheme="minorHAnsi" w:hAnsiTheme="minorHAnsi" w:cs="Arial"/>
        </w:rPr>
        <w:t xml:space="preserve">participating in the BCH ACO </w:t>
      </w:r>
      <w:r w:rsidR="00DE274A" w:rsidRPr="00DE274A">
        <w:rPr>
          <w:rFonts w:asciiTheme="minorHAnsi" w:hAnsiTheme="minorHAnsi" w:cs="Arial"/>
        </w:rPr>
        <w:t xml:space="preserve">developed and began implementation of MassHealth-approved health related social needs screening tools. </w:t>
      </w:r>
      <w:r>
        <w:rPr>
          <w:rFonts w:asciiTheme="minorHAnsi" w:hAnsiTheme="minorHAnsi" w:cs="Arial"/>
        </w:rPr>
        <w:t xml:space="preserve">Between June 2018 and December 2018, a total of 15,828 health needs assessments were completed by </w:t>
      </w:r>
      <w:r w:rsidR="007B5C6E">
        <w:rPr>
          <w:rFonts w:asciiTheme="minorHAnsi" w:hAnsiTheme="minorHAnsi" w:cs="Arial"/>
        </w:rPr>
        <w:t xml:space="preserve">BCH ACO </w:t>
      </w:r>
      <w:r>
        <w:rPr>
          <w:rFonts w:asciiTheme="minorHAnsi" w:hAnsiTheme="minorHAnsi" w:cs="Arial"/>
        </w:rPr>
        <w:t xml:space="preserve">patients and families in PPOC practices and results were documented in the EHR. </w:t>
      </w:r>
      <w:r w:rsidR="007B5C6E">
        <w:rPr>
          <w:rFonts w:asciiTheme="minorHAnsi" w:hAnsiTheme="minorHAnsi" w:cs="Arial"/>
        </w:rPr>
        <w:t xml:space="preserve">When </w:t>
      </w:r>
      <w:r w:rsidR="00DE274A" w:rsidRPr="00DE274A">
        <w:rPr>
          <w:rFonts w:asciiTheme="minorHAnsi" w:hAnsiTheme="minorHAnsi" w:cs="Arial"/>
        </w:rPr>
        <w:t xml:space="preserve">electronic screening tools are fully implemented in PY2, the ACO will be better positioned to </w:t>
      </w:r>
      <w:r>
        <w:rPr>
          <w:rFonts w:asciiTheme="minorHAnsi" w:hAnsiTheme="minorHAnsi" w:cs="Arial"/>
        </w:rPr>
        <w:t>identify</w:t>
      </w:r>
      <w:r w:rsidR="00DE274A" w:rsidRPr="00DE274A">
        <w:rPr>
          <w:rFonts w:asciiTheme="minorHAnsi" w:hAnsiTheme="minorHAnsi" w:cs="Arial"/>
        </w:rPr>
        <w:t xml:space="preserve">, analyze, and address the social needs of </w:t>
      </w:r>
      <w:r w:rsidR="007B5C6E">
        <w:rPr>
          <w:rFonts w:asciiTheme="minorHAnsi" w:hAnsiTheme="minorHAnsi" w:cs="Arial"/>
        </w:rPr>
        <w:t>its</w:t>
      </w:r>
      <w:r w:rsidR="007B5C6E" w:rsidRPr="00DE274A">
        <w:rPr>
          <w:rFonts w:asciiTheme="minorHAnsi" w:hAnsiTheme="minorHAnsi" w:cs="Arial"/>
        </w:rPr>
        <w:t xml:space="preserve"> </w:t>
      </w:r>
      <w:r w:rsidR="00DE274A" w:rsidRPr="00DE274A">
        <w:rPr>
          <w:rFonts w:asciiTheme="minorHAnsi" w:hAnsiTheme="minorHAnsi" w:cs="Arial"/>
        </w:rPr>
        <w:t xml:space="preserve">patients and families. These activities </w:t>
      </w:r>
      <w:r>
        <w:rPr>
          <w:rFonts w:asciiTheme="minorHAnsi" w:hAnsiTheme="minorHAnsi" w:cs="Arial"/>
        </w:rPr>
        <w:t xml:space="preserve">are critical for </w:t>
      </w:r>
      <w:r w:rsidR="007B5C6E">
        <w:rPr>
          <w:rFonts w:asciiTheme="minorHAnsi" w:hAnsiTheme="minorHAnsi" w:cs="Arial"/>
        </w:rPr>
        <w:t xml:space="preserve">the </w:t>
      </w:r>
      <w:r>
        <w:rPr>
          <w:rFonts w:asciiTheme="minorHAnsi" w:hAnsiTheme="minorHAnsi" w:cs="Arial"/>
        </w:rPr>
        <w:t xml:space="preserve">design and implementation of the </w:t>
      </w:r>
      <w:r w:rsidR="00DE274A" w:rsidRPr="00DE274A">
        <w:rPr>
          <w:rFonts w:asciiTheme="minorHAnsi" w:hAnsiTheme="minorHAnsi" w:cs="Arial"/>
        </w:rPr>
        <w:t xml:space="preserve">Flexible Services </w:t>
      </w:r>
      <w:r>
        <w:rPr>
          <w:rFonts w:asciiTheme="minorHAnsi" w:hAnsiTheme="minorHAnsi" w:cs="Arial"/>
        </w:rPr>
        <w:t>Program</w:t>
      </w:r>
      <w:r w:rsidR="00DE274A" w:rsidRPr="00DE274A">
        <w:rPr>
          <w:rFonts w:asciiTheme="minorHAnsi" w:hAnsiTheme="minorHAnsi" w:cs="Arial"/>
        </w:rPr>
        <w:t xml:space="preserve">. </w:t>
      </w:r>
    </w:p>
    <w:p w14:paraId="444C4B41" w14:textId="77777777" w:rsidR="00DE274A" w:rsidRPr="00DE274A" w:rsidRDefault="00DE274A" w:rsidP="00DE274A">
      <w:pPr>
        <w:tabs>
          <w:tab w:val="left" w:pos="1427"/>
        </w:tabs>
        <w:contextualSpacing/>
        <w:rPr>
          <w:rFonts w:asciiTheme="minorHAnsi" w:hAnsiTheme="minorHAnsi" w:cs="Arial"/>
          <w:color w:val="FF0000"/>
        </w:rPr>
      </w:pPr>
    </w:p>
    <w:p w14:paraId="3DEFD4F4" w14:textId="77777777" w:rsidR="00DE274A" w:rsidRPr="00DE274A" w:rsidRDefault="00DE274A" w:rsidP="00DE274A">
      <w:pPr>
        <w:numPr>
          <w:ilvl w:val="0"/>
          <w:numId w:val="3"/>
        </w:numPr>
        <w:spacing w:after="160" w:line="252" w:lineRule="auto"/>
        <w:ind w:left="0"/>
        <w:contextualSpacing/>
        <w:rPr>
          <w:rFonts w:asciiTheme="minorHAnsi" w:hAnsiTheme="minorHAnsi" w:cs="Arial"/>
        </w:rPr>
      </w:pPr>
      <w:r w:rsidRPr="00DE274A">
        <w:rPr>
          <w:rFonts w:asciiTheme="minorHAnsi" w:hAnsiTheme="minorHAnsi" w:cs="Arial"/>
          <w:b/>
        </w:rPr>
        <w:lastRenderedPageBreak/>
        <w:t xml:space="preserve">Behavioral Health                                                                                                                                                </w:t>
      </w:r>
    </w:p>
    <w:p w14:paraId="34C97466" w14:textId="77777777" w:rsidR="00DE274A" w:rsidRPr="00DE274A" w:rsidRDefault="007B5C6E" w:rsidP="00DE274A">
      <w:pPr>
        <w:spacing w:after="160" w:line="252" w:lineRule="auto"/>
        <w:contextualSpacing/>
        <w:jc w:val="both"/>
        <w:rPr>
          <w:rFonts w:asciiTheme="minorHAnsi" w:hAnsiTheme="minorHAnsi" w:cs="Arial"/>
        </w:rPr>
      </w:pPr>
      <w:r w:rsidRPr="00DE274A">
        <w:rPr>
          <w:rFonts w:asciiTheme="minorHAnsi" w:hAnsiTheme="minorHAnsi" w:cs="Arial"/>
        </w:rPr>
        <w:t xml:space="preserve">Expansion of behavioral health services for the BCH ACO population </w:t>
      </w:r>
      <w:r>
        <w:rPr>
          <w:rFonts w:asciiTheme="minorHAnsi" w:hAnsiTheme="minorHAnsi" w:cs="Arial"/>
        </w:rPr>
        <w:t xml:space="preserve">supports </w:t>
      </w:r>
      <w:r w:rsidRPr="00DE274A">
        <w:rPr>
          <w:rFonts w:asciiTheme="minorHAnsi" w:hAnsiTheme="minorHAnsi" w:cs="Arial"/>
        </w:rPr>
        <w:t>BCH ACO Goal #2: Access.</w:t>
      </w:r>
      <w:r>
        <w:rPr>
          <w:rFonts w:asciiTheme="minorHAnsi" w:hAnsiTheme="minorHAnsi" w:cs="Arial"/>
        </w:rPr>
        <w:t xml:space="preserve"> </w:t>
      </w:r>
      <w:r w:rsidR="00DE274A" w:rsidRPr="00DE274A">
        <w:rPr>
          <w:rFonts w:asciiTheme="minorHAnsi" w:hAnsiTheme="minorHAnsi" w:cs="Arial"/>
        </w:rPr>
        <w:t xml:space="preserve">In PY1 </w:t>
      </w:r>
      <w:r w:rsidR="00A76E03">
        <w:rPr>
          <w:rFonts w:asciiTheme="minorHAnsi" w:hAnsiTheme="minorHAnsi" w:cs="Arial"/>
        </w:rPr>
        <w:t xml:space="preserve">progress was made toward expansion of access to behavioral health services. </w:t>
      </w:r>
      <w:r w:rsidR="00DE274A" w:rsidRPr="00DE274A">
        <w:rPr>
          <w:rFonts w:asciiTheme="minorHAnsi" w:hAnsiTheme="minorHAnsi" w:cs="Arial"/>
        </w:rPr>
        <w:t xml:space="preserve">Over the course of the year the </w:t>
      </w:r>
      <w:r w:rsidRPr="00DE274A">
        <w:rPr>
          <w:rFonts w:asciiTheme="minorHAnsi" w:hAnsiTheme="minorHAnsi" w:cs="Arial"/>
        </w:rPr>
        <w:t>PPOC</w:t>
      </w:r>
      <w:r>
        <w:rPr>
          <w:rFonts w:asciiTheme="minorHAnsi" w:hAnsiTheme="minorHAnsi" w:cs="Arial"/>
        </w:rPr>
        <w:t>’s</w:t>
      </w:r>
      <w:r w:rsidRPr="00DE274A">
        <w:rPr>
          <w:rFonts w:asciiTheme="minorHAnsi" w:hAnsiTheme="minorHAnsi" w:cs="Arial"/>
        </w:rPr>
        <w:t xml:space="preserve"> </w:t>
      </w:r>
      <w:r w:rsidR="00DE274A" w:rsidRPr="00DE274A">
        <w:rPr>
          <w:rFonts w:asciiTheme="minorHAnsi" w:hAnsiTheme="minorHAnsi" w:cs="Arial"/>
        </w:rPr>
        <w:t xml:space="preserve">Behavioral Health Integration program </w:t>
      </w:r>
      <w:r>
        <w:rPr>
          <w:rFonts w:asciiTheme="minorHAnsi" w:hAnsiTheme="minorHAnsi" w:cs="Arial"/>
        </w:rPr>
        <w:t>expanded</w:t>
      </w:r>
      <w:r w:rsidR="006D6682">
        <w:rPr>
          <w:rFonts w:asciiTheme="minorHAnsi" w:hAnsiTheme="minorHAnsi" w:cs="Arial"/>
        </w:rPr>
        <w:t xml:space="preserve"> to additional practices and primary care providers</w:t>
      </w:r>
      <w:r w:rsidR="00DE274A" w:rsidRPr="00DE274A">
        <w:rPr>
          <w:rFonts w:asciiTheme="minorHAnsi" w:hAnsiTheme="minorHAnsi" w:cs="Arial"/>
        </w:rPr>
        <w:t>.</w:t>
      </w:r>
      <w:r w:rsidR="00007502">
        <w:rPr>
          <w:rFonts w:asciiTheme="minorHAnsi" w:hAnsiTheme="minorHAnsi" w:cs="Arial"/>
        </w:rPr>
        <w:t xml:space="preserve"> Over 50% of practices have integrated BH providers.</w:t>
      </w:r>
      <w:r w:rsidR="00DE274A" w:rsidRPr="00DE274A">
        <w:rPr>
          <w:rFonts w:asciiTheme="minorHAnsi" w:hAnsiTheme="minorHAnsi" w:cs="Arial"/>
        </w:rPr>
        <w:t xml:space="preserve"> Significant progress </w:t>
      </w:r>
      <w:r>
        <w:rPr>
          <w:rFonts w:asciiTheme="minorHAnsi" w:hAnsiTheme="minorHAnsi" w:cs="Arial"/>
        </w:rPr>
        <w:t xml:space="preserve">was </w:t>
      </w:r>
      <w:r w:rsidR="00DE274A" w:rsidRPr="00DE274A">
        <w:rPr>
          <w:rFonts w:asciiTheme="minorHAnsi" w:hAnsiTheme="minorHAnsi" w:cs="Arial"/>
        </w:rPr>
        <w:t xml:space="preserve">also </w:t>
      </w:r>
      <w:r>
        <w:rPr>
          <w:rFonts w:asciiTheme="minorHAnsi" w:hAnsiTheme="minorHAnsi" w:cs="Arial"/>
        </w:rPr>
        <w:t xml:space="preserve">achieved </w:t>
      </w:r>
      <w:r w:rsidR="00DE274A" w:rsidRPr="00DE274A">
        <w:rPr>
          <w:rFonts w:asciiTheme="minorHAnsi" w:hAnsiTheme="minorHAnsi" w:cs="Arial"/>
        </w:rPr>
        <w:t xml:space="preserve">in </w:t>
      </w:r>
      <w:r>
        <w:rPr>
          <w:rFonts w:asciiTheme="minorHAnsi" w:hAnsiTheme="minorHAnsi" w:cs="Arial"/>
        </w:rPr>
        <w:t xml:space="preserve">monitoring </w:t>
      </w:r>
      <w:r w:rsidR="00DE274A" w:rsidRPr="00DE274A">
        <w:rPr>
          <w:rFonts w:asciiTheme="minorHAnsi" w:hAnsiTheme="minorHAnsi" w:cs="Arial"/>
        </w:rPr>
        <w:t xml:space="preserve">and evaluating initiatives aimed at providing coordinated access to behavioral health care for BCH ACO patients with behavioral health needs. </w:t>
      </w:r>
    </w:p>
    <w:p w14:paraId="2F834C24" w14:textId="77777777" w:rsidR="00DE274A" w:rsidRPr="00DE274A" w:rsidRDefault="00DE274A" w:rsidP="00DE274A">
      <w:pPr>
        <w:spacing w:after="160" w:line="252" w:lineRule="auto"/>
        <w:contextualSpacing/>
        <w:rPr>
          <w:rFonts w:asciiTheme="minorHAnsi" w:hAnsiTheme="minorHAnsi" w:cs="Arial"/>
        </w:rPr>
      </w:pPr>
    </w:p>
    <w:p w14:paraId="5B0CC7CF" w14:textId="77777777" w:rsidR="00DE274A" w:rsidRPr="00DE274A" w:rsidRDefault="00DE274A" w:rsidP="00DE274A">
      <w:pPr>
        <w:numPr>
          <w:ilvl w:val="0"/>
          <w:numId w:val="3"/>
        </w:numPr>
        <w:spacing w:after="160" w:line="252" w:lineRule="auto"/>
        <w:ind w:left="0"/>
        <w:contextualSpacing/>
        <w:rPr>
          <w:rFonts w:asciiTheme="minorHAnsi" w:hAnsiTheme="minorHAnsi" w:cs="Arial"/>
        </w:rPr>
      </w:pPr>
      <w:r w:rsidRPr="00DE274A">
        <w:rPr>
          <w:rFonts w:asciiTheme="minorHAnsi" w:hAnsiTheme="minorHAnsi" w:cs="Arial"/>
          <w:b/>
        </w:rPr>
        <w:t xml:space="preserve">Integration </w:t>
      </w:r>
      <w:r w:rsidRPr="00DE274A">
        <w:rPr>
          <w:rFonts w:asciiTheme="minorHAnsi" w:hAnsiTheme="minorHAnsi" w:cs="Arial"/>
        </w:rPr>
        <w:t xml:space="preserve">                                                                                                                        </w:t>
      </w:r>
    </w:p>
    <w:p w14:paraId="145A3C06" w14:textId="77777777" w:rsidR="00DE274A" w:rsidRDefault="007B5C6E" w:rsidP="00DE274A">
      <w:pPr>
        <w:spacing w:after="160" w:line="252" w:lineRule="auto"/>
        <w:contextualSpacing/>
        <w:jc w:val="both"/>
        <w:rPr>
          <w:rFonts w:asciiTheme="minorHAnsi" w:hAnsiTheme="minorHAnsi" w:cs="Arial"/>
        </w:rPr>
      </w:pPr>
      <w:r>
        <w:rPr>
          <w:rFonts w:asciiTheme="minorHAnsi" w:hAnsiTheme="minorHAnsi" w:cs="Arial"/>
        </w:rPr>
        <w:t>E</w:t>
      </w:r>
      <w:r w:rsidRPr="00DE274A">
        <w:rPr>
          <w:rFonts w:asciiTheme="minorHAnsi" w:hAnsiTheme="minorHAnsi" w:cs="Arial"/>
        </w:rPr>
        <w:t xml:space="preserve">fforts to integrate care for the BCH ACO population </w:t>
      </w:r>
      <w:r>
        <w:rPr>
          <w:rFonts w:asciiTheme="minorHAnsi" w:hAnsiTheme="minorHAnsi" w:cs="Arial"/>
        </w:rPr>
        <w:t xml:space="preserve">support </w:t>
      </w:r>
      <w:r w:rsidRPr="00DE274A">
        <w:rPr>
          <w:rFonts w:asciiTheme="minorHAnsi" w:hAnsiTheme="minorHAnsi" w:cs="Arial"/>
        </w:rPr>
        <w:t xml:space="preserve">BCH ACO Goal #5: Integration of Physical Health, BH, LTSS, and Health-Related Social Services. </w:t>
      </w:r>
      <w:r w:rsidR="00DE274A" w:rsidRPr="00DE274A">
        <w:rPr>
          <w:rFonts w:asciiTheme="minorHAnsi" w:hAnsiTheme="minorHAnsi" w:cs="Arial"/>
        </w:rPr>
        <w:t xml:space="preserve">In PY1, </w:t>
      </w:r>
      <w:r w:rsidR="00A76E03">
        <w:rPr>
          <w:rFonts w:asciiTheme="minorHAnsi" w:hAnsiTheme="minorHAnsi" w:cs="Arial"/>
        </w:rPr>
        <w:t xml:space="preserve">progress was made toward </w:t>
      </w:r>
      <w:r w:rsidR="00DE274A" w:rsidRPr="00DE274A">
        <w:rPr>
          <w:rFonts w:asciiTheme="minorHAnsi" w:hAnsiTheme="minorHAnsi" w:cs="Arial"/>
        </w:rPr>
        <w:t xml:space="preserve">collaboration among internal and external stakeholders </w:t>
      </w:r>
      <w:r>
        <w:rPr>
          <w:rFonts w:asciiTheme="minorHAnsi" w:hAnsiTheme="minorHAnsi" w:cs="Arial"/>
        </w:rPr>
        <w:t xml:space="preserve">to improve </w:t>
      </w:r>
      <w:r w:rsidR="00DE274A" w:rsidRPr="00DE274A">
        <w:rPr>
          <w:rFonts w:asciiTheme="minorHAnsi" w:hAnsiTheme="minorHAnsi" w:cs="Arial"/>
        </w:rPr>
        <w:t xml:space="preserve">integration between care partners for patients managed in multiple settings. BCH Primary Care-based care coordinators, PPOC Regional Support Teams, the THPP Care Management team, and LTSS Community Partners made progress in </w:t>
      </w:r>
      <w:r>
        <w:rPr>
          <w:rFonts w:asciiTheme="minorHAnsi" w:hAnsiTheme="minorHAnsi" w:cs="Arial"/>
        </w:rPr>
        <w:t xml:space="preserve">designing and </w:t>
      </w:r>
      <w:r w:rsidR="00DE274A" w:rsidRPr="00DE274A">
        <w:rPr>
          <w:rFonts w:asciiTheme="minorHAnsi" w:hAnsiTheme="minorHAnsi" w:cs="Arial"/>
        </w:rPr>
        <w:t xml:space="preserve">implementing processes to enhance communication and to </w:t>
      </w:r>
      <w:r>
        <w:rPr>
          <w:rFonts w:asciiTheme="minorHAnsi" w:hAnsiTheme="minorHAnsi" w:cs="Arial"/>
        </w:rPr>
        <w:t xml:space="preserve">facilitate </w:t>
      </w:r>
      <w:r w:rsidR="00DE274A" w:rsidRPr="00DE274A">
        <w:rPr>
          <w:rFonts w:asciiTheme="minorHAnsi" w:hAnsiTheme="minorHAnsi" w:cs="Arial"/>
        </w:rPr>
        <w:t>workflow</w:t>
      </w:r>
      <w:r>
        <w:rPr>
          <w:rFonts w:asciiTheme="minorHAnsi" w:hAnsiTheme="minorHAnsi" w:cs="Arial"/>
        </w:rPr>
        <w:t xml:space="preserve"> integration</w:t>
      </w:r>
      <w:r w:rsidR="00DE274A" w:rsidRPr="00DE274A">
        <w:rPr>
          <w:rFonts w:asciiTheme="minorHAnsi" w:hAnsiTheme="minorHAnsi" w:cs="Arial"/>
        </w:rPr>
        <w:t xml:space="preserve">. </w:t>
      </w:r>
    </w:p>
    <w:p w14:paraId="64BD7444" w14:textId="77777777" w:rsidR="008648E8" w:rsidRDefault="008648E8" w:rsidP="00DE274A">
      <w:pPr>
        <w:spacing w:after="160" w:line="252" w:lineRule="auto"/>
        <w:contextualSpacing/>
        <w:jc w:val="both"/>
        <w:rPr>
          <w:rFonts w:asciiTheme="minorHAnsi" w:hAnsiTheme="minorHAnsi" w:cs="Arial"/>
        </w:rPr>
      </w:pPr>
    </w:p>
    <w:p w14:paraId="5322367C" w14:textId="77777777" w:rsidR="008648E8" w:rsidRPr="00DE274A" w:rsidRDefault="008648E8" w:rsidP="00DE274A">
      <w:pPr>
        <w:spacing w:after="160" w:line="252" w:lineRule="auto"/>
        <w:contextualSpacing/>
        <w:jc w:val="both"/>
        <w:rPr>
          <w:rFonts w:asciiTheme="minorHAnsi" w:hAnsiTheme="minorHAnsi" w:cs="Arial"/>
        </w:rPr>
      </w:pPr>
    </w:p>
    <w:p w14:paraId="62910E75" w14:textId="77777777" w:rsidR="005F142F" w:rsidRPr="008648E8" w:rsidRDefault="00C14C85" w:rsidP="008648E8">
      <w:pPr>
        <w:pStyle w:val="Heading2"/>
        <w:rPr>
          <w:rFonts w:asciiTheme="minorHAnsi" w:hAnsiTheme="minorHAnsi"/>
        </w:rPr>
      </w:pPr>
      <w:r w:rsidRPr="008648E8">
        <w:rPr>
          <w:rFonts w:asciiTheme="minorHAnsi" w:hAnsiTheme="minorHAnsi"/>
        </w:rPr>
        <w:t>Success</w:t>
      </w:r>
      <w:r w:rsidR="00604E19" w:rsidRPr="008648E8">
        <w:rPr>
          <w:rFonts w:asciiTheme="minorHAnsi" w:hAnsiTheme="minorHAnsi"/>
        </w:rPr>
        <w:t>es</w:t>
      </w:r>
      <w:r w:rsidRPr="008648E8">
        <w:rPr>
          <w:rFonts w:asciiTheme="minorHAnsi" w:hAnsiTheme="minorHAnsi"/>
        </w:rPr>
        <w:t xml:space="preserve"> and Challenges of PY</w:t>
      </w:r>
      <w:r w:rsidR="008C1D78" w:rsidRPr="008648E8">
        <w:rPr>
          <w:rFonts w:asciiTheme="minorHAnsi" w:hAnsiTheme="minorHAnsi"/>
        </w:rPr>
        <w:t>1</w:t>
      </w:r>
    </w:p>
    <w:p w14:paraId="71E48F6B" w14:textId="77777777" w:rsidR="00905FCF" w:rsidRDefault="00905FCF" w:rsidP="00905FCF">
      <w:pPr>
        <w:rPr>
          <w:rFonts w:asciiTheme="majorHAnsi" w:hAnsiTheme="majorHAnsi"/>
          <w:b/>
          <w:color w:val="244061" w:themeColor="accent1" w:themeShade="80"/>
        </w:rPr>
      </w:pPr>
      <w:r w:rsidRPr="00905FCF">
        <w:rPr>
          <w:rFonts w:asciiTheme="majorHAnsi" w:hAnsiTheme="majorHAnsi"/>
          <w:b/>
          <w:color w:val="244061" w:themeColor="accent1" w:themeShade="80"/>
        </w:rPr>
        <w:t>Successes</w:t>
      </w:r>
    </w:p>
    <w:p w14:paraId="685EF1CE" w14:textId="77777777" w:rsidR="00474CC1" w:rsidRDefault="008648E8" w:rsidP="00604E19">
      <w:pPr>
        <w:pStyle w:val="ListParagraph"/>
        <w:numPr>
          <w:ilvl w:val="0"/>
          <w:numId w:val="4"/>
        </w:numPr>
        <w:spacing w:after="0" w:line="240" w:lineRule="auto"/>
        <w:ind w:left="0" w:right="-144"/>
        <w:jc w:val="both"/>
        <w:rPr>
          <w:rFonts w:asciiTheme="minorHAnsi" w:hAnsiTheme="minorHAnsi" w:cs="Arial"/>
          <w:b/>
        </w:rPr>
      </w:pPr>
      <w:r>
        <w:rPr>
          <w:rFonts w:asciiTheme="minorHAnsi" w:hAnsiTheme="minorHAnsi" w:cs="Arial"/>
          <w:b/>
        </w:rPr>
        <w:t>Member Enrollment</w:t>
      </w:r>
    </w:p>
    <w:p w14:paraId="1D6F6872" w14:textId="77777777" w:rsidR="009A051D" w:rsidRPr="00A44CB5" w:rsidRDefault="0021730F" w:rsidP="009A051D">
      <w:pPr>
        <w:pStyle w:val="ListParagraph"/>
        <w:spacing w:after="0" w:line="240" w:lineRule="auto"/>
        <w:ind w:left="0" w:right="-144"/>
        <w:jc w:val="both"/>
        <w:rPr>
          <w:rFonts w:asciiTheme="minorHAnsi" w:hAnsiTheme="minorHAnsi" w:cs="Arial"/>
        </w:rPr>
      </w:pPr>
      <w:r>
        <w:rPr>
          <w:rFonts w:asciiTheme="minorHAnsi" w:hAnsiTheme="minorHAnsi" w:cs="Arial"/>
        </w:rPr>
        <w:t>The transition of over 80,000 patients into the BCH ACO was a success. During PY1, dedicated r</w:t>
      </w:r>
      <w:r w:rsidR="001E03F4">
        <w:rPr>
          <w:rFonts w:asciiTheme="minorHAnsi" w:hAnsiTheme="minorHAnsi" w:cs="Arial"/>
        </w:rPr>
        <w:t xml:space="preserve">esources </w:t>
      </w:r>
      <w:r>
        <w:rPr>
          <w:rFonts w:asciiTheme="minorHAnsi" w:hAnsiTheme="minorHAnsi" w:cs="Arial"/>
        </w:rPr>
        <w:t xml:space="preserve">supported the </w:t>
      </w:r>
      <w:r w:rsidR="001E03F4">
        <w:rPr>
          <w:rFonts w:asciiTheme="minorHAnsi" w:hAnsiTheme="minorHAnsi" w:cs="Arial"/>
        </w:rPr>
        <w:t xml:space="preserve">smooth transition of patients into the </w:t>
      </w:r>
      <w:r>
        <w:rPr>
          <w:rFonts w:asciiTheme="minorHAnsi" w:hAnsiTheme="minorHAnsi" w:cs="Arial"/>
        </w:rPr>
        <w:t xml:space="preserve">ACO </w:t>
      </w:r>
      <w:r w:rsidR="001E03F4">
        <w:rPr>
          <w:rFonts w:asciiTheme="minorHAnsi" w:hAnsiTheme="minorHAnsi" w:cs="Arial"/>
        </w:rPr>
        <w:t>program</w:t>
      </w:r>
      <w:r>
        <w:rPr>
          <w:rFonts w:asciiTheme="minorHAnsi" w:hAnsiTheme="minorHAnsi" w:cs="Arial"/>
        </w:rPr>
        <w:t>,</w:t>
      </w:r>
      <w:r w:rsidR="001E03F4">
        <w:rPr>
          <w:rFonts w:asciiTheme="minorHAnsi" w:hAnsiTheme="minorHAnsi" w:cs="Arial"/>
        </w:rPr>
        <w:t xml:space="preserve"> </w:t>
      </w:r>
      <w:r>
        <w:rPr>
          <w:rFonts w:asciiTheme="minorHAnsi" w:hAnsiTheme="minorHAnsi" w:cs="Arial"/>
        </w:rPr>
        <w:t xml:space="preserve">including </w:t>
      </w:r>
      <w:r w:rsidR="001E03F4">
        <w:rPr>
          <w:rFonts w:asciiTheme="minorHAnsi" w:hAnsiTheme="minorHAnsi" w:cs="Arial"/>
        </w:rPr>
        <w:t>ensuring continuity of care during this transition.</w:t>
      </w:r>
      <w:r>
        <w:rPr>
          <w:rFonts w:asciiTheme="minorHAnsi" w:hAnsiTheme="minorHAnsi" w:cs="Arial"/>
        </w:rPr>
        <w:t xml:space="preserve">  Following the launch of the ACO</w:t>
      </w:r>
      <w:r w:rsidR="009A051D">
        <w:rPr>
          <w:rFonts w:asciiTheme="minorHAnsi" w:hAnsiTheme="minorHAnsi" w:cs="Arial"/>
        </w:rPr>
        <w:t xml:space="preserve"> program</w:t>
      </w:r>
      <w:r>
        <w:rPr>
          <w:rFonts w:asciiTheme="minorHAnsi" w:hAnsiTheme="minorHAnsi" w:cs="Arial"/>
        </w:rPr>
        <w:t xml:space="preserve">, </w:t>
      </w:r>
      <w:r w:rsidR="009A051D">
        <w:rPr>
          <w:rFonts w:asciiTheme="minorHAnsi" w:hAnsiTheme="minorHAnsi" w:cs="Arial"/>
        </w:rPr>
        <w:t>t</w:t>
      </w:r>
      <w:r w:rsidR="009A051D" w:rsidRPr="00604E19">
        <w:rPr>
          <w:rFonts w:asciiTheme="minorHAnsi" w:hAnsiTheme="minorHAnsi" w:cs="Arial"/>
        </w:rPr>
        <w:t xml:space="preserve">he ACO successfully built and refined standard membership/enrollment data management and reporting </w:t>
      </w:r>
      <w:proofErr w:type="gramStart"/>
      <w:r w:rsidR="009A051D" w:rsidRPr="00604E19">
        <w:rPr>
          <w:rFonts w:asciiTheme="minorHAnsi" w:hAnsiTheme="minorHAnsi" w:cs="Arial"/>
        </w:rPr>
        <w:t>processes</w:t>
      </w:r>
      <w:r w:rsidR="001B4EEA">
        <w:rPr>
          <w:rFonts w:asciiTheme="minorHAnsi" w:hAnsiTheme="minorHAnsi" w:cs="Arial"/>
        </w:rPr>
        <w:t>,</w:t>
      </w:r>
      <w:r w:rsidR="009A051D" w:rsidRPr="00604E19">
        <w:rPr>
          <w:rFonts w:asciiTheme="minorHAnsi" w:hAnsiTheme="minorHAnsi" w:cs="Arial"/>
        </w:rPr>
        <w:t xml:space="preserve"> and</w:t>
      </w:r>
      <w:proofErr w:type="gramEnd"/>
      <w:r w:rsidR="009A051D" w:rsidRPr="00604E19">
        <w:rPr>
          <w:rFonts w:asciiTheme="minorHAnsi" w:hAnsiTheme="minorHAnsi" w:cs="Arial"/>
        </w:rPr>
        <w:t xml:space="preserve"> achieved relatively stable membership by the fourth month of the program.  The individual PCP practices in the ACO each have different ways of </w:t>
      </w:r>
      <w:r w:rsidR="001B4EEA">
        <w:rPr>
          <w:rFonts w:asciiTheme="minorHAnsi" w:hAnsiTheme="minorHAnsi" w:cs="Arial"/>
        </w:rPr>
        <w:t>attributing members to PCP’s and storing insurance information</w:t>
      </w:r>
      <w:r w:rsidR="009A051D" w:rsidRPr="00604E19">
        <w:rPr>
          <w:rFonts w:asciiTheme="minorHAnsi" w:hAnsiTheme="minorHAnsi" w:cs="Arial"/>
        </w:rPr>
        <w:t>, even with the PPOC’s move to a single EMR.  This presented a challenge in establishing and maintaining processes for monitoring, validating, and distributing complex and at times volatile membership information</w:t>
      </w:r>
      <w:r w:rsidR="009A051D">
        <w:rPr>
          <w:rFonts w:asciiTheme="minorHAnsi" w:hAnsiTheme="minorHAnsi" w:cs="Arial"/>
        </w:rPr>
        <w:t>; work is ongoing to address this challenge during PY2</w:t>
      </w:r>
      <w:r w:rsidR="009A051D" w:rsidRPr="00604E19">
        <w:rPr>
          <w:rFonts w:asciiTheme="minorHAnsi" w:hAnsiTheme="minorHAnsi" w:cs="Arial"/>
        </w:rPr>
        <w:t>. </w:t>
      </w:r>
    </w:p>
    <w:p w14:paraId="56069383" w14:textId="77777777" w:rsidR="001E03F4" w:rsidRDefault="001E03F4" w:rsidP="001E03F4">
      <w:pPr>
        <w:pStyle w:val="ListParagraph"/>
        <w:spacing w:after="0" w:line="240" w:lineRule="auto"/>
        <w:ind w:left="0" w:right="-144"/>
        <w:jc w:val="both"/>
        <w:rPr>
          <w:rFonts w:asciiTheme="minorHAnsi" w:hAnsiTheme="minorHAnsi" w:cs="Arial"/>
        </w:rPr>
      </w:pPr>
    </w:p>
    <w:p w14:paraId="5555E7F9" w14:textId="77777777" w:rsidR="001E03F4" w:rsidRDefault="001E03F4" w:rsidP="001E03F4">
      <w:pPr>
        <w:pStyle w:val="ListParagraph"/>
        <w:spacing w:after="0" w:line="240" w:lineRule="auto"/>
        <w:ind w:left="0" w:right="-144"/>
        <w:jc w:val="both"/>
        <w:rPr>
          <w:rFonts w:asciiTheme="minorHAnsi" w:hAnsiTheme="minorHAnsi" w:cs="Arial"/>
        </w:rPr>
      </w:pPr>
    </w:p>
    <w:p w14:paraId="5BB11E10" w14:textId="77777777" w:rsidR="001E03F4" w:rsidRDefault="001E03F4" w:rsidP="001E03F4">
      <w:pPr>
        <w:pStyle w:val="ListParagraph"/>
        <w:numPr>
          <w:ilvl w:val="0"/>
          <w:numId w:val="4"/>
        </w:numPr>
        <w:spacing w:after="0" w:line="240" w:lineRule="auto"/>
        <w:ind w:left="0" w:right="-144"/>
        <w:jc w:val="both"/>
        <w:rPr>
          <w:rFonts w:asciiTheme="minorHAnsi" w:hAnsiTheme="minorHAnsi" w:cs="Arial"/>
          <w:b/>
        </w:rPr>
      </w:pPr>
      <w:r w:rsidRPr="001E03F4">
        <w:rPr>
          <w:rFonts w:asciiTheme="minorHAnsi" w:hAnsiTheme="minorHAnsi" w:cs="Arial"/>
          <w:b/>
        </w:rPr>
        <w:t>Clinical Programs</w:t>
      </w:r>
    </w:p>
    <w:p w14:paraId="34DB2727" w14:textId="77777777" w:rsidR="001E03F4" w:rsidRPr="001E03F4" w:rsidRDefault="00FC0C5B" w:rsidP="001E03F4">
      <w:pPr>
        <w:pStyle w:val="ListParagraph"/>
        <w:spacing w:after="0" w:line="240" w:lineRule="auto"/>
        <w:ind w:left="0" w:right="-144"/>
        <w:jc w:val="both"/>
        <w:rPr>
          <w:rFonts w:asciiTheme="minorHAnsi" w:hAnsiTheme="minorHAnsi" w:cs="Arial"/>
        </w:rPr>
      </w:pPr>
      <w:r>
        <w:rPr>
          <w:rFonts w:asciiTheme="minorHAnsi" w:hAnsiTheme="minorHAnsi" w:cs="Arial"/>
        </w:rPr>
        <w:t xml:space="preserve">Throughout PY0 and PY1, a total of 19 clinical programs have launched in </w:t>
      </w:r>
      <w:r w:rsidR="0021730F">
        <w:rPr>
          <w:rFonts w:asciiTheme="minorHAnsi" w:hAnsiTheme="minorHAnsi" w:cs="Arial"/>
        </w:rPr>
        <w:t xml:space="preserve">six </w:t>
      </w:r>
      <w:r>
        <w:rPr>
          <w:rFonts w:asciiTheme="minorHAnsi" w:hAnsiTheme="minorHAnsi" w:cs="Arial"/>
        </w:rPr>
        <w:t xml:space="preserve">different </w:t>
      </w:r>
      <w:r w:rsidR="00A76E03">
        <w:rPr>
          <w:rFonts w:asciiTheme="minorHAnsi" w:hAnsiTheme="minorHAnsi" w:cs="Arial"/>
        </w:rPr>
        <w:t>locations</w:t>
      </w:r>
      <w:r>
        <w:rPr>
          <w:rFonts w:asciiTheme="minorHAnsi" w:hAnsiTheme="minorHAnsi" w:cs="Arial"/>
        </w:rPr>
        <w:t xml:space="preserve"> across primary and specialty care</w:t>
      </w:r>
      <w:r w:rsidR="0021730F">
        <w:rPr>
          <w:rFonts w:asciiTheme="minorHAnsi" w:hAnsiTheme="minorHAnsi" w:cs="Arial"/>
        </w:rPr>
        <w:t xml:space="preserve"> settings</w:t>
      </w:r>
      <w:r>
        <w:rPr>
          <w:rFonts w:asciiTheme="minorHAnsi" w:hAnsiTheme="minorHAnsi" w:cs="Arial"/>
        </w:rPr>
        <w:t xml:space="preserve">. </w:t>
      </w:r>
      <w:r w:rsidR="00A76E03">
        <w:rPr>
          <w:rFonts w:asciiTheme="minorHAnsi" w:hAnsiTheme="minorHAnsi" w:cs="Arial"/>
        </w:rPr>
        <w:t>Each program targets a specific patient population and has associated goals, interventions</w:t>
      </w:r>
      <w:r w:rsidR="0021730F">
        <w:rPr>
          <w:rFonts w:asciiTheme="minorHAnsi" w:hAnsiTheme="minorHAnsi" w:cs="Arial"/>
        </w:rPr>
        <w:t>,</w:t>
      </w:r>
      <w:r w:rsidR="00A76E03">
        <w:rPr>
          <w:rFonts w:asciiTheme="minorHAnsi" w:hAnsiTheme="minorHAnsi" w:cs="Arial"/>
        </w:rPr>
        <w:t xml:space="preserve"> and measures</w:t>
      </w:r>
      <w:r w:rsidR="0021730F">
        <w:rPr>
          <w:rFonts w:asciiTheme="minorHAnsi" w:hAnsiTheme="minorHAnsi" w:cs="Arial"/>
        </w:rPr>
        <w:t xml:space="preserve"> of success</w:t>
      </w:r>
      <w:r w:rsidR="00A76E03">
        <w:rPr>
          <w:rFonts w:asciiTheme="minorHAnsi" w:hAnsiTheme="minorHAnsi" w:cs="Arial"/>
        </w:rPr>
        <w:t xml:space="preserve">. </w:t>
      </w:r>
      <w:r w:rsidR="001E03F4">
        <w:rPr>
          <w:rFonts w:asciiTheme="minorHAnsi" w:hAnsiTheme="minorHAnsi" w:cs="Arial"/>
        </w:rPr>
        <w:t>With continued focus on these programs, the ACO is well positioned to deliver results in Years 3 -5.</w:t>
      </w:r>
      <w:r w:rsidR="00A76E03">
        <w:rPr>
          <w:rFonts w:asciiTheme="minorHAnsi" w:hAnsiTheme="minorHAnsi" w:cs="Arial"/>
        </w:rPr>
        <w:t xml:space="preserve"> </w:t>
      </w:r>
      <w:r w:rsidR="0021730F">
        <w:rPr>
          <w:rFonts w:asciiTheme="minorHAnsi" w:hAnsiTheme="minorHAnsi" w:cs="Arial"/>
        </w:rPr>
        <w:t xml:space="preserve">In PY2, </w:t>
      </w:r>
      <w:r w:rsidR="00A76E03">
        <w:rPr>
          <w:rFonts w:asciiTheme="minorHAnsi" w:hAnsiTheme="minorHAnsi" w:cs="Arial"/>
        </w:rPr>
        <w:t xml:space="preserve">these programs </w:t>
      </w:r>
      <w:r w:rsidR="0021730F">
        <w:rPr>
          <w:rFonts w:asciiTheme="minorHAnsi" w:hAnsiTheme="minorHAnsi" w:cs="Arial"/>
        </w:rPr>
        <w:t xml:space="preserve">will focus </w:t>
      </w:r>
      <w:r w:rsidR="00A76E03">
        <w:rPr>
          <w:rFonts w:asciiTheme="minorHAnsi" w:hAnsiTheme="minorHAnsi" w:cs="Arial"/>
        </w:rPr>
        <w:t xml:space="preserve">on </w:t>
      </w:r>
      <w:r w:rsidR="0021730F">
        <w:rPr>
          <w:rFonts w:asciiTheme="minorHAnsi" w:hAnsiTheme="minorHAnsi" w:cs="Arial"/>
        </w:rPr>
        <w:t xml:space="preserve">continued delivery of services as well as </w:t>
      </w:r>
      <w:r w:rsidR="00A76E03">
        <w:rPr>
          <w:rFonts w:asciiTheme="minorHAnsi" w:hAnsiTheme="minorHAnsi" w:cs="Arial"/>
        </w:rPr>
        <w:t xml:space="preserve">evaluation </w:t>
      </w:r>
      <w:r w:rsidR="0021730F">
        <w:rPr>
          <w:rFonts w:asciiTheme="minorHAnsi" w:hAnsiTheme="minorHAnsi" w:cs="Arial"/>
        </w:rPr>
        <w:t xml:space="preserve">activities </w:t>
      </w:r>
      <w:r w:rsidR="00A76E03">
        <w:rPr>
          <w:rFonts w:asciiTheme="minorHAnsi" w:hAnsiTheme="minorHAnsi" w:cs="Arial"/>
        </w:rPr>
        <w:t xml:space="preserve">and sustainability planning. </w:t>
      </w:r>
    </w:p>
    <w:p w14:paraId="5679C6C1" w14:textId="77777777" w:rsidR="00755383" w:rsidRPr="001E03F4" w:rsidRDefault="00755383" w:rsidP="001E03F4">
      <w:pPr>
        <w:pStyle w:val="ListParagraph"/>
        <w:spacing w:after="0" w:line="240" w:lineRule="auto"/>
        <w:ind w:left="0" w:right="-144"/>
        <w:jc w:val="both"/>
        <w:rPr>
          <w:rFonts w:asciiTheme="minorHAnsi" w:hAnsiTheme="minorHAnsi" w:cs="Arial"/>
        </w:rPr>
      </w:pPr>
    </w:p>
    <w:p w14:paraId="18CAADD0" w14:textId="77777777" w:rsidR="00DA40D3" w:rsidRPr="001E03F4" w:rsidRDefault="00DA40D3" w:rsidP="001E03F4">
      <w:pPr>
        <w:pStyle w:val="ListParagraph"/>
        <w:numPr>
          <w:ilvl w:val="0"/>
          <w:numId w:val="4"/>
        </w:numPr>
        <w:spacing w:after="0" w:line="240" w:lineRule="auto"/>
        <w:ind w:left="0" w:right="-144" w:hanging="450"/>
        <w:jc w:val="both"/>
        <w:rPr>
          <w:rFonts w:asciiTheme="minorHAnsi" w:hAnsiTheme="minorHAnsi" w:cs="Arial"/>
          <w:b/>
        </w:rPr>
      </w:pPr>
      <w:r w:rsidRPr="001E03F4">
        <w:rPr>
          <w:rFonts w:asciiTheme="minorHAnsi" w:hAnsiTheme="minorHAnsi" w:cs="Arial"/>
          <w:b/>
        </w:rPr>
        <w:t xml:space="preserve">Data and Population </w:t>
      </w:r>
      <w:r w:rsidR="009A051D">
        <w:rPr>
          <w:rFonts w:asciiTheme="minorHAnsi" w:hAnsiTheme="minorHAnsi" w:cs="Arial"/>
          <w:b/>
        </w:rPr>
        <w:t>H</w:t>
      </w:r>
      <w:r w:rsidR="009A051D" w:rsidRPr="001E03F4">
        <w:rPr>
          <w:rFonts w:asciiTheme="minorHAnsi" w:hAnsiTheme="minorHAnsi" w:cs="Arial"/>
          <w:b/>
        </w:rPr>
        <w:t xml:space="preserve">ealth </w:t>
      </w:r>
      <w:r w:rsidRPr="001E03F4">
        <w:rPr>
          <w:rFonts w:asciiTheme="minorHAnsi" w:hAnsiTheme="minorHAnsi" w:cs="Arial"/>
          <w:b/>
        </w:rPr>
        <w:t xml:space="preserve">Analytics                                                                                                                                  </w:t>
      </w:r>
    </w:p>
    <w:p w14:paraId="327AB3EB" w14:textId="77777777" w:rsidR="00604E19" w:rsidRDefault="008371E4" w:rsidP="00604E19">
      <w:pPr>
        <w:pStyle w:val="ListParagraph"/>
        <w:spacing w:after="0" w:line="240" w:lineRule="auto"/>
        <w:ind w:left="0" w:right="-144"/>
        <w:jc w:val="both"/>
        <w:rPr>
          <w:rFonts w:asciiTheme="minorHAnsi" w:hAnsiTheme="minorHAnsi"/>
        </w:rPr>
      </w:pPr>
      <w:proofErr w:type="gramStart"/>
      <w:r w:rsidRPr="006D6682">
        <w:rPr>
          <w:rFonts w:asciiTheme="minorHAnsi" w:hAnsiTheme="minorHAnsi"/>
        </w:rPr>
        <w:t>In order to</w:t>
      </w:r>
      <w:proofErr w:type="gramEnd"/>
      <w:r w:rsidRPr="006D6682">
        <w:rPr>
          <w:rFonts w:asciiTheme="minorHAnsi" w:hAnsiTheme="minorHAnsi"/>
        </w:rPr>
        <w:t xml:space="preserve"> better understand our population and meet their needs through ACO initiatives, we have been able to consolidate and analyze claims data from both THPP and MassHealth into a single platform.  This was a resource intensive effort, and we plan to leverage this consolidated data to refine our analytics of ACO operations.</w:t>
      </w:r>
    </w:p>
    <w:p w14:paraId="2855106B" w14:textId="77777777" w:rsidR="008371E4" w:rsidRPr="006D6682" w:rsidRDefault="008371E4" w:rsidP="00604E19">
      <w:pPr>
        <w:pStyle w:val="ListParagraph"/>
        <w:spacing w:after="0" w:line="240" w:lineRule="auto"/>
        <w:ind w:left="0" w:right="-144"/>
        <w:jc w:val="both"/>
        <w:rPr>
          <w:rFonts w:asciiTheme="minorHAnsi" w:hAnsiTheme="minorHAnsi"/>
        </w:rPr>
      </w:pPr>
    </w:p>
    <w:p w14:paraId="6263AEBD" w14:textId="77777777" w:rsidR="00C14C85" w:rsidRPr="00604E19" w:rsidRDefault="00905FCF" w:rsidP="00C14C85">
      <w:pPr>
        <w:rPr>
          <w:rFonts w:asciiTheme="minorHAnsi" w:hAnsiTheme="minorHAnsi"/>
          <w:b/>
          <w:color w:val="244061" w:themeColor="accent1" w:themeShade="80"/>
        </w:rPr>
      </w:pPr>
      <w:r w:rsidRPr="00604E19">
        <w:rPr>
          <w:rFonts w:asciiTheme="minorHAnsi" w:hAnsiTheme="minorHAnsi"/>
          <w:b/>
          <w:color w:val="244061" w:themeColor="accent1" w:themeShade="80"/>
        </w:rPr>
        <w:lastRenderedPageBreak/>
        <w:t>Challenges</w:t>
      </w:r>
    </w:p>
    <w:p w14:paraId="253368A5" w14:textId="77777777" w:rsidR="00905FCF" w:rsidRPr="00604E19" w:rsidRDefault="00FC0C5B" w:rsidP="00604E19">
      <w:pPr>
        <w:pStyle w:val="ListParagraph"/>
        <w:numPr>
          <w:ilvl w:val="0"/>
          <w:numId w:val="5"/>
        </w:numPr>
        <w:spacing w:after="0" w:line="240" w:lineRule="auto"/>
        <w:ind w:left="0"/>
        <w:jc w:val="both"/>
        <w:rPr>
          <w:rFonts w:asciiTheme="minorHAnsi" w:hAnsiTheme="minorHAnsi" w:cs="Arial"/>
          <w:b/>
        </w:rPr>
      </w:pPr>
      <w:r>
        <w:rPr>
          <w:rFonts w:asciiTheme="minorHAnsi" w:hAnsiTheme="minorHAnsi" w:cs="Arial"/>
          <w:b/>
        </w:rPr>
        <w:t>Hiring</w:t>
      </w:r>
      <w:r w:rsidR="00905FCF" w:rsidRPr="00604E19">
        <w:rPr>
          <w:rFonts w:asciiTheme="minorHAnsi" w:hAnsiTheme="minorHAnsi" w:cs="Arial"/>
          <w:b/>
        </w:rPr>
        <w:t xml:space="preserve">    </w:t>
      </w:r>
    </w:p>
    <w:p w14:paraId="40424F91" w14:textId="77777777" w:rsidR="00604E19" w:rsidRDefault="0045450E" w:rsidP="00604E19">
      <w:pPr>
        <w:pStyle w:val="ListParagraph"/>
        <w:ind w:left="0"/>
        <w:jc w:val="both"/>
        <w:rPr>
          <w:rFonts w:asciiTheme="minorHAnsi" w:hAnsiTheme="minorHAnsi" w:cs="Arial"/>
        </w:rPr>
      </w:pPr>
      <w:r>
        <w:rPr>
          <w:rFonts w:asciiTheme="minorHAnsi" w:hAnsiTheme="minorHAnsi" w:cs="Arial"/>
        </w:rPr>
        <w:t xml:space="preserve">Hiring staff with claims and EMR data experience </w:t>
      </w:r>
      <w:r w:rsidR="0096532A">
        <w:rPr>
          <w:rFonts w:asciiTheme="minorHAnsi" w:hAnsiTheme="minorHAnsi" w:cs="Arial"/>
        </w:rPr>
        <w:t>that</w:t>
      </w:r>
      <w:r>
        <w:rPr>
          <w:rFonts w:asciiTheme="minorHAnsi" w:hAnsiTheme="minorHAnsi" w:cs="Arial"/>
        </w:rPr>
        <w:t xml:space="preserve"> can support analyses </w:t>
      </w:r>
      <w:r w:rsidRPr="00604E19">
        <w:rPr>
          <w:rFonts w:asciiTheme="minorHAnsi" w:hAnsiTheme="minorHAnsi" w:cs="Arial"/>
        </w:rPr>
        <w:t xml:space="preserve">of interest to </w:t>
      </w:r>
      <w:r>
        <w:rPr>
          <w:rFonts w:asciiTheme="minorHAnsi" w:hAnsiTheme="minorHAnsi" w:cs="Arial"/>
        </w:rPr>
        <w:t xml:space="preserve">the </w:t>
      </w:r>
      <w:r w:rsidRPr="00604E19">
        <w:rPr>
          <w:rFonts w:asciiTheme="minorHAnsi" w:hAnsiTheme="minorHAnsi" w:cs="Arial"/>
        </w:rPr>
        <w:t>ACO can be difficult in the current market</w:t>
      </w:r>
      <w:r w:rsidR="00905FCF" w:rsidRPr="00604E19">
        <w:rPr>
          <w:rFonts w:asciiTheme="minorHAnsi" w:hAnsiTheme="minorHAnsi" w:cs="Arial"/>
        </w:rPr>
        <w:t>.</w:t>
      </w:r>
    </w:p>
    <w:p w14:paraId="4AF34E68" w14:textId="77777777" w:rsidR="00755383" w:rsidRDefault="00755383" w:rsidP="00604E19">
      <w:pPr>
        <w:pStyle w:val="ListParagraph"/>
        <w:ind w:left="0"/>
        <w:jc w:val="both"/>
        <w:rPr>
          <w:rFonts w:asciiTheme="minorHAnsi" w:hAnsiTheme="minorHAnsi" w:cs="Arial"/>
        </w:rPr>
      </w:pPr>
    </w:p>
    <w:p w14:paraId="7313D8B9" w14:textId="77777777" w:rsidR="00905FCF" w:rsidRPr="00604E19" w:rsidRDefault="001A39EA" w:rsidP="00604E19">
      <w:pPr>
        <w:pStyle w:val="ListParagraph"/>
        <w:numPr>
          <w:ilvl w:val="0"/>
          <w:numId w:val="5"/>
        </w:numPr>
        <w:spacing w:after="0" w:line="240" w:lineRule="auto"/>
        <w:ind w:left="0"/>
        <w:jc w:val="both"/>
        <w:rPr>
          <w:rFonts w:asciiTheme="minorHAnsi" w:hAnsiTheme="minorHAnsi" w:cs="Arial"/>
          <w:b/>
        </w:rPr>
      </w:pPr>
      <w:r>
        <w:rPr>
          <w:rFonts w:asciiTheme="minorHAnsi" w:hAnsiTheme="minorHAnsi" w:cs="Arial"/>
          <w:b/>
        </w:rPr>
        <w:t xml:space="preserve">Pediatric ACO </w:t>
      </w:r>
      <w:r w:rsidR="008371E4">
        <w:rPr>
          <w:rFonts w:asciiTheme="minorHAnsi" w:hAnsiTheme="minorHAnsi" w:cs="Arial"/>
          <w:b/>
        </w:rPr>
        <w:t>Nuances</w:t>
      </w:r>
    </w:p>
    <w:p w14:paraId="5B6E3574" w14:textId="77777777" w:rsidR="00A44CB5" w:rsidRDefault="008371E4" w:rsidP="00BC48D9">
      <w:pPr>
        <w:pStyle w:val="ListParagraph"/>
        <w:ind w:left="0"/>
        <w:jc w:val="both"/>
        <w:rPr>
          <w:rFonts w:asciiTheme="minorHAnsi" w:hAnsiTheme="minorHAnsi" w:cs="Arial"/>
        </w:rPr>
      </w:pPr>
      <w:r w:rsidRPr="008371E4">
        <w:rPr>
          <w:rFonts w:asciiTheme="minorHAnsi" w:hAnsiTheme="minorHAnsi" w:cs="Arial"/>
        </w:rPr>
        <w:t>As a result of being a pediatric and young-adult ACO, we have had challenges with areas that require pediatric nuance.  Examples of this have been newborn enrollment due to default a</w:t>
      </w:r>
      <w:r>
        <w:rPr>
          <w:rFonts w:asciiTheme="minorHAnsi" w:hAnsiTheme="minorHAnsi" w:cs="Arial"/>
        </w:rPr>
        <w:t xml:space="preserve">ttribution to the mother’s </w:t>
      </w:r>
      <w:r w:rsidRPr="008371E4">
        <w:rPr>
          <w:rFonts w:asciiTheme="minorHAnsi" w:hAnsiTheme="minorHAnsi" w:cs="Arial"/>
        </w:rPr>
        <w:t xml:space="preserve">plan, managing parity in quality metrics, as well as creating access to pediatric patients to PCPs in the current service area construct. </w:t>
      </w:r>
    </w:p>
    <w:sectPr w:rsidR="00A44C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3A35" w14:textId="77777777" w:rsidR="00B56098" w:rsidRDefault="00B56098" w:rsidP="008776F6">
      <w:pPr>
        <w:spacing w:after="0" w:line="240" w:lineRule="auto"/>
      </w:pPr>
      <w:r>
        <w:separator/>
      </w:r>
    </w:p>
  </w:endnote>
  <w:endnote w:type="continuationSeparator" w:id="0">
    <w:p w14:paraId="11D86E26" w14:textId="77777777" w:rsidR="00B56098" w:rsidRDefault="00B56098" w:rsidP="0087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967369"/>
      <w:docPartObj>
        <w:docPartGallery w:val="Page Numbers (Bottom of Page)"/>
        <w:docPartUnique/>
      </w:docPartObj>
    </w:sdtPr>
    <w:sdtEndPr>
      <w:rPr>
        <w:noProof/>
      </w:rPr>
    </w:sdtEndPr>
    <w:sdtContent>
      <w:p w14:paraId="4EF4E742" w14:textId="77777777" w:rsidR="00007502" w:rsidRDefault="00007502">
        <w:pPr>
          <w:pStyle w:val="Footer"/>
          <w:jc w:val="right"/>
        </w:pPr>
        <w:r>
          <w:fldChar w:fldCharType="begin"/>
        </w:r>
        <w:r>
          <w:instrText xml:space="preserve"> PAGE   \* MERGEFORMAT </w:instrText>
        </w:r>
        <w:r>
          <w:fldChar w:fldCharType="separate"/>
        </w:r>
        <w:r w:rsidR="00300B56">
          <w:rPr>
            <w:noProof/>
          </w:rPr>
          <w:t>25</w:t>
        </w:r>
        <w:r>
          <w:rPr>
            <w:noProof/>
          </w:rPr>
          <w:fldChar w:fldCharType="end"/>
        </w:r>
      </w:p>
    </w:sdtContent>
  </w:sdt>
  <w:p w14:paraId="2458B508" w14:textId="77777777" w:rsidR="00007502" w:rsidRDefault="0000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8EF1F" w14:textId="77777777" w:rsidR="00B56098" w:rsidRDefault="00B56098" w:rsidP="008776F6">
      <w:pPr>
        <w:spacing w:after="0" w:line="240" w:lineRule="auto"/>
      </w:pPr>
      <w:r>
        <w:separator/>
      </w:r>
    </w:p>
  </w:footnote>
  <w:footnote w:type="continuationSeparator" w:id="0">
    <w:p w14:paraId="173891DD" w14:textId="77777777" w:rsidR="00B56098" w:rsidRDefault="00B56098" w:rsidP="0087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6E752" w14:textId="4C8600FA" w:rsidR="00007502" w:rsidRDefault="0000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2FA9"/>
    <w:multiLevelType w:val="hybridMultilevel"/>
    <w:tmpl w:val="5FA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023D"/>
    <w:multiLevelType w:val="hybridMultilevel"/>
    <w:tmpl w:val="81F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A357C"/>
    <w:multiLevelType w:val="hybridMultilevel"/>
    <w:tmpl w:val="62C8F7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6BD30DF"/>
    <w:multiLevelType w:val="hybridMultilevel"/>
    <w:tmpl w:val="CF5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023E7"/>
    <w:multiLevelType w:val="hybridMultilevel"/>
    <w:tmpl w:val="0432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6268A"/>
    <w:multiLevelType w:val="hybridMultilevel"/>
    <w:tmpl w:val="427A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600"/>
    <w:multiLevelType w:val="hybridMultilevel"/>
    <w:tmpl w:val="0FCC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5721B"/>
    <w:multiLevelType w:val="hybridMultilevel"/>
    <w:tmpl w:val="8354A9BE"/>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8" w15:restartNumberingAfterBreak="0">
    <w:nsid w:val="24C25D84"/>
    <w:multiLevelType w:val="hybridMultilevel"/>
    <w:tmpl w:val="A710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C27A4"/>
    <w:multiLevelType w:val="hybridMultilevel"/>
    <w:tmpl w:val="51FA79FA"/>
    <w:lvl w:ilvl="0" w:tplc="044294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37B98"/>
    <w:multiLevelType w:val="multilevel"/>
    <w:tmpl w:val="88746A52"/>
    <w:lvl w:ilvl="0">
      <w:start w:val="1"/>
      <w:numFmt w:val="decimal"/>
      <w:pStyle w:val="Heading1"/>
      <w:suff w:val="space"/>
      <w:lvlText w:val="Part %1."/>
      <w:lvlJc w:val="left"/>
      <w:pPr>
        <w:ind w:left="360" w:hanging="360"/>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asciiTheme="minorHAnsi" w:hAnsiTheme="minorHAnsi"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318910BB"/>
    <w:multiLevelType w:val="hybridMultilevel"/>
    <w:tmpl w:val="005E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7738B"/>
    <w:multiLevelType w:val="hybridMultilevel"/>
    <w:tmpl w:val="ADA4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6555E"/>
    <w:multiLevelType w:val="hybridMultilevel"/>
    <w:tmpl w:val="814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92B54"/>
    <w:multiLevelType w:val="hybridMultilevel"/>
    <w:tmpl w:val="36D4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706A"/>
    <w:multiLevelType w:val="hybridMultilevel"/>
    <w:tmpl w:val="16D0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6577F"/>
    <w:multiLevelType w:val="hybridMultilevel"/>
    <w:tmpl w:val="23B2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25647"/>
    <w:multiLevelType w:val="hybridMultilevel"/>
    <w:tmpl w:val="A4C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15EB8"/>
    <w:multiLevelType w:val="hybridMultilevel"/>
    <w:tmpl w:val="C404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27F64"/>
    <w:multiLevelType w:val="hybridMultilevel"/>
    <w:tmpl w:val="F2868F76"/>
    <w:lvl w:ilvl="0" w:tplc="84E007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26DFC"/>
    <w:multiLevelType w:val="hybridMultilevel"/>
    <w:tmpl w:val="3478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91892"/>
    <w:multiLevelType w:val="hybridMultilevel"/>
    <w:tmpl w:val="60B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434EF"/>
    <w:multiLevelType w:val="hybridMultilevel"/>
    <w:tmpl w:val="E6B8C0D2"/>
    <w:lvl w:ilvl="0" w:tplc="246221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23E2A"/>
    <w:multiLevelType w:val="hybridMultilevel"/>
    <w:tmpl w:val="385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7386"/>
    <w:multiLevelType w:val="hybridMultilevel"/>
    <w:tmpl w:val="39B0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D0DC4"/>
    <w:multiLevelType w:val="hybridMultilevel"/>
    <w:tmpl w:val="7092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12118"/>
    <w:multiLevelType w:val="hybridMultilevel"/>
    <w:tmpl w:val="159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82CDC"/>
    <w:multiLevelType w:val="hybridMultilevel"/>
    <w:tmpl w:val="AEFA5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FC39C6"/>
    <w:multiLevelType w:val="hybridMultilevel"/>
    <w:tmpl w:val="737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A5C29"/>
    <w:multiLevelType w:val="hybridMultilevel"/>
    <w:tmpl w:val="5F98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911F1"/>
    <w:multiLevelType w:val="hybridMultilevel"/>
    <w:tmpl w:val="66FA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1C0"/>
    <w:multiLevelType w:val="hybridMultilevel"/>
    <w:tmpl w:val="4A0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06B99"/>
    <w:multiLevelType w:val="hybridMultilevel"/>
    <w:tmpl w:val="1EAC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E3043"/>
    <w:multiLevelType w:val="hybridMultilevel"/>
    <w:tmpl w:val="29E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637F4"/>
    <w:multiLevelType w:val="hybridMultilevel"/>
    <w:tmpl w:val="1F7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30E09"/>
    <w:multiLevelType w:val="hybridMultilevel"/>
    <w:tmpl w:val="3FD2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19"/>
  </w:num>
  <w:num w:numId="6">
    <w:abstractNumId w:val="8"/>
  </w:num>
  <w:num w:numId="7">
    <w:abstractNumId w:val="2"/>
  </w:num>
  <w:num w:numId="8">
    <w:abstractNumId w:val="6"/>
  </w:num>
  <w:num w:numId="9">
    <w:abstractNumId w:val="3"/>
  </w:num>
  <w:num w:numId="10">
    <w:abstractNumId w:val="12"/>
  </w:num>
  <w:num w:numId="11">
    <w:abstractNumId w:val="18"/>
  </w:num>
  <w:num w:numId="12">
    <w:abstractNumId w:val="28"/>
  </w:num>
  <w:num w:numId="13">
    <w:abstractNumId w:val="5"/>
  </w:num>
  <w:num w:numId="14">
    <w:abstractNumId w:val="29"/>
  </w:num>
  <w:num w:numId="15">
    <w:abstractNumId w:val="23"/>
  </w:num>
  <w:num w:numId="16">
    <w:abstractNumId w:val="26"/>
  </w:num>
  <w:num w:numId="17">
    <w:abstractNumId w:val="33"/>
  </w:num>
  <w:num w:numId="18">
    <w:abstractNumId w:val="30"/>
  </w:num>
  <w:num w:numId="19">
    <w:abstractNumId w:val="0"/>
  </w:num>
  <w:num w:numId="20">
    <w:abstractNumId w:val="11"/>
  </w:num>
  <w:num w:numId="21">
    <w:abstractNumId w:val="32"/>
  </w:num>
  <w:num w:numId="22">
    <w:abstractNumId w:val="20"/>
  </w:num>
  <w:num w:numId="23">
    <w:abstractNumId w:val="25"/>
  </w:num>
  <w:num w:numId="24">
    <w:abstractNumId w:val="21"/>
  </w:num>
  <w:num w:numId="25">
    <w:abstractNumId w:val="35"/>
  </w:num>
  <w:num w:numId="26">
    <w:abstractNumId w:val="16"/>
  </w:num>
  <w:num w:numId="27">
    <w:abstractNumId w:val="17"/>
  </w:num>
  <w:num w:numId="28">
    <w:abstractNumId w:val="15"/>
  </w:num>
  <w:num w:numId="29">
    <w:abstractNumId w:val="31"/>
  </w:num>
  <w:num w:numId="30">
    <w:abstractNumId w:val="13"/>
  </w:num>
  <w:num w:numId="31">
    <w:abstractNumId w:val="34"/>
  </w:num>
  <w:num w:numId="32">
    <w:abstractNumId w:val="24"/>
  </w:num>
  <w:num w:numId="33">
    <w:abstractNumId w:val="7"/>
  </w:num>
  <w:num w:numId="34">
    <w:abstractNumId w:val="14"/>
  </w:num>
  <w:num w:numId="35">
    <w:abstractNumId w:val="1"/>
  </w:num>
  <w:num w:numId="3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6E9"/>
    <w:rsid w:val="0000084D"/>
    <w:rsid w:val="00002DE4"/>
    <w:rsid w:val="00004CB6"/>
    <w:rsid w:val="00005D71"/>
    <w:rsid w:val="00007502"/>
    <w:rsid w:val="000105FA"/>
    <w:rsid w:val="00016BE4"/>
    <w:rsid w:val="00022444"/>
    <w:rsid w:val="00022CDB"/>
    <w:rsid w:val="00025799"/>
    <w:rsid w:val="000269ED"/>
    <w:rsid w:val="0002722F"/>
    <w:rsid w:val="000330F9"/>
    <w:rsid w:val="00036F9B"/>
    <w:rsid w:val="00036FE6"/>
    <w:rsid w:val="00042524"/>
    <w:rsid w:val="00046196"/>
    <w:rsid w:val="00050314"/>
    <w:rsid w:val="00052424"/>
    <w:rsid w:val="00057B9E"/>
    <w:rsid w:val="00060CAB"/>
    <w:rsid w:val="000643C2"/>
    <w:rsid w:val="00065C00"/>
    <w:rsid w:val="000673F9"/>
    <w:rsid w:val="00067F07"/>
    <w:rsid w:val="00070289"/>
    <w:rsid w:val="000761AE"/>
    <w:rsid w:val="0008148D"/>
    <w:rsid w:val="000822CF"/>
    <w:rsid w:val="0008287A"/>
    <w:rsid w:val="000829AF"/>
    <w:rsid w:val="000839C1"/>
    <w:rsid w:val="0008528A"/>
    <w:rsid w:val="00090FDA"/>
    <w:rsid w:val="000943AC"/>
    <w:rsid w:val="0009566E"/>
    <w:rsid w:val="00095D4A"/>
    <w:rsid w:val="000A04DD"/>
    <w:rsid w:val="000A4CDC"/>
    <w:rsid w:val="000A6EA9"/>
    <w:rsid w:val="000A764F"/>
    <w:rsid w:val="000B54F1"/>
    <w:rsid w:val="000C1FAF"/>
    <w:rsid w:val="000C4B90"/>
    <w:rsid w:val="000C5771"/>
    <w:rsid w:val="000C5B5C"/>
    <w:rsid w:val="000C7FBA"/>
    <w:rsid w:val="000D1B09"/>
    <w:rsid w:val="000D1CB8"/>
    <w:rsid w:val="000D4AA1"/>
    <w:rsid w:val="000D5DDA"/>
    <w:rsid w:val="000E0E54"/>
    <w:rsid w:val="000E1EE0"/>
    <w:rsid w:val="000E3BFB"/>
    <w:rsid w:val="000E5D3D"/>
    <w:rsid w:val="000E5F21"/>
    <w:rsid w:val="000E7920"/>
    <w:rsid w:val="000F1121"/>
    <w:rsid w:val="000F2A7C"/>
    <w:rsid w:val="001017D3"/>
    <w:rsid w:val="001047AE"/>
    <w:rsid w:val="00104C82"/>
    <w:rsid w:val="00105712"/>
    <w:rsid w:val="00105790"/>
    <w:rsid w:val="001075FC"/>
    <w:rsid w:val="001076DC"/>
    <w:rsid w:val="0011239A"/>
    <w:rsid w:val="00114F34"/>
    <w:rsid w:val="00125B83"/>
    <w:rsid w:val="001326EB"/>
    <w:rsid w:val="00134012"/>
    <w:rsid w:val="00134B4A"/>
    <w:rsid w:val="0013699A"/>
    <w:rsid w:val="00136AAA"/>
    <w:rsid w:val="001379A4"/>
    <w:rsid w:val="001600DF"/>
    <w:rsid w:val="00162431"/>
    <w:rsid w:val="0016608F"/>
    <w:rsid w:val="001705F9"/>
    <w:rsid w:val="00172D9F"/>
    <w:rsid w:val="00182DD6"/>
    <w:rsid w:val="00186194"/>
    <w:rsid w:val="001A39EA"/>
    <w:rsid w:val="001A3A4D"/>
    <w:rsid w:val="001B4EEA"/>
    <w:rsid w:val="001C5034"/>
    <w:rsid w:val="001C5B88"/>
    <w:rsid w:val="001D0272"/>
    <w:rsid w:val="001D4B88"/>
    <w:rsid w:val="001D650A"/>
    <w:rsid w:val="001E03F4"/>
    <w:rsid w:val="001E23FD"/>
    <w:rsid w:val="001E549A"/>
    <w:rsid w:val="001E6009"/>
    <w:rsid w:val="001E683B"/>
    <w:rsid w:val="00201FBC"/>
    <w:rsid w:val="002055CF"/>
    <w:rsid w:val="00210D03"/>
    <w:rsid w:val="00211B97"/>
    <w:rsid w:val="00217009"/>
    <w:rsid w:val="0021730F"/>
    <w:rsid w:val="0021784A"/>
    <w:rsid w:val="00220F88"/>
    <w:rsid w:val="00221CAA"/>
    <w:rsid w:val="00222A5A"/>
    <w:rsid w:val="00226D41"/>
    <w:rsid w:val="00227025"/>
    <w:rsid w:val="00230F84"/>
    <w:rsid w:val="0023190F"/>
    <w:rsid w:val="00233983"/>
    <w:rsid w:val="00235339"/>
    <w:rsid w:val="00236F10"/>
    <w:rsid w:val="00244B2A"/>
    <w:rsid w:val="0024755B"/>
    <w:rsid w:val="002477E6"/>
    <w:rsid w:val="002510FD"/>
    <w:rsid w:val="002512A9"/>
    <w:rsid w:val="00252D78"/>
    <w:rsid w:val="0025463B"/>
    <w:rsid w:val="00255B15"/>
    <w:rsid w:val="0026777A"/>
    <w:rsid w:val="00270A1D"/>
    <w:rsid w:val="00273FF4"/>
    <w:rsid w:val="00275549"/>
    <w:rsid w:val="00275562"/>
    <w:rsid w:val="0027681F"/>
    <w:rsid w:val="00276DFD"/>
    <w:rsid w:val="00277463"/>
    <w:rsid w:val="00294A9D"/>
    <w:rsid w:val="0029710B"/>
    <w:rsid w:val="002A01E8"/>
    <w:rsid w:val="002A34A4"/>
    <w:rsid w:val="002A653F"/>
    <w:rsid w:val="002B143C"/>
    <w:rsid w:val="002B28CE"/>
    <w:rsid w:val="002B3CC4"/>
    <w:rsid w:val="002B7632"/>
    <w:rsid w:val="002B7E92"/>
    <w:rsid w:val="002C14E3"/>
    <w:rsid w:val="002C271C"/>
    <w:rsid w:val="002C5DCF"/>
    <w:rsid w:val="002D0669"/>
    <w:rsid w:val="002D37C0"/>
    <w:rsid w:val="002D74AF"/>
    <w:rsid w:val="002D7A5C"/>
    <w:rsid w:val="002F69F2"/>
    <w:rsid w:val="002F72DB"/>
    <w:rsid w:val="00300B56"/>
    <w:rsid w:val="00300E99"/>
    <w:rsid w:val="00307E04"/>
    <w:rsid w:val="003101B1"/>
    <w:rsid w:val="003110F9"/>
    <w:rsid w:val="0031409B"/>
    <w:rsid w:val="00316B24"/>
    <w:rsid w:val="003228BF"/>
    <w:rsid w:val="00323577"/>
    <w:rsid w:val="00330230"/>
    <w:rsid w:val="00333A64"/>
    <w:rsid w:val="00335DE2"/>
    <w:rsid w:val="003360B8"/>
    <w:rsid w:val="00337AE0"/>
    <w:rsid w:val="00344A87"/>
    <w:rsid w:val="00356588"/>
    <w:rsid w:val="00365D84"/>
    <w:rsid w:val="0037653A"/>
    <w:rsid w:val="00383376"/>
    <w:rsid w:val="00396F70"/>
    <w:rsid w:val="003A1F46"/>
    <w:rsid w:val="003A582B"/>
    <w:rsid w:val="003C5F1B"/>
    <w:rsid w:val="003D128B"/>
    <w:rsid w:val="003D2D28"/>
    <w:rsid w:val="003E5005"/>
    <w:rsid w:val="003F106D"/>
    <w:rsid w:val="003F6D54"/>
    <w:rsid w:val="00405948"/>
    <w:rsid w:val="00407DB1"/>
    <w:rsid w:val="0041281C"/>
    <w:rsid w:val="00413CA0"/>
    <w:rsid w:val="00417D7B"/>
    <w:rsid w:val="004220C9"/>
    <w:rsid w:val="00422FA1"/>
    <w:rsid w:val="0042555A"/>
    <w:rsid w:val="004475DE"/>
    <w:rsid w:val="00447AFA"/>
    <w:rsid w:val="0045450E"/>
    <w:rsid w:val="004547C2"/>
    <w:rsid w:val="0045775A"/>
    <w:rsid w:val="00461D55"/>
    <w:rsid w:val="00463FBC"/>
    <w:rsid w:val="004659A7"/>
    <w:rsid w:val="004677AE"/>
    <w:rsid w:val="0047153B"/>
    <w:rsid w:val="0047309A"/>
    <w:rsid w:val="00473D12"/>
    <w:rsid w:val="00474CC1"/>
    <w:rsid w:val="00474DB8"/>
    <w:rsid w:val="00475C54"/>
    <w:rsid w:val="00477462"/>
    <w:rsid w:val="00493389"/>
    <w:rsid w:val="004A1978"/>
    <w:rsid w:val="004A27F8"/>
    <w:rsid w:val="004A6C6F"/>
    <w:rsid w:val="004B5548"/>
    <w:rsid w:val="004B595B"/>
    <w:rsid w:val="004C741A"/>
    <w:rsid w:val="004C7E65"/>
    <w:rsid w:val="004D3D81"/>
    <w:rsid w:val="004D4963"/>
    <w:rsid w:val="004E2E9E"/>
    <w:rsid w:val="0050522F"/>
    <w:rsid w:val="00511CA6"/>
    <w:rsid w:val="00513547"/>
    <w:rsid w:val="00522EEE"/>
    <w:rsid w:val="00530C7E"/>
    <w:rsid w:val="00531A77"/>
    <w:rsid w:val="00534921"/>
    <w:rsid w:val="00535ADB"/>
    <w:rsid w:val="005376D0"/>
    <w:rsid w:val="00550761"/>
    <w:rsid w:val="00553706"/>
    <w:rsid w:val="00553B07"/>
    <w:rsid w:val="00555567"/>
    <w:rsid w:val="00557426"/>
    <w:rsid w:val="0056038D"/>
    <w:rsid w:val="00561967"/>
    <w:rsid w:val="005659E6"/>
    <w:rsid w:val="00570568"/>
    <w:rsid w:val="0057615D"/>
    <w:rsid w:val="00576BD8"/>
    <w:rsid w:val="00580ECA"/>
    <w:rsid w:val="00580F62"/>
    <w:rsid w:val="005864DD"/>
    <w:rsid w:val="00586FCC"/>
    <w:rsid w:val="00587AFB"/>
    <w:rsid w:val="00591B3D"/>
    <w:rsid w:val="00595BD4"/>
    <w:rsid w:val="005A4232"/>
    <w:rsid w:val="005B1611"/>
    <w:rsid w:val="005B6057"/>
    <w:rsid w:val="005B62A5"/>
    <w:rsid w:val="005C4DDF"/>
    <w:rsid w:val="005C6199"/>
    <w:rsid w:val="005D64B2"/>
    <w:rsid w:val="005E2CD9"/>
    <w:rsid w:val="005E4420"/>
    <w:rsid w:val="005F11BA"/>
    <w:rsid w:val="005F142F"/>
    <w:rsid w:val="005F1AB0"/>
    <w:rsid w:val="005F1ECD"/>
    <w:rsid w:val="005F263D"/>
    <w:rsid w:val="005F61AD"/>
    <w:rsid w:val="00604E19"/>
    <w:rsid w:val="0061003F"/>
    <w:rsid w:val="00615BBA"/>
    <w:rsid w:val="00620719"/>
    <w:rsid w:val="00620FEE"/>
    <w:rsid w:val="006223F4"/>
    <w:rsid w:val="00625050"/>
    <w:rsid w:val="0062588C"/>
    <w:rsid w:val="00631DA7"/>
    <w:rsid w:val="00642BC7"/>
    <w:rsid w:val="00643CB1"/>
    <w:rsid w:val="00651627"/>
    <w:rsid w:val="00651BB9"/>
    <w:rsid w:val="00652607"/>
    <w:rsid w:val="00653C81"/>
    <w:rsid w:val="006612BE"/>
    <w:rsid w:val="00662194"/>
    <w:rsid w:val="00671E79"/>
    <w:rsid w:val="00676D3D"/>
    <w:rsid w:val="00681559"/>
    <w:rsid w:val="006905EA"/>
    <w:rsid w:val="00691F3B"/>
    <w:rsid w:val="00693EBB"/>
    <w:rsid w:val="00694AA4"/>
    <w:rsid w:val="006979B9"/>
    <w:rsid w:val="006A2543"/>
    <w:rsid w:val="006A29E9"/>
    <w:rsid w:val="006A3EC5"/>
    <w:rsid w:val="006A5F68"/>
    <w:rsid w:val="006B1FE5"/>
    <w:rsid w:val="006B2E99"/>
    <w:rsid w:val="006B31DA"/>
    <w:rsid w:val="006B67FF"/>
    <w:rsid w:val="006B6C9E"/>
    <w:rsid w:val="006B6EC7"/>
    <w:rsid w:val="006C34AA"/>
    <w:rsid w:val="006C3EE6"/>
    <w:rsid w:val="006D26D0"/>
    <w:rsid w:val="006D5681"/>
    <w:rsid w:val="006D5817"/>
    <w:rsid w:val="006D6497"/>
    <w:rsid w:val="006D6682"/>
    <w:rsid w:val="006E2C6C"/>
    <w:rsid w:val="006E4F12"/>
    <w:rsid w:val="00703820"/>
    <w:rsid w:val="00704A06"/>
    <w:rsid w:val="00706338"/>
    <w:rsid w:val="00711427"/>
    <w:rsid w:val="007135C8"/>
    <w:rsid w:val="00724488"/>
    <w:rsid w:val="00726003"/>
    <w:rsid w:val="00727D4C"/>
    <w:rsid w:val="0074456C"/>
    <w:rsid w:val="00746939"/>
    <w:rsid w:val="00755383"/>
    <w:rsid w:val="00766846"/>
    <w:rsid w:val="00770146"/>
    <w:rsid w:val="00771127"/>
    <w:rsid w:val="00774431"/>
    <w:rsid w:val="00774581"/>
    <w:rsid w:val="00774DB3"/>
    <w:rsid w:val="00783665"/>
    <w:rsid w:val="00784678"/>
    <w:rsid w:val="00787D42"/>
    <w:rsid w:val="00787FA3"/>
    <w:rsid w:val="007912DC"/>
    <w:rsid w:val="00791E92"/>
    <w:rsid w:val="007923D1"/>
    <w:rsid w:val="007925A3"/>
    <w:rsid w:val="00796915"/>
    <w:rsid w:val="007971E8"/>
    <w:rsid w:val="00797D34"/>
    <w:rsid w:val="007A2547"/>
    <w:rsid w:val="007A2FD8"/>
    <w:rsid w:val="007A67DE"/>
    <w:rsid w:val="007B2797"/>
    <w:rsid w:val="007B28AE"/>
    <w:rsid w:val="007B4CD3"/>
    <w:rsid w:val="007B5C6E"/>
    <w:rsid w:val="007B5FBA"/>
    <w:rsid w:val="007B692A"/>
    <w:rsid w:val="007C2F88"/>
    <w:rsid w:val="007C5799"/>
    <w:rsid w:val="007D0ADD"/>
    <w:rsid w:val="007D4BD3"/>
    <w:rsid w:val="007D6147"/>
    <w:rsid w:val="007D6D8A"/>
    <w:rsid w:val="007D76B5"/>
    <w:rsid w:val="007E0342"/>
    <w:rsid w:val="007E147D"/>
    <w:rsid w:val="007E4921"/>
    <w:rsid w:val="007E5AF1"/>
    <w:rsid w:val="007F6706"/>
    <w:rsid w:val="00801050"/>
    <w:rsid w:val="00804748"/>
    <w:rsid w:val="00804A8B"/>
    <w:rsid w:val="00820BCE"/>
    <w:rsid w:val="008258C5"/>
    <w:rsid w:val="00825DC5"/>
    <w:rsid w:val="00826E82"/>
    <w:rsid w:val="00834D4D"/>
    <w:rsid w:val="00836A99"/>
    <w:rsid w:val="008371E4"/>
    <w:rsid w:val="00841F67"/>
    <w:rsid w:val="00844C69"/>
    <w:rsid w:val="008530DB"/>
    <w:rsid w:val="00853BB3"/>
    <w:rsid w:val="00855653"/>
    <w:rsid w:val="008608AB"/>
    <w:rsid w:val="008648E8"/>
    <w:rsid w:val="00866B56"/>
    <w:rsid w:val="00871A12"/>
    <w:rsid w:val="00872510"/>
    <w:rsid w:val="00874528"/>
    <w:rsid w:val="008768C6"/>
    <w:rsid w:val="00876E5D"/>
    <w:rsid w:val="008776F6"/>
    <w:rsid w:val="00881A24"/>
    <w:rsid w:val="00882FB7"/>
    <w:rsid w:val="008834E0"/>
    <w:rsid w:val="0088743C"/>
    <w:rsid w:val="008926A6"/>
    <w:rsid w:val="00894D26"/>
    <w:rsid w:val="00897DEA"/>
    <w:rsid w:val="008A3AB0"/>
    <w:rsid w:val="008A6204"/>
    <w:rsid w:val="008B086E"/>
    <w:rsid w:val="008B26A1"/>
    <w:rsid w:val="008B5F58"/>
    <w:rsid w:val="008B7480"/>
    <w:rsid w:val="008C1D78"/>
    <w:rsid w:val="008C53D7"/>
    <w:rsid w:val="008C6DAB"/>
    <w:rsid w:val="008D1821"/>
    <w:rsid w:val="008E51AC"/>
    <w:rsid w:val="008F3CE8"/>
    <w:rsid w:val="008F4512"/>
    <w:rsid w:val="008F61E5"/>
    <w:rsid w:val="009017F0"/>
    <w:rsid w:val="0090355D"/>
    <w:rsid w:val="00905FCF"/>
    <w:rsid w:val="0091077E"/>
    <w:rsid w:val="00911C68"/>
    <w:rsid w:val="009125CC"/>
    <w:rsid w:val="00917F6E"/>
    <w:rsid w:val="00920100"/>
    <w:rsid w:val="00920E00"/>
    <w:rsid w:val="00926E66"/>
    <w:rsid w:val="009408A5"/>
    <w:rsid w:val="00942C96"/>
    <w:rsid w:val="00944691"/>
    <w:rsid w:val="009476E4"/>
    <w:rsid w:val="00954E69"/>
    <w:rsid w:val="0095773F"/>
    <w:rsid w:val="00961821"/>
    <w:rsid w:val="00962AD9"/>
    <w:rsid w:val="009644DA"/>
    <w:rsid w:val="0096532A"/>
    <w:rsid w:val="009654D7"/>
    <w:rsid w:val="00965F67"/>
    <w:rsid w:val="00970AA5"/>
    <w:rsid w:val="00977AF3"/>
    <w:rsid w:val="00980BBC"/>
    <w:rsid w:val="00983F17"/>
    <w:rsid w:val="009841C9"/>
    <w:rsid w:val="00985477"/>
    <w:rsid w:val="00985DED"/>
    <w:rsid w:val="00986FB5"/>
    <w:rsid w:val="0098748B"/>
    <w:rsid w:val="009901B3"/>
    <w:rsid w:val="009A051D"/>
    <w:rsid w:val="009A1FB7"/>
    <w:rsid w:val="009A3C7C"/>
    <w:rsid w:val="009A443D"/>
    <w:rsid w:val="009B4027"/>
    <w:rsid w:val="009C367E"/>
    <w:rsid w:val="009C452A"/>
    <w:rsid w:val="009D3717"/>
    <w:rsid w:val="009F1BA5"/>
    <w:rsid w:val="00A00A32"/>
    <w:rsid w:val="00A04D24"/>
    <w:rsid w:val="00A05E94"/>
    <w:rsid w:val="00A10F37"/>
    <w:rsid w:val="00A13B04"/>
    <w:rsid w:val="00A1669D"/>
    <w:rsid w:val="00A273AB"/>
    <w:rsid w:val="00A346CB"/>
    <w:rsid w:val="00A351A3"/>
    <w:rsid w:val="00A3710B"/>
    <w:rsid w:val="00A415B8"/>
    <w:rsid w:val="00A44CB5"/>
    <w:rsid w:val="00A45074"/>
    <w:rsid w:val="00A53F5E"/>
    <w:rsid w:val="00A568E0"/>
    <w:rsid w:val="00A60BB3"/>
    <w:rsid w:val="00A71AA7"/>
    <w:rsid w:val="00A72C7A"/>
    <w:rsid w:val="00A76668"/>
    <w:rsid w:val="00A76E03"/>
    <w:rsid w:val="00A818D5"/>
    <w:rsid w:val="00A8491B"/>
    <w:rsid w:val="00A905C4"/>
    <w:rsid w:val="00A95FEE"/>
    <w:rsid w:val="00A97A06"/>
    <w:rsid w:val="00AA07B3"/>
    <w:rsid w:val="00AA135E"/>
    <w:rsid w:val="00AA3039"/>
    <w:rsid w:val="00AA317C"/>
    <w:rsid w:val="00AA5A1E"/>
    <w:rsid w:val="00AB0DBA"/>
    <w:rsid w:val="00AB5087"/>
    <w:rsid w:val="00AC0F32"/>
    <w:rsid w:val="00AC2E20"/>
    <w:rsid w:val="00AD3210"/>
    <w:rsid w:val="00AD330B"/>
    <w:rsid w:val="00AD4E2C"/>
    <w:rsid w:val="00AE29D6"/>
    <w:rsid w:val="00AF0C4D"/>
    <w:rsid w:val="00AF3926"/>
    <w:rsid w:val="00B01426"/>
    <w:rsid w:val="00B01E67"/>
    <w:rsid w:val="00B052B7"/>
    <w:rsid w:val="00B06178"/>
    <w:rsid w:val="00B06EF5"/>
    <w:rsid w:val="00B11D1B"/>
    <w:rsid w:val="00B158EA"/>
    <w:rsid w:val="00B24018"/>
    <w:rsid w:val="00B25775"/>
    <w:rsid w:val="00B272C9"/>
    <w:rsid w:val="00B27DBC"/>
    <w:rsid w:val="00B377AF"/>
    <w:rsid w:val="00B42C1E"/>
    <w:rsid w:val="00B5361C"/>
    <w:rsid w:val="00B56098"/>
    <w:rsid w:val="00B60FDE"/>
    <w:rsid w:val="00B63312"/>
    <w:rsid w:val="00B63D37"/>
    <w:rsid w:val="00B70116"/>
    <w:rsid w:val="00B72226"/>
    <w:rsid w:val="00B84428"/>
    <w:rsid w:val="00BA0ED1"/>
    <w:rsid w:val="00BA2151"/>
    <w:rsid w:val="00BB31FE"/>
    <w:rsid w:val="00BB6E75"/>
    <w:rsid w:val="00BB7852"/>
    <w:rsid w:val="00BC0125"/>
    <w:rsid w:val="00BC22E7"/>
    <w:rsid w:val="00BC48D9"/>
    <w:rsid w:val="00BD0B7E"/>
    <w:rsid w:val="00BD114E"/>
    <w:rsid w:val="00BD13D1"/>
    <w:rsid w:val="00BD434D"/>
    <w:rsid w:val="00BD658C"/>
    <w:rsid w:val="00BE2B9D"/>
    <w:rsid w:val="00BE610E"/>
    <w:rsid w:val="00BF1029"/>
    <w:rsid w:val="00BF34A1"/>
    <w:rsid w:val="00BF3DF8"/>
    <w:rsid w:val="00C01770"/>
    <w:rsid w:val="00C053E1"/>
    <w:rsid w:val="00C0641D"/>
    <w:rsid w:val="00C14C85"/>
    <w:rsid w:val="00C20DD2"/>
    <w:rsid w:val="00C2307A"/>
    <w:rsid w:val="00C23604"/>
    <w:rsid w:val="00C267CD"/>
    <w:rsid w:val="00C32595"/>
    <w:rsid w:val="00C34733"/>
    <w:rsid w:val="00C34AFE"/>
    <w:rsid w:val="00C360AA"/>
    <w:rsid w:val="00C36E67"/>
    <w:rsid w:val="00C40195"/>
    <w:rsid w:val="00C5151F"/>
    <w:rsid w:val="00C53E84"/>
    <w:rsid w:val="00C54C50"/>
    <w:rsid w:val="00C575CF"/>
    <w:rsid w:val="00C5787E"/>
    <w:rsid w:val="00C61D73"/>
    <w:rsid w:val="00C62F54"/>
    <w:rsid w:val="00C7283F"/>
    <w:rsid w:val="00C7469C"/>
    <w:rsid w:val="00C75F19"/>
    <w:rsid w:val="00C80823"/>
    <w:rsid w:val="00C91F66"/>
    <w:rsid w:val="00C944E4"/>
    <w:rsid w:val="00CA248F"/>
    <w:rsid w:val="00CA6B6D"/>
    <w:rsid w:val="00CA6C13"/>
    <w:rsid w:val="00CB0117"/>
    <w:rsid w:val="00CC0164"/>
    <w:rsid w:val="00CD0457"/>
    <w:rsid w:val="00CD2A47"/>
    <w:rsid w:val="00CD3859"/>
    <w:rsid w:val="00CE0AB9"/>
    <w:rsid w:val="00CE2A69"/>
    <w:rsid w:val="00CE3042"/>
    <w:rsid w:val="00CE63D5"/>
    <w:rsid w:val="00CF2C05"/>
    <w:rsid w:val="00CF2D3C"/>
    <w:rsid w:val="00CF303E"/>
    <w:rsid w:val="00CF7FCF"/>
    <w:rsid w:val="00D00603"/>
    <w:rsid w:val="00D00F35"/>
    <w:rsid w:val="00D0323D"/>
    <w:rsid w:val="00D04B80"/>
    <w:rsid w:val="00D10D3E"/>
    <w:rsid w:val="00D1339F"/>
    <w:rsid w:val="00D147CC"/>
    <w:rsid w:val="00D204A7"/>
    <w:rsid w:val="00D22814"/>
    <w:rsid w:val="00D25055"/>
    <w:rsid w:val="00D26622"/>
    <w:rsid w:val="00D314BD"/>
    <w:rsid w:val="00D31C27"/>
    <w:rsid w:val="00D33CE4"/>
    <w:rsid w:val="00D35B4D"/>
    <w:rsid w:val="00D37292"/>
    <w:rsid w:val="00D372F6"/>
    <w:rsid w:val="00D41500"/>
    <w:rsid w:val="00D56D2C"/>
    <w:rsid w:val="00D66006"/>
    <w:rsid w:val="00D71576"/>
    <w:rsid w:val="00D71CC6"/>
    <w:rsid w:val="00D71E51"/>
    <w:rsid w:val="00D74970"/>
    <w:rsid w:val="00D801E2"/>
    <w:rsid w:val="00D8228C"/>
    <w:rsid w:val="00D9110D"/>
    <w:rsid w:val="00D91214"/>
    <w:rsid w:val="00D919A2"/>
    <w:rsid w:val="00D970D9"/>
    <w:rsid w:val="00D976B8"/>
    <w:rsid w:val="00DA061A"/>
    <w:rsid w:val="00DA1DDA"/>
    <w:rsid w:val="00DA40D3"/>
    <w:rsid w:val="00DB2934"/>
    <w:rsid w:val="00DC67DB"/>
    <w:rsid w:val="00DC71EC"/>
    <w:rsid w:val="00DC7B6B"/>
    <w:rsid w:val="00DD201C"/>
    <w:rsid w:val="00DD7524"/>
    <w:rsid w:val="00DE274A"/>
    <w:rsid w:val="00DE5853"/>
    <w:rsid w:val="00DE7C78"/>
    <w:rsid w:val="00DF1F7C"/>
    <w:rsid w:val="00DF5A6E"/>
    <w:rsid w:val="00DF675B"/>
    <w:rsid w:val="00E01D28"/>
    <w:rsid w:val="00E02318"/>
    <w:rsid w:val="00E04164"/>
    <w:rsid w:val="00E1159A"/>
    <w:rsid w:val="00E12516"/>
    <w:rsid w:val="00E14536"/>
    <w:rsid w:val="00E15A29"/>
    <w:rsid w:val="00E166DF"/>
    <w:rsid w:val="00E16780"/>
    <w:rsid w:val="00E214CF"/>
    <w:rsid w:val="00E23A40"/>
    <w:rsid w:val="00E244EB"/>
    <w:rsid w:val="00E259BC"/>
    <w:rsid w:val="00E2619F"/>
    <w:rsid w:val="00E2690A"/>
    <w:rsid w:val="00E30476"/>
    <w:rsid w:val="00E308DE"/>
    <w:rsid w:val="00E3162D"/>
    <w:rsid w:val="00E31CEC"/>
    <w:rsid w:val="00E44C46"/>
    <w:rsid w:val="00E5423B"/>
    <w:rsid w:val="00E6126E"/>
    <w:rsid w:val="00E620A1"/>
    <w:rsid w:val="00E62740"/>
    <w:rsid w:val="00E62CAF"/>
    <w:rsid w:val="00E676CC"/>
    <w:rsid w:val="00E748F5"/>
    <w:rsid w:val="00E7748C"/>
    <w:rsid w:val="00E80A5B"/>
    <w:rsid w:val="00E81C4C"/>
    <w:rsid w:val="00E9305D"/>
    <w:rsid w:val="00E930DC"/>
    <w:rsid w:val="00E96E3E"/>
    <w:rsid w:val="00EA0268"/>
    <w:rsid w:val="00EA0529"/>
    <w:rsid w:val="00EA0EC1"/>
    <w:rsid w:val="00EA42C3"/>
    <w:rsid w:val="00EA5666"/>
    <w:rsid w:val="00EB32FD"/>
    <w:rsid w:val="00EB399B"/>
    <w:rsid w:val="00EB4508"/>
    <w:rsid w:val="00EB4A8C"/>
    <w:rsid w:val="00EC08F8"/>
    <w:rsid w:val="00EC4D68"/>
    <w:rsid w:val="00EC6EBF"/>
    <w:rsid w:val="00ED1CB3"/>
    <w:rsid w:val="00ED4E4C"/>
    <w:rsid w:val="00EE4097"/>
    <w:rsid w:val="00EE48B7"/>
    <w:rsid w:val="00EE53E5"/>
    <w:rsid w:val="00EE6F42"/>
    <w:rsid w:val="00EF28A9"/>
    <w:rsid w:val="00EF6C2B"/>
    <w:rsid w:val="00F04574"/>
    <w:rsid w:val="00F113F3"/>
    <w:rsid w:val="00F21088"/>
    <w:rsid w:val="00F2161E"/>
    <w:rsid w:val="00F243A4"/>
    <w:rsid w:val="00F30593"/>
    <w:rsid w:val="00F30D11"/>
    <w:rsid w:val="00F37C87"/>
    <w:rsid w:val="00F40961"/>
    <w:rsid w:val="00F4130C"/>
    <w:rsid w:val="00F4300A"/>
    <w:rsid w:val="00F4418E"/>
    <w:rsid w:val="00F47F75"/>
    <w:rsid w:val="00F50F64"/>
    <w:rsid w:val="00F5193A"/>
    <w:rsid w:val="00F54677"/>
    <w:rsid w:val="00F573B9"/>
    <w:rsid w:val="00F6117E"/>
    <w:rsid w:val="00F635E2"/>
    <w:rsid w:val="00F67580"/>
    <w:rsid w:val="00F711BA"/>
    <w:rsid w:val="00F717DC"/>
    <w:rsid w:val="00F764F3"/>
    <w:rsid w:val="00F770E1"/>
    <w:rsid w:val="00F7764A"/>
    <w:rsid w:val="00F81EF7"/>
    <w:rsid w:val="00F908A6"/>
    <w:rsid w:val="00F932A4"/>
    <w:rsid w:val="00F96654"/>
    <w:rsid w:val="00F979C8"/>
    <w:rsid w:val="00FA339A"/>
    <w:rsid w:val="00FA54A4"/>
    <w:rsid w:val="00FB6D70"/>
    <w:rsid w:val="00FB790E"/>
    <w:rsid w:val="00FC0C5B"/>
    <w:rsid w:val="00FC47A6"/>
    <w:rsid w:val="00FC4E95"/>
    <w:rsid w:val="00FC5CE5"/>
    <w:rsid w:val="00FC61FD"/>
    <w:rsid w:val="00FE60B9"/>
    <w:rsid w:val="00FF0F38"/>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4543F"/>
  <w15:docId w15:val="{FF2DCC18-979B-4E7C-9BAE-A6883B77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1"/>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1"/>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Caption">
    <w:name w:val="caption"/>
    <w:basedOn w:val="Normal"/>
    <w:next w:val="Normal"/>
    <w:uiPriority w:val="35"/>
    <w:unhideWhenUsed/>
    <w:qFormat/>
    <w:rsid w:val="002B143C"/>
    <w:pPr>
      <w:spacing w:line="240" w:lineRule="auto"/>
    </w:pPr>
    <w:rPr>
      <w:rFonts w:asciiTheme="minorHAnsi" w:hAnsiTheme="minorHAnsi"/>
      <w:b/>
      <w:bCs/>
      <w:color w:val="4F81BD" w:themeColor="accent1"/>
      <w:sz w:val="18"/>
      <w:szCs w:val="18"/>
    </w:rPr>
  </w:style>
  <w:style w:type="paragraph" w:styleId="Header">
    <w:name w:val="header"/>
    <w:basedOn w:val="Normal"/>
    <w:link w:val="HeaderChar"/>
    <w:uiPriority w:val="99"/>
    <w:unhideWhenUsed/>
    <w:rsid w:val="0087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F6"/>
    <w:rPr>
      <w:rFonts w:ascii="Times New Roman" w:hAnsi="Times New Roman"/>
    </w:rPr>
  </w:style>
  <w:style w:type="paragraph" w:styleId="Footer">
    <w:name w:val="footer"/>
    <w:basedOn w:val="Normal"/>
    <w:link w:val="FooterChar"/>
    <w:uiPriority w:val="99"/>
    <w:unhideWhenUsed/>
    <w:rsid w:val="0087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F6"/>
    <w:rPr>
      <w:rFonts w:ascii="Times New Roman" w:hAnsi="Times New Roman"/>
    </w:rPr>
  </w:style>
  <w:style w:type="table" w:styleId="TableGrid">
    <w:name w:val="Table Grid"/>
    <w:basedOn w:val="TableNormal"/>
    <w:uiPriority w:val="39"/>
    <w:rsid w:val="009F1BA5"/>
    <w:pPr>
      <w:spacing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E409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0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74DE-91C1-45DC-BDE4-A5708BD0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Labkovskaia, Yuliya</cp:lastModifiedBy>
  <cp:revision>2</cp:revision>
  <cp:lastPrinted>2019-03-12T12:47:00Z</cp:lastPrinted>
  <dcterms:created xsi:type="dcterms:W3CDTF">2020-12-15T15:57:00Z</dcterms:created>
  <dcterms:modified xsi:type="dcterms:W3CDTF">2020-12-15T15:57:00Z</dcterms:modified>
</cp:coreProperties>
</file>