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EA88E" w14:textId="1A25C22B" w:rsidR="009654D7" w:rsidRPr="00AC6F49" w:rsidRDefault="00E1159A" w:rsidP="00AC6F49">
      <w:pPr>
        <w:pStyle w:val="Heading1"/>
      </w:pPr>
      <w:r w:rsidRPr="00AC6F49">
        <w:t xml:space="preserve">Attachment </w:t>
      </w:r>
      <w:r w:rsidR="008C1D78" w:rsidRPr="00AC6F49">
        <w:t>APR</w:t>
      </w:r>
    </w:p>
    <w:p w14:paraId="74B52C45" w14:textId="77777777" w:rsidR="00595BD4" w:rsidRPr="00AC6F49" w:rsidRDefault="00595BD4" w:rsidP="00AC6F49"/>
    <w:p w14:paraId="6570475A" w14:textId="77777777" w:rsidR="009654D7" w:rsidRPr="00AC6F49" w:rsidRDefault="009654D7" w:rsidP="00AC6F49">
      <w:pPr>
        <w:pStyle w:val="Heading1"/>
      </w:pPr>
      <w:r w:rsidRPr="00AC6F49">
        <w:t>Delivery System Reform Incentive Payment (DSRIP) Program</w:t>
      </w:r>
    </w:p>
    <w:p w14:paraId="1F6E444E" w14:textId="77777777" w:rsidR="009654D7" w:rsidRPr="00AC6F49" w:rsidRDefault="009654D7" w:rsidP="00AC6F49">
      <w:pPr>
        <w:pStyle w:val="Heading1"/>
      </w:pPr>
      <w:r w:rsidRPr="00AC6F49">
        <w:t xml:space="preserve">Accountable Care Organization (ACO) </w:t>
      </w:r>
      <w:r w:rsidR="00E1159A" w:rsidRPr="00AC6F49">
        <w:t>PY</w:t>
      </w:r>
      <w:r w:rsidR="00910D72" w:rsidRPr="00AC6F49">
        <w:t>2</w:t>
      </w:r>
      <w:r w:rsidR="00E1159A" w:rsidRPr="00AC6F49">
        <w:t xml:space="preserve"> </w:t>
      </w:r>
      <w:r w:rsidR="008C1D78" w:rsidRPr="00AC6F49">
        <w:t xml:space="preserve">Annual </w:t>
      </w:r>
      <w:r w:rsidR="00E1159A" w:rsidRPr="00AC6F49">
        <w:t>Progress Report Response Form</w:t>
      </w:r>
    </w:p>
    <w:p w14:paraId="643F1A6F" w14:textId="77777777" w:rsidR="00595BD4" w:rsidRPr="00AC6F49" w:rsidRDefault="00595BD4" w:rsidP="00AC6F49"/>
    <w:p w14:paraId="63E5F3B5" w14:textId="77777777" w:rsidR="00595BD4" w:rsidRPr="00AC6F49" w:rsidRDefault="00595BD4" w:rsidP="00AC6F49">
      <w:pPr>
        <w:pStyle w:val="Heading1"/>
      </w:pPr>
      <w:r w:rsidRPr="00AC6F49">
        <w:t xml:space="preserve">Part 1: </w:t>
      </w:r>
      <w:r w:rsidR="00E1159A" w:rsidRPr="00AC6F49">
        <w:t>PY</w:t>
      </w:r>
      <w:r w:rsidR="00910D72" w:rsidRPr="00AC6F49">
        <w:t>2</w:t>
      </w:r>
      <w:r w:rsidR="00E1159A" w:rsidRPr="00AC6F49">
        <w:t xml:space="preserve"> Progress Report Executive Summary</w:t>
      </w:r>
    </w:p>
    <w:p w14:paraId="69E229C2" w14:textId="77777777" w:rsidR="009654D7" w:rsidRPr="000E5F21" w:rsidRDefault="009654D7" w:rsidP="000E5F21">
      <w:pPr>
        <w:spacing w:after="120"/>
        <w:rPr>
          <w:rFonts w:cs="Times New Roman"/>
        </w:rPr>
      </w:pPr>
    </w:p>
    <w:p w14:paraId="2468E16D" w14:textId="77777777" w:rsidR="009654D7" w:rsidRPr="00AC6F49" w:rsidRDefault="009654D7" w:rsidP="00AC6F49">
      <w:pPr>
        <w:pStyle w:val="Heading2"/>
      </w:pPr>
      <w:r w:rsidRPr="00AC6F49">
        <w:t>General Information</w:t>
      </w:r>
    </w:p>
    <w:tbl>
      <w:tblPr>
        <w:tblStyle w:val="TableGridLight"/>
        <w:tblW w:w="9560" w:type="dxa"/>
        <w:tblLayout w:type="fixed"/>
        <w:tblLook w:val="04A0" w:firstRow="1" w:lastRow="0" w:firstColumn="1" w:lastColumn="0" w:noHBand="0" w:noVBand="1"/>
        <w:tblCaption w:val="General Information"/>
      </w:tblPr>
      <w:tblGrid>
        <w:gridCol w:w="2355"/>
        <w:gridCol w:w="7205"/>
      </w:tblGrid>
      <w:tr w:rsidR="00CA248F" w:rsidRPr="009D4FC2" w14:paraId="069AF5C8" w14:textId="77777777" w:rsidTr="00AC6F49">
        <w:trPr>
          <w:trHeight w:val="375"/>
          <w:tblHeader/>
        </w:trPr>
        <w:tc>
          <w:tcPr>
            <w:tcW w:w="2355" w:type="dxa"/>
            <w:shd w:val="clear" w:color="auto" w:fill="F2F2F2"/>
            <w:hideMark/>
          </w:tcPr>
          <w:p w14:paraId="669CE64A" w14:textId="77777777" w:rsidR="00CA248F" w:rsidRPr="00866B56" w:rsidRDefault="00CA248F" w:rsidP="00CA248F">
            <w:pPr>
              <w:spacing w:after="0"/>
              <w:contextualSpacing/>
              <w:rPr>
                <w:rFonts w:asciiTheme="minorHAnsi" w:eastAsia="Times New Roman" w:hAnsiTheme="minorHAnsi" w:cs="Times New Roman"/>
                <w:b/>
                <w:bCs/>
                <w:color w:val="000000"/>
              </w:rPr>
            </w:pPr>
            <w:r w:rsidRPr="00866B56">
              <w:rPr>
                <w:rFonts w:asciiTheme="minorHAnsi" w:eastAsia="Times New Roman" w:hAnsiTheme="minorHAnsi" w:cs="Times New Roman"/>
                <w:b/>
                <w:bCs/>
                <w:color w:val="000000"/>
              </w:rPr>
              <w:t>Full ACO Name:</w:t>
            </w:r>
          </w:p>
        </w:tc>
        <w:tc>
          <w:tcPr>
            <w:tcW w:w="7205" w:type="dxa"/>
            <w:shd w:val="clear" w:color="auto" w:fill="F2F2F2"/>
            <w:hideMark/>
          </w:tcPr>
          <w:p w14:paraId="2C3BA0F7" w14:textId="77777777" w:rsidR="00CA248F" w:rsidRPr="004A27F8" w:rsidRDefault="00CA248F" w:rsidP="00CA248F">
            <w:pPr>
              <w:spacing w:after="0"/>
              <w:rPr>
                <w:rFonts w:asciiTheme="minorHAnsi" w:eastAsia="Times New Roman" w:hAnsiTheme="minorHAnsi" w:cs="Times New Roman"/>
              </w:rPr>
            </w:pPr>
            <w:r w:rsidRPr="004A27F8">
              <w:rPr>
                <w:rFonts w:asciiTheme="minorHAnsi" w:hAnsiTheme="minorHAnsi" w:cs="Times New Roman"/>
              </w:rPr>
              <w:t>Tufts Health Together with Boston Children’s ACO</w:t>
            </w:r>
          </w:p>
        </w:tc>
      </w:tr>
      <w:tr w:rsidR="009654D7" w:rsidRPr="009D4FC2" w14:paraId="5ACBA985" w14:textId="77777777" w:rsidTr="00AC6F49">
        <w:trPr>
          <w:trHeight w:val="375"/>
        </w:trPr>
        <w:tc>
          <w:tcPr>
            <w:tcW w:w="2355" w:type="dxa"/>
            <w:hideMark/>
          </w:tcPr>
          <w:p w14:paraId="01D3A92A" w14:textId="77777777" w:rsidR="009654D7" w:rsidRPr="00866B56" w:rsidRDefault="009654D7" w:rsidP="00EA42C3">
            <w:pPr>
              <w:spacing w:after="0"/>
              <w:contextualSpacing/>
              <w:rPr>
                <w:rFonts w:asciiTheme="minorHAnsi" w:eastAsia="Times New Roman" w:hAnsiTheme="minorHAnsi" w:cs="Times New Roman"/>
                <w:b/>
                <w:bCs/>
                <w:color w:val="000000"/>
              </w:rPr>
            </w:pPr>
            <w:r w:rsidRPr="00866B56">
              <w:rPr>
                <w:rFonts w:asciiTheme="minorHAnsi" w:eastAsia="Times New Roman" w:hAnsiTheme="minorHAnsi" w:cs="Times New Roman"/>
                <w:b/>
                <w:bCs/>
                <w:color w:val="000000"/>
              </w:rPr>
              <w:t>ACO Address:</w:t>
            </w:r>
          </w:p>
        </w:tc>
        <w:tc>
          <w:tcPr>
            <w:tcW w:w="7205" w:type="dxa"/>
            <w:hideMark/>
          </w:tcPr>
          <w:p w14:paraId="300D69E1" w14:textId="77777777" w:rsidR="00CA248F" w:rsidRPr="004A27F8" w:rsidRDefault="00CA248F" w:rsidP="00CA248F">
            <w:pPr>
              <w:autoSpaceDE w:val="0"/>
              <w:autoSpaceDN w:val="0"/>
              <w:adjustRightInd w:val="0"/>
              <w:spacing w:after="0"/>
              <w:rPr>
                <w:rFonts w:asciiTheme="minorHAnsi" w:hAnsiTheme="minorHAnsi" w:cs="Times New Roman"/>
              </w:rPr>
            </w:pPr>
            <w:r w:rsidRPr="004A27F8">
              <w:rPr>
                <w:rFonts w:asciiTheme="minorHAnsi" w:hAnsiTheme="minorHAnsi" w:cs="Times New Roman"/>
              </w:rPr>
              <w:t xml:space="preserve">705 Mount Auburn Street </w:t>
            </w:r>
          </w:p>
          <w:p w14:paraId="0DA3AA5F" w14:textId="77777777" w:rsidR="009654D7" w:rsidRPr="004A27F8" w:rsidRDefault="00CA248F" w:rsidP="00CA248F">
            <w:pPr>
              <w:spacing w:after="0"/>
              <w:contextualSpacing/>
              <w:rPr>
                <w:rFonts w:asciiTheme="minorHAnsi" w:eastAsia="Times New Roman" w:hAnsiTheme="minorHAnsi" w:cs="Times New Roman"/>
              </w:rPr>
            </w:pPr>
            <w:r w:rsidRPr="004A27F8">
              <w:rPr>
                <w:rFonts w:asciiTheme="minorHAnsi" w:hAnsiTheme="minorHAnsi"/>
              </w:rPr>
              <w:t>Watertown, MA 02472</w:t>
            </w:r>
          </w:p>
        </w:tc>
      </w:tr>
    </w:tbl>
    <w:p w14:paraId="3B2B3ABE" w14:textId="3E9CA3AC" w:rsidR="009654D7" w:rsidRPr="009654D7" w:rsidRDefault="009654D7" w:rsidP="00EA42C3">
      <w:pPr>
        <w:contextualSpacing/>
        <w:rPr>
          <w:rFonts w:cs="Times New Roman"/>
        </w:rPr>
      </w:pPr>
    </w:p>
    <w:p w14:paraId="04796F5B" w14:textId="1035C7CE" w:rsidR="007925A3" w:rsidRPr="004A27F8" w:rsidRDefault="009D53A4" w:rsidP="009D53A4">
      <w:pPr>
        <w:pStyle w:val="Heading2"/>
        <w:ind w:left="0"/>
      </w:pPr>
      <w:r w:rsidRPr="009D53A4">
        <w:rPr>
          <w:color w:val="auto"/>
        </w:rPr>
        <w:t xml:space="preserve">Part 1. </w:t>
      </w:r>
      <w:r w:rsidR="00D204A7" w:rsidRPr="00866B56">
        <w:t>PY</w:t>
      </w:r>
      <w:r w:rsidR="008C1D78" w:rsidRPr="00866B56">
        <w:t>1</w:t>
      </w:r>
      <w:r w:rsidR="00D204A7" w:rsidRPr="00866B56">
        <w:t xml:space="preserve"> Progress Report Executive Summary</w:t>
      </w:r>
    </w:p>
    <w:p w14:paraId="41B1B1DA" w14:textId="27BAA68B" w:rsidR="004C741A" w:rsidRPr="00866B56" w:rsidRDefault="00AC6F49" w:rsidP="00AC6F49">
      <w:pPr>
        <w:pStyle w:val="Heading2"/>
        <w:ind w:left="0"/>
      </w:pPr>
      <w:r>
        <w:t xml:space="preserve">1.1 </w:t>
      </w:r>
      <w:r w:rsidR="00C14C85" w:rsidRPr="00866B56">
        <w:t xml:space="preserve">ACO Goals from </w:t>
      </w:r>
      <w:r w:rsidR="003A582B" w:rsidRPr="00866B56">
        <w:t xml:space="preserve">its </w:t>
      </w:r>
      <w:r w:rsidR="008C1D78" w:rsidRPr="00866B56">
        <w:t>Full</w:t>
      </w:r>
      <w:r w:rsidR="00C14C85" w:rsidRPr="00866B56">
        <w:t xml:space="preserve"> </w:t>
      </w:r>
      <w:r w:rsidR="00461D55" w:rsidRPr="00866B56">
        <w:t>Participation Plan</w:t>
      </w:r>
    </w:p>
    <w:p w14:paraId="5900D016" w14:textId="19D30645" w:rsidR="00DF1F7C" w:rsidRDefault="002B7632" w:rsidP="00934B30">
      <w:pPr>
        <w:spacing w:after="0"/>
        <w:rPr>
          <w:rFonts w:asciiTheme="minorHAnsi" w:hAnsiTheme="minorHAnsi" w:cs="Arial"/>
        </w:rPr>
      </w:pPr>
      <w:r>
        <w:rPr>
          <w:rFonts w:asciiTheme="minorHAnsi" w:hAnsiTheme="minorHAnsi" w:cs="Arial"/>
        </w:rPr>
        <w:t>T</w:t>
      </w:r>
      <w:r w:rsidRPr="00866B56">
        <w:rPr>
          <w:rFonts w:asciiTheme="minorHAnsi" w:hAnsiTheme="minorHAnsi" w:cs="Arial"/>
        </w:rPr>
        <w:t xml:space="preserve">he </w:t>
      </w:r>
      <w:r w:rsidR="00DF1F7C" w:rsidRPr="00866B56">
        <w:rPr>
          <w:rFonts w:asciiTheme="minorHAnsi" w:hAnsiTheme="minorHAnsi" w:cs="Arial"/>
        </w:rPr>
        <w:t>ACO has</w:t>
      </w:r>
      <w:r w:rsidR="00681559" w:rsidRPr="00866B56">
        <w:rPr>
          <w:rFonts w:asciiTheme="minorHAnsi" w:hAnsiTheme="minorHAnsi" w:cs="Arial"/>
        </w:rPr>
        <w:t xml:space="preserve"> </w:t>
      </w:r>
      <w:r w:rsidR="00344EDB">
        <w:rPr>
          <w:rFonts w:asciiTheme="minorHAnsi" w:hAnsiTheme="minorHAnsi" w:cs="Arial"/>
        </w:rPr>
        <w:t>eight</w:t>
      </w:r>
      <w:r w:rsidR="00B27DBC">
        <w:rPr>
          <w:rFonts w:asciiTheme="minorHAnsi" w:hAnsiTheme="minorHAnsi" w:cs="Arial"/>
        </w:rPr>
        <w:t xml:space="preserve"> </w:t>
      </w:r>
      <w:r w:rsidR="00344EDB">
        <w:rPr>
          <w:rFonts w:asciiTheme="minorHAnsi" w:hAnsiTheme="minorHAnsi" w:cs="Arial"/>
        </w:rPr>
        <w:t>PY3</w:t>
      </w:r>
      <w:r w:rsidR="00681559" w:rsidRPr="00866B56">
        <w:rPr>
          <w:rFonts w:asciiTheme="minorHAnsi" w:hAnsiTheme="minorHAnsi" w:cs="Arial"/>
        </w:rPr>
        <w:t xml:space="preserve"> goals</w:t>
      </w:r>
      <w:r>
        <w:rPr>
          <w:rFonts w:asciiTheme="minorHAnsi" w:hAnsiTheme="minorHAnsi" w:cs="Arial"/>
        </w:rPr>
        <w:t>.</w:t>
      </w:r>
      <w:r w:rsidR="00681559" w:rsidRPr="00866B56">
        <w:rPr>
          <w:rFonts w:asciiTheme="minorHAnsi" w:hAnsiTheme="minorHAnsi" w:cs="Arial"/>
        </w:rPr>
        <w:t xml:space="preserve"> </w:t>
      </w:r>
      <w:r>
        <w:rPr>
          <w:rFonts w:asciiTheme="minorHAnsi" w:hAnsiTheme="minorHAnsi" w:cs="Arial"/>
        </w:rPr>
        <w:t xml:space="preserve">Of note, the </w:t>
      </w:r>
      <w:r w:rsidR="00344EDB">
        <w:rPr>
          <w:rFonts w:asciiTheme="minorHAnsi" w:hAnsiTheme="minorHAnsi" w:cs="Arial"/>
        </w:rPr>
        <w:t xml:space="preserve">goals were revised in January 2020 as part of the Full Participation Plan deliverable. </w:t>
      </w:r>
      <w:r w:rsidR="00B27DBC">
        <w:rPr>
          <w:rFonts w:asciiTheme="minorHAnsi" w:hAnsiTheme="minorHAnsi" w:cs="Arial"/>
        </w:rPr>
        <w:t xml:space="preserve">Table 1 presents the </w:t>
      </w:r>
      <w:r>
        <w:rPr>
          <w:rFonts w:asciiTheme="minorHAnsi" w:hAnsiTheme="minorHAnsi" w:cs="Arial"/>
        </w:rPr>
        <w:t xml:space="preserve">alignment of </w:t>
      </w:r>
      <w:r w:rsidR="00344EDB">
        <w:rPr>
          <w:rFonts w:asciiTheme="minorHAnsi" w:hAnsiTheme="minorHAnsi" w:cs="Arial"/>
        </w:rPr>
        <w:t>PY3</w:t>
      </w:r>
      <w:r w:rsidR="00B27DBC">
        <w:rPr>
          <w:rFonts w:asciiTheme="minorHAnsi" w:hAnsiTheme="minorHAnsi" w:cs="Arial"/>
        </w:rPr>
        <w:t xml:space="preserve"> </w:t>
      </w:r>
      <w:r>
        <w:rPr>
          <w:rFonts w:asciiTheme="minorHAnsi" w:hAnsiTheme="minorHAnsi" w:cs="Arial"/>
        </w:rPr>
        <w:t xml:space="preserve">goals with previously submitted </w:t>
      </w:r>
      <w:r w:rsidR="00344EDB">
        <w:rPr>
          <w:rFonts w:asciiTheme="minorHAnsi" w:hAnsiTheme="minorHAnsi" w:cs="Arial"/>
        </w:rPr>
        <w:t>PY2</w:t>
      </w:r>
      <w:r w:rsidR="00B27DBC">
        <w:rPr>
          <w:rFonts w:asciiTheme="minorHAnsi" w:hAnsiTheme="minorHAnsi" w:cs="Arial"/>
        </w:rPr>
        <w:t xml:space="preserve"> goals</w:t>
      </w:r>
      <w:r w:rsidR="0074456C" w:rsidRPr="00866B56">
        <w:rPr>
          <w:rFonts w:asciiTheme="minorHAnsi" w:hAnsiTheme="minorHAnsi" w:cs="Arial"/>
        </w:rPr>
        <w:t>.</w:t>
      </w:r>
      <w:r w:rsidR="0084492E" w:rsidRPr="0084492E">
        <w:rPr>
          <w:rFonts w:ascii="Calibri" w:hAnsi="Calibri" w:cs="Calibri"/>
          <w:color w:val="212121"/>
          <w:shd w:val="clear" w:color="auto" w:fill="FFFFFF"/>
        </w:rPr>
        <w:t xml:space="preserve"> </w:t>
      </w:r>
      <w:r w:rsidR="0084492E">
        <w:rPr>
          <w:rFonts w:ascii="Calibri" w:hAnsi="Calibri" w:cs="Calibri"/>
          <w:color w:val="212121"/>
          <w:shd w:val="clear" w:color="auto" w:fill="FFFFFF"/>
        </w:rPr>
        <w:t>Please note that the COVID-19 pandemic is expected to impact the ACO’s ability to reach certain performance targets (e.g., quality measure targets); in this submission, the performance targets have not been adjusted.</w:t>
      </w:r>
    </w:p>
    <w:p w14:paraId="2C4AC9E7" w14:textId="77777777" w:rsidR="00934B30" w:rsidRDefault="00934B30" w:rsidP="00934B30">
      <w:pPr>
        <w:spacing w:after="0"/>
        <w:rPr>
          <w:rFonts w:asciiTheme="minorHAnsi" w:hAnsiTheme="minorHAnsi" w:cs="Arial"/>
        </w:rPr>
      </w:pPr>
    </w:p>
    <w:p w14:paraId="0F3BB84F" w14:textId="3943D437" w:rsidR="00B27DBC" w:rsidRDefault="00344EDB" w:rsidP="00934B30">
      <w:pPr>
        <w:spacing w:after="0"/>
        <w:jc w:val="both"/>
        <w:rPr>
          <w:rFonts w:asciiTheme="minorHAnsi" w:hAnsiTheme="minorHAnsi" w:cs="Arial"/>
        </w:rPr>
      </w:pPr>
      <w:r>
        <w:rPr>
          <w:rFonts w:asciiTheme="minorHAnsi" w:hAnsiTheme="minorHAnsi" w:cs="Arial"/>
        </w:rPr>
        <w:t>Table 1. BCH ACO PY2 and PY3</w:t>
      </w:r>
      <w:r w:rsidR="00B27DBC">
        <w:rPr>
          <w:rFonts w:asciiTheme="minorHAnsi" w:hAnsiTheme="minorHAnsi" w:cs="Arial"/>
        </w:rPr>
        <w:t xml:space="preserve"> Goals Alignment</w:t>
      </w:r>
    </w:p>
    <w:p w14:paraId="7A3125A2" w14:textId="4A47A3FE" w:rsidR="00AC6F49" w:rsidRPr="00AC6F49" w:rsidRDefault="00AC6F49" w:rsidP="00AC6F49">
      <w:pPr>
        <w:shd w:val="clear" w:color="auto" w:fill="17365D" w:themeFill="text2" w:themeFillShade="BF"/>
        <w:spacing w:after="0"/>
        <w:jc w:val="center"/>
        <w:rPr>
          <w:rFonts w:asciiTheme="minorHAnsi" w:hAnsiTheme="minorHAnsi" w:cs="Arial"/>
          <w:b/>
          <w:bCs/>
        </w:rPr>
      </w:pPr>
      <w:r w:rsidRPr="00AC6F49">
        <w:rPr>
          <w:rFonts w:asciiTheme="minorHAnsi" w:hAnsiTheme="minorHAnsi" w:cs="Arial"/>
          <w:b/>
          <w:bCs/>
        </w:rPr>
        <w:t>ACO Program Goals</w:t>
      </w:r>
    </w:p>
    <w:tbl>
      <w:tblPr>
        <w:tblStyle w:val="TableGridLight"/>
        <w:tblW w:w="0" w:type="auto"/>
        <w:tblLook w:val="04A0" w:firstRow="1" w:lastRow="0" w:firstColumn="1" w:lastColumn="0" w:noHBand="0" w:noVBand="1"/>
        <w:tblCaption w:val="Table 1. BCH ACO PY2 and PY3 Goals Alignment"/>
      </w:tblPr>
      <w:tblGrid>
        <w:gridCol w:w="1165"/>
        <w:gridCol w:w="4140"/>
        <w:gridCol w:w="4045"/>
      </w:tblGrid>
      <w:tr w:rsidR="00AC6F49" w:rsidRPr="000B76F9" w14:paraId="3C62A695" w14:textId="77777777" w:rsidTr="00ED70EB">
        <w:trPr>
          <w:tblHeader/>
        </w:trPr>
        <w:tc>
          <w:tcPr>
            <w:tcW w:w="1165" w:type="dxa"/>
          </w:tcPr>
          <w:p w14:paraId="1F9179B9" w14:textId="77777777" w:rsidR="00AC6F49" w:rsidRPr="000B76F9" w:rsidRDefault="00AC6F49" w:rsidP="00ED70EB">
            <w:pPr>
              <w:rPr>
                <w:sz w:val="20"/>
                <w:szCs w:val="20"/>
              </w:rPr>
            </w:pPr>
            <w:r w:rsidRPr="00C56B50">
              <w:rPr>
                <w:rFonts w:ascii="Calibri" w:eastAsia="Times New Roman" w:hAnsi="Calibri" w:cs="Times New Roman"/>
                <w:b/>
                <w:bCs/>
                <w:color w:val="000000"/>
                <w:sz w:val="20"/>
                <w:szCs w:val="20"/>
              </w:rPr>
              <w:t>Goal #</w:t>
            </w:r>
          </w:p>
        </w:tc>
        <w:tc>
          <w:tcPr>
            <w:tcW w:w="4140" w:type="dxa"/>
          </w:tcPr>
          <w:p w14:paraId="2AF7734B" w14:textId="77777777" w:rsidR="00AC6F49" w:rsidRPr="000B76F9" w:rsidRDefault="00AC6F49" w:rsidP="00ED70EB">
            <w:pPr>
              <w:rPr>
                <w:sz w:val="20"/>
                <w:szCs w:val="20"/>
              </w:rPr>
            </w:pPr>
            <w:r>
              <w:rPr>
                <w:rFonts w:ascii="Calibri" w:eastAsia="Times New Roman" w:hAnsi="Calibri" w:cs="Times New Roman"/>
                <w:b/>
                <w:bCs/>
                <w:color w:val="000000"/>
                <w:sz w:val="20"/>
                <w:szCs w:val="20"/>
              </w:rPr>
              <w:t xml:space="preserve">PY3 </w:t>
            </w:r>
            <w:r w:rsidRPr="00C56B50">
              <w:rPr>
                <w:rFonts w:ascii="Calibri" w:eastAsia="Times New Roman" w:hAnsi="Calibri" w:cs="Times New Roman"/>
                <w:b/>
                <w:bCs/>
                <w:color w:val="000000"/>
                <w:sz w:val="20"/>
                <w:szCs w:val="20"/>
              </w:rPr>
              <w:t>Goal Category &amp; Description</w:t>
            </w:r>
          </w:p>
        </w:tc>
        <w:tc>
          <w:tcPr>
            <w:tcW w:w="4045" w:type="dxa"/>
          </w:tcPr>
          <w:p w14:paraId="720EC9DA" w14:textId="77777777" w:rsidR="00AC6F49" w:rsidRPr="000B76F9" w:rsidRDefault="00AC6F49" w:rsidP="00ED70EB">
            <w:pPr>
              <w:rPr>
                <w:sz w:val="20"/>
                <w:szCs w:val="20"/>
              </w:rPr>
            </w:pPr>
            <w:r>
              <w:rPr>
                <w:rFonts w:ascii="Calibri" w:eastAsia="Times New Roman" w:hAnsi="Calibri" w:cs="Times New Roman"/>
                <w:b/>
                <w:bCs/>
                <w:color w:val="000000"/>
                <w:sz w:val="20"/>
                <w:szCs w:val="20"/>
              </w:rPr>
              <w:t>PY2 Goal Category &amp; Description</w:t>
            </w:r>
          </w:p>
        </w:tc>
      </w:tr>
      <w:tr w:rsidR="00AC6F49" w:rsidRPr="000B76F9" w14:paraId="0D5126A3" w14:textId="77777777" w:rsidTr="00ED70EB">
        <w:tc>
          <w:tcPr>
            <w:tcW w:w="1165" w:type="dxa"/>
          </w:tcPr>
          <w:p w14:paraId="2F9D7BAB"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1</w:t>
            </w:r>
          </w:p>
        </w:tc>
        <w:tc>
          <w:tcPr>
            <w:tcW w:w="4140" w:type="dxa"/>
          </w:tcPr>
          <w:p w14:paraId="479E2B48" w14:textId="77777777" w:rsidR="00AC6F49" w:rsidRPr="0000745F" w:rsidRDefault="00AC6F49" w:rsidP="00ED70EB">
            <w:pPr>
              <w:spacing w:line="276" w:lineRule="auto"/>
              <w:rPr>
                <w:sz w:val="20"/>
                <w:szCs w:val="20"/>
              </w:rPr>
            </w:pPr>
            <w:r w:rsidRPr="00344EDB">
              <w:rPr>
                <w:rFonts w:ascii="Calibri" w:eastAsia="Times New Roman" w:hAnsi="Calibri" w:cs="Times New Roman"/>
                <w:b/>
                <w:bCs/>
                <w:i/>
                <w:color w:val="000000"/>
                <w:sz w:val="20"/>
                <w:szCs w:val="20"/>
              </w:rPr>
              <w:t xml:space="preserve">Cost and Utilization </w:t>
            </w:r>
            <w:proofErr w:type="spellStart"/>
            <w:r w:rsidRPr="00344EDB">
              <w:rPr>
                <w:rFonts w:ascii="Calibri" w:eastAsia="Times New Roman" w:hAnsi="Calibri" w:cs="Times New Roman"/>
                <w:b/>
                <w:bCs/>
                <w:i/>
                <w:color w:val="000000"/>
                <w:sz w:val="20"/>
                <w:szCs w:val="20"/>
              </w:rPr>
              <w:t>Mgmt</w:t>
            </w:r>
            <w:proofErr w:type="spellEnd"/>
            <w:r w:rsidRPr="00344EDB">
              <w:rPr>
                <w:rFonts w:ascii="Calibri" w:eastAsia="Times New Roman" w:hAnsi="Calibri" w:cs="Times New Roman"/>
                <w:b/>
                <w:bCs/>
                <w:i/>
                <w:color w:val="000000"/>
                <w:sz w:val="20"/>
                <w:szCs w:val="20"/>
              </w:rPr>
              <w:t xml:space="preserve"> (Medical Trend):</w:t>
            </w:r>
            <w:r w:rsidRPr="00C56B50">
              <w:rPr>
                <w:rFonts w:ascii="Calibri" w:eastAsia="Times New Roman" w:hAnsi="Calibri" w:cs="Times New Roman"/>
                <w:b/>
                <w:bCs/>
                <w:color w:val="000000"/>
                <w:sz w:val="20"/>
                <w:szCs w:val="20"/>
              </w:rPr>
              <w:t xml:space="preserve"> </w:t>
            </w:r>
            <w:r w:rsidRPr="00671D9A">
              <w:rPr>
                <w:rFonts w:ascii="Calibri" w:hAnsi="Calibri"/>
                <w:color w:val="000000"/>
                <w:sz w:val="20"/>
              </w:rPr>
              <w:t xml:space="preserve">Maintain TCOC at the BCH ACO MassHealth benchmark (i.e., capitation rate) in </w:t>
            </w:r>
            <w:r>
              <w:rPr>
                <w:rFonts w:ascii="Calibri" w:hAnsi="Calibri"/>
                <w:color w:val="000000"/>
                <w:sz w:val="20"/>
              </w:rPr>
              <w:t>PY3</w:t>
            </w:r>
            <w:r w:rsidRPr="00671D9A">
              <w:rPr>
                <w:rFonts w:ascii="Calibri" w:hAnsi="Calibri"/>
                <w:color w:val="000000"/>
                <w:sz w:val="20"/>
              </w:rPr>
              <w:t xml:space="preserve"> – </w:t>
            </w:r>
            <w:r>
              <w:rPr>
                <w:rFonts w:ascii="Calibri" w:hAnsi="Calibri"/>
                <w:color w:val="000000"/>
                <w:sz w:val="20"/>
              </w:rPr>
              <w:t>PY</w:t>
            </w:r>
            <w:r w:rsidRPr="00671D9A">
              <w:rPr>
                <w:rFonts w:ascii="Calibri" w:hAnsi="Calibri"/>
                <w:color w:val="000000"/>
                <w:sz w:val="20"/>
              </w:rPr>
              <w:t>5</w:t>
            </w:r>
            <w:r>
              <w:rPr>
                <w:rFonts w:ascii="Calibri" w:hAnsi="Calibri"/>
                <w:color w:val="000000"/>
                <w:sz w:val="20"/>
              </w:rPr>
              <w:t>.</w:t>
            </w:r>
          </w:p>
        </w:tc>
        <w:tc>
          <w:tcPr>
            <w:tcW w:w="4045" w:type="dxa"/>
          </w:tcPr>
          <w:p w14:paraId="19EF5308" w14:textId="77777777" w:rsidR="00AC6F49" w:rsidRPr="000B76F9" w:rsidRDefault="00AC6F49" w:rsidP="00ED70EB">
            <w:pPr>
              <w:rPr>
                <w:sz w:val="20"/>
                <w:szCs w:val="20"/>
              </w:rPr>
            </w:pPr>
            <w:r w:rsidRPr="00344EDB">
              <w:rPr>
                <w:rFonts w:ascii="Calibri" w:hAnsi="Calibri"/>
                <w:b/>
                <w:i/>
                <w:color w:val="000000"/>
                <w:sz w:val="20"/>
              </w:rPr>
              <w:t xml:space="preserve">Cost &amp; Utilization management:        </w:t>
            </w:r>
            <w:r w:rsidRPr="00344EDB">
              <w:rPr>
                <w:rFonts w:ascii="Calibri" w:hAnsi="Calibri"/>
                <w:i/>
                <w:color w:val="000000"/>
                <w:sz w:val="20"/>
              </w:rPr>
              <w:t xml:space="preserve">                                                </w:t>
            </w:r>
            <w:r w:rsidRPr="00344EDB">
              <w:rPr>
                <w:rFonts w:ascii="Calibri" w:hAnsi="Calibri"/>
                <w:color w:val="000000"/>
                <w:sz w:val="20"/>
              </w:rPr>
              <w:t>Maintain TCOC at the BCH ACO MassHealth benchmark (i.e., capitation rate) in Years 1 – 5</w:t>
            </w:r>
          </w:p>
        </w:tc>
      </w:tr>
      <w:tr w:rsidR="00AC6F49" w:rsidRPr="000B76F9" w14:paraId="62E3ECCC" w14:textId="77777777" w:rsidTr="00ED70EB">
        <w:tc>
          <w:tcPr>
            <w:tcW w:w="1165" w:type="dxa"/>
          </w:tcPr>
          <w:p w14:paraId="7D43EEB0"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1.a</w:t>
            </w:r>
          </w:p>
        </w:tc>
        <w:tc>
          <w:tcPr>
            <w:tcW w:w="4140" w:type="dxa"/>
          </w:tcPr>
          <w:p w14:paraId="3228CDF9" w14:textId="77777777" w:rsidR="00AC6F49" w:rsidRPr="0000745F" w:rsidRDefault="00AC6F49" w:rsidP="00ED70EB">
            <w:pPr>
              <w:rPr>
                <w:sz w:val="20"/>
                <w:szCs w:val="20"/>
              </w:rPr>
            </w:pPr>
            <w:r w:rsidRPr="00C56B50">
              <w:rPr>
                <w:rFonts w:ascii="Calibri" w:eastAsia="Times New Roman" w:hAnsi="Calibri" w:cs="Times New Roman"/>
                <w:i/>
                <w:iCs/>
                <w:color w:val="000000"/>
                <w:sz w:val="20"/>
                <w:szCs w:val="20"/>
                <w:u w:val="single"/>
              </w:rPr>
              <w:t>Sub goal #1</w:t>
            </w:r>
            <w:r w:rsidRPr="00F61954">
              <w:rPr>
                <w:rFonts w:ascii="Calibri" w:eastAsia="Times New Roman" w:hAnsi="Calibri" w:cs="Times New Roman"/>
                <w:iCs/>
                <w:color w:val="000000"/>
                <w:sz w:val="20"/>
                <w:szCs w:val="20"/>
              </w:rPr>
              <w:t>:</w:t>
            </w:r>
            <w:r w:rsidRPr="00FE434E">
              <w:rPr>
                <w:rFonts w:ascii="Calibri" w:eastAsia="Times New Roman" w:hAnsi="Calibri" w:cs="Times New Roman"/>
                <w:i/>
                <w:iCs/>
                <w:color w:val="000000"/>
                <w:sz w:val="20"/>
                <w:szCs w:val="20"/>
              </w:rPr>
              <w:t xml:space="preserve"> </w:t>
            </w:r>
            <w:r w:rsidRPr="00671D9A">
              <w:rPr>
                <w:rFonts w:ascii="Calibri" w:hAnsi="Calibri"/>
                <w:color w:val="000000"/>
                <w:sz w:val="20"/>
              </w:rPr>
              <w:t xml:space="preserve">Reduce </w:t>
            </w:r>
            <w:r>
              <w:rPr>
                <w:rFonts w:ascii="Calibri" w:hAnsi="Calibri"/>
                <w:color w:val="000000"/>
                <w:sz w:val="20"/>
              </w:rPr>
              <w:t xml:space="preserve">low acuity </w:t>
            </w:r>
            <w:r w:rsidRPr="00671D9A">
              <w:rPr>
                <w:rFonts w:ascii="Calibri" w:hAnsi="Calibri"/>
                <w:color w:val="000000"/>
                <w:sz w:val="20"/>
              </w:rPr>
              <w:t>ED (per NYU algorithm)</w:t>
            </w:r>
            <w:r>
              <w:rPr>
                <w:rFonts w:ascii="Calibri" w:hAnsi="Calibri"/>
                <w:color w:val="000000"/>
                <w:sz w:val="20"/>
              </w:rPr>
              <w:t xml:space="preserve"> </w:t>
            </w:r>
            <w:r w:rsidRPr="00671D9A">
              <w:rPr>
                <w:rFonts w:ascii="Calibri" w:hAnsi="Calibri"/>
                <w:color w:val="000000"/>
                <w:sz w:val="20"/>
              </w:rPr>
              <w:t xml:space="preserve">utilization rate by </w:t>
            </w:r>
            <w:r>
              <w:rPr>
                <w:rFonts w:ascii="Calibri" w:hAnsi="Calibri"/>
                <w:color w:val="000000"/>
                <w:sz w:val="20"/>
              </w:rPr>
              <w:t>1.5</w:t>
            </w:r>
            <w:r w:rsidRPr="00671D9A">
              <w:rPr>
                <w:rFonts w:ascii="Calibri" w:hAnsi="Calibri"/>
                <w:color w:val="000000"/>
                <w:sz w:val="20"/>
              </w:rPr>
              <w:t xml:space="preserve">% </w:t>
            </w:r>
            <w:r>
              <w:rPr>
                <w:rFonts w:ascii="Calibri" w:hAnsi="Calibri"/>
                <w:color w:val="000000"/>
                <w:sz w:val="20"/>
              </w:rPr>
              <w:t xml:space="preserve">vs. PY2 rate </w:t>
            </w:r>
            <w:r w:rsidRPr="00671D9A">
              <w:rPr>
                <w:rFonts w:ascii="Calibri" w:hAnsi="Calibri"/>
                <w:color w:val="000000"/>
                <w:sz w:val="20"/>
              </w:rPr>
              <w:t xml:space="preserve">by the end of </w:t>
            </w:r>
            <w:r>
              <w:rPr>
                <w:rFonts w:ascii="Calibri" w:hAnsi="Calibri"/>
                <w:color w:val="000000"/>
                <w:sz w:val="20"/>
              </w:rPr>
              <w:t>PY3, and by 3% vs. PY2 rate by the end of PY5.</w:t>
            </w:r>
          </w:p>
        </w:tc>
        <w:tc>
          <w:tcPr>
            <w:tcW w:w="4045" w:type="dxa"/>
          </w:tcPr>
          <w:p w14:paraId="6272A2FF" w14:textId="77777777" w:rsidR="00AC6F49" w:rsidRPr="000B76F9" w:rsidRDefault="00AC6F49" w:rsidP="00ED70EB">
            <w:pPr>
              <w:rPr>
                <w:sz w:val="20"/>
                <w:szCs w:val="20"/>
              </w:rPr>
            </w:pPr>
            <w:r w:rsidRPr="00344EDB">
              <w:rPr>
                <w:rFonts w:ascii="Calibri" w:eastAsia="Times New Roman" w:hAnsi="Calibri" w:cs="Times New Roman"/>
                <w:iCs/>
                <w:color w:val="000000"/>
                <w:sz w:val="20"/>
                <w:szCs w:val="20"/>
              </w:rPr>
              <w:t>n/a</w:t>
            </w:r>
          </w:p>
        </w:tc>
      </w:tr>
      <w:tr w:rsidR="00AC6F49" w:rsidRPr="000B76F9" w14:paraId="5977E6D0" w14:textId="77777777" w:rsidTr="00ED70EB">
        <w:tc>
          <w:tcPr>
            <w:tcW w:w="1165" w:type="dxa"/>
          </w:tcPr>
          <w:p w14:paraId="5D0037FB"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1.b</w:t>
            </w:r>
          </w:p>
        </w:tc>
        <w:tc>
          <w:tcPr>
            <w:tcW w:w="4140" w:type="dxa"/>
          </w:tcPr>
          <w:p w14:paraId="6C708B45" w14:textId="77777777" w:rsidR="00AC6F49" w:rsidRPr="0000745F" w:rsidRDefault="00AC6F49" w:rsidP="00ED70EB">
            <w:pPr>
              <w:rPr>
                <w:sz w:val="20"/>
                <w:szCs w:val="20"/>
              </w:rPr>
            </w:pPr>
            <w:r w:rsidRPr="00C56B50">
              <w:rPr>
                <w:rFonts w:ascii="Calibri" w:eastAsia="Times New Roman" w:hAnsi="Calibri" w:cs="Times New Roman"/>
                <w:i/>
                <w:iCs/>
                <w:color w:val="000000"/>
                <w:sz w:val="20"/>
                <w:szCs w:val="20"/>
                <w:u w:val="single"/>
              </w:rPr>
              <w:t>Sub goal #2</w:t>
            </w:r>
            <w:r w:rsidRPr="00F61954">
              <w:rPr>
                <w:rFonts w:ascii="Calibri" w:eastAsia="Times New Roman" w:hAnsi="Calibri" w:cs="Times New Roman"/>
                <w:iCs/>
                <w:color w:val="000000"/>
                <w:sz w:val="20"/>
                <w:szCs w:val="20"/>
              </w:rPr>
              <w:t>:</w:t>
            </w:r>
            <w:r w:rsidRPr="00714035">
              <w:rPr>
                <w:rFonts w:ascii="Calibri" w:eastAsia="Times New Roman" w:hAnsi="Calibri" w:cs="Times New Roman"/>
                <w:iCs/>
                <w:color w:val="000000"/>
                <w:sz w:val="20"/>
                <w:szCs w:val="20"/>
              </w:rPr>
              <w:t xml:space="preserve"> </w:t>
            </w:r>
            <w:r>
              <w:rPr>
                <w:rFonts w:ascii="Calibri" w:eastAsia="Times New Roman" w:hAnsi="Calibri" w:cs="Times New Roman"/>
                <w:iCs/>
                <w:color w:val="000000"/>
                <w:sz w:val="20"/>
                <w:szCs w:val="20"/>
              </w:rPr>
              <w:t xml:space="preserve">Reduce rate of </w:t>
            </w:r>
            <w:r w:rsidRPr="00714035">
              <w:rPr>
                <w:rFonts w:ascii="Calibri" w:eastAsia="Times New Roman" w:hAnsi="Calibri" w:cs="Times New Roman"/>
                <w:iCs/>
                <w:color w:val="000000"/>
                <w:sz w:val="20"/>
                <w:szCs w:val="20"/>
              </w:rPr>
              <w:t xml:space="preserve">inpatient </w:t>
            </w:r>
            <w:r>
              <w:rPr>
                <w:rFonts w:ascii="Calibri" w:eastAsia="Times New Roman" w:hAnsi="Calibri" w:cs="Times New Roman"/>
                <w:iCs/>
                <w:color w:val="000000"/>
                <w:sz w:val="20"/>
                <w:szCs w:val="20"/>
              </w:rPr>
              <w:t>events</w:t>
            </w:r>
            <w:r w:rsidRPr="00714035">
              <w:rPr>
                <w:rFonts w:ascii="Calibri" w:eastAsia="Times New Roman" w:hAnsi="Calibri" w:cs="Times New Roman"/>
                <w:iCs/>
                <w:color w:val="000000"/>
                <w:sz w:val="20"/>
                <w:szCs w:val="20"/>
              </w:rPr>
              <w:t xml:space="preserve"> per 1</w:t>
            </w:r>
            <w:r>
              <w:rPr>
                <w:rFonts w:ascii="Calibri" w:eastAsia="Times New Roman" w:hAnsi="Calibri" w:cs="Times New Roman"/>
                <w:iCs/>
                <w:color w:val="000000"/>
                <w:sz w:val="20"/>
                <w:szCs w:val="20"/>
              </w:rPr>
              <w:t>,0</w:t>
            </w:r>
            <w:r w:rsidRPr="00714035">
              <w:rPr>
                <w:rFonts w:ascii="Calibri" w:eastAsia="Times New Roman" w:hAnsi="Calibri" w:cs="Times New Roman"/>
                <w:iCs/>
                <w:color w:val="000000"/>
                <w:sz w:val="20"/>
                <w:szCs w:val="20"/>
              </w:rPr>
              <w:t>00 BCH ACO complex patient</w:t>
            </w:r>
            <w:r>
              <w:rPr>
                <w:rFonts w:ascii="Calibri" w:eastAsia="Times New Roman" w:hAnsi="Calibri" w:cs="Times New Roman"/>
                <w:iCs/>
                <w:color w:val="000000"/>
                <w:sz w:val="20"/>
                <w:szCs w:val="20"/>
              </w:rPr>
              <w:t xml:space="preserve"> member months</w:t>
            </w:r>
            <w:r w:rsidRPr="00714035">
              <w:rPr>
                <w:rFonts w:ascii="Calibri" w:eastAsia="Times New Roman" w:hAnsi="Calibri" w:cs="Times New Roman"/>
                <w:iCs/>
                <w:color w:val="000000"/>
                <w:sz w:val="20"/>
                <w:szCs w:val="20"/>
              </w:rPr>
              <w:t xml:space="preserve"> </w:t>
            </w:r>
            <w:r>
              <w:rPr>
                <w:rFonts w:ascii="Calibri" w:eastAsia="Times New Roman" w:hAnsi="Calibri" w:cs="Times New Roman"/>
                <w:iCs/>
                <w:color w:val="000000"/>
                <w:sz w:val="20"/>
                <w:szCs w:val="20"/>
              </w:rPr>
              <w:t xml:space="preserve">by 0.5% vs. PY2 rate by the end of PY3, and by 1% vs. PY2 rate by the end of PY5. </w:t>
            </w:r>
            <w:r w:rsidRPr="00C56B50">
              <w:rPr>
                <w:rFonts w:ascii="Calibri" w:eastAsia="Times New Roman" w:hAnsi="Calibri" w:cs="Times New Roman"/>
                <w:color w:val="000000"/>
              </w:rPr>
              <w:t> </w:t>
            </w:r>
          </w:p>
        </w:tc>
        <w:tc>
          <w:tcPr>
            <w:tcW w:w="4045" w:type="dxa"/>
          </w:tcPr>
          <w:p w14:paraId="349BD645" w14:textId="77777777" w:rsidR="00AC6F49" w:rsidRPr="000B76F9" w:rsidRDefault="00AC6F49" w:rsidP="00ED70EB">
            <w:pPr>
              <w:rPr>
                <w:sz w:val="20"/>
                <w:szCs w:val="20"/>
              </w:rPr>
            </w:pPr>
            <w:r w:rsidRPr="00344EDB">
              <w:rPr>
                <w:rFonts w:ascii="Calibri" w:eastAsia="Times New Roman" w:hAnsi="Calibri" w:cs="Times New Roman"/>
                <w:iCs/>
                <w:color w:val="000000"/>
                <w:sz w:val="20"/>
                <w:szCs w:val="20"/>
              </w:rPr>
              <w:t>n/a</w:t>
            </w:r>
          </w:p>
        </w:tc>
      </w:tr>
      <w:tr w:rsidR="00AC6F49" w:rsidRPr="000B76F9" w14:paraId="3182D641" w14:textId="77777777" w:rsidTr="00ED70EB">
        <w:tc>
          <w:tcPr>
            <w:tcW w:w="1165" w:type="dxa"/>
          </w:tcPr>
          <w:p w14:paraId="67DE99EB"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1.c</w:t>
            </w:r>
          </w:p>
        </w:tc>
        <w:tc>
          <w:tcPr>
            <w:tcW w:w="4140" w:type="dxa"/>
          </w:tcPr>
          <w:p w14:paraId="61C3BCD6" w14:textId="77777777" w:rsidR="00AC6F49" w:rsidRPr="000B76F9" w:rsidRDefault="00AC6F49" w:rsidP="00ED70EB">
            <w:pPr>
              <w:spacing w:line="276" w:lineRule="auto"/>
              <w:rPr>
                <w:sz w:val="20"/>
                <w:szCs w:val="20"/>
              </w:rPr>
            </w:pPr>
            <w:r w:rsidRPr="00C56B50">
              <w:rPr>
                <w:rFonts w:ascii="Calibri" w:eastAsia="Times New Roman" w:hAnsi="Calibri" w:cs="Times New Roman"/>
                <w:i/>
                <w:iCs/>
                <w:color w:val="000000"/>
                <w:sz w:val="20"/>
                <w:szCs w:val="20"/>
                <w:u w:val="single"/>
              </w:rPr>
              <w:t>Sub goal #3</w:t>
            </w:r>
            <w:r w:rsidRPr="00F61954">
              <w:rPr>
                <w:rFonts w:ascii="Calibri" w:eastAsia="Times New Roman" w:hAnsi="Calibri" w:cs="Times New Roman"/>
                <w:iCs/>
                <w:color w:val="000000"/>
                <w:sz w:val="20"/>
                <w:szCs w:val="20"/>
              </w:rPr>
              <w:t>:</w:t>
            </w:r>
            <w:r w:rsidRPr="00FE434E">
              <w:rPr>
                <w:rFonts w:ascii="Calibri" w:eastAsia="Times New Roman" w:hAnsi="Calibri" w:cs="Times New Roman"/>
                <w:i/>
                <w:iCs/>
                <w:color w:val="000000"/>
                <w:sz w:val="20"/>
                <w:szCs w:val="20"/>
              </w:rPr>
              <w:t xml:space="preserve"> </w:t>
            </w:r>
            <w:r w:rsidRPr="00671D9A">
              <w:rPr>
                <w:rFonts w:ascii="Calibri" w:hAnsi="Calibri"/>
                <w:color w:val="000000"/>
                <w:sz w:val="20"/>
              </w:rPr>
              <w:t xml:space="preserve">Reduce </w:t>
            </w:r>
            <w:r>
              <w:rPr>
                <w:rFonts w:ascii="Calibri" w:hAnsi="Calibri"/>
                <w:color w:val="000000"/>
                <w:sz w:val="20"/>
              </w:rPr>
              <w:t xml:space="preserve">acute behavioral health utilization* </w:t>
            </w:r>
            <w:r w:rsidRPr="00671D9A">
              <w:rPr>
                <w:rFonts w:ascii="Calibri" w:hAnsi="Calibri"/>
                <w:color w:val="000000"/>
                <w:sz w:val="20"/>
              </w:rPr>
              <w:t xml:space="preserve">rate by </w:t>
            </w:r>
            <w:r>
              <w:rPr>
                <w:rFonts w:ascii="Calibri" w:hAnsi="Calibri"/>
                <w:color w:val="000000"/>
                <w:sz w:val="20"/>
              </w:rPr>
              <w:t>1</w:t>
            </w:r>
            <w:r w:rsidRPr="00671D9A">
              <w:rPr>
                <w:rFonts w:ascii="Calibri" w:hAnsi="Calibri"/>
                <w:color w:val="000000"/>
                <w:sz w:val="20"/>
              </w:rPr>
              <w:t xml:space="preserve">% </w:t>
            </w:r>
            <w:r>
              <w:rPr>
                <w:rFonts w:ascii="Calibri" w:hAnsi="Calibri"/>
                <w:color w:val="000000"/>
                <w:sz w:val="20"/>
              </w:rPr>
              <w:t xml:space="preserve">vs. PY2 rate </w:t>
            </w:r>
            <w:r w:rsidRPr="00671D9A">
              <w:rPr>
                <w:rFonts w:ascii="Calibri" w:hAnsi="Calibri"/>
                <w:color w:val="000000"/>
                <w:sz w:val="20"/>
              </w:rPr>
              <w:t xml:space="preserve">by the end </w:t>
            </w:r>
            <w:r w:rsidRPr="00671D9A">
              <w:rPr>
                <w:rFonts w:ascii="Calibri" w:hAnsi="Calibri"/>
                <w:color w:val="000000"/>
                <w:sz w:val="20"/>
              </w:rPr>
              <w:lastRenderedPageBreak/>
              <w:t xml:space="preserve">of </w:t>
            </w:r>
            <w:r>
              <w:rPr>
                <w:rFonts w:ascii="Calibri" w:hAnsi="Calibri"/>
                <w:color w:val="000000"/>
                <w:sz w:val="20"/>
              </w:rPr>
              <w:t>PY3, and by 2% vs. PY2 rate by the end of PY5.</w:t>
            </w:r>
            <w:r w:rsidRPr="00D96C26">
              <w:rPr>
                <w:rFonts w:ascii="Calibri" w:eastAsia="Times New Roman" w:hAnsi="Calibri" w:cs="Times New Roman"/>
                <w:bCs/>
                <w:i/>
                <w:iCs/>
                <w:color w:val="000000"/>
                <w:sz w:val="20"/>
                <w:szCs w:val="20"/>
              </w:rPr>
              <w:t xml:space="preserve"> Note:</w:t>
            </w:r>
            <w:r>
              <w:rPr>
                <w:rFonts w:ascii="Calibri" w:eastAsia="Times New Roman" w:hAnsi="Calibri" w:cs="Times New Roman"/>
                <w:bCs/>
                <w:i/>
                <w:iCs/>
                <w:color w:val="000000"/>
                <w:sz w:val="20"/>
                <w:szCs w:val="20"/>
              </w:rPr>
              <w:t xml:space="preserve"> Access to services is often a barrier to achieving targeted reductions in utilization among patients with severe behavioral health </w:t>
            </w:r>
            <w:r w:rsidRPr="00D96C26">
              <w:rPr>
                <w:rFonts w:ascii="Calibri" w:eastAsia="Times New Roman" w:hAnsi="Calibri" w:cs="Times New Roman"/>
                <w:bCs/>
                <w:i/>
                <w:iCs/>
                <w:color w:val="000000"/>
                <w:sz w:val="20"/>
                <w:szCs w:val="20"/>
              </w:rPr>
              <w:t>conditions</w:t>
            </w:r>
            <w:r>
              <w:rPr>
                <w:rFonts w:ascii="Calibri" w:eastAsia="Times New Roman" w:hAnsi="Calibri" w:cs="Times New Roman"/>
                <w:bCs/>
                <w:i/>
                <w:iCs/>
                <w:color w:val="000000"/>
                <w:sz w:val="20"/>
                <w:szCs w:val="20"/>
              </w:rPr>
              <w:t xml:space="preserve">; this goal will be influenced by the success of </w:t>
            </w:r>
            <w:r w:rsidRPr="00D96C26">
              <w:rPr>
                <w:rFonts w:ascii="Calibri" w:eastAsia="Times New Roman" w:hAnsi="Calibri" w:cs="Times New Roman"/>
                <w:bCs/>
                <w:i/>
                <w:iCs/>
                <w:color w:val="000000"/>
                <w:sz w:val="20"/>
                <w:szCs w:val="20"/>
              </w:rPr>
              <w:t>EOHHS</w:t>
            </w:r>
            <w:r>
              <w:rPr>
                <w:rFonts w:ascii="Calibri" w:eastAsia="Times New Roman" w:hAnsi="Calibri" w:cs="Times New Roman"/>
                <w:bCs/>
                <w:i/>
                <w:iCs/>
                <w:color w:val="000000"/>
                <w:sz w:val="20"/>
                <w:szCs w:val="20"/>
              </w:rPr>
              <w:t>’</w:t>
            </w:r>
            <w:r w:rsidRPr="00D96C26">
              <w:rPr>
                <w:rFonts w:ascii="Calibri" w:eastAsia="Times New Roman" w:hAnsi="Calibri" w:cs="Times New Roman"/>
                <w:bCs/>
                <w:i/>
                <w:iCs/>
                <w:color w:val="000000"/>
                <w:sz w:val="20"/>
                <w:szCs w:val="20"/>
              </w:rPr>
              <w:t xml:space="preserve"> initiative</w:t>
            </w:r>
            <w:r>
              <w:rPr>
                <w:rFonts w:ascii="Calibri" w:eastAsia="Times New Roman" w:hAnsi="Calibri" w:cs="Times New Roman"/>
                <w:bCs/>
                <w:i/>
                <w:iCs/>
                <w:color w:val="000000"/>
                <w:sz w:val="20"/>
                <w:szCs w:val="20"/>
              </w:rPr>
              <w:t xml:space="preserve">s related to </w:t>
            </w:r>
            <w:r w:rsidRPr="00D96C26">
              <w:rPr>
                <w:rFonts w:ascii="Calibri" w:eastAsia="Times New Roman" w:hAnsi="Calibri" w:cs="Times New Roman"/>
                <w:bCs/>
                <w:i/>
                <w:iCs/>
                <w:color w:val="000000"/>
                <w:sz w:val="20"/>
                <w:szCs w:val="20"/>
              </w:rPr>
              <w:t xml:space="preserve">urgent assessment and treatment, </w:t>
            </w:r>
            <w:r>
              <w:rPr>
                <w:rFonts w:ascii="Calibri" w:eastAsia="Times New Roman" w:hAnsi="Calibri" w:cs="Times New Roman"/>
                <w:bCs/>
                <w:i/>
                <w:iCs/>
                <w:color w:val="000000"/>
                <w:sz w:val="20"/>
                <w:szCs w:val="20"/>
              </w:rPr>
              <w:t xml:space="preserve">ED </w:t>
            </w:r>
            <w:r w:rsidRPr="00D96C26">
              <w:rPr>
                <w:rFonts w:ascii="Calibri" w:eastAsia="Times New Roman" w:hAnsi="Calibri" w:cs="Times New Roman"/>
                <w:bCs/>
                <w:i/>
                <w:iCs/>
                <w:color w:val="000000"/>
                <w:sz w:val="20"/>
                <w:szCs w:val="20"/>
              </w:rPr>
              <w:t>boarding, and inpatient resources for children who cannot be maintained safely in a home/acute care hospital environment.</w:t>
            </w:r>
          </w:p>
        </w:tc>
        <w:tc>
          <w:tcPr>
            <w:tcW w:w="4045" w:type="dxa"/>
          </w:tcPr>
          <w:p w14:paraId="2D30503C" w14:textId="77777777" w:rsidR="00AC6F49" w:rsidRPr="000B76F9" w:rsidRDefault="00AC6F49" w:rsidP="00ED70EB">
            <w:pPr>
              <w:rPr>
                <w:sz w:val="20"/>
                <w:szCs w:val="20"/>
              </w:rPr>
            </w:pPr>
            <w:r w:rsidRPr="00344EDB">
              <w:rPr>
                <w:rFonts w:ascii="Calibri" w:eastAsia="Times New Roman" w:hAnsi="Calibri" w:cs="Times New Roman"/>
                <w:iCs/>
                <w:color w:val="000000"/>
                <w:sz w:val="20"/>
                <w:szCs w:val="20"/>
              </w:rPr>
              <w:lastRenderedPageBreak/>
              <w:t>n/a</w:t>
            </w:r>
          </w:p>
        </w:tc>
      </w:tr>
      <w:tr w:rsidR="00AC6F49" w:rsidRPr="000B76F9" w14:paraId="4382D22A" w14:textId="77777777" w:rsidTr="00ED70EB">
        <w:tc>
          <w:tcPr>
            <w:tcW w:w="1165" w:type="dxa"/>
          </w:tcPr>
          <w:p w14:paraId="036247E5"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2</w:t>
            </w:r>
          </w:p>
        </w:tc>
        <w:tc>
          <w:tcPr>
            <w:tcW w:w="4140" w:type="dxa"/>
          </w:tcPr>
          <w:p w14:paraId="6C6CCC38" w14:textId="77777777" w:rsidR="00AC6F49" w:rsidRPr="000B76F9" w:rsidRDefault="00AC6F49" w:rsidP="00ED70EB">
            <w:pPr>
              <w:spacing w:line="276" w:lineRule="auto"/>
              <w:rPr>
                <w:sz w:val="20"/>
                <w:szCs w:val="20"/>
              </w:rPr>
            </w:pPr>
            <w:r w:rsidRPr="00C56B50">
              <w:rPr>
                <w:rFonts w:ascii="Calibri" w:eastAsia="Times New Roman" w:hAnsi="Calibri" w:cs="Times New Roman"/>
                <w:b/>
                <w:bCs/>
                <w:i/>
                <w:iCs/>
                <w:color w:val="000000"/>
                <w:sz w:val="20"/>
                <w:szCs w:val="20"/>
              </w:rPr>
              <w:t xml:space="preserve">Cost and Utilization </w:t>
            </w:r>
            <w:proofErr w:type="spellStart"/>
            <w:r w:rsidRPr="00C56B50">
              <w:rPr>
                <w:rFonts w:ascii="Calibri" w:eastAsia="Times New Roman" w:hAnsi="Calibri" w:cs="Times New Roman"/>
                <w:b/>
                <w:bCs/>
                <w:i/>
                <w:iCs/>
                <w:color w:val="000000"/>
                <w:sz w:val="20"/>
                <w:szCs w:val="20"/>
              </w:rPr>
              <w:t>Mgmt</w:t>
            </w:r>
            <w:proofErr w:type="spellEnd"/>
            <w:r w:rsidRPr="00C56B50">
              <w:rPr>
                <w:rFonts w:ascii="Calibri" w:eastAsia="Times New Roman" w:hAnsi="Calibri" w:cs="Times New Roman"/>
                <w:b/>
                <w:bCs/>
                <w:i/>
                <w:iCs/>
                <w:color w:val="000000"/>
                <w:sz w:val="20"/>
                <w:szCs w:val="20"/>
              </w:rPr>
              <w:t xml:space="preserve"> (Operational efficiency): </w:t>
            </w:r>
            <w:r w:rsidRPr="00FE434E">
              <w:rPr>
                <w:rFonts w:ascii="Calibri" w:eastAsia="Times New Roman" w:hAnsi="Calibri" w:cs="Times New Roman"/>
                <w:bCs/>
                <w:iCs/>
                <w:color w:val="000000"/>
                <w:sz w:val="20"/>
                <w:szCs w:val="20"/>
              </w:rPr>
              <w:t>Identify</w:t>
            </w:r>
            <w:r>
              <w:rPr>
                <w:rFonts w:ascii="Calibri" w:eastAsia="Times New Roman" w:hAnsi="Calibri" w:cs="Times New Roman"/>
                <w:bCs/>
                <w:iCs/>
                <w:color w:val="000000"/>
                <w:sz w:val="20"/>
                <w:szCs w:val="20"/>
              </w:rPr>
              <w:t xml:space="preserve"> at least two operational efficiency opportunities and measurable targets by the end of PY3.</w:t>
            </w:r>
            <w:r>
              <w:rPr>
                <w:rFonts w:ascii="Calibri" w:eastAsia="Times New Roman" w:hAnsi="Calibri" w:cs="Times New Roman"/>
                <w:b/>
                <w:bCs/>
                <w:iCs/>
                <w:color w:val="000000"/>
                <w:sz w:val="20"/>
                <w:szCs w:val="20"/>
              </w:rPr>
              <w:t xml:space="preserve"> </w:t>
            </w:r>
            <w:r w:rsidRPr="00D96C26">
              <w:rPr>
                <w:rFonts w:ascii="Calibri" w:eastAsia="Times New Roman" w:hAnsi="Calibri" w:cs="Times New Roman"/>
                <w:bCs/>
                <w:i/>
                <w:iCs/>
                <w:color w:val="000000"/>
                <w:sz w:val="20"/>
                <w:szCs w:val="20"/>
              </w:rPr>
              <w:t>Note: BCH ACO has begun working on prior authorization efficiencies, e.g., in the area of diabetes</w:t>
            </w:r>
            <w:r>
              <w:rPr>
                <w:rFonts w:ascii="Calibri" w:eastAsia="Times New Roman" w:hAnsi="Calibri" w:cs="Times New Roman"/>
                <w:bCs/>
                <w:i/>
                <w:iCs/>
                <w:color w:val="000000"/>
                <w:sz w:val="20"/>
                <w:szCs w:val="20"/>
              </w:rPr>
              <w:t xml:space="preserve">; additional analyses are planned during PY3 to refine the focus areas for operational efficiency efforts and to identify </w:t>
            </w:r>
            <w:proofErr w:type="spellStart"/>
            <w:r>
              <w:rPr>
                <w:rFonts w:ascii="Calibri" w:eastAsia="Times New Roman" w:hAnsi="Calibri" w:cs="Times New Roman"/>
                <w:bCs/>
                <w:i/>
                <w:iCs/>
                <w:color w:val="000000"/>
                <w:sz w:val="20"/>
                <w:szCs w:val="20"/>
              </w:rPr>
              <w:t>measureable</w:t>
            </w:r>
            <w:proofErr w:type="spellEnd"/>
            <w:r>
              <w:rPr>
                <w:rFonts w:ascii="Calibri" w:eastAsia="Times New Roman" w:hAnsi="Calibri" w:cs="Times New Roman"/>
                <w:bCs/>
                <w:i/>
                <w:iCs/>
                <w:color w:val="000000"/>
                <w:sz w:val="20"/>
                <w:szCs w:val="20"/>
              </w:rPr>
              <w:t xml:space="preserve"> targets.</w:t>
            </w:r>
            <w:r>
              <w:rPr>
                <w:rFonts w:ascii="Calibri" w:eastAsia="Times New Roman" w:hAnsi="Calibri" w:cs="Times New Roman"/>
                <w:b/>
                <w:bCs/>
                <w:i/>
                <w:iCs/>
                <w:color w:val="000000"/>
                <w:sz w:val="20"/>
                <w:szCs w:val="20"/>
              </w:rPr>
              <w:t xml:space="preserve"> </w:t>
            </w:r>
          </w:p>
        </w:tc>
        <w:tc>
          <w:tcPr>
            <w:tcW w:w="4045" w:type="dxa"/>
          </w:tcPr>
          <w:p w14:paraId="24E36ABE" w14:textId="77777777" w:rsidR="00AC6F49" w:rsidRPr="000B76F9" w:rsidRDefault="00AC6F49" w:rsidP="00ED70EB">
            <w:pPr>
              <w:rPr>
                <w:sz w:val="20"/>
                <w:szCs w:val="20"/>
              </w:rPr>
            </w:pPr>
            <w:r w:rsidRPr="00344EDB">
              <w:rPr>
                <w:rFonts w:ascii="Calibri" w:eastAsia="Times New Roman" w:hAnsi="Calibri" w:cs="Times New Roman"/>
                <w:iCs/>
                <w:color w:val="000000"/>
                <w:sz w:val="20"/>
                <w:szCs w:val="20"/>
              </w:rPr>
              <w:t>n/a</w:t>
            </w:r>
          </w:p>
        </w:tc>
      </w:tr>
      <w:tr w:rsidR="00AC6F49" w:rsidRPr="000B76F9" w14:paraId="354AB8D7" w14:textId="77777777" w:rsidTr="00ED70EB">
        <w:tc>
          <w:tcPr>
            <w:tcW w:w="1165" w:type="dxa"/>
          </w:tcPr>
          <w:p w14:paraId="0CC5789E"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3</w:t>
            </w:r>
          </w:p>
        </w:tc>
        <w:tc>
          <w:tcPr>
            <w:tcW w:w="4140" w:type="dxa"/>
          </w:tcPr>
          <w:p w14:paraId="0EB0F355" w14:textId="77777777" w:rsidR="00AC6F49" w:rsidRPr="000B76F9" w:rsidRDefault="00AC6F49" w:rsidP="00ED70EB">
            <w:pPr>
              <w:spacing w:line="276" w:lineRule="auto"/>
              <w:rPr>
                <w:sz w:val="20"/>
                <w:szCs w:val="20"/>
              </w:rPr>
            </w:pPr>
            <w:r w:rsidRPr="00C56B50">
              <w:rPr>
                <w:rFonts w:ascii="Calibri" w:eastAsia="Times New Roman" w:hAnsi="Calibri" w:cs="Times New Roman"/>
                <w:b/>
                <w:bCs/>
                <w:i/>
                <w:iCs/>
                <w:color w:val="000000"/>
                <w:sz w:val="20"/>
                <w:szCs w:val="20"/>
              </w:rPr>
              <w:t>Quality:</w:t>
            </w:r>
            <w:r>
              <w:rPr>
                <w:rFonts w:ascii="Calibri" w:eastAsia="Times New Roman" w:hAnsi="Calibri" w:cs="Times New Roman"/>
                <w:b/>
                <w:bCs/>
                <w:i/>
                <w:iCs/>
                <w:color w:val="000000"/>
                <w:sz w:val="20"/>
                <w:szCs w:val="20"/>
              </w:rPr>
              <w:t xml:space="preserve"> </w:t>
            </w:r>
            <w:r>
              <w:rPr>
                <w:rFonts w:ascii="Calibri" w:eastAsia="Times New Roman" w:hAnsi="Calibri" w:cs="Times New Roman"/>
                <w:color w:val="000000"/>
                <w:sz w:val="20"/>
                <w:szCs w:val="20"/>
              </w:rPr>
              <w:t>By the end of PY3, increase b</w:t>
            </w:r>
            <w:r w:rsidRPr="00880346">
              <w:rPr>
                <w:rFonts w:ascii="Calibri" w:eastAsia="Times New Roman" w:hAnsi="Calibri" w:cs="Times New Roman"/>
                <w:color w:val="000000"/>
                <w:sz w:val="20"/>
                <w:szCs w:val="20"/>
              </w:rPr>
              <w:t xml:space="preserve">ehavioral health screening (and documentation of response, if positive screen) </w:t>
            </w:r>
            <w:r>
              <w:rPr>
                <w:rFonts w:ascii="Calibri" w:eastAsia="Times New Roman" w:hAnsi="Calibri" w:cs="Times New Roman"/>
                <w:color w:val="000000"/>
                <w:sz w:val="20"/>
                <w:szCs w:val="20"/>
              </w:rPr>
              <w:t xml:space="preserve">(ACO measure #5) from 45% </w:t>
            </w:r>
            <w:r w:rsidRPr="00880346">
              <w:rPr>
                <w:rFonts w:ascii="Calibri" w:eastAsia="Times New Roman" w:hAnsi="Calibri" w:cs="Times New Roman"/>
                <w:color w:val="000000"/>
                <w:sz w:val="20"/>
                <w:szCs w:val="20"/>
              </w:rPr>
              <w:t xml:space="preserve">of </w:t>
            </w:r>
            <w:r>
              <w:rPr>
                <w:rFonts w:ascii="Calibri" w:eastAsia="Times New Roman" w:hAnsi="Calibri" w:cs="Times New Roman"/>
                <w:color w:val="000000"/>
                <w:sz w:val="20"/>
                <w:szCs w:val="20"/>
              </w:rPr>
              <w:t xml:space="preserve">BCH </w:t>
            </w:r>
            <w:r w:rsidRPr="00880346">
              <w:rPr>
                <w:rFonts w:ascii="Calibri" w:eastAsia="Times New Roman" w:hAnsi="Calibri" w:cs="Times New Roman"/>
                <w:color w:val="000000"/>
                <w:sz w:val="20"/>
                <w:szCs w:val="20"/>
              </w:rPr>
              <w:t>ACO patients age ≥ 12 years who have a well visit</w:t>
            </w:r>
            <w:r>
              <w:rPr>
                <w:rFonts w:ascii="Calibri" w:eastAsia="Times New Roman" w:hAnsi="Calibri" w:cs="Times New Roman"/>
                <w:color w:val="000000"/>
                <w:sz w:val="20"/>
                <w:szCs w:val="20"/>
              </w:rPr>
              <w:t xml:space="preserve"> to </w:t>
            </w:r>
            <w:r w:rsidRPr="00880346">
              <w:rPr>
                <w:rFonts w:ascii="Calibri" w:eastAsia="Times New Roman" w:hAnsi="Calibri" w:cs="Times New Roman"/>
                <w:color w:val="000000"/>
                <w:sz w:val="20"/>
                <w:szCs w:val="20"/>
              </w:rPr>
              <w:t xml:space="preserve">at least </w:t>
            </w:r>
            <w:r>
              <w:rPr>
                <w:rFonts w:ascii="Calibri" w:eastAsia="Times New Roman" w:hAnsi="Calibri" w:cs="Times New Roman"/>
                <w:color w:val="000000"/>
                <w:sz w:val="20"/>
                <w:szCs w:val="20"/>
              </w:rPr>
              <w:t>5</w:t>
            </w:r>
            <w:r w:rsidRPr="00880346">
              <w:rPr>
                <w:rFonts w:ascii="Calibri" w:eastAsia="Times New Roman" w:hAnsi="Calibri" w:cs="Times New Roman"/>
                <w:color w:val="000000"/>
                <w:sz w:val="20"/>
                <w:szCs w:val="20"/>
              </w:rPr>
              <w:t>0%</w:t>
            </w:r>
            <w:r>
              <w:rPr>
                <w:rFonts w:ascii="Calibri" w:eastAsia="Times New Roman" w:hAnsi="Calibri" w:cs="Times New Roman"/>
                <w:color w:val="000000"/>
                <w:sz w:val="20"/>
                <w:szCs w:val="20"/>
              </w:rPr>
              <w:t>. By the end of PY5, increase performance to reach or surpass MassHealth ACO attainment threshold.</w:t>
            </w:r>
          </w:p>
        </w:tc>
        <w:tc>
          <w:tcPr>
            <w:tcW w:w="4045" w:type="dxa"/>
          </w:tcPr>
          <w:p w14:paraId="3573C49E" w14:textId="77777777" w:rsidR="00AC6F49" w:rsidRPr="000B76F9" w:rsidRDefault="00AC6F49" w:rsidP="00ED70EB">
            <w:pPr>
              <w:rPr>
                <w:sz w:val="20"/>
                <w:szCs w:val="20"/>
              </w:rPr>
            </w:pPr>
            <w:r>
              <w:rPr>
                <w:rFonts w:asciiTheme="minorHAnsi" w:hAnsiTheme="minorHAnsi" w:cs="Arial"/>
                <w:b/>
                <w:bCs/>
                <w:i/>
                <w:sz w:val="20"/>
                <w:szCs w:val="20"/>
              </w:rPr>
              <w:t>Quality:</w:t>
            </w:r>
            <w:r>
              <w:rPr>
                <w:rFonts w:asciiTheme="minorHAnsi" w:hAnsiTheme="minorHAnsi" w:cs="Arial"/>
                <w:b/>
                <w:i/>
                <w:sz w:val="20"/>
                <w:szCs w:val="20"/>
              </w:rPr>
              <w:t xml:space="preserve">  </w:t>
            </w:r>
            <w:r w:rsidRPr="00344EDB">
              <w:rPr>
                <w:rFonts w:asciiTheme="minorHAnsi" w:hAnsiTheme="minorHAnsi" w:cs="Arial"/>
                <w:sz w:val="20"/>
                <w:szCs w:val="20"/>
              </w:rPr>
              <w:t>In Years 1 and 2, develop systems to measurably improve delivery of preventive services, chronic disease management, and clinical integration.  In Years 3-5, narrow gap in quality measure performance between Medicaid and commercial populations, and between racial/ethnic groups.</w:t>
            </w:r>
          </w:p>
        </w:tc>
      </w:tr>
      <w:tr w:rsidR="00AC6F49" w:rsidRPr="000B76F9" w14:paraId="1DB1CAB1" w14:textId="77777777" w:rsidTr="00ED70EB">
        <w:tc>
          <w:tcPr>
            <w:tcW w:w="1165" w:type="dxa"/>
          </w:tcPr>
          <w:p w14:paraId="0EA1E8F9"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4</w:t>
            </w:r>
          </w:p>
        </w:tc>
        <w:tc>
          <w:tcPr>
            <w:tcW w:w="4140" w:type="dxa"/>
          </w:tcPr>
          <w:p w14:paraId="74735C44" w14:textId="77777777" w:rsidR="00AC6F49" w:rsidRPr="000B76F9" w:rsidRDefault="00AC6F49" w:rsidP="00ED70EB">
            <w:pPr>
              <w:spacing w:line="276" w:lineRule="auto"/>
              <w:rPr>
                <w:sz w:val="20"/>
                <w:szCs w:val="20"/>
              </w:rPr>
            </w:pPr>
            <w:r w:rsidRPr="00C56B50">
              <w:rPr>
                <w:rFonts w:ascii="Calibri" w:eastAsia="Times New Roman" w:hAnsi="Calibri" w:cs="Times New Roman"/>
                <w:b/>
                <w:bCs/>
                <w:i/>
                <w:iCs/>
                <w:color w:val="000000"/>
                <w:sz w:val="20"/>
                <w:szCs w:val="20"/>
              </w:rPr>
              <w:t>Quality:</w:t>
            </w:r>
            <w:r>
              <w:rPr>
                <w:rFonts w:ascii="Calibri" w:eastAsia="Times New Roman" w:hAnsi="Calibri" w:cs="Times New Roman"/>
                <w:color w:val="000000"/>
                <w:sz w:val="20"/>
                <w:szCs w:val="20"/>
              </w:rPr>
              <w:t xml:space="preserve"> By the end of PY3, increase health-related social needs screening (ACO measure #15) from 15% of the BCH ACO population to at least 30%. By the end of PY5, increase performance to reach or surpass MassHealth ACO attainment threshold.</w:t>
            </w:r>
          </w:p>
        </w:tc>
        <w:tc>
          <w:tcPr>
            <w:tcW w:w="4045" w:type="dxa"/>
          </w:tcPr>
          <w:p w14:paraId="08A7854F" w14:textId="77777777" w:rsidR="00AC6F49" w:rsidRPr="000B76F9" w:rsidRDefault="00AC6F49" w:rsidP="00ED70EB">
            <w:pPr>
              <w:rPr>
                <w:sz w:val="20"/>
                <w:szCs w:val="20"/>
              </w:rPr>
            </w:pPr>
            <w:r w:rsidRPr="00344EDB">
              <w:rPr>
                <w:rFonts w:asciiTheme="minorHAnsi" w:hAnsiTheme="minorHAnsi" w:cs="Arial"/>
                <w:b/>
                <w:bCs/>
                <w:i/>
                <w:sz w:val="20"/>
                <w:szCs w:val="20"/>
              </w:rPr>
              <w:t>Quality:</w:t>
            </w:r>
            <w:r w:rsidRPr="00344EDB">
              <w:rPr>
                <w:rFonts w:asciiTheme="minorHAnsi" w:hAnsiTheme="minorHAnsi" w:cs="Arial"/>
                <w:b/>
                <w:i/>
                <w:sz w:val="20"/>
                <w:szCs w:val="20"/>
              </w:rPr>
              <w:t xml:space="preserve"> </w:t>
            </w:r>
            <w:r w:rsidRPr="00344EDB">
              <w:rPr>
                <w:rFonts w:asciiTheme="minorHAnsi" w:hAnsiTheme="minorHAnsi" w:cs="Arial"/>
                <w:sz w:val="20"/>
                <w:szCs w:val="20"/>
              </w:rPr>
              <w:t>In Years 1 and 2, develop systems to measurably improve delivery of preventive services, chronic disease management, and clinical integration.  In Years 3-5, narrow gap in quality measure performance between Medicaid and commercial populations, and between racial/ethnic groups.</w:t>
            </w:r>
          </w:p>
        </w:tc>
      </w:tr>
      <w:tr w:rsidR="00AC6F49" w:rsidRPr="000B76F9" w14:paraId="6F9E4441" w14:textId="77777777" w:rsidTr="00ED70EB">
        <w:tc>
          <w:tcPr>
            <w:tcW w:w="1165" w:type="dxa"/>
          </w:tcPr>
          <w:p w14:paraId="48B9BB79"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5</w:t>
            </w:r>
          </w:p>
        </w:tc>
        <w:tc>
          <w:tcPr>
            <w:tcW w:w="4140" w:type="dxa"/>
          </w:tcPr>
          <w:p w14:paraId="1859DC43" w14:textId="77777777" w:rsidR="00AC6F49" w:rsidRPr="000B76F9" w:rsidRDefault="00AC6F49" w:rsidP="00ED70EB">
            <w:pPr>
              <w:spacing w:line="276" w:lineRule="auto"/>
              <w:rPr>
                <w:sz w:val="20"/>
                <w:szCs w:val="20"/>
              </w:rPr>
            </w:pPr>
            <w:r w:rsidRPr="00C56B50">
              <w:rPr>
                <w:rFonts w:ascii="Calibri" w:eastAsia="Times New Roman" w:hAnsi="Calibri" w:cs="Times New Roman"/>
                <w:b/>
                <w:bCs/>
                <w:i/>
                <w:iCs/>
                <w:color w:val="000000"/>
                <w:sz w:val="20"/>
                <w:szCs w:val="20"/>
              </w:rPr>
              <w:t>Quality:</w:t>
            </w:r>
            <w:r>
              <w:rPr>
                <w:rFonts w:ascii="Calibri" w:eastAsia="Times New Roman" w:hAnsi="Calibri" w:cs="Times New Roman"/>
                <w:color w:val="000000"/>
                <w:sz w:val="20"/>
                <w:szCs w:val="20"/>
              </w:rPr>
              <w:t xml:space="preserve"> By the end of PY3, increase adolescent vaccination rates (ACO measure #2) from 36% </w:t>
            </w:r>
            <w:r w:rsidRPr="00880346">
              <w:rPr>
                <w:rFonts w:ascii="Calibri" w:eastAsia="Times New Roman" w:hAnsi="Calibri" w:cs="Times New Roman"/>
                <w:color w:val="000000"/>
                <w:sz w:val="20"/>
                <w:szCs w:val="20"/>
              </w:rPr>
              <w:t xml:space="preserve">of </w:t>
            </w:r>
            <w:r>
              <w:rPr>
                <w:rFonts w:ascii="Calibri" w:eastAsia="Times New Roman" w:hAnsi="Calibri" w:cs="Times New Roman"/>
                <w:color w:val="000000"/>
                <w:sz w:val="20"/>
                <w:szCs w:val="20"/>
              </w:rPr>
              <w:t xml:space="preserve">BCH </w:t>
            </w:r>
            <w:r w:rsidRPr="00880346">
              <w:rPr>
                <w:rFonts w:ascii="Calibri" w:eastAsia="Times New Roman" w:hAnsi="Calibri" w:cs="Times New Roman"/>
                <w:color w:val="000000"/>
                <w:sz w:val="20"/>
                <w:szCs w:val="20"/>
              </w:rPr>
              <w:t xml:space="preserve">ACO patients </w:t>
            </w:r>
            <w:r>
              <w:rPr>
                <w:rFonts w:ascii="Calibri" w:eastAsia="Times New Roman" w:hAnsi="Calibri" w:cs="Times New Roman"/>
                <w:color w:val="000000"/>
                <w:sz w:val="20"/>
                <w:szCs w:val="20"/>
              </w:rPr>
              <w:t>to 40% among the BCH ACO population. By the end of PY5, increase performance to reach or surpass MassHealth ACO goal benchmark.</w:t>
            </w:r>
          </w:p>
        </w:tc>
        <w:tc>
          <w:tcPr>
            <w:tcW w:w="4045" w:type="dxa"/>
          </w:tcPr>
          <w:p w14:paraId="4A63BEDF" w14:textId="77777777" w:rsidR="00AC6F49" w:rsidRPr="000B76F9" w:rsidRDefault="00AC6F49" w:rsidP="00ED70EB">
            <w:pPr>
              <w:rPr>
                <w:sz w:val="20"/>
                <w:szCs w:val="20"/>
              </w:rPr>
            </w:pPr>
            <w:r w:rsidRPr="00344EDB">
              <w:rPr>
                <w:rFonts w:asciiTheme="minorHAnsi" w:hAnsiTheme="minorHAnsi" w:cs="Arial"/>
                <w:b/>
                <w:bCs/>
                <w:i/>
                <w:sz w:val="20"/>
                <w:szCs w:val="20"/>
              </w:rPr>
              <w:t>Quality:</w:t>
            </w:r>
            <w:r w:rsidRPr="00344EDB">
              <w:rPr>
                <w:rFonts w:asciiTheme="minorHAnsi" w:hAnsiTheme="minorHAnsi" w:cs="Arial"/>
                <w:b/>
                <w:i/>
                <w:sz w:val="20"/>
                <w:szCs w:val="20"/>
              </w:rPr>
              <w:t xml:space="preserve"> </w:t>
            </w:r>
            <w:r w:rsidRPr="00344EDB">
              <w:rPr>
                <w:rFonts w:asciiTheme="minorHAnsi" w:hAnsiTheme="minorHAnsi" w:cs="Arial"/>
                <w:sz w:val="20"/>
                <w:szCs w:val="20"/>
              </w:rPr>
              <w:t>In Years 1 and 2, develop systems to measurably improve delivery of preventive services, chronic disease management, and clinical integration.  In Years 3-5, narrow gap in quality measure performance between Medicaid and commercial populations, and between racial/ethnic groups.</w:t>
            </w:r>
          </w:p>
        </w:tc>
      </w:tr>
      <w:tr w:rsidR="00AC6F49" w:rsidRPr="000B76F9" w14:paraId="3E2FEBFC" w14:textId="77777777" w:rsidTr="00ED70EB">
        <w:tc>
          <w:tcPr>
            <w:tcW w:w="1165" w:type="dxa"/>
          </w:tcPr>
          <w:p w14:paraId="25AD6A40"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t>6</w:t>
            </w:r>
          </w:p>
        </w:tc>
        <w:tc>
          <w:tcPr>
            <w:tcW w:w="4140" w:type="dxa"/>
          </w:tcPr>
          <w:p w14:paraId="08D1DDD0" w14:textId="77777777" w:rsidR="00AC6F49" w:rsidRPr="000B76F9" w:rsidRDefault="00AC6F49" w:rsidP="00ED70EB">
            <w:pPr>
              <w:spacing w:line="276" w:lineRule="auto"/>
              <w:rPr>
                <w:sz w:val="20"/>
                <w:szCs w:val="20"/>
              </w:rPr>
            </w:pPr>
            <w:r w:rsidRPr="00C56B50">
              <w:rPr>
                <w:rFonts w:ascii="Calibri" w:eastAsia="Times New Roman" w:hAnsi="Calibri" w:cs="Times New Roman"/>
                <w:b/>
                <w:bCs/>
                <w:i/>
                <w:iCs/>
                <w:color w:val="000000"/>
                <w:sz w:val="20"/>
                <w:szCs w:val="20"/>
              </w:rPr>
              <w:t>Member experience:</w:t>
            </w:r>
            <w:r>
              <w:rPr>
                <w:rFonts w:ascii="Calibri" w:eastAsia="Times New Roman" w:hAnsi="Calibri" w:cs="Times New Roman"/>
                <w:b/>
                <w:bCs/>
                <w:iCs/>
                <w:color w:val="000000"/>
                <w:sz w:val="20"/>
                <w:szCs w:val="20"/>
              </w:rPr>
              <w:t xml:space="preserve"> </w:t>
            </w:r>
            <w:r w:rsidRPr="00671D9A">
              <w:rPr>
                <w:rFonts w:ascii="Calibri" w:eastAsia="Times New Roman" w:hAnsi="Calibri" w:cs="Times New Roman"/>
                <w:iCs/>
                <w:color w:val="000000"/>
                <w:sz w:val="20"/>
                <w:szCs w:val="20"/>
              </w:rPr>
              <w:t xml:space="preserve">By the end of </w:t>
            </w:r>
            <w:r>
              <w:rPr>
                <w:rFonts w:ascii="Calibri" w:eastAsia="Times New Roman" w:hAnsi="Calibri" w:cs="Times New Roman"/>
                <w:iCs/>
                <w:color w:val="000000"/>
                <w:sz w:val="20"/>
                <w:szCs w:val="20"/>
              </w:rPr>
              <w:t>PY5</w:t>
            </w:r>
            <w:r w:rsidRPr="00671D9A">
              <w:rPr>
                <w:rFonts w:ascii="Calibri" w:eastAsia="Times New Roman" w:hAnsi="Calibri" w:cs="Times New Roman"/>
                <w:iCs/>
                <w:color w:val="000000"/>
                <w:sz w:val="20"/>
                <w:szCs w:val="20"/>
              </w:rPr>
              <w:t xml:space="preserve">, achieve or surpass MassHealth benchmarks for priority </w:t>
            </w:r>
            <w:r w:rsidRPr="00671D9A">
              <w:rPr>
                <w:rFonts w:ascii="Calibri" w:eastAsia="Times New Roman" w:hAnsi="Calibri" w:cs="Times New Roman"/>
                <w:iCs/>
                <w:color w:val="000000"/>
                <w:sz w:val="20"/>
                <w:szCs w:val="20"/>
              </w:rPr>
              <w:lastRenderedPageBreak/>
              <w:t>MassHealth primary care child me</w:t>
            </w:r>
            <w:r>
              <w:rPr>
                <w:rFonts w:ascii="Calibri" w:eastAsia="Times New Roman" w:hAnsi="Calibri" w:cs="Times New Roman"/>
                <w:iCs/>
                <w:color w:val="000000"/>
                <w:sz w:val="20"/>
                <w:szCs w:val="20"/>
              </w:rPr>
              <w:t>mber experience measures (</w:t>
            </w:r>
            <w:r w:rsidRPr="00671D9A">
              <w:rPr>
                <w:rFonts w:ascii="Calibri" w:eastAsia="Times New Roman" w:hAnsi="Calibri" w:cs="Times New Roman"/>
                <w:iCs/>
                <w:color w:val="000000"/>
                <w:sz w:val="20"/>
                <w:szCs w:val="20"/>
              </w:rPr>
              <w:t xml:space="preserve">knowledge of patients, integration of care, </w:t>
            </w:r>
            <w:r>
              <w:rPr>
                <w:rFonts w:ascii="Calibri" w:eastAsia="Times New Roman" w:hAnsi="Calibri" w:cs="Times New Roman"/>
                <w:iCs/>
                <w:color w:val="000000"/>
                <w:sz w:val="20"/>
                <w:szCs w:val="20"/>
              </w:rPr>
              <w:t>communication</w:t>
            </w:r>
            <w:r w:rsidRPr="00671D9A">
              <w:rPr>
                <w:rFonts w:ascii="Calibri" w:eastAsia="Times New Roman" w:hAnsi="Calibri" w:cs="Times New Roman"/>
                <w:iCs/>
                <w:color w:val="000000"/>
                <w:sz w:val="20"/>
                <w:szCs w:val="20"/>
              </w:rPr>
              <w:t>, willingness to recommend).</w:t>
            </w:r>
          </w:p>
        </w:tc>
        <w:tc>
          <w:tcPr>
            <w:tcW w:w="4045" w:type="dxa"/>
          </w:tcPr>
          <w:p w14:paraId="76372FC1" w14:textId="77777777" w:rsidR="00AC6F49" w:rsidRPr="000B76F9" w:rsidRDefault="00AC6F49" w:rsidP="00ED70EB">
            <w:pPr>
              <w:rPr>
                <w:sz w:val="20"/>
                <w:szCs w:val="20"/>
              </w:rPr>
            </w:pPr>
            <w:r w:rsidRPr="00344EDB">
              <w:rPr>
                <w:rFonts w:asciiTheme="minorHAnsi" w:eastAsia="Times New Roman" w:hAnsiTheme="minorHAnsi" w:cs="Arial"/>
                <w:b/>
                <w:i/>
                <w:color w:val="000000"/>
                <w:sz w:val="20"/>
                <w:szCs w:val="20"/>
              </w:rPr>
              <w:lastRenderedPageBreak/>
              <w:t>Member Experience</w:t>
            </w:r>
            <w:r w:rsidRPr="00344EDB">
              <w:rPr>
                <w:rFonts w:asciiTheme="minorHAnsi" w:eastAsia="Times New Roman" w:hAnsiTheme="minorHAnsi" w:cs="Arial"/>
                <w:i/>
                <w:color w:val="000000"/>
                <w:sz w:val="20"/>
                <w:szCs w:val="20"/>
              </w:rPr>
              <w:t xml:space="preserve">: </w:t>
            </w:r>
            <w:r w:rsidRPr="00344EDB">
              <w:rPr>
                <w:rFonts w:asciiTheme="minorHAnsi" w:eastAsia="Times New Roman" w:hAnsiTheme="minorHAnsi" w:cs="Arial"/>
                <w:color w:val="000000"/>
                <w:sz w:val="20"/>
                <w:szCs w:val="20"/>
              </w:rPr>
              <w:t xml:space="preserve">By </w:t>
            </w:r>
            <w:r w:rsidRPr="00344EDB">
              <w:rPr>
                <w:rFonts w:asciiTheme="minorHAnsi" w:hAnsiTheme="minorHAnsi" w:cs="Arial"/>
                <w:color w:val="000000"/>
                <w:sz w:val="20"/>
                <w:szCs w:val="20"/>
              </w:rPr>
              <w:t xml:space="preserve">the end of </w:t>
            </w:r>
            <w:r w:rsidRPr="00344EDB">
              <w:rPr>
                <w:rFonts w:asciiTheme="minorHAnsi" w:eastAsia="Times New Roman" w:hAnsiTheme="minorHAnsi" w:cs="Arial"/>
                <w:color w:val="000000"/>
                <w:sz w:val="20"/>
                <w:szCs w:val="20"/>
              </w:rPr>
              <w:t xml:space="preserve">Year 4, achieve or surpass benchmarks for priority </w:t>
            </w:r>
            <w:r w:rsidRPr="00344EDB">
              <w:rPr>
                <w:rFonts w:asciiTheme="minorHAnsi" w:eastAsia="Times New Roman" w:hAnsiTheme="minorHAnsi" w:cs="Arial"/>
                <w:color w:val="000000"/>
                <w:sz w:val="20"/>
                <w:szCs w:val="20"/>
              </w:rPr>
              <w:lastRenderedPageBreak/>
              <w:t>MassHealth primary care child member experience measures (e.g., knowledge of patients, integration of care, access to care, willingness to recommend).</w:t>
            </w:r>
          </w:p>
        </w:tc>
      </w:tr>
      <w:tr w:rsidR="00AC6F49" w:rsidRPr="000B76F9" w14:paraId="351099D4" w14:textId="77777777" w:rsidTr="00ED70EB">
        <w:tc>
          <w:tcPr>
            <w:tcW w:w="1165" w:type="dxa"/>
          </w:tcPr>
          <w:p w14:paraId="4F7CF98A" w14:textId="77777777" w:rsidR="00AC6F49" w:rsidRPr="000B76F9" w:rsidRDefault="00AC6F49" w:rsidP="00ED70EB">
            <w:pPr>
              <w:rPr>
                <w:sz w:val="20"/>
                <w:szCs w:val="20"/>
              </w:rPr>
            </w:pPr>
            <w:r w:rsidRPr="00C56B50">
              <w:rPr>
                <w:rFonts w:ascii="Calibri" w:eastAsia="Times New Roman" w:hAnsi="Calibri" w:cs="Times New Roman"/>
                <w:color w:val="000000"/>
                <w:sz w:val="20"/>
                <w:szCs w:val="20"/>
              </w:rPr>
              <w:lastRenderedPageBreak/>
              <w:t>7</w:t>
            </w:r>
          </w:p>
        </w:tc>
        <w:tc>
          <w:tcPr>
            <w:tcW w:w="4140" w:type="dxa"/>
          </w:tcPr>
          <w:p w14:paraId="087DF88E" w14:textId="77777777" w:rsidR="00AC6F49" w:rsidRPr="000B76F9" w:rsidRDefault="00AC6F49" w:rsidP="00ED70EB">
            <w:pPr>
              <w:spacing w:line="276" w:lineRule="auto"/>
              <w:rPr>
                <w:sz w:val="20"/>
                <w:szCs w:val="20"/>
              </w:rPr>
            </w:pPr>
            <w:r w:rsidRPr="00C56B50">
              <w:rPr>
                <w:rFonts w:ascii="Calibri" w:eastAsia="Times New Roman" w:hAnsi="Calibri" w:cs="Times New Roman"/>
                <w:b/>
                <w:bCs/>
                <w:i/>
                <w:iCs/>
                <w:color w:val="000000"/>
                <w:sz w:val="20"/>
                <w:szCs w:val="20"/>
              </w:rPr>
              <w:t>Integration of physical health, BH, LTSS, and health related social needs:</w:t>
            </w:r>
            <w:r>
              <w:rPr>
                <w:rFonts w:ascii="Calibri" w:eastAsia="Times New Roman" w:hAnsi="Calibri" w:cs="Times New Roman"/>
                <w:b/>
                <w:bCs/>
                <w:i/>
                <w:iCs/>
                <w:color w:val="000000"/>
                <w:sz w:val="20"/>
                <w:szCs w:val="20"/>
              </w:rPr>
              <w:t xml:space="preserve"> </w:t>
            </w:r>
            <w:r>
              <w:rPr>
                <w:rFonts w:ascii="Calibri" w:eastAsia="Times New Roman" w:hAnsi="Calibri" w:cs="Times New Roman"/>
                <w:bCs/>
                <w:iCs/>
                <w:color w:val="000000"/>
                <w:sz w:val="20"/>
                <w:szCs w:val="20"/>
              </w:rPr>
              <w:t>In each MassHealth region, establish at least one standard process for referral, co-management, and loop closure/graduation between primary care practices and community-based organizations (CBHI, LTSS CPs, Flexible Services Program social service organizations) by the end of PY3, and scale as standard work across all practices and community-based organizational partners by the end of PY5.</w:t>
            </w:r>
          </w:p>
        </w:tc>
        <w:tc>
          <w:tcPr>
            <w:tcW w:w="4045" w:type="dxa"/>
          </w:tcPr>
          <w:p w14:paraId="63B515C2" w14:textId="77777777" w:rsidR="00AC6F49" w:rsidRPr="000B76F9" w:rsidRDefault="00AC6F49" w:rsidP="00ED70EB">
            <w:pPr>
              <w:rPr>
                <w:sz w:val="20"/>
                <w:szCs w:val="20"/>
              </w:rPr>
            </w:pPr>
            <w:r w:rsidRPr="00344EDB">
              <w:rPr>
                <w:rFonts w:asciiTheme="minorHAnsi" w:hAnsiTheme="minorHAnsi" w:cs="Arial"/>
                <w:b/>
                <w:bCs/>
                <w:i/>
                <w:sz w:val="20"/>
                <w:szCs w:val="20"/>
              </w:rPr>
              <w:t>Integration of Physical Health, BH, LTSS, and Health-Related Social Services:</w:t>
            </w:r>
            <w:r w:rsidRPr="00344EDB">
              <w:rPr>
                <w:rFonts w:asciiTheme="minorHAnsi" w:hAnsiTheme="minorHAnsi" w:cs="Arial"/>
                <w:bCs/>
                <w:i/>
                <w:sz w:val="20"/>
                <w:szCs w:val="20"/>
              </w:rPr>
              <w:t xml:space="preserve"> </w:t>
            </w:r>
            <w:r w:rsidRPr="00344EDB">
              <w:rPr>
                <w:rFonts w:asciiTheme="minorHAnsi" w:hAnsiTheme="minorHAnsi" w:cs="Arial"/>
                <w:sz w:val="20"/>
                <w:szCs w:val="20"/>
              </w:rPr>
              <w:t>In Years 1 and 2, develop integration between primary care medical home, regional care management, THPP care management, LTSS CPs, and other care partners (e.g., schools). By the end of Year 5, implement sustainable model of pediatric care integration.</w:t>
            </w:r>
          </w:p>
        </w:tc>
      </w:tr>
      <w:tr w:rsidR="00AC6F49" w:rsidRPr="000B76F9" w14:paraId="593FC373" w14:textId="77777777" w:rsidTr="00ED70EB">
        <w:tc>
          <w:tcPr>
            <w:tcW w:w="1165" w:type="dxa"/>
          </w:tcPr>
          <w:p w14:paraId="58EA3880" w14:textId="77777777" w:rsidR="00AC6F49" w:rsidRPr="000B76F9" w:rsidRDefault="00AC6F49" w:rsidP="00ED70EB">
            <w:pPr>
              <w:rPr>
                <w:sz w:val="20"/>
                <w:szCs w:val="20"/>
              </w:rPr>
            </w:pPr>
            <w:r>
              <w:rPr>
                <w:rFonts w:ascii="Calibri" w:eastAsia="Times New Roman" w:hAnsi="Calibri" w:cs="Times New Roman"/>
                <w:color w:val="000000"/>
                <w:sz w:val="20"/>
                <w:szCs w:val="20"/>
              </w:rPr>
              <w:t>8</w:t>
            </w:r>
          </w:p>
        </w:tc>
        <w:tc>
          <w:tcPr>
            <w:tcW w:w="4140" w:type="dxa"/>
          </w:tcPr>
          <w:p w14:paraId="2C866237" w14:textId="77777777" w:rsidR="00AC6F49" w:rsidRPr="000B76F9" w:rsidRDefault="00AC6F49" w:rsidP="00ED70EB">
            <w:pPr>
              <w:spacing w:line="276" w:lineRule="auto"/>
              <w:rPr>
                <w:sz w:val="20"/>
                <w:szCs w:val="20"/>
              </w:rPr>
            </w:pPr>
            <w:r>
              <w:rPr>
                <w:rFonts w:ascii="Calibri" w:eastAsia="Times New Roman" w:hAnsi="Calibri" w:cs="Times New Roman"/>
                <w:b/>
                <w:bCs/>
                <w:i/>
                <w:iCs/>
                <w:color w:val="000000"/>
                <w:sz w:val="20"/>
                <w:szCs w:val="20"/>
              </w:rPr>
              <w:t>Other</w:t>
            </w:r>
            <w:r w:rsidRPr="00C56B50">
              <w:rPr>
                <w:rFonts w:ascii="Calibri" w:eastAsia="Times New Roman" w:hAnsi="Calibri" w:cs="Times New Roman"/>
                <w:b/>
                <w:bCs/>
                <w:i/>
                <w:iCs/>
                <w:color w:val="000000"/>
                <w:sz w:val="20"/>
                <w:szCs w:val="20"/>
              </w:rPr>
              <w:t>:</w:t>
            </w:r>
            <w:r>
              <w:rPr>
                <w:rFonts w:ascii="Calibri" w:eastAsia="Times New Roman" w:hAnsi="Calibri" w:cs="Times New Roman"/>
                <w:b/>
                <w:bCs/>
                <w:i/>
                <w:iCs/>
                <w:color w:val="000000"/>
                <w:sz w:val="20"/>
                <w:szCs w:val="20"/>
              </w:rPr>
              <w:t xml:space="preserve"> </w:t>
            </w:r>
            <w:r>
              <w:rPr>
                <w:rFonts w:ascii="Calibri" w:eastAsia="Times New Roman" w:hAnsi="Calibri" w:cs="Times New Roman"/>
                <w:color w:val="000000"/>
                <w:sz w:val="20"/>
                <w:szCs w:val="20"/>
              </w:rPr>
              <w:t xml:space="preserve">By the end of PY3, establish a system to track responses to positive health-related social needs screening response and associated health outcomes. </w:t>
            </w:r>
            <w:r>
              <w:rPr>
                <w:rFonts w:ascii="Calibri" w:eastAsia="Times New Roman" w:hAnsi="Calibri" w:cs="Times New Roman"/>
                <w:bCs/>
                <w:iCs/>
                <w:color w:val="000000"/>
                <w:sz w:val="20"/>
                <w:szCs w:val="20"/>
              </w:rPr>
              <w:t>By the end of Year 5, improve behavioral health symptoms among ACO members receiving social needs response (including Flexible Services) compared to baseline (pre-intervention/receipt of services to address social need).</w:t>
            </w:r>
          </w:p>
        </w:tc>
        <w:tc>
          <w:tcPr>
            <w:tcW w:w="4045" w:type="dxa"/>
          </w:tcPr>
          <w:p w14:paraId="3A72980B" w14:textId="77777777" w:rsidR="00AC6F49" w:rsidRPr="000B76F9" w:rsidRDefault="00AC6F49" w:rsidP="00ED70EB">
            <w:pPr>
              <w:rPr>
                <w:sz w:val="20"/>
                <w:szCs w:val="20"/>
              </w:rPr>
            </w:pPr>
            <w:r w:rsidRPr="00344EDB">
              <w:rPr>
                <w:rFonts w:asciiTheme="minorHAnsi" w:hAnsiTheme="minorHAnsi" w:cs="Arial"/>
                <w:b/>
                <w:bCs/>
                <w:i/>
                <w:sz w:val="20"/>
                <w:szCs w:val="20"/>
              </w:rPr>
              <w:t>Other:</w:t>
            </w:r>
            <w:r>
              <w:rPr>
                <w:rFonts w:asciiTheme="minorHAnsi" w:hAnsiTheme="minorHAnsi" w:cs="Arial"/>
                <w:bCs/>
                <w:i/>
                <w:sz w:val="20"/>
                <w:szCs w:val="20"/>
              </w:rPr>
              <w:t xml:space="preserve"> </w:t>
            </w:r>
            <w:r w:rsidRPr="00344EDB">
              <w:rPr>
                <w:rFonts w:asciiTheme="minorHAnsi" w:hAnsiTheme="minorHAnsi" w:cs="Arial"/>
                <w:sz w:val="20"/>
                <w:szCs w:val="20"/>
              </w:rPr>
              <w:t>By the end of Year 3, understand distribution of health-related social needs and associated health disparities within the BCH ACO population and begin to develop targeted interventions and approaches (including resource allocation and system responses) to address identified needs and disparities.  In Years 4-5, refine and expand successful/promising approaches.</w:t>
            </w:r>
          </w:p>
        </w:tc>
      </w:tr>
    </w:tbl>
    <w:p w14:paraId="090F0077" w14:textId="77777777" w:rsidR="00AC6F49" w:rsidRDefault="00AC6F49" w:rsidP="00344EDB">
      <w:pPr>
        <w:spacing w:after="0" w:line="240" w:lineRule="auto"/>
        <w:rPr>
          <w:rFonts w:ascii="Calibri" w:eastAsia="Times New Roman" w:hAnsi="Calibri" w:cs="Times New Roman"/>
          <w:color w:val="000000"/>
          <w:sz w:val="20"/>
          <w:szCs w:val="20"/>
        </w:rPr>
      </w:pPr>
    </w:p>
    <w:p w14:paraId="3E7965EA" w14:textId="7F12A348" w:rsidR="00344EDB" w:rsidRDefault="00344EDB" w:rsidP="00344ED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*defined as behavioral health or substance use </w:t>
      </w:r>
      <w:r w:rsidRPr="00876D68">
        <w:rPr>
          <w:rFonts w:ascii="Calibri" w:eastAsia="Times New Roman" w:hAnsi="Calibri" w:cs="Times New Roman"/>
          <w:color w:val="000000"/>
          <w:sz w:val="20"/>
          <w:szCs w:val="20"/>
        </w:rPr>
        <w:t xml:space="preserve">inpatient </w:t>
      </w:r>
      <w:r>
        <w:rPr>
          <w:rFonts w:ascii="Calibri" w:eastAsia="Times New Roman" w:hAnsi="Calibri" w:cs="Times New Roman"/>
          <w:color w:val="000000"/>
          <w:sz w:val="20"/>
          <w:szCs w:val="20"/>
        </w:rPr>
        <w:t xml:space="preserve">hospitalization </w:t>
      </w:r>
      <w:r w:rsidRPr="00876D68">
        <w:rPr>
          <w:rFonts w:ascii="Calibri" w:eastAsia="Times New Roman" w:hAnsi="Calibri" w:cs="Times New Roman"/>
          <w:color w:val="000000"/>
          <w:sz w:val="20"/>
          <w:szCs w:val="20"/>
        </w:rPr>
        <w:t xml:space="preserve">in the last 24 months, </w:t>
      </w:r>
      <w:r>
        <w:rPr>
          <w:rFonts w:ascii="Calibri" w:eastAsia="Times New Roman" w:hAnsi="Calibri" w:cs="Times New Roman"/>
          <w:color w:val="000000"/>
          <w:sz w:val="20"/>
          <w:szCs w:val="20"/>
        </w:rPr>
        <w:t xml:space="preserve">behavioral health or substance use </w:t>
      </w:r>
      <w:r w:rsidRPr="00876D68">
        <w:rPr>
          <w:rFonts w:ascii="Calibri" w:eastAsia="Times New Roman" w:hAnsi="Calibri" w:cs="Times New Roman"/>
          <w:color w:val="000000"/>
          <w:sz w:val="20"/>
          <w:szCs w:val="20"/>
        </w:rPr>
        <w:t xml:space="preserve">partial/diversionary </w:t>
      </w:r>
      <w:r>
        <w:rPr>
          <w:rFonts w:ascii="Calibri" w:eastAsia="Times New Roman" w:hAnsi="Calibri" w:cs="Times New Roman"/>
          <w:color w:val="000000"/>
          <w:sz w:val="20"/>
          <w:szCs w:val="20"/>
        </w:rPr>
        <w:t xml:space="preserve">event </w:t>
      </w:r>
      <w:r w:rsidRPr="00876D68">
        <w:rPr>
          <w:rFonts w:ascii="Calibri" w:eastAsia="Times New Roman" w:hAnsi="Calibri" w:cs="Times New Roman"/>
          <w:color w:val="000000"/>
          <w:sz w:val="20"/>
          <w:szCs w:val="20"/>
        </w:rPr>
        <w:t>in the last 24 months, and</w:t>
      </w:r>
      <w:r>
        <w:rPr>
          <w:rFonts w:ascii="Calibri" w:eastAsia="Times New Roman" w:hAnsi="Calibri" w:cs="Times New Roman"/>
          <w:color w:val="000000"/>
          <w:sz w:val="20"/>
          <w:szCs w:val="20"/>
        </w:rPr>
        <w:t>/or</w:t>
      </w:r>
      <w:r w:rsidRPr="00876D68">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two or more behavioral health or substance use-related </w:t>
      </w:r>
      <w:r w:rsidRPr="00876D68">
        <w:rPr>
          <w:rFonts w:ascii="Calibri" w:eastAsia="Times New Roman" w:hAnsi="Calibri" w:cs="Times New Roman"/>
          <w:color w:val="000000"/>
          <w:sz w:val="20"/>
          <w:szCs w:val="20"/>
        </w:rPr>
        <w:t xml:space="preserve">ED </w:t>
      </w:r>
      <w:r>
        <w:rPr>
          <w:rFonts w:ascii="Calibri" w:eastAsia="Times New Roman" w:hAnsi="Calibri" w:cs="Times New Roman"/>
          <w:color w:val="000000"/>
          <w:sz w:val="20"/>
          <w:szCs w:val="20"/>
        </w:rPr>
        <w:t xml:space="preserve">events </w:t>
      </w:r>
      <w:r w:rsidRPr="00876D68">
        <w:rPr>
          <w:rFonts w:ascii="Calibri" w:eastAsia="Times New Roman" w:hAnsi="Calibri" w:cs="Times New Roman"/>
          <w:color w:val="000000"/>
          <w:sz w:val="20"/>
          <w:szCs w:val="20"/>
        </w:rPr>
        <w:t>in the past 24 months</w:t>
      </w:r>
      <w:r>
        <w:rPr>
          <w:rFonts w:ascii="Calibri" w:eastAsia="Times New Roman" w:hAnsi="Calibri" w:cs="Times New Roman"/>
          <w:color w:val="000000"/>
          <w:sz w:val="20"/>
          <w:szCs w:val="20"/>
        </w:rPr>
        <w:t>, or two or more</w:t>
      </w:r>
      <w:r w:rsidRPr="003E4B9A">
        <w:rPr>
          <w:rFonts w:ascii="Calibri" w:eastAsia="Times New Roman" w:hAnsi="Calibri" w:cs="Times New Roman"/>
          <w:color w:val="000000"/>
          <w:sz w:val="20"/>
          <w:szCs w:val="20"/>
        </w:rPr>
        <w:t xml:space="preserve"> BEST/ESP </w:t>
      </w:r>
      <w:r>
        <w:rPr>
          <w:rFonts w:ascii="Calibri" w:eastAsia="Times New Roman" w:hAnsi="Calibri" w:cs="Times New Roman"/>
          <w:color w:val="000000"/>
          <w:sz w:val="20"/>
          <w:szCs w:val="20"/>
        </w:rPr>
        <w:t xml:space="preserve">services </w:t>
      </w:r>
      <w:r w:rsidRPr="003E4B9A">
        <w:rPr>
          <w:rFonts w:ascii="Calibri" w:eastAsia="Times New Roman" w:hAnsi="Calibri" w:cs="Times New Roman"/>
          <w:color w:val="000000"/>
          <w:sz w:val="20"/>
          <w:szCs w:val="20"/>
        </w:rPr>
        <w:t>in the past 12 months</w:t>
      </w:r>
      <w:r>
        <w:rPr>
          <w:rFonts w:ascii="Calibri" w:eastAsia="Times New Roman" w:hAnsi="Calibri" w:cs="Times New Roman"/>
          <w:color w:val="000000"/>
          <w:sz w:val="20"/>
          <w:szCs w:val="20"/>
        </w:rPr>
        <w:t xml:space="preserve"> </w:t>
      </w:r>
    </w:p>
    <w:p w14:paraId="52479D7F" w14:textId="77777777" w:rsidR="009841C9" w:rsidRDefault="009841C9" w:rsidP="009841C9"/>
    <w:p w14:paraId="2071E2A9" w14:textId="18CB8281" w:rsidR="009654D7" w:rsidRDefault="00AC6F49" w:rsidP="00AC6F49">
      <w:pPr>
        <w:pStyle w:val="Heading2"/>
        <w:ind w:left="0"/>
      </w:pPr>
      <w:r>
        <w:t xml:space="preserve">1.2 </w:t>
      </w:r>
      <w:r w:rsidR="00C14C85">
        <w:t>PY</w:t>
      </w:r>
      <w:r w:rsidR="008C1D78">
        <w:t>1</w:t>
      </w:r>
      <w:r w:rsidR="00C14C85">
        <w:t xml:space="preserve"> Investments </w:t>
      </w:r>
      <w:r w:rsidR="003A582B">
        <w:t>Overview</w:t>
      </w:r>
      <w:r w:rsidR="002C271C">
        <w:t xml:space="preserve"> and Progress </w:t>
      </w:r>
      <w:r w:rsidR="00226D41">
        <w:t>toward</w:t>
      </w:r>
      <w:r w:rsidR="002C271C">
        <w:t xml:space="preserve"> Goals</w:t>
      </w:r>
    </w:p>
    <w:p w14:paraId="4C1138D9" w14:textId="77777777" w:rsidR="002B143C" w:rsidRPr="00604E19" w:rsidRDefault="002B143C" w:rsidP="005A2F55">
      <w:pPr>
        <w:spacing w:after="0" w:line="240" w:lineRule="auto"/>
        <w:rPr>
          <w:rFonts w:asciiTheme="minorHAnsi" w:hAnsiTheme="minorHAnsi" w:cs="Arial"/>
        </w:rPr>
      </w:pPr>
      <w:r w:rsidRPr="00604E19">
        <w:rPr>
          <w:rFonts w:asciiTheme="minorHAnsi" w:hAnsiTheme="minorHAnsi" w:cs="Arial"/>
        </w:rPr>
        <w:t>The ACO has invested in seven target areas: complex care; behavioral health; social determinants of health; overall population management; data, IT analytics and reporting; governance</w:t>
      </w:r>
      <w:r w:rsidR="0090355D">
        <w:rPr>
          <w:rFonts w:asciiTheme="minorHAnsi" w:hAnsiTheme="minorHAnsi" w:cs="Arial"/>
        </w:rPr>
        <w:t>,</w:t>
      </w:r>
      <w:r w:rsidRPr="00604E19">
        <w:rPr>
          <w:rFonts w:asciiTheme="minorHAnsi" w:hAnsiTheme="minorHAnsi" w:cs="Arial"/>
        </w:rPr>
        <w:t xml:space="preserve"> compliance, </w:t>
      </w:r>
      <w:r w:rsidR="0090355D">
        <w:rPr>
          <w:rFonts w:asciiTheme="minorHAnsi" w:hAnsiTheme="minorHAnsi" w:cs="Arial"/>
        </w:rPr>
        <w:t xml:space="preserve">and </w:t>
      </w:r>
      <w:r w:rsidRPr="00604E19">
        <w:rPr>
          <w:rFonts w:asciiTheme="minorHAnsi" w:hAnsiTheme="minorHAnsi" w:cs="Arial"/>
        </w:rPr>
        <w:t>member protections; and key payer functions</w:t>
      </w:r>
      <w:r w:rsidR="002B7632">
        <w:rPr>
          <w:rFonts w:asciiTheme="minorHAnsi" w:hAnsiTheme="minorHAnsi" w:cs="Arial"/>
        </w:rPr>
        <w:t xml:space="preserve"> (Figure 1)</w:t>
      </w:r>
      <w:r w:rsidRPr="00604E19">
        <w:rPr>
          <w:rFonts w:asciiTheme="minorHAnsi" w:hAnsiTheme="minorHAnsi" w:cs="Arial"/>
        </w:rPr>
        <w:t xml:space="preserve">. </w:t>
      </w:r>
    </w:p>
    <w:p w14:paraId="4BBEB34D" w14:textId="77777777" w:rsidR="00D00F35" w:rsidRPr="002258FB" w:rsidRDefault="00D00F35" w:rsidP="002B143C">
      <w:pPr>
        <w:spacing w:after="0" w:line="240" w:lineRule="auto"/>
        <w:rPr>
          <w:rFonts w:ascii="Arial" w:hAnsi="Arial" w:cs="Arial"/>
          <w:sz w:val="20"/>
          <w:szCs w:val="20"/>
        </w:rPr>
      </w:pPr>
    </w:p>
    <w:p w14:paraId="6DF15BF9" w14:textId="77777777" w:rsidR="002B143C" w:rsidRPr="002258FB" w:rsidRDefault="002B143C" w:rsidP="00F30593">
      <w:pPr>
        <w:keepNext/>
        <w:spacing w:after="0" w:line="240" w:lineRule="auto"/>
        <w:jc w:val="center"/>
        <w:rPr>
          <w:rFonts w:ascii="Arial" w:hAnsi="Arial" w:cs="Arial"/>
          <w:sz w:val="20"/>
          <w:szCs w:val="20"/>
        </w:rPr>
      </w:pPr>
      <w:r w:rsidRPr="00604E19">
        <w:rPr>
          <w:rFonts w:asciiTheme="minorHAnsi" w:hAnsiTheme="minorHAnsi" w:cs="Arial"/>
          <w:noProof/>
          <w:sz w:val="20"/>
          <w:szCs w:val="20"/>
        </w:rPr>
        <w:lastRenderedPageBreak/>
        <w:drawing>
          <wp:inline distT="0" distB="0" distL="0" distR="0" wp14:anchorId="0640CBA4" wp14:editId="37AC6929">
            <wp:extent cx="4851695" cy="3323120"/>
            <wp:effectExtent l="19050" t="19050" r="25400" b="10795"/>
            <wp:docPr id="9" name="Picture 9" descr="Venn diagram of spending focuses on agreed-upon clinical priorities and required enabling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enn diagram of spending focuses on agreed-upon clinical priorities and required enabling infrastru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3215" cy="3324161"/>
                    </a:xfrm>
                    <a:prstGeom prst="rect">
                      <a:avLst/>
                    </a:prstGeom>
                    <a:noFill/>
                    <a:ln>
                      <a:solidFill>
                        <a:schemeClr val="tx1"/>
                      </a:solidFill>
                    </a:ln>
                  </pic:spPr>
                </pic:pic>
              </a:graphicData>
            </a:graphic>
          </wp:inline>
        </w:drawing>
      </w:r>
    </w:p>
    <w:p w14:paraId="5F6258D7" w14:textId="7ED1756F" w:rsidR="002B143C" w:rsidRPr="00604E19" w:rsidRDefault="005A4232" w:rsidP="005A4232">
      <w:pPr>
        <w:pStyle w:val="Caption"/>
        <w:spacing w:after="0"/>
        <w:ind w:left="720"/>
        <w:rPr>
          <w:rFonts w:cs="Arial"/>
          <w:sz w:val="20"/>
          <w:szCs w:val="20"/>
        </w:rPr>
      </w:pPr>
      <w:bookmarkStart w:id="0" w:name="_Ref509258715"/>
      <w:r>
        <w:rPr>
          <w:rFonts w:ascii="Arial" w:hAnsi="Arial" w:cs="Arial"/>
          <w:sz w:val="20"/>
          <w:szCs w:val="20"/>
        </w:rPr>
        <w:t xml:space="preserve">   </w:t>
      </w:r>
      <w:r w:rsidR="002B143C" w:rsidRPr="00AC6F49">
        <w:rPr>
          <w:rFonts w:cs="Arial"/>
          <w:color w:val="auto"/>
          <w:sz w:val="20"/>
          <w:szCs w:val="20"/>
        </w:rPr>
        <w:t xml:space="preserve">Figure </w:t>
      </w:r>
      <w:r w:rsidR="002B143C" w:rsidRPr="00AC6F49">
        <w:rPr>
          <w:rFonts w:cs="Arial"/>
          <w:color w:val="auto"/>
          <w:sz w:val="20"/>
          <w:szCs w:val="20"/>
        </w:rPr>
        <w:fldChar w:fldCharType="begin"/>
      </w:r>
      <w:r w:rsidR="002B143C" w:rsidRPr="00AC6F49">
        <w:rPr>
          <w:rFonts w:cs="Arial"/>
          <w:color w:val="auto"/>
          <w:sz w:val="20"/>
          <w:szCs w:val="20"/>
        </w:rPr>
        <w:instrText xml:space="preserve"> SEQ Figure \* ARABIC </w:instrText>
      </w:r>
      <w:r w:rsidR="002B143C" w:rsidRPr="00AC6F49">
        <w:rPr>
          <w:rFonts w:cs="Arial"/>
          <w:color w:val="auto"/>
          <w:sz w:val="20"/>
          <w:szCs w:val="20"/>
        </w:rPr>
        <w:fldChar w:fldCharType="separate"/>
      </w:r>
      <w:r w:rsidR="00DC6F14" w:rsidRPr="00AC6F49">
        <w:rPr>
          <w:rFonts w:cs="Arial"/>
          <w:noProof/>
          <w:color w:val="auto"/>
          <w:sz w:val="20"/>
          <w:szCs w:val="20"/>
        </w:rPr>
        <w:t>1</w:t>
      </w:r>
      <w:r w:rsidR="002B143C" w:rsidRPr="00AC6F49">
        <w:rPr>
          <w:rFonts w:cs="Arial"/>
          <w:noProof/>
          <w:color w:val="auto"/>
          <w:sz w:val="20"/>
          <w:szCs w:val="20"/>
        </w:rPr>
        <w:fldChar w:fldCharType="end"/>
      </w:r>
      <w:bookmarkEnd w:id="0"/>
      <w:r w:rsidR="002B143C" w:rsidRPr="00AC6F49">
        <w:rPr>
          <w:rFonts w:cs="Arial"/>
          <w:color w:val="auto"/>
          <w:sz w:val="20"/>
          <w:szCs w:val="20"/>
        </w:rPr>
        <w:t>: BCH ACO PY</w:t>
      </w:r>
      <w:r w:rsidR="00693EBB" w:rsidRPr="00AC6F49">
        <w:rPr>
          <w:rFonts w:cs="Arial"/>
          <w:color w:val="auto"/>
          <w:sz w:val="20"/>
          <w:szCs w:val="20"/>
        </w:rPr>
        <w:t>1</w:t>
      </w:r>
      <w:r w:rsidR="002B143C" w:rsidRPr="00AC6F49">
        <w:rPr>
          <w:rFonts w:cs="Arial"/>
          <w:color w:val="auto"/>
          <w:sz w:val="20"/>
          <w:szCs w:val="20"/>
        </w:rPr>
        <w:t xml:space="preserve"> Investment Strategy</w:t>
      </w:r>
    </w:p>
    <w:p w14:paraId="5AF713D5" w14:textId="77777777" w:rsidR="002B143C" w:rsidRDefault="002B143C" w:rsidP="002B143C">
      <w:pPr>
        <w:spacing w:after="0" w:line="240" w:lineRule="auto"/>
        <w:rPr>
          <w:rFonts w:ascii="Arial" w:hAnsi="Arial" w:cs="Arial"/>
          <w:sz w:val="20"/>
          <w:szCs w:val="20"/>
        </w:rPr>
      </w:pPr>
    </w:p>
    <w:p w14:paraId="53C0C984" w14:textId="77777777" w:rsidR="00836A99" w:rsidRPr="00604E19" w:rsidRDefault="00836A99" w:rsidP="00604E19">
      <w:pPr>
        <w:spacing w:after="0" w:line="240" w:lineRule="auto"/>
        <w:jc w:val="both"/>
        <w:rPr>
          <w:rFonts w:asciiTheme="minorHAnsi" w:hAnsiTheme="minorHAnsi" w:cs="Arial"/>
          <w:sz w:val="20"/>
          <w:szCs w:val="20"/>
        </w:rPr>
      </w:pPr>
    </w:p>
    <w:p w14:paraId="25FF9F73" w14:textId="68DC4EA3" w:rsidR="00604E19" w:rsidRPr="005A2F55" w:rsidRDefault="00693EBB" w:rsidP="005A2F55">
      <w:pPr>
        <w:spacing w:after="0" w:line="240" w:lineRule="auto"/>
        <w:rPr>
          <w:rFonts w:asciiTheme="minorHAnsi" w:hAnsiTheme="minorHAnsi" w:cs="Arial"/>
        </w:rPr>
      </w:pPr>
      <w:r w:rsidRPr="005A2F55">
        <w:rPr>
          <w:rFonts w:asciiTheme="minorHAnsi" w:hAnsiTheme="minorHAnsi" w:cs="Arial"/>
        </w:rPr>
        <w:t xml:space="preserve">Each of these investment areas is linked to </w:t>
      </w:r>
      <w:r w:rsidR="00F908A6" w:rsidRPr="005A2F55">
        <w:rPr>
          <w:rFonts w:asciiTheme="minorHAnsi" w:hAnsiTheme="minorHAnsi" w:cs="Arial"/>
        </w:rPr>
        <w:t xml:space="preserve">one or more </w:t>
      </w:r>
      <w:r w:rsidRPr="005A2F55">
        <w:rPr>
          <w:rFonts w:asciiTheme="minorHAnsi" w:hAnsiTheme="minorHAnsi" w:cs="Arial"/>
        </w:rPr>
        <w:t xml:space="preserve">specific identified goal. Investments in complex care, for example, are linked to Goal </w:t>
      </w:r>
      <w:r w:rsidR="005A2F55" w:rsidRPr="005A2F55">
        <w:rPr>
          <w:rFonts w:asciiTheme="minorHAnsi" w:hAnsiTheme="minorHAnsi" w:cs="Arial"/>
        </w:rPr>
        <w:t xml:space="preserve">1.b, to </w:t>
      </w:r>
      <w:r w:rsidR="005A2F55" w:rsidRPr="005A2F55">
        <w:rPr>
          <w:rFonts w:ascii="Calibri" w:eastAsia="Times New Roman" w:hAnsi="Calibri" w:cs="Times New Roman"/>
          <w:iCs/>
        </w:rPr>
        <w:t xml:space="preserve">reduce average monthly rate of BCH inpatient </w:t>
      </w:r>
      <w:r w:rsidR="00F35BC4">
        <w:rPr>
          <w:rFonts w:ascii="Calibri" w:eastAsia="Times New Roman" w:hAnsi="Calibri" w:cs="Times New Roman"/>
          <w:iCs/>
        </w:rPr>
        <w:t>events</w:t>
      </w:r>
      <w:r w:rsidR="00F35BC4" w:rsidRPr="005A2F55">
        <w:rPr>
          <w:rFonts w:ascii="Calibri" w:eastAsia="Times New Roman" w:hAnsi="Calibri" w:cs="Times New Roman"/>
          <w:iCs/>
        </w:rPr>
        <w:t xml:space="preserve"> </w:t>
      </w:r>
      <w:r w:rsidR="005A2F55" w:rsidRPr="005A2F55">
        <w:rPr>
          <w:rFonts w:ascii="Calibri" w:eastAsia="Times New Roman" w:hAnsi="Calibri" w:cs="Times New Roman"/>
          <w:iCs/>
        </w:rPr>
        <w:t>per 1</w:t>
      </w:r>
      <w:r w:rsidR="00F35BC4">
        <w:rPr>
          <w:rFonts w:ascii="Calibri" w:eastAsia="Times New Roman" w:hAnsi="Calibri" w:cs="Times New Roman"/>
          <w:iCs/>
        </w:rPr>
        <w:t>,</w:t>
      </w:r>
      <w:r w:rsidR="005A2F55" w:rsidRPr="005A2F55">
        <w:rPr>
          <w:rFonts w:ascii="Calibri" w:eastAsia="Times New Roman" w:hAnsi="Calibri" w:cs="Times New Roman"/>
          <w:iCs/>
        </w:rPr>
        <w:t>0</w:t>
      </w:r>
      <w:r w:rsidR="00F35BC4">
        <w:rPr>
          <w:rFonts w:ascii="Calibri" w:eastAsia="Times New Roman" w:hAnsi="Calibri" w:cs="Times New Roman"/>
          <w:iCs/>
        </w:rPr>
        <w:t>0</w:t>
      </w:r>
      <w:r w:rsidR="005A2F55" w:rsidRPr="005A2F55">
        <w:rPr>
          <w:rFonts w:ascii="Calibri" w:eastAsia="Times New Roman" w:hAnsi="Calibri" w:cs="Times New Roman"/>
          <w:iCs/>
        </w:rPr>
        <w:t>0 BCH ACO complex patients.</w:t>
      </w:r>
      <w:r w:rsidR="005A2F55" w:rsidRPr="005A2F55">
        <w:rPr>
          <w:rFonts w:asciiTheme="minorHAnsi" w:hAnsiTheme="minorHAnsi" w:cs="Arial"/>
        </w:rPr>
        <w:t xml:space="preserve"> </w:t>
      </w:r>
      <w:r w:rsidR="002B7632" w:rsidRPr="005A2F55">
        <w:rPr>
          <w:rFonts w:asciiTheme="minorHAnsi" w:hAnsiTheme="minorHAnsi" w:cs="Arial"/>
        </w:rPr>
        <w:t xml:space="preserve">In this section </w:t>
      </w:r>
      <w:r w:rsidR="00F4418E" w:rsidRPr="005A2F55">
        <w:rPr>
          <w:rFonts w:asciiTheme="minorHAnsi" w:hAnsiTheme="minorHAnsi" w:cs="Arial"/>
        </w:rPr>
        <w:t xml:space="preserve">four examples of investments </w:t>
      </w:r>
      <w:r w:rsidR="0013699A" w:rsidRPr="005A2F55">
        <w:rPr>
          <w:rFonts w:asciiTheme="minorHAnsi" w:hAnsiTheme="minorHAnsi" w:cs="Arial"/>
        </w:rPr>
        <w:t xml:space="preserve">that contributed to </w:t>
      </w:r>
      <w:r w:rsidR="00F4418E" w:rsidRPr="005A2F55">
        <w:rPr>
          <w:rFonts w:asciiTheme="minorHAnsi" w:hAnsiTheme="minorHAnsi" w:cs="Arial"/>
        </w:rPr>
        <w:t xml:space="preserve">progress in advancing </w:t>
      </w:r>
      <w:r w:rsidR="0013699A" w:rsidRPr="005A2F55">
        <w:rPr>
          <w:rFonts w:asciiTheme="minorHAnsi" w:hAnsiTheme="minorHAnsi" w:cs="Arial"/>
        </w:rPr>
        <w:t xml:space="preserve">the ACO </w:t>
      </w:r>
      <w:r w:rsidR="00F4418E" w:rsidRPr="005A2F55">
        <w:rPr>
          <w:rFonts w:asciiTheme="minorHAnsi" w:hAnsiTheme="minorHAnsi" w:cs="Arial"/>
        </w:rPr>
        <w:t>goals</w:t>
      </w:r>
      <w:r w:rsidR="008B1036">
        <w:rPr>
          <w:rFonts w:asciiTheme="minorHAnsi" w:hAnsiTheme="minorHAnsi" w:cs="Arial"/>
        </w:rPr>
        <w:t xml:space="preserve"> during PY2</w:t>
      </w:r>
      <w:r w:rsidR="00FD1AC8">
        <w:rPr>
          <w:rFonts w:asciiTheme="minorHAnsi" w:hAnsiTheme="minorHAnsi" w:cs="Arial"/>
        </w:rPr>
        <w:t xml:space="preserve"> are described</w:t>
      </w:r>
      <w:r w:rsidR="00F4418E" w:rsidRPr="005A2F55">
        <w:rPr>
          <w:rFonts w:asciiTheme="minorHAnsi" w:hAnsiTheme="minorHAnsi" w:cs="Arial"/>
        </w:rPr>
        <w:t>.</w:t>
      </w:r>
    </w:p>
    <w:p w14:paraId="5A94D817" w14:textId="77777777" w:rsidR="0090355D" w:rsidRPr="003E1C22" w:rsidRDefault="0090355D" w:rsidP="00604E19">
      <w:pPr>
        <w:spacing w:after="0" w:line="240" w:lineRule="auto"/>
        <w:jc w:val="both"/>
        <w:rPr>
          <w:rFonts w:ascii="Arial" w:hAnsi="Arial" w:cs="Arial"/>
          <w:color w:val="FF0000"/>
          <w:sz w:val="20"/>
          <w:szCs w:val="20"/>
        </w:rPr>
      </w:pPr>
    </w:p>
    <w:p w14:paraId="1B32D7FA" w14:textId="77777777" w:rsidR="00DE274A" w:rsidRPr="005A2F55" w:rsidRDefault="00DE274A" w:rsidP="00DE274A">
      <w:pPr>
        <w:numPr>
          <w:ilvl w:val="0"/>
          <w:numId w:val="2"/>
        </w:numPr>
        <w:spacing w:after="160" w:line="252" w:lineRule="auto"/>
        <w:ind w:left="0"/>
        <w:contextualSpacing/>
        <w:rPr>
          <w:rFonts w:asciiTheme="minorHAnsi" w:hAnsiTheme="minorHAnsi" w:cs="Arial"/>
          <w:b/>
        </w:rPr>
      </w:pPr>
      <w:r w:rsidRPr="005A2F55">
        <w:rPr>
          <w:rFonts w:asciiTheme="minorHAnsi" w:hAnsiTheme="minorHAnsi" w:cs="Arial"/>
          <w:b/>
        </w:rPr>
        <w:t xml:space="preserve">Complex Care   </w:t>
      </w:r>
    </w:p>
    <w:p w14:paraId="089461B3" w14:textId="4C3FA57D" w:rsidR="005A2F55" w:rsidRPr="005A2F55" w:rsidRDefault="005A2F55" w:rsidP="005A2F55">
      <w:pPr>
        <w:contextualSpacing/>
        <w:rPr>
          <w:rFonts w:asciiTheme="minorHAnsi" w:hAnsiTheme="minorHAnsi" w:cs="Arial"/>
        </w:rPr>
      </w:pPr>
      <w:r w:rsidRPr="005A2F55">
        <w:rPr>
          <w:rFonts w:asciiTheme="minorHAnsi" w:hAnsiTheme="minorHAnsi" w:cs="Arial"/>
        </w:rPr>
        <w:t xml:space="preserve">Investments related to management of the BCH ACO complex patient population </w:t>
      </w:r>
      <w:r w:rsidR="00A06399">
        <w:rPr>
          <w:rFonts w:asciiTheme="minorHAnsi" w:hAnsiTheme="minorHAnsi" w:cs="Arial"/>
        </w:rPr>
        <w:t>align with</w:t>
      </w:r>
      <w:r w:rsidRPr="005A2F55">
        <w:rPr>
          <w:rFonts w:asciiTheme="minorHAnsi" w:hAnsiTheme="minorHAnsi" w:cs="Arial"/>
        </w:rPr>
        <w:t xml:space="preserve"> BCH ACO </w:t>
      </w:r>
      <w:r>
        <w:rPr>
          <w:rFonts w:asciiTheme="minorHAnsi" w:hAnsiTheme="minorHAnsi" w:cs="Arial"/>
        </w:rPr>
        <w:t xml:space="preserve">goal 1.b, to reduce the </w:t>
      </w:r>
      <w:r w:rsidR="00AB715C">
        <w:rPr>
          <w:rFonts w:asciiTheme="minorHAnsi" w:hAnsiTheme="minorHAnsi" w:cs="Arial"/>
        </w:rPr>
        <w:t xml:space="preserve">rate of </w:t>
      </w:r>
      <w:r>
        <w:rPr>
          <w:rFonts w:asciiTheme="minorHAnsi" w:hAnsiTheme="minorHAnsi" w:cs="Arial"/>
        </w:rPr>
        <w:t xml:space="preserve">inpatient </w:t>
      </w:r>
      <w:r w:rsidR="00F35BC4">
        <w:rPr>
          <w:rFonts w:asciiTheme="minorHAnsi" w:hAnsiTheme="minorHAnsi" w:cs="Arial"/>
        </w:rPr>
        <w:t xml:space="preserve">events </w:t>
      </w:r>
      <w:r w:rsidR="00AB715C">
        <w:rPr>
          <w:rFonts w:asciiTheme="minorHAnsi" w:hAnsiTheme="minorHAnsi" w:cs="Arial"/>
        </w:rPr>
        <w:t xml:space="preserve">among </w:t>
      </w:r>
      <w:r>
        <w:rPr>
          <w:rFonts w:asciiTheme="minorHAnsi" w:hAnsiTheme="minorHAnsi" w:cs="Arial"/>
        </w:rPr>
        <w:t>complex patients</w:t>
      </w:r>
      <w:r w:rsidR="008B1036">
        <w:rPr>
          <w:rFonts w:asciiTheme="minorHAnsi" w:hAnsiTheme="minorHAnsi" w:cs="Arial"/>
        </w:rPr>
        <w:t xml:space="preserve"> over the five-year period of the ACO</w:t>
      </w:r>
      <w:r>
        <w:rPr>
          <w:rFonts w:asciiTheme="minorHAnsi" w:hAnsiTheme="minorHAnsi" w:cs="Arial"/>
        </w:rPr>
        <w:t>. Progress towards this goal is supported by investments in care management for complex patients. In the BCH Primary Care practices (Children’s Hospital Primary Care Center, Martha Eliot Health Center, and the Adolescent and Young Adult Practice)</w:t>
      </w:r>
      <w:r w:rsidR="008B1036">
        <w:rPr>
          <w:rFonts w:asciiTheme="minorHAnsi" w:hAnsiTheme="minorHAnsi" w:cs="Arial"/>
        </w:rPr>
        <w:t>,</w:t>
      </w:r>
      <w:r>
        <w:rPr>
          <w:rFonts w:asciiTheme="minorHAnsi" w:hAnsiTheme="minorHAnsi" w:cs="Arial"/>
        </w:rPr>
        <w:t xml:space="preserve"> </w:t>
      </w:r>
      <w:r w:rsidR="00A06399">
        <w:rPr>
          <w:rFonts w:asciiTheme="minorHAnsi" w:hAnsiTheme="minorHAnsi" w:cs="Arial"/>
        </w:rPr>
        <w:t xml:space="preserve">mechanisms for defining and systematically tracking </w:t>
      </w:r>
      <w:r>
        <w:rPr>
          <w:rFonts w:asciiTheme="minorHAnsi" w:hAnsiTheme="minorHAnsi" w:cs="Arial"/>
        </w:rPr>
        <w:t xml:space="preserve">the complex patient population </w:t>
      </w:r>
      <w:r w:rsidR="00A06399">
        <w:rPr>
          <w:rFonts w:asciiTheme="minorHAnsi" w:hAnsiTheme="minorHAnsi" w:cs="Arial"/>
        </w:rPr>
        <w:t>were refined</w:t>
      </w:r>
      <w:r>
        <w:rPr>
          <w:rFonts w:asciiTheme="minorHAnsi" w:hAnsiTheme="minorHAnsi" w:cs="Arial"/>
        </w:rPr>
        <w:t xml:space="preserve"> throughout PY2 for the purposes of care management intervention and measurement of </w:t>
      </w:r>
      <w:r w:rsidR="00A06399">
        <w:rPr>
          <w:rFonts w:asciiTheme="minorHAnsi" w:hAnsiTheme="minorHAnsi" w:cs="Arial"/>
        </w:rPr>
        <w:t>investment</w:t>
      </w:r>
      <w:r>
        <w:rPr>
          <w:rFonts w:asciiTheme="minorHAnsi" w:hAnsiTheme="minorHAnsi" w:cs="Arial"/>
        </w:rPr>
        <w:t xml:space="preserve"> impact. At the Pediatric Physician’s Organization at Children’s (the PPOC), progress was made </w:t>
      </w:r>
      <w:r w:rsidR="00A06399">
        <w:rPr>
          <w:rFonts w:asciiTheme="minorHAnsi" w:hAnsiTheme="minorHAnsi" w:cs="Arial"/>
        </w:rPr>
        <w:t xml:space="preserve">in </w:t>
      </w:r>
      <w:r w:rsidR="008B1036">
        <w:rPr>
          <w:rFonts w:asciiTheme="minorHAnsi" w:hAnsiTheme="minorHAnsi" w:cs="Arial"/>
        </w:rPr>
        <w:t xml:space="preserve">understanding the alignment </w:t>
      </w:r>
      <w:r w:rsidR="00A06399">
        <w:rPr>
          <w:rFonts w:asciiTheme="minorHAnsi" w:hAnsiTheme="minorHAnsi" w:cs="Arial"/>
        </w:rPr>
        <w:t xml:space="preserve">of the Regional Support Team model </w:t>
      </w:r>
      <w:r w:rsidR="008B1036">
        <w:rPr>
          <w:rFonts w:asciiTheme="minorHAnsi" w:hAnsiTheme="minorHAnsi" w:cs="Arial"/>
        </w:rPr>
        <w:t xml:space="preserve">with </w:t>
      </w:r>
      <w:r w:rsidR="00A06399">
        <w:rPr>
          <w:rFonts w:asciiTheme="minorHAnsi" w:hAnsiTheme="minorHAnsi" w:cs="Arial"/>
        </w:rPr>
        <w:t xml:space="preserve">the </w:t>
      </w:r>
      <w:r w:rsidR="008B1036">
        <w:rPr>
          <w:rFonts w:asciiTheme="minorHAnsi" w:hAnsiTheme="minorHAnsi" w:cs="Arial"/>
        </w:rPr>
        <w:t xml:space="preserve">needs of the PPOC’s </w:t>
      </w:r>
      <w:r w:rsidR="00A06399">
        <w:rPr>
          <w:rFonts w:asciiTheme="minorHAnsi" w:hAnsiTheme="minorHAnsi" w:cs="Arial"/>
        </w:rPr>
        <w:t xml:space="preserve">complex patient population. </w:t>
      </w:r>
      <w:r w:rsidR="008B1036">
        <w:rPr>
          <w:rFonts w:asciiTheme="minorHAnsi" w:hAnsiTheme="minorHAnsi" w:cs="Arial"/>
        </w:rPr>
        <w:t>During PY2, patients were primarily referred to t</w:t>
      </w:r>
      <w:r w:rsidR="00A06399">
        <w:rPr>
          <w:rFonts w:asciiTheme="minorHAnsi" w:hAnsiTheme="minorHAnsi" w:cs="Arial"/>
        </w:rPr>
        <w:t xml:space="preserve">he Regional Support Team for assistance with </w:t>
      </w:r>
      <w:r w:rsidR="00530A32">
        <w:rPr>
          <w:rFonts w:asciiTheme="minorHAnsi" w:hAnsiTheme="minorHAnsi" w:cs="Arial"/>
        </w:rPr>
        <w:t xml:space="preserve">behavioral and </w:t>
      </w:r>
      <w:r w:rsidR="00A06399">
        <w:rPr>
          <w:rFonts w:asciiTheme="minorHAnsi" w:hAnsiTheme="minorHAnsi" w:cs="Arial"/>
        </w:rPr>
        <w:t xml:space="preserve">social </w:t>
      </w:r>
      <w:r w:rsidR="008B1036">
        <w:rPr>
          <w:rFonts w:asciiTheme="minorHAnsi" w:hAnsiTheme="minorHAnsi" w:cs="Arial"/>
        </w:rPr>
        <w:t xml:space="preserve">needs and were less likely to be referred for </w:t>
      </w:r>
      <w:r w:rsidR="00A06399">
        <w:rPr>
          <w:rFonts w:asciiTheme="minorHAnsi" w:hAnsiTheme="minorHAnsi" w:cs="Arial"/>
        </w:rPr>
        <w:t xml:space="preserve">medical needs </w:t>
      </w:r>
      <w:r w:rsidR="008B1036">
        <w:rPr>
          <w:rFonts w:asciiTheme="minorHAnsi" w:hAnsiTheme="minorHAnsi" w:cs="Arial"/>
        </w:rPr>
        <w:t>alone. T</w:t>
      </w:r>
      <w:r w:rsidR="00A06399">
        <w:rPr>
          <w:rFonts w:asciiTheme="minorHAnsi" w:hAnsiTheme="minorHAnsi" w:cs="Arial"/>
        </w:rPr>
        <w:t>he team</w:t>
      </w:r>
      <w:r w:rsidR="008B1036">
        <w:rPr>
          <w:rFonts w:asciiTheme="minorHAnsi" w:hAnsiTheme="minorHAnsi" w:cs="Arial"/>
        </w:rPr>
        <w:t>’s</w:t>
      </w:r>
      <w:r w:rsidR="00A06399">
        <w:rPr>
          <w:rFonts w:asciiTheme="minorHAnsi" w:hAnsiTheme="minorHAnsi" w:cs="Arial"/>
        </w:rPr>
        <w:t xml:space="preserve"> </w:t>
      </w:r>
      <w:r w:rsidR="008B1036">
        <w:rPr>
          <w:rFonts w:asciiTheme="minorHAnsi" w:hAnsiTheme="minorHAnsi" w:cs="Arial"/>
        </w:rPr>
        <w:t xml:space="preserve">leadership used this information and experience </w:t>
      </w:r>
      <w:r w:rsidR="00A06399">
        <w:rPr>
          <w:rFonts w:asciiTheme="minorHAnsi" w:hAnsiTheme="minorHAnsi" w:cs="Arial"/>
        </w:rPr>
        <w:t xml:space="preserve">to </w:t>
      </w:r>
      <w:r w:rsidR="008B1036">
        <w:rPr>
          <w:rFonts w:asciiTheme="minorHAnsi" w:hAnsiTheme="minorHAnsi" w:cs="Arial"/>
        </w:rPr>
        <w:t xml:space="preserve">modify </w:t>
      </w:r>
      <w:r w:rsidR="00A06399">
        <w:rPr>
          <w:rFonts w:asciiTheme="minorHAnsi" w:hAnsiTheme="minorHAnsi" w:cs="Arial"/>
        </w:rPr>
        <w:t>team</w:t>
      </w:r>
      <w:r w:rsidR="00530A32">
        <w:rPr>
          <w:rFonts w:asciiTheme="minorHAnsi" w:hAnsiTheme="minorHAnsi" w:cs="Arial"/>
        </w:rPr>
        <w:t xml:space="preserve"> </w:t>
      </w:r>
      <w:r w:rsidR="008B1036">
        <w:rPr>
          <w:rFonts w:asciiTheme="minorHAnsi" w:hAnsiTheme="minorHAnsi" w:cs="Arial"/>
        </w:rPr>
        <w:t xml:space="preserve">workflows </w:t>
      </w:r>
      <w:r w:rsidR="00530A32">
        <w:rPr>
          <w:rFonts w:asciiTheme="minorHAnsi" w:hAnsiTheme="minorHAnsi" w:cs="Arial"/>
        </w:rPr>
        <w:t>and structure</w:t>
      </w:r>
      <w:r w:rsidR="008B1036">
        <w:rPr>
          <w:rFonts w:asciiTheme="minorHAnsi" w:hAnsiTheme="minorHAnsi" w:cs="Arial"/>
        </w:rPr>
        <w:t xml:space="preserve"> to include additional resources for common needs</w:t>
      </w:r>
      <w:r w:rsidR="00530A32">
        <w:rPr>
          <w:rFonts w:asciiTheme="minorHAnsi" w:hAnsiTheme="minorHAnsi" w:cs="Arial"/>
        </w:rPr>
        <w:t xml:space="preserve">. </w:t>
      </w:r>
      <w:r w:rsidR="00A06399">
        <w:rPr>
          <w:rFonts w:asciiTheme="minorHAnsi" w:hAnsiTheme="minorHAnsi" w:cs="Arial"/>
        </w:rPr>
        <w:t xml:space="preserve"> </w:t>
      </w:r>
      <w:r w:rsidR="008B1036">
        <w:rPr>
          <w:rFonts w:asciiTheme="minorHAnsi" w:hAnsiTheme="minorHAnsi" w:cs="Arial"/>
        </w:rPr>
        <w:t>T</w:t>
      </w:r>
      <w:r w:rsidR="00530A32">
        <w:rPr>
          <w:rFonts w:asciiTheme="minorHAnsi" w:hAnsiTheme="minorHAnsi" w:cs="Arial"/>
        </w:rPr>
        <w:t xml:space="preserve">he BCH ACO is also exploring </w:t>
      </w:r>
      <w:r w:rsidR="00A06399">
        <w:rPr>
          <w:rFonts w:asciiTheme="minorHAnsi" w:hAnsiTheme="minorHAnsi" w:cs="Arial"/>
        </w:rPr>
        <w:t>other avenues for management of the</w:t>
      </w:r>
      <w:r w:rsidR="00530A32">
        <w:rPr>
          <w:rFonts w:asciiTheme="minorHAnsi" w:hAnsiTheme="minorHAnsi" w:cs="Arial"/>
        </w:rPr>
        <w:t xml:space="preserve"> medically</w:t>
      </w:r>
      <w:r w:rsidR="00A06399">
        <w:rPr>
          <w:rFonts w:asciiTheme="minorHAnsi" w:hAnsiTheme="minorHAnsi" w:cs="Arial"/>
        </w:rPr>
        <w:t xml:space="preserve"> complex patient population, informed by care management activities occurring within Boston Children’s Hospital</w:t>
      </w:r>
      <w:r w:rsidR="00530A32">
        <w:rPr>
          <w:rFonts w:asciiTheme="minorHAnsi" w:hAnsiTheme="minorHAnsi" w:cs="Arial"/>
        </w:rPr>
        <w:t xml:space="preserve"> subspecialty services</w:t>
      </w:r>
      <w:r w:rsidR="00A06399">
        <w:rPr>
          <w:rFonts w:asciiTheme="minorHAnsi" w:hAnsiTheme="minorHAnsi" w:cs="Arial"/>
        </w:rPr>
        <w:t xml:space="preserve">. </w:t>
      </w:r>
    </w:p>
    <w:p w14:paraId="3F74B544" w14:textId="77777777" w:rsidR="00DE274A" w:rsidRPr="003E1C22" w:rsidRDefault="00DE274A" w:rsidP="00DE274A">
      <w:pPr>
        <w:contextualSpacing/>
        <w:rPr>
          <w:rFonts w:asciiTheme="minorHAnsi" w:hAnsiTheme="minorHAnsi" w:cs="Arial"/>
          <w:color w:val="FF0000"/>
        </w:rPr>
      </w:pPr>
    </w:p>
    <w:p w14:paraId="7B5AD61B" w14:textId="4173E780" w:rsidR="00DE274A" w:rsidRPr="00A06399" w:rsidRDefault="00DE274A" w:rsidP="00DE274A">
      <w:pPr>
        <w:ind w:left="-288" w:right="-720"/>
        <w:contextualSpacing/>
        <w:rPr>
          <w:rFonts w:asciiTheme="minorHAnsi" w:hAnsiTheme="minorHAnsi" w:cs="Arial"/>
        </w:rPr>
      </w:pPr>
      <w:r w:rsidRPr="00A06399">
        <w:rPr>
          <w:rFonts w:asciiTheme="minorHAnsi" w:hAnsiTheme="minorHAnsi" w:cs="Arial"/>
          <w:b/>
        </w:rPr>
        <w:t xml:space="preserve">2.  Social Determinants of Health                                                                                                                                    </w:t>
      </w:r>
    </w:p>
    <w:p w14:paraId="66D4B2EE" w14:textId="685F44A3" w:rsidR="00A06399" w:rsidRPr="00A06399" w:rsidRDefault="00A06399" w:rsidP="00A06399">
      <w:pPr>
        <w:contextualSpacing/>
        <w:rPr>
          <w:rFonts w:ascii="Calibri" w:eastAsia="Times New Roman" w:hAnsi="Calibri" w:cs="Times New Roman"/>
          <w:color w:val="000000"/>
        </w:rPr>
      </w:pPr>
      <w:r w:rsidRPr="00A06399">
        <w:rPr>
          <w:rFonts w:asciiTheme="minorHAnsi" w:hAnsiTheme="minorHAnsi" w:cs="Arial"/>
        </w:rPr>
        <w:lastRenderedPageBreak/>
        <w:t>Investments related to respon</w:t>
      </w:r>
      <w:r w:rsidR="008B1036">
        <w:rPr>
          <w:rFonts w:asciiTheme="minorHAnsi" w:hAnsiTheme="minorHAnsi" w:cs="Arial"/>
        </w:rPr>
        <w:t xml:space="preserve">ding </w:t>
      </w:r>
      <w:r w:rsidRPr="00A06399">
        <w:rPr>
          <w:rFonts w:asciiTheme="minorHAnsi" w:hAnsiTheme="minorHAnsi" w:cs="Arial"/>
        </w:rPr>
        <w:t xml:space="preserve">to identified health-related social needs </w:t>
      </w:r>
      <w:r>
        <w:rPr>
          <w:rFonts w:asciiTheme="minorHAnsi" w:hAnsiTheme="minorHAnsi" w:cs="Arial"/>
        </w:rPr>
        <w:t>align with</w:t>
      </w:r>
      <w:r w:rsidRPr="00A06399">
        <w:rPr>
          <w:rFonts w:asciiTheme="minorHAnsi" w:hAnsiTheme="minorHAnsi" w:cs="Arial"/>
        </w:rPr>
        <w:t xml:space="preserve"> BCH ACO goal 8, to </w:t>
      </w:r>
      <w:r w:rsidRPr="00A06399">
        <w:rPr>
          <w:rFonts w:ascii="Calibri" w:eastAsia="Times New Roman" w:hAnsi="Calibri" w:cs="Times New Roman"/>
          <w:color w:val="000000"/>
        </w:rPr>
        <w:t>establish a system to track responses to positive health-related social needs screening response and associated health outcomes.</w:t>
      </w:r>
      <w:r>
        <w:rPr>
          <w:rFonts w:ascii="Calibri" w:eastAsia="Times New Roman" w:hAnsi="Calibri" w:cs="Times New Roman"/>
          <w:color w:val="000000"/>
        </w:rPr>
        <w:t xml:space="preserve"> In PY2, significant progress was made </w:t>
      </w:r>
      <w:r w:rsidR="008B1036">
        <w:rPr>
          <w:rFonts w:ascii="Calibri" w:eastAsia="Times New Roman" w:hAnsi="Calibri" w:cs="Times New Roman"/>
          <w:color w:val="000000"/>
        </w:rPr>
        <w:t xml:space="preserve">in </w:t>
      </w:r>
      <w:r>
        <w:rPr>
          <w:rFonts w:ascii="Calibri" w:eastAsia="Times New Roman" w:hAnsi="Calibri" w:cs="Times New Roman"/>
          <w:color w:val="000000"/>
        </w:rPr>
        <w:t xml:space="preserve">launching health-related social needs screening workflows, </w:t>
      </w:r>
      <w:r w:rsidR="008B1036">
        <w:rPr>
          <w:rFonts w:ascii="Calibri" w:eastAsia="Times New Roman" w:hAnsi="Calibri" w:cs="Times New Roman"/>
          <w:color w:val="000000"/>
        </w:rPr>
        <w:t xml:space="preserve">examining and </w:t>
      </w:r>
      <w:r w:rsidR="00011A1C">
        <w:rPr>
          <w:rFonts w:ascii="Calibri" w:eastAsia="Times New Roman" w:hAnsi="Calibri" w:cs="Times New Roman"/>
          <w:color w:val="000000"/>
        </w:rPr>
        <w:t>understand</w:t>
      </w:r>
      <w:r w:rsidR="008B1036">
        <w:rPr>
          <w:rFonts w:ascii="Calibri" w:eastAsia="Times New Roman" w:hAnsi="Calibri" w:cs="Times New Roman"/>
          <w:color w:val="000000"/>
        </w:rPr>
        <w:t>ing</w:t>
      </w:r>
      <w:r>
        <w:rPr>
          <w:rFonts w:ascii="Calibri" w:eastAsia="Times New Roman" w:hAnsi="Calibri" w:cs="Times New Roman"/>
          <w:color w:val="000000"/>
        </w:rPr>
        <w:t xml:space="preserve"> the needs </w:t>
      </w:r>
      <w:r w:rsidR="008B1036">
        <w:rPr>
          <w:rFonts w:ascii="Calibri" w:eastAsia="Times New Roman" w:hAnsi="Calibri" w:cs="Times New Roman"/>
          <w:color w:val="000000"/>
        </w:rPr>
        <w:t xml:space="preserve">that were </w:t>
      </w:r>
      <w:r>
        <w:rPr>
          <w:rFonts w:ascii="Calibri" w:eastAsia="Times New Roman" w:hAnsi="Calibri" w:cs="Times New Roman"/>
          <w:color w:val="000000"/>
        </w:rPr>
        <w:t xml:space="preserve">identified through screening, and developing </w:t>
      </w:r>
      <w:r w:rsidR="00011A1C">
        <w:rPr>
          <w:rFonts w:ascii="Calibri" w:eastAsia="Times New Roman" w:hAnsi="Calibri" w:cs="Times New Roman"/>
          <w:color w:val="000000"/>
        </w:rPr>
        <w:t xml:space="preserve">workflows </w:t>
      </w:r>
      <w:r w:rsidR="008B1036">
        <w:rPr>
          <w:rFonts w:ascii="Calibri" w:eastAsia="Times New Roman" w:hAnsi="Calibri" w:cs="Times New Roman"/>
          <w:color w:val="000000"/>
        </w:rPr>
        <w:t xml:space="preserve">for responses </w:t>
      </w:r>
      <w:r w:rsidR="00011A1C">
        <w:rPr>
          <w:rFonts w:ascii="Calibri" w:eastAsia="Times New Roman" w:hAnsi="Calibri" w:cs="Times New Roman"/>
          <w:color w:val="000000"/>
        </w:rPr>
        <w:t xml:space="preserve">to address </w:t>
      </w:r>
      <w:r w:rsidR="008B1036">
        <w:rPr>
          <w:rFonts w:ascii="Calibri" w:eastAsia="Times New Roman" w:hAnsi="Calibri" w:cs="Times New Roman"/>
          <w:color w:val="000000"/>
        </w:rPr>
        <w:t xml:space="preserve">identified </w:t>
      </w:r>
      <w:r w:rsidR="00011A1C">
        <w:rPr>
          <w:rFonts w:ascii="Calibri" w:eastAsia="Times New Roman" w:hAnsi="Calibri" w:cs="Times New Roman"/>
          <w:color w:val="000000"/>
        </w:rPr>
        <w:t xml:space="preserve">needs. </w:t>
      </w:r>
      <w:r>
        <w:rPr>
          <w:rFonts w:ascii="Calibri" w:eastAsia="Times New Roman" w:hAnsi="Calibri" w:cs="Times New Roman"/>
          <w:color w:val="000000"/>
        </w:rPr>
        <w:t xml:space="preserve"> </w:t>
      </w:r>
      <w:r w:rsidR="008B1036">
        <w:rPr>
          <w:rFonts w:ascii="Calibri" w:eastAsia="Times New Roman" w:hAnsi="Calibri" w:cs="Times New Roman"/>
          <w:color w:val="000000"/>
        </w:rPr>
        <w:t>New s</w:t>
      </w:r>
      <w:r w:rsidR="00011A1C">
        <w:rPr>
          <w:rFonts w:ascii="Calibri" w:eastAsia="Times New Roman" w:hAnsi="Calibri" w:cs="Times New Roman"/>
          <w:color w:val="000000"/>
        </w:rPr>
        <w:t>ystems to measure responses to positive screens and associated health outcomes will be built on the foundation of these workflows. In PY2, planning also began for the launch of the Flexible Services program. Although this program will not receive DSRIP funding until PY3, collaborations between primary care practices and the Flexible Services team have already begun, illustrating progress towards BCH ACO goal 7, to improve integration of physical health, behavioral health, LTSS, and health-related social needs.</w:t>
      </w:r>
    </w:p>
    <w:p w14:paraId="08E14EAC" w14:textId="77777777" w:rsidR="00DE274A" w:rsidRPr="00011A1C" w:rsidRDefault="00DE274A" w:rsidP="00DE274A">
      <w:pPr>
        <w:tabs>
          <w:tab w:val="left" w:pos="1427"/>
        </w:tabs>
        <w:contextualSpacing/>
        <w:rPr>
          <w:rFonts w:asciiTheme="minorHAnsi" w:hAnsiTheme="minorHAnsi" w:cs="Arial"/>
        </w:rPr>
      </w:pPr>
    </w:p>
    <w:p w14:paraId="4693D9C7" w14:textId="77777777" w:rsidR="00011A1C" w:rsidRPr="00011A1C" w:rsidRDefault="00DE274A" w:rsidP="00DE274A">
      <w:pPr>
        <w:numPr>
          <w:ilvl w:val="0"/>
          <w:numId w:val="3"/>
        </w:numPr>
        <w:spacing w:after="160" w:line="252" w:lineRule="auto"/>
        <w:ind w:left="0"/>
        <w:contextualSpacing/>
        <w:rPr>
          <w:rFonts w:asciiTheme="minorHAnsi" w:hAnsiTheme="minorHAnsi" w:cs="Arial"/>
        </w:rPr>
      </w:pPr>
      <w:r w:rsidRPr="00011A1C">
        <w:rPr>
          <w:rFonts w:asciiTheme="minorHAnsi" w:hAnsiTheme="minorHAnsi" w:cs="Arial"/>
          <w:b/>
        </w:rPr>
        <w:t>Behavioral Health</w:t>
      </w:r>
    </w:p>
    <w:p w14:paraId="31167119" w14:textId="6F12CB75" w:rsidR="00011A1C" w:rsidRPr="00011A1C" w:rsidRDefault="00011A1C" w:rsidP="00011A1C">
      <w:pPr>
        <w:spacing w:after="160" w:line="252" w:lineRule="auto"/>
        <w:contextualSpacing/>
        <w:rPr>
          <w:rFonts w:asciiTheme="minorHAnsi" w:hAnsiTheme="minorHAnsi" w:cs="Arial"/>
        </w:rPr>
      </w:pPr>
      <w:r w:rsidRPr="00011A1C">
        <w:rPr>
          <w:rFonts w:asciiTheme="minorHAnsi" w:hAnsiTheme="minorHAnsi" w:cs="Arial"/>
        </w:rPr>
        <w:t xml:space="preserve">Investments related to </w:t>
      </w:r>
      <w:r>
        <w:rPr>
          <w:rFonts w:asciiTheme="minorHAnsi" w:hAnsiTheme="minorHAnsi" w:cs="Arial"/>
        </w:rPr>
        <w:t>behavioral health align with BCH ACO goal 1.c, to reduce acute behavioral health and substance use-related utilization such as inpatient, ED, partial/diversionary services, and ESP services</w:t>
      </w:r>
      <w:r w:rsidR="005F6F68">
        <w:rPr>
          <w:rFonts w:asciiTheme="minorHAnsi" w:hAnsiTheme="minorHAnsi" w:cs="Arial"/>
        </w:rPr>
        <w:t xml:space="preserve"> as well as goal </w:t>
      </w:r>
      <w:r w:rsidR="005F6F68">
        <w:rPr>
          <w:rFonts w:ascii="Calibri" w:eastAsia="Times New Roman" w:hAnsi="Calibri" w:cs="Times New Roman"/>
          <w:color w:val="000000"/>
        </w:rPr>
        <w:t>7, to improve integration of physical health, behavioral health, LTSS, and health-related social needs</w:t>
      </w:r>
      <w:r>
        <w:rPr>
          <w:rFonts w:asciiTheme="minorHAnsi" w:hAnsiTheme="minorHAnsi" w:cs="Arial"/>
        </w:rPr>
        <w:t>.</w:t>
      </w:r>
      <w:r w:rsidR="005F6F68">
        <w:rPr>
          <w:rFonts w:asciiTheme="minorHAnsi" w:hAnsiTheme="minorHAnsi" w:cs="Arial"/>
        </w:rPr>
        <w:t xml:space="preserve"> Progress towards th</w:t>
      </w:r>
      <w:r w:rsidR="008B1036">
        <w:rPr>
          <w:rFonts w:asciiTheme="minorHAnsi" w:hAnsiTheme="minorHAnsi" w:cs="Arial"/>
        </w:rPr>
        <w:t>ese</w:t>
      </w:r>
      <w:r w:rsidR="005F6F68">
        <w:rPr>
          <w:rFonts w:asciiTheme="minorHAnsi" w:hAnsiTheme="minorHAnsi" w:cs="Arial"/>
        </w:rPr>
        <w:t xml:space="preserve"> goal</w:t>
      </w:r>
      <w:r w:rsidR="008B1036">
        <w:rPr>
          <w:rFonts w:asciiTheme="minorHAnsi" w:hAnsiTheme="minorHAnsi" w:cs="Arial"/>
        </w:rPr>
        <w:t>s</w:t>
      </w:r>
      <w:r w:rsidR="005F6F68">
        <w:rPr>
          <w:rFonts w:asciiTheme="minorHAnsi" w:hAnsiTheme="minorHAnsi" w:cs="Arial"/>
        </w:rPr>
        <w:t xml:space="preserve"> is supported by investments in management of patients with behavioral health and substance use needs in the primary care and community settings. In PY2, the team administering </w:t>
      </w:r>
      <w:r w:rsidR="00C443EA">
        <w:rPr>
          <w:rFonts w:asciiTheme="minorHAnsi" w:hAnsiTheme="minorHAnsi" w:cs="Arial"/>
        </w:rPr>
        <w:t xml:space="preserve">the </w:t>
      </w:r>
      <w:r w:rsidR="005F6F68">
        <w:rPr>
          <w:rFonts w:asciiTheme="minorHAnsi" w:hAnsiTheme="minorHAnsi" w:cs="Arial"/>
        </w:rPr>
        <w:t xml:space="preserve">BCH ACO made significant progress </w:t>
      </w:r>
      <w:r w:rsidR="008B1036">
        <w:rPr>
          <w:rFonts w:asciiTheme="minorHAnsi" w:hAnsiTheme="minorHAnsi" w:cs="Arial"/>
        </w:rPr>
        <w:t xml:space="preserve">in </w:t>
      </w:r>
      <w:r w:rsidR="005F6F68">
        <w:rPr>
          <w:rFonts w:asciiTheme="minorHAnsi" w:hAnsiTheme="minorHAnsi" w:cs="Arial"/>
        </w:rPr>
        <w:t xml:space="preserve">standing up partnerships between primary care practices and Children’s Behavioral Health Initiative (CBHI) agencies. </w:t>
      </w:r>
      <w:r w:rsidR="00A15428">
        <w:rPr>
          <w:rFonts w:asciiTheme="minorHAnsi" w:hAnsiTheme="minorHAnsi" w:cs="Arial"/>
        </w:rPr>
        <w:t xml:space="preserve">Four </w:t>
      </w:r>
      <w:r w:rsidR="005F6F68">
        <w:rPr>
          <w:rFonts w:asciiTheme="minorHAnsi" w:hAnsiTheme="minorHAnsi" w:cs="Arial"/>
        </w:rPr>
        <w:t xml:space="preserve">practice-agency partnerships have been formed to date. These partnerships </w:t>
      </w:r>
      <w:r w:rsidR="008B1036">
        <w:rPr>
          <w:rFonts w:asciiTheme="minorHAnsi" w:hAnsiTheme="minorHAnsi" w:cs="Arial"/>
        </w:rPr>
        <w:t xml:space="preserve">are facilitated by a BCH ACO Senior Project Manager and </w:t>
      </w:r>
      <w:r w:rsidR="00EB05F7">
        <w:rPr>
          <w:rFonts w:asciiTheme="minorHAnsi" w:hAnsiTheme="minorHAnsi" w:cs="Arial"/>
        </w:rPr>
        <w:t xml:space="preserve">seek to improve </w:t>
      </w:r>
      <w:r w:rsidR="005F6F68">
        <w:rPr>
          <w:rFonts w:asciiTheme="minorHAnsi" w:hAnsiTheme="minorHAnsi" w:cs="Arial"/>
        </w:rPr>
        <w:t xml:space="preserve">access to </w:t>
      </w:r>
      <w:r w:rsidR="00EB05F7">
        <w:rPr>
          <w:rFonts w:asciiTheme="minorHAnsi" w:hAnsiTheme="minorHAnsi" w:cs="Arial"/>
        </w:rPr>
        <w:t xml:space="preserve">low acuity </w:t>
      </w:r>
      <w:r w:rsidR="005F6F68">
        <w:rPr>
          <w:rFonts w:asciiTheme="minorHAnsi" w:hAnsiTheme="minorHAnsi" w:cs="Arial"/>
        </w:rPr>
        <w:t xml:space="preserve">behavioral health services </w:t>
      </w:r>
      <w:r w:rsidR="00EB05F7">
        <w:rPr>
          <w:rFonts w:asciiTheme="minorHAnsi" w:hAnsiTheme="minorHAnsi" w:cs="Arial"/>
        </w:rPr>
        <w:t>and to support meaningful integration between primary care and community-based behavioral health entities</w:t>
      </w:r>
      <w:r w:rsidR="005F6F68">
        <w:rPr>
          <w:rFonts w:asciiTheme="minorHAnsi" w:hAnsiTheme="minorHAnsi" w:cs="Arial"/>
        </w:rPr>
        <w:t>.</w:t>
      </w:r>
    </w:p>
    <w:p w14:paraId="44FDA2B3" w14:textId="77777777" w:rsidR="00DE274A" w:rsidRPr="00F30ABB" w:rsidRDefault="00DE274A" w:rsidP="00DE274A">
      <w:pPr>
        <w:spacing w:after="160" w:line="252" w:lineRule="auto"/>
        <w:contextualSpacing/>
        <w:rPr>
          <w:rFonts w:asciiTheme="minorHAnsi" w:hAnsiTheme="minorHAnsi" w:cs="Arial"/>
        </w:rPr>
      </w:pPr>
    </w:p>
    <w:p w14:paraId="515785F7" w14:textId="77777777" w:rsidR="00F30ABB" w:rsidRPr="00F30ABB" w:rsidRDefault="00F30ABB" w:rsidP="00DE274A">
      <w:pPr>
        <w:numPr>
          <w:ilvl w:val="0"/>
          <w:numId w:val="3"/>
        </w:numPr>
        <w:spacing w:after="160" w:line="252" w:lineRule="auto"/>
        <w:ind w:left="0"/>
        <w:contextualSpacing/>
        <w:rPr>
          <w:rFonts w:asciiTheme="minorHAnsi" w:hAnsiTheme="minorHAnsi" w:cs="Arial"/>
          <w:b/>
        </w:rPr>
      </w:pPr>
      <w:r w:rsidRPr="00F30ABB">
        <w:rPr>
          <w:rFonts w:asciiTheme="minorHAnsi" w:hAnsiTheme="minorHAnsi" w:cs="Arial"/>
          <w:b/>
        </w:rPr>
        <w:t>Population Management</w:t>
      </w:r>
    </w:p>
    <w:p w14:paraId="25BB45E0" w14:textId="4F7BA009" w:rsidR="00F30ABB" w:rsidRPr="00F30ABB" w:rsidRDefault="00F30ABB" w:rsidP="00F30ABB">
      <w:pPr>
        <w:spacing w:after="160" w:line="252" w:lineRule="auto"/>
        <w:contextualSpacing/>
        <w:rPr>
          <w:rFonts w:asciiTheme="minorHAnsi" w:hAnsiTheme="minorHAnsi" w:cs="Arial"/>
        </w:rPr>
      </w:pPr>
      <w:r w:rsidRPr="00F30ABB">
        <w:rPr>
          <w:rFonts w:asciiTheme="minorHAnsi" w:hAnsiTheme="minorHAnsi" w:cs="Arial"/>
        </w:rPr>
        <w:t xml:space="preserve">Investments related to </w:t>
      </w:r>
      <w:r w:rsidR="005F6F68">
        <w:rPr>
          <w:rFonts w:asciiTheme="minorHAnsi" w:hAnsiTheme="minorHAnsi" w:cs="Arial"/>
        </w:rPr>
        <w:t xml:space="preserve">population management align with BCH ACO goals 3, 4, and 5, to improve performance on </w:t>
      </w:r>
      <w:r w:rsidR="00EB05F7">
        <w:rPr>
          <w:rFonts w:asciiTheme="minorHAnsi" w:hAnsiTheme="minorHAnsi" w:cs="Arial"/>
        </w:rPr>
        <w:t xml:space="preserve">three </w:t>
      </w:r>
      <w:r w:rsidR="005F6F68">
        <w:rPr>
          <w:rFonts w:asciiTheme="minorHAnsi" w:hAnsiTheme="minorHAnsi" w:cs="Arial"/>
        </w:rPr>
        <w:t xml:space="preserve">MassHealth ACO </w:t>
      </w:r>
      <w:r w:rsidR="00EB05F7">
        <w:rPr>
          <w:rFonts w:asciiTheme="minorHAnsi" w:hAnsiTheme="minorHAnsi" w:cs="Arial"/>
        </w:rPr>
        <w:t xml:space="preserve">quality </w:t>
      </w:r>
      <w:r w:rsidR="005F6F68">
        <w:rPr>
          <w:rFonts w:asciiTheme="minorHAnsi" w:hAnsiTheme="minorHAnsi" w:cs="Arial"/>
        </w:rPr>
        <w:t xml:space="preserve">measures </w:t>
      </w:r>
      <w:r w:rsidR="00EB05F7">
        <w:rPr>
          <w:rFonts w:asciiTheme="minorHAnsi" w:hAnsiTheme="minorHAnsi" w:cs="Arial"/>
        </w:rPr>
        <w:t>(</w:t>
      </w:r>
      <w:r w:rsidR="005F6F68">
        <w:rPr>
          <w:rFonts w:asciiTheme="minorHAnsi" w:hAnsiTheme="minorHAnsi" w:cs="Arial"/>
        </w:rPr>
        <w:t>Immunizations for Adolescents, Depression Screening and Follow-up Plan, and Health-Related Social Needs Screening</w:t>
      </w:r>
      <w:r w:rsidR="00EB05F7">
        <w:rPr>
          <w:rFonts w:asciiTheme="minorHAnsi" w:hAnsiTheme="minorHAnsi" w:cs="Arial"/>
        </w:rPr>
        <w:t>)</w:t>
      </w:r>
      <w:r w:rsidR="005F6F68">
        <w:rPr>
          <w:rFonts w:asciiTheme="minorHAnsi" w:hAnsiTheme="minorHAnsi" w:cs="Arial"/>
        </w:rPr>
        <w:t xml:space="preserve">. </w:t>
      </w:r>
      <w:r w:rsidR="00673FE7">
        <w:rPr>
          <w:rFonts w:asciiTheme="minorHAnsi" w:hAnsiTheme="minorHAnsi" w:cs="Arial"/>
        </w:rPr>
        <w:t xml:space="preserve">In PY2, primary care practices worked towards improved performance on these quality measures through prioritization of workflows and documentation necessary for measure compliance. For example, </w:t>
      </w:r>
      <w:r w:rsidR="00C719E2">
        <w:rPr>
          <w:rFonts w:asciiTheme="minorHAnsi" w:hAnsiTheme="minorHAnsi" w:cs="Arial"/>
        </w:rPr>
        <w:t xml:space="preserve">increasing the percentage of patients who received their first HPV immunization by age 11 was a PPOC-wide quality goal in 2019. Across all primary care practices, provider training and EMR modifications were implemented to increase rates of depression screening and appropriate documentation of follow-up plans. At BCH primary care practices, MassHealth-approved health-related social needs screening tools were rolled out in February, May, and July of 2019. </w:t>
      </w:r>
    </w:p>
    <w:p w14:paraId="1C74607E" w14:textId="77777777" w:rsidR="008648E8" w:rsidRPr="00DE274A" w:rsidRDefault="008648E8" w:rsidP="00DE274A">
      <w:pPr>
        <w:spacing w:after="160" w:line="252" w:lineRule="auto"/>
        <w:contextualSpacing/>
        <w:jc w:val="both"/>
        <w:rPr>
          <w:rFonts w:asciiTheme="minorHAnsi" w:hAnsiTheme="minorHAnsi" w:cs="Arial"/>
        </w:rPr>
      </w:pPr>
    </w:p>
    <w:p w14:paraId="37A68B81" w14:textId="77D6FDE2" w:rsidR="005F142F" w:rsidRPr="008648E8" w:rsidRDefault="00AC6F49" w:rsidP="00AC6F49">
      <w:pPr>
        <w:pStyle w:val="Heading2"/>
        <w:ind w:left="0"/>
      </w:pPr>
      <w:r>
        <w:t xml:space="preserve">1.3 </w:t>
      </w:r>
      <w:r w:rsidR="00C14C85" w:rsidRPr="008648E8">
        <w:t>Success</w:t>
      </w:r>
      <w:r w:rsidR="00604E19" w:rsidRPr="008648E8">
        <w:t>es</w:t>
      </w:r>
      <w:r w:rsidR="00C14C85" w:rsidRPr="008648E8">
        <w:t xml:space="preserve"> and Challenges of PY</w:t>
      </w:r>
      <w:r w:rsidR="008C1D78" w:rsidRPr="008648E8">
        <w:t>1</w:t>
      </w:r>
    </w:p>
    <w:p w14:paraId="0B42A384" w14:textId="77777777" w:rsidR="001E03F4" w:rsidRPr="00C719E2" w:rsidRDefault="00905FCF" w:rsidP="00C719E2">
      <w:pPr>
        <w:rPr>
          <w:rFonts w:asciiTheme="majorHAnsi" w:hAnsiTheme="majorHAnsi"/>
          <w:b/>
          <w:color w:val="244061" w:themeColor="accent1" w:themeShade="80"/>
        </w:rPr>
      </w:pPr>
      <w:r w:rsidRPr="00905FCF">
        <w:rPr>
          <w:rFonts w:asciiTheme="majorHAnsi" w:hAnsiTheme="majorHAnsi"/>
          <w:b/>
          <w:color w:val="244061" w:themeColor="accent1" w:themeShade="80"/>
        </w:rPr>
        <w:t>Successes</w:t>
      </w:r>
    </w:p>
    <w:p w14:paraId="1687B5A7" w14:textId="77777777" w:rsidR="001E03F4" w:rsidRPr="003E1C22" w:rsidRDefault="001E03F4" w:rsidP="001E03F4">
      <w:pPr>
        <w:pStyle w:val="ListParagraph"/>
        <w:spacing w:after="0" w:line="240" w:lineRule="auto"/>
        <w:ind w:left="0" w:right="-144"/>
        <w:jc w:val="both"/>
        <w:rPr>
          <w:rFonts w:asciiTheme="minorHAnsi" w:hAnsiTheme="minorHAnsi" w:cs="Arial"/>
          <w:color w:val="FF0000"/>
        </w:rPr>
      </w:pPr>
    </w:p>
    <w:p w14:paraId="6F509212" w14:textId="77777777" w:rsidR="001E03F4" w:rsidRPr="00C719E2" w:rsidRDefault="001E03F4" w:rsidP="001E03F4">
      <w:pPr>
        <w:pStyle w:val="ListParagraph"/>
        <w:numPr>
          <w:ilvl w:val="0"/>
          <w:numId w:val="4"/>
        </w:numPr>
        <w:spacing w:after="0" w:line="240" w:lineRule="auto"/>
        <w:ind w:left="0" w:right="-144"/>
        <w:jc w:val="both"/>
        <w:rPr>
          <w:rFonts w:asciiTheme="minorHAnsi" w:hAnsiTheme="minorHAnsi" w:cs="Arial"/>
          <w:b/>
        </w:rPr>
      </w:pPr>
      <w:r w:rsidRPr="00C719E2">
        <w:rPr>
          <w:rFonts w:asciiTheme="minorHAnsi" w:hAnsiTheme="minorHAnsi" w:cs="Arial"/>
          <w:b/>
        </w:rPr>
        <w:t>Clinical Programs</w:t>
      </w:r>
    </w:p>
    <w:p w14:paraId="0100A48B" w14:textId="5E27D242" w:rsidR="00C719E2" w:rsidRPr="004D6CFF" w:rsidRDefault="004D6CFF" w:rsidP="004D6CFF">
      <w:pPr>
        <w:spacing w:after="0" w:line="240" w:lineRule="auto"/>
        <w:ind w:right="-144"/>
        <w:rPr>
          <w:rFonts w:asciiTheme="minorHAnsi" w:hAnsiTheme="minorHAnsi" w:cs="Arial"/>
        </w:rPr>
      </w:pPr>
      <w:r>
        <w:rPr>
          <w:rFonts w:asciiTheme="minorHAnsi" w:hAnsiTheme="minorHAnsi" w:cs="Arial"/>
        </w:rPr>
        <w:t xml:space="preserve">BCH ACO has succeeded in expanding and/or maintaining 20 clinical programs across five focus areas and seven investment locations since PY0. </w:t>
      </w:r>
      <w:r w:rsidR="0035706F">
        <w:rPr>
          <w:rFonts w:asciiTheme="minorHAnsi" w:hAnsiTheme="minorHAnsi" w:cs="Arial"/>
        </w:rPr>
        <w:t>In</w:t>
      </w:r>
      <w:r>
        <w:rPr>
          <w:rFonts w:asciiTheme="minorHAnsi" w:hAnsiTheme="minorHAnsi" w:cs="Arial"/>
        </w:rPr>
        <w:t xml:space="preserve"> PY2</w:t>
      </w:r>
      <w:r w:rsidR="00EB05F7">
        <w:rPr>
          <w:rFonts w:asciiTheme="minorHAnsi" w:hAnsiTheme="minorHAnsi" w:cs="Arial"/>
        </w:rPr>
        <w:t>,</w:t>
      </w:r>
      <w:r>
        <w:rPr>
          <w:rFonts w:asciiTheme="minorHAnsi" w:hAnsiTheme="minorHAnsi" w:cs="Arial"/>
        </w:rPr>
        <w:t xml:space="preserve"> these programs measure</w:t>
      </w:r>
      <w:r w:rsidR="00EB05F7">
        <w:rPr>
          <w:rFonts w:asciiTheme="minorHAnsi" w:hAnsiTheme="minorHAnsi" w:cs="Arial"/>
        </w:rPr>
        <w:t>d</w:t>
      </w:r>
      <w:r>
        <w:rPr>
          <w:rFonts w:asciiTheme="minorHAnsi" w:hAnsiTheme="minorHAnsi" w:cs="Arial"/>
        </w:rPr>
        <w:t xml:space="preserve"> progress towards program-level process goals and to use lessons learned to modify interventions for continuous programmatic improvement. </w:t>
      </w:r>
      <w:r w:rsidR="0035706F">
        <w:rPr>
          <w:rFonts w:asciiTheme="minorHAnsi" w:hAnsiTheme="minorHAnsi" w:cs="Arial"/>
        </w:rPr>
        <w:t xml:space="preserve">Clinical program leadership worked with the team administering </w:t>
      </w:r>
      <w:r w:rsidR="00EB05F7">
        <w:rPr>
          <w:rFonts w:asciiTheme="minorHAnsi" w:hAnsiTheme="minorHAnsi" w:cs="Arial"/>
        </w:rPr>
        <w:t xml:space="preserve">the </w:t>
      </w:r>
      <w:r w:rsidR="0035706F">
        <w:rPr>
          <w:rFonts w:asciiTheme="minorHAnsi" w:hAnsiTheme="minorHAnsi" w:cs="Arial"/>
        </w:rPr>
        <w:t xml:space="preserve">BCH ACO to ensure </w:t>
      </w:r>
      <w:r w:rsidR="0035706F">
        <w:rPr>
          <w:rFonts w:asciiTheme="minorHAnsi" w:hAnsiTheme="minorHAnsi" w:cs="Arial"/>
        </w:rPr>
        <w:lastRenderedPageBreak/>
        <w:t xml:space="preserve">program-level alignment with BCH ACO goals. Several programs have also made progress working collaboratively in PY2, streamlining workflows and measurement where appropriate. </w:t>
      </w:r>
      <w:r w:rsidR="00EB05F7">
        <w:rPr>
          <w:rFonts w:asciiTheme="minorHAnsi" w:hAnsiTheme="minorHAnsi" w:cs="Arial"/>
        </w:rPr>
        <w:t>Last, c</w:t>
      </w:r>
      <w:r w:rsidR="0035706F">
        <w:rPr>
          <w:rFonts w:asciiTheme="minorHAnsi" w:hAnsiTheme="minorHAnsi" w:cs="Arial"/>
        </w:rPr>
        <w:t xml:space="preserve">linical programs have made progress with sustainability planning, which will be a focus in PY3-PY5. </w:t>
      </w:r>
    </w:p>
    <w:p w14:paraId="10B52079" w14:textId="77777777" w:rsidR="0035706F" w:rsidRPr="003E1C22" w:rsidRDefault="0035706F" w:rsidP="001E03F4">
      <w:pPr>
        <w:pStyle w:val="ListParagraph"/>
        <w:spacing w:after="0" w:line="240" w:lineRule="auto"/>
        <w:ind w:left="0" w:right="-144"/>
        <w:jc w:val="both"/>
        <w:rPr>
          <w:rFonts w:asciiTheme="minorHAnsi" w:hAnsiTheme="minorHAnsi" w:cs="Arial"/>
          <w:color w:val="FF0000"/>
        </w:rPr>
      </w:pPr>
    </w:p>
    <w:p w14:paraId="0FAB6960" w14:textId="77777777" w:rsidR="00C719E2" w:rsidRPr="00C719E2" w:rsidRDefault="00DA40D3" w:rsidP="001E03F4">
      <w:pPr>
        <w:pStyle w:val="ListParagraph"/>
        <w:numPr>
          <w:ilvl w:val="0"/>
          <w:numId w:val="4"/>
        </w:numPr>
        <w:spacing w:after="0" w:line="240" w:lineRule="auto"/>
        <w:ind w:left="0" w:right="-144" w:hanging="450"/>
        <w:jc w:val="both"/>
        <w:rPr>
          <w:rFonts w:asciiTheme="minorHAnsi" w:hAnsiTheme="minorHAnsi"/>
        </w:rPr>
      </w:pPr>
      <w:r w:rsidRPr="00C719E2">
        <w:rPr>
          <w:rFonts w:asciiTheme="minorHAnsi" w:hAnsiTheme="minorHAnsi" w:cs="Arial"/>
          <w:b/>
        </w:rPr>
        <w:t xml:space="preserve">Data and Population </w:t>
      </w:r>
      <w:r w:rsidR="009A051D" w:rsidRPr="00C719E2">
        <w:rPr>
          <w:rFonts w:asciiTheme="minorHAnsi" w:hAnsiTheme="minorHAnsi" w:cs="Arial"/>
          <w:b/>
        </w:rPr>
        <w:t xml:space="preserve">Health </w:t>
      </w:r>
      <w:r w:rsidRPr="00C719E2">
        <w:rPr>
          <w:rFonts w:asciiTheme="minorHAnsi" w:hAnsiTheme="minorHAnsi" w:cs="Arial"/>
          <w:b/>
        </w:rPr>
        <w:t xml:space="preserve">Analytics  </w:t>
      </w:r>
    </w:p>
    <w:p w14:paraId="3DF63552" w14:textId="5A878078" w:rsidR="0035706F" w:rsidRPr="0035706F" w:rsidRDefault="00EB05F7" w:rsidP="009879E2">
      <w:pPr>
        <w:pStyle w:val="ListParagraph"/>
        <w:spacing w:after="0" w:line="240" w:lineRule="auto"/>
        <w:ind w:left="0" w:right="-144"/>
        <w:rPr>
          <w:rFonts w:asciiTheme="minorHAnsi" w:hAnsiTheme="minorHAnsi"/>
        </w:rPr>
      </w:pPr>
      <w:r>
        <w:rPr>
          <w:rFonts w:asciiTheme="minorHAnsi" w:hAnsiTheme="minorHAnsi"/>
        </w:rPr>
        <w:t xml:space="preserve">The </w:t>
      </w:r>
      <w:r w:rsidR="0035706F" w:rsidRPr="0035706F">
        <w:rPr>
          <w:rFonts w:asciiTheme="minorHAnsi" w:hAnsiTheme="minorHAnsi"/>
        </w:rPr>
        <w:t>BCH ACO</w:t>
      </w:r>
      <w:r w:rsidR="009879E2">
        <w:rPr>
          <w:rFonts w:asciiTheme="minorHAnsi" w:hAnsiTheme="minorHAnsi"/>
        </w:rPr>
        <w:t xml:space="preserve"> has succeeded in utilizing a new data analytics platform to better understand </w:t>
      </w:r>
      <w:r>
        <w:rPr>
          <w:rFonts w:asciiTheme="minorHAnsi" w:hAnsiTheme="minorHAnsi"/>
        </w:rPr>
        <w:t xml:space="preserve">the ACO </w:t>
      </w:r>
      <w:r w:rsidR="009879E2">
        <w:rPr>
          <w:rFonts w:asciiTheme="minorHAnsi" w:hAnsiTheme="minorHAnsi"/>
        </w:rPr>
        <w:t xml:space="preserve">population and </w:t>
      </w:r>
      <w:r>
        <w:rPr>
          <w:rFonts w:asciiTheme="minorHAnsi" w:hAnsiTheme="minorHAnsi"/>
        </w:rPr>
        <w:t xml:space="preserve">to tailor ACO initiatives to </w:t>
      </w:r>
      <w:r w:rsidR="009879E2">
        <w:rPr>
          <w:rFonts w:asciiTheme="minorHAnsi" w:hAnsiTheme="minorHAnsi"/>
        </w:rPr>
        <w:t xml:space="preserve">meet </w:t>
      </w:r>
      <w:r>
        <w:rPr>
          <w:rFonts w:asciiTheme="minorHAnsi" w:hAnsiTheme="minorHAnsi"/>
        </w:rPr>
        <w:t xml:space="preserve">population </w:t>
      </w:r>
      <w:r w:rsidR="009879E2">
        <w:rPr>
          <w:rFonts w:asciiTheme="minorHAnsi" w:hAnsiTheme="minorHAnsi"/>
        </w:rPr>
        <w:t xml:space="preserve">needs. </w:t>
      </w:r>
      <w:r>
        <w:rPr>
          <w:rFonts w:asciiTheme="minorHAnsi" w:hAnsiTheme="minorHAnsi"/>
        </w:rPr>
        <w:t>During PY2, t</w:t>
      </w:r>
      <w:r w:rsidR="009879E2">
        <w:rPr>
          <w:rFonts w:asciiTheme="minorHAnsi" w:hAnsiTheme="minorHAnsi"/>
        </w:rPr>
        <w:t>he BCH ACO analytics team made progress in building routine reports and refining analytic operations.</w:t>
      </w:r>
    </w:p>
    <w:p w14:paraId="296857C8" w14:textId="77777777" w:rsidR="008371E4" w:rsidRPr="003E1C22" w:rsidRDefault="008371E4" w:rsidP="00604E19">
      <w:pPr>
        <w:pStyle w:val="ListParagraph"/>
        <w:spacing w:after="0" w:line="240" w:lineRule="auto"/>
        <w:ind w:left="0" w:right="-144"/>
        <w:jc w:val="both"/>
        <w:rPr>
          <w:rFonts w:asciiTheme="minorHAnsi" w:hAnsiTheme="minorHAnsi"/>
          <w:color w:val="FF0000"/>
        </w:rPr>
      </w:pPr>
    </w:p>
    <w:p w14:paraId="22FC4C4E" w14:textId="77777777" w:rsidR="00604E19" w:rsidRPr="00C719E2" w:rsidRDefault="00905FCF" w:rsidP="00C719E2">
      <w:pPr>
        <w:rPr>
          <w:rFonts w:asciiTheme="majorHAnsi" w:hAnsiTheme="majorHAnsi"/>
          <w:b/>
          <w:color w:val="244061" w:themeColor="accent1" w:themeShade="80"/>
        </w:rPr>
      </w:pPr>
      <w:r w:rsidRPr="00C719E2">
        <w:rPr>
          <w:rFonts w:asciiTheme="majorHAnsi" w:hAnsiTheme="majorHAnsi"/>
          <w:b/>
          <w:color w:val="244061" w:themeColor="accent1" w:themeShade="80"/>
        </w:rPr>
        <w:t>Challenges</w:t>
      </w:r>
    </w:p>
    <w:p w14:paraId="44080C1A" w14:textId="77777777" w:rsidR="00755383" w:rsidRPr="00C719E2" w:rsidRDefault="00755383" w:rsidP="00604E19">
      <w:pPr>
        <w:pStyle w:val="ListParagraph"/>
        <w:ind w:left="0"/>
        <w:jc w:val="both"/>
        <w:rPr>
          <w:rFonts w:asciiTheme="minorHAnsi" w:hAnsiTheme="minorHAnsi" w:cs="Arial"/>
        </w:rPr>
      </w:pPr>
    </w:p>
    <w:p w14:paraId="03C50B07" w14:textId="77777777" w:rsidR="00C719E2" w:rsidRDefault="00C719E2" w:rsidP="00604E19">
      <w:pPr>
        <w:pStyle w:val="ListParagraph"/>
        <w:numPr>
          <w:ilvl w:val="0"/>
          <w:numId w:val="5"/>
        </w:numPr>
        <w:spacing w:after="0" w:line="240" w:lineRule="auto"/>
        <w:ind w:left="0"/>
        <w:jc w:val="both"/>
        <w:rPr>
          <w:rFonts w:asciiTheme="minorHAnsi" w:hAnsiTheme="minorHAnsi" w:cs="Arial"/>
          <w:b/>
        </w:rPr>
      </w:pPr>
      <w:r w:rsidRPr="00C719E2">
        <w:rPr>
          <w:rFonts w:asciiTheme="minorHAnsi" w:hAnsiTheme="minorHAnsi" w:cs="Arial"/>
          <w:b/>
        </w:rPr>
        <w:t>PCP Assignment</w:t>
      </w:r>
    </w:p>
    <w:p w14:paraId="3944CD41" w14:textId="77777777" w:rsidR="006B3A0E" w:rsidRPr="00117527" w:rsidRDefault="006A384B" w:rsidP="000F3F2A">
      <w:pPr>
        <w:spacing w:after="0" w:line="240" w:lineRule="auto"/>
        <w:rPr>
          <w:rFonts w:asciiTheme="minorHAnsi" w:hAnsiTheme="minorHAnsi" w:cs="Arial"/>
        </w:rPr>
      </w:pPr>
      <w:r w:rsidRPr="006A384B">
        <w:rPr>
          <w:rFonts w:asciiTheme="minorHAnsi" w:hAnsiTheme="minorHAnsi" w:cs="Arial"/>
        </w:rPr>
        <w:t>Accurate PCP assignment of new members or retuning members within the BCH ACO is an ongoing challenge.  Two factors dir</w:t>
      </w:r>
      <w:r w:rsidR="00400F6F">
        <w:rPr>
          <w:rFonts w:asciiTheme="minorHAnsi" w:hAnsiTheme="minorHAnsi" w:cs="Arial"/>
        </w:rPr>
        <w:t>ectly contribute to this issue.</w:t>
      </w:r>
      <w:r w:rsidRPr="006A384B">
        <w:rPr>
          <w:rFonts w:asciiTheme="minorHAnsi" w:hAnsiTheme="minorHAnsi" w:cs="Arial"/>
        </w:rPr>
        <w:t xml:space="preserve"> First, MassHealth systems have improved in identifying member PCPs, but do not consistently provide PCP selection da</w:t>
      </w:r>
      <w:r w:rsidR="00400F6F">
        <w:rPr>
          <w:rFonts w:asciiTheme="minorHAnsi" w:hAnsiTheme="minorHAnsi" w:cs="Arial"/>
        </w:rPr>
        <w:t xml:space="preserve">ta as part of the 834 process. </w:t>
      </w:r>
      <w:r w:rsidRPr="006A384B">
        <w:rPr>
          <w:rFonts w:asciiTheme="minorHAnsi" w:hAnsiTheme="minorHAnsi" w:cs="Arial"/>
        </w:rPr>
        <w:t>Second, THPP has not yet refined their internal system to assign returning members to their previously selected primary care practice and physician, thereby undoing efforts of assignment that may have previously occurred.</w:t>
      </w:r>
    </w:p>
    <w:p w14:paraId="1F831BEB" w14:textId="77777777" w:rsidR="006B3A0E" w:rsidRPr="006B3A0E" w:rsidRDefault="006B3A0E" w:rsidP="006B3A0E">
      <w:pPr>
        <w:spacing w:after="0" w:line="240" w:lineRule="auto"/>
        <w:jc w:val="both"/>
        <w:rPr>
          <w:rFonts w:asciiTheme="minorHAnsi" w:hAnsiTheme="minorHAnsi" w:cs="Arial"/>
          <w:b/>
        </w:rPr>
      </w:pPr>
    </w:p>
    <w:p w14:paraId="03D2D008" w14:textId="77777777" w:rsidR="006B3A0E" w:rsidRDefault="006B3A0E" w:rsidP="006B3A0E">
      <w:pPr>
        <w:pStyle w:val="ListParagraph"/>
        <w:numPr>
          <w:ilvl w:val="0"/>
          <w:numId w:val="5"/>
        </w:numPr>
        <w:spacing w:after="0" w:line="240" w:lineRule="auto"/>
        <w:ind w:left="0"/>
        <w:jc w:val="both"/>
        <w:rPr>
          <w:rFonts w:asciiTheme="minorHAnsi" w:hAnsiTheme="minorHAnsi" w:cs="Arial"/>
          <w:b/>
        </w:rPr>
      </w:pPr>
      <w:r>
        <w:rPr>
          <w:rFonts w:asciiTheme="minorHAnsi" w:hAnsiTheme="minorHAnsi" w:cs="Arial"/>
          <w:b/>
        </w:rPr>
        <w:t>Sustainability</w:t>
      </w:r>
    </w:p>
    <w:p w14:paraId="49836539" w14:textId="3F14314E" w:rsidR="006B3A0E" w:rsidRPr="000F3F2A" w:rsidRDefault="000F3F2A" w:rsidP="000F3F2A">
      <w:pPr>
        <w:spacing w:after="0" w:line="240" w:lineRule="auto"/>
        <w:rPr>
          <w:rFonts w:asciiTheme="minorHAnsi" w:hAnsiTheme="minorHAnsi" w:cs="Arial"/>
        </w:rPr>
      </w:pPr>
      <w:r>
        <w:rPr>
          <w:rFonts w:asciiTheme="minorHAnsi" w:hAnsiTheme="minorHAnsi" w:cs="Arial"/>
        </w:rPr>
        <w:t xml:space="preserve">BCH ACO </w:t>
      </w:r>
      <w:r w:rsidR="001104DA">
        <w:rPr>
          <w:rFonts w:asciiTheme="minorHAnsi" w:hAnsiTheme="minorHAnsi" w:cs="Arial"/>
        </w:rPr>
        <w:t xml:space="preserve">anticipates </w:t>
      </w:r>
      <w:r>
        <w:rPr>
          <w:rFonts w:asciiTheme="minorHAnsi" w:hAnsiTheme="minorHAnsi" w:cs="Arial"/>
        </w:rPr>
        <w:t xml:space="preserve">challenges in planning for sustainability of BCH ACO programming </w:t>
      </w:r>
      <w:r w:rsidR="00EB05F7">
        <w:rPr>
          <w:rFonts w:asciiTheme="minorHAnsi" w:hAnsiTheme="minorHAnsi" w:cs="Arial"/>
        </w:rPr>
        <w:t xml:space="preserve">beyond </w:t>
      </w:r>
      <w:r>
        <w:rPr>
          <w:rFonts w:asciiTheme="minorHAnsi" w:hAnsiTheme="minorHAnsi" w:cs="Arial"/>
        </w:rPr>
        <w:t>the DSRIP funding period.</w:t>
      </w:r>
      <w:r w:rsidR="006A384B" w:rsidRPr="006A384B">
        <w:rPr>
          <w:rFonts w:asciiTheme="minorHAnsi" w:hAnsiTheme="minorHAnsi" w:cs="Arial"/>
        </w:rPr>
        <w:t xml:space="preserve"> </w:t>
      </w:r>
      <w:r w:rsidR="00C219F5">
        <w:rPr>
          <w:rFonts w:asciiTheme="minorHAnsi" w:hAnsiTheme="minorHAnsi" w:cs="Arial"/>
        </w:rPr>
        <w:t>F</w:t>
      </w:r>
      <w:r w:rsidR="006A384B" w:rsidRPr="006A384B">
        <w:rPr>
          <w:rFonts w:asciiTheme="minorHAnsi" w:hAnsiTheme="minorHAnsi" w:cs="Arial"/>
        </w:rPr>
        <w:t xml:space="preserve">urther, </w:t>
      </w:r>
      <w:r w:rsidR="00C219F5" w:rsidRPr="00C219F5">
        <w:rPr>
          <w:rFonts w:asciiTheme="minorHAnsi" w:hAnsiTheme="minorHAnsi" w:cs="Arial"/>
        </w:rPr>
        <w:t xml:space="preserve">the financial and policy structure of MassHealth ACOs has not adequately supported unique pediatric nuances and needs.  As such, </w:t>
      </w:r>
      <w:r w:rsidR="006A384B" w:rsidRPr="006A384B">
        <w:rPr>
          <w:rFonts w:asciiTheme="minorHAnsi" w:hAnsiTheme="minorHAnsi" w:cs="Arial"/>
        </w:rPr>
        <w:t xml:space="preserve">BCH ACO and other pediatric market stakeholders have been working with MassHealth to </w:t>
      </w:r>
      <w:r w:rsidR="00EB05F7">
        <w:rPr>
          <w:rFonts w:asciiTheme="minorHAnsi" w:hAnsiTheme="minorHAnsi" w:cs="Arial"/>
        </w:rPr>
        <w:t xml:space="preserve">outline modifications of </w:t>
      </w:r>
      <w:r w:rsidR="006A384B" w:rsidRPr="006A384B">
        <w:rPr>
          <w:rFonts w:asciiTheme="minorHAnsi" w:hAnsiTheme="minorHAnsi" w:cs="Arial"/>
        </w:rPr>
        <w:t xml:space="preserve">the current model </w:t>
      </w:r>
      <w:r w:rsidR="00EB05F7">
        <w:rPr>
          <w:rFonts w:asciiTheme="minorHAnsi" w:hAnsiTheme="minorHAnsi" w:cs="Arial"/>
        </w:rPr>
        <w:t xml:space="preserve">that would </w:t>
      </w:r>
      <w:r w:rsidR="006A384B" w:rsidRPr="006A384B">
        <w:rPr>
          <w:rFonts w:asciiTheme="minorHAnsi" w:hAnsiTheme="minorHAnsi" w:cs="Arial"/>
        </w:rPr>
        <w:t xml:space="preserve">ensure that </w:t>
      </w:r>
      <w:r w:rsidR="00EB05F7">
        <w:rPr>
          <w:rFonts w:asciiTheme="minorHAnsi" w:hAnsiTheme="minorHAnsi" w:cs="Arial"/>
        </w:rPr>
        <w:t xml:space="preserve">the </w:t>
      </w:r>
      <w:r w:rsidR="006A384B" w:rsidRPr="006A384B">
        <w:rPr>
          <w:rFonts w:asciiTheme="minorHAnsi" w:hAnsiTheme="minorHAnsi" w:cs="Arial"/>
        </w:rPr>
        <w:t xml:space="preserve">financial, operational, and clinical structures </w:t>
      </w:r>
      <w:r w:rsidR="00EB05F7">
        <w:rPr>
          <w:rFonts w:asciiTheme="minorHAnsi" w:hAnsiTheme="minorHAnsi" w:cs="Arial"/>
        </w:rPr>
        <w:t xml:space="preserve">of </w:t>
      </w:r>
      <w:r w:rsidR="00EB05F7" w:rsidRPr="006A384B">
        <w:rPr>
          <w:rFonts w:asciiTheme="minorHAnsi" w:hAnsiTheme="minorHAnsi" w:cs="Arial"/>
        </w:rPr>
        <w:t xml:space="preserve">ACOs serving pediatric members </w:t>
      </w:r>
      <w:r w:rsidR="00EB05F7">
        <w:rPr>
          <w:rFonts w:asciiTheme="minorHAnsi" w:hAnsiTheme="minorHAnsi" w:cs="Arial"/>
        </w:rPr>
        <w:t xml:space="preserve">adequately </w:t>
      </w:r>
      <w:r w:rsidR="006A384B" w:rsidRPr="006A384B">
        <w:rPr>
          <w:rFonts w:asciiTheme="minorHAnsi" w:hAnsiTheme="minorHAnsi" w:cs="Arial"/>
        </w:rPr>
        <w:t xml:space="preserve">support </w:t>
      </w:r>
      <w:r w:rsidR="00EB05F7">
        <w:rPr>
          <w:rFonts w:asciiTheme="minorHAnsi" w:hAnsiTheme="minorHAnsi" w:cs="Arial"/>
        </w:rPr>
        <w:t xml:space="preserve">the care needs of this </w:t>
      </w:r>
      <w:r w:rsidR="006A384B" w:rsidRPr="006A384B">
        <w:rPr>
          <w:rFonts w:asciiTheme="minorHAnsi" w:hAnsiTheme="minorHAnsi" w:cs="Arial"/>
        </w:rPr>
        <w:t xml:space="preserve">population </w:t>
      </w:r>
      <w:r w:rsidR="00EB05F7">
        <w:rPr>
          <w:rFonts w:asciiTheme="minorHAnsi" w:hAnsiTheme="minorHAnsi" w:cs="Arial"/>
        </w:rPr>
        <w:t xml:space="preserve">and ACO </w:t>
      </w:r>
      <w:r w:rsidR="006A384B" w:rsidRPr="006A384B">
        <w:rPr>
          <w:rFonts w:asciiTheme="minorHAnsi" w:hAnsiTheme="minorHAnsi" w:cs="Arial"/>
        </w:rPr>
        <w:t xml:space="preserve">policy objectives. </w:t>
      </w:r>
      <w:r w:rsidR="00EB05F7">
        <w:rPr>
          <w:rFonts w:asciiTheme="minorHAnsi" w:hAnsiTheme="minorHAnsi" w:cs="Arial"/>
        </w:rPr>
        <w:t xml:space="preserve">Changes to </w:t>
      </w:r>
      <w:r w:rsidR="006A384B" w:rsidRPr="006A384B">
        <w:rPr>
          <w:rFonts w:asciiTheme="minorHAnsi" w:hAnsiTheme="minorHAnsi" w:cs="Arial"/>
        </w:rPr>
        <w:t xml:space="preserve">primary care reimbursement and risk, complex care coordination, and administration of community supports would enhance </w:t>
      </w:r>
      <w:r w:rsidR="00EB05F7">
        <w:rPr>
          <w:rFonts w:asciiTheme="minorHAnsi" w:hAnsiTheme="minorHAnsi" w:cs="Arial"/>
        </w:rPr>
        <w:t xml:space="preserve">the ability of ACOs to sustainably deliver </w:t>
      </w:r>
      <w:r w:rsidR="006A384B" w:rsidRPr="006A384B">
        <w:rPr>
          <w:rFonts w:asciiTheme="minorHAnsi" w:hAnsiTheme="minorHAnsi" w:cs="Arial"/>
        </w:rPr>
        <w:t xml:space="preserve">care </w:t>
      </w:r>
      <w:r w:rsidR="00EB05F7">
        <w:rPr>
          <w:rFonts w:asciiTheme="minorHAnsi" w:hAnsiTheme="minorHAnsi" w:cs="Arial"/>
        </w:rPr>
        <w:t xml:space="preserve">to </w:t>
      </w:r>
      <w:r w:rsidR="006A384B" w:rsidRPr="006A384B">
        <w:rPr>
          <w:rFonts w:asciiTheme="minorHAnsi" w:hAnsiTheme="minorHAnsi" w:cs="Arial"/>
        </w:rPr>
        <w:t>pediatric patients.</w:t>
      </w:r>
    </w:p>
    <w:p w14:paraId="50CF1CE3" w14:textId="77777777" w:rsidR="006B3A0E" w:rsidRPr="006B3A0E" w:rsidRDefault="006B3A0E" w:rsidP="006B3A0E">
      <w:pPr>
        <w:spacing w:after="0" w:line="240" w:lineRule="auto"/>
        <w:jc w:val="both"/>
        <w:rPr>
          <w:rFonts w:asciiTheme="minorHAnsi" w:hAnsiTheme="minorHAnsi" w:cs="Arial"/>
          <w:b/>
        </w:rPr>
      </w:pPr>
    </w:p>
    <w:p w14:paraId="349420DC" w14:textId="77777777" w:rsidR="00905FCF" w:rsidRDefault="001A39EA" w:rsidP="00604E19">
      <w:pPr>
        <w:pStyle w:val="ListParagraph"/>
        <w:numPr>
          <w:ilvl w:val="0"/>
          <w:numId w:val="5"/>
        </w:numPr>
        <w:spacing w:after="0" w:line="240" w:lineRule="auto"/>
        <w:ind w:left="0"/>
        <w:jc w:val="both"/>
        <w:rPr>
          <w:rFonts w:asciiTheme="minorHAnsi" w:hAnsiTheme="minorHAnsi" w:cs="Arial"/>
          <w:b/>
        </w:rPr>
      </w:pPr>
      <w:r w:rsidRPr="00C719E2">
        <w:rPr>
          <w:rFonts w:asciiTheme="minorHAnsi" w:hAnsiTheme="minorHAnsi" w:cs="Arial"/>
          <w:b/>
        </w:rPr>
        <w:t xml:space="preserve">Pediatric ACO </w:t>
      </w:r>
      <w:r w:rsidR="008371E4" w:rsidRPr="00C719E2">
        <w:rPr>
          <w:rFonts w:asciiTheme="minorHAnsi" w:hAnsiTheme="minorHAnsi" w:cs="Arial"/>
          <w:b/>
        </w:rPr>
        <w:t>Nuances</w:t>
      </w:r>
    </w:p>
    <w:p w14:paraId="31BD5D15" w14:textId="40BC81C1" w:rsidR="00A44CB5" w:rsidRDefault="00EB05F7" w:rsidP="004F7175">
      <w:pPr>
        <w:pStyle w:val="ListParagraph"/>
        <w:spacing w:after="0"/>
        <w:ind w:left="0"/>
        <w:rPr>
          <w:rFonts w:asciiTheme="minorHAnsi" w:hAnsiTheme="minorHAnsi" w:cs="Arial"/>
        </w:rPr>
      </w:pPr>
      <w:r>
        <w:rPr>
          <w:rFonts w:asciiTheme="minorHAnsi" w:hAnsiTheme="minorHAnsi" w:cs="Arial"/>
        </w:rPr>
        <w:t>The i</w:t>
      </w:r>
      <w:r w:rsidRPr="006A384B">
        <w:rPr>
          <w:rFonts w:asciiTheme="minorHAnsi" w:hAnsiTheme="minorHAnsi" w:cs="Arial"/>
        </w:rPr>
        <w:t>mplementation</w:t>
      </w:r>
      <w:r w:rsidR="006A384B" w:rsidRPr="006A384B">
        <w:rPr>
          <w:rFonts w:asciiTheme="minorHAnsi" w:hAnsiTheme="minorHAnsi" w:cs="Arial"/>
        </w:rPr>
        <w:t>, operations</w:t>
      </w:r>
      <w:r>
        <w:rPr>
          <w:rFonts w:asciiTheme="minorHAnsi" w:hAnsiTheme="minorHAnsi" w:cs="Arial"/>
        </w:rPr>
        <w:t>,</w:t>
      </w:r>
      <w:r w:rsidR="006A384B" w:rsidRPr="006A384B">
        <w:rPr>
          <w:rFonts w:asciiTheme="minorHAnsi" w:hAnsiTheme="minorHAnsi" w:cs="Arial"/>
        </w:rPr>
        <w:t xml:space="preserve"> and financial </w:t>
      </w:r>
      <w:r>
        <w:rPr>
          <w:rFonts w:asciiTheme="minorHAnsi" w:hAnsiTheme="minorHAnsi" w:cs="Arial"/>
        </w:rPr>
        <w:t xml:space="preserve">characteristics </w:t>
      </w:r>
      <w:r w:rsidR="006A384B" w:rsidRPr="006A384B">
        <w:rPr>
          <w:rFonts w:asciiTheme="minorHAnsi" w:hAnsiTheme="minorHAnsi" w:cs="Arial"/>
        </w:rPr>
        <w:t xml:space="preserve">of </w:t>
      </w:r>
      <w:r>
        <w:rPr>
          <w:rFonts w:asciiTheme="minorHAnsi" w:hAnsiTheme="minorHAnsi" w:cs="Arial"/>
        </w:rPr>
        <w:t xml:space="preserve">the </w:t>
      </w:r>
      <w:r w:rsidR="006A384B" w:rsidRPr="006A384B">
        <w:rPr>
          <w:rFonts w:asciiTheme="minorHAnsi" w:hAnsiTheme="minorHAnsi" w:cs="Arial"/>
        </w:rPr>
        <w:t>MassHealth ACO</w:t>
      </w:r>
      <w:r>
        <w:rPr>
          <w:rFonts w:asciiTheme="minorHAnsi" w:hAnsiTheme="minorHAnsi" w:cs="Arial"/>
        </w:rPr>
        <w:t xml:space="preserve"> </w:t>
      </w:r>
      <w:r w:rsidRPr="006A384B">
        <w:rPr>
          <w:rFonts w:asciiTheme="minorHAnsi" w:hAnsiTheme="minorHAnsi" w:cs="Arial"/>
        </w:rPr>
        <w:t>model</w:t>
      </w:r>
      <w:r w:rsidR="006A384B" w:rsidRPr="006A384B">
        <w:rPr>
          <w:rFonts w:asciiTheme="minorHAnsi" w:hAnsiTheme="minorHAnsi" w:cs="Arial"/>
        </w:rPr>
        <w:t xml:space="preserve"> often do</w:t>
      </w:r>
      <w:r>
        <w:rPr>
          <w:rFonts w:asciiTheme="minorHAnsi" w:hAnsiTheme="minorHAnsi" w:cs="Arial"/>
        </w:rPr>
        <w:t>es</w:t>
      </w:r>
      <w:r w:rsidR="006A384B" w:rsidRPr="006A384B">
        <w:rPr>
          <w:rFonts w:asciiTheme="minorHAnsi" w:hAnsiTheme="minorHAnsi" w:cs="Arial"/>
        </w:rPr>
        <w:t xml:space="preserve"> not account for pediatric nuances.  </w:t>
      </w:r>
      <w:r>
        <w:rPr>
          <w:rFonts w:asciiTheme="minorHAnsi" w:hAnsiTheme="minorHAnsi" w:cs="Arial"/>
        </w:rPr>
        <w:t>C</w:t>
      </w:r>
      <w:r w:rsidR="006A384B" w:rsidRPr="006A384B">
        <w:rPr>
          <w:rFonts w:asciiTheme="minorHAnsi" w:hAnsiTheme="minorHAnsi" w:cs="Arial"/>
        </w:rPr>
        <w:t xml:space="preserve">ontinued collaboration </w:t>
      </w:r>
      <w:r>
        <w:rPr>
          <w:rFonts w:asciiTheme="minorHAnsi" w:hAnsiTheme="minorHAnsi" w:cs="Arial"/>
        </w:rPr>
        <w:t xml:space="preserve">between the BCH ACO and MassHealth </w:t>
      </w:r>
      <w:r w:rsidR="006A384B" w:rsidRPr="006A384B">
        <w:rPr>
          <w:rFonts w:asciiTheme="minorHAnsi" w:hAnsiTheme="minorHAnsi" w:cs="Arial"/>
        </w:rPr>
        <w:t xml:space="preserve">is needed </w:t>
      </w:r>
      <w:r>
        <w:rPr>
          <w:rFonts w:asciiTheme="minorHAnsi" w:hAnsiTheme="minorHAnsi" w:cs="Arial"/>
        </w:rPr>
        <w:t xml:space="preserve">to sufficiently address pediatric needs </w:t>
      </w:r>
      <w:r w:rsidR="006A384B" w:rsidRPr="006A384B">
        <w:rPr>
          <w:rFonts w:asciiTheme="minorHAnsi" w:hAnsiTheme="minorHAnsi" w:cs="Arial"/>
        </w:rPr>
        <w:t xml:space="preserve">in </w:t>
      </w:r>
      <w:r>
        <w:rPr>
          <w:rFonts w:asciiTheme="minorHAnsi" w:hAnsiTheme="minorHAnsi" w:cs="Arial"/>
        </w:rPr>
        <w:t xml:space="preserve">several </w:t>
      </w:r>
      <w:r w:rsidR="006A384B" w:rsidRPr="006A384B">
        <w:rPr>
          <w:rFonts w:asciiTheme="minorHAnsi" w:hAnsiTheme="minorHAnsi" w:cs="Arial"/>
        </w:rPr>
        <w:t>areas</w:t>
      </w:r>
      <w:r>
        <w:rPr>
          <w:rFonts w:asciiTheme="minorHAnsi" w:hAnsiTheme="minorHAnsi" w:cs="Arial"/>
        </w:rPr>
        <w:t xml:space="preserve">, including </w:t>
      </w:r>
      <w:r w:rsidR="006A384B" w:rsidRPr="006A384B">
        <w:rPr>
          <w:rFonts w:asciiTheme="minorHAnsi" w:hAnsiTheme="minorHAnsi" w:cs="Arial"/>
        </w:rPr>
        <w:t>primary care investment and access, newborn enrollment/assignment, pediatric relevant quality metrics</w:t>
      </w:r>
      <w:r w:rsidR="006A384B">
        <w:rPr>
          <w:rFonts w:asciiTheme="minorHAnsi" w:hAnsiTheme="minorHAnsi" w:cs="Arial"/>
        </w:rPr>
        <w:t xml:space="preserve"> and/or benchmarks</w:t>
      </w:r>
      <w:r w:rsidR="006A384B" w:rsidRPr="006A384B">
        <w:rPr>
          <w:rFonts w:asciiTheme="minorHAnsi" w:hAnsiTheme="minorHAnsi" w:cs="Arial"/>
        </w:rPr>
        <w:t>, management of complex pediatric patients, school-based initiatives, and family</w:t>
      </w:r>
      <w:r w:rsidR="00EF64A5">
        <w:rPr>
          <w:rFonts w:asciiTheme="minorHAnsi" w:hAnsiTheme="minorHAnsi" w:cs="Arial"/>
        </w:rPr>
        <w:t>-</w:t>
      </w:r>
      <w:r w:rsidR="006A384B" w:rsidRPr="006A384B">
        <w:rPr>
          <w:rFonts w:asciiTheme="minorHAnsi" w:hAnsiTheme="minorHAnsi" w:cs="Arial"/>
        </w:rPr>
        <w:t>based investments.</w:t>
      </w:r>
    </w:p>
    <w:p w14:paraId="7F02CDC7" w14:textId="77777777" w:rsidR="004F7175" w:rsidRPr="00531A77" w:rsidRDefault="004F7175" w:rsidP="004F7175">
      <w:pPr>
        <w:pStyle w:val="ListParagraph"/>
        <w:spacing w:after="0"/>
        <w:ind w:left="0"/>
      </w:pPr>
    </w:p>
    <w:sectPr w:rsidR="004F7175" w:rsidRPr="00531A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CBC55" w14:textId="77777777" w:rsidR="006640ED" w:rsidRDefault="006640ED" w:rsidP="008776F6">
      <w:pPr>
        <w:spacing w:after="0" w:line="240" w:lineRule="auto"/>
      </w:pPr>
      <w:r>
        <w:separator/>
      </w:r>
    </w:p>
  </w:endnote>
  <w:endnote w:type="continuationSeparator" w:id="0">
    <w:p w14:paraId="362634C7" w14:textId="77777777" w:rsidR="006640ED" w:rsidRDefault="006640ED" w:rsidP="0087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B808A" w14:textId="77777777" w:rsidR="00152989" w:rsidRDefault="0015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967369"/>
      <w:docPartObj>
        <w:docPartGallery w:val="Page Numbers (Bottom of Page)"/>
        <w:docPartUnique/>
      </w:docPartObj>
    </w:sdtPr>
    <w:sdtEndPr>
      <w:rPr>
        <w:noProof/>
      </w:rPr>
    </w:sdtEndPr>
    <w:sdtContent>
      <w:p w14:paraId="6534CD50" w14:textId="08CEF7B6" w:rsidR="00152989" w:rsidRDefault="00152989">
        <w:pPr>
          <w:pStyle w:val="Footer"/>
          <w:jc w:val="right"/>
        </w:pPr>
        <w:r>
          <w:fldChar w:fldCharType="begin"/>
        </w:r>
        <w:r>
          <w:instrText xml:space="preserve"> PAGE   \* MERGEFORMAT </w:instrText>
        </w:r>
        <w:r>
          <w:fldChar w:fldCharType="separate"/>
        </w:r>
        <w:r w:rsidR="007525DF">
          <w:rPr>
            <w:noProof/>
          </w:rPr>
          <w:t>1</w:t>
        </w:r>
        <w:r>
          <w:rPr>
            <w:noProof/>
          </w:rPr>
          <w:fldChar w:fldCharType="end"/>
        </w:r>
      </w:p>
    </w:sdtContent>
  </w:sdt>
  <w:p w14:paraId="35B5657B" w14:textId="77777777" w:rsidR="00152989" w:rsidRDefault="0015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C58E" w14:textId="77777777" w:rsidR="00152989" w:rsidRDefault="0015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F1E94" w14:textId="77777777" w:rsidR="006640ED" w:rsidRDefault="006640ED" w:rsidP="008776F6">
      <w:pPr>
        <w:spacing w:after="0" w:line="240" w:lineRule="auto"/>
      </w:pPr>
      <w:r>
        <w:separator/>
      </w:r>
    </w:p>
  </w:footnote>
  <w:footnote w:type="continuationSeparator" w:id="0">
    <w:p w14:paraId="5D355DD3" w14:textId="77777777" w:rsidR="006640ED" w:rsidRDefault="006640ED" w:rsidP="00877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4DC00" w14:textId="77777777" w:rsidR="00152989" w:rsidRDefault="00152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E798E" w14:textId="2DA668BF" w:rsidR="00152989" w:rsidRDefault="00152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DF4C2" w14:textId="77777777" w:rsidR="00152989" w:rsidRDefault="00152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2FA9"/>
    <w:multiLevelType w:val="hybridMultilevel"/>
    <w:tmpl w:val="5FA4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023D"/>
    <w:multiLevelType w:val="hybridMultilevel"/>
    <w:tmpl w:val="81FC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A357C"/>
    <w:multiLevelType w:val="hybridMultilevel"/>
    <w:tmpl w:val="62C8F7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6BD30DF"/>
    <w:multiLevelType w:val="hybridMultilevel"/>
    <w:tmpl w:val="CF54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023E7"/>
    <w:multiLevelType w:val="hybridMultilevel"/>
    <w:tmpl w:val="0432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6268A"/>
    <w:multiLevelType w:val="hybridMultilevel"/>
    <w:tmpl w:val="427A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600"/>
    <w:multiLevelType w:val="hybridMultilevel"/>
    <w:tmpl w:val="0FCC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5721B"/>
    <w:multiLevelType w:val="hybridMultilevel"/>
    <w:tmpl w:val="8354A9BE"/>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8" w15:restartNumberingAfterBreak="0">
    <w:nsid w:val="24C25D84"/>
    <w:multiLevelType w:val="hybridMultilevel"/>
    <w:tmpl w:val="A710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C27A4"/>
    <w:multiLevelType w:val="hybridMultilevel"/>
    <w:tmpl w:val="51FA79FA"/>
    <w:lvl w:ilvl="0" w:tplc="044294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37B98"/>
    <w:multiLevelType w:val="multilevel"/>
    <w:tmpl w:val="43BC0712"/>
    <w:lvl w:ilvl="0">
      <w:start w:val="1"/>
      <w:numFmt w:val="decimal"/>
      <w:suff w:val="space"/>
      <w:lvlText w:val="Part %1."/>
      <w:lvlJc w:val="left"/>
      <w:pPr>
        <w:ind w:left="360" w:hanging="360"/>
      </w:pPr>
      <w:rPr>
        <w:rFonts w:asciiTheme="minorHAnsi" w:hAnsi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asciiTheme="minorHAnsi" w:hAnsiTheme="minorHAnsi"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318910BB"/>
    <w:multiLevelType w:val="hybridMultilevel"/>
    <w:tmpl w:val="005E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7738B"/>
    <w:multiLevelType w:val="hybridMultilevel"/>
    <w:tmpl w:val="ADA4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6555E"/>
    <w:multiLevelType w:val="hybridMultilevel"/>
    <w:tmpl w:val="814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92B54"/>
    <w:multiLevelType w:val="hybridMultilevel"/>
    <w:tmpl w:val="36D4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7706A"/>
    <w:multiLevelType w:val="hybridMultilevel"/>
    <w:tmpl w:val="16D0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6577F"/>
    <w:multiLevelType w:val="hybridMultilevel"/>
    <w:tmpl w:val="23B2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25647"/>
    <w:multiLevelType w:val="hybridMultilevel"/>
    <w:tmpl w:val="A4CE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15EB8"/>
    <w:multiLevelType w:val="hybridMultilevel"/>
    <w:tmpl w:val="C404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27F64"/>
    <w:multiLevelType w:val="hybridMultilevel"/>
    <w:tmpl w:val="F2868F76"/>
    <w:lvl w:ilvl="0" w:tplc="84E007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26DFC"/>
    <w:multiLevelType w:val="hybridMultilevel"/>
    <w:tmpl w:val="3478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91892"/>
    <w:multiLevelType w:val="hybridMultilevel"/>
    <w:tmpl w:val="60B6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434EF"/>
    <w:multiLevelType w:val="hybridMultilevel"/>
    <w:tmpl w:val="E6B8C0D2"/>
    <w:lvl w:ilvl="0" w:tplc="246221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23E2A"/>
    <w:multiLevelType w:val="hybridMultilevel"/>
    <w:tmpl w:val="3858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7386"/>
    <w:multiLevelType w:val="hybridMultilevel"/>
    <w:tmpl w:val="39B0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D0DC4"/>
    <w:multiLevelType w:val="hybridMultilevel"/>
    <w:tmpl w:val="7092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12118"/>
    <w:multiLevelType w:val="hybridMultilevel"/>
    <w:tmpl w:val="1594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82CDC"/>
    <w:multiLevelType w:val="hybridMultilevel"/>
    <w:tmpl w:val="AEFA5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FC39C6"/>
    <w:multiLevelType w:val="hybridMultilevel"/>
    <w:tmpl w:val="737A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A5C29"/>
    <w:multiLevelType w:val="hybridMultilevel"/>
    <w:tmpl w:val="5F98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911F1"/>
    <w:multiLevelType w:val="hybridMultilevel"/>
    <w:tmpl w:val="66FA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B41C0"/>
    <w:multiLevelType w:val="hybridMultilevel"/>
    <w:tmpl w:val="4A0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06B99"/>
    <w:multiLevelType w:val="hybridMultilevel"/>
    <w:tmpl w:val="1EAC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E3043"/>
    <w:multiLevelType w:val="hybridMultilevel"/>
    <w:tmpl w:val="29E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637F4"/>
    <w:multiLevelType w:val="hybridMultilevel"/>
    <w:tmpl w:val="1F7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30E09"/>
    <w:multiLevelType w:val="hybridMultilevel"/>
    <w:tmpl w:val="3FD2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19"/>
  </w:num>
  <w:num w:numId="6">
    <w:abstractNumId w:val="8"/>
  </w:num>
  <w:num w:numId="7">
    <w:abstractNumId w:val="2"/>
  </w:num>
  <w:num w:numId="8">
    <w:abstractNumId w:val="6"/>
  </w:num>
  <w:num w:numId="9">
    <w:abstractNumId w:val="3"/>
  </w:num>
  <w:num w:numId="10">
    <w:abstractNumId w:val="12"/>
  </w:num>
  <w:num w:numId="11">
    <w:abstractNumId w:val="18"/>
  </w:num>
  <w:num w:numId="12">
    <w:abstractNumId w:val="28"/>
  </w:num>
  <w:num w:numId="13">
    <w:abstractNumId w:val="5"/>
  </w:num>
  <w:num w:numId="14">
    <w:abstractNumId w:val="29"/>
  </w:num>
  <w:num w:numId="15">
    <w:abstractNumId w:val="23"/>
  </w:num>
  <w:num w:numId="16">
    <w:abstractNumId w:val="26"/>
  </w:num>
  <w:num w:numId="17">
    <w:abstractNumId w:val="33"/>
  </w:num>
  <w:num w:numId="18">
    <w:abstractNumId w:val="30"/>
  </w:num>
  <w:num w:numId="19">
    <w:abstractNumId w:val="0"/>
  </w:num>
  <w:num w:numId="20">
    <w:abstractNumId w:val="11"/>
  </w:num>
  <w:num w:numId="21">
    <w:abstractNumId w:val="32"/>
  </w:num>
  <w:num w:numId="22">
    <w:abstractNumId w:val="20"/>
  </w:num>
  <w:num w:numId="23">
    <w:abstractNumId w:val="25"/>
  </w:num>
  <w:num w:numId="24">
    <w:abstractNumId w:val="21"/>
  </w:num>
  <w:num w:numId="25">
    <w:abstractNumId w:val="35"/>
  </w:num>
  <w:num w:numId="26">
    <w:abstractNumId w:val="16"/>
  </w:num>
  <w:num w:numId="27">
    <w:abstractNumId w:val="17"/>
  </w:num>
  <w:num w:numId="28">
    <w:abstractNumId w:val="15"/>
  </w:num>
  <w:num w:numId="29">
    <w:abstractNumId w:val="31"/>
  </w:num>
  <w:num w:numId="30">
    <w:abstractNumId w:val="13"/>
  </w:num>
  <w:num w:numId="31">
    <w:abstractNumId w:val="34"/>
  </w:num>
  <w:num w:numId="32">
    <w:abstractNumId w:val="24"/>
  </w:num>
  <w:num w:numId="33">
    <w:abstractNumId w:val="7"/>
  </w:num>
  <w:num w:numId="34">
    <w:abstractNumId w:val="14"/>
  </w:num>
  <w:num w:numId="35">
    <w:abstractNumId w:val="1"/>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06E9"/>
    <w:rsid w:val="0000084D"/>
    <w:rsid w:val="00002DE4"/>
    <w:rsid w:val="00003541"/>
    <w:rsid w:val="00004CB6"/>
    <w:rsid w:val="00005D71"/>
    <w:rsid w:val="00007502"/>
    <w:rsid w:val="000105FA"/>
    <w:rsid w:val="00011479"/>
    <w:rsid w:val="00011A1C"/>
    <w:rsid w:val="00016BE4"/>
    <w:rsid w:val="00022444"/>
    <w:rsid w:val="00022CDB"/>
    <w:rsid w:val="00025799"/>
    <w:rsid w:val="000269ED"/>
    <w:rsid w:val="0002722F"/>
    <w:rsid w:val="000330F9"/>
    <w:rsid w:val="00036F9B"/>
    <w:rsid w:val="00036FE6"/>
    <w:rsid w:val="000411C5"/>
    <w:rsid w:val="00042524"/>
    <w:rsid w:val="00046196"/>
    <w:rsid w:val="00050314"/>
    <w:rsid w:val="00052424"/>
    <w:rsid w:val="00057B9E"/>
    <w:rsid w:val="00060CAB"/>
    <w:rsid w:val="00062E3E"/>
    <w:rsid w:val="00064138"/>
    <w:rsid w:val="000643C2"/>
    <w:rsid w:val="00065621"/>
    <w:rsid w:val="00065C00"/>
    <w:rsid w:val="000673F9"/>
    <w:rsid w:val="00067F07"/>
    <w:rsid w:val="00070289"/>
    <w:rsid w:val="000732FA"/>
    <w:rsid w:val="000761AE"/>
    <w:rsid w:val="0008148D"/>
    <w:rsid w:val="000822CF"/>
    <w:rsid w:val="0008287A"/>
    <w:rsid w:val="000829AF"/>
    <w:rsid w:val="000839C1"/>
    <w:rsid w:val="0008528A"/>
    <w:rsid w:val="00090FDA"/>
    <w:rsid w:val="000943AC"/>
    <w:rsid w:val="0009566E"/>
    <w:rsid w:val="00095D4A"/>
    <w:rsid w:val="000A04DD"/>
    <w:rsid w:val="000A4CDC"/>
    <w:rsid w:val="000A6EA9"/>
    <w:rsid w:val="000A74CB"/>
    <w:rsid w:val="000A764F"/>
    <w:rsid w:val="000B54F1"/>
    <w:rsid w:val="000C1FAF"/>
    <w:rsid w:val="000C1FB0"/>
    <w:rsid w:val="000C215F"/>
    <w:rsid w:val="000C4840"/>
    <w:rsid w:val="000C4B90"/>
    <w:rsid w:val="000C5771"/>
    <w:rsid w:val="000C5B5C"/>
    <w:rsid w:val="000C7FBA"/>
    <w:rsid w:val="000D1B09"/>
    <w:rsid w:val="000D1CB8"/>
    <w:rsid w:val="000D4AA1"/>
    <w:rsid w:val="000D5DDA"/>
    <w:rsid w:val="000E0E54"/>
    <w:rsid w:val="000E1EE0"/>
    <w:rsid w:val="000E32AA"/>
    <w:rsid w:val="000E3BFB"/>
    <w:rsid w:val="000E5D3D"/>
    <w:rsid w:val="000E5F21"/>
    <w:rsid w:val="000E7920"/>
    <w:rsid w:val="000F1121"/>
    <w:rsid w:val="000F2A7C"/>
    <w:rsid w:val="000F3F2A"/>
    <w:rsid w:val="000F5523"/>
    <w:rsid w:val="001047AE"/>
    <w:rsid w:val="00104C82"/>
    <w:rsid w:val="00104DF3"/>
    <w:rsid w:val="00105712"/>
    <w:rsid w:val="00105790"/>
    <w:rsid w:val="001075FC"/>
    <w:rsid w:val="001076DC"/>
    <w:rsid w:val="001104DA"/>
    <w:rsid w:val="0011239A"/>
    <w:rsid w:val="00114F34"/>
    <w:rsid w:val="00117527"/>
    <w:rsid w:val="00122792"/>
    <w:rsid w:val="00122FB3"/>
    <w:rsid w:val="00125B83"/>
    <w:rsid w:val="001326EB"/>
    <w:rsid w:val="00134012"/>
    <w:rsid w:val="00134B4A"/>
    <w:rsid w:val="0013699A"/>
    <w:rsid w:val="00136AAA"/>
    <w:rsid w:val="001379A4"/>
    <w:rsid w:val="00143938"/>
    <w:rsid w:val="00152138"/>
    <w:rsid w:val="00152989"/>
    <w:rsid w:val="00154EAE"/>
    <w:rsid w:val="001600DF"/>
    <w:rsid w:val="00162431"/>
    <w:rsid w:val="00164CA2"/>
    <w:rsid w:val="0016608F"/>
    <w:rsid w:val="001705F9"/>
    <w:rsid w:val="00172D9F"/>
    <w:rsid w:val="001820B4"/>
    <w:rsid w:val="00182DD6"/>
    <w:rsid w:val="00186194"/>
    <w:rsid w:val="001927EB"/>
    <w:rsid w:val="001A1DC6"/>
    <w:rsid w:val="001A39EA"/>
    <w:rsid w:val="001A3A4D"/>
    <w:rsid w:val="001B4EEA"/>
    <w:rsid w:val="001B69EB"/>
    <w:rsid w:val="001C5034"/>
    <w:rsid w:val="001C5B88"/>
    <w:rsid w:val="001C6436"/>
    <w:rsid w:val="001D0272"/>
    <w:rsid w:val="001D4B88"/>
    <w:rsid w:val="001D650A"/>
    <w:rsid w:val="001E03F4"/>
    <w:rsid w:val="001E23FD"/>
    <w:rsid w:val="001E549A"/>
    <w:rsid w:val="001E6009"/>
    <w:rsid w:val="001E683B"/>
    <w:rsid w:val="001F0F41"/>
    <w:rsid w:val="001F1135"/>
    <w:rsid w:val="00201FBC"/>
    <w:rsid w:val="002055CF"/>
    <w:rsid w:val="00206ADB"/>
    <w:rsid w:val="002100B2"/>
    <w:rsid w:val="00210D03"/>
    <w:rsid w:val="00211B97"/>
    <w:rsid w:val="002143B7"/>
    <w:rsid w:val="00217009"/>
    <w:rsid w:val="0021730F"/>
    <w:rsid w:val="0021784A"/>
    <w:rsid w:val="00220F88"/>
    <w:rsid w:val="00221CAA"/>
    <w:rsid w:val="00222A5A"/>
    <w:rsid w:val="002233FA"/>
    <w:rsid w:val="00226D41"/>
    <w:rsid w:val="00227025"/>
    <w:rsid w:val="00230F84"/>
    <w:rsid w:val="0023190F"/>
    <w:rsid w:val="002334B1"/>
    <w:rsid w:val="00233983"/>
    <w:rsid w:val="00235339"/>
    <w:rsid w:val="00236F10"/>
    <w:rsid w:val="00244AAE"/>
    <w:rsid w:val="00244B2A"/>
    <w:rsid w:val="0024755B"/>
    <w:rsid w:val="002477E6"/>
    <w:rsid w:val="002510FD"/>
    <w:rsid w:val="002512A9"/>
    <w:rsid w:val="00251342"/>
    <w:rsid w:val="0025174C"/>
    <w:rsid w:val="00252D78"/>
    <w:rsid w:val="0025463B"/>
    <w:rsid w:val="00255B15"/>
    <w:rsid w:val="002653BD"/>
    <w:rsid w:val="0026777A"/>
    <w:rsid w:val="00270A1D"/>
    <w:rsid w:val="00273FF4"/>
    <w:rsid w:val="00275549"/>
    <w:rsid w:val="00275562"/>
    <w:rsid w:val="0027681F"/>
    <w:rsid w:val="00276DFD"/>
    <w:rsid w:val="00277463"/>
    <w:rsid w:val="002841BF"/>
    <w:rsid w:val="00294A9D"/>
    <w:rsid w:val="0029710B"/>
    <w:rsid w:val="002A01E8"/>
    <w:rsid w:val="002A34A4"/>
    <w:rsid w:val="002A653F"/>
    <w:rsid w:val="002B143C"/>
    <w:rsid w:val="002B28CE"/>
    <w:rsid w:val="002B2A7F"/>
    <w:rsid w:val="002B3CC4"/>
    <w:rsid w:val="002B7632"/>
    <w:rsid w:val="002B7E92"/>
    <w:rsid w:val="002C14E3"/>
    <w:rsid w:val="002C271C"/>
    <w:rsid w:val="002C5DCF"/>
    <w:rsid w:val="002D0669"/>
    <w:rsid w:val="002D37C0"/>
    <w:rsid w:val="002D74AF"/>
    <w:rsid w:val="002D7A5C"/>
    <w:rsid w:val="002E21C3"/>
    <w:rsid w:val="002E4435"/>
    <w:rsid w:val="002F69F2"/>
    <w:rsid w:val="002F72DB"/>
    <w:rsid w:val="00300B56"/>
    <w:rsid w:val="00300E99"/>
    <w:rsid w:val="0030257D"/>
    <w:rsid w:val="00306B06"/>
    <w:rsid w:val="00307E04"/>
    <w:rsid w:val="003101B1"/>
    <w:rsid w:val="003110F9"/>
    <w:rsid w:val="0031409B"/>
    <w:rsid w:val="00316B24"/>
    <w:rsid w:val="003228BF"/>
    <w:rsid w:val="00323577"/>
    <w:rsid w:val="00330230"/>
    <w:rsid w:val="00333A64"/>
    <w:rsid w:val="00335886"/>
    <w:rsid w:val="00335DE2"/>
    <w:rsid w:val="003360B8"/>
    <w:rsid w:val="00337AE0"/>
    <w:rsid w:val="003449DA"/>
    <w:rsid w:val="00344A87"/>
    <w:rsid w:val="00344EDB"/>
    <w:rsid w:val="003530F0"/>
    <w:rsid w:val="00356588"/>
    <w:rsid w:val="0035706F"/>
    <w:rsid w:val="00365D84"/>
    <w:rsid w:val="003717DC"/>
    <w:rsid w:val="00373FC8"/>
    <w:rsid w:val="0037653A"/>
    <w:rsid w:val="00383376"/>
    <w:rsid w:val="00390B0F"/>
    <w:rsid w:val="00396F70"/>
    <w:rsid w:val="003A1F46"/>
    <w:rsid w:val="003A582B"/>
    <w:rsid w:val="003C5F1B"/>
    <w:rsid w:val="003D128B"/>
    <w:rsid w:val="003D2D28"/>
    <w:rsid w:val="003E0114"/>
    <w:rsid w:val="003E1C22"/>
    <w:rsid w:val="003E5005"/>
    <w:rsid w:val="003F106D"/>
    <w:rsid w:val="003F1B50"/>
    <w:rsid w:val="003F4677"/>
    <w:rsid w:val="003F6D54"/>
    <w:rsid w:val="003F7AA3"/>
    <w:rsid w:val="003F7B22"/>
    <w:rsid w:val="00400F6F"/>
    <w:rsid w:val="00405948"/>
    <w:rsid w:val="00407DB1"/>
    <w:rsid w:val="004116A3"/>
    <w:rsid w:val="0041281C"/>
    <w:rsid w:val="00413CA0"/>
    <w:rsid w:val="00417D7B"/>
    <w:rsid w:val="00422FA1"/>
    <w:rsid w:val="0042555A"/>
    <w:rsid w:val="0043574E"/>
    <w:rsid w:val="00443D13"/>
    <w:rsid w:val="00447331"/>
    <w:rsid w:val="0044733F"/>
    <w:rsid w:val="004475DE"/>
    <w:rsid w:val="00447AFA"/>
    <w:rsid w:val="0045450E"/>
    <w:rsid w:val="004547C2"/>
    <w:rsid w:val="0045775A"/>
    <w:rsid w:val="00461D55"/>
    <w:rsid w:val="00463FBC"/>
    <w:rsid w:val="004659A7"/>
    <w:rsid w:val="004677AE"/>
    <w:rsid w:val="0047153B"/>
    <w:rsid w:val="0047309A"/>
    <w:rsid w:val="00473D12"/>
    <w:rsid w:val="00474CC1"/>
    <w:rsid w:val="00474DB8"/>
    <w:rsid w:val="00475C54"/>
    <w:rsid w:val="00477462"/>
    <w:rsid w:val="004804D8"/>
    <w:rsid w:val="004813F1"/>
    <w:rsid w:val="00483895"/>
    <w:rsid w:val="00485D39"/>
    <w:rsid w:val="004860DA"/>
    <w:rsid w:val="00493389"/>
    <w:rsid w:val="004A1978"/>
    <w:rsid w:val="004A27F8"/>
    <w:rsid w:val="004A6C6F"/>
    <w:rsid w:val="004B268C"/>
    <w:rsid w:val="004B595B"/>
    <w:rsid w:val="004B7901"/>
    <w:rsid w:val="004C0BBE"/>
    <w:rsid w:val="004C0E00"/>
    <w:rsid w:val="004C741A"/>
    <w:rsid w:val="004C7E65"/>
    <w:rsid w:val="004D09D3"/>
    <w:rsid w:val="004D3D81"/>
    <w:rsid w:val="004D465B"/>
    <w:rsid w:val="004D4963"/>
    <w:rsid w:val="004D6CFF"/>
    <w:rsid w:val="004E2E9E"/>
    <w:rsid w:val="004E5F35"/>
    <w:rsid w:val="004F7175"/>
    <w:rsid w:val="00504972"/>
    <w:rsid w:val="00505079"/>
    <w:rsid w:val="0050522F"/>
    <w:rsid w:val="00511CA6"/>
    <w:rsid w:val="00513547"/>
    <w:rsid w:val="005151A8"/>
    <w:rsid w:val="00515841"/>
    <w:rsid w:val="00522EEE"/>
    <w:rsid w:val="00524A56"/>
    <w:rsid w:val="00530A32"/>
    <w:rsid w:val="00530C7E"/>
    <w:rsid w:val="00531A77"/>
    <w:rsid w:val="00532B8C"/>
    <w:rsid w:val="00534921"/>
    <w:rsid w:val="00535ADB"/>
    <w:rsid w:val="00535FC5"/>
    <w:rsid w:val="005376D0"/>
    <w:rsid w:val="00540677"/>
    <w:rsid w:val="00541E3E"/>
    <w:rsid w:val="00545466"/>
    <w:rsid w:val="00550761"/>
    <w:rsid w:val="00553706"/>
    <w:rsid w:val="00553B07"/>
    <w:rsid w:val="00555567"/>
    <w:rsid w:val="00557426"/>
    <w:rsid w:val="0056038D"/>
    <w:rsid w:val="00561967"/>
    <w:rsid w:val="005659E6"/>
    <w:rsid w:val="00566397"/>
    <w:rsid w:val="00570568"/>
    <w:rsid w:val="005731F6"/>
    <w:rsid w:val="0057615D"/>
    <w:rsid w:val="00576BD8"/>
    <w:rsid w:val="00576FDF"/>
    <w:rsid w:val="00580ECA"/>
    <w:rsid w:val="00580F62"/>
    <w:rsid w:val="005864DD"/>
    <w:rsid w:val="00586FCC"/>
    <w:rsid w:val="00587AFB"/>
    <w:rsid w:val="00591B3D"/>
    <w:rsid w:val="00591F70"/>
    <w:rsid w:val="00595BD4"/>
    <w:rsid w:val="005A2AAC"/>
    <w:rsid w:val="005A2F55"/>
    <w:rsid w:val="005A31ED"/>
    <w:rsid w:val="005A4232"/>
    <w:rsid w:val="005A640A"/>
    <w:rsid w:val="005A677D"/>
    <w:rsid w:val="005A77D2"/>
    <w:rsid w:val="005B1611"/>
    <w:rsid w:val="005B6057"/>
    <w:rsid w:val="005B62A5"/>
    <w:rsid w:val="005C3837"/>
    <w:rsid w:val="005C4DDF"/>
    <w:rsid w:val="005C6199"/>
    <w:rsid w:val="005D64B2"/>
    <w:rsid w:val="005E10FC"/>
    <w:rsid w:val="005E2CD9"/>
    <w:rsid w:val="005E3A5E"/>
    <w:rsid w:val="005E4420"/>
    <w:rsid w:val="005F038F"/>
    <w:rsid w:val="005F11BA"/>
    <w:rsid w:val="005F142F"/>
    <w:rsid w:val="005F1AB0"/>
    <w:rsid w:val="005F1ECD"/>
    <w:rsid w:val="005F263D"/>
    <w:rsid w:val="005F61AD"/>
    <w:rsid w:val="005F6F68"/>
    <w:rsid w:val="00604E19"/>
    <w:rsid w:val="0061003F"/>
    <w:rsid w:val="006140D4"/>
    <w:rsid w:val="00615BBA"/>
    <w:rsid w:val="00620719"/>
    <w:rsid w:val="00620FEE"/>
    <w:rsid w:val="006223F4"/>
    <w:rsid w:val="00625050"/>
    <w:rsid w:val="0062588C"/>
    <w:rsid w:val="00631DA7"/>
    <w:rsid w:val="00642BC7"/>
    <w:rsid w:val="00642F31"/>
    <w:rsid w:val="00643CB1"/>
    <w:rsid w:val="00651627"/>
    <w:rsid w:val="00651BB9"/>
    <w:rsid w:val="006521CE"/>
    <w:rsid w:val="00652607"/>
    <w:rsid w:val="00653C81"/>
    <w:rsid w:val="00660772"/>
    <w:rsid w:val="006612BE"/>
    <w:rsid w:val="00662194"/>
    <w:rsid w:val="006640ED"/>
    <w:rsid w:val="00671E79"/>
    <w:rsid w:val="00673FE7"/>
    <w:rsid w:val="00676030"/>
    <w:rsid w:val="00676D3D"/>
    <w:rsid w:val="00681559"/>
    <w:rsid w:val="00681F86"/>
    <w:rsid w:val="00682D0D"/>
    <w:rsid w:val="006905EA"/>
    <w:rsid w:val="00691F3B"/>
    <w:rsid w:val="00693EBB"/>
    <w:rsid w:val="00694AA4"/>
    <w:rsid w:val="006979B9"/>
    <w:rsid w:val="006A0374"/>
    <w:rsid w:val="006A2543"/>
    <w:rsid w:val="006A29E9"/>
    <w:rsid w:val="006A384B"/>
    <w:rsid w:val="006A3EC5"/>
    <w:rsid w:val="006A5F68"/>
    <w:rsid w:val="006B1FE5"/>
    <w:rsid w:val="006B2E99"/>
    <w:rsid w:val="006B31DA"/>
    <w:rsid w:val="006B3A0E"/>
    <w:rsid w:val="006B5A21"/>
    <w:rsid w:val="006B67FF"/>
    <w:rsid w:val="006B6C9E"/>
    <w:rsid w:val="006B6EC7"/>
    <w:rsid w:val="006C329C"/>
    <w:rsid w:val="006C34AA"/>
    <w:rsid w:val="006C3EE6"/>
    <w:rsid w:val="006D26D0"/>
    <w:rsid w:val="006D5681"/>
    <w:rsid w:val="006D5817"/>
    <w:rsid w:val="006D6497"/>
    <w:rsid w:val="006D6682"/>
    <w:rsid w:val="006D674B"/>
    <w:rsid w:val="006E2C6C"/>
    <w:rsid w:val="006E3B8D"/>
    <w:rsid w:val="006E4F12"/>
    <w:rsid w:val="006F3244"/>
    <w:rsid w:val="00703820"/>
    <w:rsid w:val="00704A06"/>
    <w:rsid w:val="00706338"/>
    <w:rsid w:val="0071018E"/>
    <w:rsid w:val="00711427"/>
    <w:rsid w:val="007115DD"/>
    <w:rsid w:val="007135C8"/>
    <w:rsid w:val="00713F0E"/>
    <w:rsid w:val="00717940"/>
    <w:rsid w:val="00724488"/>
    <w:rsid w:val="00726003"/>
    <w:rsid w:val="00727D4C"/>
    <w:rsid w:val="0073421C"/>
    <w:rsid w:val="0074456C"/>
    <w:rsid w:val="00746939"/>
    <w:rsid w:val="00750E66"/>
    <w:rsid w:val="007525DF"/>
    <w:rsid w:val="00755383"/>
    <w:rsid w:val="00766846"/>
    <w:rsid w:val="00770146"/>
    <w:rsid w:val="00770605"/>
    <w:rsid w:val="00770989"/>
    <w:rsid w:val="00771127"/>
    <w:rsid w:val="00774431"/>
    <w:rsid w:val="00774581"/>
    <w:rsid w:val="00774DB3"/>
    <w:rsid w:val="00781C61"/>
    <w:rsid w:val="00783665"/>
    <w:rsid w:val="00784678"/>
    <w:rsid w:val="00787D42"/>
    <w:rsid w:val="00787FA3"/>
    <w:rsid w:val="007912DC"/>
    <w:rsid w:val="00791E92"/>
    <w:rsid w:val="007923D1"/>
    <w:rsid w:val="007925A3"/>
    <w:rsid w:val="00796915"/>
    <w:rsid w:val="007971E8"/>
    <w:rsid w:val="00797D34"/>
    <w:rsid w:val="007A2547"/>
    <w:rsid w:val="007A2FD8"/>
    <w:rsid w:val="007A67DE"/>
    <w:rsid w:val="007B2797"/>
    <w:rsid w:val="007B28AE"/>
    <w:rsid w:val="007B4CD3"/>
    <w:rsid w:val="007B5C6E"/>
    <w:rsid w:val="007B5FBA"/>
    <w:rsid w:val="007B692A"/>
    <w:rsid w:val="007C1321"/>
    <w:rsid w:val="007C2F88"/>
    <w:rsid w:val="007C5799"/>
    <w:rsid w:val="007D0ADD"/>
    <w:rsid w:val="007D4BD3"/>
    <w:rsid w:val="007D6147"/>
    <w:rsid w:val="007D6D8A"/>
    <w:rsid w:val="007D7082"/>
    <w:rsid w:val="007D76B5"/>
    <w:rsid w:val="007D7C87"/>
    <w:rsid w:val="007E0342"/>
    <w:rsid w:val="007E147D"/>
    <w:rsid w:val="007E4921"/>
    <w:rsid w:val="007E5AF1"/>
    <w:rsid w:val="007F600D"/>
    <w:rsid w:val="007F6706"/>
    <w:rsid w:val="00801050"/>
    <w:rsid w:val="00804748"/>
    <w:rsid w:val="00804A8B"/>
    <w:rsid w:val="00820BCE"/>
    <w:rsid w:val="00820E79"/>
    <w:rsid w:val="008254DC"/>
    <w:rsid w:val="008258C5"/>
    <w:rsid w:val="00825DC5"/>
    <w:rsid w:val="00826E82"/>
    <w:rsid w:val="00834D4D"/>
    <w:rsid w:val="00836A99"/>
    <w:rsid w:val="00836C55"/>
    <w:rsid w:val="008371E4"/>
    <w:rsid w:val="00841F67"/>
    <w:rsid w:val="0084492E"/>
    <w:rsid w:val="00844C69"/>
    <w:rsid w:val="00845D27"/>
    <w:rsid w:val="008473A4"/>
    <w:rsid w:val="00851411"/>
    <w:rsid w:val="008530DB"/>
    <w:rsid w:val="00853BB3"/>
    <w:rsid w:val="00855653"/>
    <w:rsid w:val="008608AB"/>
    <w:rsid w:val="00861100"/>
    <w:rsid w:val="008648E8"/>
    <w:rsid w:val="008654DB"/>
    <w:rsid w:val="00866B56"/>
    <w:rsid w:val="00871A12"/>
    <w:rsid w:val="00872510"/>
    <w:rsid w:val="00874528"/>
    <w:rsid w:val="008768C6"/>
    <w:rsid w:val="00876E5D"/>
    <w:rsid w:val="008776F6"/>
    <w:rsid w:val="00881A24"/>
    <w:rsid w:val="00882FB7"/>
    <w:rsid w:val="008834E0"/>
    <w:rsid w:val="0088743C"/>
    <w:rsid w:val="008926A6"/>
    <w:rsid w:val="00894D26"/>
    <w:rsid w:val="00897DEA"/>
    <w:rsid w:val="008A3AB0"/>
    <w:rsid w:val="008A6204"/>
    <w:rsid w:val="008B086E"/>
    <w:rsid w:val="008B1036"/>
    <w:rsid w:val="008B26A1"/>
    <w:rsid w:val="008B5F58"/>
    <w:rsid w:val="008B7480"/>
    <w:rsid w:val="008C1D78"/>
    <w:rsid w:val="008C53D7"/>
    <w:rsid w:val="008C6DAB"/>
    <w:rsid w:val="008D1821"/>
    <w:rsid w:val="008E517E"/>
    <w:rsid w:val="008E51AC"/>
    <w:rsid w:val="008E6CAC"/>
    <w:rsid w:val="008F3CE8"/>
    <w:rsid w:val="008F4512"/>
    <w:rsid w:val="008F61E5"/>
    <w:rsid w:val="009017F0"/>
    <w:rsid w:val="00902F11"/>
    <w:rsid w:val="0090355D"/>
    <w:rsid w:val="00905FCF"/>
    <w:rsid w:val="0091077E"/>
    <w:rsid w:val="00910D72"/>
    <w:rsid w:val="00911C68"/>
    <w:rsid w:val="009125CC"/>
    <w:rsid w:val="00917F6E"/>
    <w:rsid w:val="00920100"/>
    <w:rsid w:val="00920E00"/>
    <w:rsid w:val="00926E66"/>
    <w:rsid w:val="00926E84"/>
    <w:rsid w:val="00934B30"/>
    <w:rsid w:val="0094001D"/>
    <w:rsid w:val="009408A5"/>
    <w:rsid w:val="00942C96"/>
    <w:rsid w:val="00944691"/>
    <w:rsid w:val="009476E4"/>
    <w:rsid w:val="00950758"/>
    <w:rsid w:val="00950AC7"/>
    <w:rsid w:val="00950BBD"/>
    <w:rsid w:val="00952032"/>
    <w:rsid w:val="00954E69"/>
    <w:rsid w:val="0095773F"/>
    <w:rsid w:val="00961821"/>
    <w:rsid w:val="00962AD9"/>
    <w:rsid w:val="009644DA"/>
    <w:rsid w:val="0096532A"/>
    <w:rsid w:val="009654D7"/>
    <w:rsid w:val="00965F67"/>
    <w:rsid w:val="00970715"/>
    <w:rsid w:val="00970AA5"/>
    <w:rsid w:val="00973AF3"/>
    <w:rsid w:val="00977AF3"/>
    <w:rsid w:val="00980BBC"/>
    <w:rsid w:val="00983F17"/>
    <w:rsid w:val="009841C9"/>
    <w:rsid w:val="00985DED"/>
    <w:rsid w:val="00986FB5"/>
    <w:rsid w:val="0098748B"/>
    <w:rsid w:val="00987752"/>
    <w:rsid w:val="009879E2"/>
    <w:rsid w:val="009901B3"/>
    <w:rsid w:val="009A051D"/>
    <w:rsid w:val="009A1FB7"/>
    <w:rsid w:val="009A3C7C"/>
    <w:rsid w:val="009A443D"/>
    <w:rsid w:val="009B4027"/>
    <w:rsid w:val="009B4F82"/>
    <w:rsid w:val="009C367E"/>
    <w:rsid w:val="009C452A"/>
    <w:rsid w:val="009D3717"/>
    <w:rsid w:val="009D4D8B"/>
    <w:rsid w:val="009D53A4"/>
    <w:rsid w:val="009E56E3"/>
    <w:rsid w:val="009E6B10"/>
    <w:rsid w:val="009F1BA5"/>
    <w:rsid w:val="009F5EC0"/>
    <w:rsid w:val="00A00A32"/>
    <w:rsid w:val="00A04D24"/>
    <w:rsid w:val="00A05E94"/>
    <w:rsid w:val="00A06399"/>
    <w:rsid w:val="00A10F37"/>
    <w:rsid w:val="00A13B04"/>
    <w:rsid w:val="00A15428"/>
    <w:rsid w:val="00A1669D"/>
    <w:rsid w:val="00A23EF6"/>
    <w:rsid w:val="00A273AB"/>
    <w:rsid w:val="00A346CB"/>
    <w:rsid w:val="00A351A3"/>
    <w:rsid w:val="00A3710B"/>
    <w:rsid w:val="00A415B8"/>
    <w:rsid w:val="00A44CB5"/>
    <w:rsid w:val="00A45074"/>
    <w:rsid w:val="00A510ED"/>
    <w:rsid w:val="00A53F5E"/>
    <w:rsid w:val="00A568E0"/>
    <w:rsid w:val="00A60BB3"/>
    <w:rsid w:val="00A64346"/>
    <w:rsid w:val="00A65B73"/>
    <w:rsid w:val="00A71AA7"/>
    <w:rsid w:val="00A72C7A"/>
    <w:rsid w:val="00A75CF7"/>
    <w:rsid w:val="00A76668"/>
    <w:rsid w:val="00A76E03"/>
    <w:rsid w:val="00A818D5"/>
    <w:rsid w:val="00A819F7"/>
    <w:rsid w:val="00A824FC"/>
    <w:rsid w:val="00A8491B"/>
    <w:rsid w:val="00A905C4"/>
    <w:rsid w:val="00A942F1"/>
    <w:rsid w:val="00A95FEE"/>
    <w:rsid w:val="00A97A06"/>
    <w:rsid w:val="00AA07B3"/>
    <w:rsid w:val="00AA135E"/>
    <w:rsid w:val="00AA3039"/>
    <w:rsid w:val="00AA317C"/>
    <w:rsid w:val="00AA5A1E"/>
    <w:rsid w:val="00AB0DBA"/>
    <w:rsid w:val="00AB5087"/>
    <w:rsid w:val="00AB715C"/>
    <w:rsid w:val="00AC0493"/>
    <w:rsid w:val="00AC0F32"/>
    <w:rsid w:val="00AC118C"/>
    <w:rsid w:val="00AC2E20"/>
    <w:rsid w:val="00AC6F49"/>
    <w:rsid w:val="00AC7AF4"/>
    <w:rsid w:val="00AD3210"/>
    <w:rsid w:val="00AD330B"/>
    <w:rsid w:val="00AD4E2C"/>
    <w:rsid w:val="00AE29D6"/>
    <w:rsid w:val="00AE4F54"/>
    <w:rsid w:val="00AF0C4D"/>
    <w:rsid w:val="00AF3926"/>
    <w:rsid w:val="00B01426"/>
    <w:rsid w:val="00B01E67"/>
    <w:rsid w:val="00B03A4F"/>
    <w:rsid w:val="00B052B7"/>
    <w:rsid w:val="00B06178"/>
    <w:rsid w:val="00B06EF5"/>
    <w:rsid w:val="00B11D1B"/>
    <w:rsid w:val="00B158EA"/>
    <w:rsid w:val="00B24018"/>
    <w:rsid w:val="00B25775"/>
    <w:rsid w:val="00B272C9"/>
    <w:rsid w:val="00B27B87"/>
    <w:rsid w:val="00B27DBC"/>
    <w:rsid w:val="00B377AF"/>
    <w:rsid w:val="00B42C1E"/>
    <w:rsid w:val="00B5361C"/>
    <w:rsid w:val="00B55888"/>
    <w:rsid w:val="00B60FDE"/>
    <w:rsid w:val="00B63312"/>
    <w:rsid w:val="00B63338"/>
    <w:rsid w:val="00B63D37"/>
    <w:rsid w:val="00B70116"/>
    <w:rsid w:val="00B72226"/>
    <w:rsid w:val="00B741D3"/>
    <w:rsid w:val="00B84428"/>
    <w:rsid w:val="00B91E4C"/>
    <w:rsid w:val="00BA0ED1"/>
    <w:rsid w:val="00BA2151"/>
    <w:rsid w:val="00BB31FE"/>
    <w:rsid w:val="00BB6E75"/>
    <w:rsid w:val="00BB7852"/>
    <w:rsid w:val="00BC0125"/>
    <w:rsid w:val="00BC22E7"/>
    <w:rsid w:val="00BC48D9"/>
    <w:rsid w:val="00BD0B7E"/>
    <w:rsid w:val="00BD114E"/>
    <w:rsid w:val="00BD13D1"/>
    <w:rsid w:val="00BD434D"/>
    <w:rsid w:val="00BD658C"/>
    <w:rsid w:val="00BE1674"/>
    <w:rsid w:val="00BE2B9D"/>
    <w:rsid w:val="00BE54A5"/>
    <w:rsid w:val="00BE610E"/>
    <w:rsid w:val="00BF1029"/>
    <w:rsid w:val="00BF34A1"/>
    <w:rsid w:val="00BF3DF8"/>
    <w:rsid w:val="00C01770"/>
    <w:rsid w:val="00C053E1"/>
    <w:rsid w:val="00C0641D"/>
    <w:rsid w:val="00C078C8"/>
    <w:rsid w:val="00C10CB8"/>
    <w:rsid w:val="00C14C85"/>
    <w:rsid w:val="00C20C1E"/>
    <w:rsid w:val="00C20DD2"/>
    <w:rsid w:val="00C219F5"/>
    <w:rsid w:val="00C2307A"/>
    <w:rsid w:val="00C23604"/>
    <w:rsid w:val="00C267CD"/>
    <w:rsid w:val="00C32595"/>
    <w:rsid w:val="00C34733"/>
    <w:rsid w:val="00C34AFE"/>
    <w:rsid w:val="00C360AA"/>
    <w:rsid w:val="00C36E67"/>
    <w:rsid w:val="00C40195"/>
    <w:rsid w:val="00C443EA"/>
    <w:rsid w:val="00C45321"/>
    <w:rsid w:val="00C5151F"/>
    <w:rsid w:val="00C53E84"/>
    <w:rsid w:val="00C54C50"/>
    <w:rsid w:val="00C575CF"/>
    <w:rsid w:val="00C5787E"/>
    <w:rsid w:val="00C61D73"/>
    <w:rsid w:val="00C62F54"/>
    <w:rsid w:val="00C719E2"/>
    <w:rsid w:val="00C7283F"/>
    <w:rsid w:val="00C73448"/>
    <w:rsid w:val="00C7469C"/>
    <w:rsid w:val="00C758E4"/>
    <w:rsid w:val="00C75F19"/>
    <w:rsid w:val="00C76D8D"/>
    <w:rsid w:val="00C80823"/>
    <w:rsid w:val="00C85027"/>
    <w:rsid w:val="00C873A7"/>
    <w:rsid w:val="00C912C1"/>
    <w:rsid w:val="00C91982"/>
    <w:rsid w:val="00C91F66"/>
    <w:rsid w:val="00C944E4"/>
    <w:rsid w:val="00CA04E0"/>
    <w:rsid w:val="00CA248F"/>
    <w:rsid w:val="00CA6B6D"/>
    <w:rsid w:val="00CA6C13"/>
    <w:rsid w:val="00CB0117"/>
    <w:rsid w:val="00CC0164"/>
    <w:rsid w:val="00CC553C"/>
    <w:rsid w:val="00CC7693"/>
    <w:rsid w:val="00CD0457"/>
    <w:rsid w:val="00CD0B64"/>
    <w:rsid w:val="00CD138A"/>
    <w:rsid w:val="00CD160B"/>
    <w:rsid w:val="00CD2A47"/>
    <w:rsid w:val="00CD2DFB"/>
    <w:rsid w:val="00CE0AB9"/>
    <w:rsid w:val="00CE2A69"/>
    <w:rsid w:val="00CE3042"/>
    <w:rsid w:val="00CE63D5"/>
    <w:rsid w:val="00CF2C05"/>
    <w:rsid w:val="00CF2D3C"/>
    <w:rsid w:val="00CF303E"/>
    <w:rsid w:val="00CF7FCF"/>
    <w:rsid w:val="00D00603"/>
    <w:rsid w:val="00D00F35"/>
    <w:rsid w:val="00D0323D"/>
    <w:rsid w:val="00D04B80"/>
    <w:rsid w:val="00D10D3E"/>
    <w:rsid w:val="00D1339F"/>
    <w:rsid w:val="00D13AA9"/>
    <w:rsid w:val="00D147CC"/>
    <w:rsid w:val="00D204A7"/>
    <w:rsid w:val="00D22814"/>
    <w:rsid w:val="00D25055"/>
    <w:rsid w:val="00D26622"/>
    <w:rsid w:val="00D314BD"/>
    <w:rsid w:val="00D31C27"/>
    <w:rsid w:val="00D33CE4"/>
    <w:rsid w:val="00D3465B"/>
    <w:rsid w:val="00D3527D"/>
    <w:rsid w:val="00D35B4D"/>
    <w:rsid w:val="00D37292"/>
    <w:rsid w:val="00D372F6"/>
    <w:rsid w:val="00D37A72"/>
    <w:rsid w:val="00D41500"/>
    <w:rsid w:val="00D46204"/>
    <w:rsid w:val="00D56206"/>
    <w:rsid w:val="00D56D2C"/>
    <w:rsid w:val="00D66006"/>
    <w:rsid w:val="00D71576"/>
    <w:rsid w:val="00D71CC6"/>
    <w:rsid w:val="00D71E51"/>
    <w:rsid w:val="00D7382D"/>
    <w:rsid w:val="00D74970"/>
    <w:rsid w:val="00D76967"/>
    <w:rsid w:val="00D801E2"/>
    <w:rsid w:val="00D80B17"/>
    <w:rsid w:val="00D81D2C"/>
    <w:rsid w:val="00D8228C"/>
    <w:rsid w:val="00D9110D"/>
    <w:rsid w:val="00D91214"/>
    <w:rsid w:val="00D919A2"/>
    <w:rsid w:val="00D93C40"/>
    <w:rsid w:val="00D970D9"/>
    <w:rsid w:val="00D976B8"/>
    <w:rsid w:val="00D97C80"/>
    <w:rsid w:val="00DA061A"/>
    <w:rsid w:val="00DA1DDA"/>
    <w:rsid w:val="00DA40D3"/>
    <w:rsid w:val="00DB2934"/>
    <w:rsid w:val="00DB3950"/>
    <w:rsid w:val="00DC67DB"/>
    <w:rsid w:val="00DC6F14"/>
    <w:rsid w:val="00DC71EC"/>
    <w:rsid w:val="00DC7B6B"/>
    <w:rsid w:val="00DD201C"/>
    <w:rsid w:val="00DD7524"/>
    <w:rsid w:val="00DE274A"/>
    <w:rsid w:val="00DE5853"/>
    <w:rsid w:val="00DE7C78"/>
    <w:rsid w:val="00DF1F7C"/>
    <w:rsid w:val="00DF31AF"/>
    <w:rsid w:val="00DF5A6E"/>
    <w:rsid w:val="00DF675B"/>
    <w:rsid w:val="00E00D03"/>
    <w:rsid w:val="00E01D28"/>
    <w:rsid w:val="00E02318"/>
    <w:rsid w:val="00E04164"/>
    <w:rsid w:val="00E1159A"/>
    <w:rsid w:val="00E12516"/>
    <w:rsid w:val="00E128B2"/>
    <w:rsid w:val="00E1363A"/>
    <w:rsid w:val="00E14536"/>
    <w:rsid w:val="00E15A29"/>
    <w:rsid w:val="00E166DF"/>
    <w:rsid w:val="00E16780"/>
    <w:rsid w:val="00E214CF"/>
    <w:rsid w:val="00E23A40"/>
    <w:rsid w:val="00E244EB"/>
    <w:rsid w:val="00E259BC"/>
    <w:rsid w:val="00E2619F"/>
    <w:rsid w:val="00E2690A"/>
    <w:rsid w:val="00E30476"/>
    <w:rsid w:val="00E308DE"/>
    <w:rsid w:val="00E3162D"/>
    <w:rsid w:val="00E31CEC"/>
    <w:rsid w:val="00E34525"/>
    <w:rsid w:val="00E44C46"/>
    <w:rsid w:val="00E5423B"/>
    <w:rsid w:val="00E6126E"/>
    <w:rsid w:val="00E620A1"/>
    <w:rsid w:val="00E62740"/>
    <w:rsid w:val="00E62CAF"/>
    <w:rsid w:val="00E676CC"/>
    <w:rsid w:val="00E70A41"/>
    <w:rsid w:val="00E748F5"/>
    <w:rsid w:val="00E7748C"/>
    <w:rsid w:val="00E80A5B"/>
    <w:rsid w:val="00E81C4C"/>
    <w:rsid w:val="00E9305D"/>
    <w:rsid w:val="00E930DC"/>
    <w:rsid w:val="00E96E3E"/>
    <w:rsid w:val="00EA0268"/>
    <w:rsid w:val="00EA0529"/>
    <w:rsid w:val="00EA0EC1"/>
    <w:rsid w:val="00EA1F7E"/>
    <w:rsid w:val="00EA42C3"/>
    <w:rsid w:val="00EA5666"/>
    <w:rsid w:val="00EB05F7"/>
    <w:rsid w:val="00EB32FD"/>
    <w:rsid w:val="00EB399B"/>
    <w:rsid w:val="00EB39C5"/>
    <w:rsid w:val="00EB4508"/>
    <w:rsid w:val="00EB4A8C"/>
    <w:rsid w:val="00EC08F8"/>
    <w:rsid w:val="00EC4D68"/>
    <w:rsid w:val="00EC6EBF"/>
    <w:rsid w:val="00ED1CB3"/>
    <w:rsid w:val="00ED5B50"/>
    <w:rsid w:val="00EE4097"/>
    <w:rsid w:val="00EE48B7"/>
    <w:rsid w:val="00EE53E5"/>
    <w:rsid w:val="00EE6F42"/>
    <w:rsid w:val="00EF28A9"/>
    <w:rsid w:val="00EF5554"/>
    <w:rsid w:val="00EF64A5"/>
    <w:rsid w:val="00EF6C2B"/>
    <w:rsid w:val="00F04574"/>
    <w:rsid w:val="00F07ABD"/>
    <w:rsid w:val="00F113F3"/>
    <w:rsid w:val="00F20ABE"/>
    <w:rsid w:val="00F21088"/>
    <w:rsid w:val="00F2161E"/>
    <w:rsid w:val="00F2163B"/>
    <w:rsid w:val="00F243A4"/>
    <w:rsid w:val="00F262DE"/>
    <w:rsid w:val="00F30593"/>
    <w:rsid w:val="00F30ABB"/>
    <w:rsid w:val="00F30D11"/>
    <w:rsid w:val="00F35BC4"/>
    <w:rsid w:val="00F37C87"/>
    <w:rsid w:val="00F40961"/>
    <w:rsid w:val="00F4130C"/>
    <w:rsid w:val="00F4300A"/>
    <w:rsid w:val="00F4418E"/>
    <w:rsid w:val="00F47F75"/>
    <w:rsid w:val="00F50F64"/>
    <w:rsid w:val="00F5193A"/>
    <w:rsid w:val="00F5429E"/>
    <w:rsid w:val="00F54677"/>
    <w:rsid w:val="00F573B9"/>
    <w:rsid w:val="00F6117E"/>
    <w:rsid w:val="00F635E2"/>
    <w:rsid w:val="00F67580"/>
    <w:rsid w:val="00F711BA"/>
    <w:rsid w:val="00F717DC"/>
    <w:rsid w:val="00F764F3"/>
    <w:rsid w:val="00F766F1"/>
    <w:rsid w:val="00F770E1"/>
    <w:rsid w:val="00F7764A"/>
    <w:rsid w:val="00F800A5"/>
    <w:rsid w:val="00F81EF7"/>
    <w:rsid w:val="00F908A6"/>
    <w:rsid w:val="00F932A4"/>
    <w:rsid w:val="00F96654"/>
    <w:rsid w:val="00F979C8"/>
    <w:rsid w:val="00FA10D4"/>
    <w:rsid w:val="00FA339A"/>
    <w:rsid w:val="00FA54A4"/>
    <w:rsid w:val="00FB32B9"/>
    <w:rsid w:val="00FB4E62"/>
    <w:rsid w:val="00FB6D70"/>
    <w:rsid w:val="00FB790E"/>
    <w:rsid w:val="00FC0C5B"/>
    <w:rsid w:val="00FC47A6"/>
    <w:rsid w:val="00FC4E95"/>
    <w:rsid w:val="00FC5CE5"/>
    <w:rsid w:val="00FC61FD"/>
    <w:rsid w:val="00FD1AC8"/>
    <w:rsid w:val="00FD3A33"/>
    <w:rsid w:val="00FD772C"/>
    <w:rsid w:val="00FE60B9"/>
    <w:rsid w:val="00FE7F02"/>
    <w:rsid w:val="00FF07A1"/>
    <w:rsid w:val="00FF0F38"/>
    <w:rsid w:val="00FF4A02"/>
    <w:rsid w:val="00FF53E4"/>
    <w:rsid w:val="00FF6F4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B0F6"/>
  <w15:docId w15:val="{533221F3-1DEC-4641-9971-FCA1125A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F7"/>
    <w:pPr>
      <w:spacing w:after="200"/>
    </w:pPr>
    <w:rPr>
      <w:rFonts w:ascii="Times New Roman" w:hAnsi="Times New Roman"/>
    </w:rPr>
  </w:style>
  <w:style w:type="paragraph" w:styleId="Heading1">
    <w:name w:val="heading 1"/>
    <w:basedOn w:val="Normal"/>
    <w:next w:val="Normal"/>
    <w:link w:val="Heading1Char"/>
    <w:uiPriority w:val="9"/>
    <w:qFormat/>
    <w:rsid w:val="00AC6F49"/>
    <w:pPr>
      <w:spacing w:after="120"/>
      <w:contextualSpacing/>
      <w:jc w:val="center"/>
      <w:outlineLvl w:val="0"/>
    </w:pPr>
    <w:rPr>
      <w:rFonts w:asciiTheme="minorHAnsi" w:hAnsiTheme="minorHAnsi" w:cs="Times New Roman"/>
      <w:b/>
      <w:smallCaps/>
      <w:sz w:val="28"/>
      <w:szCs w:val="28"/>
    </w:rPr>
  </w:style>
  <w:style w:type="paragraph" w:styleId="Heading2">
    <w:name w:val="heading 2"/>
    <w:next w:val="Normal"/>
    <w:link w:val="Heading2Char"/>
    <w:uiPriority w:val="9"/>
    <w:unhideWhenUsed/>
    <w:qFormat/>
    <w:rsid w:val="00AC6F49"/>
    <w:pPr>
      <w:ind w:left="360"/>
      <w:outlineLvl w:val="1"/>
    </w:pPr>
    <w:rPr>
      <w:rFonts w:eastAsiaTheme="majorEastAsia"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F49"/>
    <w:rPr>
      <w:rFonts w:cs="Times New Roman"/>
      <w:b/>
      <w:smallCaps/>
      <w:sz w:val="28"/>
      <w:szCs w:val="28"/>
    </w:rPr>
  </w:style>
  <w:style w:type="character" w:customStyle="1" w:styleId="Heading2Char">
    <w:name w:val="Heading 2 Char"/>
    <w:basedOn w:val="DefaultParagraphFont"/>
    <w:link w:val="Heading2"/>
    <w:uiPriority w:val="9"/>
    <w:rsid w:val="00AC6F49"/>
    <w:rPr>
      <w:rFonts w:eastAsiaTheme="majorEastAsia"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paragraph" w:styleId="Caption">
    <w:name w:val="caption"/>
    <w:basedOn w:val="Normal"/>
    <w:next w:val="Normal"/>
    <w:uiPriority w:val="35"/>
    <w:unhideWhenUsed/>
    <w:qFormat/>
    <w:rsid w:val="002B143C"/>
    <w:pPr>
      <w:spacing w:line="240" w:lineRule="auto"/>
    </w:pPr>
    <w:rPr>
      <w:rFonts w:asciiTheme="minorHAnsi" w:hAnsiTheme="minorHAnsi"/>
      <w:b/>
      <w:bCs/>
      <w:color w:val="4F81BD" w:themeColor="accent1"/>
      <w:sz w:val="18"/>
      <w:szCs w:val="18"/>
    </w:rPr>
  </w:style>
  <w:style w:type="paragraph" w:styleId="Header">
    <w:name w:val="header"/>
    <w:basedOn w:val="Normal"/>
    <w:link w:val="HeaderChar"/>
    <w:uiPriority w:val="99"/>
    <w:unhideWhenUsed/>
    <w:rsid w:val="0087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F6"/>
    <w:rPr>
      <w:rFonts w:ascii="Times New Roman" w:hAnsi="Times New Roman"/>
    </w:rPr>
  </w:style>
  <w:style w:type="paragraph" w:styleId="Footer">
    <w:name w:val="footer"/>
    <w:basedOn w:val="Normal"/>
    <w:link w:val="FooterChar"/>
    <w:uiPriority w:val="99"/>
    <w:unhideWhenUsed/>
    <w:rsid w:val="0087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F6"/>
    <w:rPr>
      <w:rFonts w:ascii="Times New Roman" w:hAnsi="Times New Roman"/>
    </w:rPr>
  </w:style>
  <w:style w:type="table" w:styleId="TableGrid">
    <w:name w:val="Table Grid"/>
    <w:basedOn w:val="TableNormal"/>
    <w:uiPriority w:val="39"/>
    <w:rsid w:val="009F1BA5"/>
    <w:pPr>
      <w:spacing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E409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C6F14"/>
    <w:rPr>
      <w:color w:val="0000FF" w:themeColor="hyperlink"/>
      <w:u w:val="single"/>
    </w:rPr>
  </w:style>
  <w:style w:type="table" w:customStyle="1" w:styleId="TableGrid1">
    <w:name w:val="Table Grid1"/>
    <w:basedOn w:val="TableNormal"/>
    <w:next w:val="TableGrid"/>
    <w:uiPriority w:val="39"/>
    <w:rsid w:val="00DC6F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C6F4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09771">
      <w:bodyDiv w:val="1"/>
      <w:marLeft w:val="0"/>
      <w:marRight w:val="0"/>
      <w:marTop w:val="0"/>
      <w:marBottom w:val="0"/>
      <w:divBdr>
        <w:top w:val="none" w:sz="0" w:space="0" w:color="auto"/>
        <w:left w:val="none" w:sz="0" w:space="0" w:color="auto"/>
        <w:bottom w:val="none" w:sz="0" w:space="0" w:color="auto"/>
        <w:right w:val="none" w:sz="0" w:space="0" w:color="auto"/>
      </w:divBdr>
    </w:div>
    <w:div w:id="417485064">
      <w:bodyDiv w:val="1"/>
      <w:marLeft w:val="0"/>
      <w:marRight w:val="0"/>
      <w:marTop w:val="0"/>
      <w:marBottom w:val="0"/>
      <w:divBdr>
        <w:top w:val="none" w:sz="0" w:space="0" w:color="auto"/>
        <w:left w:val="none" w:sz="0" w:space="0" w:color="auto"/>
        <w:bottom w:val="none" w:sz="0" w:space="0" w:color="auto"/>
        <w:right w:val="none" w:sz="0" w:space="0" w:color="auto"/>
      </w:divBdr>
    </w:div>
    <w:div w:id="450393559">
      <w:bodyDiv w:val="1"/>
      <w:marLeft w:val="0"/>
      <w:marRight w:val="0"/>
      <w:marTop w:val="0"/>
      <w:marBottom w:val="0"/>
      <w:divBdr>
        <w:top w:val="none" w:sz="0" w:space="0" w:color="auto"/>
        <w:left w:val="none" w:sz="0" w:space="0" w:color="auto"/>
        <w:bottom w:val="none" w:sz="0" w:space="0" w:color="auto"/>
        <w:right w:val="none" w:sz="0" w:space="0" w:color="auto"/>
      </w:divBdr>
    </w:div>
    <w:div w:id="575553060">
      <w:bodyDiv w:val="1"/>
      <w:marLeft w:val="0"/>
      <w:marRight w:val="0"/>
      <w:marTop w:val="0"/>
      <w:marBottom w:val="0"/>
      <w:divBdr>
        <w:top w:val="none" w:sz="0" w:space="0" w:color="auto"/>
        <w:left w:val="none" w:sz="0" w:space="0" w:color="auto"/>
        <w:bottom w:val="none" w:sz="0" w:space="0" w:color="auto"/>
        <w:right w:val="none" w:sz="0" w:space="0" w:color="auto"/>
      </w:divBdr>
    </w:div>
    <w:div w:id="600529901">
      <w:bodyDiv w:val="1"/>
      <w:marLeft w:val="0"/>
      <w:marRight w:val="0"/>
      <w:marTop w:val="0"/>
      <w:marBottom w:val="0"/>
      <w:divBdr>
        <w:top w:val="none" w:sz="0" w:space="0" w:color="auto"/>
        <w:left w:val="none" w:sz="0" w:space="0" w:color="auto"/>
        <w:bottom w:val="none" w:sz="0" w:space="0" w:color="auto"/>
        <w:right w:val="none" w:sz="0" w:space="0" w:color="auto"/>
      </w:divBdr>
    </w:div>
    <w:div w:id="904342932">
      <w:bodyDiv w:val="1"/>
      <w:marLeft w:val="0"/>
      <w:marRight w:val="0"/>
      <w:marTop w:val="0"/>
      <w:marBottom w:val="0"/>
      <w:divBdr>
        <w:top w:val="none" w:sz="0" w:space="0" w:color="auto"/>
        <w:left w:val="none" w:sz="0" w:space="0" w:color="auto"/>
        <w:bottom w:val="none" w:sz="0" w:space="0" w:color="auto"/>
        <w:right w:val="none" w:sz="0" w:space="0" w:color="auto"/>
      </w:divBdr>
    </w:div>
    <w:div w:id="973097321">
      <w:bodyDiv w:val="1"/>
      <w:marLeft w:val="0"/>
      <w:marRight w:val="0"/>
      <w:marTop w:val="0"/>
      <w:marBottom w:val="0"/>
      <w:divBdr>
        <w:top w:val="none" w:sz="0" w:space="0" w:color="auto"/>
        <w:left w:val="none" w:sz="0" w:space="0" w:color="auto"/>
        <w:bottom w:val="none" w:sz="0" w:space="0" w:color="auto"/>
        <w:right w:val="none" w:sz="0" w:space="0" w:color="auto"/>
      </w:divBdr>
    </w:div>
    <w:div w:id="987901552">
      <w:bodyDiv w:val="1"/>
      <w:marLeft w:val="0"/>
      <w:marRight w:val="0"/>
      <w:marTop w:val="0"/>
      <w:marBottom w:val="0"/>
      <w:divBdr>
        <w:top w:val="none" w:sz="0" w:space="0" w:color="auto"/>
        <w:left w:val="none" w:sz="0" w:space="0" w:color="auto"/>
        <w:bottom w:val="none" w:sz="0" w:space="0" w:color="auto"/>
        <w:right w:val="none" w:sz="0" w:space="0" w:color="auto"/>
      </w:divBdr>
    </w:div>
    <w:div w:id="1024133418">
      <w:bodyDiv w:val="1"/>
      <w:marLeft w:val="0"/>
      <w:marRight w:val="0"/>
      <w:marTop w:val="0"/>
      <w:marBottom w:val="0"/>
      <w:divBdr>
        <w:top w:val="none" w:sz="0" w:space="0" w:color="auto"/>
        <w:left w:val="none" w:sz="0" w:space="0" w:color="auto"/>
        <w:bottom w:val="none" w:sz="0" w:space="0" w:color="auto"/>
        <w:right w:val="none" w:sz="0" w:space="0" w:color="auto"/>
      </w:divBdr>
    </w:div>
    <w:div w:id="1119648167">
      <w:bodyDiv w:val="1"/>
      <w:marLeft w:val="0"/>
      <w:marRight w:val="0"/>
      <w:marTop w:val="0"/>
      <w:marBottom w:val="0"/>
      <w:divBdr>
        <w:top w:val="none" w:sz="0" w:space="0" w:color="auto"/>
        <w:left w:val="none" w:sz="0" w:space="0" w:color="auto"/>
        <w:bottom w:val="none" w:sz="0" w:space="0" w:color="auto"/>
        <w:right w:val="none" w:sz="0" w:space="0" w:color="auto"/>
      </w:divBdr>
    </w:div>
    <w:div w:id="1394041585">
      <w:bodyDiv w:val="1"/>
      <w:marLeft w:val="0"/>
      <w:marRight w:val="0"/>
      <w:marTop w:val="0"/>
      <w:marBottom w:val="0"/>
      <w:divBdr>
        <w:top w:val="none" w:sz="0" w:space="0" w:color="auto"/>
        <w:left w:val="none" w:sz="0" w:space="0" w:color="auto"/>
        <w:bottom w:val="none" w:sz="0" w:space="0" w:color="auto"/>
        <w:right w:val="none" w:sz="0" w:space="0" w:color="auto"/>
      </w:divBdr>
    </w:div>
    <w:div w:id="1431656832">
      <w:bodyDiv w:val="1"/>
      <w:marLeft w:val="0"/>
      <w:marRight w:val="0"/>
      <w:marTop w:val="0"/>
      <w:marBottom w:val="0"/>
      <w:divBdr>
        <w:top w:val="none" w:sz="0" w:space="0" w:color="auto"/>
        <w:left w:val="none" w:sz="0" w:space="0" w:color="auto"/>
        <w:bottom w:val="none" w:sz="0" w:space="0" w:color="auto"/>
        <w:right w:val="none" w:sz="0" w:space="0" w:color="auto"/>
      </w:divBdr>
    </w:div>
    <w:div w:id="19818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BCC0-3178-4285-95DB-7D0460E2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4</cp:revision>
  <cp:lastPrinted>2020-03-13T15:03:00Z</cp:lastPrinted>
  <dcterms:created xsi:type="dcterms:W3CDTF">2020-12-21T19:56:00Z</dcterms:created>
  <dcterms:modified xsi:type="dcterms:W3CDTF">2020-12-23T20:15:00Z</dcterms:modified>
</cp:coreProperties>
</file>