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518DC" w14:textId="77777777" w:rsidR="009654D7" w:rsidRPr="002E24A7" w:rsidRDefault="00E1159A" w:rsidP="002E24A7">
      <w:pPr>
        <w:pStyle w:val="Heading1"/>
        <w:rPr>
          <w:rFonts w:ascii="Times New Roman" w:hAnsi="Times New Roman"/>
          <w:sz w:val="28"/>
          <w:szCs w:val="28"/>
        </w:rPr>
      </w:pPr>
      <w:r w:rsidRPr="002E24A7">
        <w:rPr>
          <w:rFonts w:ascii="Times New Roman" w:hAnsi="Times New Roman"/>
          <w:sz w:val="28"/>
          <w:szCs w:val="28"/>
        </w:rPr>
        <w:t xml:space="preserve">Attachment </w:t>
      </w:r>
      <w:r w:rsidR="008C1D78" w:rsidRPr="002E24A7">
        <w:rPr>
          <w:rFonts w:ascii="Times New Roman" w:hAnsi="Times New Roman"/>
          <w:sz w:val="28"/>
          <w:szCs w:val="28"/>
        </w:rPr>
        <w:t>APR</w:t>
      </w:r>
    </w:p>
    <w:p w14:paraId="4A7772C2" w14:textId="77777777" w:rsidR="00595BD4" w:rsidRPr="002E24A7" w:rsidRDefault="00595BD4" w:rsidP="002E24A7">
      <w:pPr>
        <w:pStyle w:val="Heading1"/>
        <w:rPr>
          <w:rFonts w:ascii="Times New Roman" w:hAnsi="Times New Roman"/>
          <w:sz w:val="28"/>
          <w:szCs w:val="28"/>
        </w:rPr>
      </w:pPr>
    </w:p>
    <w:p w14:paraId="637A5736" w14:textId="77777777" w:rsidR="009654D7" w:rsidRPr="002E24A7" w:rsidRDefault="009654D7" w:rsidP="002E24A7">
      <w:pPr>
        <w:pStyle w:val="Heading1"/>
        <w:rPr>
          <w:rFonts w:ascii="Times New Roman" w:hAnsi="Times New Roman"/>
          <w:sz w:val="28"/>
          <w:szCs w:val="28"/>
        </w:rPr>
      </w:pPr>
      <w:r w:rsidRPr="002E24A7">
        <w:rPr>
          <w:rFonts w:ascii="Times New Roman" w:hAnsi="Times New Roman"/>
          <w:sz w:val="28"/>
          <w:szCs w:val="28"/>
        </w:rPr>
        <w:t>Delivery System Reform Incentive Payment (DSRIP) Program</w:t>
      </w:r>
    </w:p>
    <w:p w14:paraId="6770B18B" w14:textId="77777777" w:rsidR="009654D7" w:rsidRPr="002E24A7" w:rsidRDefault="009654D7" w:rsidP="002E24A7">
      <w:pPr>
        <w:pStyle w:val="Heading1"/>
        <w:rPr>
          <w:rFonts w:ascii="Times New Roman" w:hAnsi="Times New Roman"/>
          <w:sz w:val="28"/>
          <w:szCs w:val="28"/>
        </w:rPr>
      </w:pPr>
      <w:r w:rsidRPr="002E24A7">
        <w:rPr>
          <w:rFonts w:ascii="Times New Roman" w:hAnsi="Times New Roman"/>
          <w:sz w:val="28"/>
          <w:szCs w:val="28"/>
        </w:rPr>
        <w:t xml:space="preserve">Accountable Care Organization (ACO) </w:t>
      </w:r>
      <w:r w:rsidR="00E1159A" w:rsidRPr="002E24A7">
        <w:rPr>
          <w:rFonts w:ascii="Times New Roman" w:hAnsi="Times New Roman"/>
          <w:sz w:val="28"/>
          <w:szCs w:val="28"/>
        </w:rPr>
        <w:t>PY</w:t>
      </w:r>
      <w:r w:rsidR="008C1D78" w:rsidRPr="002E24A7">
        <w:rPr>
          <w:rFonts w:ascii="Times New Roman" w:hAnsi="Times New Roman"/>
          <w:sz w:val="28"/>
          <w:szCs w:val="28"/>
        </w:rPr>
        <w:t>1</w:t>
      </w:r>
      <w:r w:rsidR="00E1159A" w:rsidRPr="002E24A7">
        <w:rPr>
          <w:rFonts w:ascii="Times New Roman" w:hAnsi="Times New Roman"/>
          <w:sz w:val="28"/>
          <w:szCs w:val="28"/>
        </w:rPr>
        <w:t xml:space="preserve"> </w:t>
      </w:r>
      <w:r w:rsidR="008C1D78" w:rsidRPr="002E24A7">
        <w:rPr>
          <w:rFonts w:ascii="Times New Roman" w:hAnsi="Times New Roman"/>
          <w:sz w:val="28"/>
          <w:szCs w:val="28"/>
        </w:rPr>
        <w:t xml:space="preserve">Annual </w:t>
      </w:r>
      <w:r w:rsidR="00E1159A" w:rsidRPr="002E24A7">
        <w:rPr>
          <w:rFonts w:ascii="Times New Roman" w:hAnsi="Times New Roman"/>
          <w:sz w:val="28"/>
          <w:szCs w:val="28"/>
        </w:rPr>
        <w:t>Progress Report Response Form</w:t>
      </w:r>
    </w:p>
    <w:p w14:paraId="69581628" w14:textId="77777777" w:rsidR="00595BD4" w:rsidRPr="00A74394" w:rsidRDefault="00595BD4" w:rsidP="00EA42C3">
      <w:pPr>
        <w:contextualSpacing/>
        <w:jc w:val="center"/>
        <w:rPr>
          <w:rFonts w:asciiTheme="minorHAnsi" w:hAnsiTheme="minorHAnsi" w:cs="Times New Roman"/>
          <w:b/>
          <w:smallCaps/>
        </w:rPr>
      </w:pPr>
    </w:p>
    <w:p w14:paraId="581EC62B" w14:textId="77777777" w:rsidR="009654D7" w:rsidRPr="00D92D21" w:rsidRDefault="009654D7" w:rsidP="00D92D21">
      <w:pPr>
        <w:pStyle w:val="Heading2"/>
        <w:numPr>
          <w:ilvl w:val="0"/>
          <w:numId w:val="0"/>
        </w:numPr>
        <w:ind w:left="360"/>
      </w:pPr>
      <w:r w:rsidRPr="00D92D21">
        <w:t>General Information</w:t>
      </w:r>
    </w:p>
    <w:tbl>
      <w:tblPr>
        <w:tblStyle w:val="TableGridLight"/>
        <w:tblW w:w="9560" w:type="dxa"/>
        <w:tblLook w:val="04A0" w:firstRow="1" w:lastRow="0" w:firstColumn="1" w:lastColumn="0" w:noHBand="0" w:noVBand="1"/>
      </w:tblPr>
      <w:tblGrid>
        <w:gridCol w:w="3400"/>
        <w:gridCol w:w="6160"/>
      </w:tblGrid>
      <w:tr w:rsidR="009654D7" w:rsidRPr="00A74394" w14:paraId="04850E57" w14:textId="77777777" w:rsidTr="002E24A7">
        <w:trPr>
          <w:trHeight w:val="375"/>
        </w:trPr>
        <w:tc>
          <w:tcPr>
            <w:tcW w:w="3400" w:type="dxa"/>
            <w:shd w:val="clear" w:color="auto" w:fill="F2F2F1"/>
            <w:hideMark/>
          </w:tcPr>
          <w:p w14:paraId="2FA53AF6" w14:textId="77777777" w:rsidR="009654D7" w:rsidRPr="00A74394" w:rsidRDefault="009654D7" w:rsidP="00EA42C3">
            <w:pPr>
              <w:spacing w:after="0"/>
              <w:contextualSpacing/>
              <w:rPr>
                <w:rFonts w:asciiTheme="minorHAnsi" w:eastAsia="Times New Roman" w:hAnsiTheme="minorHAnsi" w:cs="Times New Roman"/>
                <w:b/>
                <w:bCs/>
                <w:color w:val="000000"/>
              </w:rPr>
            </w:pPr>
            <w:r w:rsidRPr="00A74394">
              <w:rPr>
                <w:rFonts w:asciiTheme="minorHAnsi" w:eastAsia="Times New Roman" w:hAnsiTheme="minorHAnsi" w:cs="Times New Roman"/>
                <w:b/>
                <w:bCs/>
                <w:color w:val="000000"/>
              </w:rPr>
              <w:t>Full ACO Name:</w:t>
            </w:r>
          </w:p>
        </w:tc>
        <w:tc>
          <w:tcPr>
            <w:tcW w:w="6160" w:type="dxa"/>
            <w:shd w:val="clear" w:color="auto" w:fill="F2F2F1"/>
            <w:hideMark/>
          </w:tcPr>
          <w:p w14:paraId="70D3B2F3" w14:textId="77777777" w:rsidR="009654D7" w:rsidRPr="00A74394" w:rsidRDefault="00C62240" w:rsidP="00EA42C3">
            <w:pPr>
              <w:spacing w:after="0"/>
              <w:contextualSpacing/>
              <w:rPr>
                <w:rFonts w:asciiTheme="minorHAnsi" w:eastAsia="Times New Roman" w:hAnsiTheme="minorHAnsi" w:cs="Times New Roman"/>
                <w:color w:val="000000"/>
              </w:rPr>
            </w:pPr>
            <w:r w:rsidRPr="00A74394">
              <w:rPr>
                <w:rFonts w:asciiTheme="minorHAnsi" w:eastAsia="Times New Roman" w:hAnsiTheme="minorHAnsi" w:cs="Times New Roman"/>
                <w:color w:val="000000"/>
              </w:rPr>
              <w:t>Tufts Health Together with Beth Israel Deaconess Care Organization (BIDCO)</w:t>
            </w:r>
          </w:p>
        </w:tc>
      </w:tr>
      <w:tr w:rsidR="009654D7" w:rsidRPr="00A74394" w14:paraId="69FC7344" w14:textId="77777777" w:rsidTr="002E24A7">
        <w:trPr>
          <w:trHeight w:val="375"/>
        </w:trPr>
        <w:tc>
          <w:tcPr>
            <w:tcW w:w="3400" w:type="dxa"/>
            <w:hideMark/>
          </w:tcPr>
          <w:p w14:paraId="7F83CF08" w14:textId="77777777" w:rsidR="009654D7" w:rsidRPr="00A74394" w:rsidRDefault="009654D7" w:rsidP="00EA42C3">
            <w:pPr>
              <w:spacing w:after="0"/>
              <w:contextualSpacing/>
              <w:rPr>
                <w:rFonts w:asciiTheme="minorHAnsi" w:eastAsia="Times New Roman" w:hAnsiTheme="minorHAnsi" w:cs="Times New Roman"/>
                <w:b/>
                <w:bCs/>
                <w:color w:val="000000"/>
              </w:rPr>
            </w:pPr>
            <w:r w:rsidRPr="00A74394">
              <w:rPr>
                <w:rFonts w:asciiTheme="minorHAnsi" w:eastAsia="Times New Roman" w:hAnsiTheme="minorHAnsi" w:cs="Times New Roman"/>
                <w:b/>
                <w:bCs/>
                <w:color w:val="000000"/>
              </w:rPr>
              <w:t>ACO Address:</w:t>
            </w:r>
          </w:p>
        </w:tc>
        <w:tc>
          <w:tcPr>
            <w:tcW w:w="6160" w:type="dxa"/>
            <w:hideMark/>
          </w:tcPr>
          <w:p w14:paraId="7EAA6548" w14:textId="743F8DB3" w:rsidR="009654D7" w:rsidRPr="002E24A7" w:rsidRDefault="002E24A7" w:rsidP="002E24A7">
            <w:pPr>
              <w:pStyle w:val="ListParagraph"/>
              <w:numPr>
                <w:ilvl w:val="0"/>
                <w:numId w:val="35"/>
              </w:numPr>
              <w:spacing w:after="0"/>
              <w:rPr>
                <w:rFonts w:asciiTheme="minorHAnsi" w:eastAsia="Times New Roman" w:hAnsiTheme="minorHAnsi" w:cs="Times New Roman"/>
                <w:color w:val="000000"/>
              </w:rPr>
            </w:pPr>
            <w:r>
              <w:rPr>
                <w:rFonts w:asciiTheme="minorHAnsi" w:eastAsia="Times New Roman" w:hAnsiTheme="minorHAnsi" w:cs="Times New Roman"/>
                <w:color w:val="000000"/>
              </w:rPr>
              <w:t>St</w:t>
            </w:r>
            <w:r w:rsidR="00C62240" w:rsidRPr="002E24A7">
              <w:rPr>
                <w:rFonts w:asciiTheme="minorHAnsi" w:eastAsia="Times New Roman" w:hAnsiTheme="minorHAnsi" w:cs="Times New Roman"/>
                <w:color w:val="000000"/>
              </w:rPr>
              <w:t xml:space="preserve">ation Drive, </w:t>
            </w:r>
            <w:r w:rsidR="00C62240" w:rsidRPr="002E24A7">
              <w:rPr>
                <w:rFonts w:asciiTheme="minorHAnsi" w:hAnsiTheme="minorHAnsi" w:cs="Times New Roman"/>
              </w:rPr>
              <w:t>Suite Northwest 1, Westwood, MA</w:t>
            </w:r>
          </w:p>
        </w:tc>
      </w:tr>
    </w:tbl>
    <w:p w14:paraId="07C11511" w14:textId="06D05D84" w:rsidR="009654D7" w:rsidRPr="00A74394" w:rsidRDefault="009654D7" w:rsidP="00EA42C3">
      <w:pPr>
        <w:contextualSpacing/>
        <w:rPr>
          <w:rFonts w:asciiTheme="minorHAnsi" w:hAnsiTheme="minorHAnsi" w:cs="Times New Roman"/>
        </w:rPr>
      </w:pPr>
    </w:p>
    <w:p w14:paraId="1551E659" w14:textId="78CBAF51" w:rsidR="009654D7" w:rsidRPr="00A74394" w:rsidRDefault="002E24A7" w:rsidP="002E24A7">
      <w:pPr>
        <w:pStyle w:val="Heading2"/>
        <w:numPr>
          <w:ilvl w:val="0"/>
          <w:numId w:val="0"/>
        </w:numPr>
        <w:ind w:left="360" w:hanging="360"/>
      </w:pPr>
      <w:r w:rsidRPr="002E24A7">
        <w:rPr>
          <w:color w:val="000000" w:themeColor="text1"/>
        </w:rPr>
        <w:t xml:space="preserve">Part 1. </w:t>
      </w:r>
      <w:r w:rsidR="00D204A7" w:rsidRPr="00A74394">
        <w:t>PY</w:t>
      </w:r>
      <w:r w:rsidR="008C1D78" w:rsidRPr="00A74394">
        <w:t>1</w:t>
      </w:r>
      <w:r w:rsidR="00D204A7" w:rsidRPr="00A74394">
        <w:t xml:space="preserve"> Progress Report Executive Summary</w:t>
      </w:r>
    </w:p>
    <w:p w14:paraId="01FEAE84" w14:textId="77777777" w:rsidR="009654D7" w:rsidRPr="00A74394" w:rsidRDefault="00595BD4" w:rsidP="007C2F88">
      <w:pPr>
        <w:pStyle w:val="Heading2"/>
        <w:rPr>
          <w:rFonts w:asciiTheme="minorHAnsi" w:hAnsiTheme="minorHAnsi"/>
          <w:szCs w:val="22"/>
        </w:rPr>
      </w:pPr>
      <w:r w:rsidRPr="00A74394">
        <w:rPr>
          <w:rFonts w:asciiTheme="minorHAnsi" w:hAnsiTheme="minorHAnsi"/>
          <w:szCs w:val="22"/>
        </w:rPr>
        <w:t xml:space="preserve"> </w:t>
      </w:r>
      <w:r w:rsidR="00C14C85" w:rsidRPr="00A74394">
        <w:rPr>
          <w:rFonts w:asciiTheme="minorHAnsi" w:hAnsiTheme="minorHAnsi"/>
          <w:szCs w:val="22"/>
        </w:rPr>
        <w:t xml:space="preserve">ACO Goals from </w:t>
      </w:r>
      <w:r w:rsidR="003A582B" w:rsidRPr="00A74394">
        <w:rPr>
          <w:rFonts w:asciiTheme="minorHAnsi" w:hAnsiTheme="minorHAnsi"/>
          <w:szCs w:val="22"/>
        </w:rPr>
        <w:t xml:space="preserve">its </w:t>
      </w:r>
      <w:r w:rsidR="008C1D78" w:rsidRPr="00A74394">
        <w:rPr>
          <w:rFonts w:asciiTheme="minorHAnsi" w:hAnsiTheme="minorHAnsi"/>
          <w:szCs w:val="22"/>
        </w:rPr>
        <w:t>Full</w:t>
      </w:r>
      <w:r w:rsidR="00C14C85" w:rsidRPr="00A74394">
        <w:rPr>
          <w:rFonts w:asciiTheme="minorHAnsi" w:hAnsiTheme="minorHAnsi"/>
          <w:szCs w:val="22"/>
        </w:rPr>
        <w:t xml:space="preserve"> </w:t>
      </w:r>
      <w:r w:rsidR="00461D55" w:rsidRPr="00A74394">
        <w:rPr>
          <w:rFonts w:asciiTheme="minorHAnsi" w:hAnsiTheme="minorHAnsi"/>
          <w:szCs w:val="22"/>
        </w:rPr>
        <w:t>Participation Plan</w:t>
      </w:r>
    </w:p>
    <w:p w14:paraId="3095E647" w14:textId="5234692B" w:rsidR="000C74BD" w:rsidRPr="00A74394" w:rsidRDefault="000C74BD" w:rsidP="002E24A7">
      <w:pPr>
        <w:rPr>
          <w:b/>
        </w:rPr>
      </w:pPr>
      <w:r w:rsidRPr="00A74394">
        <w:t xml:space="preserve">The </w:t>
      </w:r>
      <w:r w:rsidRPr="00406C1B">
        <w:rPr>
          <w:i/>
        </w:rPr>
        <w:t xml:space="preserve">Tufts </w:t>
      </w:r>
      <w:r w:rsidR="00902908">
        <w:rPr>
          <w:i/>
        </w:rPr>
        <w:t xml:space="preserve">Health </w:t>
      </w:r>
      <w:r w:rsidRPr="00406C1B">
        <w:rPr>
          <w:i/>
        </w:rPr>
        <w:t>Together with BIDCO</w:t>
      </w:r>
      <w:r w:rsidRPr="00A74394">
        <w:t xml:space="preserve"> ACO </w:t>
      </w:r>
      <w:r w:rsidR="00162EA2">
        <w:t>strives</w:t>
      </w:r>
      <w:r w:rsidRPr="00A74394">
        <w:t xml:space="preserve"> to </w:t>
      </w:r>
      <w:r w:rsidRPr="00A74394">
        <w:rPr>
          <w:lang w:val="en"/>
        </w:rPr>
        <w:t xml:space="preserve">improve the health outcomes of our diverse members, their families, and their communities by providing access to integrated health care services that promote health, well-being, independence, and quality of life. </w:t>
      </w:r>
      <w:r w:rsidRPr="00A74394">
        <w:t xml:space="preserve">As an Accountable Care Partnership Plan, BIDCO and Tufts Health Plan </w:t>
      </w:r>
      <w:r w:rsidR="00162EA2">
        <w:t>have</w:t>
      </w:r>
      <w:r w:rsidRPr="00A74394">
        <w:t xml:space="preserve"> leverage</w:t>
      </w:r>
      <w:r w:rsidR="00162EA2">
        <w:t>d</w:t>
      </w:r>
      <w:r w:rsidRPr="00A74394">
        <w:t xml:space="preserve"> the strengths of each organization to create a multidisciplinary, data</w:t>
      </w:r>
      <w:r w:rsidR="00162EA2">
        <w:t>-</w:t>
      </w:r>
      <w:r w:rsidRPr="00A74394">
        <w:t xml:space="preserve">directed and ‘whole person’ care approach. We target interventions with </w:t>
      </w:r>
      <w:r w:rsidR="00162EA2">
        <w:t xml:space="preserve">the </w:t>
      </w:r>
      <w:r w:rsidRPr="00A74394">
        <w:t xml:space="preserve">promise to deliver to MassHealth members </w:t>
      </w:r>
      <w:proofErr w:type="gramStart"/>
      <w:r w:rsidRPr="00A74394">
        <w:t>fully-integrated</w:t>
      </w:r>
      <w:proofErr w:type="gramEnd"/>
      <w:r w:rsidRPr="00A74394">
        <w:t xml:space="preserve"> population health management programs that meet Massachusetts Executive Office of Health and Human Services (EOHHS) and accreditation requirements for care management, disease management, wellness, and prevention to achieve our goal of high-quality, cost-effective care and improved health outcomes.</w:t>
      </w:r>
    </w:p>
    <w:p w14:paraId="5573E8CC" w14:textId="452C032A" w:rsidR="00C3112A" w:rsidRPr="00A74394" w:rsidRDefault="000C74BD" w:rsidP="002E24A7">
      <w:pPr>
        <w:rPr>
          <w:b/>
        </w:rPr>
      </w:pPr>
      <w:r w:rsidRPr="002E24A7">
        <w:rPr>
          <w:b/>
          <w:bCs/>
        </w:rPr>
        <w:t xml:space="preserve">Goals from the </w:t>
      </w:r>
      <w:r w:rsidR="00C3112A" w:rsidRPr="002E24A7">
        <w:rPr>
          <w:b/>
          <w:bCs/>
        </w:rPr>
        <w:t>PY1 Full Participation Plan</w:t>
      </w:r>
      <w:r w:rsidRPr="002E24A7">
        <w:rPr>
          <w:b/>
          <w:bCs/>
        </w:rPr>
        <w:t>:</w:t>
      </w:r>
      <w:r w:rsidRPr="00A74394">
        <w:t xml:space="preserve"> </w:t>
      </w:r>
      <w:r w:rsidR="00902908" w:rsidRPr="00406C1B">
        <w:rPr>
          <w:i/>
        </w:rPr>
        <w:t>Tufts Health Together with BIDCO</w:t>
      </w:r>
      <w:r w:rsidR="00902908" w:rsidRPr="00A74394">
        <w:t xml:space="preserve"> </w:t>
      </w:r>
      <w:r w:rsidRPr="00A74394">
        <w:t>built the</w:t>
      </w:r>
      <w:r w:rsidR="00C3112A" w:rsidRPr="00A74394">
        <w:t xml:space="preserve"> PY1 full </w:t>
      </w:r>
      <w:r w:rsidRPr="00A74394">
        <w:t>participation plan based on a joint assessment of the strengths and gaps of the partnership programs as well a data</w:t>
      </w:r>
      <w:r w:rsidR="00162EA2">
        <w:t>-</w:t>
      </w:r>
      <w:r w:rsidRPr="00A74394">
        <w:t xml:space="preserve">directed evaluation of the ACO members, which were identified at the outset of its new partnership. Mapping these system attributes, </w:t>
      </w:r>
      <w:r w:rsidR="001F7CDA" w:rsidRPr="00406C1B">
        <w:rPr>
          <w:i/>
        </w:rPr>
        <w:t xml:space="preserve">Tufts Health Together with </w:t>
      </w:r>
      <w:r w:rsidR="00EA2814" w:rsidRPr="00406C1B">
        <w:rPr>
          <w:i/>
        </w:rPr>
        <w:t xml:space="preserve">BIDCO </w:t>
      </w:r>
      <w:r w:rsidR="00EA2814" w:rsidRPr="00A74394">
        <w:t>developed</w:t>
      </w:r>
      <w:r w:rsidRPr="00A74394">
        <w:t xml:space="preserve"> the fol</w:t>
      </w:r>
      <w:r w:rsidR="00C3112A" w:rsidRPr="00A74394">
        <w:t>lowing goals for the DSRIP plan:</w:t>
      </w:r>
    </w:p>
    <w:p w14:paraId="2DA6BF84" w14:textId="448234E7" w:rsidR="00A765EB" w:rsidRPr="00A74394" w:rsidRDefault="00C3112A" w:rsidP="002E24A7">
      <w:pPr>
        <w:rPr>
          <w:b/>
        </w:rPr>
      </w:pPr>
      <w:r w:rsidRPr="00A74394">
        <w:t>Goal 1</w:t>
      </w:r>
      <w:r w:rsidR="00526799" w:rsidRPr="00A74394">
        <w:t>.</w:t>
      </w:r>
      <w:r w:rsidRPr="00A74394">
        <w:t xml:space="preserve"> </w:t>
      </w:r>
      <w:r w:rsidRPr="00A74394">
        <w:rPr>
          <w:color w:val="000000"/>
        </w:rPr>
        <w:t>Cost and Utilization Management</w:t>
      </w:r>
      <w:r w:rsidR="00526799" w:rsidRPr="00A74394">
        <w:rPr>
          <w:color w:val="000000"/>
        </w:rPr>
        <w:t xml:space="preserve">: </w:t>
      </w:r>
      <w:r w:rsidRPr="00A74394">
        <w:t>Decrease avoidable inpatient admissions and adverse outcomes by resourcing personnel to expand and improve engagement in care management and disease management programs.</w:t>
      </w:r>
    </w:p>
    <w:p w14:paraId="3E3D1B10" w14:textId="3FB37C00" w:rsidR="00526799" w:rsidRPr="002E24A7" w:rsidRDefault="00A765EB" w:rsidP="002E24A7">
      <w:pPr>
        <w:rPr>
          <w:rFonts w:eastAsia="Times New Roman"/>
          <w:b/>
        </w:rPr>
      </w:pPr>
      <w:r w:rsidRPr="00814B54">
        <w:t>Goal 2</w:t>
      </w:r>
      <w:r w:rsidR="00526799" w:rsidRPr="00814B54">
        <w:t>.</w:t>
      </w:r>
      <w:r w:rsidRPr="00814B54">
        <w:t xml:space="preserve"> </w:t>
      </w:r>
      <w:r w:rsidR="00C3112A" w:rsidRPr="00A74394">
        <w:rPr>
          <w:color w:val="000000"/>
        </w:rPr>
        <w:t>Quality</w:t>
      </w:r>
      <w:r w:rsidR="00526799" w:rsidRPr="00A74394">
        <w:rPr>
          <w:color w:val="000000"/>
        </w:rPr>
        <w:t xml:space="preserve">: </w:t>
      </w:r>
      <w:r w:rsidR="00400FC7" w:rsidRPr="00406C1B">
        <w:rPr>
          <w:i/>
        </w:rPr>
        <w:t>Tufts Health Together with BIDCO</w:t>
      </w:r>
      <w:r w:rsidR="00902908">
        <w:t xml:space="preserve"> </w:t>
      </w:r>
      <w:r w:rsidR="00C3112A" w:rsidRPr="00A74394">
        <w:t>ACO programs</w:t>
      </w:r>
      <w:r w:rsidR="00327B85">
        <w:t xml:space="preserve"> are</w:t>
      </w:r>
      <w:r w:rsidR="00C3112A" w:rsidRPr="00A74394">
        <w:t xml:space="preserve"> implemented according to MassHealth program requirements and priorities and internal program design.</w:t>
      </w:r>
    </w:p>
    <w:p w14:paraId="50860A46" w14:textId="63A8DC9F" w:rsidR="00C3112A" w:rsidRPr="00A74394" w:rsidRDefault="00526799" w:rsidP="00C3112A">
      <w:pPr>
        <w:pStyle w:val="BodyText"/>
        <w:spacing w:before="7"/>
        <w:ind w:right="144"/>
        <w:rPr>
          <w:rFonts w:eastAsia="Times New Roman" w:cs="Times New Roman"/>
          <w:color w:val="000000" w:themeColor="text1"/>
        </w:rPr>
      </w:pPr>
      <w:r w:rsidRPr="00A74394">
        <w:rPr>
          <w:rFonts w:eastAsia="Times New Roman" w:cs="Times New Roman"/>
          <w:color w:val="000000"/>
        </w:rPr>
        <w:t xml:space="preserve">Goal 3. </w:t>
      </w:r>
      <w:r w:rsidR="00C3112A" w:rsidRPr="00A74394">
        <w:rPr>
          <w:rFonts w:eastAsia="Times New Roman" w:cs="Times New Roman"/>
          <w:color w:val="000000"/>
        </w:rPr>
        <w:t xml:space="preserve">Member Experience and Engagement: </w:t>
      </w:r>
      <w:r w:rsidR="00C3112A" w:rsidRPr="00A74394">
        <w:rPr>
          <w:rFonts w:eastAsia="Times New Roman" w:cs="Times New Roman"/>
          <w:color w:val="000000" w:themeColor="text1"/>
        </w:rPr>
        <w:t>All high risk and complex members are connected to a primary care provider.</w:t>
      </w:r>
    </w:p>
    <w:p w14:paraId="4145009D" w14:textId="77777777" w:rsidR="00C3112A" w:rsidRPr="00A74394" w:rsidRDefault="00526799" w:rsidP="00C3112A">
      <w:pPr>
        <w:pStyle w:val="BodyText"/>
        <w:spacing w:before="7"/>
        <w:ind w:right="806"/>
        <w:rPr>
          <w:rFonts w:eastAsia="Times New Roman" w:cs="Times New Roman"/>
          <w:color w:val="000000" w:themeColor="text1"/>
        </w:rPr>
      </w:pPr>
      <w:r w:rsidRPr="00A74394">
        <w:rPr>
          <w:rFonts w:eastAsia="Times New Roman" w:cs="Times New Roman"/>
          <w:color w:val="000000"/>
        </w:rPr>
        <w:t>Goal 4.</w:t>
      </w:r>
      <w:r w:rsidR="00C3112A" w:rsidRPr="00A74394">
        <w:rPr>
          <w:rFonts w:eastAsia="Times New Roman" w:cs="Times New Roman"/>
          <w:color w:val="000000"/>
        </w:rPr>
        <w:t> </w:t>
      </w:r>
      <w:r w:rsidR="00C3112A" w:rsidRPr="00A74394">
        <w:rPr>
          <w:rFonts w:cs="Times New Roman"/>
          <w:color w:val="000000" w:themeColor="text1"/>
        </w:rPr>
        <w:t>Integration of Physical Health, BH, LTSS, and Health-Related Social Services</w:t>
      </w:r>
      <w:r w:rsidRPr="00A74394">
        <w:rPr>
          <w:rFonts w:cs="Times New Roman"/>
          <w:color w:val="000000" w:themeColor="text1"/>
        </w:rPr>
        <w:t xml:space="preserve">: </w:t>
      </w:r>
      <w:r w:rsidR="00C3112A" w:rsidRPr="00A74394">
        <w:rPr>
          <w:rFonts w:eastAsia="Times New Roman" w:cs="Times New Roman"/>
          <w:color w:val="000000" w:themeColor="text1"/>
        </w:rPr>
        <w:t>Social service needs and social determinants of health for MassHealth members are documented and addressed as a part of the care plan.</w:t>
      </w:r>
    </w:p>
    <w:p w14:paraId="0F355111" w14:textId="77777777" w:rsidR="009654D7" w:rsidRPr="00A74394" w:rsidRDefault="00C14C85" w:rsidP="00C14C85">
      <w:pPr>
        <w:pStyle w:val="Heading2"/>
        <w:rPr>
          <w:rFonts w:asciiTheme="minorHAnsi" w:hAnsiTheme="minorHAnsi"/>
          <w:szCs w:val="22"/>
        </w:rPr>
      </w:pPr>
      <w:r w:rsidRPr="00A74394">
        <w:rPr>
          <w:rFonts w:asciiTheme="minorHAnsi" w:hAnsiTheme="minorHAnsi"/>
          <w:szCs w:val="22"/>
        </w:rPr>
        <w:lastRenderedPageBreak/>
        <w:t>PY</w:t>
      </w:r>
      <w:r w:rsidR="008C1D78" w:rsidRPr="00A74394">
        <w:rPr>
          <w:rFonts w:asciiTheme="minorHAnsi" w:hAnsiTheme="minorHAnsi"/>
          <w:szCs w:val="22"/>
        </w:rPr>
        <w:t>1</w:t>
      </w:r>
      <w:r w:rsidRPr="00A74394">
        <w:rPr>
          <w:rFonts w:asciiTheme="minorHAnsi" w:hAnsiTheme="minorHAnsi"/>
          <w:szCs w:val="22"/>
        </w:rPr>
        <w:t xml:space="preserve"> Investments </w:t>
      </w:r>
      <w:r w:rsidR="003A582B" w:rsidRPr="00A74394">
        <w:rPr>
          <w:rFonts w:asciiTheme="minorHAnsi" w:hAnsiTheme="minorHAnsi"/>
          <w:szCs w:val="22"/>
        </w:rPr>
        <w:t>Overview</w:t>
      </w:r>
      <w:r w:rsidR="002C271C" w:rsidRPr="00A74394">
        <w:rPr>
          <w:rFonts w:asciiTheme="minorHAnsi" w:hAnsiTheme="minorHAnsi"/>
          <w:szCs w:val="22"/>
        </w:rPr>
        <w:t xml:space="preserve"> and Progress </w:t>
      </w:r>
      <w:r w:rsidR="00226D41" w:rsidRPr="00A74394">
        <w:rPr>
          <w:rFonts w:asciiTheme="minorHAnsi" w:hAnsiTheme="minorHAnsi"/>
          <w:szCs w:val="22"/>
        </w:rPr>
        <w:t>toward</w:t>
      </w:r>
      <w:r w:rsidR="002C271C" w:rsidRPr="00A74394">
        <w:rPr>
          <w:rFonts w:asciiTheme="minorHAnsi" w:hAnsiTheme="minorHAnsi"/>
          <w:szCs w:val="22"/>
        </w:rPr>
        <w:t xml:space="preserve"> Goals</w:t>
      </w:r>
    </w:p>
    <w:p w14:paraId="0B73BE57" w14:textId="68B39877" w:rsidR="00526799" w:rsidRPr="00A74394" w:rsidRDefault="00526799" w:rsidP="00526799">
      <w:pPr>
        <w:rPr>
          <w:rFonts w:asciiTheme="minorHAnsi" w:hAnsiTheme="minorHAnsi"/>
        </w:rPr>
      </w:pPr>
      <w:r w:rsidRPr="00A74394">
        <w:rPr>
          <w:rFonts w:asciiTheme="minorHAnsi" w:hAnsiTheme="minorHAnsi"/>
        </w:rPr>
        <w:t xml:space="preserve">To deliver value to our members, EOHHS and CMS, </w:t>
      </w:r>
      <w:r w:rsidR="00902908" w:rsidRPr="00406C1B">
        <w:rPr>
          <w:rFonts w:asciiTheme="minorHAnsi" w:eastAsia="Times New Roman" w:hAnsiTheme="minorHAnsi" w:cs="Times New Roman"/>
          <w:i/>
        </w:rPr>
        <w:t xml:space="preserve">Tufts </w:t>
      </w:r>
      <w:r w:rsidR="00902908">
        <w:rPr>
          <w:rFonts w:asciiTheme="minorHAnsi" w:eastAsia="Times New Roman" w:hAnsiTheme="minorHAnsi" w:cs="Times New Roman"/>
          <w:i/>
        </w:rPr>
        <w:t xml:space="preserve">Health </w:t>
      </w:r>
      <w:r w:rsidR="00902908" w:rsidRPr="00406C1B">
        <w:rPr>
          <w:rFonts w:asciiTheme="minorHAnsi" w:eastAsia="Times New Roman" w:hAnsiTheme="minorHAnsi" w:cs="Times New Roman"/>
          <w:i/>
        </w:rPr>
        <w:t>Together with BIDCO</w:t>
      </w:r>
      <w:r w:rsidR="00902908" w:rsidRPr="00A74394">
        <w:rPr>
          <w:rFonts w:asciiTheme="minorHAnsi" w:eastAsia="Times New Roman" w:hAnsiTheme="minorHAnsi" w:cs="Times New Roman"/>
        </w:rPr>
        <w:t xml:space="preserve"> </w:t>
      </w:r>
      <w:r w:rsidRPr="00A74394">
        <w:rPr>
          <w:rFonts w:asciiTheme="minorHAnsi" w:hAnsiTheme="minorHAnsi"/>
        </w:rPr>
        <w:t xml:space="preserve">has leveraged existing infrastructure and made targeted investments to improve the health and outcomes for MassHealth members and bend the total cost of care for this population across our diverse network. </w:t>
      </w:r>
    </w:p>
    <w:p w14:paraId="7259B5D1" w14:textId="77777777" w:rsidR="00526799" w:rsidRPr="00A74394" w:rsidRDefault="00526799" w:rsidP="00526799">
      <w:pPr>
        <w:rPr>
          <w:rFonts w:asciiTheme="minorHAnsi" w:hAnsiTheme="minorHAnsi"/>
        </w:rPr>
      </w:pPr>
      <w:r w:rsidRPr="00A74394">
        <w:rPr>
          <w:rFonts w:asciiTheme="minorHAnsi" w:hAnsiTheme="minorHAnsi"/>
        </w:rPr>
        <w:t>To this end, specific investments priorities in PY1 include:</w:t>
      </w:r>
    </w:p>
    <w:p w14:paraId="76A10530" w14:textId="7D5661B2" w:rsidR="00526799" w:rsidRPr="00A74394" w:rsidRDefault="00526799" w:rsidP="007A5EEC">
      <w:pPr>
        <w:pStyle w:val="ListParagraph"/>
        <w:numPr>
          <w:ilvl w:val="0"/>
          <w:numId w:val="25"/>
        </w:numPr>
        <w:spacing w:after="120"/>
        <w:rPr>
          <w:rFonts w:asciiTheme="minorHAnsi" w:hAnsiTheme="minorHAnsi"/>
        </w:rPr>
      </w:pPr>
      <w:r w:rsidRPr="00A74394">
        <w:rPr>
          <w:rFonts w:asciiTheme="minorHAnsi" w:hAnsiTheme="minorHAnsi"/>
        </w:rPr>
        <w:t>Care Management and Population Health Management Se</w:t>
      </w:r>
      <w:r w:rsidR="00814B54">
        <w:rPr>
          <w:rFonts w:asciiTheme="minorHAnsi" w:hAnsiTheme="minorHAnsi"/>
        </w:rPr>
        <w:t>rvices to m</w:t>
      </w:r>
      <w:r w:rsidR="00B45F43" w:rsidRPr="00A74394">
        <w:rPr>
          <w:rFonts w:asciiTheme="minorHAnsi" w:hAnsiTheme="minorHAnsi"/>
        </w:rPr>
        <w:t>anage individual risk</w:t>
      </w:r>
      <w:r w:rsidRPr="00A74394">
        <w:rPr>
          <w:rFonts w:asciiTheme="minorHAnsi" w:hAnsiTheme="minorHAnsi"/>
        </w:rPr>
        <w:t xml:space="preserve">: </w:t>
      </w:r>
      <w:r w:rsidRPr="00406C1B">
        <w:rPr>
          <w:rFonts w:asciiTheme="minorHAnsi" w:hAnsiTheme="minorHAnsi"/>
          <w:i/>
        </w:rPr>
        <w:t>T</w:t>
      </w:r>
      <w:r w:rsidR="001F7CDA" w:rsidRPr="00406C1B">
        <w:rPr>
          <w:rFonts w:asciiTheme="minorHAnsi" w:hAnsiTheme="minorHAnsi"/>
          <w:i/>
        </w:rPr>
        <w:t>ufts Health Together with BIDCO</w:t>
      </w:r>
      <w:r w:rsidR="00406C1B">
        <w:rPr>
          <w:rFonts w:asciiTheme="minorHAnsi" w:hAnsiTheme="minorHAnsi"/>
          <w:i/>
        </w:rPr>
        <w:t xml:space="preserve"> </w:t>
      </w:r>
      <w:r w:rsidR="00B241D3" w:rsidRPr="00A74394">
        <w:rPr>
          <w:rFonts w:asciiTheme="minorHAnsi" w:hAnsiTheme="minorHAnsi"/>
        </w:rPr>
        <w:t xml:space="preserve">invested </w:t>
      </w:r>
      <w:r w:rsidRPr="00A74394">
        <w:rPr>
          <w:rFonts w:asciiTheme="minorHAnsi" w:hAnsiTheme="minorHAnsi"/>
        </w:rPr>
        <w:t>in clinical and non-clinical staff to provide direct care management, population health outreach and care coordination services to our members with high-risk and emerging risk needs. This investment assure</w:t>
      </w:r>
      <w:r w:rsidR="00B241D3" w:rsidRPr="00A74394">
        <w:rPr>
          <w:rFonts w:asciiTheme="minorHAnsi" w:hAnsiTheme="minorHAnsi"/>
        </w:rPr>
        <w:t>d</w:t>
      </w:r>
      <w:r w:rsidRPr="00A74394">
        <w:rPr>
          <w:rFonts w:asciiTheme="minorHAnsi" w:hAnsiTheme="minorHAnsi"/>
        </w:rPr>
        <w:t xml:space="preserve"> that our MassHealth members experience unified and coordinated care episodes, with robust communication across settings to </w:t>
      </w:r>
      <w:r w:rsidR="00B45F43" w:rsidRPr="00A74394">
        <w:rPr>
          <w:rFonts w:asciiTheme="minorHAnsi" w:hAnsiTheme="minorHAnsi"/>
        </w:rPr>
        <w:t xml:space="preserve">reduce avoidable utilization as well as </w:t>
      </w:r>
      <w:r w:rsidRPr="00A74394">
        <w:rPr>
          <w:rFonts w:asciiTheme="minorHAnsi" w:hAnsiTheme="minorHAnsi"/>
        </w:rPr>
        <w:t xml:space="preserve">reduce missed opportunities and improve outcomes. These </w:t>
      </w:r>
      <w:r w:rsidR="00B45F43" w:rsidRPr="00A74394">
        <w:rPr>
          <w:rFonts w:asciiTheme="minorHAnsi" w:hAnsiTheme="minorHAnsi"/>
        </w:rPr>
        <w:t xml:space="preserve">FTE </w:t>
      </w:r>
      <w:r w:rsidRPr="00A74394">
        <w:rPr>
          <w:rFonts w:asciiTheme="minorHAnsi" w:hAnsiTheme="minorHAnsi"/>
        </w:rPr>
        <w:t xml:space="preserve">investments </w:t>
      </w:r>
      <w:r w:rsidR="00B45F43" w:rsidRPr="00A74394">
        <w:rPr>
          <w:rFonts w:asciiTheme="minorHAnsi" w:hAnsiTheme="minorHAnsi"/>
        </w:rPr>
        <w:t xml:space="preserve">that </w:t>
      </w:r>
      <w:r w:rsidR="00B241D3" w:rsidRPr="00A74394">
        <w:rPr>
          <w:rFonts w:asciiTheme="minorHAnsi" w:hAnsiTheme="minorHAnsi"/>
        </w:rPr>
        <w:t>were</w:t>
      </w:r>
      <w:r w:rsidRPr="00A74394">
        <w:rPr>
          <w:rFonts w:asciiTheme="minorHAnsi" w:hAnsiTheme="minorHAnsi"/>
        </w:rPr>
        <w:t xml:space="preserve"> made</w:t>
      </w:r>
      <w:r w:rsidR="00B45F43" w:rsidRPr="00A74394">
        <w:rPr>
          <w:rFonts w:asciiTheme="minorHAnsi" w:hAnsiTheme="minorHAnsi"/>
        </w:rPr>
        <w:t xml:space="preserve"> to expand existing programs or create new programs </w:t>
      </w:r>
      <w:r w:rsidRPr="00A74394">
        <w:rPr>
          <w:rFonts w:asciiTheme="minorHAnsi" w:hAnsiTheme="minorHAnsi"/>
        </w:rPr>
        <w:t xml:space="preserve">at both the Health Plan and provider groups </w:t>
      </w:r>
      <w:r w:rsidR="00B241D3" w:rsidRPr="00A74394">
        <w:rPr>
          <w:rFonts w:asciiTheme="minorHAnsi" w:hAnsiTheme="minorHAnsi"/>
        </w:rPr>
        <w:t>and are now at full capacity with plans for delegation of some of these services from the health plans to the providers occurring in PY2.</w:t>
      </w:r>
    </w:p>
    <w:p w14:paraId="1A5102CB" w14:textId="77777777" w:rsidR="007A5EEC" w:rsidRPr="00A74394" w:rsidRDefault="007A5EEC" w:rsidP="007A5EEC">
      <w:pPr>
        <w:pStyle w:val="ListParagraph"/>
        <w:spacing w:after="120"/>
        <w:rPr>
          <w:rFonts w:asciiTheme="minorHAnsi" w:hAnsiTheme="minorHAnsi"/>
        </w:rPr>
      </w:pPr>
    </w:p>
    <w:p w14:paraId="30E4DF11" w14:textId="75EEE717" w:rsidR="00A02D7F" w:rsidRPr="00A74394" w:rsidRDefault="00526799" w:rsidP="007A5EEC">
      <w:pPr>
        <w:pStyle w:val="ListParagraph"/>
        <w:numPr>
          <w:ilvl w:val="0"/>
          <w:numId w:val="25"/>
        </w:numPr>
        <w:rPr>
          <w:rFonts w:asciiTheme="minorHAnsi" w:hAnsiTheme="minorHAnsi"/>
        </w:rPr>
      </w:pPr>
      <w:r w:rsidRPr="00A74394">
        <w:rPr>
          <w:rFonts w:asciiTheme="minorHAnsi" w:hAnsiTheme="minorHAnsi"/>
        </w:rPr>
        <w:t xml:space="preserve">Targeted Investments in Information Technology to Enable Optimal Care for MassHealth Members: To build capacity for the management of MassHealth members, the BIDCO </w:t>
      </w:r>
      <w:r w:rsidR="00B241D3" w:rsidRPr="00A74394">
        <w:rPr>
          <w:rFonts w:asciiTheme="minorHAnsi" w:hAnsiTheme="minorHAnsi"/>
        </w:rPr>
        <w:t>made</w:t>
      </w:r>
      <w:r w:rsidRPr="00A74394">
        <w:rPr>
          <w:rFonts w:asciiTheme="minorHAnsi" w:hAnsiTheme="minorHAnsi"/>
        </w:rPr>
        <w:t xml:space="preserve"> targeted investments in a population health management platform to </w:t>
      </w:r>
      <w:r w:rsidR="00B45F43" w:rsidRPr="00A74394">
        <w:rPr>
          <w:rFonts w:asciiTheme="minorHAnsi" w:hAnsiTheme="minorHAnsi"/>
        </w:rPr>
        <w:t xml:space="preserve">provider point of care </w:t>
      </w:r>
      <w:r w:rsidR="00A02D7F" w:rsidRPr="00A74394">
        <w:rPr>
          <w:rFonts w:asciiTheme="minorHAnsi" w:hAnsiTheme="minorHAnsi"/>
        </w:rPr>
        <w:t xml:space="preserve">dashboards and </w:t>
      </w:r>
      <w:r w:rsidR="00B45F43" w:rsidRPr="00A74394">
        <w:rPr>
          <w:rFonts w:asciiTheme="minorHAnsi" w:hAnsiTheme="minorHAnsi"/>
        </w:rPr>
        <w:t xml:space="preserve">reports on utilization and quality gaps </w:t>
      </w:r>
      <w:r w:rsidR="00A02D7F" w:rsidRPr="00A74394">
        <w:rPr>
          <w:rFonts w:asciiTheme="minorHAnsi" w:hAnsiTheme="minorHAnsi"/>
        </w:rPr>
        <w:t xml:space="preserve">to </w:t>
      </w:r>
      <w:r w:rsidRPr="00A74394">
        <w:rPr>
          <w:rFonts w:asciiTheme="minorHAnsi" w:hAnsiTheme="minorHAnsi"/>
        </w:rPr>
        <w:t xml:space="preserve">guide evidence-based care and facilitate efficient integration of the system for member care. </w:t>
      </w:r>
      <w:r w:rsidR="00A02D7F" w:rsidRPr="00A74394">
        <w:rPr>
          <w:rFonts w:asciiTheme="minorHAnsi" w:hAnsiTheme="minorHAnsi"/>
        </w:rPr>
        <w:t>In PY1</w:t>
      </w:r>
      <w:r w:rsidR="00A72ACF">
        <w:rPr>
          <w:rFonts w:asciiTheme="minorHAnsi" w:hAnsiTheme="minorHAnsi"/>
        </w:rPr>
        <w:t>,</w:t>
      </w:r>
      <w:r w:rsidR="00A02D7F" w:rsidRPr="00A74394">
        <w:rPr>
          <w:rFonts w:asciiTheme="minorHAnsi" w:hAnsiTheme="minorHAnsi"/>
        </w:rPr>
        <w:t xml:space="preserve"> t</w:t>
      </w:r>
      <w:r w:rsidR="00B241D3" w:rsidRPr="00A74394">
        <w:rPr>
          <w:rFonts w:asciiTheme="minorHAnsi" w:hAnsiTheme="minorHAnsi"/>
        </w:rPr>
        <w:t xml:space="preserve">he ACO population health platform </w:t>
      </w:r>
      <w:r w:rsidR="00A02D7F" w:rsidRPr="00A74394">
        <w:rPr>
          <w:rFonts w:asciiTheme="minorHAnsi" w:hAnsiTheme="minorHAnsi"/>
        </w:rPr>
        <w:t xml:space="preserve">successfully </w:t>
      </w:r>
      <w:r w:rsidR="00B45F43" w:rsidRPr="00A74394">
        <w:rPr>
          <w:rFonts w:asciiTheme="minorHAnsi" w:hAnsiTheme="minorHAnsi"/>
        </w:rPr>
        <w:t>integrated MassH</w:t>
      </w:r>
      <w:r w:rsidR="00B241D3" w:rsidRPr="00A74394">
        <w:rPr>
          <w:rFonts w:asciiTheme="minorHAnsi" w:hAnsiTheme="minorHAnsi"/>
        </w:rPr>
        <w:t xml:space="preserve">ealth and health plan claims data </w:t>
      </w:r>
      <w:r w:rsidR="00A02D7F" w:rsidRPr="00A74394">
        <w:rPr>
          <w:rFonts w:asciiTheme="minorHAnsi" w:hAnsiTheme="minorHAnsi"/>
        </w:rPr>
        <w:t xml:space="preserve">to build corresponding reports and dashboards </w:t>
      </w:r>
      <w:r w:rsidR="00B241D3" w:rsidRPr="00A74394">
        <w:rPr>
          <w:rFonts w:asciiTheme="minorHAnsi" w:hAnsiTheme="minorHAnsi"/>
        </w:rPr>
        <w:t xml:space="preserve">with </w:t>
      </w:r>
      <w:r w:rsidR="00A02D7F" w:rsidRPr="00A74394">
        <w:rPr>
          <w:rFonts w:asciiTheme="minorHAnsi" w:hAnsiTheme="minorHAnsi"/>
        </w:rPr>
        <w:t xml:space="preserve">provider and staff </w:t>
      </w:r>
      <w:r w:rsidR="00B241D3" w:rsidRPr="00A74394">
        <w:rPr>
          <w:rFonts w:asciiTheme="minorHAnsi" w:hAnsiTheme="minorHAnsi"/>
        </w:rPr>
        <w:t xml:space="preserve">training </w:t>
      </w:r>
      <w:r w:rsidR="00A02D7F" w:rsidRPr="00A74394">
        <w:rPr>
          <w:rFonts w:asciiTheme="minorHAnsi" w:hAnsiTheme="minorHAnsi"/>
        </w:rPr>
        <w:t>beginning</w:t>
      </w:r>
      <w:r w:rsidR="00B241D3" w:rsidRPr="00A74394">
        <w:rPr>
          <w:rFonts w:asciiTheme="minorHAnsi" w:hAnsiTheme="minorHAnsi"/>
        </w:rPr>
        <w:t xml:space="preserve"> in Q4 of the PY1 year. In </w:t>
      </w:r>
      <w:r w:rsidR="00A02D7F" w:rsidRPr="00A74394">
        <w:rPr>
          <w:rFonts w:asciiTheme="minorHAnsi" w:hAnsiTheme="minorHAnsi"/>
        </w:rPr>
        <w:t xml:space="preserve">PY1 </w:t>
      </w:r>
      <w:r w:rsidR="00B241D3" w:rsidRPr="00A74394">
        <w:rPr>
          <w:rFonts w:asciiTheme="minorHAnsi" w:hAnsiTheme="minorHAnsi"/>
        </w:rPr>
        <w:t xml:space="preserve">the </w:t>
      </w:r>
      <w:r w:rsidR="00A02D7F" w:rsidRPr="00A74394">
        <w:rPr>
          <w:rFonts w:asciiTheme="minorHAnsi" w:hAnsiTheme="minorHAnsi"/>
        </w:rPr>
        <w:t xml:space="preserve">platform completed its </w:t>
      </w:r>
      <w:r w:rsidR="00B241D3" w:rsidRPr="00A74394">
        <w:rPr>
          <w:rFonts w:asciiTheme="minorHAnsi" w:hAnsiTheme="minorHAnsi"/>
        </w:rPr>
        <w:t xml:space="preserve">new risk stratification model </w:t>
      </w:r>
      <w:r w:rsidR="00A02D7F" w:rsidRPr="00A74394">
        <w:rPr>
          <w:rFonts w:asciiTheme="minorHAnsi" w:hAnsiTheme="minorHAnsi"/>
        </w:rPr>
        <w:t xml:space="preserve">including claims, clinical and census data. The </w:t>
      </w:r>
      <w:r w:rsidR="00B241D3" w:rsidRPr="00A74394">
        <w:rPr>
          <w:rFonts w:asciiTheme="minorHAnsi" w:hAnsiTheme="minorHAnsi"/>
        </w:rPr>
        <w:t>implementation</w:t>
      </w:r>
      <w:r w:rsidR="00A02D7F" w:rsidRPr="00A74394">
        <w:rPr>
          <w:rFonts w:asciiTheme="minorHAnsi" w:hAnsiTheme="minorHAnsi"/>
        </w:rPr>
        <w:t xml:space="preserve"> of this model will occur </w:t>
      </w:r>
      <w:r w:rsidR="00B241D3" w:rsidRPr="00A74394">
        <w:rPr>
          <w:rFonts w:asciiTheme="minorHAnsi" w:hAnsiTheme="minorHAnsi"/>
        </w:rPr>
        <w:t xml:space="preserve">in PY 2 for the delegated </w:t>
      </w:r>
      <w:r w:rsidR="00A02D7F" w:rsidRPr="00A74394">
        <w:rPr>
          <w:rFonts w:asciiTheme="minorHAnsi" w:hAnsiTheme="minorHAnsi"/>
        </w:rPr>
        <w:t xml:space="preserve">provider </w:t>
      </w:r>
      <w:r w:rsidR="00B241D3" w:rsidRPr="00A74394">
        <w:rPr>
          <w:rFonts w:asciiTheme="minorHAnsi" w:hAnsiTheme="minorHAnsi"/>
        </w:rPr>
        <w:t xml:space="preserve">entities. </w:t>
      </w:r>
      <w:r w:rsidR="00A02D7F" w:rsidRPr="00A74394">
        <w:rPr>
          <w:rFonts w:asciiTheme="minorHAnsi" w:hAnsiTheme="minorHAnsi"/>
        </w:rPr>
        <w:t xml:space="preserve">In PY 1 the platform </w:t>
      </w:r>
      <w:r w:rsidR="00B45F43" w:rsidRPr="00A74394">
        <w:rPr>
          <w:rFonts w:asciiTheme="minorHAnsi" w:hAnsiTheme="minorHAnsi"/>
        </w:rPr>
        <w:t>care</w:t>
      </w:r>
      <w:r w:rsidR="00B241D3" w:rsidRPr="00A74394">
        <w:rPr>
          <w:rFonts w:asciiTheme="minorHAnsi" w:hAnsiTheme="minorHAnsi"/>
        </w:rPr>
        <w:t xml:space="preserve"> management </w:t>
      </w:r>
      <w:r w:rsidR="00A02D7F" w:rsidRPr="00A74394">
        <w:rPr>
          <w:rFonts w:asciiTheme="minorHAnsi" w:hAnsiTheme="minorHAnsi"/>
        </w:rPr>
        <w:t xml:space="preserve">tool </w:t>
      </w:r>
      <w:r w:rsidR="00B241D3" w:rsidRPr="00A74394">
        <w:rPr>
          <w:rFonts w:asciiTheme="minorHAnsi" w:hAnsiTheme="minorHAnsi"/>
        </w:rPr>
        <w:t>was completed and has been in use since the inception of the program</w:t>
      </w:r>
      <w:r w:rsidR="00A02D7F" w:rsidRPr="00A74394">
        <w:rPr>
          <w:rFonts w:asciiTheme="minorHAnsi" w:hAnsiTheme="minorHAnsi"/>
        </w:rPr>
        <w:t xml:space="preserve"> with </w:t>
      </w:r>
      <w:r w:rsidR="00B241D3" w:rsidRPr="00A74394">
        <w:rPr>
          <w:rFonts w:asciiTheme="minorHAnsi" w:hAnsiTheme="minorHAnsi"/>
        </w:rPr>
        <w:t>enha</w:t>
      </w:r>
      <w:r w:rsidR="00A02D7F" w:rsidRPr="00A74394">
        <w:rPr>
          <w:rFonts w:asciiTheme="minorHAnsi" w:hAnsiTheme="minorHAnsi"/>
        </w:rPr>
        <w:t>ncements continuing</w:t>
      </w:r>
      <w:r w:rsidR="00B241D3" w:rsidRPr="00A74394">
        <w:rPr>
          <w:rFonts w:asciiTheme="minorHAnsi" w:hAnsiTheme="minorHAnsi"/>
        </w:rPr>
        <w:t xml:space="preserve"> in PY2. </w:t>
      </w:r>
      <w:r w:rsidR="00A02D7F" w:rsidRPr="00A74394">
        <w:rPr>
          <w:rFonts w:asciiTheme="minorHAnsi" w:hAnsiTheme="minorHAnsi"/>
        </w:rPr>
        <w:t>The increased engagement related to this tool is evidenced by the significant increase in patient engagement and follow up after inpatient hospitalization with the PCP.</w:t>
      </w:r>
      <w:r w:rsidR="007C63EC">
        <w:rPr>
          <w:rFonts w:asciiTheme="minorHAnsi" w:hAnsiTheme="minorHAnsi"/>
        </w:rPr>
        <w:t xml:space="preserve"> THPP and BIDCO also collaborated to integrate MCO data with the ACO to support care management activities.</w:t>
      </w:r>
      <w:r w:rsidR="00594D14">
        <w:rPr>
          <w:rFonts w:asciiTheme="minorHAnsi" w:hAnsiTheme="minorHAnsi"/>
        </w:rPr>
        <w:t xml:space="preserve"> These include but are not limited </w:t>
      </w:r>
      <w:proofErr w:type="gramStart"/>
      <w:r w:rsidR="00594D14">
        <w:rPr>
          <w:rFonts w:asciiTheme="minorHAnsi" w:hAnsiTheme="minorHAnsi"/>
        </w:rPr>
        <w:t>to day</w:t>
      </w:r>
      <w:proofErr w:type="gramEnd"/>
      <w:r w:rsidR="00594D14">
        <w:rPr>
          <w:rFonts w:asciiTheme="minorHAnsi" w:hAnsiTheme="minorHAnsi"/>
        </w:rPr>
        <w:t xml:space="preserve"> of admission, adult and pediatric stratification, </w:t>
      </w:r>
      <w:r w:rsidR="00265DDF">
        <w:rPr>
          <w:rFonts w:asciiTheme="minorHAnsi" w:hAnsiTheme="minorHAnsi"/>
        </w:rPr>
        <w:t xml:space="preserve">high-cost claimant, </w:t>
      </w:r>
      <w:r w:rsidR="00594D14">
        <w:rPr>
          <w:rFonts w:asciiTheme="minorHAnsi" w:hAnsiTheme="minorHAnsi"/>
        </w:rPr>
        <w:t>gaps in care, leakage, eligibility</w:t>
      </w:r>
      <w:r w:rsidR="00265DDF">
        <w:rPr>
          <w:rFonts w:asciiTheme="minorHAnsi" w:hAnsiTheme="minorHAnsi"/>
        </w:rPr>
        <w:t xml:space="preserve">, and high-level pharmacy reports. In PY2, these reports will continue to expand and develop to provide insight to the ACO and direct care management activities. </w:t>
      </w:r>
      <w:r w:rsidR="00594D14">
        <w:rPr>
          <w:rFonts w:asciiTheme="minorHAnsi" w:hAnsiTheme="minorHAnsi"/>
        </w:rPr>
        <w:t xml:space="preserve"> </w:t>
      </w:r>
    </w:p>
    <w:p w14:paraId="574E674A" w14:textId="77777777" w:rsidR="00A02D7F" w:rsidRPr="00A74394" w:rsidRDefault="00A02D7F" w:rsidP="00A02D7F">
      <w:pPr>
        <w:pStyle w:val="ListParagraph"/>
        <w:rPr>
          <w:rFonts w:asciiTheme="minorHAnsi" w:hAnsiTheme="minorHAnsi"/>
        </w:rPr>
      </w:pPr>
    </w:p>
    <w:p w14:paraId="75DD7319" w14:textId="2C8AE339" w:rsidR="007A5EEC" w:rsidRPr="00A74394" w:rsidRDefault="00A02D7F" w:rsidP="007A5EEC">
      <w:pPr>
        <w:pStyle w:val="ListParagraph"/>
        <w:numPr>
          <w:ilvl w:val="0"/>
          <w:numId w:val="25"/>
        </w:numPr>
        <w:rPr>
          <w:rFonts w:asciiTheme="minorHAnsi" w:hAnsiTheme="minorHAnsi"/>
        </w:rPr>
      </w:pPr>
      <w:r w:rsidRPr="00A74394">
        <w:rPr>
          <w:rFonts w:asciiTheme="minorHAnsi" w:hAnsiTheme="minorHAnsi"/>
        </w:rPr>
        <w:t xml:space="preserve">Targeted investments in Workforce Development to Enable Optimal Care for MassHealth Members: </w:t>
      </w:r>
      <w:r w:rsidR="00B241D3" w:rsidRPr="00A74394">
        <w:rPr>
          <w:rFonts w:asciiTheme="minorHAnsi" w:hAnsiTheme="minorHAnsi"/>
        </w:rPr>
        <w:t>The</w:t>
      </w:r>
      <w:r w:rsidR="00526799" w:rsidRPr="00A74394">
        <w:rPr>
          <w:rFonts w:asciiTheme="minorHAnsi" w:hAnsiTheme="minorHAnsi"/>
        </w:rPr>
        <w:t xml:space="preserve"> ACO </w:t>
      </w:r>
      <w:r w:rsidR="00B45F43" w:rsidRPr="00A74394">
        <w:rPr>
          <w:rFonts w:asciiTheme="minorHAnsi" w:hAnsiTheme="minorHAnsi"/>
        </w:rPr>
        <w:t>made</w:t>
      </w:r>
      <w:r w:rsidR="00526799" w:rsidRPr="00A74394">
        <w:rPr>
          <w:rFonts w:asciiTheme="minorHAnsi" w:hAnsiTheme="minorHAnsi"/>
        </w:rPr>
        <w:t xml:space="preserve"> investments in</w:t>
      </w:r>
      <w:r w:rsidR="00B45F43" w:rsidRPr="00A74394">
        <w:rPr>
          <w:rFonts w:asciiTheme="minorHAnsi" w:hAnsiTheme="minorHAnsi"/>
        </w:rPr>
        <w:t xml:space="preserve"> </w:t>
      </w:r>
      <w:r w:rsidRPr="00A74394">
        <w:rPr>
          <w:rFonts w:asciiTheme="minorHAnsi" w:hAnsiTheme="minorHAnsi"/>
        </w:rPr>
        <w:t xml:space="preserve">several </w:t>
      </w:r>
      <w:r w:rsidR="00B45F43" w:rsidRPr="00A74394">
        <w:rPr>
          <w:rFonts w:asciiTheme="minorHAnsi" w:hAnsiTheme="minorHAnsi"/>
        </w:rPr>
        <w:t xml:space="preserve">workforce development programs. </w:t>
      </w:r>
      <w:r w:rsidRPr="00A74394">
        <w:rPr>
          <w:rFonts w:asciiTheme="minorHAnsi" w:hAnsiTheme="minorHAnsi"/>
        </w:rPr>
        <w:t xml:space="preserve">Noted is the </w:t>
      </w:r>
      <w:r w:rsidR="0079027C">
        <w:rPr>
          <w:rFonts w:asciiTheme="minorHAnsi" w:hAnsiTheme="minorHAnsi"/>
        </w:rPr>
        <w:t>Screening, Brief Intervention and Referral Treatment (</w:t>
      </w:r>
      <w:r w:rsidRPr="00A74394">
        <w:rPr>
          <w:rFonts w:asciiTheme="minorHAnsi" w:hAnsiTheme="minorHAnsi"/>
        </w:rPr>
        <w:t>SBIRT</w:t>
      </w:r>
      <w:r w:rsidR="0079027C">
        <w:rPr>
          <w:rFonts w:asciiTheme="minorHAnsi" w:hAnsiTheme="minorHAnsi"/>
        </w:rPr>
        <w:t>)</w:t>
      </w:r>
      <w:r w:rsidRPr="00A74394">
        <w:rPr>
          <w:rFonts w:asciiTheme="minorHAnsi" w:hAnsiTheme="minorHAnsi"/>
        </w:rPr>
        <w:t xml:space="preserve"> and motivational interviewing training of the care management staff</w:t>
      </w:r>
      <w:r w:rsidR="00B45F43" w:rsidRPr="00A74394">
        <w:rPr>
          <w:rFonts w:asciiTheme="minorHAnsi" w:hAnsiTheme="minorHAnsi"/>
        </w:rPr>
        <w:t xml:space="preserve"> </w:t>
      </w:r>
      <w:r w:rsidRPr="00A74394">
        <w:rPr>
          <w:rFonts w:asciiTheme="minorHAnsi" w:hAnsiTheme="minorHAnsi"/>
        </w:rPr>
        <w:t xml:space="preserve">as well as </w:t>
      </w:r>
      <w:r w:rsidR="00B45F43" w:rsidRPr="00A74394">
        <w:rPr>
          <w:rFonts w:asciiTheme="minorHAnsi" w:hAnsiTheme="minorHAnsi"/>
        </w:rPr>
        <w:t>Medical Assistant training program completed in PY1</w:t>
      </w:r>
      <w:r w:rsidRPr="00A74394">
        <w:rPr>
          <w:rFonts w:asciiTheme="minorHAnsi" w:hAnsiTheme="minorHAnsi"/>
        </w:rPr>
        <w:t xml:space="preserve">. The latter </w:t>
      </w:r>
      <w:r w:rsidR="00B45F43" w:rsidRPr="00A74394">
        <w:rPr>
          <w:rFonts w:asciiTheme="minorHAnsi" w:hAnsiTheme="minorHAnsi"/>
        </w:rPr>
        <w:t>train</w:t>
      </w:r>
      <w:r w:rsidRPr="00A74394">
        <w:rPr>
          <w:rFonts w:asciiTheme="minorHAnsi" w:hAnsiTheme="minorHAnsi"/>
        </w:rPr>
        <w:t>ed</w:t>
      </w:r>
      <w:r w:rsidR="00B45F43" w:rsidRPr="00A74394">
        <w:rPr>
          <w:rFonts w:asciiTheme="minorHAnsi" w:hAnsiTheme="minorHAnsi"/>
        </w:rPr>
        <w:t xml:space="preserve"> all the </w:t>
      </w:r>
      <w:r w:rsidRPr="00A74394">
        <w:rPr>
          <w:rFonts w:asciiTheme="minorHAnsi" w:hAnsiTheme="minorHAnsi"/>
        </w:rPr>
        <w:t xml:space="preserve">office </w:t>
      </w:r>
      <w:r w:rsidR="00B45F43" w:rsidRPr="00A74394">
        <w:rPr>
          <w:rFonts w:asciiTheme="minorHAnsi" w:hAnsiTheme="minorHAnsi"/>
        </w:rPr>
        <w:t>staff</w:t>
      </w:r>
      <w:r w:rsidRPr="00A74394">
        <w:rPr>
          <w:rFonts w:asciiTheme="minorHAnsi" w:hAnsiTheme="minorHAnsi"/>
        </w:rPr>
        <w:t xml:space="preserve"> and population health specialists</w:t>
      </w:r>
      <w:r w:rsidR="00B45F43" w:rsidRPr="00A74394">
        <w:rPr>
          <w:rFonts w:asciiTheme="minorHAnsi" w:hAnsiTheme="minorHAnsi"/>
        </w:rPr>
        <w:t xml:space="preserve"> in the </w:t>
      </w:r>
      <w:r w:rsidRPr="00A74394">
        <w:rPr>
          <w:rFonts w:asciiTheme="minorHAnsi" w:hAnsiTheme="minorHAnsi"/>
        </w:rPr>
        <w:t xml:space="preserve">ACO </w:t>
      </w:r>
      <w:r w:rsidR="00B45F43" w:rsidRPr="00A74394">
        <w:rPr>
          <w:rFonts w:asciiTheme="minorHAnsi" w:hAnsiTheme="minorHAnsi"/>
        </w:rPr>
        <w:t xml:space="preserve">employed community physician practices </w:t>
      </w:r>
      <w:r w:rsidRPr="00A74394">
        <w:rPr>
          <w:rFonts w:asciiTheme="minorHAnsi" w:hAnsiTheme="minorHAnsi"/>
        </w:rPr>
        <w:t xml:space="preserve">in population health management which included closing </w:t>
      </w:r>
      <w:r w:rsidR="00526799" w:rsidRPr="00A74394">
        <w:rPr>
          <w:rFonts w:asciiTheme="minorHAnsi" w:hAnsiTheme="minorHAnsi"/>
        </w:rPr>
        <w:t xml:space="preserve"> identified gaps in knowledge and skill sets to meet the needs of MassHealth members. </w:t>
      </w:r>
    </w:p>
    <w:p w14:paraId="4B957187" w14:textId="77777777" w:rsidR="007A5EEC" w:rsidRPr="00A74394" w:rsidRDefault="007A5EEC" w:rsidP="007A5EEC">
      <w:pPr>
        <w:pStyle w:val="ListParagraph"/>
        <w:rPr>
          <w:rFonts w:asciiTheme="minorHAnsi" w:hAnsiTheme="minorHAnsi"/>
        </w:rPr>
      </w:pPr>
    </w:p>
    <w:p w14:paraId="3F31342A" w14:textId="4D33B152" w:rsidR="00C14C85" w:rsidRPr="00A74394" w:rsidRDefault="00544C4E" w:rsidP="007A5EEC">
      <w:pPr>
        <w:pStyle w:val="ListParagraph"/>
        <w:numPr>
          <w:ilvl w:val="0"/>
          <w:numId w:val="25"/>
        </w:numPr>
        <w:rPr>
          <w:rFonts w:asciiTheme="minorHAnsi" w:hAnsiTheme="minorHAnsi"/>
        </w:rPr>
      </w:pPr>
      <w:r w:rsidRPr="00A74394">
        <w:rPr>
          <w:rFonts w:asciiTheme="minorHAnsi" w:hAnsiTheme="minorHAnsi"/>
        </w:rPr>
        <w:t>Investments in tools and pilot programs to address social,</w:t>
      </w:r>
      <w:r w:rsidR="00A02D7F" w:rsidRPr="00A74394">
        <w:rPr>
          <w:rFonts w:asciiTheme="minorHAnsi" w:hAnsiTheme="minorHAnsi"/>
        </w:rPr>
        <w:t xml:space="preserve"> </w:t>
      </w:r>
      <w:r w:rsidRPr="00A74394">
        <w:rPr>
          <w:rFonts w:asciiTheme="minorHAnsi" w:hAnsiTheme="minorHAnsi"/>
        </w:rPr>
        <w:t xml:space="preserve">medical and </w:t>
      </w:r>
      <w:r w:rsidR="00A02D7F" w:rsidRPr="00A74394">
        <w:rPr>
          <w:rFonts w:asciiTheme="minorHAnsi" w:hAnsiTheme="minorHAnsi"/>
        </w:rPr>
        <w:t xml:space="preserve">behavioral </w:t>
      </w:r>
      <w:r w:rsidRPr="00A74394">
        <w:rPr>
          <w:rFonts w:asciiTheme="minorHAnsi" w:hAnsiTheme="minorHAnsi"/>
        </w:rPr>
        <w:t>needs in order to</w:t>
      </w:r>
      <w:r w:rsidR="00A02D7F" w:rsidRPr="00A74394">
        <w:rPr>
          <w:rFonts w:asciiTheme="minorHAnsi" w:hAnsiTheme="minorHAnsi"/>
        </w:rPr>
        <w:t xml:space="preserve"> </w:t>
      </w:r>
      <w:r w:rsidRPr="00A74394">
        <w:rPr>
          <w:rFonts w:asciiTheme="minorHAnsi" w:hAnsiTheme="minorHAnsi"/>
        </w:rPr>
        <w:t>improve</w:t>
      </w:r>
      <w:r w:rsidR="00B45F43" w:rsidRPr="00A74394">
        <w:rPr>
          <w:rFonts w:asciiTheme="minorHAnsi" w:hAnsiTheme="minorHAnsi"/>
        </w:rPr>
        <w:t xml:space="preserve"> </w:t>
      </w:r>
      <w:r w:rsidRPr="00A74394">
        <w:rPr>
          <w:rFonts w:asciiTheme="minorHAnsi" w:hAnsiTheme="minorHAnsi"/>
        </w:rPr>
        <w:t>c</w:t>
      </w:r>
      <w:r w:rsidR="00526799" w:rsidRPr="00A74394">
        <w:rPr>
          <w:rFonts w:asciiTheme="minorHAnsi" w:hAnsiTheme="minorHAnsi"/>
        </w:rPr>
        <w:t xml:space="preserve">are </w:t>
      </w:r>
      <w:r w:rsidRPr="00A74394">
        <w:rPr>
          <w:rFonts w:asciiTheme="minorHAnsi" w:hAnsiTheme="minorHAnsi"/>
        </w:rPr>
        <w:t xml:space="preserve">of the MassHealth members. In PY1 investments were made to </w:t>
      </w:r>
      <w:r w:rsidR="0079027C">
        <w:rPr>
          <w:rFonts w:asciiTheme="minorHAnsi" w:hAnsiTheme="minorHAnsi"/>
        </w:rPr>
        <w:t xml:space="preserve">successfully </w:t>
      </w:r>
      <w:r w:rsidRPr="00A74394">
        <w:rPr>
          <w:rFonts w:asciiTheme="minorHAnsi" w:hAnsiTheme="minorHAnsi"/>
        </w:rPr>
        <w:t xml:space="preserve">build the </w:t>
      </w:r>
      <w:r w:rsidR="0079027C">
        <w:rPr>
          <w:rFonts w:asciiTheme="minorHAnsi" w:hAnsiTheme="minorHAnsi"/>
        </w:rPr>
        <w:t>Protocol for Responding to and Assessing Patients’ Assets, Risks, and Experiences (</w:t>
      </w:r>
      <w:r w:rsidRPr="00A74394">
        <w:rPr>
          <w:rFonts w:asciiTheme="minorHAnsi" w:hAnsiTheme="minorHAnsi"/>
        </w:rPr>
        <w:t>PRAPARE</w:t>
      </w:r>
      <w:r w:rsidR="0079027C">
        <w:rPr>
          <w:rFonts w:asciiTheme="minorHAnsi" w:hAnsiTheme="minorHAnsi"/>
        </w:rPr>
        <w:t>)</w:t>
      </w:r>
      <w:r w:rsidRPr="00A74394">
        <w:rPr>
          <w:rFonts w:asciiTheme="minorHAnsi" w:hAnsiTheme="minorHAnsi"/>
        </w:rPr>
        <w:t xml:space="preserve"> social determinant of health screening tool in the 3 main ACO EMRs</w:t>
      </w:r>
      <w:r w:rsidR="0079027C">
        <w:rPr>
          <w:rFonts w:asciiTheme="minorHAnsi" w:hAnsiTheme="minorHAnsi"/>
        </w:rPr>
        <w:t>.</w:t>
      </w:r>
      <w:r w:rsidR="00EC380A">
        <w:rPr>
          <w:rFonts w:asciiTheme="minorHAnsi" w:hAnsiTheme="minorHAnsi"/>
        </w:rPr>
        <w:t xml:space="preserve"> </w:t>
      </w:r>
      <w:r w:rsidR="0079027C">
        <w:rPr>
          <w:rFonts w:asciiTheme="minorHAnsi" w:hAnsiTheme="minorHAnsi"/>
        </w:rPr>
        <w:t>Investments were also made in integrating</w:t>
      </w:r>
      <w:r w:rsidRPr="00A74394">
        <w:rPr>
          <w:rFonts w:asciiTheme="minorHAnsi" w:hAnsiTheme="minorHAnsi"/>
        </w:rPr>
        <w:t xml:space="preserve"> th</w:t>
      </w:r>
      <w:r w:rsidR="00406C1B">
        <w:rPr>
          <w:rFonts w:asciiTheme="minorHAnsi" w:hAnsiTheme="minorHAnsi"/>
        </w:rPr>
        <w:t>ese</w:t>
      </w:r>
      <w:r w:rsidRPr="00A74394">
        <w:rPr>
          <w:rFonts w:asciiTheme="minorHAnsi" w:hAnsiTheme="minorHAnsi"/>
        </w:rPr>
        <w:t xml:space="preserve"> data into the data warehouse to help enhance the risk stratification model in PY2-3. In PY2</w:t>
      </w:r>
      <w:r w:rsidR="0079027C">
        <w:rPr>
          <w:rFonts w:asciiTheme="minorHAnsi" w:hAnsiTheme="minorHAnsi"/>
        </w:rPr>
        <w:t>,</w:t>
      </w:r>
      <w:r w:rsidRPr="00A74394">
        <w:rPr>
          <w:rFonts w:asciiTheme="minorHAnsi" w:hAnsiTheme="minorHAnsi"/>
        </w:rPr>
        <w:t xml:space="preserve"> pilots will begin to implement the workflows for this screening process. </w:t>
      </w:r>
      <w:r w:rsidR="00526799" w:rsidRPr="00A74394">
        <w:rPr>
          <w:rFonts w:asciiTheme="minorHAnsi" w:hAnsiTheme="minorHAnsi"/>
        </w:rPr>
        <w:t xml:space="preserve">In addition, </w:t>
      </w:r>
      <w:r w:rsidRPr="00A74394">
        <w:rPr>
          <w:rFonts w:asciiTheme="minorHAnsi" w:hAnsiTheme="minorHAnsi"/>
        </w:rPr>
        <w:t>in PY1</w:t>
      </w:r>
      <w:r w:rsidR="0079027C">
        <w:rPr>
          <w:rFonts w:asciiTheme="minorHAnsi" w:hAnsiTheme="minorHAnsi"/>
        </w:rPr>
        <w:t xml:space="preserve">, </w:t>
      </w:r>
      <w:r w:rsidR="00526799" w:rsidRPr="00A74394">
        <w:rPr>
          <w:rFonts w:asciiTheme="minorHAnsi" w:hAnsiTheme="minorHAnsi"/>
        </w:rPr>
        <w:t>we invest</w:t>
      </w:r>
      <w:r w:rsidRPr="00A74394">
        <w:rPr>
          <w:rFonts w:asciiTheme="minorHAnsi" w:hAnsiTheme="minorHAnsi"/>
        </w:rPr>
        <w:t>ed</w:t>
      </w:r>
      <w:r w:rsidR="00737A7D" w:rsidRPr="00A74394">
        <w:rPr>
          <w:rFonts w:asciiTheme="minorHAnsi" w:hAnsiTheme="minorHAnsi"/>
        </w:rPr>
        <w:t xml:space="preserve"> in building pilot programs to enhance access to behavioral health in primary care (the ACO Behavioral health collaborative) as well as the vendor diabetes program for insulin dependent diabetics.</w:t>
      </w:r>
      <w:r w:rsidR="00526799" w:rsidRPr="00A74394">
        <w:rPr>
          <w:rFonts w:asciiTheme="minorHAnsi" w:hAnsiTheme="minorHAnsi"/>
        </w:rPr>
        <w:t xml:space="preserve"> These investments will </w:t>
      </w:r>
      <w:r w:rsidR="00737A7D" w:rsidRPr="00A74394">
        <w:rPr>
          <w:rFonts w:asciiTheme="minorHAnsi" w:hAnsiTheme="minorHAnsi"/>
        </w:rPr>
        <w:t xml:space="preserve">help the ACO improve health outcomes of </w:t>
      </w:r>
      <w:r w:rsidR="00526799" w:rsidRPr="00A74394">
        <w:rPr>
          <w:rFonts w:asciiTheme="minorHAnsi" w:hAnsiTheme="minorHAnsi"/>
        </w:rPr>
        <w:t>our MassHealth members.</w:t>
      </w:r>
    </w:p>
    <w:p w14:paraId="5DAB0D37" w14:textId="77777777" w:rsidR="007A5EEC" w:rsidRPr="00A74394" w:rsidRDefault="007A5EEC" w:rsidP="007A5EEC">
      <w:pPr>
        <w:rPr>
          <w:rFonts w:asciiTheme="minorHAnsi" w:hAnsiTheme="minorHAnsi"/>
        </w:rPr>
      </w:pPr>
      <w:r w:rsidRPr="00A74394">
        <w:rPr>
          <w:rFonts w:asciiTheme="minorHAnsi" w:hAnsiTheme="minorHAnsi"/>
        </w:rPr>
        <w:t>Specific examples of PY1 investments that reflect these investment priorities meant to achieve FPP goals include:</w:t>
      </w:r>
    </w:p>
    <w:p w14:paraId="0626EEA5" w14:textId="77777777" w:rsidR="004D78C6" w:rsidRPr="00A74394" w:rsidRDefault="007A5EEC" w:rsidP="007A5EEC">
      <w:pPr>
        <w:widowControl w:val="0"/>
        <w:tabs>
          <w:tab w:val="left" w:pos="514"/>
        </w:tabs>
        <w:autoSpaceDE w:val="0"/>
        <w:autoSpaceDN w:val="0"/>
        <w:spacing w:before="7" w:after="0" w:line="240" w:lineRule="auto"/>
        <w:ind w:right="446"/>
        <w:rPr>
          <w:rFonts w:asciiTheme="minorHAnsi" w:eastAsia="Times New Roman" w:hAnsiTheme="minorHAnsi" w:cs="Times New Roman"/>
          <w:b/>
        </w:rPr>
      </w:pPr>
      <w:r w:rsidRPr="00A74394">
        <w:rPr>
          <w:rFonts w:asciiTheme="minorHAnsi" w:eastAsia="Times New Roman" w:hAnsiTheme="minorHAnsi" w:cs="Times New Roman"/>
          <w:b/>
        </w:rPr>
        <w:t xml:space="preserve">BIDCO </w:t>
      </w:r>
      <w:r w:rsidR="00737A7D" w:rsidRPr="00A74394">
        <w:rPr>
          <w:rFonts w:asciiTheme="minorHAnsi" w:eastAsia="Times New Roman" w:hAnsiTheme="minorHAnsi" w:cs="Times New Roman"/>
          <w:b/>
        </w:rPr>
        <w:t>c</w:t>
      </w:r>
      <w:r w:rsidRPr="00A74394">
        <w:rPr>
          <w:rFonts w:asciiTheme="minorHAnsi" w:eastAsia="Times New Roman" w:hAnsiTheme="minorHAnsi" w:cs="Times New Roman"/>
          <w:b/>
        </w:rPr>
        <w:t xml:space="preserve">ommunity staffing for </w:t>
      </w:r>
      <w:r w:rsidR="00EC20D4" w:rsidRPr="00A74394">
        <w:rPr>
          <w:rFonts w:asciiTheme="minorHAnsi" w:eastAsia="Times New Roman" w:hAnsiTheme="minorHAnsi" w:cs="Times New Roman"/>
          <w:b/>
        </w:rPr>
        <w:t xml:space="preserve">Complex Care Management and Transitions of </w:t>
      </w:r>
      <w:r w:rsidRPr="00A74394">
        <w:rPr>
          <w:rFonts w:asciiTheme="minorHAnsi" w:eastAsia="Times New Roman" w:hAnsiTheme="minorHAnsi" w:cs="Times New Roman"/>
          <w:b/>
        </w:rPr>
        <w:t xml:space="preserve">Care: </w:t>
      </w:r>
      <w:r w:rsidR="00EC20D4" w:rsidRPr="00A74394">
        <w:rPr>
          <w:rFonts w:asciiTheme="minorHAnsi" w:eastAsia="Times New Roman" w:hAnsiTheme="minorHAnsi" w:cs="Times New Roman"/>
          <w:b/>
        </w:rPr>
        <w:t>C</w:t>
      </w:r>
      <w:r w:rsidRPr="00A74394">
        <w:rPr>
          <w:rFonts w:asciiTheme="minorHAnsi" w:eastAsia="Times New Roman" w:hAnsiTheme="minorHAnsi" w:cs="Times New Roman"/>
          <w:b/>
        </w:rPr>
        <w:t xml:space="preserve">ommunity resource specialists, </w:t>
      </w:r>
      <w:r w:rsidR="00EC20D4" w:rsidRPr="00A74394">
        <w:rPr>
          <w:rFonts w:asciiTheme="minorHAnsi" w:eastAsia="Times New Roman" w:hAnsiTheme="minorHAnsi" w:cs="Times New Roman"/>
          <w:b/>
        </w:rPr>
        <w:t xml:space="preserve">nurse care </w:t>
      </w:r>
      <w:r w:rsidRPr="00A74394">
        <w:rPr>
          <w:rFonts w:asciiTheme="minorHAnsi" w:eastAsia="Times New Roman" w:hAnsiTheme="minorHAnsi" w:cs="Times New Roman"/>
          <w:b/>
        </w:rPr>
        <w:t>nurse managers, medical directors, p</w:t>
      </w:r>
      <w:r w:rsidR="004D78C6" w:rsidRPr="00A74394">
        <w:rPr>
          <w:rFonts w:asciiTheme="minorHAnsi" w:eastAsia="Times New Roman" w:hAnsiTheme="minorHAnsi" w:cs="Times New Roman"/>
          <w:b/>
        </w:rPr>
        <w:t>harmacists (Goals 1-4)</w:t>
      </w:r>
    </w:p>
    <w:p w14:paraId="1E9DE67E" w14:textId="6E7559AA" w:rsidR="007A5EEC" w:rsidRPr="00A74394" w:rsidRDefault="004D78C6" w:rsidP="00F64003">
      <w:pPr>
        <w:widowControl w:val="0"/>
        <w:tabs>
          <w:tab w:val="left" w:pos="514"/>
        </w:tabs>
        <w:autoSpaceDE w:val="0"/>
        <w:autoSpaceDN w:val="0"/>
        <w:spacing w:before="7" w:after="0" w:line="240" w:lineRule="auto"/>
        <w:ind w:right="446"/>
        <w:rPr>
          <w:rFonts w:asciiTheme="minorHAnsi" w:eastAsia="Times New Roman" w:hAnsiTheme="minorHAnsi" w:cs="Times New Roman"/>
        </w:rPr>
      </w:pPr>
      <w:r w:rsidRPr="00A74394">
        <w:rPr>
          <w:rFonts w:asciiTheme="minorHAnsi" w:eastAsia="Times New Roman" w:hAnsiTheme="minorHAnsi" w:cs="Times New Roman"/>
        </w:rPr>
        <w:t xml:space="preserve">Our strategy in 2018 was </w:t>
      </w:r>
      <w:r w:rsidR="007A5EEC" w:rsidRPr="00A74394">
        <w:rPr>
          <w:rFonts w:asciiTheme="minorHAnsi" w:eastAsia="Times New Roman" w:hAnsiTheme="minorHAnsi" w:cs="Times New Roman"/>
        </w:rPr>
        <w:t xml:space="preserve">to coordinate between the THPP and BIDCO programs, with THPP providing the risk stratification models as well as </w:t>
      </w:r>
      <w:r w:rsidR="00F64003" w:rsidRPr="00A74394">
        <w:rPr>
          <w:rFonts w:asciiTheme="minorHAnsi" w:eastAsia="Times New Roman" w:hAnsiTheme="minorHAnsi" w:cs="Times New Roman"/>
        </w:rPr>
        <w:t>complex</w:t>
      </w:r>
      <w:r w:rsidR="007A5EEC" w:rsidRPr="00A74394">
        <w:rPr>
          <w:rFonts w:asciiTheme="minorHAnsi" w:eastAsia="Times New Roman" w:hAnsiTheme="minorHAnsi" w:cs="Times New Roman"/>
        </w:rPr>
        <w:t xml:space="preserve"> care management in the initial non-delegated years</w:t>
      </w:r>
      <w:r w:rsidR="00F64003" w:rsidRPr="00A74394">
        <w:rPr>
          <w:rFonts w:asciiTheme="minorHAnsi" w:eastAsia="Times New Roman" w:hAnsiTheme="minorHAnsi" w:cs="Times New Roman"/>
        </w:rPr>
        <w:t>, while transitions of care was provisioned by both BIDCO and THPP</w:t>
      </w:r>
      <w:r w:rsidR="007A5EEC" w:rsidRPr="00A74394">
        <w:rPr>
          <w:rFonts w:asciiTheme="minorHAnsi" w:eastAsia="Times New Roman" w:hAnsiTheme="minorHAnsi" w:cs="Times New Roman"/>
        </w:rPr>
        <w:t xml:space="preserve">.  During this same time, the BIDCO providers </w:t>
      </w:r>
      <w:r w:rsidRPr="00A74394">
        <w:rPr>
          <w:rFonts w:asciiTheme="minorHAnsi" w:eastAsia="Times New Roman" w:hAnsiTheme="minorHAnsi" w:cs="Times New Roman"/>
        </w:rPr>
        <w:t>developed, trained, and increased capacity of care programs across the BIDCO network with a focus on South Cove Community Health Center, Bowdoin Street Health Center, and Health Care Associates. These three sites worked to create or refine policies</w:t>
      </w:r>
      <w:r w:rsidR="000F7531">
        <w:rPr>
          <w:rFonts w:asciiTheme="minorHAnsi" w:eastAsia="Times New Roman" w:hAnsiTheme="minorHAnsi" w:cs="Times New Roman"/>
        </w:rPr>
        <w:t xml:space="preserve"> and </w:t>
      </w:r>
      <w:r w:rsidRPr="00A74394">
        <w:rPr>
          <w:rFonts w:asciiTheme="minorHAnsi" w:eastAsia="Times New Roman" w:hAnsiTheme="minorHAnsi" w:cs="Times New Roman"/>
        </w:rPr>
        <w:t>procedures</w:t>
      </w:r>
      <w:r w:rsidR="000F7531">
        <w:rPr>
          <w:rFonts w:asciiTheme="minorHAnsi" w:eastAsia="Times New Roman" w:hAnsiTheme="minorHAnsi" w:cs="Times New Roman"/>
        </w:rPr>
        <w:t xml:space="preserve"> to follow NCQA standards</w:t>
      </w:r>
      <w:r w:rsidRPr="00A74394">
        <w:rPr>
          <w:rFonts w:asciiTheme="minorHAnsi" w:eastAsia="Times New Roman" w:hAnsiTheme="minorHAnsi" w:cs="Times New Roman"/>
        </w:rPr>
        <w:t xml:space="preserve"> and workflows for complex care management, transitions of care, and disease management. </w:t>
      </w:r>
      <w:r w:rsidR="00737A7D" w:rsidRPr="00A74394">
        <w:rPr>
          <w:rFonts w:asciiTheme="minorHAnsi" w:eastAsia="Times New Roman" w:hAnsiTheme="minorHAnsi" w:cs="Times New Roman"/>
        </w:rPr>
        <w:t>The plan will be to achieve delegation for these provider sites from the health plan.</w:t>
      </w:r>
      <w:r w:rsidRPr="00A74394">
        <w:rPr>
          <w:rFonts w:asciiTheme="minorHAnsi" w:eastAsia="Times New Roman" w:hAnsiTheme="minorHAnsi" w:cs="Times New Roman"/>
        </w:rPr>
        <w:t xml:space="preserve"> </w:t>
      </w:r>
    </w:p>
    <w:p w14:paraId="2AA02C3E" w14:textId="77777777" w:rsidR="007A5EEC" w:rsidRPr="00A74394" w:rsidRDefault="007A5EEC" w:rsidP="007A5EEC">
      <w:pPr>
        <w:widowControl w:val="0"/>
        <w:autoSpaceDE w:val="0"/>
        <w:autoSpaceDN w:val="0"/>
        <w:spacing w:before="5" w:after="0" w:line="240" w:lineRule="auto"/>
        <w:rPr>
          <w:rFonts w:asciiTheme="minorHAnsi" w:eastAsia="Times New Roman" w:hAnsiTheme="minorHAnsi" w:cs="Times New Roman"/>
        </w:rPr>
      </w:pPr>
    </w:p>
    <w:p w14:paraId="5DCE1067" w14:textId="77777777" w:rsidR="007A5EEC" w:rsidRPr="00A74394" w:rsidRDefault="007A5EEC" w:rsidP="007A5EEC">
      <w:pPr>
        <w:widowControl w:val="0"/>
        <w:tabs>
          <w:tab w:val="left" w:pos="502"/>
        </w:tabs>
        <w:autoSpaceDE w:val="0"/>
        <w:autoSpaceDN w:val="0"/>
        <w:spacing w:before="1" w:after="0" w:line="240" w:lineRule="auto"/>
        <w:ind w:right="139"/>
        <w:rPr>
          <w:rFonts w:asciiTheme="minorHAnsi" w:eastAsia="Times New Roman" w:hAnsiTheme="minorHAnsi" w:cs="Times New Roman"/>
        </w:rPr>
      </w:pPr>
      <w:r w:rsidRPr="00A74394">
        <w:rPr>
          <w:rFonts w:asciiTheme="minorHAnsi" w:eastAsia="Times New Roman" w:hAnsiTheme="minorHAnsi" w:cs="Times New Roman"/>
          <w:b/>
        </w:rPr>
        <w:t xml:space="preserve">BIDCO community staffing for care coordination, social service management and quality programs-Community health workers and Population Health specialists (Goals </w:t>
      </w:r>
      <w:r w:rsidR="004D78C6" w:rsidRPr="00A74394">
        <w:rPr>
          <w:rFonts w:asciiTheme="minorHAnsi" w:eastAsia="Times New Roman" w:hAnsiTheme="minorHAnsi" w:cs="Times New Roman"/>
          <w:b/>
        </w:rPr>
        <w:t>1-4</w:t>
      </w:r>
      <w:r w:rsidRPr="00A74394">
        <w:rPr>
          <w:rFonts w:asciiTheme="minorHAnsi" w:eastAsia="Times New Roman" w:hAnsiTheme="minorHAnsi" w:cs="Times New Roman"/>
          <w:b/>
        </w:rPr>
        <w:t>)</w:t>
      </w:r>
    </w:p>
    <w:p w14:paraId="45581D01" w14:textId="5C63D806" w:rsidR="00F64003" w:rsidRPr="00A74394" w:rsidRDefault="007A5EEC" w:rsidP="00F64003">
      <w:pPr>
        <w:widowControl w:val="0"/>
        <w:tabs>
          <w:tab w:val="left" w:pos="514"/>
        </w:tabs>
        <w:autoSpaceDE w:val="0"/>
        <w:autoSpaceDN w:val="0"/>
        <w:spacing w:before="7" w:after="0" w:line="240" w:lineRule="auto"/>
        <w:ind w:right="446"/>
        <w:rPr>
          <w:rFonts w:asciiTheme="minorHAnsi" w:eastAsia="Times New Roman" w:hAnsiTheme="minorHAnsi" w:cs="Times New Roman"/>
        </w:rPr>
      </w:pPr>
      <w:r w:rsidRPr="00A74394">
        <w:rPr>
          <w:rFonts w:asciiTheme="minorHAnsi" w:eastAsia="Times New Roman" w:hAnsiTheme="minorHAnsi" w:cs="Times New Roman"/>
        </w:rPr>
        <w:t xml:space="preserve">BIDCO </w:t>
      </w:r>
      <w:r w:rsidR="004D78C6" w:rsidRPr="00A74394">
        <w:rPr>
          <w:rFonts w:asciiTheme="minorHAnsi" w:eastAsia="Times New Roman" w:hAnsiTheme="minorHAnsi" w:cs="Times New Roman"/>
        </w:rPr>
        <w:t>expanded c</w:t>
      </w:r>
      <w:r w:rsidRPr="00A74394">
        <w:rPr>
          <w:rFonts w:asciiTheme="minorHAnsi" w:eastAsia="Times New Roman" w:hAnsiTheme="minorHAnsi" w:cs="Times New Roman"/>
        </w:rPr>
        <w:t xml:space="preserve">ommunity health workers and population health </w:t>
      </w:r>
      <w:r w:rsidR="00737A7D" w:rsidRPr="00A74394">
        <w:rPr>
          <w:rFonts w:asciiTheme="minorHAnsi" w:eastAsia="Times New Roman" w:hAnsiTheme="minorHAnsi" w:cs="Times New Roman"/>
        </w:rPr>
        <w:t>specialists’</w:t>
      </w:r>
      <w:r w:rsidRPr="00A74394">
        <w:rPr>
          <w:rFonts w:asciiTheme="minorHAnsi" w:eastAsia="Times New Roman" w:hAnsiTheme="minorHAnsi" w:cs="Times New Roman"/>
        </w:rPr>
        <w:t xml:space="preserve"> </w:t>
      </w:r>
      <w:r w:rsidR="004D78C6" w:rsidRPr="00A74394">
        <w:rPr>
          <w:rFonts w:asciiTheme="minorHAnsi" w:eastAsia="Times New Roman" w:hAnsiTheme="minorHAnsi" w:cs="Times New Roman"/>
        </w:rPr>
        <w:t>capacity in 2018</w:t>
      </w:r>
      <w:r w:rsidRPr="00A74394">
        <w:rPr>
          <w:rFonts w:asciiTheme="minorHAnsi" w:eastAsia="Times New Roman" w:hAnsiTheme="minorHAnsi" w:cs="Times New Roman"/>
        </w:rPr>
        <w:t xml:space="preserve">. </w:t>
      </w:r>
      <w:r w:rsidR="00F64003" w:rsidRPr="00A74394">
        <w:rPr>
          <w:rFonts w:asciiTheme="minorHAnsi" w:eastAsia="Times New Roman" w:hAnsiTheme="minorHAnsi" w:cs="Times New Roman"/>
        </w:rPr>
        <w:t>These staff work as care coordinators for practice</w:t>
      </w:r>
      <w:r w:rsidR="00737A7D" w:rsidRPr="00A74394">
        <w:rPr>
          <w:rFonts w:asciiTheme="minorHAnsi" w:eastAsia="Times New Roman" w:hAnsiTheme="minorHAnsi" w:cs="Times New Roman"/>
        </w:rPr>
        <w:t>s to provide care coordination, health</w:t>
      </w:r>
      <w:r w:rsidR="00F64003" w:rsidRPr="00A74394">
        <w:rPr>
          <w:rFonts w:asciiTheme="minorHAnsi" w:eastAsia="Times New Roman" w:hAnsiTheme="minorHAnsi" w:cs="Times New Roman"/>
        </w:rPr>
        <w:t xml:space="preserve"> related social needs screening and referral, health coaching,  and disease and quality gap closure services to </w:t>
      </w:r>
      <w:r w:rsidR="00737A7D" w:rsidRPr="00A74394">
        <w:rPr>
          <w:rFonts w:asciiTheme="minorHAnsi" w:eastAsia="Times New Roman" w:hAnsiTheme="minorHAnsi" w:cs="Times New Roman"/>
        </w:rPr>
        <w:t xml:space="preserve">the ACO </w:t>
      </w:r>
      <w:r w:rsidR="00F64003" w:rsidRPr="00A74394">
        <w:rPr>
          <w:rFonts w:asciiTheme="minorHAnsi" w:eastAsia="Times New Roman" w:hAnsiTheme="minorHAnsi" w:cs="Times New Roman"/>
        </w:rPr>
        <w:t xml:space="preserve">members that is culturally and linguistically sensitive. The population health </w:t>
      </w:r>
      <w:r w:rsidR="00737A7D" w:rsidRPr="00A74394">
        <w:rPr>
          <w:rFonts w:asciiTheme="minorHAnsi" w:eastAsia="Times New Roman" w:hAnsiTheme="minorHAnsi" w:cs="Times New Roman"/>
        </w:rPr>
        <w:t>staff at BIDCO and THPP works</w:t>
      </w:r>
      <w:r w:rsidR="00F64003" w:rsidRPr="00A74394">
        <w:rPr>
          <w:rFonts w:asciiTheme="minorHAnsi" w:eastAsia="Times New Roman" w:hAnsiTheme="minorHAnsi" w:cs="Times New Roman"/>
        </w:rPr>
        <w:t xml:space="preserve"> closely to identify high-risk and rising risk patients with the shared goal of optimizing patient engagement, medical care, and community resource access.</w:t>
      </w:r>
      <w:r w:rsidR="0077228D">
        <w:rPr>
          <w:rFonts w:asciiTheme="minorHAnsi" w:eastAsia="Times New Roman" w:hAnsiTheme="minorHAnsi" w:cs="Times New Roman"/>
        </w:rPr>
        <w:t xml:space="preserve"> THPP also expanded care management support, both through staffing and expanded policies and care plans, to work closely with Community Partners for Behavioral Health and Long Term Services and Supports. By involving and working closely with Community Partners, members have been able to receive optimal care at the local level, in a manner that works with their specific health and cultural needs. THPP coordination of this work has also prevented duplication of resources or members being missed for potential support services.</w:t>
      </w:r>
      <w:r w:rsidR="00F64003" w:rsidRPr="00A74394">
        <w:rPr>
          <w:rFonts w:asciiTheme="minorHAnsi" w:eastAsia="Times New Roman" w:hAnsiTheme="minorHAnsi" w:cs="Times New Roman"/>
        </w:rPr>
        <w:t xml:space="preserve">   </w:t>
      </w:r>
    </w:p>
    <w:p w14:paraId="605D842E" w14:textId="77777777" w:rsidR="00F64003" w:rsidRPr="00A74394" w:rsidRDefault="00F64003" w:rsidP="004D78C6">
      <w:pPr>
        <w:widowControl w:val="0"/>
        <w:tabs>
          <w:tab w:val="left" w:pos="502"/>
        </w:tabs>
        <w:autoSpaceDE w:val="0"/>
        <w:autoSpaceDN w:val="0"/>
        <w:spacing w:before="7" w:after="0" w:line="240" w:lineRule="auto"/>
        <w:ind w:right="144"/>
        <w:rPr>
          <w:rFonts w:asciiTheme="minorHAnsi" w:eastAsia="Times New Roman" w:hAnsiTheme="minorHAnsi" w:cs="Times New Roman"/>
        </w:rPr>
      </w:pPr>
    </w:p>
    <w:p w14:paraId="7EA4CA39" w14:textId="77777777" w:rsidR="007A5EEC" w:rsidRPr="00A74394" w:rsidRDefault="007A5EEC" w:rsidP="007A5EEC">
      <w:pPr>
        <w:widowControl w:val="0"/>
        <w:tabs>
          <w:tab w:val="left" w:pos="1000"/>
          <w:tab w:val="left" w:pos="1001"/>
        </w:tabs>
        <w:autoSpaceDE w:val="0"/>
        <w:autoSpaceDN w:val="0"/>
        <w:spacing w:before="7" w:after="0" w:line="240" w:lineRule="auto"/>
        <w:ind w:right="471"/>
        <w:rPr>
          <w:rFonts w:asciiTheme="minorHAnsi" w:eastAsia="Times New Roman" w:hAnsiTheme="minorHAnsi" w:cs="Times New Roman"/>
          <w:b/>
        </w:rPr>
      </w:pPr>
      <w:r w:rsidRPr="00A74394">
        <w:rPr>
          <w:rFonts w:asciiTheme="minorHAnsi" w:eastAsia="Times New Roman" w:hAnsiTheme="minorHAnsi" w:cs="Times New Roman"/>
          <w:b/>
        </w:rPr>
        <w:t>BIDCO Investment in Arcadia Software Solution for Care Management (Goal 1</w:t>
      </w:r>
      <w:r w:rsidR="00737A7D" w:rsidRPr="00A74394">
        <w:rPr>
          <w:rFonts w:asciiTheme="minorHAnsi" w:eastAsia="Times New Roman" w:hAnsiTheme="minorHAnsi" w:cs="Times New Roman"/>
          <w:b/>
        </w:rPr>
        <w:t xml:space="preserve">, </w:t>
      </w:r>
      <w:r w:rsidRPr="00A74394">
        <w:rPr>
          <w:rFonts w:asciiTheme="minorHAnsi" w:eastAsia="Times New Roman" w:hAnsiTheme="minorHAnsi" w:cs="Times New Roman"/>
          <w:b/>
        </w:rPr>
        <w:t>2</w:t>
      </w:r>
      <w:r w:rsidR="00737A7D" w:rsidRPr="00A74394">
        <w:rPr>
          <w:rFonts w:asciiTheme="minorHAnsi" w:eastAsia="Times New Roman" w:hAnsiTheme="minorHAnsi" w:cs="Times New Roman"/>
          <w:b/>
        </w:rPr>
        <w:t>,</w:t>
      </w:r>
      <w:r w:rsidRPr="00A74394">
        <w:rPr>
          <w:rFonts w:asciiTheme="minorHAnsi" w:eastAsia="Times New Roman" w:hAnsiTheme="minorHAnsi" w:cs="Times New Roman"/>
          <w:b/>
        </w:rPr>
        <w:t xml:space="preserve"> 3)</w:t>
      </w:r>
    </w:p>
    <w:p w14:paraId="12EEF408" w14:textId="7D6357DC" w:rsidR="007A5EEC" w:rsidRPr="00A74394" w:rsidRDefault="007A5EEC" w:rsidP="007A5EEC">
      <w:pPr>
        <w:widowControl w:val="0"/>
        <w:tabs>
          <w:tab w:val="left" w:pos="1000"/>
          <w:tab w:val="left" w:pos="1001"/>
        </w:tabs>
        <w:autoSpaceDE w:val="0"/>
        <w:autoSpaceDN w:val="0"/>
        <w:spacing w:before="7" w:after="0" w:line="240" w:lineRule="auto"/>
        <w:ind w:right="471"/>
        <w:rPr>
          <w:rFonts w:asciiTheme="minorHAnsi" w:eastAsia="Times New Roman" w:hAnsiTheme="minorHAnsi" w:cs="Times New Roman"/>
        </w:rPr>
      </w:pPr>
      <w:r w:rsidRPr="00A74394">
        <w:rPr>
          <w:rFonts w:asciiTheme="minorHAnsi" w:eastAsia="Times New Roman" w:hAnsiTheme="minorHAnsi" w:cs="Times New Roman"/>
        </w:rPr>
        <w:t>Arcadia development of the care management platform began in PY0 with first phase completion in early PY1 for use of transition of care managers. The following progress has been made year to date</w:t>
      </w:r>
      <w:r w:rsidR="0077228D">
        <w:rPr>
          <w:rFonts w:asciiTheme="minorHAnsi" w:eastAsia="Times New Roman" w:hAnsiTheme="minorHAnsi" w:cs="Times New Roman"/>
        </w:rPr>
        <w:t>:</w:t>
      </w:r>
    </w:p>
    <w:p w14:paraId="74148C2D" w14:textId="77777777" w:rsidR="007A5EEC" w:rsidRPr="00A74394" w:rsidRDefault="007A5EEC" w:rsidP="007A5EEC">
      <w:pPr>
        <w:widowControl w:val="0"/>
        <w:numPr>
          <w:ilvl w:val="0"/>
          <w:numId w:val="26"/>
        </w:numPr>
        <w:tabs>
          <w:tab w:val="left" w:pos="1000"/>
          <w:tab w:val="left" w:pos="1001"/>
        </w:tabs>
        <w:autoSpaceDE w:val="0"/>
        <w:autoSpaceDN w:val="0"/>
        <w:spacing w:before="7" w:after="0" w:line="240" w:lineRule="auto"/>
        <w:ind w:right="471"/>
        <w:rPr>
          <w:rFonts w:asciiTheme="minorHAnsi" w:eastAsia="Times New Roman" w:hAnsiTheme="minorHAnsi" w:cs="Times New Roman"/>
        </w:rPr>
      </w:pPr>
      <w:r w:rsidRPr="00A74394">
        <w:rPr>
          <w:rFonts w:asciiTheme="minorHAnsi" w:eastAsia="Times New Roman" w:hAnsiTheme="minorHAnsi" w:cs="Times New Roman"/>
        </w:rPr>
        <w:lastRenderedPageBreak/>
        <w:t xml:space="preserve">Complex care and disease management assessments have </w:t>
      </w:r>
      <w:r w:rsidR="00737A7D" w:rsidRPr="00A74394">
        <w:rPr>
          <w:rFonts w:asciiTheme="minorHAnsi" w:eastAsia="Times New Roman" w:hAnsiTheme="minorHAnsi" w:cs="Times New Roman"/>
        </w:rPr>
        <w:t xml:space="preserve">been enhanced </w:t>
      </w:r>
      <w:r w:rsidRPr="00A74394">
        <w:rPr>
          <w:rFonts w:asciiTheme="minorHAnsi" w:eastAsia="Times New Roman" w:hAnsiTheme="minorHAnsi" w:cs="Times New Roman"/>
        </w:rPr>
        <w:t>in Arcadia with goals, tasks, interventions and patient education (</w:t>
      </w:r>
      <w:r w:rsidRPr="00A74394">
        <w:rPr>
          <w:rFonts w:asciiTheme="minorHAnsi" w:eastAsia="Times New Roman" w:hAnsiTheme="minorHAnsi" w:cs="Times New Roman"/>
          <w:b/>
        </w:rPr>
        <w:t>Goal 1, 2</w:t>
      </w:r>
      <w:r w:rsidRPr="00A74394">
        <w:rPr>
          <w:rFonts w:asciiTheme="minorHAnsi" w:eastAsia="Times New Roman" w:hAnsiTheme="minorHAnsi" w:cs="Times New Roman"/>
        </w:rPr>
        <w:t>)</w:t>
      </w:r>
    </w:p>
    <w:p w14:paraId="5352A02B" w14:textId="77777777" w:rsidR="00737A7D" w:rsidRPr="00A74394" w:rsidRDefault="00737A7D" w:rsidP="00B43A63">
      <w:pPr>
        <w:widowControl w:val="0"/>
        <w:numPr>
          <w:ilvl w:val="0"/>
          <w:numId w:val="26"/>
        </w:numPr>
        <w:tabs>
          <w:tab w:val="left" w:pos="1000"/>
          <w:tab w:val="left" w:pos="1001"/>
        </w:tabs>
        <w:autoSpaceDE w:val="0"/>
        <w:autoSpaceDN w:val="0"/>
        <w:spacing w:before="7" w:after="0" w:line="240" w:lineRule="auto"/>
        <w:ind w:right="471"/>
        <w:rPr>
          <w:rFonts w:asciiTheme="minorHAnsi" w:eastAsia="Times New Roman" w:hAnsiTheme="minorHAnsi" w:cs="Times New Roman"/>
          <w:b/>
        </w:rPr>
      </w:pPr>
      <w:r w:rsidRPr="00A74394">
        <w:rPr>
          <w:rFonts w:asciiTheme="minorHAnsi" w:eastAsia="Times New Roman" w:hAnsiTheme="minorHAnsi" w:cs="Times New Roman"/>
        </w:rPr>
        <w:t xml:space="preserve">The tool was accompanied by building enhanced policies, procedures and care paths to  NCQA standards in preparation of obtaining delegation for some provider groups in PY2 </w:t>
      </w:r>
      <w:r w:rsidR="007A5EEC" w:rsidRPr="00A74394">
        <w:rPr>
          <w:rFonts w:asciiTheme="minorHAnsi" w:eastAsia="Times New Roman" w:hAnsiTheme="minorHAnsi" w:cs="Times New Roman"/>
        </w:rPr>
        <w:t>(</w:t>
      </w:r>
      <w:r w:rsidR="007A5EEC" w:rsidRPr="00A74394">
        <w:rPr>
          <w:rFonts w:asciiTheme="minorHAnsi" w:eastAsia="Times New Roman" w:hAnsiTheme="minorHAnsi" w:cs="Times New Roman"/>
          <w:b/>
        </w:rPr>
        <w:t>Goal 2)</w:t>
      </w:r>
    </w:p>
    <w:p w14:paraId="23D77B59" w14:textId="77777777" w:rsidR="007A5EEC" w:rsidRPr="00A74394" w:rsidRDefault="007A5EEC" w:rsidP="007A5EEC">
      <w:pPr>
        <w:widowControl w:val="0"/>
        <w:autoSpaceDE w:val="0"/>
        <w:autoSpaceDN w:val="0"/>
        <w:spacing w:before="7" w:after="0" w:line="240" w:lineRule="auto"/>
        <w:ind w:left="274" w:right="3717"/>
        <w:rPr>
          <w:rFonts w:asciiTheme="minorHAnsi" w:eastAsia="Times New Roman" w:hAnsiTheme="minorHAnsi" w:cs="Times New Roman"/>
        </w:rPr>
      </w:pPr>
    </w:p>
    <w:p w14:paraId="1CA3C420" w14:textId="77777777" w:rsidR="007A5EEC" w:rsidRPr="00A74394" w:rsidRDefault="007A5EEC" w:rsidP="007A5EEC">
      <w:pPr>
        <w:widowControl w:val="0"/>
        <w:autoSpaceDE w:val="0"/>
        <w:autoSpaceDN w:val="0"/>
        <w:spacing w:before="7" w:after="0" w:line="240" w:lineRule="auto"/>
        <w:ind w:right="3717"/>
        <w:rPr>
          <w:rFonts w:asciiTheme="minorHAnsi" w:eastAsia="Times New Roman" w:hAnsiTheme="minorHAnsi" w:cs="Times New Roman"/>
          <w:b/>
        </w:rPr>
      </w:pPr>
      <w:r w:rsidRPr="00A74394">
        <w:rPr>
          <w:rFonts w:asciiTheme="minorHAnsi" w:eastAsia="Times New Roman" w:hAnsiTheme="minorHAnsi" w:cs="Times New Roman"/>
          <w:b/>
        </w:rPr>
        <w:t>BIDCO Data and Population Health Analytics</w:t>
      </w:r>
    </w:p>
    <w:p w14:paraId="51A7BB58" w14:textId="05F21432" w:rsidR="007A5EEC" w:rsidRPr="00A74394" w:rsidRDefault="007A5EEC" w:rsidP="007A5EEC">
      <w:pPr>
        <w:pStyle w:val="ListParagraph"/>
        <w:widowControl w:val="0"/>
        <w:tabs>
          <w:tab w:val="left" w:pos="502"/>
        </w:tabs>
        <w:autoSpaceDE w:val="0"/>
        <w:autoSpaceDN w:val="0"/>
        <w:spacing w:before="7" w:after="0" w:line="240" w:lineRule="auto"/>
        <w:ind w:left="0" w:right="158"/>
        <w:rPr>
          <w:rFonts w:asciiTheme="minorHAnsi" w:eastAsia="Times New Roman" w:hAnsiTheme="minorHAnsi" w:cs="Times New Roman"/>
        </w:rPr>
      </w:pPr>
      <w:r w:rsidRPr="00A74394">
        <w:rPr>
          <w:rFonts w:asciiTheme="minorHAnsi" w:eastAsia="Times New Roman" w:hAnsiTheme="minorHAnsi" w:cs="Times New Roman"/>
          <w:b/>
        </w:rPr>
        <w:t xml:space="preserve">Arcadia data warehouse and population health tool (Goals </w:t>
      </w:r>
      <w:r w:rsidR="00E710C0" w:rsidRPr="00A74394">
        <w:rPr>
          <w:rFonts w:asciiTheme="minorHAnsi" w:eastAsia="Times New Roman" w:hAnsiTheme="minorHAnsi" w:cs="Times New Roman"/>
          <w:b/>
        </w:rPr>
        <w:t>1, 2, 4</w:t>
      </w:r>
      <w:r w:rsidRPr="00A74394">
        <w:rPr>
          <w:rFonts w:asciiTheme="minorHAnsi" w:eastAsia="Times New Roman" w:hAnsiTheme="minorHAnsi" w:cs="Times New Roman"/>
          <w:b/>
        </w:rPr>
        <w:t xml:space="preserve">): </w:t>
      </w:r>
      <w:r w:rsidR="00E710C0" w:rsidRPr="00A74394">
        <w:rPr>
          <w:rFonts w:asciiTheme="minorHAnsi" w:eastAsia="Times New Roman" w:hAnsiTheme="minorHAnsi" w:cs="Times New Roman"/>
        </w:rPr>
        <w:t xml:space="preserve">Arcadia </w:t>
      </w:r>
      <w:r w:rsidR="00652EB8" w:rsidRPr="00A74394">
        <w:rPr>
          <w:rFonts w:asciiTheme="minorHAnsi" w:eastAsia="Times New Roman" w:hAnsiTheme="minorHAnsi" w:cs="Times New Roman"/>
        </w:rPr>
        <w:t xml:space="preserve">data warehouse began integration of claims, clinical, scheduling and ADT data for MassHealth members </w:t>
      </w:r>
      <w:r w:rsidR="0077228D">
        <w:rPr>
          <w:rFonts w:asciiTheme="minorHAnsi" w:eastAsia="Times New Roman" w:hAnsiTheme="minorHAnsi" w:cs="Times New Roman"/>
        </w:rPr>
        <w:t>while building</w:t>
      </w:r>
      <w:r w:rsidR="00652EB8" w:rsidRPr="00A74394">
        <w:rPr>
          <w:rFonts w:asciiTheme="minorHAnsi" w:eastAsia="Times New Roman" w:hAnsiTheme="minorHAnsi" w:cs="Times New Roman"/>
        </w:rPr>
        <w:t xml:space="preserve"> corresponding cost, use and quality dashboards and reports. </w:t>
      </w:r>
      <w:r w:rsidR="00E710C0" w:rsidRPr="00A74394">
        <w:rPr>
          <w:rFonts w:asciiTheme="minorHAnsi" w:eastAsia="Times New Roman" w:hAnsiTheme="minorHAnsi" w:cs="Times New Roman"/>
        </w:rPr>
        <w:t>This increased functionality allows</w:t>
      </w:r>
      <w:r w:rsidR="00652EB8" w:rsidRPr="00A74394">
        <w:rPr>
          <w:rFonts w:asciiTheme="minorHAnsi" w:eastAsia="Times New Roman" w:hAnsiTheme="minorHAnsi" w:cs="Times New Roman"/>
        </w:rPr>
        <w:t xml:space="preserve"> the ACO</w:t>
      </w:r>
      <w:r w:rsidR="00E710C0" w:rsidRPr="00A74394">
        <w:rPr>
          <w:rFonts w:asciiTheme="minorHAnsi" w:eastAsia="Times New Roman" w:hAnsiTheme="minorHAnsi" w:cs="Times New Roman"/>
        </w:rPr>
        <w:t xml:space="preserve"> to close </w:t>
      </w:r>
      <w:r w:rsidRPr="00A74394">
        <w:rPr>
          <w:rFonts w:asciiTheme="minorHAnsi" w:eastAsia="Times New Roman" w:hAnsiTheme="minorHAnsi" w:cs="Times New Roman"/>
        </w:rPr>
        <w:t>care and quality gaps existing within the current EHR encounter</w:t>
      </w:r>
      <w:r w:rsidR="0077228D">
        <w:rPr>
          <w:rFonts w:asciiTheme="minorHAnsi" w:eastAsia="Times New Roman" w:hAnsiTheme="minorHAnsi" w:cs="Times New Roman"/>
        </w:rPr>
        <w:t>-</w:t>
      </w:r>
      <w:r w:rsidRPr="00A74394">
        <w:rPr>
          <w:rFonts w:asciiTheme="minorHAnsi" w:eastAsia="Times New Roman" w:hAnsiTheme="minorHAnsi" w:cs="Times New Roman"/>
        </w:rPr>
        <w:t xml:space="preserve">based data feeds. </w:t>
      </w:r>
      <w:r w:rsidR="00E710C0" w:rsidRPr="00A74394">
        <w:rPr>
          <w:rFonts w:asciiTheme="minorHAnsi" w:eastAsia="Times New Roman" w:hAnsiTheme="minorHAnsi" w:cs="Times New Roman"/>
        </w:rPr>
        <w:t>Through ongoing i</w:t>
      </w:r>
      <w:r w:rsidRPr="00A74394">
        <w:rPr>
          <w:rFonts w:asciiTheme="minorHAnsi" w:eastAsia="Times New Roman" w:hAnsiTheme="minorHAnsi" w:cs="Times New Roman"/>
        </w:rPr>
        <w:t xml:space="preserve">ntegration of BIDCO hospital </w:t>
      </w:r>
      <w:r w:rsidRPr="00A74394">
        <w:rPr>
          <w:rFonts w:asciiTheme="minorHAnsi" w:eastAsia="Times New Roman" w:hAnsiTheme="minorHAnsi" w:cs="Times New Roman"/>
          <w:spacing w:val="-2"/>
        </w:rPr>
        <w:t xml:space="preserve">ADT </w:t>
      </w:r>
      <w:r w:rsidRPr="00A74394">
        <w:rPr>
          <w:rFonts w:asciiTheme="minorHAnsi" w:eastAsia="Times New Roman" w:hAnsiTheme="minorHAnsi" w:cs="Times New Roman"/>
        </w:rPr>
        <w:t xml:space="preserve">data, MassHealth and THPP data, and </w:t>
      </w:r>
      <w:r w:rsidR="00E710C0" w:rsidRPr="00A74394">
        <w:rPr>
          <w:rFonts w:asciiTheme="minorHAnsi" w:eastAsia="Times New Roman" w:hAnsiTheme="minorHAnsi" w:cs="Times New Roman"/>
        </w:rPr>
        <w:t xml:space="preserve">EMR clinical data, </w:t>
      </w:r>
      <w:r w:rsidRPr="00A74394">
        <w:rPr>
          <w:rFonts w:asciiTheme="minorHAnsi" w:eastAsia="Times New Roman" w:hAnsiTheme="minorHAnsi" w:cs="Times New Roman"/>
        </w:rPr>
        <w:t xml:space="preserve">the BIDCO Arcadia population health </w:t>
      </w:r>
      <w:r w:rsidR="00E710C0" w:rsidRPr="00A74394">
        <w:rPr>
          <w:rFonts w:asciiTheme="minorHAnsi" w:eastAsia="Times New Roman" w:hAnsiTheme="minorHAnsi" w:cs="Times New Roman"/>
        </w:rPr>
        <w:t>platform </w:t>
      </w:r>
      <w:r w:rsidRPr="00A74394">
        <w:rPr>
          <w:rFonts w:asciiTheme="minorHAnsi" w:eastAsia="Times New Roman" w:hAnsiTheme="minorHAnsi" w:cs="Times New Roman"/>
        </w:rPr>
        <w:t>will allow care teams and practices to better coor</w:t>
      </w:r>
      <w:r w:rsidR="00E710C0" w:rsidRPr="00A74394">
        <w:rPr>
          <w:rFonts w:asciiTheme="minorHAnsi" w:eastAsia="Times New Roman" w:hAnsiTheme="minorHAnsi" w:cs="Times New Roman"/>
        </w:rPr>
        <w:t xml:space="preserve">dinate care, reduce utilization, close quality gaps, </w:t>
      </w:r>
      <w:r w:rsidRPr="00A74394">
        <w:rPr>
          <w:rFonts w:asciiTheme="minorHAnsi" w:eastAsia="Times New Roman" w:hAnsiTheme="minorHAnsi" w:cs="Times New Roman"/>
        </w:rPr>
        <w:t xml:space="preserve">and </w:t>
      </w:r>
      <w:r w:rsidR="00E710C0" w:rsidRPr="00A74394">
        <w:rPr>
          <w:rFonts w:asciiTheme="minorHAnsi" w:eastAsia="Times New Roman" w:hAnsiTheme="minorHAnsi" w:cs="Times New Roman"/>
        </w:rPr>
        <w:t>lower total medical expense</w:t>
      </w:r>
      <w:r w:rsidRPr="00A74394">
        <w:rPr>
          <w:rFonts w:asciiTheme="minorHAnsi" w:eastAsia="Times New Roman" w:hAnsiTheme="minorHAnsi" w:cs="Times New Roman"/>
        </w:rPr>
        <w:t xml:space="preserve">.  </w:t>
      </w:r>
      <w:r w:rsidR="00E710C0" w:rsidRPr="00A74394">
        <w:rPr>
          <w:rFonts w:asciiTheme="minorHAnsi" w:eastAsia="Times New Roman" w:hAnsiTheme="minorHAnsi" w:cs="Times New Roman"/>
        </w:rPr>
        <w:t xml:space="preserve">BIDCO made significant strides in Arcadia-related data integration and population health development in </w:t>
      </w:r>
      <w:r w:rsidR="00652EB8" w:rsidRPr="00A74394">
        <w:rPr>
          <w:rFonts w:asciiTheme="minorHAnsi" w:eastAsia="Times New Roman" w:hAnsiTheme="minorHAnsi" w:cs="Times New Roman"/>
        </w:rPr>
        <w:t>PY1,</w:t>
      </w:r>
      <w:r w:rsidR="00E710C0" w:rsidRPr="00A74394">
        <w:rPr>
          <w:rFonts w:asciiTheme="minorHAnsi" w:eastAsia="Times New Roman" w:hAnsiTheme="minorHAnsi" w:cs="Times New Roman"/>
        </w:rPr>
        <w:t xml:space="preserve"> and </w:t>
      </w:r>
      <w:r w:rsidRPr="00A74394">
        <w:rPr>
          <w:rFonts w:asciiTheme="minorHAnsi" w:eastAsia="Times New Roman" w:hAnsiTheme="minorHAnsi" w:cs="Times New Roman"/>
        </w:rPr>
        <w:t xml:space="preserve">work in this space </w:t>
      </w:r>
      <w:r w:rsidR="00E710C0" w:rsidRPr="00A74394">
        <w:rPr>
          <w:rFonts w:asciiTheme="minorHAnsi" w:eastAsia="Times New Roman" w:hAnsiTheme="minorHAnsi" w:cs="Times New Roman"/>
        </w:rPr>
        <w:t xml:space="preserve">will continue in </w:t>
      </w:r>
      <w:r w:rsidR="00652EB8" w:rsidRPr="00A74394">
        <w:rPr>
          <w:rFonts w:asciiTheme="minorHAnsi" w:eastAsia="Times New Roman" w:hAnsiTheme="minorHAnsi" w:cs="Times New Roman"/>
        </w:rPr>
        <w:t>PY 2</w:t>
      </w:r>
      <w:r w:rsidR="00E710C0" w:rsidRPr="00A74394">
        <w:rPr>
          <w:rFonts w:asciiTheme="minorHAnsi" w:eastAsia="Times New Roman" w:hAnsiTheme="minorHAnsi" w:cs="Times New Roman"/>
        </w:rPr>
        <w:t>.</w:t>
      </w:r>
    </w:p>
    <w:p w14:paraId="2ACAEFE5" w14:textId="77777777" w:rsidR="007A5EEC" w:rsidRPr="00A74394" w:rsidRDefault="007A5EEC" w:rsidP="007A5EEC">
      <w:pPr>
        <w:widowControl w:val="0"/>
        <w:tabs>
          <w:tab w:val="left" w:pos="514"/>
        </w:tabs>
        <w:autoSpaceDE w:val="0"/>
        <w:autoSpaceDN w:val="0"/>
        <w:spacing w:before="7" w:after="0" w:line="240" w:lineRule="auto"/>
        <w:ind w:right="184"/>
        <w:rPr>
          <w:rFonts w:asciiTheme="minorHAnsi" w:eastAsia="Times New Roman" w:hAnsiTheme="minorHAnsi" w:cs="Times New Roman"/>
        </w:rPr>
      </w:pPr>
    </w:p>
    <w:p w14:paraId="4661DE43" w14:textId="77777777" w:rsidR="007A5EEC" w:rsidRPr="00A74394" w:rsidRDefault="007A5EEC" w:rsidP="007A5EEC">
      <w:pPr>
        <w:widowControl w:val="0"/>
        <w:tabs>
          <w:tab w:val="left" w:pos="1000"/>
          <w:tab w:val="left" w:pos="1001"/>
        </w:tabs>
        <w:autoSpaceDE w:val="0"/>
        <w:autoSpaceDN w:val="0"/>
        <w:spacing w:before="7" w:after="0" w:line="240" w:lineRule="auto"/>
        <w:ind w:right="482"/>
        <w:rPr>
          <w:rFonts w:asciiTheme="minorHAnsi" w:eastAsia="Times New Roman" w:hAnsiTheme="minorHAnsi" w:cs="Times New Roman"/>
          <w:b/>
        </w:rPr>
      </w:pPr>
      <w:r w:rsidRPr="00A74394">
        <w:rPr>
          <w:rFonts w:asciiTheme="minorHAnsi" w:eastAsia="Times New Roman" w:hAnsiTheme="minorHAnsi" w:cs="Times New Roman"/>
          <w:b/>
        </w:rPr>
        <w:t>Health Information Technology</w:t>
      </w:r>
    </w:p>
    <w:p w14:paraId="3398816A" w14:textId="64282EA2" w:rsidR="007A5EEC" w:rsidRPr="00A74394" w:rsidRDefault="007A5EEC" w:rsidP="00E710C0">
      <w:pPr>
        <w:widowControl w:val="0"/>
        <w:tabs>
          <w:tab w:val="left" w:pos="1000"/>
          <w:tab w:val="left" w:pos="1001"/>
        </w:tabs>
        <w:autoSpaceDE w:val="0"/>
        <w:autoSpaceDN w:val="0"/>
        <w:spacing w:before="7" w:after="0" w:line="240" w:lineRule="auto"/>
        <w:ind w:right="482"/>
        <w:rPr>
          <w:rFonts w:asciiTheme="minorHAnsi" w:eastAsia="Times New Roman" w:hAnsiTheme="minorHAnsi" w:cs="Times New Roman"/>
        </w:rPr>
      </w:pPr>
      <w:r w:rsidRPr="00A74394">
        <w:rPr>
          <w:rFonts w:asciiTheme="minorHAnsi" w:eastAsia="Times New Roman" w:hAnsiTheme="minorHAnsi" w:cs="Times New Roman"/>
          <w:b/>
        </w:rPr>
        <w:t xml:space="preserve">Enhance </w:t>
      </w:r>
      <w:r w:rsidR="00E710C0" w:rsidRPr="00A74394">
        <w:rPr>
          <w:rFonts w:asciiTheme="minorHAnsi" w:eastAsia="Times New Roman" w:hAnsiTheme="minorHAnsi" w:cs="Times New Roman"/>
          <w:b/>
        </w:rPr>
        <w:t xml:space="preserve">Patient Identification in the </w:t>
      </w:r>
      <w:r w:rsidRPr="00A74394">
        <w:rPr>
          <w:rFonts w:asciiTheme="minorHAnsi" w:eastAsia="Times New Roman" w:hAnsiTheme="minorHAnsi" w:cs="Times New Roman"/>
          <w:b/>
        </w:rPr>
        <w:t xml:space="preserve">Electronic Health Record </w:t>
      </w:r>
      <w:r w:rsidRPr="00A74394">
        <w:rPr>
          <w:rFonts w:asciiTheme="minorHAnsi" w:eastAsia="Times New Roman" w:hAnsiTheme="minorHAnsi" w:cs="Times New Roman"/>
        </w:rPr>
        <w:t>(</w:t>
      </w:r>
      <w:r w:rsidRPr="00A74394">
        <w:rPr>
          <w:rFonts w:asciiTheme="minorHAnsi" w:eastAsia="Times New Roman" w:hAnsiTheme="minorHAnsi" w:cs="Times New Roman"/>
          <w:b/>
        </w:rPr>
        <w:t>Goals</w:t>
      </w:r>
      <w:r w:rsidR="00CE0D59" w:rsidRPr="00A74394">
        <w:rPr>
          <w:rFonts w:asciiTheme="minorHAnsi" w:eastAsia="Times New Roman" w:hAnsiTheme="minorHAnsi" w:cs="Times New Roman"/>
          <w:b/>
        </w:rPr>
        <w:t xml:space="preserve"> </w:t>
      </w:r>
      <w:r w:rsidRPr="00A74394">
        <w:rPr>
          <w:rFonts w:asciiTheme="minorHAnsi" w:eastAsia="Times New Roman" w:hAnsiTheme="minorHAnsi" w:cs="Times New Roman"/>
          <w:b/>
        </w:rPr>
        <w:t>1</w:t>
      </w:r>
      <w:r w:rsidR="00A72ACF" w:rsidRPr="00A74394">
        <w:rPr>
          <w:rFonts w:asciiTheme="minorHAnsi" w:eastAsia="Times New Roman" w:hAnsiTheme="minorHAnsi" w:cs="Times New Roman"/>
          <w:b/>
        </w:rPr>
        <w:t>-2</w:t>
      </w:r>
      <w:r w:rsidR="00A72ACF">
        <w:rPr>
          <w:rFonts w:asciiTheme="minorHAnsi" w:eastAsia="Times New Roman" w:hAnsiTheme="minorHAnsi" w:cs="Times New Roman"/>
          <w:b/>
        </w:rPr>
        <w:t xml:space="preserve">) </w:t>
      </w:r>
      <w:r w:rsidR="00E710C0" w:rsidRPr="00A74394">
        <w:rPr>
          <w:rFonts w:asciiTheme="minorHAnsi" w:eastAsia="Times New Roman" w:hAnsiTheme="minorHAnsi" w:cs="Times New Roman"/>
        </w:rPr>
        <w:br/>
        <w:t>In 201</w:t>
      </w:r>
      <w:r w:rsidR="0077228D">
        <w:rPr>
          <w:rFonts w:asciiTheme="minorHAnsi" w:eastAsia="Times New Roman" w:hAnsiTheme="minorHAnsi" w:cs="Times New Roman"/>
        </w:rPr>
        <w:t>8</w:t>
      </w:r>
      <w:r w:rsidR="00E710C0" w:rsidRPr="00A74394">
        <w:rPr>
          <w:rFonts w:asciiTheme="minorHAnsi" w:eastAsia="Times New Roman" w:hAnsiTheme="minorHAnsi" w:cs="Times New Roman"/>
        </w:rPr>
        <w:t xml:space="preserve">, BIDCO enhanced EHR functionality </w:t>
      </w:r>
      <w:r w:rsidR="00A72ACF" w:rsidRPr="00A74394">
        <w:rPr>
          <w:rFonts w:asciiTheme="minorHAnsi" w:eastAsia="Times New Roman" w:hAnsiTheme="minorHAnsi" w:cs="Times New Roman"/>
        </w:rPr>
        <w:t>by implementing</w:t>
      </w:r>
      <w:r w:rsidR="00E710C0" w:rsidRPr="00A74394">
        <w:rPr>
          <w:rFonts w:asciiTheme="minorHAnsi" w:eastAsia="Times New Roman" w:hAnsiTheme="minorHAnsi" w:cs="Times New Roman"/>
        </w:rPr>
        <w:t xml:space="preserve"> a flagging system for </w:t>
      </w:r>
      <w:r w:rsidR="001F7CDA" w:rsidRPr="00406C1B">
        <w:rPr>
          <w:rFonts w:asciiTheme="minorHAnsi" w:eastAsia="Times New Roman" w:hAnsiTheme="minorHAnsi" w:cs="Times New Roman"/>
          <w:i/>
        </w:rPr>
        <w:t>Tufts Health Together with BIDCO</w:t>
      </w:r>
      <w:r w:rsidR="001F7CDA">
        <w:rPr>
          <w:rFonts w:asciiTheme="minorHAnsi" w:eastAsia="Times New Roman" w:hAnsiTheme="minorHAnsi" w:cs="Times New Roman"/>
        </w:rPr>
        <w:t xml:space="preserve"> </w:t>
      </w:r>
      <w:r w:rsidR="00E710C0" w:rsidRPr="00A74394">
        <w:rPr>
          <w:rFonts w:asciiTheme="minorHAnsi" w:eastAsia="Times New Roman" w:hAnsiTheme="minorHAnsi" w:cs="Times New Roman"/>
        </w:rPr>
        <w:t xml:space="preserve">MassHealth members.  This flagging system allows the entire care team including clinicians, care managers, community health workers, social workers, or population health specialists to capture </w:t>
      </w:r>
      <w:r w:rsidRPr="00A74394">
        <w:rPr>
          <w:rFonts w:asciiTheme="minorHAnsi" w:eastAsia="Times New Roman" w:hAnsiTheme="minorHAnsi" w:cs="Times New Roman"/>
        </w:rPr>
        <w:t xml:space="preserve">appropriate data elements </w:t>
      </w:r>
      <w:r w:rsidR="00E710C0" w:rsidRPr="00A74394">
        <w:rPr>
          <w:rFonts w:asciiTheme="minorHAnsi" w:eastAsia="Times New Roman" w:hAnsiTheme="minorHAnsi" w:cs="Times New Roman"/>
        </w:rPr>
        <w:t>critical for the MassHealth quality measure slate as well optimizing members’ care through appropriate ide</w:t>
      </w:r>
      <w:r w:rsidR="00652EB8" w:rsidRPr="00A74394">
        <w:rPr>
          <w:rFonts w:asciiTheme="minorHAnsi" w:eastAsia="Times New Roman" w:hAnsiTheme="minorHAnsi" w:cs="Times New Roman"/>
        </w:rPr>
        <w:t>ntification and linkage to MassH</w:t>
      </w:r>
      <w:r w:rsidR="00E710C0" w:rsidRPr="00A74394">
        <w:rPr>
          <w:rFonts w:asciiTheme="minorHAnsi" w:eastAsia="Times New Roman" w:hAnsiTheme="minorHAnsi" w:cs="Times New Roman"/>
        </w:rPr>
        <w:t xml:space="preserve">ealth ACO-related resources. </w:t>
      </w:r>
    </w:p>
    <w:p w14:paraId="7CA98783" w14:textId="77777777" w:rsidR="007A5EEC" w:rsidRPr="00A74394" w:rsidRDefault="007A5EEC" w:rsidP="007A5EEC">
      <w:pPr>
        <w:widowControl w:val="0"/>
        <w:tabs>
          <w:tab w:val="left" w:pos="502"/>
        </w:tabs>
        <w:autoSpaceDE w:val="0"/>
        <w:autoSpaceDN w:val="0"/>
        <w:spacing w:before="7" w:after="0" w:line="240" w:lineRule="auto"/>
        <w:ind w:right="192"/>
        <w:rPr>
          <w:rFonts w:asciiTheme="minorHAnsi" w:eastAsia="Times New Roman" w:hAnsiTheme="minorHAnsi" w:cs="Times New Roman"/>
        </w:rPr>
      </w:pPr>
    </w:p>
    <w:p w14:paraId="0EC09BC9" w14:textId="2DC8B114" w:rsidR="007A5EEC" w:rsidRPr="00A74394" w:rsidRDefault="007A5EEC" w:rsidP="007A5EEC">
      <w:pPr>
        <w:widowControl w:val="0"/>
        <w:tabs>
          <w:tab w:val="left" w:pos="490"/>
        </w:tabs>
        <w:autoSpaceDE w:val="0"/>
        <w:autoSpaceDN w:val="0"/>
        <w:spacing w:before="7" w:after="0" w:line="240" w:lineRule="auto"/>
        <w:ind w:right="129"/>
        <w:rPr>
          <w:rFonts w:asciiTheme="minorHAnsi" w:eastAsia="Times New Roman" w:hAnsiTheme="minorHAnsi" w:cs="Times New Roman"/>
        </w:rPr>
      </w:pPr>
      <w:r w:rsidRPr="00A74394">
        <w:rPr>
          <w:rFonts w:asciiTheme="minorHAnsi" w:eastAsia="Times New Roman" w:hAnsiTheme="minorHAnsi" w:cs="Times New Roman"/>
          <w:b/>
        </w:rPr>
        <w:t xml:space="preserve">Medical Assistant Training (Goal 4): </w:t>
      </w:r>
      <w:r w:rsidRPr="00A74394">
        <w:rPr>
          <w:rFonts w:asciiTheme="minorHAnsi" w:eastAsia="Times New Roman" w:hAnsiTheme="minorHAnsi" w:cs="Times New Roman"/>
        </w:rPr>
        <w:t xml:space="preserve">BIDCO providers </w:t>
      </w:r>
      <w:r w:rsidR="00B31F48" w:rsidRPr="00A74394">
        <w:rPr>
          <w:rFonts w:asciiTheme="minorHAnsi" w:eastAsia="Times New Roman" w:hAnsiTheme="minorHAnsi" w:cs="Times New Roman"/>
        </w:rPr>
        <w:t>developed a</w:t>
      </w:r>
      <w:r w:rsidRPr="00A74394">
        <w:rPr>
          <w:rFonts w:asciiTheme="minorHAnsi" w:eastAsia="Times New Roman" w:hAnsiTheme="minorHAnsi" w:cs="Times New Roman"/>
        </w:rPr>
        <w:t xml:space="preserve"> training program with the assistance of a consultant group to integrate the discipline of health coaching into the medical assistant skillset</w:t>
      </w:r>
      <w:r w:rsidR="00B31F48" w:rsidRPr="00A74394">
        <w:rPr>
          <w:rFonts w:asciiTheme="minorHAnsi" w:eastAsia="Times New Roman" w:hAnsiTheme="minorHAnsi" w:cs="Times New Roman"/>
        </w:rPr>
        <w:t>.  Development and several training sessions were held in 2018 and were so well received that BIDCO plans to expand this opportunity to the entire care team across the BIDCO network</w:t>
      </w:r>
      <w:r w:rsidR="0077228D">
        <w:rPr>
          <w:rFonts w:asciiTheme="minorHAnsi" w:eastAsia="Times New Roman" w:hAnsiTheme="minorHAnsi" w:cs="Times New Roman"/>
        </w:rPr>
        <w:t>.</w:t>
      </w:r>
      <w:r w:rsidR="00B31F48" w:rsidRPr="00A74394">
        <w:rPr>
          <w:rFonts w:asciiTheme="minorHAnsi" w:eastAsia="Times New Roman" w:hAnsiTheme="minorHAnsi" w:cs="Times New Roman"/>
        </w:rPr>
        <w:t xml:space="preserve"> </w:t>
      </w:r>
    </w:p>
    <w:p w14:paraId="666C6D8E" w14:textId="0F729B6E" w:rsidR="00664E7F" w:rsidRDefault="00C14C85" w:rsidP="00664E7F">
      <w:pPr>
        <w:pStyle w:val="Heading2"/>
      </w:pPr>
      <w:r w:rsidRPr="0079027C">
        <w:t>Success and Challenges of PY</w:t>
      </w:r>
      <w:r w:rsidR="008C1D78" w:rsidRPr="0079027C">
        <w:t>1</w:t>
      </w:r>
    </w:p>
    <w:p w14:paraId="2995158A" w14:textId="65FBBEAD" w:rsidR="00B31F48" w:rsidRPr="00DE6C95" w:rsidRDefault="00DE6C95" w:rsidP="00DE6C95">
      <w:pPr>
        <w:rPr>
          <w:rFonts w:asciiTheme="minorHAnsi" w:hAnsiTheme="minorHAnsi"/>
          <w:b/>
          <w:sz w:val="24"/>
          <w:szCs w:val="24"/>
          <w:u w:val="single"/>
        </w:rPr>
      </w:pPr>
      <w:r>
        <w:rPr>
          <w:rFonts w:asciiTheme="minorHAnsi" w:hAnsiTheme="minorHAnsi"/>
          <w:sz w:val="24"/>
          <w:szCs w:val="24"/>
          <w:u w:val="single"/>
        </w:rPr>
        <w:br/>
      </w:r>
      <w:r w:rsidR="007A5EEC" w:rsidRPr="00DE6C95">
        <w:rPr>
          <w:rFonts w:asciiTheme="minorHAnsi" w:hAnsiTheme="minorHAnsi"/>
          <w:sz w:val="24"/>
          <w:szCs w:val="24"/>
          <w:u w:val="single"/>
        </w:rPr>
        <w:t>Successes</w:t>
      </w:r>
      <w:r>
        <w:rPr>
          <w:rFonts w:asciiTheme="minorHAnsi" w:hAnsiTheme="minorHAnsi"/>
          <w:b/>
          <w:sz w:val="24"/>
          <w:szCs w:val="24"/>
          <w:u w:val="single"/>
        </w:rPr>
        <w:br/>
      </w:r>
      <w:r w:rsidR="00B31F48" w:rsidRPr="00A74394">
        <w:rPr>
          <w:rFonts w:asciiTheme="minorHAnsi" w:hAnsiTheme="minorHAnsi" w:cs="Times New Roman"/>
        </w:rPr>
        <w:t xml:space="preserve">As noted above, </w:t>
      </w:r>
      <w:r w:rsidR="00902908" w:rsidRPr="00664E7F">
        <w:rPr>
          <w:rFonts w:asciiTheme="minorHAnsi" w:hAnsiTheme="minorHAnsi" w:cs="Times New Roman"/>
          <w:i/>
        </w:rPr>
        <w:t>Tufts Health Together with BIDCO</w:t>
      </w:r>
      <w:r w:rsidR="00B31F48" w:rsidRPr="00A74394">
        <w:rPr>
          <w:rFonts w:asciiTheme="minorHAnsi" w:hAnsiTheme="minorHAnsi" w:cs="Times New Roman"/>
        </w:rPr>
        <w:t xml:space="preserve"> achieved a number of important milestones in 2018.  </w:t>
      </w:r>
    </w:p>
    <w:p w14:paraId="576814AA" w14:textId="6EFE5480" w:rsidR="00CE0D59" w:rsidRPr="00A74394" w:rsidRDefault="00CE0D59" w:rsidP="00B31F48">
      <w:pPr>
        <w:spacing w:line="240" w:lineRule="auto"/>
        <w:rPr>
          <w:rFonts w:asciiTheme="minorHAnsi" w:hAnsiTheme="minorHAnsi" w:cs="Times New Roman"/>
        </w:rPr>
      </w:pPr>
      <w:r w:rsidRPr="00A74394">
        <w:rPr>
          <w:rFonts w:asciiTheme="minorHAnsi" w:hAnsiTheme="minorHAnsi" w:cs="Times New Roman"/>
        </w:rPr>
        <w:t>Overall PY1 was very successful with implementation of all the state deliverables, hiring most FTE</w:t>
      </w:r>
      <w:r w:rsidR="0077228D">
        <w:rPr>
          <w:rFonts w:asciiTheme="minorHAnsi" w:hAnsiTheme="minorHAnsi" w:cs="Times New Roman"/>
        </w:rPr>
        <w:t>s</w:t>
      </w:r>
      <w:r w:rsidRPr="00A74394">
        <w:rPr>
          <w:rFonts w:asciiTheme="minorHAnsi" w:hAnsiTheme="minorHAnsi" w:cs="Times New Roman"/>
        </w:rPr>
        <w:t>, building and implementing program pilots, training the staff in population health management</w:t>
      </w:r>
      <w:r w:rsidR="0077228D">
        <w:rPr>
          <w:rFonts w:asciiTheme="minorHAnsi" w:hAnsiTheme="minorHAnsi" w:cs="Times New Roman"/>
        </w:rPr>
        <w:t>,</w:t>
      </w:r>
      <w:r w:rsidRPr="00A74394">
        <w:rPr>
          <w:rFonts w:asciiTheme="minorHAnsi" w:hAnsiTheme="minorHAnsi" w:cs="Times New Roman"/>
        </w:rPr>
        <w:t xml:space="preserve"> and most importantly</w:t>
      </w:r>
      <w:r w:rsidR="0077228D">
        <w:rPr>
          <w:rFonts w:asciiTheme="minorHAnsi" w:hAnsiTheme="minorHAnsi" w:cs="Times New Roman"/>
        </w:rPr>
        <w:t>,</w:t>
      </w:r>
      <w:r w:rsidRPr="00A74394">
        <w:rPr>
          <w:rFonts w:asciiTheme="minorHAnsi" w:hAnsiTheme="minorHAnsi" w:cs="Times New Roman"/>
        </w:rPr>
        <w:t xml:space="preserve"> building the technology and data analytics for future program success and performance management.</w:t>
      </w:r>
    </w:p>
    <w:p w14:paraId="4EEDAD2D" w14:textId="4B340957" w:rsidR="00652EB8" w:rsidRPr="00A74394" w:rsidRDefault="00652EB8" w:rsidP="00B31F48">
      <w:pPr>
        <w:spacing w:line="240" w:lineRule="auto"/>
        <w:rPr>
          <w:rFonts w:asciiTheme="minorHAnsi" w:hAnsiTheme="minorHAnsi" w:cs="Times New Roman"/>
        </w:rPr>
      </w:pPr>
      <w:r w:rsidRPr="00A74394">
        <w:rPr>
          <w:rFonts w:asciiTheme="minorHAnsi" w:hAnsiTheme="minorHAnsi" w:cs="Times New Roman"/>
        </w:rPr>
        <w:t xml:space="preserve">1. Arcadia Population health tool: </w:t>
      </w:r>
      <w:r w:rsidR="00251F46" w:rsidRPr="00A74394">
        <w:rPr>
          <w:rFonts w:asciiTheme="minorHAnsi" w:hAnsiTheme="minorHAnsi" w:cs="Times New Roman"/>
        </w:rPr>
        <w:t xml:space="preserve">In keeping with </w:t>
      </w:r>
      <w:r w:rsidRPr="00A74394">
        <w:rPr>
          <w:rFonts w:asciiTheme="minorHAnsi" w:hAnsiTheme="minorHAnsi" w:cs="Times New Roman"/>
        </w:rPr>
        <w:t xml:space="preserve">BIDCO </w:t>
      </w:r>
      <w:r w:rsidR="00854F20" w:rsidRPr="00A74394">
        <w:rPr>
          <w:rFonts w:asciiTheme="minorHAnsi" w:hAnsiTheme="minorHAnsi" w:cs="Times New Roman"/>
        </w:rPr>
        <w:t xml:space="preserve">population health philosophy </w:t>
      </w:r>
      <w:r w:rsidR="00251F46" w:rsidRPr="00A74394">
        <w:rPr>
          <w:rFonts w:asciiTheme="minorHAnsi" w:hAnsiTheme="minorHAnsi" w:cs="Times New Roman"/>
        </w:rPr>
        <w:t>of data</w:t>
      </w:r>
      <w:r w:rsidR="0077228D">
        <w:rPr>
          <w:rFonts w:asciiTheme="minorHAnsi" w:hAnsiTheme="minorHAnsi" w:cs="Times New Roman"/>
        </w:rPr>
        <w:t>-</w:t>
      </w:r>
      <w:r w:rsidR="00251F46" w:rsidRPr="00A74394">
        <w:rPr>
          <w:rFonts w:asciiTheme="minorHAnsi" w:hAnsiTheme="minorHAnsi" w:cs="Times New Roman"/>
        </w:rPr>
        <w:t xml:space="preserve">directed </w:t>
      </w:r>
      <w:r w:rsidR="00854F20" w:rsidRPr="00A74394">
        <w:rPr>
          <w:rFonts w:asciiTheme="minorHAnsi" w:hAnsiTheme="minorHAnsi" w:cs="Times New Roman"/>
        </w:rPr>
        <w:t>strategy and care, BIDCO began to build and enhance its population health platform tool for the MassHealth members. This included integration, validation and normalization of the claims, clinical, ADT and scheduling data</w:t>
      </w:r>
      <w:r w:rsidR="008C475A">
        <w:rPr>
          <w:rFonts w:asciiTheme="minorHAnsi" w:hAnsiTheme="minorHAnsi" w:cs="Times New Roman"/>
        </w:rPr>
        <w:t>,</w:t>
      </w:r>
      <w:r w:rsidR="00854F20" w:rsidRPr="00A74394">
        <w:rPr>
          <w:rFonts w:asciiTheme="minorHAnsi" w:hAnsiTheme="minorHAnsi" w:cs="Times New Roman"/>
        </w:rPr>
        <w:t xml:space="preserve"> which involved building several interfaces with the tool. We were also able to </w:t>
      </w:r>
      <w:r w:rsidR="00902908" w:rsidRPr="00A74394">
        <w:rPr>
          <w:rFonts w:asciiTheme="minorHAnsi" w:hAnsiTheme="minorHAnsi" w:cs="Times New Roman"/>
        </w:rPr>
        <w:t>build reports</w:t>
      </w:r>
      <w:r w:rsidR="00854F20" w:rsidRPr="00A74394">
        <w:rPr>
          <w:rFonts w:asciiTheme="minorHAnsi" w:hAnsiTheme="minorHAnsi" w:cs="Times New Roman"/>
        </w:rPr>
        <w:t xml:space="preserve"> such as the high utilization emergency room report as well as the MassHealth quality metric gap report which will allow the ACO population health staff to address care gaps at the point of care for the </w:t>
      </w:r>
      <w:r w:rsidR="00854F20" w:rsidRPr="00A74394">
        <w:rPr>
          <w:rFonts w:asciiTheme="minorHAnsi" w:hAnsiTheme="minorHAnsi" w:cs="Times New Roman"/>
        </w:rPr>
        <w:lastRenderedPageBreak/>
        <w:t>MassHealth members. In addition</w:t>
      </w:r>
      <w:r w:rsidR="0077228D">
        <w:rPr>
          <w:rFonts w:asciiTheme="minorHAnsi" w:hAnsiTheme="minorHAnsi" w:cs="Times New Roman"/>
        </w:rPr>
        <w:t>,</w:t>
      </w:r>
      <w:r w:rsidR="00854F20" w:rsidRPr="00A74394">
        <w:rPr>
          <w:rFonts w:asciiTheme="minorHAnsi" w:hAnsiTheme="minorHAnsi" w:cs="Times New Roman"/>
        </w:rPr>
        <w:t xml:space="preserve"> a new risk stratification tool was built with an ‘</w:t>
      </w:r>
      <w:proofErr w:type="spellStart"/>
      <w:r w:rsidR="00854F20" w:rsidRPr="00A74394">
        <w:rPr>
          <w:rFonts w:asciiTheme="minorHAnsi" w:hAnsiTheme="minorHAnsi" w:cs="Times New Roman"/>
        </w:rPr>
        <w:t>Impactabl</w:t>
      </w:r>
      <w:r w:rsidR="007C63EC">
        <w:rPr>
          <w:rFonts w:asciiTheme="minorHAnsi" w:hAnsiTheme="minorHAnsi" w:cs="Times New Roman"/>
        </w:rPr>
        <w:t>ility</w:t>
      </w:r>
      <w:proofErr w:type="spellEnd"/>
      <w:r w:rsidR="00854F20" w:rsidRPr="00A74394">
        <w:rPr>
          <w:rFonts w:asciiTheme="minorHAnsi" w:hAnsiTheme="minorHAnsi" w:cs="Times New Roman"/>
        </w:rPr>
        <w:t xml:space="preserve"> score’ for complex care management to enroll the right members in their programs. Other reports built include the  ‘upcoming visit report’ which allows for pre-visit planning as well as the post- discharge report allowing care managers to assess for member follow up with the primary care </w:t>
      </w:r>
      <w:r w:rsidR="009C676C" w:rsidRPr="00A74394">
        <w:rPr>
          <w:rFonts w:asciiTheme="minorHAnsi" w:hAnsiTheme="minorHAnsi" w:cs="Times New Roman"/>
        </w:rPr>
        <w:t>physician. All of these tools will be implemented in PY 2 and should be key in reducing avoidable utilization, closing prevention and disease specific quality gaps in MassHealth members(Goal 1 and 2 ) to improve their health outcomes and achieve our goals. This will also allow delegation from the health plan to the ACO for the analytics related to the population health management</w:t>
      </w:r>
      <w:r w:rsidR="00EA2814">
        <w:rPr>
          <w:rFonts w:asciiTheme="minorHAnsi" w:hAnsiTheme="minorHAnsi" w:cs="Times New Roman"/>
        </w:rPr>
        <w:t>.</w:t>
      </w:r>
    </w:p>
    <w:p w14:paraId="0F197503" w14:textId="2BDC5C24" w:rsidR="009C676C" w:rsidRPr="00A74394" w:rsidRDefault="009C676C" w:rsidP="00B31F48">
      <w:pPr>
        <w:spacing w:line="240" w:lineRule="auto"/>
        <w:rPr>
          <w:rFonts w:asciiTheme="minorHAnsi" w:hAnsiTheme="minorHAnsi" w:cs="Times New Roman"/>
        </w:rPr>
      </w:pPr>
      <w:r w:rsidRPr="00A74394">
        <w:rPr>
          <w:rFonts w:asciiTheme="minorHAnsi" w:hAnsiTheme="minorHAnsi" w:cs="Times New Roman"/>
        </w:rPr>
        <w:t>2. Second success in PY</w:t>
      </w:r>
      <w:r w:rsidR="0077228D">
        <w:rPr>
          <w:rFonts w:asciiTheme="minorHAnsi" w:hAnsiTheme="minorHAnsi" w:cs="Times New Roman"/>
        </w:rPr>
        <w:t>1</w:t>
      </w:r>
      <w:r w:rsidRPr="00A74394">
        <w:rPr>
          <w:rFonts w:asciiTheme="minorHAnsi" w:hAnsiTheme="minorHAnsi" w:cs="Times New Roman"/>
        </w:rPr>
        <w:t xml:space="preserve"> was hiring, training and onboarding the DSRIP funded ACO staff in order to begin the population health managemen</w:t>
      </w:r>
      <w:r w:rsidR="00872FF8" w:rsidRPr="00A74394">
        <w:rPr>
          <w:rFonts w:asciiTheme="minorHAnsi" w:hAnsiTheme="minorHAnsi" w:cs="Times New Roman"/>
        </w:rPr>
        <w:t>t for the MassHealth members. This included care management and care coordination</w:t>
      </w:r>
      <w:r w:rsidRPr="00A74394">
        <w:rPr>
          <w:rFonts w:asciiTheme="minorHAnsi" w:hAnsiTheme="minorHAnsi" w:cs="Times New Roman"/>
        </w:rPr>
        <w:t xml:space="preserve">. </w:t>
      </w:r>
      <w:r w:rsidR="00872FF8" w:rsidRPr="00A74394">
        <w:rPr>
          <w:rFonts w:asciiTheme="minorHAnsi" w:hAnsiTheme="minorHAnsi" w:cs="Times New Roman"/>
        </w:rPr>
        <w:t xml:space="preserve">It also included staffing the new clinical program pilots. In Q 4 of PYI BIDCO began to see some of the program performance metrics. </w:t>
      </w:r>
      <w:r w:rsidRPr="00A74394">
        <w:rPr>
          <w:rFonts w:asciiTheme="minorHAnsi" w:hAnsiTheme="minorHAnsi" w:cs="Times New Roman"/>
        </w:rPr>
        <w:t xml:space="preserve">One of the major successes was the embedded adult </w:t>
      </w:r>
      <w:r w:rsidR="00872FF8" w:rsidRPr="00A74394">
        <w:rPr>
          <w:rFonts w:asciiTheme="minorHAnsi" w:hAnsiTheme="minorHAnsi" w:cs="Times New Roman"/>
        </w:rPr>
        <w:t xml:space="preserve">inpatient </w:t>
      </w:r>
      <w:r w:rsidRPr="00A74394">
        <w:rPr>
          <w:rFonts w:asciiTheme="minorHAnsi" w:hAnsiTheme="minorHAnsi" w:cs="Times New Roman"/>
        </w:rPr>
        <w:t>transitions of care team</w:t>
      </w:r>
      <w:r w:rsidR="008C475A">
        <w:rPr>
          <w:rFonts w:asciiTheme="minorHAnsi" w:hAnsiTheme="minorHAnsi" w:cs="Times New Roman"/>
        </w:rPr>
        <w:t>,</w:t>
      </w:r>
      <w:r w:rsidRPr="00A74394">
        <w:rPr>
          <w:rFonts w:asciiTheme="minorHAnsi" w:hAnsiTheme="minorHAnsi" w:cs="Times New Roman"/>
        </w:rPr>
        <w:t xml:space="preserve"> which successfully managed post- discharge patients for 30 days with significant improvement of </w:t>
      </w:r>
      <w:r w:rsidR="00872FF8" w:rsidRPr="00A74394">
        <w:rPr>
          <w:rFonts w:asciiTheme="minorHAnsi" w:hAnsiTheme="minorHAnsi" w:cs="Times New Roman"/>
        </w:rPr>
        <w:t>member engagement (84 % between</w:t>
      </w:r>
      <w:r w:rsidR="00902908">
        <w:rPr>
          <w:rFonts w:asciiTheme="minorHAnsi" w:hAnsiTheme="minorHAnsi" w:cs="Times New Roman"/>
        </w:rPr>
        <w:t xml:space="preserve"> </w:t>
      </w:r>
      <w:r w:rsidR="00872FF8" w:rsidRPr="00A74394">
        <w:rPr>
          <w:rFonts w:asciiTheme="minorHAnsi" w:hAnsiTheme="minorHAnsi" w:cs="Times New Roman"/>
        </w:rPr>
        <w:t>3/18-12/31/18) and follow up with PCP for appointment post discharge- 80.8 % at 30 days for the BIDCO transition of care team</w:t>
      </w:r>
      <w:r w:rsidR="008C475A">
        <w:rPr>
          <w:rFonts w:asciiTheme="minorHAnsi" w:hAnsiTheme="minorHAnsi" w:cs="Times New Roman"/>
        </w:rPr>
        <w:t>,</w:t>
      </w:r>
      <w:r w:rsidR="00872FF8" w:rsidRPr="00A74394">
        <w:rPr>
          <w:rFonts w:asciiTheme="minorHAnsi" w:hAnsiTheme="minorHAnsi" w:cs="Times New Roman"/>
        </w:rPr>
        <w:t xml:space="preserve"> versus 62 % for the members who were not managed by the BIDCO team in the non- BIDCO hospitals.</w:t>
      </w:r>
    </w:p>
    <w:p w14:paraId="5EAAA983" w14:textId="77777777" w:rsidR="00B31F48" w:rsidRPr="00A74394" w:rsidRDefault="00B31F48" w:rsidP="00C14C85">
      <w:pPr>
        <w:rPr>
          <w:rFonts w:asciiTheme="minorHAnsi" w:hAnsiTheme="minorHAnsi" w:cs="Times New Roman"/>
          <w:u w:val="single"/>
        </w:rPr>
      </w:pPr>
      <w:r w:rsidRPr="00A74394">
        <w:rPr>
          <w:rFonts w:asciiTheme="minorHAnsi" w:hAnsiTheme="minorHAnsi" w:cs="Times New Roman"/>
          <w:u w:val="single"/>
        </w:rPr>
        <w:t>Challenges</w:t>
      </w:r>
    </w:p>
    <w:p w14:paraId="5435F3FC" w14:textId="3FC7A0E1" w:rsidR="00872FF8" w:rsidRPr="00A74394" w:rsidRDefault="009A1AAE" w:rsidP="00D547A8">
      <w:pPr>
        <w:spacing w:line="240" w:lineRule="auto"/>
        <w:rPr>
          <w:rFonts w:asciiTheme="minorHAnsi" w:hAnsiTheme="minorHAnsi" w:cs="Times New Roman"/>
        </w:rPr>
      </w:pPr>
      <w:r w:rsidRPr="00A74394">
        <w:rPr>
          <w:rFonts w:asciiTheme="minorHAnsi" w:hAnsiTheme="minorHAnsi" w:cs="Times New Roman"/>
        </w:rPr>
        <w:t xml:space="preserve">PY1 </w:t>
      </w:r>
      <w:r w:rsidR="00902908">
        <w:rPr>
          <w:rFonts w:asciiTheme="minorHAnsi" w:hAnsiTheme="minorHAnsi" w:cs="Times New Roman"/>
        </w:rPr>
        <w:t>c</w:t>
      </w:r>
      <w:r w:rsidR="00872FF8" w:rsidRPr="00A74394">
        <w:rPr>
          <w:rFonts w:asciiTheme="minorHAnsi" w:hAnsiTheme="minorHAnsi" w:cs="Times New Roman"/>
        </w:rPr>
        <w:t xml:space="preserve">hallenges were largely operational </w:t>
      </w:r>
      <w:r w:rsidR="00CE0D59" w:rsidRPr="00A74394">
        <w:rPr>
          <w:rFonts w:asciiTheme="minorHAnsi" w:hAnsiTheme="minorHAnsi" w:cs="Times New Roman"/>
        </w:rPr>
        <w:t xml:space="preserve">with most of these </w:t>
      </w:r>
      <w:r w:rsidRPr="00A74394">
        <w:rPr>
          <w:rFonts w:asciiTheme="minorHAnsi" w:hAnsiTheme="minorHAnsi" w:cs="Times New Roman"/>
        </w:rPr>
        <w:t xml:space="preserve">related to </w:t>
      </w:r>
      <w:r w:rsidR="00CE0D59" w:rsidRPr="00A74394">
        <w:rPr>
          <w:rFonts w:asciiTheme="minorHAnsi" w:hAnsiTheme="minorHAnsi" w:cs="Times New Roman"/>
        </w:rPr>
        <w:t xml:space="preserve">lack of updated </w:t>
      </w:r>
      <w:r w:rsidRPr="00A74394">
        <w:rPr>
          <w:rFonts w:asciiTheme="minorHAnsi" w:hAnsiTheme="minorHAnsi" w:cs="Times New Roman"/>
        </w:rPr>
        <w:t xml:space="preserve">member </w:t>
      </w:r>
      <w:r w:rsidR="00CE0D59" w:rsidRPr="00A74394">
        <w:rPr>
          <w:rFonts w:asciiTheme="minorHAnsi" w:hAnsiTheme="minorHAnsi" w:cs="Times New Roman"/>
        </w:rPr>
        <w:t xml:space="preserve">demographics, </w:t>
      </w:r>
      <w:r w:rsidR="008C475A">
        <w:rPr>
          <w:rFonts w:asciiTheme="minorHAnsi" w:hAnsiTheme="minorHAnsi" w:cs="Times New Roman"/>
        </w:rPr>
        <w:t xml:space="preserve">a </w:t>
      </w:r>
      <w:r w:rsidR="00CE0D59" w:rsidRPr="00A74394">
        <w:rPr>
          <w:rFonts w:asciiTheme="minorHAnsi" w:hAnsiTheme="minorHAnsi" w:cs="Times New Roman"/>
        </w:rPr>
        <w:t xml:space="preserve">poor </w:t>
      </w:r>
      <w:r w:rsidRPr="00A74394">
        <w:rPr>
          <w:rFonts w:asciiTheme="minorHAnsi" w:hAnsiTheme="minorHAnsi" w:cs="Times New Roman"/>
        </w:rPr>
        <w:t xml:space="preserve">attribution </w:t>
      </w:r>
      <w:r w:rsidR="00CE0D59" w:rsidRPr="00A74394">
        <w:rPr>
          <w:rFonts w:asciiTheme="minorHAnsi" w:hAnsiTheme="minorHAnsi" w:cs="Times New Roman"/>
        </w:rPr>
        <w:t>algorithm</w:t>
      </w:r>
      <w:r w:rsidR="008C475A">
        <w:rPr>
          <w:rFonts w:asciiTheme="minorHAnsi" w:hAnsiTheme="minorHAnsi" w:cs="Times New Roman"/>
        </w:rPr>
        <w:t>, and</w:t>
      </w:r>
      <w:r w:rsidR="00CE0D59" w:rsidRPr="00A74394">
        <w:rPr>
          <w:rFonts w:asciiTheme="minorHAnsi" w:hAnsiTheme="minorHAnsi" w:cs="Times New Roman"/>
        </w:rPr>
        <w:t xml:space="preserve"> difficulty with hiring causing vacancies for multiple positions. There were also technology investment delays along with delays in implementation of vendor programs in order to ensure compliance with state regulations.</w:t>
      </w:r>
    </w:p>
    <w:p w14:paraId="34DDEBE1" w14:textId="3642D10A" w:rsidR="00872FF8" w:rsidRPr="00A74394" w:rsidRDefault="00872FF8" w:rsidP="00D547A8">
      <w:pPr>
        <w:spacing w:line="240" w:lineRule="auto"/>
        <w:rPr>
          <w:rFonts w:asciiTheme="minorHAnsi" w:hAnsiTheme="minorHAnsi" w:cs="Times New Roman"/>
        </w:rPr>
      </w:pPr>
      <w:r w:rsidRPr="00A74394">
        <w:rPr>
          <w:rFonts w:asciiTheme="minorHAnsi" w:hAnsiTheme="minorHAnsi" w:cs="Times New Roman"/>
        </w:rPr>
        <w:t xml:space="preserve">The first </w:t>
      </w:r>
      <w:r w:rsidR="00CE0D59" w:rsidRPr="00A74394">
        <w:rPr>
          <w:rFonts w:asciiTheme="minorHAnsi" w:hAnsiTheme="minorHAnsi" w:cs="Times New Roman"/>
        </w:rPr>
        <w:t xml:space="preserve">major </w:t>
      </w:r>
      <w:r w:rsidRPr="00A74394">
        <w:rPr>
          <w:rFonts w:asciiTheme="minorHAnsi" w:hAnsiTheme="minorHAnsi" w:cs="Times New Roman"/>
        </w:rPr>
        <w:t>challenge was related to member attribution. With significant influx of new members and lack of updat</w:t>
      </w:r>
      <w:r w:rsidR="009A1AAE" w:rsidRPr="00A74394">
        <w:rPr>
          <w:rFonts w:asciiTheme="minorHAnsi" w:hAnsiTheme="minorHAnsi" w:cs="Times New Roman"/>
        </w:rPr>
        <w:t xml:space="preserve">ed demographics, the ACO had difficulty maintaining a stable member roster. This operational issue had subsequent operational issues in the community partner assignment as well as assignment for several of the clinical programs such as complex care management. BIDCO and </w:t>
      </w:r>
      <w:r w:rsidR="008C475A">
        <w:rPr>
          <w:rFonts w:asciiTheme="minorHAnsi" w:hAnsiTheme="minorHAnsi" w:cs="Times New Roman"/>
        </w:rPr>
        <w:t xml:space="preserve">THPP </w:t>
      </w:r>
      <w:r w:rsidR="009A1AAE" w:rsidRPr="00A74394">
        <w:rPr>
          <w:rFonts w:asciiTheme="minorHAnsi" w:hAnsiTheme="minorHAnsi" w:cs="Times New Roman"/>
        </w:rPr>
        <w:t>have worked extensively on a process improvement model for PY2 in order to enhance the existing algorithm.</w:t>
      </w:r>
    </w:p>
    <w:p w14:paraId="40AEEEB4" w14:textId="08F48F49" w:rsidR="009A1AAE" w:rsidRPr="0079027C" w:rsidRDefault="009A1AAE" w:rsidP="00D547A8">
      <w:pPr>
        <w:spacing w:line="240" w:lineRule="auto"/>
        <w:rPr>
          <w:rFonts w:asciiTheme="minorHAnsi" w:hAnsiTheme="minorHAnsi" w:cs="Times New Roman"/>
        </w:rPr>
      </w:pPr>
      <w:r w:rsidRPr="00A74394">
        <w:rPr>
          <w:rFonts w:asciiTheme="minorHAnsi" w:hAnsiTheme="minorHAnsi" w:cs="Times New Roman"/>
        </w:rPr>
        <w:t xml:space="preserve">The second </w:t>
      </w:r>
      <w:r w:rsidR="00CE0D59" w:rsidRPr="00A74394">
        <w:rPr>
          <w:rFonts w:asciiTheme="minorHAnsi" w:hAnsiTheme="minorHAnsi" w:cs="Times New Roman"/>
        </w:rPr>
        <w:t xml:space="preserve">major </w:t>
      </w:r>
      <w:r w:rsidRPr="00A74394">
        <w:rPr>
          <w:rFonts w:asciiTheme="minorHAnsi" w:hAnsiTheme="minorHAnsi" w:cs="Times New Roman"/>
        </w:rPr>
        <w:t xml:space="preserve">challenge was related to multiple operational </w:t>
      </w:r>
      <w:r w:rsidR="00CE0D59" w:rsidRPr="00A74394">
        <w:rPr>
          <w:rFonts w:asciiTheme="minorHAnsi" w:hAnsiTheme="minorHAnsi" w:cs="Times New Roman"/>
        </w:rPr>
        <w:t xml:space="preserve">issues </w:t>
      </w:r>
      <w:r w:rsidRPr="00A74394">
        <w:rPr>
          <w:rFonts w:asciiTheme="minorHAnsi" w:hAnsiTheme="minorHAnsi" w:cs="Times New Roman"/>
        </w:rPr>
        <w:t xml:space="preserve">during the implementation of the community partner program. This included hiring </w:t>
      </w:r>
      <w:r w:rsidR="00CE0D59" w:rsidRPr="00A74394">
        <w:rPr>
          <w:rFonts w:asciiTheme="minorHAnsi" w:hAnsiTheme="minorHAnsi" w:cs="Times New Roman"/>
        </w:rPr>
        <w:t xml:space="preserve">staff </w:t>
      </w:r>
      <w:r w:rsidRPr="00A74394">
        <w:rPr>
          <w:rFonts w:asciiTheme="minorHAnsi" w:hAnsiTheme="minorHAnsi" w:cs="Times New Roman"/>
        </w:rPr>
        <w:t>with expertise in this space along with the development of processes due to the multiple stakeholders and finally implementing the program with significant variation and lack of standardization amongst the community partners. The state has helped the stakeholders in PY1 by developing standard care plans as well as re</w:t>
      </w:r>
      <w:r w:rsidR="00CE0D59" w:rsidRPr="00A74394">
        <w:rPr>
          <w:rFonts w:asciiTheme="minorHAnsi" w:hAnsiTheme="minorHAnsi" w:cs="Times New Roman"/>
        </w:rPr>
        <w:t>m</w:t>
      </w:r>
      <w:r w:rsidRPr="00A74394">
        <w:rPr>
          <w:rFonts w:asciiTheme="minorHAnsi" w:hAnsiTheme="minorHAnsi" w:cs="Times New Roman"/>
        </w:rPr>
        <w:t>oving some of t</w:t>
      </w:r>
      <w:r w:rsidR="00CE0D59" w:rsidRPr="00A74394">
        <w:rPr>
          <w:rFonts w:asciiTheme="minorHAnsi" w:hAnsiTheme="minorHAnsi" w:cs="Times New Roman"/>
        </w:rPr>
        <w:t>he complexities of the program</w:t>
      </w:r>
      <w:r w:rsidR="008C475A">
        <w:rPr>
          <w:rFonts w:asciiTheme="minorHAnsi" w:hAnsiTheme="minorHAnsi" w:cs="Times New Roman"/>
        </w:rPr>
        <w:t xml:space="preserve"> </w:t>
      </w:r>
      <w:r w:rsidR="00CE0D59" w:rsidRPr="00A74394">
        <w:rPr>
          <w:rFonts w:asciiTheme="minorHAnsi" w:hAnsiTheme="minorHAnsi" w:cs="Times New Roman"/>
        </w:rPr>
        <w:t xml:space="preserve">(such as the participation agreements) we have also streamlined some of our processes such as post transition allowing better engagement through the end of PY1. </w:t>
      </w:r>
    </w:p>
    <w:sectPr w:rsidR="009A1AAE" w:rsidRPr="00790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282"/>
    <w:multiLevelType w:val="hybridMultilevel"/>
    <w:tmpl w:val="7810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632"/>
    <w:multiLevelType w:val="hybridMultilevel"/>
    <w:tmpl w:val="936E6ABE"/>
    <w:lvl w:ilvl="0" w:tplc="991C5176">
      <w:start w:val="247"/>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0D704072"/>
    <w:multiLevelType w:val="hybridMultilevel"/>
    <w:tmpl w:val="73343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7560D"/>
    <w:multiLevelType w:val="hybridMultilevel"/>
    <w:tmpl w:val="DD2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86191"/>
    <w:multiLevelType w:val="hybridMultilevel"/>
    <w:tmpl w:val="9D8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90ECC"/>
    <w:multiLevelType w:val="hybridMultilevel"/>
    <w:tmpl w:val="D7F2F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837B98"/>
    <w:multiLevelType w:val="multilevel"/>
    <w:tmpl w:val="36C48EF4"/>
    <w:lvl w:ilvl="0">
      <w:start w:val="1"/>
      <w:numFmt w:val="decimal"/>
      <w:suff w:val="space"/>
      <w:lvlText w:val="Part %1."/>
      <w:lvlJc w:val="left"/>
      <w:pPr>
        <w:ind w:left="558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D1CE2"/>
    <w:multiLevelType w:val="hybridMultilevel"/>
    <w:tmpl w:val="6B38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66542"/>
    <w:multiLevelType w:val="hybridMultilevel"/>
    <w:tmpl w:val="9E280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35ADA"/>
    <w:multiLevelType w:val="hybridMultilevel"/>
    <w:tmpl w:val="6BDC7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228CD"/>
    <w:multiLevelType w:val="hybridMultilevel"/>
    <w:tmpl w:val="0670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103DB"/>
    <w:multiLevelType w:val="hybridMultilevel"/>
    <w:tmpl w:val="E9F61A3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9"/>
  </w:num>
  <w:num w:numId="3">
    <w:abstractNumId w:val="9"/>
  </w:num>
  <w:num w:numId="4">
    <w:abstractNumId w:val="9"/>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num>
  <w:num w:numId="9">
    <w:abstractNumId w:val="27"/>
  </w:num>
  <w:num w:numId="10">
    <w:abstractNumId w:val="4"/>
  </w:num>
  <w:num w:numId="11">
    <w:abstractNumId w:val="21"/>
  </w:num>
  <w:num w:numId="12">
    <w:abstractNumId w:val="14"/>
  </w:num>
  <w:num w:numId="13">
    <w:abstractNumId w:val="24"/>
  </w:num>
  <w:num w:numId="14">
    <w:abstractNumId w:val="5"/>
  </w:num>
  <w:num w:numId="15">
    <w:abstractNumId w:val="9"/>
  </w:num>
  <w:num w:numId="16">
    <w:abstractNumId w:val="18"/>
    <w:lvlOverride w:ilvl="0">
      <w:startOverride w:val="1"/>
    </w:lvlOverride>
  </w:num>
  <w:num w:numId="17">
    <w:abstractNumId w:val="20"/>
  </w:num>
  <w:num w:numId="18">
    <w:abstractNumId w:val="0"/>
  </w:num>
  <w:num w:numId="19">
    <w:abstractNumId w:val="15"/>
  </w:num>
  <w:num w:numId="20">
    <w:abstractNumId w:val="19"/>
  </w:num>
  <w:num w:numId="21">
    <w:abstractNumId w:val="16"/>
  </w:num>
  <w:num w:numId="22">
    <w:abstractNumId w:val="3"/>
  </w:num>
  <w:num w:numId="23">
    <w:abstractNumId w:val="11"/>
  </w:num>
  <w:num w:numId="24">
    <w:abstractNumId w:val="7"/>
  </w:num>
  <w:num w:numId="25">
    <w:abstractNumId w:val="17"/>
  </w:num>
  <w:num w:numId="26">
    <w:abstractNumId w:val="26"/>
  </w:num>
  <w:num w:numId="27">
    <w:abstractNumId w:val="12"/>
  </w:num>
  <w:num w:numId="28">
    <w:abstractNumId w:val="1"/>
  </w:num>
  <w:num w:numId="29">
    <w:abstractNumId w:val="25"/>
  </w:num>
  <w:num w:numId="30">
    <w:abstractNumId w:val="23"/>
  </w:num>
  <w:num w:numId="31">
    <w:abstractNumId w:val="6"/>
  </w:num>
  <w:num w:numId="32">
    <w:abstractNumId w:val="11"/>
  </w:num>
  <w:num w:numId="33">
    <w:abstractNumId w:val="8"/>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6015F"/>
    <w:rsid w:val="000822CF"/>
    <w:rsid w:val="000839C1"/>
    <w:rsid w:val="0009566E"/>
    <w:rsid w:val="00097B5A"/>
    <w:rsid w:val="000B54F1"/>
    <w:rsid w:val="000C74BD"/>
    <w:rsid w:val="000E5F21"/>
    <w:rsid w:val="000E75EC"/>
    <w:rsid w:val="000E7920"/>
    <w:rsid w:val="000F3F61"/>
    <w:rsid w:val="000F7531"/>
    <w:rsid w:val="00162588"/>
    <w:rsid w:val="00162EA2"/>
    <w:rsid w:val="00186546"/>
    <w:rsid w:val="001A2B82"/>
    <w:rsid w:val="001B528C"/>
    <w:rsid w:val="001D1F31"/>
    <w:rsid w:val="001E6009"/>
    <w:rsid w:val="001F7CDA"/>
    <w:rsid w:val="002055CF"/>
    <w:rsid w:val="00216129"/>
    <w:rsid w:val="00217A3C"/>
    <w:rsid w:val="0022568F"/>
    <w:rsid w:val="00226D41"/>
    <w:rsid w:val="00234966"/>
    <w:rsid w:val="00251F46"/>
    <w:rsid w:val="00265DDF"/>
    <w:rsid w:val="00275549"/>
    <w:rsid w:val="00276DFD"/>
    <w:rsid w:val="00285CC7"/>
    <w:rsid w:val="0029710B"/>
    <w:rsid w:val="002A1781"/>
    <w:rsid w:val="002B7E92"/>
    <w:rsid w:val="002C14E3"/>
    <w:rsid w:val="002C271C"/>
    <w:rsid w:val="002E24A7"/>
    <w:rsid w:val="003232CC"/>
    <w:rsid w:val="00327B85"/>
    <w:rsid w:val="00332BEF"/>
    <w:rsid w:val="003334DA"/>
    <w:rsid w:val="003358EE"/>
    <w:rsid w:val="00335DE2"/>
    <w:rsid w:val="00337B75"/>
    <w:rsid w:val="0036509F"/>
    <w:rsid w:val="00380702"/>
    <w:rsid w:val="003A582B"/>
    <w:rsid w:val="003D2D28"/>
    <w:rsid w:val="003D3AE9"/>
    <w:rsid w:val="00400FC7"/>
    <w:rsid w:val="00406C1B"/>
    <w:rsid w:val="00461D55"/>
    <w:rsid w:val="004635C6"/>
    <w:rsid w:val="004659A7"/>
    <w:rsid w:val="004B595B"/>
    <w:rsid w:val="004C741A"/>
    <w:rsid w:val="004D78C6"/>
    <w:rsid w:val="004F011D"/>
    <w:rsid w:val="00513D8F"/>
    <w:rsid w:val="00522EEE"/>
    <w:rsid w:val="00526799"/>
    <w:rsid w:val="00535ADB"/>
    <w:rsid w:val="00544C4E"/>
    <w:rsid w:val="00550F70"/>
    <w:rsid w:val="005765F1"/>
    <w:rsid w:val="00594D14"/>
    <w:rsid w:val="00595BD4"/>
    <w:rsid w:val="005C445C"/>
    <w:rsid w:val="005E4BE2"/>
    <w:rsid w:val="00615BBA"/>
    <w:rsid w:val="006164DC"/>
    <w:rsid w:val="00616CC3"/>
    <w:rsid w:val="00652EB8"/>
    <w:rsid w:val="00662194"/>
    <w:rsid w:val="00664E7F"/>
    <w:rsid w:val="00676D3D"/>
    <w:rsid w:val="00691F3B"/>
    <w:rsid w:val="006A2543"/>
    <w:rsid w:val="006B430D"/>
    <w:rsid w:val="006B6EC7"/>
    <w:rsid w:val="006C07EC"/>
    <w:rsid w:val="006D1F03"/>
    <w:rsid w:val="00727D4C"/>
    <w:rsid w:val="00737A7D"/>
    <w:rsid w:val="00741809"/>
    <w:rsid w:val="00741E52"/>
    <w:rsid w:val="00753592"/>
    <w:rsid w:val="00766846"/>
    <w:rsid w:val="0077228D"/>
    <w:rsid w:val="0079027C"/>
    <w:rsid w:val="007923D1"/>
    <w:rsid w:val="0079259F"/>
    <w:rsid w:val="007A5EEC"/>
    <w:rsid w:val="007B2797"/>
    <w:rsid w:val="007B6A20"/>
    <w:rsid w:val="007C2C4A"/>
    <w:rsid w:val="007C2F88"/>
    <w:rsid w:val="007C63EC"/>
    <w:rsid w:val="007D4CCA"/>
    <w:rsid w:val="007D6D8A"/>
    <w:rsid w:val="00801050"/>
    <w:rsid w:val="00814B54"/>
    <w:rsid w:val="00854F20"/>
    <w:rsid w:val="00872FF8"/>
    <w:rsid w:val="008B26A1"/>
    <w:rsid w:val="008B3F33"/>
    <w:rsid w:val="008C067C"/>
    <w:rsid w:val="008C1D78"/>
    <w:rsid w:val="008C475A"/>
    <w:rsid w:val="009017F0"/>
    <w:rsid w:val="00902908"/>
    <w:rsid w:val="00920254"/>
    <w:rsid w:val="00935818"/>
    <w:rsid w:val="00955A38"/>
    <w:rsid w:val="0096441E"/>
    <w:rsid w:val="009654D7"/>
    <w:rsid w:val="009A1AAE"/>
    <w:rsid w:val="009A1FB7"/>
    <w:rsid w:val="009B3868"/>
    <w:rsid w:val="009C676C"/>
    <w:rsid w:val="009D3717"/>
    <w:rsid w:val="009D6D7A"/>
    <w:rsid w:val="00A02D7F"/>
    <w:rsid w:val="00A04137"/>
    <w:rsid w:val="00A058E6"/>
    <w:rsid w:val="00A266AE"/>
    <w:rsid w:val="00A415B8"/>
    <w:rsid w:val="00A469DC"/>
    <w:rsid w:val="00A47765"/>
    <w:rsid w:val="00A51855"/>
    <w:rsid w:val="00A72ACF"/>
    <w:rsid w:val="00A74394"/>
    <w:rsid w:val="00A765EB"/>
    <w:rsid w:val="00A905C4"/>
    <w:rsid w:val="00AA2A8B"/>
    <w:rsid w:val="00AA3039"/>
    <w:rsid w:val="00AD330B"/>
    <w:rsid w:val="00AE5B12"/>
    <w:rsid w:val="00AE5E6A"/>
    <w:rsid w:val="00B241D3"/>
    <w:rsid w:val="00B31F48"/>
    <w:rsid w:val="00B36C53"/>
    <w:rsid w:val="00B377AF"/>
    <w:rsid w:val="00B43A63"/>
    <w:rsid w:val="00B45F43"/>
    <w:rsid w:val="00B47758"/>
    <w:rsid w:val="00B571E1"/>
    <w:rsid w:val="00B64992"/>
    <w:rsid w:val="00B64D9B"/>
    <w:rsid w:val="00B70116"/>
    <w:rsid w:val="00BB4658"/>
    <w:rsid w:val="00BC0125"/>
    <w:rsid w:val="00BD434D"/>
    <w:rsid w:val="00BD75BF"/>
    <w:rsid w:val="00BE1114"/>
    <w:rsid w:val="00BF608D"/>
    <w:rsid w:val="00C028F5"/>
    <w:rsid w:val="00C049F5"/>
    <w:rsid w:val="00C14C85"/>
    <w:rsid w:val="00C15551"/>
    <w:rsid w:val="00C3112A"/>
    <w:rsid w:val="00C4610A"/>
    <w:rsid w:val="00C46C30"/>
    <w:rsid w:val="00C62240"/>
    <w:rsid w:val="00C7469C"/>
    <w:rsid w:val="00C75F19"/>
    <w:rsid w:val="00CD7E07"/>
    <w:rsid w:val="00CE0D59"/>
    <w:rsid w:val="00D204A7"/>
    <w:rsid w:val="00D25C37"/>
    <w:rsid w:val="00D547A8"/>
    <w:rsid w:val="00D801E2"/>
    <w:rsid w:val="00D92D21"/>
    <w:rsid w:val="00D9666A"/>
    <w:rsid w:val="00DE6C95"/>
    <w:rsid w:val="00E0000D"/>
    <w:rsid w:val="00E01ADD"/>
    <w:rsid w:val="00E1159A"/>
    <w:rsid w:val="00E12516"/>
    <w:rsid w:val="00E16780"/>
    <w:rsid w:val="00E23FB9"/>
    <w:rsid w:val="00E3162D"/>
    <w:rsid w:val="00E62CAF"/>
    <w:rsid w:val="00E710C0"/>
    <w:rsid w:val="00EA2814"/>
    <w:rsid w:val="00EA42C3"/>
    <w:rsid w:val="00EB4A8C"/>
    <w:rsid w:val="00EC20D4"/>
    <w:rsid w:val="00EC380A"/>
    <w:rsid w:val="00ED1CB3"/>
    <w:rsid w:val="00EE6B95"/>
    <w:rsid w:val="00F21088"/>
    <w:rsid w:val="00F243A4"/>
    <w:rsid w:val="00F4300A"/>
    <w:rsid w:val="00F46DDF"/>
    <w:rsid w:val="00F5193A"/>
    <w:rsid w:val="00F5327B"/>
    <w:rsid w:val="00F635E2"/>
    <w:rsid w:val="00F64003"/>
    <w:rsid w:val="00F7764A"/>
    <w:rsid w:val="00F82C32"/>
    <w:rsid w:val="00F87FDF"/>
    <w:rsid w:val="00F92361"/>
    <w:rsid w:val="00F932A4"/>
    <w:rsid w:val="00FA4D5B"/>
    <w:rsid w:val="00FA54A4"/>
    <w:rsid w:val="00FB50EF"/>
    <w:rsid w:val="00F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9FDA"/>
  <w15:docId w15:val="{C47CB2C5-1FB6-4883-93F8-5310DB5D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2E24A7"/>
    <w:pPr>
      <w:spacing w:after="120"/>
      <w:contextualSpacing/>
      <w:jc w:val="center"/>
      <w:outlineLvl w:val="0"/>
    </w:pPr>
    <w:rPr>
      <w:rFonts w:asciiTheme="minorHAnsi" w:hAnsiTheme="minorHAnsi" w:cs="Times New Roman"/>
      <w:b/>
      <w:smallCaps/>
    </w:rPr>
  </w:style>
  <w:style w:type="paragraph" w:styleId="Heading2">
    <w:name w:val="heading 2"/>
    <w:next w:val="Normal"/>
    <w:link w:val="Heading2Char"/>
    <w:uiPriority w:val="9"/>
    <w:unhideWhenUsed/>
    <w:qFormat/>
    <w:rsid w:val="00D92D21"/>
    <w:pPr>
      <w:keepNext/>
      <w:keepLines/>
      <w:numPr>
        <w:ilvl w:val="1"/>
        <w:numId w:val="4"/>
      </w:numPr>
      <w:spacing w:before="200"/>
      <w:outlineLvl w:val="1"/>
    </w:pPr>
    <w:rPr>
      <w:rFonts w:asciiTheme="majorHAnsi" w:eastAsiaTheme="majorEastAsia" w:hAnsiTheme="majorHAnsi" w:cstheme="majorBidi"/>
      <w:b/>
      <w:bCs/>
      <w:color w:val="244061" w:themeColor="accent1" w:themeShade="80"/>
      <w:sz w:val="24"/>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A7"/>
    <w:rPr>
      <w:rFonts w:cs="Times New Roman"/>
      <w:b/>
      <w:smallCaps/>
    </w:rPr>
  </w:style>
  <w:style w:type="character" w:customStyle="1" w:styleId="Heading2Char">
    <w:name w:val="Heading 2 Char"/>
    <w:basedOn w:val="DefaultParagraphFont"/>
    <w:link w:val="Heading2"/>
    <w:uiPriority w:val="9"/>
    <w:rsid w:val="00D92D21"/>
    <w:rPr>
      <w:rFonts w:asciiTheme="majorHAnsi" w:eastAsiaTheme="majorEastAsia" w:hAnsiTheme="majorHAnsi" w:cstheme="majorBidi"/>
      <w:b/>
      <w:bCs/>
      <w:color w:val="244061" w:themeColor="accent1" w:themeShade="80"/>
      <w:sz w:val="24"/>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character" w:styleId="Hyperlink">
    <w:name w:val="Hyperlink"/>
    <w:basedOn w:val="DefaultParagraphFont"/>
    <w:uiPriority w:val="99"/>
    <w:unhideWhenUsed/>
    <w:rsid w:val="00C62240"/>
    <w:rPr>
      <w:color w:val="0000FF" w:themeColor="hyperlink"/>
      <w:u w:val="single"/>
    </w:rPr>
  </w:style>
  <w:style w:type="paragraph" w:styleId="BodyText">
    <w:name w:val="Body Text"/>
    <w:basedOn w:val="Normal"/>
    <w:link w:val="BodyTextChar"/>
    <w:uiPriority w:val="1"/>
    <w:unhideWhenUsed/>
    <w:qFormat/>
    <w:rsid w:val="00C3112A"/>
    <w:pPr>
      <w:spacing w:after="120"/>
      <w:contextualSpacing/>
    </w:pPr>
    <w:rPr>
      <w:rFonts w:asciiTheme="minorHAnsi" w:hAnsiTheme="minorHAnsi"/>
    </w:rPr>
  </w:style>
  <w:style w:type="character" w:customStyle="1" w:styleId="BodyTextChar">
    <w:name w:val="Body Text Char"/>
    <w:basedOn w:val="DefaultParagraphFont"/>
    <w:link w:val="BodyText"/>
    <w:uiPriority w:val="1"/>
    <w:rsid w:val="00C3112A"/>
  </w:style>
  <w:style w:type="paragraph" w:customStyle="1" w:styleId="qowt-li-00">
    <w:name w:val="qowt-li-0_0"/>
    <w:basedOn w:val="Normal"/>
    <w:rsid w:val="00FB50EF"/>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2E24A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57159">
      <w:bodyDiv w:val="1"/>
      <w:marLeft w:val="0"/>
      <w:marRight w:val="0"/>
      <w:marTop w:val="0"/>
      <w:marBottom w:val="0"/>
      <w:divBdr>
        <w:top w:val="none" w:sz="0" w:space="0" w:color="auto"/>
        <w:left w:val="none" w:sz="0" w:space="0" w:color="auto"/>
        <w:bottom w:val="none" w:sz="0" w:space="0" w:color="auto"/>
        <w:right w:val="none" w:sz="0" w:space="0" w:color="auto"/>
      </w:divBdr>
    </w:div>
    <w:div w:id="316501296">
      <w:bodyDiv w:val="1"/>
      <w:marLeft w:val="0"/>
      <w:marRight w:val="0"/>
      <w:marTop w:val="0"/>
      <w:marBottom w:val="0"/>
      <w:divBdr>
        <w:top w:val="none" w:sz="0" w:space="0" w:color="auto"/>
        <w:left w:val="none" w:sz="0" w:space="0" w:color="auto"/>
        <w:bottom w:val="none" w:sz="0" w:space="0" w:color="auto"/>
        <w:right w:val="none" w:sz="0" w:space="0" w:color="auto"/>
      </w:divBdr>
    </w:div>
    <w:div w:id="373622925">
      <w:bodyDiv w:val="1"/>
      <w:marLeft w:val="0"/>
      <w:marRight w:val="0"/>
      <w:marTop w:val="0"/>
      <w:marBottom w:val="0"/>
      <w:divBdr>
        <w:top w:val="none" w:sz="0" w:space="0" w:color="auto"/>
        <w:left w:val="none" w:sz="0" w:space="0" w:color="auto"/>
        <w:bottom w:val="none" w:sz="0" w:space="0" w:color="auto"/>
        <w:right w:val="none" w:sz="0" w:space="0" w:color="auto"/>
      </w:divBdr>
    </w:div>
    <w:div w:id="429815433">
      <w:bodyDiv w:val="1"/>
      <w:marLeft w:val="0"/>
      <w:marRight w:val="0"/>
      <w:marTop w:val="0"/>
      <w:marBottom w:val="0"/>
      <w:divBdr>
        <w:top w:val="none" w:sz="0" w:space="0" w:color="auto"/>
        <w:left w:val="none" w:sz="0" w:space="0" w:color="auto"/>
        <w:bottom w:val="none" w:sz="0" w:space="0" w:color="auto"/>
        <w:right w:val="none" w:sz="0" w:space="0" w:color="auto"/>
      </w:divBdr>
    </w:div>
    <w:div w:id="452797450">
      <w:bodyDiv w:val="1"/>
      <w:marLeft w:val="0"/>
      <w:marRight w:val="0"/>
      <w:marTop w:val="0"/>
      <w:marBottom w:val="0"/>
      <w:divBdr>
        <w:top w:val="none" w:sz="0" w:space="0" w:color="auto"/>
        <w:left w:val="none" w:sz="0" w:space="0" w:color="auto"/>
        <w:bottom w:val="none" w:sz="0" w:space="0" w:color="auto"/>
        <w:right w:val="none" w:sz="0" w:space="0" w:color="auto"/>
      </w:divBdr>
    </w:div>
    <w:div w:id="485585856">
      <w:bodyDiv w:val="1"/>
      <w:marLeft w:val="0"/>
      <w:marRight w:val="0"/>
      <w:marTop w:val="0"/>
      <w:marBottom w:val="0"/>
      <w:divBdr>
        <w:top w:val="none" w:sz="0" w:space="0" w:color="auto"/>
        <w:left w:val="none" w:sz="0" w:space="0" w:color="auto"/>
        <w:bottom w:val="none" w:sz="0" w:space="0" w:color="auto"/>
        <w:right w:val="none" w:sz="0" w:space="0" w:color="auto"/>
      </w:divBdr>
    </w:div>
    <w:div w:id="529343404">
      <w:bodyDiv w:val="1"/>
      <w:marLeft w:val="0"/>
      <w:marRight w:val="0"/>
      <w:marTop w:val="0"/>
      <w:marBottom w:val="0"/>
      <w:divBdr>
        <w:top w:val="none" w:sz="0" w:space="0" w:color="auto"/>
        <w:left w:val="none" w:sz="0" w:space="0" w:color="auto"/>
        <w:bottom w:val="none" w:sz="0" w:space="0" w:color="auto"/>
        <w:right w:val="none" w:sz="0" w:space="0" w:color="auto"/>
      </w:divBdr>
    </w:div>
    <w:div w:id="584194431">
      <w:bodyDiv w:val="1"/>
      <w:marLeft w:val="0"/>
      <w:marRight w:val="0"/>
      <w:marTop w:val="0"/>
      <w:marBottom w:val="0"/>
      <w:divBdr>
        <w:top w:val="none" w:sz="0" w:space="0" w:color="auto"/>
        <w:left w:val="none" w:sz="0" w:space="0" w:color="auto"/>
        <w:bottom w:val="none" w:sz="0" w:space="0" w:color="auto"/>
        <w:right w:val="none" w:sz="0" w:space="0" w:color="auto"/>
      </w:divBdr>
    </w:div>
    <w:div w:id="588781312">
      <w:bodyDiv w:val="1"/>
      <w:marLeft w:val="0"/>
      <w:marRight w:val="0"/>
      <w:marTop w:val="0"/>
      <w:marBottom w:val="0"/>
      <w:divBdr>
        <w:top w:val="none" w:sz="0" w:space="0" w:color="auto"/>
        <w:left w:val="none" w:sz="0" w:space="0" w:color="auto"/>
        <w:bottom w:val="none" w:sz="0" w:space="0" w:color="auto"/>
        <w:right w:val="none" w:sz="0" w:space="0" w:color="auto"/>
      </w:divBdr>
    </w:div>
    <w:div w:id="593051410">
      <w:bodyDiv w:val="1"/>
      <w:marLeft w:val="0"/>
      <w:marRight w:val="0"/>
      <w:marTop w:val="0"/>
      <w:marBottom w:val="0"/>
      <w:divBdr>
        <w:top w:val="none" w:sz="0" w:space="0" w:color="auto"/>
        <w:left w:val="none" w:sz="0" w:space="0" w:color="auto"/>
        <w:bottom w:val="none" w:sz="0" w:space="0" w:color="auto"/>
        <w:right w:val="none" w:sz="0" w:space="0" w:color="auto"/>
      </w:divBdr>
    </w:div>
    <w:div w:id="613904039">
      <w:bodyDiv w:val="1"/>
      <w:marLeft w:val="0"/>
      <w:marRight w:val="0"/>
      <w:marTop w:val="0"/>
      <w:marBottom w:val="0"/>
      <w:divBdr>
        <w:top w:val="none" w:sz="0" w:space="0" w:color="auto"/>
        <w:left w:val="none" w:sz="0" w:space="0" w:color="auto"/>
        <w:bottom w:val="none" w:sz="0" w:space="0" w:color="auto"/>
        <w:right w:val="none" w:sz="0" w:space="0" w:color="auto"/>
      </w:divBdr>
    </w:div>
    <w:div w:id="659232840">
      <w:bodyDiv w:val="1"/>
      <w:marLeft w:val="0"/>
      <w:marRight w:val="0"/>
      <w:marTop w:val="0"/>
      <w:marBottom w:val="0"/>
      <w:divBdr>
        <w:top w:val="none" w:sz="0" w:space="0" w:color="auto"/>
        <w:left w:val="none" w:sz="0" w:space="0" w:color="auto"/>
        <w:bottom w:val="none" w:sz="0" w:space="0" w:color="auto"/>
        <w:right w:val="none" w:sz="0" w:space="0" w:color="auto"/>
      </w:divBdr>
    </w:div>
    <w:div w:id="665942897">
      <w:bodyDiv w:val="1"/>
      <w:marLeft w:val="0"/>
      <w:marRight w:val="0"/>
      <w:marTop w:val="0"/>
      <w:marBottom w:val="0"/>
      <w:divBdr>
        <w:top w:val="none" w:sz="0" w:space="0" w:color="auto"/>
        <w:left w:val="none" w:sz="0" w:space="0" w:color="auto"/>
        <w:bottom w:val="none" w:sz="0" w:space="0" w:color="auto"/>
        <w:right w:val="none" w:sz="0" w:space="0" w:color="auto"/>
      </w:divBdr>
    </w:div>
    <w:div w:id="741558672">
      <w:bodyDiv w:val="1"/>
      <w:marLeft w:val="0"/>
      <w:marRight w:val="0"/>
      <w:marTop w:val="0"/>
      <w:marBottom w:val="0"/>
      <w:divBdr>
        <w:top w:val="none" w:sz="0" w:space="0" w:color="auto"/>
        <w:left w:val="none" w:sz="0" w:space="0" w:color="auto"/>
        <w:bottom w:val="none" w:sz="0" w:space="0" w:color="auto"/>
        <w:right w:val="none" w:sz="0" w:space="0" w:color="auto"/>
      </w:divBdr>
    </w:div>
    <w:div w:id="776675101">
      <w:bodyDiv w:val="1"/>
      <w:marLeft w:val="0"/>
      <w:marRight w:val="0"/>
      <w:marTop w:val="0"/>
      <w:marBottom w:val="0"/>
      <w:divBdr>
        <w:top w:val="none" w:sz="0" w:space="0" w:color="auto"/>
        <w:left w:val="none" w:sz="0" w:space="0" w:color="auto"/>
        <w:bottom w:val="none" w:sz="0" w:space="0" w:color="auto"/>
        <w:right w:val="none" w:sz="0" w:space="0" w:color="auto"/>
      </w:divBdr>
    </w:div>
    <w:div w:id="777211702">
      <w:bodyDiv w:val="1"/>
      <w:marLeft w:val="0"/>
      <w:marRight w:val="0"/>
      <w:marTop w:val="0"/>
      <w:marBottom w:val="0"/>
      <w:divBdr>
        <w:top w:val="none" w:sz="0" w:space="0" w:color="auto"/>
        <w:left w:val="none" w:sz="0" w:space="0" w:color="auto"/>
        <w:bottom w:val="none" w:sz="0" w:space="0" w:color="auto"/>
        <w:right w:val="none" w:sz="0" w:space="0" w:color="auto"/>
      </w:divBdr>
    </w:div>
    <w:div w:id="780883089">
      <w:bodyDiv w:val="1"/>
      <w:marLeft w:val="0"/>
      <w:marRight w:val="0"/>
      <w:marTop w:val="0"/>
      <w:marBottom w:val="0"/>
      <w:divBdr>
        <w:top w:val="none" w:sz="0" w:space="0" w:color="auto"/>
        <w:left w:val="none" w:sz="0" w:space="0" w:color="auto"/>
        <w:bottom w:val="none" w:sz="0" w:space="0" w:color="auto"/>
        <w:right w:val="none" w:sz="0" w:space="0" w:color="auto"/>
      </w:divBdr>
    </w:div>
    <w:div w:id="781608919">
      <w:bodyDiv w:val="1"/>
      <w:marLeft w:val="0"/>
      <w:marRight w:val="0"/>
      <w:marTop w:val="0"/>
      <w:marBottom w:val="0"/>
      <w:divBdr>
        <w:top w:val="none" w:sz="0" w:space="0" w:color="auto"/>
        <w:left w:val="none" w:sz="0" w:space="0" w:color="auto"/>
        <w:bottom w:val="none" w:sz="0" w:space="0" w:color="auto"/>
        <w:right w:val="none" w:sz="0" w:space="0" w:color="auto"/>
      </w:divBdr>
    </w:div>
    <w:div w:id="801462113">
      <w:bodyDiv w:val="1"/>
      <w:marLeft w:val="0"/>
      <w:marRight w:val="0"/>
      <w:marTop w:val="0"/>
      <w:marBottom w:val="0"/>
      <w:divBdr>
        <w:top w:val="none" w:sz="0" w:space="0" w:color="auto"/>
        <w:left w:val="none" w:sz="0" w:space="0" w:color="auto"/>
        <w:bottom w:val="none" w:sz="0" w:space="0" w:color="auto"/>
        <w:right w:val="none" w:sz="0" w:space="0" w:color="auto"/>
      </w:divBdr>
    </w:div>
    <w:div w:id="848175251">
      <w:bodyDiv w:val="1"/>
      <w:marLeft w:val="0"/>
      <w:marRight w:val="0"/>
      <w:marTop w:val="0"/>
      <w:marBottom w:val="0"/>
      <w:divBdr>
        <w:top w:val="none" w:sz="0" w:space="0" w:color="auto"/>
        <w:left w:val="none" w:sz="0" w:space="0" w:color="auto"/>
        <w:bottom w:val="none" w:sz="0" w:space="0" w:color="auto"/>
        <w:right w:val="none" w:sz="0" w:space="0" w:color="auto"/>
      </w:divBdr>
    </w:div>
    <w:div w:id="1003363190">
      <w:bodyDiv w:val="1"/>
      <w:marLeft w:val="0"/>
      <w:marRight w:val="0"/>
      <w:marTop w:val="0"/>
      <w:marBottom w:val="0"/>
      <w:divBdr>
        <w:top w:val="none" w:sz="0" w:space="0" w:color="auto"/>
        <w:left w:val="none" w:sz="0" w:space="0" w:color="auto"/>
        <w:bottom w:val="none" w:sz="0" w:space="0" w:color="auto"/>
        <w:right w:val="none" w:sz="0" w:space="0" w:color="auto"/>
      </w:divBdr>
    </w:div>
    <w:div w:id="1071847954">
      <w:bodyDiv w:val="1"/>
      <w:marLeft w:val="0"/>
      <w:marRight w:val="0"/>
      <w:marTop w:val="0"/>
      <w:marBottom w:val="0"/>
      <w:divBdr>
        <w:top w:val="none" w:sz="0" w:space="0" w:color="auto"/>
        <w:left w:val="none" w:sz="0" w:space="0" w:color="auto"/>
        <w:bottom w:val="none" w:sz="0" w:space="0" w:color="auto"/>
        <w:right w:val="none" w:sz="0" w:space="0" w:color="auto"/>
      </w:divBdr>
    </w:div>
    <w:div w:id="1074934568">
      <w:bodyDiv w:val="1"/>
      <w:marLeft w:val="0"/>
      <w:marRight w:val="0"/>
      <w:marTop w:val="0"/>
      <w:marBottom w:val="0"/>
      <w:divBdr>
        <w:top w:val="none" w:sz="0" w:space="0" w:color="auto"/>
        <w:left w:val="none" w:sz="0" w:space="0" w:color="auto"/>
        <w:bottom w:val="none" w:sz="0" w:space="0" w:color="auto"/>
        <w:right w:val="none" w:sz="0" w:space="0" w:color="auto"/>
      </w:divBdr>
    </w:div>
    <w:div w:id="1126236348">
      <w:bodyDiv w:val="1"/>
      <w:marLeft w:val="0"/>
      <w:marRight w:val="0"/>
      <w:marTop w:val="0"/>
      <w:marBottom w:val="0"/>
      <w:divBdr>
        <w:top w:val="none" w:sz="0" w:space="0" w:color="auto"/>
        <w:left w:val="none" w:sz="0" w:space="0" w:color="auto"/>
        <w:bottom w:val="none" w:sz="0" w:space="0" w:color="auto"/>
        <w:right w:val="none" w:sz="0" w:space="0" w:color="auto"/>
      </w:divBdr>
    </w:div>
    <w:div w:id="1275163985">
      <w:bodyDiv w:val="1"/>
      <w:marLeft w:val="0"/>
      <w:marRight w:val="0"/>
      <w:marTop w:val="0"/>
      <w:marBottom w:val="0"/>
      <w:divBdr>
        <w:top w:val="none" w:sz="0" w:space="0" w:color="auto"/>
        <w:left w:val="none" w:sz="0" w:space="0" w:color="auto"/>
        <w:bottom w:val="none" w:sz="0" w:space="0" w:color="auto"/>
        <w:right w:val="none" w:sz="0" w:space="0" w:color="auto"/>
      </w:divBdr>
    </w:div>
    <w:div w:id="1311521433">
      <w:bodyDiv w:val="1"/>
      <w:marLeft w:val="0"/>
      <w:marRight w:val="0"/>
      <w:marTop w:val="0"/>
      <w:marBottom w:val="0"/>
      <w:divBdr>
        <w:top w:val="none" w:sz="0" w:space="0" w:color="auto"/>
        <w:left w:val="none" w:sz="0" w:space="0" w:color="auto"/>
        <w:bottom w:val="none" w:sz="0" w:space="0" w:color="auto"/>
        <w:right w:val="none" w:sz="0" w:space="0" w:color="auto"/>
      </w:divBdr>
    </w:div>
    <w:div w:id="1311790475">
      <w:bodyDiv w:val="1"/>
      <w:marLeft w:val="0"/>
      <w:marRight w:val="0"/>
      <w:marTop w:val="0"/>
      <w:marBottom w:val="0"/>
      <w:divBdr>
        <w:top w:val="none" w:sz="0" w:space="0" w:color="auto"/>
        <w:left w:val="none" w:sz="0" w:space="0" w:color="auto"/>
        <w:bottom w:val="none" w:sz="0" w:space="0" w:color="auto"/>
        <w:right w:val="none" w:sz="0" w:space="0" w:color="auto"/>
      </w:divBdr>
    </w:div>
    <w:div w:id="1326587260">
      <w:bodyDiv w:val="1"/>
      <w:marLeft w:val="0"/>
      <w:marRight w:val="0"/>
      <w:marTop w:val="0"/>
      <w:marBottom w:val="0"/>
      <w:divBdr>
        <w:top w:val="none" w:sz="0" w:space="0" w:color="auto"/>
        <w:left w:val="none" w:sz="0" w:space="0" w:color="auto"/>
        <w:bottom w:val="none" w:sz="0" w:space="0" w:color="auto"/>
        <w:right w:val="none" w:sz="0" w:space="0" w:color="auto"/>
      </w:divBdr>
    </w:div>
    <w:div w:id="1361398238">
      <w:bodyDiv w:val="1"/>
      <w:marLeft w:val="0"/>
      <w:marRight w:val="0"/>
      <w:marTop w:val="0"/>
      <w:marBottom w:val="0"/>
      <w:divBdr>
        <w:top w:val="none" w:sz="0" w:space="0" w:color="auto"/>
        <w:left w:val="none" w:sz="0" w:space="0" w:color="auto"/>
        <w:bottom w:val="none" w:sz="0" w:space="0" w:color="auto"/>
        <w:right w:val="none" w:sz="0" w:space="0" w:color="auto"/>
      </w:divBdr>
    </w:div>
    <w:div w:id="1391927634">
      <w:bodyDiv w:val="1"/>
      <w:marLeft w:val="0"/>
      <w:marRight w:val="0"/>
      <w:marTop w:val="0"/>
      <w:marBottom w:val="0"/>
      <w:divBdr>
        <w:top w:val="none" w:sz="0" w:space="0" w:color="auto"/>
        <w:left w:val="none" w:sz="0" w:space="0" w:color="auto"/>
        <w:bottom w:val="none" w:sz="0" w:space="0" w:color="auto"/>
        <w:right w:val="none" w:sz="0" w:space="0" w:color="auto"/>
      </w:divBdr>
    </w:div>
    <w:div w:id="1448425472">
      <w:bodyDiv w:val="1"/>
      <w:marLeft w:val="0"/>
      <w:marRight w:val="0"/>
      <w:marTop w:val="0"/>
      <w:marBottom w:val="0"/>
      <w:divBdr>
        <w:top w:val="none" w:sz="0" w:space="0" w:color="auto"/>
        <w:left w:val="none" w:sz="0" w:space="0" w:color="auto"/>
        <w:bottom w:val="none" w:sz="0" w:space="0" w:color="auto"/>
        <w:right w:val="none" w:sz="0" w:space="0" w:color="auto"/>
      </w:divBdr>
    </w:div>
    <w:div w:id="1453477975">
      <w:bodyDiv w:val="1"/>
      <w:marLeft w:val="0"/>
      <w:marRight w:val="0"/>
      <w:marTop w:val="0"/>
      <w:marBottom w:val="0"/>
      <w:divBdr>
        <w:top w:val="none" w:sz="0" w:space="0" w:color="auto"/>
        <w:left w:val="none" w:sz="0" w:space="0" w:color="auto"/>
        <w:bottom w:val="none" w:sz="0" w:space="0" w:color="auto"/>
        <w:right w:val="none" w:sz="0" w:space="0" w:color="auto"/>
      </w:divBdr>
    </w:div>
    <w:div w:id="1510487160">
      <w:bodyDiv w:val="1"/>
      <w:marLeft w:val="0"/>
      <w:marRight w:val="0"/>
      <w:marTop w:val="0"/>
      <w:marBottom w:val="0"/>
      <w:divBdr>
        <w:top w:val="none" w:sz="0" w:space="0" w:color="auto"/>
        <w:left w:val="none" w:sz="0" w:space="0" w:color="auto"/>
        <w:bottom w:val="none" w:sz="0" w:space="0" w:color="auto"/>
        <w:right w:val="none" w:sz="0" w:space="0" w:color="auto"/>
      </w:divBdr>
    </w:div>
    <w:div w:id="1733194429">
      <w:bodyDiv w:val="1"/>
      <w:marLeft w:val="0"/>
      <w:marRight w:val="0"/>
      <w:marTop w:val="0"/>
      <w:marBottom w:val="0"/>
      <w:divBdr>
        <w:top w:val="none" w:sz="0" w:space="0" w:color="auto"/>
        <w:left w:val="none" w:sz="0" w:space="0" w:color="auto"/>
        <w:bottom w:val="none" w:sz="0" w:space="0" w:color="auto"/>
        <w:right w:val="none" w:sz="0" w:space="0" w:color="auto"/>
      </w:divBdr>
    </w:div>
    <w:div w:id="1801916374">
      <w:bodyDiv w:val="1"/>
      <w:marLeft w:val="0"/>
      <w:marRight w:val="0"/>
      <w:marTop w:val="0"/>
      <w:marBottom w:val="0"/>
      <w:divBdr>
        <w:top w:val="none" w:sz="0" w:space="0" w:color="auto"/>
        <w:left w:val="none" w:sz="0" w:space="0" w:color="auto"/>
        <w:bottom w:val="none" w:sz="0" w:space="0" w:color="auto"/>
        <w:right w:val="none" w:sz="0" w:space="0" w:color="auto"/>
      </w:divBdr>
    </w:div>
    <w:div w:id="1867132746">
      <w:bodyDiv w:val="1"/>
      <w:marLeft w:val="0"/>
      <w:marRight w:val="0"/>
      <w:marTop w:val="0"/>
      <w:marBottom w:val="0"/>
      <w:divBdr>
        <w:top w:val="none" w:sz="0" w:space="0" w:color="auto"/>
        <w:left w:val="none" w:sz="0" w:space="0" w:color="auto"/>
        <w:bottom w:val="none" w:sz="0" w:space="0" w:color="auto"/>
        <w:right w:val="none" w:sz="0" w:space="0" w:color="auto"/>
      </w:divBdr>
    </w:div>
    <w:div w:id="1982995798">
      <w:bodyDiv w:val="1"/>
      <w:marLeft w:val="0"/>
      <w:marRight w:val="0"/>
      <w:marTop w:val="0"/>
      <w:marBottom w:val="0"/>
      <w:divBdr>
        <w:top w:val="none" w:sz="0" w:space="0" w:color="auto"/>
        <w:left w:val="none" w:sz="0" w:space="0" w:color="auto"/>
        <w:bottom w:val="none" w:sz="0" w:space="0" w:color="auto"/>
        <w:right w:val="none" w:sz="0" w:space="0" w:color="auto"/>
      </w:divBdr>
    </w:div>
    <w:div w:id="1994988063">
      <w:bodyDiv w:val="1"/>
      <w:marLeft w:val="0"/>
      <w:marRight w:val="0"/>
      <w:marTop w:val="0"/>
      <w:marBottom w:val="0"/>
      <w:divBdr>
        <w:top w:val="none" w:sz="0" w:space="0" w:color="auto"/>
        <w:left w:val="none" w:sz="0" w:space="0" w:color="auto"/>
        <w:bottom w:val="none" w:sz="0" w:space="0" w:color="auto"/>
        <w:right w:val="none" w:sz="0" w:space="0" w:color="auto"/>
      </w:divBdr>
    </w:div>
    <w:div w:id="2087991143">
      <w:bodyDiv w:val="1"/>
      <w:marLeft w:val="0"/>
      <w:marRight w:val="0"/>
      <w:marTop w:val="0"/>
      <w:marBottom w:val="0"/>
      <w:divBdr>
        <w:top w:val="none" w:sz="0" w:space="0" w:color="auto"/>
        <w:left w:val="none" w:sz="0" w:space="0" w:color="auto"/>
        <w:bottom w:val="none" w:sz="0" w:space="0" w:color="auto"/>
        <w:right w:val="none" w:sz="0" w:space="0" w:color="auto"/>
      </w:divBdr>
    </w:div>
    <w:div w:id="21302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F2B2-7070-47E2-A842-8D6EA8BA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7</cp:revision>
  <cp:lastPrinted>2019-03-19T19:32:00Z</cp:lastPrinted>
  <dcterms:created xsi:type="dcterms:W3CDTF">2020-11-20T01:19:00Z</dcterms:created>
  <dcterms:modified xsi:type="dcterms:W3CDTF">2020-12-10T21:11:00Z</dcterms:modified>
</cp:coreProperties>
</file>