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D27D95" w14:textId="77777777" w:rsidR="009654D7" w:rsidRPr="008A5741" w:rsidRDefault="00E1159A" w:rsidP="008A5741">
      <w:pPr>
        <w:pStyle w:val="Heading1"/>
      </w:pPr>
      <w:r w:rsidRPr="008A5741">
        <w:t xml:space="preserve">Attachment </w:t>
      </w:r>
      <w:r w:rsidR="008C1D78" w:rsidRPr="008A5741">
        <w:t>APR</w:t>
      </w:r>
    </w:p>
    <w:p w14:paraId="5CD27D96" w14:textId="77777777" w:rsidR="00595BD4" w:rsidRPr="008A5741" w:rsidRDefault="00595BD4" w:rsidP="008A5741"/>
    <w:p w14:paraId="5CD27D97" w14:textId="77777777" w:rsidR="009654D7" w:rsidRPr="008A5741" w:rsidRDefault="009654D7" w:rsidP="008A5741">
      <w:pPr>
        <w:pStyle w:val="Heading1"/>
      </w:pPr>
      <w:r w:rsidRPr="008A5741">
        <w:t>Delivery System Reform Incentive Payment (DSRIP) Program</w:t>
      </w:r>
    </w:p>
    <w:p w14:paraId="5CD27D98" w14:textId="77777777" w:rsidR="009654D7" w:rsidRPr="008A5741" w:rsidRDefault="009654D7" w:rsidP="008A5741">
      <w:pPr>
        <w:pStyle w:val="Heading1"/>
      </w:pPr>
      <w:r w:rsidRPr="008A5741">
        <w:t xml:space="preserve">Accountable Care Organization (ACO) </w:t>
      </w:r>
      <w:r w:rsidR="00E1159A" w:rsidRPr="008A5741">
        <w:t>PY</w:t>
      </w:r>
      <w:r w:rsidR="00703FF2" w:rsidRPr="008A5741">
        <w:t>2</w:t>
      </w:r>
      <w:r w:rsidR="00E1159A" w:rsidRPr="008A5741">
        <w:t xml:space="preserve"> </w:t>
      </w:r>
      <w:r w:rsidR="008C1D78" w:rsidRPr="008A5741">
        <w:t xml:space="preserve">Annual </w:t>
      </w:r>
      <w:r w:rsidR="00E1159A" w:rsidRPr="008A5741">
        <w:t>Progress Report Response Form</w:t>
      </w:r>
    </w:p>
    <w:p w14:paraId="5CD27D99" w14:textId="77777777" w:rsidR="00595BD4" w:rsidRPr="008A5741" w:rsidRDefault="00595BD4" w:rsidP="008A5741"/>
    <w:p w14:paraId="5CD27D9A" w14:textId="77777777" w:rsidR="00595BD4" w:rsidRPr="008A5741" w:rsidRDefault="00595BD4" w:rsidP="008A5741">
      <w:pPr>
        <w:pStyle w:val="Heading1"/>
      </w:pPr>
      <w:r w:rsidRPr="008A5741">
        <w:t xml:space="preserve">Part 1: </w:t>
      </w:r>
      <w:r w:rsidR="00E1159A" w:rsidRPr="008A5741">
        <w:t>PY</w:t>
      </w:r>
      <w:r w:rsidR="00703FF2" w:rsidRPr="008A5741">
        <w:t>2</w:t>
      </w:r>
      <w:r w:rsidR="00E1159A" w:rsidRPr="008A5741">
        <w:t xml:space="preserve"> Progress Report Executive Summary</w:t>
      </w:r>
    </w:p>
    <w:p w14:paraId="5CD27D9E" w14:textId="77777777" w:rsidR="009654D7" w:rsidRPr="00934F30" w:rsidRDefault="009654D7" w:rsidP="000E5F21">
      <w:pPr>
        <w:spacing w:after="120"/>
        <w:rPr>
          <w:rFonts w:asciiTheme="minorHAnsi" w:hAnsiTheme="minorHAnsi" w:cstheme="minorHAnsi"/>
        </w:rPr>
      </w:pPr>
    </w:p>
    <w:p w14:paraId="5CD27D9F" w14:textId="77777777" w:rsidR="009654D7" w:rsidRPr="00934F30" w:rsidRDefault="009654D7" w:rsidP="008A5741">
      <w:pPr>
        <w:pStyle w:val="Heading2"/>
      </w:pPr>
      <w:r w:rsidRPr="00934F30">
        <w:t xml:space="preserve">General </w:t>
      </w:r>
      <w:r w:rsidRPr="008A5741">
        <w:t>Information</w:t>
      </w:r>
    </w:p>
    <w:tbl>
      <w:tblPr>
        <w:tblStyle w:val="TableGridLight"/>
        <w:tblW w:w="9560" w:type="dxa"/>
        <w:tblLook w:val="04A0" w:firstRow="1" w:lastRow="0" w:firstColumn="1" w:lastColumn="0" w:noHBand="0" w:noVBand="1"/>
        <w:tblCaption w:val="General Information"/>
      </w:tblPr>
      <w:tblGrid>
        <w:gridCol w:w="3400"/>
        <w:gridCol w:w="6160"/>
      </w:tblGrid>
      <w:tr w:rsidR="00DD3F9E" w:rsidRPr="00934F30" w14:paraId="5CD27DA2" w14:textId="77777777" w:rsidTr="008A5741">
        <w:trPr>
          <w:trHeight w:val="375"/>
          <w:tblHeader/>
        </w:trPr>
        <w:tc>
          <w:tcPr>
            <w:tcW w:w="3400" w:type="dxa"/>
            <w:shd w:val="clear" w:color="auto" w:fill="F2F2F2"/>
            <w:hideMark/>
          </w:tcPr>
          <w:p w14:paraId="5CD27DA0" w14:textId="77777777" w:rsidR="00DD3F9E" w:rsidRPr="00934F30" w:rsidRDefault="00DD3F9E" w:rsidP="00DD3F9E">
            <w:pPr>
              <w:spacing w:after="0"/>
              <w:rPr>
                <w:rFonts w:asciiTheme="minorHAnsi" w:eastAsia="Times New Roman" w:hAnsiTheme="minorHAnsi" w:cstheme="minorHAnsi"/>
                <w:b/>
                <w:bCs/>
                <w:color w:val="000000"/>
              </w:rPr>
            </w:pPr>
            <w:r w:rsidRPr="00934F30">
              <w:rPr>
                <w:rFonts w:asciiTheme="minorHAnsi" w:eastAsia="Times New Roman" w:hAnsiTheme="minorHAnsi" w:cstheme="minorHAnsi"/>
                <w:b/>
                <w:bCs/>
                <w:color w:val="000000"/>
              </w:rPr>
              <w:t>Full ACO Name:</w:t>
            </w:r>
          </w:p>
        </w:tc>
        <w:tc>
          <w:tcPr>
            <w:tcW w:w="6160" w:type="dxa"/>
            <w:shd w:val="clear" w:color="auto" w:fill="F2F2F2"/>
            <w:hideMark/>
          </w:tcPr>
          <w:p w14:paraId="5CD27DA1" w14:textId="77777777" w:rsidR="00DD3F9E" w:rsidRPr="00934F30" w:rsidRDefault="00DD3F9E" w:rsidP="00DD3F9E">
            <w:pPr>
              <w:spacing w:after="0"/>
              <w:rPr>
                <w:rFonts w:asciiTheme="minorHAnsi" w:eastAsia="Times New Roman" w:hAnsiTheme="minorHAnsi" w:cstheme="minorHAnsi"/>
              </w:rPr>
            </w:pPr>
            <w:r w:rsidRPr="00934F30">
              <w:rPr>
                <w:rFonts w:asciiTheme="minorHAnsi" w:eastAsia="Times New Roman" w:hAnsiTheme="minorHAnsi" w:cstheme="minorHAnsi"/>
                <w:color w:val="000000"/>
              </w:rPr>
              <w:t xml:space="preserve">Tufts Health Together with </w:t>
            </w:r>
            <w:r w:rsidRPr="00934F30">
              <w:rPr>
                <w:rFonts w:asciiTheme="minorHAnsi" w:hAnsiTheme="minorHAnsi" w:cstheme="minorHAnsi"/>
              </w:rPr>
              <w:t xml:space="preserve">Beth Israel Deaconess Care Organization (BIDCO) </w:t>
            </w:r>
          </w:p>
        </w:tc>
      </w:tr>
      <w:tr w:rsidR="00DD3F9E" w:rsidRPr="00934F30" w14:paraId="5CD27DA5" w14:textId="77777777" w:rsidTr="008A5741">
        <w:trPr>
          <w:trHeight w:val="375"/>
          <w:tblHeader/>
        </w:trPr>
        <w:tc>
          <w:tcPr>
            <w:tcW w:w="3400" w:type="dxa"/>
            <w:hideMark/>
          </w:tcPr>
          <w:p w14:paraId="5CD27DA3" w14:textId="77777777" w:rsidR="00DD3F9E" w:rsidRPr="00934F30" w:rsidRDefault="00DD3F9E" w:rsidP="00DD3F9E">
            <w:pPr>
              <w:spacing w:after="0"/>
              <w:rPr>
                <w:rFonts w:asciiTheme="minorHAnsi" w:eastAsia="Times New Roman" w:hAnsiTheme="minorHAnsi" w:cstheme="minorHAnsi"/>
                <w:b/>
                <w:bCs/>
                <w:color w:val="000000"/>
              </w:rPr>
            </w:pPr>
            <w:r w:rsidRPr="00934F30">
              <w:rPr>
                <w:rFonts w:asciiTheme="minorHAnsi" w:eastAsia="Times New Roman" w:hAnsiTheme="minorHAnsi" w:cstheme="minorHAnsi"/>
                <w:b/>
                <w:bCs/>
                <w:color w:val="000000"/>
              </w:rPr>
              <w:t>ACO Address:</w:t>
            </w:r>
          </w:p>
        </w:tc>
        <w:tc>
          <w:tcPr>
            <w:tcW w:w="6160" w:type="dxa"/>
            <w:hideMark/>
          </w:tcPr>
          <w:p w14:paraId="5CD27DA4" w14:textId="77777777" w:rsidR="00DD3F9E" w:rsidRPr="00934F30" w:rsidRDefault="00DD3F9E" w:rsidP="00DD3F9E">
            <w:pPr>
              <w:spacing w:after="0"/>
              <w:rPr>
                <w:rFonts w:asciiTheme="minorHAnsi" w:eastAsia="Times New Roman" w:hAnsiTheme="minorHAnsi" w:cstheme="minorHAnsi"/>
              </w:rPr>
            </w:pPr>
            <w:r w:rsidRPr="00934F30">
              <w:rPr>
                <w:rFonts w:asciiTheme="minorHAnsi" w:eastAsia="Times New Roman" w:hAnsiTheme="minorHAnsi" w:cstheme="minorHAnsi"/>
                <w:color w:val="000000"/>
              </w:rPr>
              <w:t> </w:t>
            </w:r>
            <w:r w:rsidRPr="00934F30">
              <w:rPr>
                <w:rFonts w:asciiTheme="minorHAnsi" w:hAnsiTheme="minorHAnsi" w:cstheme="minorHAnsi"/>
              </w:rPr>
              <w:t>247 Station Drive, Suite Northwest 1, Westwood, MA</w:t>
            </w:r>
          </w:p>
        </w:tc>
      </w:tr>
    </w:tbl>
    <w:p w14:paraId="5CD27DBE" w14:textId="56A90D9A" w:rsidR="009654D7" w:rsidRPr="00934F30" w:rsidRDefault="009654D7" w:rsidP="00EA42C3">
      <w:pPr>
        <w:contextualSpacing/>
        <w:rPr>
          <w:rFonts w:asciiTheme="minorHAnsi" w:hAnsiTheme="minorHAnsi" w:cstheme="minorHAnsi"/>
        </w:rPr>
      </w:pPr>
    </w:p>
    <w:p w14:paraId="5CD27DBF" w14:textId="62ED8F03" w:rsidR="00DD3F9E" w:rsidRPr="00934F30" w:rsidRDefault="008A5741" w:rsidP="008A5741">
      <w:pPr>
        <w:pStyle w:val="Heading2"/>
        <w:ind w:left="0"/>
      </w:pPr>
      <w:r w:rsidRPr="008A5741">
        <w:rPr>
          <w:color w:val="000000" w:themeColor="text1"/>
        </w:rPr>
        <w:t xml:space="preserve">Part 1. </w:t>
      </w:r>
      <w:r w:rsidR="00DD3F9E" w:rsidRPr="00934F30">
        <w:t xml:space="preserve">PY2 Progress Report Executive </w:t>
      </w:r>
      <w:r w:rsidR="00DD3F9E" w:rsidRPr="008A5741">
        <w:t>Summary</w:t>
      </w:r>
    </w:p>
    <w:p w14:paraId="5CD27DC0" w14:textId="3D545992" w:rsidR="00DD3F9E" w:rsidRPr="00934F30" w:rsidRDefault="008A5741" w:rsidP="008A5741">
      <w:pPr>
        <w:pStyle w:val="Heading2"/>
        <w:ind w:left="0"/>
      </w:pPr>
      <w:r>
        <w:t xml:space="preserve">1.1 </w:t>
      </w:r>
      <w:r w:rsidR="00DD3F9E" w:rsidRPr="00934F30">
        <w:t>ACO Goals from its Full Participation Plan</w:t>
      </w:r>
    </w:p>
    <w:p w14:paraId="5CD27DC1" w14:textId="77777777" w:rsidR="00DD3F9E" w:rsidRPr="00934F30" w:rsidRDefault="00DD3F9E" w:rsidP="008A5741">
      <w:pPr>
        <w:rPr>
          <w:b/>
        </w:rPr>
      </w:pPr>
      <w:r w:rsidRPr="00934F30">
        <w:t xml:space="preserve">The </w:t>
      </w:r>
      <w:r w:rsidRPr="00934F30">
        <w:rPr>
          <w:i/>
        </w:rPr>
        <w:t>Tufts Health Together with BIDCO</w:t>
      </w:r>
      <w:r w:rsidRPr="00934F30">
        <w:t xml:space="preserve"> ACO strives to </w:t>
      </w:r>
      <w:r w:rsidRPr="00934F30">
        <w:rPr>
          <w:lang w:val="en"/>
        </w:rPr>
        <w:t xml:space="preserve">improve the health outcomes of our diverse members, their families, and their communities by providing access to integrated health care services that promote health, well-being, independence, and quality of life. </w:t>
      </w:r>
      <w:r w:rsidRPr="00934F30">
        <w:t xml:space="preserve">As an Accountable Care Partnership Plan, BIDCO and Tufts Health Plan have leveraged the strengths of each organization to create a multidisciplinary, data-directed and ‘whole person’ care approach. We target interventions with the promise to deliver to MassHealth members </w:t>
      </w:r>
      <w:proofErr w:type="gramStart"/>
      <w:r w:rsidRPr="00934F30">
        <w:t>fully-integrated</w:t>
      </w:r>
      <w:proofErr w:type="gramEnd"/>
      <w:r w:rsidRPr="00934F30">
        <w:t xml:space="preserve"> population health management programs that meet Massachusetts Executive Office of Health and Human Services (EOHHS) and accreditation requirements for care management, disease management, wellness, and prevention to achieve our goal of high-quality, cost-effective care and improved health outcomes.</w:t>
      </w:r>
    </w:p>
    <w:p w14:paraId="5CD27DC2" w14:textId="74E04902" w:rsidR="00DD3F9E" w:rsidRDefault="00DD3F9E" w:rsidP="00DD3F9E">
      <w:pPr>
        <w:rPr>
          <w:rFonts w:asciiTheme="minorHAnsi" w:hAnsiTheme="minorHAnsi" w:cstheme="minorHAnsi"/>
        </w:rPr>
      </w:pPr>
    </w:p>
    <w:p w14:paraId="5CD27DF1" w14:textId="6BB5BEB0" w:rsidR="00DD3F9E" w:rsidRPr="008A5741" w:rsidRDefault="008A5741" w:rsidP="008A5741">
      <w:pPr>
        <w:shd w:val="clear" w:color="auto" w:fill="244061" w:themeFill="accent1" w:themeFillShade="80"/>
        <w:jc w:val="center"/>
        <w:rPr>
          <w:rFonts w:asciiTheme="minorHAnsi" w:hAnsiTheme="minorHAnsi" w:cstheme="minorHAnsi"/>
          <w:b/>
          <w:bCs/>
        </w:rPr>
      </w:pPr>
      <w:r w:rsidRPr="008A5741">
        <w:rPr>
          <w:rFonts w:asciiTheme="minorHAnsi" w:hAnsiTheme="minorHAnsi" w:cstheme="minorHAnsi"/>
          <w:b/>
          <w:bCs/>
        </w:rPr>
        <w:t>ACO Program Goals</w:t>
      </w:r>
    </w:p>
    <w:tbl>
      <w:tblPr>
        <w:tblStyle w:val="TableGridLight"/>
        <w:tblW w:w="0" w:type="auto"/>
        <w:tblLook w:val="04A0" w:firstRow="1" w:lastRow="0" w:firstColumn="1" w:lastColumn="0" w:noHBand="0" w:noVBand="1"/>
        <w:tblCaption w:val="ACO Program Goals"/>
      </w:tblPr>
      <w:tblGrid>
        <w:gridCol w:w="2335"/>
        <w:gridCol w:w="7015"/>
      </w:tblGrid>
      <w:tr w:rsidR="008A5741" w14:paraId="50974269" w14:textId="77777777" w:rsidTr="008A5741">
        <w:trPr>
          <w:tblHeader/>
        </w:trPr>
        <w:tc>
          <w:tcPr>
            <w:tcW w:w="2335" w:type="dxa"/>
            <w:shd w:val="clear" w:color="auto" w:fill="F2F2F2"/>
          </w:tcPr>
          <w:p w14:paraId="6475D977" w14:textId="1D9CCAC5" w:rsidR="008A5741" w:rsidRPr="008A5741" w:rsidRDefault="008A5741" w:rsidP="008A5741">
            <w:pPr>
              <w:jc w:val="center"/>
              <w:rPr>
                <w:rFonts w:asciiTheme="minorHAnsi" w:hAnsiTheme="minorHAnsi" w:cstheme="minorHAnsi"/>
                <w:b/>
                <w:bCs/>
              </w:rPr>
            </w:pPr>
            <w:r w:rsidRPr="008A5741">
              <w:rPr>
                <w:rFonts w:asciiTheme="minorHAnsi" w:hAnsiTheme="minorHAnsi" w:cstheme="minorHAnsi"/>
                <w:b/>
                <w:bCs/>
              </w:rPr>
              <w:t>Goal#</w:t>
            </w:r>
          </w:p>
        </w:tc>
        <w:tc>
          <w:tcPr>
            <w:tcW w:w="7015" w:type="dxa"/>
            <w:shd w:val="clear" w:color="auto" w:fill="F2F2F2"/>
          </w:tcPr>
          <w:p w14:paraId="1824A33E" w14:textId="2516C159" w:rsidR="008A5741" w:rsidRPr="008A5741" w:rsidRDefault="008A5741" w:rsidP="008A5741">
            <w:pPr>
              <w:jc w:val="center"/>
              <w:rPr>
                <w:rFonts w:asciiTheme="minorHAnsi" w:hAnsiTheme="minorHAnsi" w:cstheme="minorHAnsi"/>
                <w:b/>
                <w:bCs/>
              </w:rPr>
            </w:pPr>
            <w:r w:rsidRPr="008A5741">
              <w:rPr>
                <w:rFonts w:asciiTheme="minorHAnsi" w:hAnsiTheme="minorHAnsi" w:cstheme="minorHAnsi"/>
                <w:b/>
                <w:bCs/>
              </w:rPr>
              <w:t>Goal Category &amp; Description</w:t>
            </w:r>
          </w:p>
        </w:tc>
      </w:tr>
      <w:tr w:rsidR="008A5741" w14:paraId="07E558E6" w14:textId="77777777" w:rsidTr="008A5741">
        <w:tc>
          <w:tcPr>
            <w:tcW w:w="2335" w:type="dxa"/>
          </w:tcPr>
          <w:p w14:paraId="55DB9B86" w14:textId="6292AB84" w:rsidR="008A5741" w:rsidRDefault="008A5741" w:rsidP="008A5741">
            <w:pPr>
              <w:jc w:val="center"/>
              <w:rPr>
                <w:rFonts w:asciiTheme="minorHAnsi" w:hAnsiTheme="minorHAnsi" w:cstheme="minorHAnsi"/>
              </w:rPr>
            </w:pPr>
            <w:r>
              <w:rPr>
                <w:rFonts w:asciiTheme="minorHAnsi" w:hAnsiTheme="minorHAnsi" w:cstheme="minorHAnsi"/>
              </w:rPr>
              <w:t>1</w:t>
            </w:r>
          </w:p>
        </w:tc>
        <w:tc>
          <w:tcPr>
            <w:tcW w:w="7015" w:type="dxa"/>
          </w:tcPr>
          <w:p w14:paraId="64EA344D" w14:textId="203E6C8A" w:rsidR="008A5741" w:rsidRDefault="008A5741" w:rsidP="00DD3F9E">
            <w:pPr>
              <w:rPr>
                <w:rFonts w:asciiTheme="minorHAnsi" w:hAnsiTheme="minorHAnsi" w:cstheme="minorHAnsi"/>
              </w:rPr>
            </w:pPr>
            <w:r w:rsidRPr="00934F30">
              <w:rPr>
                <w:rFonts w:asciiTheme="minorHAnsi" w:eastAsia="Times New Roman" w:hAnsiTheme="minorHAnsi" w:cstheme="minorHAnsi"/>
                <w:b/>
                <w:bCs/>
                <w:color w:val="000000"/>
              </w:rPr>
              <w:t xml:space="preserve">Cost and Utilization </w:t>
            </w:r>
            <w:proofErr w:type="spellStart"/>
            <w:r w:rsidRPr="00934F30">
              <w:rPr>
                <w:rFonts w:asciiTheme="minorHAnsi" w:eastAsia="Times New Roman" w:hAnsiTheme="minorHAnsi" w:cstheme="minorHAnsi"/>
                <w:b/>
                <w:bCs/>
                <w:color w:val="000000"/>
              </w:rPr>
              <w:t>Mgmt</w:t>
            </w:r>
            <w:proofErr w:type="spellEnd"/>
            <w:r w:rsidRPr="00934F30">
              <w:rPr>
                <w:rFonts w:asciiTheme="minorHAnsi" w:eastAsia="Times New Roman" w:hAnsiTheme="minorHAnsi" w:cstheme="minorHAnsi"/>
                <w:b/>
                <w:bCs/>
                <w:color w:val="000000"/>
              </w:rPr>
              <w:t xml:space="preserve"> (Medical Trend): </w:t>
            </w:r>
            <w:r w:rsidRPr="00934F30">
              <w:rPr>
                <w:rFonts w:asciiTheme="minorHAnsi" w:eastAsia="Times New Roman" w:hAnsiTheme="minorHAnsi" w:cstheme="minorHAnsi"/>
                <w:bCs/>
                <w:color w:val="000000"/>
              </w:rPr>
              <w:t>Maintain the ACO medical expense trend below 3.1% compared to PY2</w:t>
            </w:r>
          </w:p>
        </w:tc>
      </w:tr>
      <w:tr w:rsidR="008A5741" w14:paraId="7E2990E4" w14:textId="77777777" w:rsidTr="008A5741">
        <w:tc>
          <w:tcPr>
            <w:tcW w:w="2335" w:type="dxa"/>
          </w:tcPr>
          <w:p w14:paraId="04902AC1" w14:textId="30EE4436" w:rsidR="008A5741" w:rsidRDefault="008A5741" w:rsidP="008A5741">
            <w:pPr>
              <w:jc w:val="center"/>
              <w:rPr>
                <w:rFonts w:asciiTheme="minorHAnsi" w:hAnsiTheme="minorHAnsi" w:cstheme="minorHAnsi"/>
              </w:rPr>
            </w:pPr>
            <w:r>
              <w:rPr>
                <w:rFonts w:asciiTheme="minorHAnsi" w:hAnsiTheme="minorHAnsi" w:cstheme="minorHAnsi"/>
              </w:rPr>
              <w:t>1.a</w:t>
            </w:r>
          </w:p>
        </w:tc>
        <w:tc>
          <w:tcPr>
            <w:tcW w:w="7015" w:type="dxa"/>
          </w:tcPr>
          <w:p w14:paraId="29C4CE42" w14:textId="35D4F71B" w:rsidR="008A5741" w:rsidRDefault="008A5741" w:rsidP="00DD3F9E">
            <w:pPr>
              <w:rPr>
                <w:rFonts w:asciiTheme="minorHAnsi" w:hAnsiTheme="minorHAnsi" w:cstheme="minorHAnsi"/>
              </w:rPr>
            </w:pPr>
            <w:r w:rsidRPr="00934F30">
              <w:rPr>
                <w:rFonts w:asciiTheme="minorHAnsi" w:eastAsia="Times New Roman" w:hAnsiTheme="minorHAnsi" w:cstheme="minorHAnsi"/>
                <w:i/>
                <w:iCs/>
                <w:color w:val="000000"/>
                <w:u w:val="single"/>
              </w:rPr>
              <w:t>Sub goal #1:</w:t>
            </w:r>
            <w:r w:rsidRPr="00934F30">
              <w:rPr>
                <w:rFonts w:asciiTheme="minorHAnsi" w:eastAsia="Times New Roman" w:hAnsiTheme="minorHAnsi" w:cstheme="minorHAnsi"/>
                <w:i/>
                <w:iCs/>
                <w:color w:val="000000"/>
              </w:rPr>
              <w:t xml:space="preserve"> Engage acutely hospitalized MassHealth patients in the ACO transitions of care program to reduce inappropriate </w:t>
            </w:r>
            <w:proofErr w:type="gramStart"/>
            <w:r w:rsidRPr="00934F30">
              <w:rPr>
                <w:rFonts w:asciiTheme="minorHAnsi" w:eastAsia="Times New Roman" w:hAnsiTheme="minorHAnsi" w:cstheme="minorHAnsi"/>
                <w:i/>
                <w:iCs/>
                <w:color w:val="000000"/>
              </w:rPr>
              <w:t>30 day</w:t>
            </w:r>
            <w:proofErr w:type="gramEnd"/>
            <w:r w:rsidRPr="00934F30">
              <w:rPr>
                <w:rFonts w:asciiTheme="minorHAnsi" w:eastAsia="Times New Roman" w:hAnsiTheme="minorHAnsi" w:cstheme="minorHAnsi"/>
                <w:i/>
                <w:iCs/>
                <w:color w:val="000000"/>
              </w:rPr>
              <w:t xml:space="preserve"> readmissions by 2% compared to PY2.</w:t>
            </w:r>
          </w:p>
        </w:tc>
      </w:tr>
      <w:tr w:rsidR="008A5741" w14:paraId="691E0EA5" w14:textId="77777777" w:rsidTr="008A5741">
        <w:tc>
          <w:tcPr>
            <w:tcW w:w="2335" w:type="dxa"/>
          </w:tcPr>
          <w:p w14:paraId="1BA86FA5" w14:textId="6811BE5E" w:rsidR="008A5741" w:rsidRDefault="008A5741" w:rsidP="008A5741">
            <w:pPr>
              <w:jc w:val="center"/>
              <w:rPr>
                <w:rFonts w:asciiTheme="minorHAnsi" w:hAnsiTheme="minorHAnsi" w:cstheme="minorHAnsi"/>
              </w:rPr>
            </w:pPr>
            <w:r>
              <w:rPr>
                <w:rFonts w:asciiTheme="minorHAnsi" w:hAnsiTheme="minorHAnsi" w:cstheme="minorHAnsi"/>
              </w:rPr>
              <w:t>1.b</w:t>
            </w:r>
          </w:p>
        </w:tc>
        <w:tc>
          <w:tcPr>
            <w:tcW w:w="7015" w:type="dxa"/>
          </w:tcPr>
          <w:p w14:paraId="27CFC750" w14:textId="743A41D6" w:rsidR="008A5741" w:rsidRDefault="008A5741" w:rsidP="00DD3F9E">
            <w:pPr>
              <w:rPr>
                <w:rFonts w:asciiTheme="minorHAnsi" w:hAnsiTheme="minorHAnsi" w:cstheme="minorHAnsi"/>
              </w:rPr>
            </w:pPr>
            <w:r w:rsidRPr="00934F30">
              <w:rPr>
                <w:rFonts w:asciiTheme="minorHAnsi" w:eastAsia="Times New Roman" w:hAnsiTheme="minorHAnsi" w:cstheme="minorHAnsi"/>
                <w:i/>
                <w:iCs/>
                <w:color w:val="000000"/>
                <w:u w:val="single"/>
              </w:rPr>
              <w:t>Sub goal #2:</w:t>
            </w:r>
            <w:r w:rsidRPr="00934F30">
              <w:rPr>
                <w:rFonts w:asciiTheme="minorHAnsi" w:eastAsia="Times New Roman" w:hAnsiTheme="minorHAnsi" w:cstheme="minorHAnsi"/>
                <w:i/>
                <w:iCs/>
                <w:color w:val="000000"/>
              </w:rPr>
              <w:t xml:space="preserve"> Reduce total behavioral health inpatient admissions by 2% compared to PY2.</w:t>
            </w:r>
          </w:p>
        </w:tc>
      </w:tr>
      <w:tr w:rsidR="008A5741" w14:paraId="6408D900" w14:textId="77777777" w:rsidTr="006045AD">
        <w:tc>
          <w:tcPr>
            <w:tcW w:w="2335" w:type="dxa"/>
          </w:tcPr>
          <w:p w14:paraId="4124ADD4" w14:textId="7E4BCCD7" w:rsidR="008A5741" w:rsidRDefault="008A5741" w:rsidP="008A5741">
            <w:pPr>
              <w:jc w:val="center"/>
              <w:rPr>
                <w:rFonts w:asciiTheme="minorHAnsi" w:hAnsiTheme="minorHAnsi" w:cstheme="minorHAnsi"/>
              </w:rPr>
            </w:pPr>
            <w:r>
              <w:rPr>
                <w:rFonts w:asciiTheme="minorHAnsi" w:hAnsiTheme="minorHAnsi" w:cstheme="minorHAnsi"/>
              </w:rPr>
              <w:t>1.c</w:t>
            </w:r>
          </w:p>
        </w:tc>
        <w:tc>
          <w:tcPr>
            <w:tcW w:w="7015" w:type="dxa"/>
            <w:vAlign w:val="center"/>
          </w:tcPr>
          <w:p w14:paraId="372D6858" w14:textId="3FD6097A" w:rsidR="008A5741" w:rsidRDefault="008A5741" w:rsidP="008A5741">
            <w:pPr>
              <w:rPr>
                <w:rFonts w:asciiTheme="minorHAnsi" w:hAnsiTheme="minorHAnsi" w:cstheme="minorHAnsi"/>
              </w:rPr>
            </w:pPr>
            <w:r w:rsidRPr="00934F30">
              <w:rPr>
                <w:rFonts w:asciiTheme="minorHAnsi" w:eastAsia="Times New Roman" w:hAnsiTheme="minorHAnsi" w:cstheme="minorHAnsi"/>
                <w:i/>
                <w:iCs/>
                <w:color w:val="000000"/>
                <w:u w:val="single"/>
              </w:rPr>
              <w:t>Sub goal #3:</w:t>
            </w:r>
            <w:r w:rsidRPr="00934F30">
              <w:rPr>
                <w:rFonts w:asciiTheme="minorHAnsi" w:eastAsia="Times New Roman" w:hAnsiTheme="minorHAnsi" w:cstheme="minorHAnsi"/>
                <w:i/>
                <w:iCs/>
                <w:color w:val="000000"/>
              </w:rPr>
              <w:t xml:space="preserve"> Engage complex MassHealth patients in care management to stabilize health conditions and reduce 12-month post-CCM engagement </w:t>
            </w:r>
            <w:r w:rsidRPr="00934F30">
              <w:rPr>
                <w:rFonts w:asciiTheme="minorHAnsi" w:eastAsia="Times New Roman" w:hAnsiTheme="minorHAnsi" w:cstheme="minorHAnsi"/>
                <w:i/>
                <w:iCs/>
                <w:color w:val="000000"/>
              </w:rPr>
              <w:lastRenderedPageBreak/>
              <w:t>total medical expense by 5% as compared to the 12-</w:t>
            </w:r>
            <w:proofErr w:type="gramStart"/>
            <w:r w:rsidRPr="00934F30">
              <w:rPr>
                <w:rFonts w:asciiTheme="minorHAnsi" w:eastAsia="Times New Roman" w:hAnsiTheme="minorHAnsi" w:cstheme="minorHAnsi"/>
                <w:i/>
                <w:iCs/>
                <w:color w:val="000000"/>
              </w:rPr>
              <w:t>month  pre</w:t>
            </w:r>
            <w:proofErr w:type="gramEnd"/>
            <w:r w:rsidRPr="00934F30">
              <w:rPr>
                <w:rFonts w:asciiTheme="minorHAnsi" w:eastAsia="Times New Roman" w:hAnsiTheme="minorHAnsi" w:cstheme="minorHAnsi"/>
                <w:i/>
                <w:iCs/>
                <w:color w:val="000000"/>
              </w:rPr>
              <w:t xml:space="preserve">-engagement TME. </w:t>
            </w:r>
          </w:p>
        </w:tc>
      </w:tr>
      <w:tr w:rsidR="008A5741" w14:paraId="0C7E201D" w14:textId="77777777" w:rsidTr="008A5741">
        <w:tc>
          <w:tcPr>
            <w:tcW w:w="2335" w:type="dxa"/>
          </w:tcPr>
          <w:p w14:paraId="4279B775" w14:textId="4B9F0032" w:rsidR="008A5741" w:rsidRDefault="008A5741" w:rsidP="008A5741">
            <w:pPr>
              <w:jc w:val="center"/>
              <w:rPr>
                <w:rFonts w:asciiTheme="minorHAnsi" w:hAnsiTheme="minorHAnsi" w:cstheme="minorHAnsi"/>
              </w:rPr>
            </w:pPr>
            <w:r>
              <w:rPr>
                <w:rFonts w:asciiTheme="minorHAnsi" w:hAnsiTheme="minorHAnsi" w:cstheme="minorHAnsi"/>
              </w:rPr>
              <w:lastRenderedPageBreak/>
              <w:t>2.a</w:t>
            </w:r>
          </w:p>
        </w:tc>
        <w:tc>
          <w:tcPr>
            <w:tcW w:w="7015" w:type="dxa"/>
          </w:tcPr>
          <w:p w14:paraId="527FD0E7" w14:textId="6C3DA2CD" w:rsidR="008A5741" w:rsidRDefault="008A5741" w:rsidP="008A5741">
            <w:pPr>
              <w:rPr>
                <w:rFonts w:asciiTheme="minorHAnsi" w:hAnsiTheme="minorHAnsi" w:cstheme="minorHAnsi"/>
              </w:rPr>
            </w:pPr>
            <w:r w:rsidRPr="00934F30">
              <w:rPr>
                <w:rFonts w:asciiTheme="minorHAnsi" w:eastAsia="Times New Roman" w:hAnsiTheme="minorHAnsi" w:cstheme="minorHAnsi"/>
                <w:b/>
                <w:bCs/>
                <w:i/>
                <w:iCs/>
                <w:color w:val="000000"/>
              </w:rPr>
              <w:t xml:space="preserve">Cost and Utilization </w:t>
            </w:r>
            <w:proofErr w:type="spellStart"/>
            <w:r w:rsidRPr="00934F30">
              <w:rPr>
                <w:rFonts w:asciiTheme="minorHAnsi" w:eastAsia="Times New Roman" w:hAnsiTheme="minorHAnsi" w:cstheme="minorHAnsi"/>
                <w:b/>
                <w:bCs/>
                <w:i/>
                <w:iCs/>
                <w:color w:val="000000"/>
              </w:rPr>
              <w:t>Mgmt</w:t>
            </w:r>
            <w:proofErr w:type="spellEnd"/>
            <w:r w:rsidRPr="00934F30">
              <w:rPr>
                <w:rFonts w:asciiTheme="minorHAnsi" w:eastAsia="Times New Roman" w:hAnsiTheme="minorHAnsi" w:cstheme="minorHAnsi"/>
                <w:b/>
                <w:bCs/>
                <w:i/>
                <w:iCs/>
                <w:color w:val="000000"/>
              </w:rPr>
              <w:t xml:space="preserve"> (Operational efficiency): </w:t>
            </w:r>
            <w:r w:rsidRPr="00934F30">
              <w:rPr>
                <w:rFonts w:asciiTheme="minorHAnsi" w:hAnsiTheme="minorHAnsi" w:cstheme="minorHAnsi"/>
              </w:rPr>
              <w:t>Maintain aging claims (&gt; 30 days) levels no more than 10% of total inventory by 2020 and throughout program duration.</w:t>
            </w:r>
          </w:p>
        </w:tc>
      </w:tr>
      <w:tr w:rsidR="008A5741" w14:paraId="377AC44A" w14:textId="77777777" w:rsidTr="008A5741">
        <w:tc>
          <w:tcPr>
            <w:tcW w:w="2335" w:type="dxa"/>
          </w:tcPr>
          <w:p w14:paraId="5DA2A51E" w14:textId="3921527E" w:rsidR="008A5741" w:rsidRDefault="008A5741" w:rsidP="008A5741">
            <w:pPr>
              <w:jc w:val="center"/>
              <w:rPr>
                <w:rFonts w:asciiTheme="minorHAnsi" w:hAnsiTheme="minorHAnsi" w:cstheme="minorHAnsi"/>
              </w:rPr>
            </w:pPr>
            <w:r>
              <w:rPr>
                <w:rFonts w:asciiTheme="minorHAnsi" w:hAnsiTheme="minorHAnsi" w:cstheme="minorHAnsi"/>
              </w:rPr>
              <w:t>2.b</w:t>
            </w:r>
          </w:p>
        </w:tc>
        <w:tc>
          <w:tcPr>
            <w:tcW w:w="7015" w:type="dxa"/>
          </w:tcPr>
          <w:p w14:paraId="43A54CA9" w14:textId="3B67D057" w:rsidR="008A5741" w:rsidRDefault="008A5741" w:rsidP="008A5741">
            <w:pPr>
              <w:rPr>
                <w:rFonts w:asciiTheme="minorHAnsi" w:hAnsiTheme="minorHAnsi" w:cstheme="minorHAnsi"/>
              </w:rPr>
            </w:pPr>
            <w:r w:rsidRPr="00934F30">
              <w:rPr>
                <w:rFonts w:asciiTheme="minorHAnsi" w:eastAsia="Times New Roman" w:hAnsiTheme="minorHAnsi" w:cstheme="minorHAnsi"/>
                <w:b/>
                <w:bCs/>
                <w:i/>
                <w:iCs/>
                <w:color w:val="000000"/>
              </w:rPr>
              <w:t xml:space="preserve">Cost and Utilization </w:t>
            </w:r>
            <w:proofErr w:type="spellStart"/>
            <w:r w:rsidRPr="00934F30">
              <w:rPr>
                <w:rFonts w:asciiTheme="minorHAnsi" w:eastAsia="Times New Roman" w:hAnsiTheme="minorHAnsi" w:cstheme="minorHAnsi"/>
                <w:b/>
                <w:bCs/>
                <w:i/>
                <w:iCs/>
                <w:color w:val="000000"/>
              </w:rPr>
              <w:t>Mgmt</w:t>
            </w:r>
            <w:proofErr w:type="spellEnd"/>
            <w:r w:rsidRPr="00934F30">
              <w:rPr>
                <w:rFonts w:asciiTheme="minorHAnsi" w:eastAsia="Times New Roman" w:hAnsiTheme="minorHAnsi" w:cstheme="minorHAnsi"/>
                <w:b/>
                <w:bCs/>
                <w:i/>
                <w:iCs/>
                <w:color w:val="000000"/>
              </w:rPr>
              <w:t xml:space="preserve"> (Operational efficiency): </w:t>
            </w:r>
            <w:r w:rsidRPr="00934F30">
              <w:rPr>
                <w:rFonts w:asciiTheme="minorHAnsi" w:hAnsiTheme="minorHAnsi" w:cstheme="minorHAnsi"/>
              </w:rPr>
              <w:t>Achieve total claims accuracy rates of 95% or higher by 2020 and throughout program duration.</w:t>
            </w:r>
          </w:p>
        </w:tc>
      </w:tr>
      <w:tr w:rsidR="008A5741" w14:paraId="2B915C77" w14:textId="77777777" w:rsidTr="008A5741">
        <w:tc>
          <w:tcPr>
            <w:tcW w:w="2335" w:type="dxa"/>
          </w:tcPr>
          <w:p w14:paraId="7BC91D00" w14:textId="247032B6" w:rsidR="008A5741" w:rsidRDefault="008A5741" w:rsidP="008A5741">
            <w:pPr>
              <w:jc w:val="center"/>
              <w:rPr>
                <w:rFonts w:asciiTheme="minorHAnsi" w:hAnsiTheme="minorHAnsi" w:cstheme="minorHAnsi"/>
              </w:rPr>
            </w:pPr>
            <w:r>
              <w:rPr>
                <w:rFonts w:asciiTheme="minorHAnsi" w:hAnsiTheme="minorHAnsi" w:cstheme="minorHAnsi"/>
              </w:rPr>
              <w:t>3</w:t>
            </w:r>
          </w:p>
        </w:tc>
        <w:tc>
          <w:tcPr>
            <w:tcW w:w="7015" w:type="dxa"/>
          </w:tcPr>
          <w:p w14:paraId="6D6A8C32" w14:textId="57FFB188" w:rsidR="008A5741" w:rsidRDefault="008A5741" w:rsidP="008A5741">
            <w:pPr>
              <w:rPr>
                <w:rFonts w:asciiTheme="minorHAnsi" w:hAnsiTheme="minorHAnsi" w:cstheme="minorHAnsi"/>
              </w:rPr>
            </w:pPr>
            <w:r w:rsidRPr="00934F30">
              <w:rPr>
                <w:rFonts w:asciiTheme="minorHAnsi" w:eastAsia="Times New Roman" w:hAnsiTheme="minorHAnsi" w:cstheme="minorHAnsi"/>
                <w:b/>
                <w:bCs/>
                <w:i/>
                <w:iCs/>
                <w:color w:val="000000"/>
              </w:rPr>
              <w:t>Quality:</w:t>
            </w:r>
            <w:r w:rsidRPr="00934F30">
              <w:rPr>
                <w:rFonts w:asciiTheme="minorHAnsi" w:hAnsiTheme="minorHAnsi" w:cstheme="minorHAnsi"/>
                <w:color w:val="000000"/>
              </w:rPr>
              <w:t xml:space="preserve"> Improve depression screening and follow-up plan results by 3% compared to PY2 and 5% compared to PY1.</w:t>
            </w:r>
          </w:p>
        </w:tc>
      </w:tr>
      <w:tr w:rsidR="008A5741" w14:paraId="6CB69F01" w14:textId="77777777" w:rsidTr="008A5741">
        <w:tc>
          <w:tcPr>
            <w:tcW w:w="2335" w:type="dxa"/>
          </w:tcPr>
          <w:p w14:paraId="02951647" w14:textId="2818DEF3" w:rsidR="008A5741" w:rsidRDefault="008A5741" w:rsidP="008A5741">
            <w:pPr>
              <w:jc w:val="center"/>
              <w:rPr>
                <w:rFonts w:asciiTheme="minorHAnsi" w:hAnsiTheme="minorHAnsi" w:cstheme="minorHAnsi"/>
              </w:rPr>
            </w:pPr>
            <w:r>
              <w:rPr>
                <w:rFonts w:asciiTheme="minorHAnsi" w:hAnsiTheme="minorHAnsi" w:cstheme="minorHAnsi"/>
              </w:rPr>
              <w:t>4</w:t>
            </w:r>
          </w:p>
        </w:tc>
        <w:tc>
          <w:tcPr>
            <w:tcW w:w="7015" w:type="dxa"/>
          </w:tcPr>
          <w:p w14:paraId="2C845B7D" w14:textId="22DFB286" w:rsidR="008A5741" w:rsidRDefault="008A5741" w:rsidP="008A5741">
            <w:pPr>
              <w:rPr>
                <w:rFonts w:asciiTheme="minorHAnsi" w:hAnsiTheme="minorHAnsi" w:cstheme="minorHAnsi"/>
              </w:rPr>
            </w:pPr>
            <w:r w:rsidRPr="00934F30">
              <w:rPr>
                <w:rFonts w:asciiTheme="minorHAnsi" w:eastAsia="Times New Roman" w:hAnsiTheme="minorHAnsi" w:cstheme="minorHAnsi"/>
                <w:b/>
                <w:bCs/>
                <w:i/>
                <w:iCs/>
                <w:color w:val="000000"/>
              </w:rPr>
              <w:t>Quality:</w:t>
            </w:r>
            <w:r w:rsidRPr="00934F30">
              <w:rPr>
                <w:rFonts w:asciiTheme="minorHAnsi" w:eastAsia="Times New Roman" w:hAnsiTheme="minorHAnsi" w:cstheme="minorHAnsi"/>
                <w:color w:val="000000"/>
              </w:rPr>
              <w:t xml:space="preserve"> Improve health related social needs screening by 3% in PY3 compared to PY2 and 5% compared PY1.</w:t>
            </w:r>
          </w:p>
        </w:tc>
      </w:tr>
      <w:tr w:rsidR="008A5741" w14:paraId="5E665EF6" w14:textId="77777777" w:rsidTr="008A5741">
        <w:tc>
          <w:tcPr>
            <w:tcW w:w="2335" w:type="dxa"/>
          </w:tcPr>
          <w:p w14:paraId="34FEDCFB" w14:textId="45029801" w:rsidR="008A5741" w:rsidRDefault="008A5741" w:rsidP="008A5741">
            <w:pPr>
              <w:jc w:val="center"/>
              <w:rPr>
                <w:rFonts w:asciiTheme="minorHAnsi" w:hAnsiTheme="minorHAnsi" w:cstheme="minorHAnsi"/>
              </w:rPr>
            </w:pPr>
            <w:r>
              <w:rPr>
                <w:rFonts w:asciiTheme="minorHAnsi" w:hAnsiTheme="minorHAnsi" w:cstheme="minorHAnsi"/>
              </w:rPr>
              <w:t>5</w:t>
            </w:r>
          </w:p>
        </w:tc>
        <w:tc>
          <w:tcPr>
            <w:tcW w:w="7015" w:type="dxa"/>
          </w:tcPr>
          <w:p w14:paraId="30704727" w14:textId="182E6EE1" w:rsidR="008A5741" w:rsidRDefault="008A5741" w:rsidP="008A5741">
            <w:pPr>
              <w:rPr>
                <w:rFonts w:asciiTheme="minorHAnsi" w:hAnsiTheme="minorHAnsi" w:cstheme="minorHAnsi"/>
              </w:rPr>
            </w:pPr>
            <w:r w:rsidRPr="00934F30">
              <w:rPr>
                <w:rFonts w:asciiTheme="minorHAnsi" w:eastAsia="Times New Roman" w:hAnsiTheme="minorHAnsi" w:cstheme="minorHAnsi"/>
                <w:b/>
                <w:bCs/>
                <w:i/>
                <w:iCs/>
                <w:color w:val="000000"/>
              </w:rPr>
              <w:t>Quality:</w:t>
            </w:r>
            <w:r w:rsidRPr="00934F30">
              <w:rPr>
                <w:rFonts w:asciiTheme="minorHAnsi" w:eastAsia="Times New Roman" w:hAnsiTheme="minorHAnsi" w:cstheme="minorHAnsi"/>
                <w:color w:val="000000"/>
              </w:rPr>
              <w:t xml:space="preserve"> Improve rate of patients with A1c&lt;9 by 3% compared to PY2 and 5% compared to PY1.</w:t>
            </w:r>
          </w:p>
        </w:tc>
      </w:tr>
      <w:tr w:rsidR="008A5741" w14:paraId="35F39B55" w14:textId="77777777" w:rsidTr="008A5741">
        <w:tc>
          <w:tcPr>
            <w:tcW w:w="2335" w:type="dxa"/>
          </w:tcPr>
          <w:p w14:paraId="1855DB43" w14:textId="5B2F15AB" w:rsidR="008A5741" w:rsidRDefault="008A5741" w:rsidP="008A5741">
            <w:pPr>
              <w:jc w:val="center"/>
              <w:rPr>
                <w:rFonts w:asciiTheme="minorHAnsi" w:hAnsiTheme="minorHAnsi" w:cstheme="minorHAnsi"/>
              </w:rPr>
            </w:pPr>
            <w:r>
              <w:rPr>
                <w:rFonts w:asciiTheme="minorHAnsi" w:hAnsiTheme="minorHAnsi" w:cstheme="minorHAnsi"/>
              </w:rPr>
              <w:t>6</w:t>
            </w:r>
          </w:p>
        </w:tc>
        <w:tc>
          <w:tcPr>
            <w:tcW w:w="7015" w:type="dxa"/>
          </w:tcPr>
          <w:p w14:paraId="30C94F4A" w14:textId="7588F781" w:rsidR="008A5741" w:rsidRDefault="008A5741" w:rsidP="008A5741">
            <w:pPr>
              <w:rPr>
                <w:rFonts w:asciiTheme="minorHAnsi" w:hAnsiTheme="minorHAnsi" w:cstheme="minorHAnsi"/>
              </w:rPr>
            </w:pPr>
            <w:r w:rsidRPr="00934F30">
              <w:rPr>
                <w:rFonts w:asciiTheme="minorHAnsi" w:eastAsia="Times New Roman" w:hAnsiTheme="minorHAnsi" w:cstheme="minorHAnsi"/>
                <w:b/>
                <w:bCs/>
                <w:i/>
                <w:iCs/>
                <w:color w:val="000000"/>
              </w:rPr>
              <w:t>Member experience:</w:t>
            </w:r>
            <w:r w:rsidRPr="00934F30">
              <w:rPr>
                <w:rFonts w:asciiTheme="minorHAnsi" w:eastAsia="Times New Roman" w:hAnsiTheme="minorHAnsi" w:cstheme="minorHAnsi"/>
                <w:color w:val="000000" w:themeColor="text1"/>
              </w:rPr>
              <w:t xml:space="preserve"> All high risk and complex members are connected to a primary care provider.</w:t>
            </w:r>
          </w:p>
        </w:tc>
      </w:tr>
      <w:tr w:rsidR="008A5741" w14:paraId="67EFDF80" w14:textId="77777777" w:rsidTr="008A5741">
        <w:tc>
          <w:tcPr>
            <w:tcW w:w="2335" w:type="dxa"/>
          </w:tcPr>
          <w:p w14:paraId="5D9AD05D" w14:textId="3668C0B5" w:rsidR="008A5741" w:rsidRDefault="008A5741" w:rsidP="008A5741">
            <w:pPr>
              <w:jc w:val="center"/>
              <w:rPr>
                <w:rFonts w:asciiTheme="minorHAnsi" w:hAnsiTheme="minorHAnsi" w:cstheme="minorHAnsi"/>
              </w:rPr>
            </w:pPr>
            <w:r>
              <w:rPr>
                <w:rFonts w:asciiTheme="minorHAnsi" w:hAnsiTheme="minorHAnsi" w:cstheme="minorHAnsi"/>
              </w:rPr>
              <w:t>7</w:t>
            </w:r>
          </w:p>
        </w:tc>
        <w:tc>
          <w:tcPr>
            <w:tcW w:w="7015" w:type="dxa"/>
          </w:tcPr>
          <w:p w14:paraId="17385A60" w14:textId="5483E26F" w:rsidR="008A5741" w:rsidRDefault="008A5741" w:rsidP="008A5741">
            <w:pPr>
              <w:rPr>
                <w:rFonts w:asciiTheme="minorHAnsi" w:hAnsiTheme="minorHAnsi" w:cstheme="minorHAnsi"/>
              </w:rPr>
            </w:pPr>
            <w:r w:rsidRPr="00934F30">
              <w:rPr>
                <w:rFonts w:asciiTheme="minorHAnsi" w:eastAsia="Times New Roman" w:hAnsiTheme="minorHAnsi" w:cstheme="minorHAnsi"/>
                <w:b/>
                <w:bCs/>
                <w:i/>
                <w:iCs/>
                <w:color w:val="000000"/>
              </w:rPr>
              <w:t>Integration of physical health, BH, LTSS, and health related social needs:</w:t>
            </w:r>
            <w:r w:rsidRPr="00934F30">
              <w:rPr>
                <w:rFonts w:asciiTheme="minorHAnsi" w:eastAsia="Times New Roman" w:hAnsiTheme="minorHAnsi" w:cstheme="minorHAnsi"/>
                <w:color w:val="000000" w:themeColor="text1"/>
              </w:rPr>
              <w:t xml:space="preserve"> </w:t>
            </w:r>
            <w:r w:rsidRPr="00934F30">
              <w:rPr>
                <w:rFonts w:asciiTheme="minorHAnsi" w:eastAsia="Times New Roman" w:hAnsiTheme="minorHAnsi" w:cstheme="minorHAnsi"/>
                <w:color w:val="000000"/>
              </w:rPr>
              <w:t>Improve health related social needs screening by 3% in PY3 compared to PY2 and 5% compared PY1.</w:t>
            </w:r>
          </w:p>
        </w:tc>
      </w:tr>
    </w:tbl>
    <w:p w14:paraId="6E7A94DA" w14:textId="77777777" w:rsidR="008A5741" w:rsidRPr="00934F30" w:rsidRDefault="008A5741" w:rsidP="00DD3F9E">
      <w:pPr>
        <w:rPr>
          <w:rFonts w:asciiTheme="minorHAnsi" w:hAnsiTheme="minorHAnsi" w:cstheme="minorHAnsi"/>
        </w:rPr>
      </w:pPr>
    </w:p>
    <w:p w14:paraId="5CD27DF2" w14:textId="71976688" w:rsidR="00DD3F9E" w:rsidRPr="00934F30" w:rsidRDefault="008A5741" w:rsidP="008A5741">
      <w:pPr>
        <w:pStyle w:val="Heading2"/>
        <w:ind w:left="0"/>
      </w:pPr>
      <w:r>
        <w:t xml:space="preserve">1.2 </w:t>
      </w:r>
      <w:r w:rsidR="00DD3F9E" w:rsidRPr="00934F30">
        <w:t>PY2 Investments Overview and Progress toward Goals</w:t>
      </w:r>
    </w:p>
    <w:p w14:paraId="5CD27DF3" w14:textId="77777777" w:rsidR="00DD3F9E" w:rsidRPr="00934F30" w:rsidRDefault="00DD3F9E" w:rsidP="00DD3F9E">
      <w:pPr>
        <w:rPr>
          <w:rFonts w:asciiTheme="minorHAnsi" w:hAnsiTheme="minorHAnsi" w:cstheme="minorHAnsi"/>
        </w:rPr>
      </w:pPr>
      <w:r w:rsidRPr="00934F30">
        <w:rPr>
          <w:rFonts w:asciiTheme="minorHAnsi" w:hAnsiTheme="minorHAnsi" w:cstheme="minorHAnsi"/>
        </w:rPr>
        <w:t xml:space="preserve">To deliver value to our members, EOHHS and CMS, </w:t>
      </w:r>
      <w:r w:rsidRPr="00934F30">
        <w:rPr>
          <w:rFonts w:asciiTheme="minorHAnsi" w:eastAsia="Times New Roman" w:hAnsiTheme="minorHAnsi" w:cstheme="minorHAnsi"/>
          <w:i/>
        </w:rPr>
        <w:t>Tufts Health Together with BIDCO</w:t>
      </w:r>
      <w:r w:rsidRPr="00934F30">
        <w:rPr>
          <w:rFonts w:asciiTheme="minorHAnsi" w:eastAsia="Times New Roman" w:hAnsiTheme="minorHAnsi" w:cstheme="minorHAnsi"/>
        </w:rPr>
        <w:t xml:space="preserve"> </w:t>
      </w:r>
      <w:r w:rsidRPr="00934F30">
        <w:rPr>
          <w:rFonts w:asciiTheme="minorHAnsi" w:hAnsiTheme="minorHAnsi" w:cstheme="minorHAnsi"/>
        </w:rPr>
        <w:t xml:space="preserve">has continued to leverage existing infrastructure and make targeted investments to improve the health and outcomes for MassHealth members and bend the total cost of care for this population across our diverse network. </w:t>
      </w:r>
    </w:p>
    <w:p w14:paraId="5CD27DF4" w14:textId="77777777" w:rsidR="00DD3F9E" w:rsidRPr="00934F30" w:rsidRDefault="00DD3F9E" w:rsidP="00DD3F9E">
      <w:pPr>
        <w:rPr>
          <w:rFonts w:asciiTheme="minorHAnsi" w:hAnsiTheme="minorHAnsi" w:cstheme="minorHAnsi"/>
        </w:rPr>
      </w:pPr>
      <w:r w:rsidRPr="00934F30">
        <w:rPr>
          <w:rFonts w:asciiTheme="minorHAnsi" w:hAnsiTheme="minorHAnsi" w:cstheme="minorHAnsi"/>
        </w:rPr>
        <w:t>To this end, specific investments priorities in PY2 included:</w:t>
      </w:r>
    </w:p>
    <w:p w14:paraId="5CD27DF5" w14:textId="77777777" w:rsidR="00DD3F9E" w:rsidRPr="00934F30" w:rsidRDefault="00DD3F9E" w:rsidP="00DD3F9E">
      <w:pPr>
        <w:pStyle w:val="ListParagraph"/>
        <w:numPr>
          <w:ilvl w:val="0"/>
          <w:numId w:val="24"/>
        </w:numPr>
        <w:spacing w:after="120"/>
        <w:rPr>
          <w:rFonts w:asciiTheme="minorHAnsi" w:hAnsiTheme="minorHAnsi" w:cstheme="minorHAnsi"/>
        </w:rPr>
      </w:pPr>
      <w:r w:rsidRPr="00934F30">
        <w:rPr>
          <w:rFonts w:asciiTheme="minorHAnsi" w:hAnsiTheme="minorHAnsi" w:cstheme="minorHAnsi"/>
        </w:rPr>
        <w:t xml:space="preserve">Care Management and Population Health Management Services to Manage Individual Risk: </w:t>
      </w:r>
      <w:r w:rsidRPr="00934F30">
        <w:rPr>
          <w:rFonts w:asciiTheme="minorHAnsi" w:hAnsiTheme="minorHAnsi" w:cstheme="minorHAnsi"/>
          <w:i/>
        </w:rPr>
        <w:t xml:space="preserve">Tufts Health Together with BIDCO </w:t>
      </w:r>
      <w:r w:rsidRPr="00934F30">
        <w:rPr>
          <w:rFonts w:asciiTheme="minorHAnsi" w:hAnsiTheme="minorHAnsi" w:cstheme="minorHAnsi"/>
        </w:rPr>
        <w:t>invested in clinical and non-clinical staff to provide direct care management, population health outreach, and care coordination services to our members with high-risk and emerging risk needs. This investment assures that our MassHealth members experience unified and coordinated care episodes, with robust communication across settings to reduce avoidable utilization as well as reduce missed opportunities and improve outcomes. These workforce investments support programs at both the Health Plan and provider groups.</w:t>
      </w:r>
    </w:p>
    <w:p w14:paraId="5CD27DF6" w14:textId="77777777" w:rsidR="00DD3F9E" w:rsidRPr="00934F30" w:rsidRDefault="00DD3F9E" w:rsidP="00DD3F9E">
      <w:pPr>
        <w:pStyle w:val="ListParagraph"/>
        <w:spacing w:after="120"/>
        <w:rPr>
          <w:rFonts w:asciiTheme="minorHAnsi" w:hAnsiTheme="minorHAnsi" w:cstheme="minorHAnsi"/>
        </w:rPr>
      </w:pPr>
    </w:p>
    <w:p w14:paraId="5CD27DF7" w14:textId="77777777" w:rsidR="00DD3F9E" w:rsidRPr="00934F30" w:rsidRDefault="00DD3F9E" w:rsidP="00DD3F9E">
      <w:pPr>
        <w:pStyle w:val="ListParagraph"/>
        <w:numPr>
          <w:ilvl w:val="0"/>
          <w:numId w:val="24"/>
        </w:numPr>
        <w:spacing w:after="0"/>
        <w:rPr>
          <w:rFonts w:asciiTheme="minorHAnsi" w:hAnsiTheme="minorHAnsi" w:cstheme="minorHAnsi"/>
        </w:rPr>
      </w:pPr>
      <w:r w:rsidRPr="00934F30">
        <w:rPr>
          <w:rFonts w:asciiTheme="minorHAnsi" w:hAnsiTheme="minorHAnsi" w:cstheme="minorHAnsi"/>
        </w:rPr>
        <w:t xml:space="preserve">Targeted Investments in Information Technology to Enable Optimal Care for MassHealth Members: BIDCO has made targeted investments in a population health management platform to support ACO-wide efforts at improving patient care and bending the cost curve.  These </w:t>
      </w:r>
      <w:r w:rsidRPr="00934F30">
        <w:rPr>
          <w:rFonts w:asciiTheme="minorHAnsi" w:hAnsiTheme="minorHAnsi" w:cstheme="minorHAnsi"/>
        </w:rPr>
        <w:lastRenderedPageBreak/>
        <w:t xml:space="preserve">technology investments have facilitated successful integration of clinical and claims data to allow the ACO platform to provide accurate point of care dashboards, utilization and quality reports, all with the goal of facilitating high value, evidence-based care to members.  In PY2, BIDCO continued implementation of the risk stratification model that incorporates claims, clinical, and census data. In addition, BIDCO has enhanced the ACO care management platform, which has especially benefited the BIDCO transitions of care program that supports members discharged from network acute care hospitals. </w:t>
      </w:r>
    </w:p>
    <w:p w14:paraId="5CD27DF8" w14:textId="77777777" w:rsidR="00DD3F9E" w:rsidRPr="00934F30" w:rsidRDefault="00DD3F9E" w:rsidP="00DD3F9E">
      <w:pPr>
        <w:spacing w:after="0"/>
        <w:rPr>
          <w:rFonts w:asciiTheme="minorHAnsi" w:hAnsiTheme="minorHAnsi" w:cstheme="minorHAnsi"/>
        </w:rPr>
      </w:pPr>
    </w:p>
    <w:p w14:paraId="5CD27DF9" w14:textId="77777777" w:rsidR="00DD3F9E" w:rsidRPr="00934F30" w:rsidRDefault="00DD3F9E" w:rsidP="00DD3F9E">
      <w:pPr>
        <w:pStyle w:val="ListParagraph"/>
        <w:numPr>
          <w:ilvl w:val="0"/>
          <w:numId w:val="24"/>
        </w:numPr>
        <w:rPr>
          <w:rFonts w:asciiTheme="minorHAnsi" w:hAnsiTheme="minorHAnsi" w:cstheme="minorHAnsi"/>
        </w:rPr>
      </w:pPr>
      <w:r w:rsidRPr="00934F30">
        <w:rPr>
          <w:rFonts w:asciiTheme="minorHAnsi" w:hAnsiTheme="minorHAnsi" w:cstheme="minorHAnsi"/>
        </w:rPr>
        <w:t>Addressing Social Determinants of Health:  In PY2, BIDCO successfully integrated into the population health platform patient-level social determinants of health data collected by practices.  These data are collected using a standardized health-related social needs screening assessment that is fed into one of the ACO electronic health records, which then feeds into the population health platform.  BIDCO has also started working with our population health platform vendor to leverage these data to more accurately identify high risk and rising risk members and neighborhoods for intervention.</w:t>
      </w:r>
    </w:p>
    <w:p w14:paraId="5CD27DFA" w14:textId="77777777" w:rsidR="00DD3F9E" w:rsidRPr="00934F30" w:rsidRDefault="00DD3F9E" w:rsidP="00DD3F9E">
      <w:pPr>
        <w:pStyle w:val="ListParagraph"/>
        <w:rPr>
          <w:rFonts w:asciiTheme="minorHAnsi" w:hAnsiTheme="minorHAnsi" w:cstheme="minorHAnsi"/>
        </w:rPr>
      </w:pPr>
    </w:p>
    <w:p w14:paraId="5CD27DFB" w14:textId="77777777" w:rsidR="00DD3F9E" w:rsidRPr="00934F30" w:rsidRDefault="00DD3F9E" w:rsidP="00DD3F9E">
      <w:pPr>
        <w:pStyle w:val="ListParagraph"/>
        <w:numPr>
          <w:ilvl w:val="0"/>
          <w:numId w:val="24"/>
        </w:numPr>
        <w:rPr>
          <w:rFonts w:asciiTheme="minorHAnsi" w:hAnsiTheme="minorHAnsi" w:cstheme="minorHAnsi"/>
        </w:rPr>
      </w:pPr>
      <w:r w:rsidRPr="00934F30">
        <w:rPr>
          <w:rFonts w:asciiTheme="minorHAnsi" w:hAnsiTheme="minorHAnsi" w:cstheme="minorHAnsi"/>
        </w:rPr>
        <w:t xml:space="preserve">Integration of medical and behavioral health programs: In PY2, BIDCO continued to prioritize investments that focus on integrating care for patients with complex behavioral and medical conditions.  We invested in a collaborative care program to support primary care based </w:t>
      </w:r>
      <w:proofErr w:type="gramStart"/>
      <w:r w:rsidRPr="00934F30">
        <w:rPr>
          <w:rFonts w:asciiTheme="minorHAnsi" w:hAnsiTheme="minorHAnsi" w:cstheme="minorHAnsi"/>
        </w:rPr>
        <w:t>management  of</w:t>
      </w:r>
      <w:proofErr w:type="gramEnd"/>
      <w:r w:rsidRPr="00934F30">
        <w:rPr>
          <w:rFonts w:asciiTheme="minorHAnsi" w:hAnsiTheme="minorHAnsi" w:cstheme="minorHAnsi"/>
        </w:rPr>
        <w:t xml:space="preserve"> patients with complex behavioral health needs.  In addition, we invested in a pilot program to support a remote monitoring insulin dependent diabetes program.  These efforts, undertaken at overlapping primary care practices, support and improve health outcomes for MassHealth members with complex comorbid conditions and put at the center of the care team both the patient and the primary care team. </w:t>
      </w:r>
    </w:p>
    <w:p w14:paraId="5CD27DFC" w14:textId="77777777" w:rsidR="00DD3F9E" w:rsidRPr="00934F30" w:rsidRDefault="00DD3F9E" w:rsidP="00DD3F9E">
      <w:pPr>
        <w:rPr>
          <w:rFonts w:asciiTheme="minorHAnsi" w:hAnsiTheme="minorHAnsi" w:cstheme="minorHAnsi"/>
        </w:rPr>
      </w:pPr>
      <w:r w:rsidRPr="00934F30">
        <w:rPr>
          <w:rFonts w:asciiTheme="minorHAnsi" w:hAnsiTheme="minorHAnsi" w:cstheme="minorHAnsi"/>
        </w:rPr>
        <w:t>Specific examples of PY2 investments that reflect these investment priorities aimed at achieving FPP goals include:</w:t>
      </w:r>
    </w:p>
    <w:p w14:paraId="5CD27DFD" w14:textId="77777777" w:rsidR="00DD3F9E" w:rsidRPr="00934F30" w:rsidRDefault="00DD3F9E" w:rsidP="00DD3F9E">
      <w:pPr>
        <w:widowControl w:val="0"/>
        <w:tabs>
          <w:tab w:val="left" w:pos="514"/>
        </w:tabs>
        <w:autoSpaceDE w:val="0"/>
        <w:autoSpaceDN w:val="0"/>
        <w:spacing w:before="7" w:after="0" w:line="240" w:lineRule="auto"/>
        <w:ind w:right="446"/>
        <w:rPr>
          <w:rFonts w:asciiTheme="minorHAnsi" w:eastAsia="Times New Roman" w:hAnsiTheme="minorHAnsi" w:cstheme="minorHAnsi"/>
          <w:b/>
        </w:rPr>
      </w:pPr>
      <w:r w:rsidRPr="00934F30">
        <w:rPr>
          <w:rFonts w:asciiTheme="minorHAnsi" w:eastAsia="Times New Roman" w:hAnsiTheme="minorHAnsi" w:cstheme="minorHAnsi"/>
          <w:b/>
        </w:rPr>
        <w:t>BIDCO Community-based Complex Care Management and Transitions of Care: Community resource specialists, nurse care nurse managers, social workers, medical directors, pharmacists, and pharmacy technicians</w:t>
      </w:r>
    </w:p>
    <w:p w14:paraId="5CD27DFE" w14:textId="77777777" w:rsidR="00DD3F9E" w:rsidRPr="00934F30" w:rsidRDefault="00DD3F9E" w:rsidP="00DD3F9E">
      <w:pPr>
        <w:widowControl w:val="0"/>
        <w:tabs>
          <w:tab w:val="left" w:pos="514"/>
        </w:tabs>
        <w:autoSpaceDE w:val="0"/>
        <w:autoSpaceDN w:val="0"/>
        <w:spacing w:before="7" w:after="0" w:line="240" w:lineRule="auto"/>
        <w:ind w:right="446"/>
        <w:rPr>
          <w:rFonts w:asciiTheme="minorHAnsi" w:eastAsia="Times New Roman" w:hAnsiTheme="minorHAnsi" w:cstheme="minorHAnsi"/>
        </w:rPr>
      </w:pPr>
      <w:r w:rsidRPr="00934F30">
        <w:rPr>
          <w:rFonts w:asciiTheme="minorHAnsi" w:eastAsia="Times New Roman" w:hAnsiTheme="minorHAnsi" w:cstheme="minorHAnsi"/>
        </w:rPr>
        <w:t xml:space="preserve">The strategy in 2019 was to coordinate care management efforts between THPP and BIDCO programs. Transitions of care management continued to be jointly provisioned based on discharging facility between BIDCO and THPP.  Additionally, complex care management for ACO PCMH sites were transitioned to embedded, community based programs, while the health plan continued with telephonic complex care management efforts for non-PCMH sites.  These joint efforts continue to evolve as </w:t>
      </w:r>
      <w:r w:rsidRPr="00934F30">
        <w:rPr>
          <w:rFonts w:asciiTheme="minorHAnsi" w:eastAsia="Times New Roman" w:hAnsiTheme="minorHAnsi" w:cstheme="minorHAnsi"/>
          <w:i/>
        </w:rPr>
        <w:t>Tufts Health Together with BIDCO</w:t>
      </w:r>
      <w:r w:rsidRPr="00934F30">
        <w:rPr>
          <w:rFonts w:asciiTheme="minorHAnsi" w:eastAsia="Times New Roman" w:hAnsiTheme="minorHAnsi" w:cstheme="minorHAnsi"/>
          <w:i/>
          <w:u w:val="single"/>
        </w:rPr>
        <w:t xml:space="preserve"> </w:t>
      </w:r>
      <w:r w:rsidRPr="00934F30">
        <w:rPr>
          <w:rFonts w:asciiTheme="minorHAnsi" w:eastAsia="Times New Roman" w:hAnsiTheme="minorHAnsi" w:cstheme="minorHAnsi"/>
        </w:rPr>
        <w:t xml:space="preserve">strives to identify high risk and rising risk members and successfully engage with them to improve patient outcomes and optimize value. </w:t>
      </w:r>
    </w:p>
    <w:p w14:paraId="5CD27DFF" w14:textId="77777777" w:rsidR="00DD3F9E" w:rsidRPr="00934F30" w:rsidRDefault="00DD3F9E" w:rsidP="00DD3F9E">
      <w:pPr>
        <w:widowControl w:val="0"/>
        <w:autoSpaceDE w:val="0"/>
        <w:autoSpaceDN w:val="0"/>
        <w:spacing w:before="5" w:after="0" w:line="240" w:lineRule="auto"/>
        <w:rPr>
          <w:rFonts w:asciiTheme="minorHAnsi" w:eastAsia="Times New Roman" w:hAnsiTheme="minorHAnsi" w:cstheme="minorHAnsi"/>
        </w:rPr>
      </w:pPr>
    </w:p>
    <w:p w14:paraId="5CD27E00" w14:textId="77777777" w:rsidR="00DD3F9E" w:rsidRPr="00934F30" w:rsidRDefault="00DD3F9E" w:rsidP="00DD3F9E">
      <w:pPr>
        <w:widowControl w:val="0"/>
        <w:tabs>
          <w:tab w:val="left" w:pos="502"/>
        </w:tabs>
        <w:autoSpaceDE w:val="0"/>
        <w:autoSpaceDN w:val="0"/>
        <w:spacing w:before="1" w:after="0" w:line="240" w:lineRule="auto"/>
        <w:ind w:right="139"/>
        <w:rPr>
          <w:rFonts w:asciiTheme="minorHAnsi" w:eastAsia="Times New Roman" w:hAnsiTheme="minorHAnsi" w:cstheme="minorHAnsi"/>
          <w:b/>
        </w:rPr>
      </w:pPr>
      <w:r w:rsidRPr="00934F30">
        <w:rPr>
          <w:rFonts w:asciiTheme="minorHAnsi" w:eastAsia="Times New Roman" w:hAnsiTheme="minorHAnsi" w:cstheme="minorHAnsi"/>
          <w:b/>
        </w:rPr>
        <w:t xml:space="preserve">BIDCO Integrated Community Care:  Community Health Workers, Community Resource Specialists, and Population Health Specialists </w:t>
      </w:r>
    </w:p>
    <w:p w14:paraId="5CD27E01" w14:textId="77777777" w:rsidR="00DD3F9E" w:rsidRPr="00934F30" w:rsidRDefault="00DD3F9E" w:rsidP="00DD3F9E">
      <w:pPr>
        <w:widowControl w:val="0"/>
        <w:tabs>
          <w:tab w:val="left" w:pos="502"/>
        </w:tabs>
        <w:autoSpaceDE w:val="0"/>
        <w:autoSpaceDN w:val="0"/>
        <w:spacing w:before="1" w:after="0" w:line="240" w:lineRule="auto"/>
        <w:ind w:right="139"/>
        <w:rPr>
          <w:rFonts w:asciiTheme="minorHAnsi" w:eastAsia="Times New Roman" w:hAnsiTheme="minorHAnsi" w:cstheme="minorHAnsi"/>
        </w:rPr>
      </w:pPr>
      <w:r w:rsidRPr="00934F30">
        <w:rPr>
          <w:rFonts w:asciiTheme="minorHAnsi" w:eastAsia="Times New Roman" w:hAnsiTheme="minorHAnsi" w:cstheme="minorHAnsi"/>
        </w:rPr>
        <w:t xml:space="preserve">BIDCO continued to invest in staff to support integrated care and community engagement with the goal of providing culturally sensitive care to all members including those at highest risk.  BIDCO has </w:t>
      </w:r>
      <w:r w:rsidRPr="00934F30">
        <w:rPr>
          <w:rFonts w:asciiTheme="minorHAnsi" w:eastAsia="Times New Roman" w:hAnsiTheme="minorHAnsi" w:cstheme="minorHAnsi"/>
        </w:rPr>
        <w:lastRenderedPageBreak/>
        <w:t xml:space="preserve">continued to support community health worker, community resource specialist, and population health specialists in 2019.  CHW and CRS staff help identify and address health related social needs gaps with members in need and are integrated into care teams at multiple levels within the ACO, including at the clinic level, practice group or community health center level, and also within specific clinical programs such as the transitions of care program.  Population health specialists to work with practices in identifying and engaging high-risk and rising risk patients with the shared goal of optimizing patient engagement, medical care, and community resource access.  </w:t>
      </w:r>
    </w:p>
    <w:p w14:paraId="5CD27E02" w14:textId="77777777" w:rsidR="00DD3F9E" w:rsidRPr="00934F30" w:rsidRDefault="00DD3F9E" w:rsidP="00DD3F9E">
      <w:pPr>
        <w:widowControl w:val="0"/>
        <w:autoSpaceDE w:val="0"/>
        <w:autoSpaceDN w:val="0"/>
        <w:spacing w:before="7" w:after="0" w:line="240" w:lineRule="auto"/>
        <w:ind w:left="274" w:right="3717" w:firstLine="720"/>
        <w:rPr>
          <w:rFonts w:asciiTheme="minorHAnsi" w:eastAsia="Times New Roman" w:hAnsiTheme="minorHAnsi" w:cstheme="minorHAnsi"/>
        </w:rPr>
      </w:pPr>
    </w:p>
    <w:p w14:paraId="5CD27E03" w14:textId="77777777" w:rsidR="00DD3F9E" w:rsidRPr="00934F30" w:rsidRDefault="00DD3F9E" w:rsidP="00DD3F9E">
      <w:pPr>
        <w:widowControl w:val="0"/>
        <w:autoSpaceDE w:val="0"/>
        <w:autoSpaceDN w:val="0"/>
        <w:spacing w:before="7" w:after="0" w:line="240" w:lineRule="auto"/>
        <w:ind w:right="3717"/>
        <w:rPr>
          <w:rFonts w:asciiTheme="minorHAnsi" w:eastAsia="Times New Roman" w:hAnsiTheme="minorHAnsi" w:cstheme="minorHAnsi"/>
          <w:b/>
        </w:rPr>
      </w:pPr>
      <w:r w:rsidRPr="00934F30">
        <w:rPr>
          <w:rFonts w:asciiTheme="minorHAnsi" w:eastAsia="Times New Roman" w:hAnsiTheme="minorHAnsi" w:cstheme="minorHAnsi"/>
          <w:b/>
        </w:rPr>
        <w:t>BIDCO Collaborative Care</w:t>
      </w:r>
    </w:p>
    <w:p w14:paraId="5CD27E04" w14:textId="77777777" w:rsidR="00DD3F9E" w:rsidRPr="00934F30" w:rsidRDefault="00DD3F9E" w:rsidP="00DD3F9E">
      <w:pPr>
        <w:widowControl w:val="0"/>
        <w:tabs>
          <w:tab w:val="left" w:pos="9360"/>
          <w:tab w:val="left" w:pos="9540"/>
        </w:tabs>
        <w:autoSpaceDE w:val="0"/>
        <w:autoSpaceDN w:val="0"/>
        <w:spacing w:before="7" w:after="0" w:line="240" w:lineRule="auto"/>
        <w:ind w:right="180"/>
        <w:rPr>
          <w:rFonts w:asciiTheme="minorHAnsi" w:eastAsia="Times New Roman" w:hAnsiTheme="minorHAnsi" w:cstheme="minorHAnsi"/>
        </w:rPr>
      </w:pPr>
      <w:r w:rsidRPr="00934F30">
        <w:rPr>
          <w:rFonts w:asciiTheme="minorHAnsi" w:eastAsia="Times New Roman" w:hAnsiTheme="minorHAnsi" w:cstheme="minorHAnsi"/>
        </w:rPr>
        <w:t xml:space="preserve">In PY2, BIDCO prioritized piloting a collaborative model to serve patients with serious mental illness with the goal of supporting members’ medical, behavioral health, and social needs in an integrated behavioral health and primary care model.  Leveraging prior experience within the network, we transformed an embedded model with a hybrid version that incorporates both face-to-face and telehealth behavioral health support of patients within the primary care setting, with the goal of increasing capacity and scalability.   </w:t>
      </w:r>
    </w:p>
    <w:p w14:paraId="5CD27E05" w14:textId="77777777" w:rsidR="00DD3F9E" w:rsidRPr="00934F30" w:rsidRDefault="00DD3F9E" w:rsidP="00DD3F9E">
      <w:pPr>
        <w:widowControl w:val="0"/>
        <w:autoSpaceDE w:val="0"/>
        <w:autoSpaceDN w:val="0"/>
        <w:spacing w:before="7" w:after="0" w:line="240" w:lineRule="auto"/>
        <w:ind w:right="3717"/>
        <w:rPr>
          <w:rFonts w:asciiTheme="minorHAnsi" w:eastAsia="Times New Roman" w:hAnsiTheme="minorHAnsi" w:cstheme="minorHAnsi"/>
        </w:rPr>
      </w:pPr>
    </w:p>
    <w:p w14:paraId="5CD27E06" w14:textId="77777777" w:rsidR="00DD3F9E" w:rsidRPr="00934F30" w:rsidRDefault="00DD3F9E" w:rsidP="00DD3F9E">
      <w:pPr>
        <w:widowControl w:val="0"/>
        <w:tabs>
          <w:tab w:val="left" w:pos="8730"/>
          <w:tab w:val="left" w:pos="9270"/>
        </w:tabs>
        <w:autoSpaceDE w:val="0"/>
        <w:autoSpaceDN w:val="0"/>
        <w:spacing w:before="7" w:after="0" w:line="240" w:lineRule="auto"/>
        <w:ind w:right="720"/>
        <w:rPr>
          <w:rFonts w:asciiTheme="minorHAnsi" w:eastAsia="Times New Roman" w:hAnsiTheme="minorHAnsi" w:cstheme="minorHAnsi"/>
          <w:b/>
        </w:rPr>
      </w:pPr>
      <w:r w:rsidRPr="00934F30">
        <w:rPr>
          <w:rFonts w:asciiTheme="minorHAnsi" w:eastAsia="Times New Roman" w:hAnsiTheme="minorHAnsi" w:cstheme="minorHAnsi"/>
          <w:b/>
        </w:rPr>
        <w:t>BIDCO Data and Population Health Analytics: Arcadia Population Health Care Management and Population Health</w:t>
      </w:r>
    </w:p>
    <w:p w14:paraId="5CD27E07" w14:textId="77777777" w:rsidR="00DD3F9E" w:rsidRPr="00934F30" w:rsidRDefault="00DD3F9E" w:rsidP="00DD3F9E">
      <w:pPr>
        <w:widowControl w:val="0"/>
        <w:tabs>
          <w:tab w:val="left" w:pos="1000"/>
          <w:tab w:val="left" w:pos="1001"/>
        </w:tabs>
        <w:autoSpaceDE w:val="0"/>
        <w:autoSpaceDN w:val="0"/>
        <w:spacing w:before="7" w:after="0" w:line="240" w:lineRule="auto"/>
        <w:ind w:right="471"/>
        <w:rPr>
          <w:rFonts w:asciiTheme="minorHAnsi" w:eastAsia="Times New Roman" w:hAnsiTheme="minorHAnsi" w:cstheme="minorHAnsi"/>
        </w:rPr>
      </w:pPr>
      <w:r w:rsidRPr="00934F30">
        <w:rPr>
          <w:rFonts w:asciiTheme="minorHAnsi" w:eastAsia="Times New Roman" w:hAnsiTheme="minorHAnsi" w:cstheme="minorHAnsi"/>
        </w:rPr>
        <w:t xml:space="preserve">Arcadia population health platform development continued in PY2 with a focus on care management, social determinants of health, clinical and event data integration, and quality.  Ongoing efforts focused on care management module development continued in 2019, while additional enhancements were made with regards to incorporation of social determinants of health and clinical interface of laboratory, radiology, admission/discharge, and ambulatory scheduling data in the platform. These improvements in functionality allow population health teams and practices to better coordinate care, reduce utilization, close quality gaps, and lower total medical expense.  </w:t>
      </w:r>
    </w:p>
    <w:p w14:paraId="5CD27E08" w14:textId="77777777" w:rsidR="00DD3F9E" w:rsidRPr="00934F30" w:rsidRDefault="00DD3F9E" w:rsidP="00DD3F9E">
      <w:pPr>
        <w:widowControl w:val="0"/>
        <w:tabs>
          <w:tab w:val="left" w:pos="514"/>
        </w:tabs>
        <w:autoSpaceDE w:val="0"/>
        <w:autoSpaceDN w:val="0"/>
        <w:spacing w:before="7" w:after="0" w:line="240" w:lineRule="auto"/>
        <w:ind w:right="184"/>
        <w:rPr>
          <w:rFonts w:asciiTheme="minorHAnsi" w:eastAsia="Times New Roman" w:hAnsiTheme="minorHAnsi" w:cstheme="minorHAnsi"/>
        </w:rPr>
      </w:pPr>
    </w:p>
    <w:p w14:paraId="5CD27E09" w14:textId="77777777" w:rsidR="00DD3F9E" w:rsidRPr="00934F30" w:rsidRDefault="00DD3F9E" w:rsidP="00DD3F9E">
      <w:pPr>
        <w:widowControl w:val="0"/>
        <w:tabs>
          <w:tab w:val="left" w:pos="514"/>
        </w:tabs>
        <w:autoSpaceDE w:val="0"/>
        <w:autoSpaceDN w:val="0"/>
        <w:spacing w:before="7" w:after="0" w:line="240" w:lineRule="auto"/>
        <w:ind w:right="184"/>
        <w:rPr>
          <w:rFonts w:asciiTheme="minorHAnsi" w:eastAsia="Times New Roman" w:hAnsiTheme="minorHAnsi" w:cstheme="minorHAnsi"/>
        </w:rPr>
      </w:pPr>
    </w:p>
    <w:p w14:paraId="5CD27E0A" w14:textId="3095EF1E" w:rsidR="00DD3F9E" w:rsidRPr="00934F30" w:rsidRDefault="008A5741" w:rsidP="008A5741">
      <w:pPr>
        <w:pStyle w:val="Heading2"/>
        <w:ind w:left="0"/>
      </w:pPr>
      <w:r>
        <w:t xml:space="preserve">1.3 </w:t>
      </w:r>
      <w:r w:rsidR="00DD3F9E" w:rsidRPr="00934F30">
        <w:t>Success and Challenges of PY2</w:t>
      </w:r>
    </w:p>
    <w:p w14:paraId="5CD27E0B" w14:textId="77777777" w:rsidR="00DD3F9E" w:rsidRPr="008A5741" w:rsidRDefault="00DD3F9E" w:rsidP="008A5741">
      <w:pPr>
        <w:rPr>
          <w:b/>
          <w:u w:val="single"/>
        </w:rPr>
      </w:pPr>
      <w:r w:rsidRPr="008A5741">
        <w:rPr>
          <w:u w:val="single"/>
        </w:rPr>
        <w:t>Successes</w:t>
      </w:r>
    </w:p>
    <w:p w14:paraId="5CD27E0C" w14:textId="77777777" w:rsidR="00DD3F9E" w:rsidRPr="00934F30" w:rsidRDefault="00DD3F9E" w:rsidP="00DD3F9E">
      <w:pPr>
        <w:spacing w:line="240" w:lineRule="auto"/>
        <w:rPr>
          <w:rFonts w:asciiTheme="minorHAnsi" w:hAnsiTheme="minorHAnsi" w:cstheme="minorHAnsi"/>
        </w:rPr>
      </w:pPr>
      <w:r w:rsidRPr="00934F30">
        <w:rPr>
          <w:rFonts w:asciiTheme="minorHAnsi" w:hAnsiTheme="minorHAnsi" w:cstheme="minorHAnsi"/>
          <w:i/>
        </w:rPr>
        <w:t>Tufts Health Together with BIDCO</w:t>
      </w:r>
      <w:r w:rsidRPr="00934F30">
        <w:rPr>
          <w:rFonts w:asciiTheme="minorHAnsi" w:hAnsiTheme="minorHAnsi" w:cstheme="minorHAnsi"/>
        </w:rPr>
        <w:t xml:space="preserve"> achieved a number of important milestones in 2019.  The ACPP partners continued to collaborate closely in delivering effective and value driven care to our </w:t>
      </w:r>
      <w:proofErr w:type="spellStart"/>
      <w:r w:rsidRPr="00934F30">
        <w:rPr>
          <w:rFonts w:asciiTheme="minorHAnsi" w:hAnsiTheme="minorHAnsi" w:cstheme="minorHAnsi"/>
        </w:rPr>
        <w:t>MassHeatlh</w:t>
      </w:r>
      <w:proofErr w:type="spellEnd"/>
      <w:r w:rsidRPr="00934F30">
        <w:rPr>
          <w:rFonts w:asciiTheme="minorHAnsi" w:hAnsiTheme="minorHAnsi" w:cstheme="minorHAnsi"/>
        </w:rPr>
        <w:t xml:space="preserve"> patients. Notable successes include:</w:t>
      </w:r>
    </w:p>
    <w:p w14:paraId="5CD27E0D" w14:textId="77777777" w:rsidR="00DD3F9E" w:rsidRPr="00934F30" w:rsidRDefault="00DD3F9E" w:rsidP="00DD3F9E">
      <w:pPr>
        <w:pStyle w:val="ListParagraph"/>
        <w:numPr>
          <w:ilvl w:val="6"/>
          <w:numId w:val="1"/>
        </w:numPr>
        <w:spacing w:line="240" w:lineRule="auto"/>
        <w:rPr>
          <w:rFonts w:asciiTheme="minorHAnsi" w:hAnsiTheme="minorHAnsi" w:cstheme="minorHAnsi"/>
        </w:rPr>
      </w:pPr>
      <w:r w:rsidRPr="00934F30">
        <w:rPr>
          <w:rFonts w:asciiTheme="minorHAnsi" w:hAnsiTheme="minorHAnsi" w:cstheme="minorHAnsi"/>
        </w:rPr>
        <w:t xml:space="preserve">Collaborative Care: BIDCO focused on piloting a model of behavioral health integration that enhances “usual” primary care by adding support from a behavioral health care manager and a consulting psychiatrist in support of patients.  </w:t>
      </w:r>
      <w:proofErr w:type="gramStart"/>
      <w:r w:rsidRPr="00934F30">
        <w:rPr>
          <w:rFonts w:asciiTheme="minorHAnsi" w:hAnsiTheme="minorHAnsi" w:cstheme="minorHAnsi"/>
        </w:rPr>
        <w:t>This model,</w:t>
      </w:r>
      <w:proofErr w:type="gramEnd"/>
      <w:r w:rsidRPr="00934F30">
        <w:rPr>
          <w:rFonts w:asciiTheme="minorHAnsi" w:hAnsiTheme="minorHAnsi" w:cstheme="minorHAnsi"/>
        </w:rPr>
        <w:t xml:space="preserve"> leverages a social worker in a hybrid face-to-face and telemedicine approach to patient contact with support from a psychiatrist.  In close collaboration with the PCP, an interdisciplinary care plan that includes psychotropic medication management, therapy and other behavioral health services, as well as support for health-related social needs is created and implemented.  BIDCO MassHealth Collaborative Care program goals include reduction in behavioral health related inpatient utilization, increased patient engagement, and ultimately successful discharge from the program to the PCP with ongoing management by primary care. </w:t>
      </w:r>
    </w:p>
    <w:p w14:paraId="5CD27E0E" w14:textId="77777777" w:rsidR="00DD3F9E" w:rsidRPr="00934F30" w:rsidRDefault="00DD3F9E" w:rsidP="00DD3F9E">
      <w:pPr>
        <w:pStyle w:val="ListParagraph"/>
        <w:spacing w:line="240" w:lineRule="auto"/>
        <w:ind w:left="360"/>
        <w:rPr>
          <w:rFonts w:asciiTheme="minorHAnsi" w:hAnsiTheme="minorHAnsi" w:cstheme="minorHAnsi"/>
        </w:rPr>
      </w:pPr>
    </w:p>
    <w:p w14:paraId="5CD27E0F" w14:textId="77777777" w:rsidR="00DD3F9E" w:rsidRPr="00934F30" w:rsidRDefault="00DD3F9E" w:rsidP="00DD3F9E">
      <w:pPr>
        <w:pStyle w:val="ListParagraph"/>
        <w:numPr>
          <w:ilvl w:val="6"/>
          <w:numId w:val="1"/>
        </w:numPr>
        <w:spacing w:line="240" w:lineRule="auto"/>
        <w:rPr>
          <w:rFonts w:asciiTheme="minorHAnsi" w:hAnsiTheme="minorHAnsi" w:cstheme="minorHAnsi"/>
        </w:rPr>
      </w:pPr>
      <w:r w:rsidRPr="00934F30">
        <w:rPr>
          <w:rFonts w:asciiTheme="minorHAnsi" w:hAnsiTheme="minorHAnsi" w:cstheme="minorHAnsi"/>
        </w:rPr>
        <w:t xml:space="preserve">Arcadia Population Health Platform: In keeping with a data-driven population health strategy, BIDCO has continued to enhance its population health platform to support MassHealth patients.  This </w:t>
      </w:r>
      <w:r w:rsidRPr="00934F30">
        <w:rPr>
          <w:rFonts w:asciiTheme="minorHAnsi" w:hAnsiTheme="minorHAnsi" w:cstheme="minorHAnsi"/>
        </w:rPr>
        <w:lastRenderedPageBreak/>
        <w:t xml:space="preserve">includes integration, validation, and normalization of the claims, clinical, event, and scheduling data, while also building out new functionality, such as in social determinants of health, and completing data integration.  BIDCO also began implementation of an Arcadia desktop module that pulls from the data warehouse all relevant patient-specific data and displays high impact findings (e.g. quality gaps) for the provider to see while using the native electronic health record for patient care. </w:t>
      </w:r>
    </w:p>
    <w:p w14:paraId="5CD27E10" w14:textId="77777777" w:rsidR="00DD3F9E" w:rsidRPr="00934F30" w:rsidRDefault="00DD3F9E" w:rsidP="00DD3F9E">
      <w:pPr>
        <w:rPr>
          <w:rFonts w:asciiTheme="minorHAnsi" w:hAnsiTheme="minorHAnsi" w:cstheme="minorHAnsi"/>
          <w:u w:val="single"/>
        </w:rPr>
      </w:pPr>
      <w:r w:rsidRPr="00934F30">
        <w:rPr>
          <w:rFonts w:asciiTheme="minorHAnsi" w:hAnsiTheme="minorHAnsi" w:cstheme="minorHAnsi"/>
          <w:u w:val="single"/>
        </w:rPr>
        <w:t>Challenges</w:t>
      </w:r>
    </w:p>
    <w:p w14:paraId="5CD27E11" w14:textId="77777777" w:rsidR="00DD3F9E" w:rsidRPr="00934F30" w:rsidRDefault="00DD3F9E" w:rsidP="00DD3F9E">
      <w:pPr>
        <w:spacing w:line="240" w:lineRule="auto"/>
        <w:rPr>
          <w:rFonts w:asciiTheme="minorHAnsi" w:hAnsiTheme="minorHAnsi" w:cstheme="minorHAnsi"/>
        </w:rPr>
      </w:pPr>
      <w:r w:rsidRPr="00934F30">
        <w:rPr>
          <w:rFonts w:asciiTheme="minorHAnsi" w:hAnsiTheme="minorHAnsi" w:cstheme="minorHAnsi"/>
        </w:rPr>
        <w:t xml:space="preserve">The first challenge Tufts Health Together with BIDCO faced in 2019 was the Beth Israel Lahey Health merger.  This merger, while an opportunity to improve clinical and operational efficiency to better support patients, resulted in some delays as existing programs and investments were evaluated and the larger organizational strategy was developed.  The second challenge the ACPP faced in PY2 related to effective community-based care for MassHealth patients.  Engagement within the Community Partner program continues to be an obstacle to establishing effective and high value care for all MassHealth patients.  THPP and BIDCO continue to work with Community Partners to improve communication and collaboration to improve engagement rates, as well as provide optimal care for engaged members. </w:t>
      </w:r>
    </w:p>
    <w:p w14:paraId="5CD27E12" w14:textId="77777777" w:rsidR="00DD3F9E" w:rsidRPr="00934F30" w:rsidRDefault="00DD3F9E" w:rsidP="00DD3F9E">
      <w:pPr>
        <w:spacing w:line="240" w:lineRule="auto"/>
        <w:rPr>
          <w:rFonts w:asciiTheme="minorHAnsi" w:hAnsiTheme="minorHAnsi" w:cstheme="minorHAnsi"/>
        </w:rPr>
      </w:pPr>
    </w:p>
    <w:sectPr w:rsidR="00DD3F9E" w:rsidRPr="00934F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F5282"/>
    <w:multiLevelType w:val="hybridMultilevel"/>
    <w:tmpl w:val="78107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37560D"/>
    <w:multiLevelType w:val="hybridMultilevel"/>
    <w:tmpl w:val="DD20B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790ECC"/>
    <w:multiLevelType w:val="hybridMultilevel"/>
    <w:tmpl w:val="D7F2F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7837B98"/>
    <w:multiLevelType w:val="multilevel"/>
    <w:tmpl w:val="36C48EF4"/>
    <w:lvl w:ilvl="0">
      <w:start w:val="1"/>
      <w:numFmt w:val="decimal"/>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8"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C66542"/>
    <w:multiLevelType w:val="hybridMultilevel"/>
    <w:tmpl w:val="9E2808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524AFE"/>
    <w:multiLevelType w:val="hybridMultilevel"/>
    <w:tmpl w:val="561020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935ADA"/>
    <w:multiLevelType w:val="hybridMultilevel"/>
    <w:tmpl w:val="6BDC7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0228CD"/>
    <w:multiLevelType w:val="hybridMultilevel"/>
    <w:tmpl w:val="06707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7"/>
  </w:num>
  <w:num w:numId="3">
    <w:abstractNumId w:val="7"/>
  </w:num>
  <w:num w:numId="4">
    <w:abstractNumId w:val="7"/>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0"/>
  </w:num>
  <w:num w:numId="9">
    <w:abstractNumId w:val="24"/>
  </w:num>
  <w:num w:numId="10">
    <w:abstractNumId w:val="3"/>
  </w:num>
  <w:num w:numId="11">
    <w:abstractNumId w:val="19"/>
  </w:num>
  <w:num w:numId="12">
    <w:abstractNumId w:val="11"/>
  </w:num>
  <w:num w:numId="13">
    <w:abstractNumId w:val="22"/>
  </w:num>
  <w:num w:numId="14">
    <w:abstractNumId w:val="4"/>
  </w:num>
  <w:num w:numId="15">
    <w:abstractNumId w:val="7"/>
  </w:num>
  <w:num w:numId="16">
    <w:abstractNumId w:val="15"/>
    <w:lvlOverride w:ilvl="0">
      <w:startOverride w:val="1"/>
    </w:lvlOverride>
  </w:num>
  <w:num w:numId="17">
    <w:abstractNumId w:val="18"/>
  </w:num>
  <w:num w:numId="18">
    <w:abstractNumId w:val="0"/>
  </w:num>
  <w:num w:numId="19">
    <w:abstractNumId w:val="12"/>
  </w:num>
  <w:num w:numId="20">
    <w:abstractNumId w:val="17"/>
  </w:num>
  <w:num w:numId="21">
    <w:abstractNumId w:val="13"/>
  </w:num>
  <w:num w:numId="22">
    <w:abstractNumId w:val="2"/>
  </w:num>
  <w:num w:numId="23">
    <w:abstractNumId w:val="9"/>
  </w:num>
  <w:num w:numId="24">
    <w:abstractNumId w:val="14"/>
  </w:num>
  <w:num w:numId="25">
    <w:abstractNumId w:val="1"/>
  </w:num>
  <w:num w:numId="26">
    <w:abstractNumId w:val="23"/>
  </w:num>
  <w:num w:numId="27">
    <w:abstractNumId w:val="21"/>
  </w:num>
  <w:num w:numId="28">
    <w:abstractNumId w:val="5"/>
  </w:num>
  <w:num w:numId="29">
    <w:abstractNumId w:val="6"/>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2722F"/>
    <w:rsid w:val="000822CF"/>
    <w:rsid w:val="000839C1"/>
    <w:rsid w:val="0009566E"/>
    <w:rsid w:val="000B54F1"/>
    <w:rsid w:val="000E4C19"/>
    <w:rsid w:val="000E5F21"/>
    <w:rsid w:val="000E7920"/>
    <w:rsid w:val="001E6009"/>
    <w:rsid w:val="002055CF"/>
    <w:rsid w:val="00226D41"/>
    <w:rsid w:val="00275549"/>
    <w:rsid w:val="00276DFD"/>
    <w:rsid w:val="0029710B"/>
    <w:rsid w:val="002B7E92"/>
    <w:rsid w:val="002C14E3"/>
    <w:rsid w:val="002C271C"/>
    <w:rsid w:val="00335DE2"/>
    <w:rsid w:val="003A582B"/>
    <w:rsid w:val="003D2D28"/>
    <w:rsid w:val="003D5960"/>
    <w:rsid w:val="003F2C71"/>
    <w:rsid w:val="0044466E"/>
    <w:rsid w:val="00461D55"/>
    <w:rsid w:val="004659A7"/>
    <w:rsid w:val="0047487E"/>
    <w:rsid w:val="004A1544"/>
    <w:rsid w:val="004B595B"/>
    <w:rsid w:val="004C3B53"/>
    <w:rsid w:val="004C741A"/>
    <w:rsid w:val="00522EEE"/>
    <w:rsid w:val="00534F64"/>
    <w:rsid w:val="00535ADB"/>
    <w:rsid w:val="00595B27"/>
    <w:rsid w:val="00595BD4"/>
    <w:rsid w:val="005A1337"/>
    <w:rsid w:val="005A66BA"/>
    <w:rsid w:val="005D5FE6"/>
    <w:rsid w:val="00615BBA"/>
    <w:rsid w:val="00624D7E"/>
    <w:rsid w:val="00662194"/>
    <w:rsid w:val="00676D3D"/>
    <w:rsid w:val="00691F3B"/>
    <w:rsid w:val="006A2543"/>
    <w:rsid w:val="006B6EC7"/>
    <w:rsid w:val="006C1E07"/>
    <w:rsid w:val="006E1332"/>
    <w:rsid w:val="006E2069"/>
    <w:rsid w:val="00703FF2"/>
    <w:rsid w:val="00727D4C"/>
    <w:rsid w:val="00766846"/>
    <w:rsid w:val="00771B35"/>
    <w:rsid w:val="007923D1"/>
    <w:rsid w:val="007B2797"/>
    <w:rsid w:val="007C2F88"/>
    <w:rsid w:val="007D6D8A"/>
    <w:rsid w:val="00801050"/>
    <w:rsid w:val="008041FA"/>
    <w:rsid w:val="00834FAF"/>
    <w:rsid w:val="00865C3D"/>
    <w:rsid w:val="008A5741"/>
    <w:rsid w:val="008B26A1"/>
    <w:rsid w:val="008C1D78"/>
    <w:rsid w:val="009017F0"/>
    <w:rsid w:val="00934F30"/>
    <w:rsid w:val="009633E3"/>
    <w:rsid w:val="009654D7"/>
    <w:rsid w:val="009A0C00"/>
    <w:rsid w:val="009A1FB7"/>
    <w:rsid w:val="009D3717"/>
    <w:rsid w:val="00A415B8"/>
    <w:rsid w:val="00A905C4"/>
    <w:rsid w:val="00AA3039"/>
    <w:rsid w:val="00AD330B"/>
    <w:rsid w:val="00B00A78"/>
    <w:rsid w:val="00B377AF"/>
    <w:rsid w:val="00B553D3"/>
    <w:rsid w:val="00B66486"/>
    <w:rsid w:val="00B70116"/>
    <w:rsid w:val="00BC0125"/>
    <w:rsid w:val="00BD434D"/>
    <w:rsid w:val="00C14C85"/>
    <w:rsid w:val="00C7469C"/>
    <w:rsid w:val="00C75F19"/>
    <w:rsid w:val="00D204A7"/>
    <w:rsid w:val="00D46D22"/>
    <w:rsid w:val="00D801E2"/>
    <w:rsid w:val="00DD3F9E"/>
    <w:rsid w:val="00E1159A"/>
    <w:rsid w:val="00E12516"/>
    <w:rsid w:val="00E16780"/>
    <w:rsid w:val="00E3162D"/>
    <w:rsid w:val="00E46A0B"/>
    <w:rsid w:val="00E54685"/>
    <w:rsid w:val="00E57EE4"/>
    <w:rsid w:val="00E62CAF"/>
    <w:rsid w:val="00E86AC8"/>
    <w:rsid w:val="00EA42C3"/>
    <w:rsid w:val="00EB4A8C"/>
    <w:rsid w:val="00EC0E2B"/>
    <w:rsid w:val="00ED1CB3"/>
    <w:rsid w:val="00EF0DCB"/>
    <w:rsid w:val="00EF501B"/>
    <w:rsid w:val="00F21088"/>
    <w:rsid w:val="00F243A4"/>
    <w:rsid w:val="00F4300A"/>
    <w:rsid w:val="00F5193A"/>
    <w:rsid w:val="00F635E2"/>
    <w:rsid w:val="00F7764A"/>
    <w:rsid w:val="00F8039C"/>
    <w:rsid w:val="00F932A4"/>
    <w:rsid w:val="00FA54A4"/>
    <w:rsid w:val="00FB65F8"/>
    <w:rsid w:val="00FD3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27D95"/>
  <w15:docId w15:val="{AEE5B0E7-E26C-4F71-A5BE-C6F3D5EF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basedOn w:val="Normal"/>
    <w:next w:val="Normal"/>
    <w:link w:val="Heading1Char"/>
    <w:uiPriority w:val="9"/>
    <w:qFormat/>
    <w:rsid w:val="008A5741"/>
    <w:pPr>
      <w:spacing w:after="120"/>
      <w:contextualSpacing/>
      <w:jc w:val="center"/>
      <w:outlineLvl w:val="0"/>
    </w:pPr>
    <w:rPr>
      <w:rFonts w:asciiTheme="minorHAnsi" w:hAnsiTheme="minorHAnsi" w:cstheme="minorHAnsi"/>
      <w:b/>
      <w:smallCaps/>
    </w:rPr>
  </w:style>
  <w:style w:type="paragraph" w:styleId="Heading2">
    <w:name w:val="heading 2"/>
    <w:next w:val="Normal"/>
    <w:link w:val="Heading2Char"/>
    <w:uiPriority w:val="9"/>
    <w:unhideWhenUsed/>
    <w:qFormat/>
    <w:rsid w:val="008A5741"/>
    <w:pPr>
      <w:ind w:left="360"/>
      <w:outlineLvl w:val="1"/>
    </w:pPr>
    <w:rPr>
      <w:rFonts w:eastAsiaTheme="majorEastAsia" w:cstheme="minorHAnsi"/>
      <w:b/>
      <w:bCs/>
      <w:color w:val="244061" w:themeColor="accent1" w:themeShade="80"/>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741"/>
    <w:rPr>
      <w:rFonts w:cstheme="minorHAnsi"/>
      <w:b/>
      <w:smallCaps/>
    </w:rPr>
  </w:style>
  <w:style w:type="character" w:customStyle="1" w:styleId="Heading2Char">
    <w:name w:val="Heading 2 Char"/>
    <w:basedOn w:val="DefaultParagraphFont"/>
    <w:link w:val="Heading2"/>
    <w:uiPriority w:val="9"/>
    <w:rsid w:val="008A5741"/>
    <w:rPr>
      <w:rFonts w:eastAsiaTheme="majorEastAsia" w:cstheme="minorHAnsi"/>
      <w:b/>
      <w:bCs/>
      <w:color w:val="244061" w:themeColor="accent1" w:themeShade="80"/>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Response Bullets,Bullet Two"/>
    <w:basedOn w:val="Normal"/>
    <w:link w:val="ListParagraphChar"/>
    <w:uiPriority w:val="34"/>
    <w:qFormat/>
    <w:rsid w:val="00BD434D"/>
    <w:pPr>
      <w:ind w:left="720"/>
      <w:contextualSpacing/>
    </w:pPr>
  </w:style>
  <w:style w:type="character" w:customStyle="1" w:styleId="ListParagraphChar">
    <w:name w:val="List Paragraph Char"/>
    <w:aliases w:val="Bullet List Char,Response Bullets Char,Bullet Two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owt-li-00">
    <w:name w:val="qowt-li-0_0"/>
    <w:basedOn w:val="Normal"/>
    <w:rsid w:val="00DD3F9E"/>
    <w:pPr>
      <w:spacing w:before="100" w:beforeAutospacing="1" w:after="100" w:afterAutospacing="1" w:line="240" w:lineRule="auto"/>
    </w:pPr>
    <w:rPr>
      <w:rFonts w:eastAsia="Times New Roman" w:cs="Times New Roman"/>
      <w:sz w:val="24"/>
      <w:szCs w:val="24"/>
    </w:rPr>
  </w:style>
  <w:style w:type="table" w:styleId="TableGridLight">
    <w:name w:val="Grid Table Light"/>
    <w:basedOn w:val="TableNormal"/>
    <w:uiPriority w:val="40"/>
    <w:rsid w:val="008A574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11DAD-2359-4595-8BCE-51F3C400C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1797</Words>
  <Characters>10249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Hayashi</dc:creator>
  <cp:lastModifiedBy>Lam, Vivian</cp:lastModifiedBy>
  <cp:revision>4</cp:revision>
  <dcterms:created xsi:type="dcterms:W3CDTF">2020-12-08T23:20:00Z</dcterms:created>
  <dcterms:modified xsi:type="dcterms:W3CDTF">2020-12-21T19:23:00Z</dcterms:modified>
</cp:coreProperties>
</file>