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950" w:rsidRDefault="006D0196">
      <w:pPr>
        <w:pStyle w:val="FirstParagraph"/>
      </w:pPr>
      <w:r>
        <w:rPr>
          <w:noProof/>
        </w:rPr>
        <w:drawing>
          <wp:inline distT="0" distB="0" distL="0" distR="0" wp14:anchorId="540CDAAC" wp14:editId="0C2DD938">
            <wp:extent cx="6858000" cy="18288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New%20Tick%20Header.png"/>
                    <pic:cNvPicPr>
                      <a:picLocks noChangeAspect="1" noChangeArrowheads="1"/>
                    </pic:cNvPicPr>
                  </pic:nvPicPr>
                  <pic:blipFill>
                    <a:blip r:embed="rId8"/>
                    <a:stretch>
                      <a:fillRect/>
                    </a:stretch>
                  </pic:blipFill>
                  <pic:spPr bwMode="auto">
                    <a:xfrm>
                      <a:off x="0" y="0"/>
                      <a:ext cx="6858000" cy="1828800"/>
                    </a:xfrm>
                    <a:prstGeom prst="rect">
                      <a:avLst/>
                    </a:prstGeom>
                    <a:noFill/>
                    <a:ln w="9525">
                      <a:noFill/>
                      <a:headEnd/>
                      <a:tailEnd/>
                    </a:ln>
                  </pic:spPr>
                </pic:pic>
              </a:graphicData>
            </a:graphic>
          </wp:inline>
        </w:drawing>
      </w:r>
    </w:p>
    <w:p w:rsidR="008F5950" w:rsidRDefault="004F2F62">
      <w:pPr>
        <w:pStyle w:val="Heading1"/>
      </w:pPr>
      <w:r>
        <w:t>Bureau of Infectious Disease and Laboratory Sciences</w:t>
      </w:r>
    </w:p>
    <w:p w:rsidR="008F5950" w:rsidRDefault="004F2F62">
      <w:pPr>
        <w:pStyle w:val="Heading2"/>
      </w:pPr>
      <w:r>
        <w:t>Tick Exposure and Tick-borne Disease Syndromic Surveillance Report, December 2019</w:t>
      </w:r>
    </w:p>
    <w:p w:rsidR="008F5950" w:rsidRDefault="004F2F62">
      <w:pPr>
        <w:pStyle w:val="Heading4"/>
      </w:pPr>
      <w:bookmarkStart w:id="0" w:name="suggested-citation"/>
      <w:r>
        <w:t>Suggested citation:</w:t>
      </w:r>
      <w:bookmarkEnd w:id="0"/>
    </w:p>
    <w:p w:rsidR="008F5950" w:rsidRDefault="004F2F62">
      <w:pPr>
        <w:pStyle w:val="FirstParagraph"/>
      </w:pPr>
      <w:r>
        <w:t xml:space="preserve">Massachusetts Department of Public Health, Bureau of Infectious Disease and Laboratory Sciences. </w:t>
      </w:r>
      <w:r>
        <w:rPr>
          <w:i/>
        </w:rPr>
        <w:t>Tick Exposure and Tick-borne Disease Syndromic Surveillance Report, December 2019.</w:t>
      </w:r>
      <w:r>
        <w:t xml:space="preserve"> </w:t>
      </w:r>
      <w:hyperlink r:id="rId9">
        <w:r>
          <w:rPr>
            <w:rStyle w:val="Hyperlink"/>
          </w:rPr>
          <w:t>http://www.mass.gov/eohhs/gov/departments/dph/programs/id/</w:t>
        </w:r>
      </w:hyperlink>
    </w:p>
    <w:p w:rsidR="008F5950" w:rsidRDefault="004F2F62">
      <w:pPr>
        <w:pStyle w:val="Heading4"/>
      </w:pPr>
      <w:bookmarkStart w:id="1" w:name="bureau-of-infectious-disease-and-laborat"/>
      <w:r>
        <w:t>Bureau of Infectious Disease and Laboratory Sciences</w:t>
      </w:r>
      <w:bookmarkEnd w:id="1"/>
    </w:p>
    <w:p w:rsidR="008F5950" w:rsidRDefault="004F2F62">
      <w:pPr>
        <w:pStyle w:val="FirstParagraph"/>
      </w:pPr>
      <w:r>
        <w:t>Massachusetts Public Health State Laboratory</w:t>
      </w:r>
      <w:r>
        <w:br/>
        <w:t>305 South Street</w:t>
      </w:r>
      <w:r>
        <w:br/>
        <w:t>Jamaica Plain, MA 02130</w:t>
      </w:r>
    </w:p>
    <w:p w:rsidR="008F5950" w:rsidRDefault="004F2F62">
      <w:pPr>
        <w:pStyle w:val="BodyText"/>
      </w:pPr>
      <w:r>
        <w:rPr>
          <w:b/>
        </w:rPr>
        <w:t xml:space="preserve">To speak to the on-call epidemiologist </w:t>
      </w:r>
      <w:r>
        <w:br/>
        <w:t>Tel: (617) 983-6800</w:t>
      </w:r>
      <w:r>
        <w:br/>
      </w:r>
      <w:r>
        <w:rPr>
          <w:b/>
        </w:rPr>
        <w:t>Questions about Infectious Disease Reporting</w:t>
      </w:r>
      <w:r>
        <w:br/>
        <w:t>Tel: (617) 983-6801</w:t>
      </w:r>
      <w:r>
        <w:br/>
      </w:r>
      <w:r>
        <w:rPr>
          <w:b/>
        </w:rPr>
        <w:t>Requests for additional data</w:t>
      </w:r>
      <w:r>
        <w:br/>
      </w:r>
      <w:hyperlink r:id="rId10">
        <w:r>
          <w:rPr>
            <w:rStyle w:val="Hyperlink"/>
          </w:rPr>
          <w:t>http://www.mass.gov/eohhs/gov/departments/dph/programs/id/isis/surveillance-data-request.html</w:t>
        </w:r>
      </w:hyperlink>
    </w:p>
    <w:p w:rsidR="008F5950" w:rsidRDefault="004F2F62">
      <w:pPr>
        <w:pStyle w:val="Heading4"/>
      </w:pPr>
      <w:bookmarkStart w:id="2" w:name="acknowledgments"/>
      <w:r>
        <w:t>Acknowledgments</w:t>
      </w:r>
      <w:bookmarkEnd w:id="2"/>
    </w:p>
    <w:p w:rsidR="008F5950" w:rsidRDefault="004F2F62">
      <w:pPr>
        <w:pStyle w:val="FirstParagraph"/>
      </w:pPr>
      <w:r>
        <w:t>This report was prepared by the following MDPH staff:</w:t>
      </w:r>
      <w:r>
        <w:br/>
        <w:t>Rosa Ergas</w:t>
      </w:r>
      <w:r>
        <w:br/>
        <w:t>Susan Soliva</w:t>
      </w:r>
      <w:r>
        <w:br/>
        <w:t>Bruce Caldwell</w:t>
      </w:r>
      <w:r>
        <w:br/>
        <w:t>Lionel White</w:t>
      </w:r>
      <w:r>
        <w:br/>
        <w:t>Reed Sherrill</w:t>
      </w:r>
    </w:p>
    <w:p w:rsidR="008F5950" w:rsidRDefault="004F2F62">
      <w:pPr>
        <w:pStyle w:val="Heading3"/>
      </w:pPr>
      <w:bookmarkStart w:id="3" w:name="page-break"/>
      <w:r>
        <w:lastRenderedPageBreak/>
        <w:t>Page break</w:t>
      </w:r>
      <w:bookmarkEnd w:id="3"/>
    </w:p>
    <w:p w:rsidR="008F5950" w:rsidRDefault="004F2F62">
      <w:pPr>
        <w:pStyle w:val="Heading2"/>
      </w:pPr>
      <w:bookmarkStart w:id="4" w:name="tick-exposure-and-tick-borne-disease-syn"/>
      <w:r>
        <w:t>Tick Exposure and Tick-borne Disease Syndromic Surveillance Report, December 2019</w:t>
      </w:r>
      <w:bookmarkEnd w:id="4"/>
    </w:p>
    <w:p w:rsidR="008F5950" w:rsidRDefault="004F2F62">
      <w:pPr>
        <w:pStyle w:val="Heading4"/>
      </w:pPr>
      <w:bookmarkStart w:id="5" w:name="about-the-data"/>
      <w:r>
        <w:t>About the data</w:t>
      </w:r>
      <w:bookmarkEnd w:id="5"/>
    </w:p>
    <w:p w:rsidR="008F5950" w:rsidRDefault="004F2F62">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rsidR="008F5950" w:rsidRDefault="00D30246">
      <w:pPr>
        <w:pStyle w:val="Compact"/>
      </w:pPr>
      <w:r>
        <w:rPr>
          <w:b/>
        </w:rPr>
        <w:t>Figure 1</w:t>
      </w:r>
      <w:r>
        <w:t>: The graphs below show that in December of 2019, less than 0.1% of visits to EDs were related to either exposure to ticks or to diagnosis of a tick-borne disease. The 2019 data are shown compared to both the minimum and the maximum number of visits recorded over the last three years. Tick activity usually increases sometime in March or April depending on weather.</w:t>
      </w:r>
      <w:r>
        <w:br/>
      </w:r>
    </w:p>
    <w:p w:rsidR="008F5950" w:rsidRDefault="004F2F62">
      <w:pPr>
        <w:pStyle w:val="BodyText"/>
      </w:pPr>
      <w:r>
        <w:rPr>
          <w:noProof/>
        </w:rPr>
        <w:drawing>
          <wp:inline distT="0" distB="0" distL="0" distR="0">
            <wp:extent cx="6468176" cy="4340993"/>
            <wp:effectExtent l="0" t="0" r="0" b="0"/>
            <wp:docPr id="1" name="Picture" descr="Figure 1: The graphs show that in December of 2019, less than 0.1% of visits to EDs were related to either exposure to ticks or to diagnosis of a tick-borne disease. The 2019 data are shown compared to both the minimum and the maximum number of visits recorded over the last three years. Tick activity usually increases sometime in March or April depending on weather." title="Figure 1"/>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Bruce2_files/figure-docx/unnamed-chunk-1-1.png"/>
                    <pic:cNvPicPr>
                      <a:picLocks noChangeAspect="1" noChangeArrowheads="1"/>
                    </pic:cNvPicPr>
                  </pic:nvPicPr>
                  <pic:blipFill>
                    <a:blip r:embed="rId11"/>
                    <a:stretch>
                      <a:fillRect/>
                    </a:stretch>
                  </pic:blipFill>
                  <pic:spPr bwMode="auto">
                    <a:xfrm>
                      <a:off x="0" y="0"/>
                      <a:ext cx="6468176" cy="4340993"/>
                    </a:xfrm>
                    <a:prstGeom prst="rect">
                      <a:avLst/>
                    </a:prstGeom>
                    <a:noFill/>
                    <a:ln w="9525">
                      <a:noFill/>
                      <a:headEnd/>
                      <a:tailEnd/>
                    </a:ln>
                  </pic:spPr>
                </pic:pic>
              </a:graphicData>
            </a:graphic>
          </wp:inline>
        </w:drawing>
      </w:r>
    </w:p>
    <w:p w:rsidR="008F5950" w:rsidRDefault="004F2F62">
      <w:pPr>
        <w:pStyle w:val="Heading3"/>
      </w:pPr>
      <w:bookmarkStart w:id="6" w:name="page-break-1"/>
      <w:r>
        <w:lastRenderedPageBreak/>
        <w:t>Page break</w:t>
      </w:r>
      <w:bookmarkEnd w:id="6"/>
    </w:p>
    <w:p w:rsidR="008F5950" w:rsidRDefault="004F2F62">
      <w:pPr>
        <w:pStyle w:val="FirstParagraph"/>
      </w:pPr>
      <w:r>
        <w:rPr>
          <w:b/>
        </w:rPr>
        <w:t>Figure 2</w:t>
      </w:r>
      <w:r>
        <w:t>: This map shows the rate, per 10,000 total population, of ED visits by patients who had a visit related to a tick exposure, by Massachusetts county of residence, 2019 to date. Although there are differences in the rate of patient visits, this shows that people are exposed to ticks throughout all of Massachusetts and should take recommended steps to reduce the chance of being bitten.</w:t>
      </w:r>
    </w:p>
    <w:p w:rsidR="00DC6F6A" w:rsidRPr="00DC6F6A" w:rsidRDefault="004F2F62" w:rsidP="00DC6F6A">
      <w:pPr>
        <w:pStyle w:val="BodyText"/>
      </w:pPr>
      <w:r>
        <w:rPr>
          <w:noProof/>
        </w:rPr>
        <w:drawing>
          <wp:inline distT="0" distB="0" distL="0" distR="0">
            <wp:extent cx="6849110" cy="5288280"/>
            <wp:effectExtent l="0" t="0" r="0" b="0"/>
            <wp:docPr id="6" name="Picture 6" descr="This map shows the rate, per 10,000 total population, of ED visits by patients who had a visit related to a tick exposure, by Massachusetts county of residence, 2019 to date. Although there are differences in the rate of patient visits, this shows that people are exposed to ticks throughout all of Massachusetts and should take recommended steps to reduce the chance of being bitten."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9110" cy="5288280"/>
                    </a:xfrm>
                    <a:prstGeom prst="rect">
                      <a:avLst/>
                    </a:prstGeom>
                    <a:noFill/>
                    <a:ln>
                      <a:noFill/>
                    </a:ln>
                  </pic:spPr>
                </pic:pic>
              </a:graphicData>
            </a:graphic>
          </wp:inline>
        </w:drawing>
      </w:r>
    </w:p>
    <w:p w:rsidR="008F5950" w:rsidRDefault="004F2F62">
      <w:pPr>
        <w:pStyle w:val="Heading3"/>
      </w:pPr>
      <w:bookmarkStart w:id="7" w:name="page-break-2"/>
      <w:r>
        <w:t>Page break</w:t>
      </w:r>
      <w:bookmarkEnd w:id="7"/>
    </w:p>
    <w:p w:rsidR="008F5950" w:rsidRDefault="004F2F62">
      <w:pPr>
        <w:pStyle w:val="FirstParagraph"/>
      </w:pPr>
      <w:r>
        <w:rPr>
          <w:b/>
        </w:rPr>
        <w:t>Figure 3</w:t>
      </w:r>
      <w:r>
        <w:t xml:space="preserve">: This graph shows the rate of ED visits made by patients who were diagnosed with a tick-borne disease, by age group, 2019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t>
      </w:r>
      <w:r>
        <w:rPr>
          <w:noProof/>
        </w:rPr>
        <w:drawing>
          <wp:inline distT="0" distB="0" distL="0" distR="0">
            <wp:extent cx="6468176" cy="5082138"/>
            <wp:effectExtent l="0" t="0" r="0" b="0"/>
            <wp:docPr id="2" name="Picture" descr="This graph shows the rate of ED visits made by patients who were diagnosed with a tick-borne disease, by age group, 2019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 title="Figure 3"/>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Bruce2_files/figure-docx/unnamed-chunk-2-1.png"/>
                    <pic:cNvPicPr>
                      <a:picLocks noChangeAspect="1" noChangeArrowheads="1"/>
                    </pic:cNvPicPr>
                  </pic:nvPicPr>
                  <pic:blipFill>
                    <a:blip r:embed="rId13"/>
                    <a:stretch>
                      <a:fillRect/>
                    </a:stretch>
                  </pic:blipFill>
                  <pic:spPr bwMode="auto">
                    <a:xfrm>
                      <a:off x="0" y="0"/>
                      <a:ext cx="6468176" cy="5082138"/>
                    </a:xfrm>
                    <a:prstGeom prst="rect">
                      <a:avLst/>
                    </a:prstGeom>
                    <a:noFill/>
                    <a:ln w="9525">
                      <a:noFill/>
                      <a:headEnd/>
                      <a:tailEnd/>
                    </a:ln>
                  </pic:spPr>
                </pic:pic>
              </a:graphicData>
            </a:graphic>
          </wp:inline>
        </w:drawing>
      </w:r>
    </w:p>
    <w:p w:rsidR="008F5950" w:rsidRDefault="004F2F62">
      <w:pPr>
        <w:pStyle w:val="Heading3"/>
      </w:pPr>
      <w:bookmarkStart w:id="8" w:name="page-break-3"/>
      <w:r>
        <w:t>Page break</w:t>
      </w:r>
      <w:bookmarkEnd w:id="8"/>
    </w:p>
    <w:p w:rsidR="00BD4270" w:rsidRDefault="00BD4270" w:rsidP="00BD4270">
      <w:pPr>
        <w:pStyle w:val="FirstParagraph"/>
      </w:pPr>
      <w:r w:rsidRPr="00DC6F6A">
        <w:rPr>
          <w:b/>
        </w:rPr>
        <w:t>Figure 4:</w:t>
      </w:r>
      <w:r>
        <w:t xml:space="preserve"> </w:t>
      </w:r>
      <w:r w:rsidR="000921CE">
        <w:t>These graphs show the p</w:t>
      </w:r>
      <w:r w:rsidRPr="00DC6F6A">
        <w:t xml:space="preserve">ercent of total ED visits </w:t>
      </w:r>
      <w:r w:rsidR="000921CE">
        <w:t>that resulted in a diagnosis of Lyme disease, babesiosis or anaplasmosis. Although the peak percentage varies by year, the trends shown by each disease are similar year-to-year. It is important to note that the y-axes are different for all 3 diseases; the proportion of ED visits resulting in a diagnosis of Lyme disease peaked at just under 0.2% this year while the peak proportions for babesiosis and anaplasmosis approached 0.04% and 0.03% respectively.</w:t>
      </w:r>
    </w:p>
    <w:p w:rsidR="00BD4270" w:rsidRDefault="00BD4270" w:rsidP="00BD4270">
      <w:pPr>
        <w:pStyle w:val="BodyText"/>
      </w:pPr>
    </w:p>
    <w:p w:rsidR="00BD4270" w:rsidRPr="00BD4270" w:rsidRDefault="00BD4270" w:rsidP="00BD4270">
      <w:pPr>
        <w:pStyle w:val="BodyText"/>
      </w:pPr>
      <w:r>
        <w:rPr>
          <w:noProof/>
        </w:rPr>
        <w:drawing>
          <wp:inline distT="0" distB="0" distL="0" distR="0" wp14:anchorId="0CA706E7">
            <wp:extent cx="6858635" cy="6858635"/>
            <wp:effectExtent l="0" t="0" r="0" b="0"/>
            <wp:docPr id="4" name="Picture 4" descr="These graphs show the percent of total ED visits that resulted in a diagnosis of Lyme disease, babesiosis or anaplasmosis. Although the peak percentage varies by year, the trends shown by each disease are similar year-to-year. It is important to note that the y-axes are different for all 3 diseases; the proportion of ED visits resulting in a diagnosis of Lyme disease peaked at just under 0.2% this year while the peak proportions for babesiosis and anaplasmosis approached 0.04% and 0.03% respectively."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635" cy="6858635"/>
                    </a:xfrm>
                    <a:prstGeom prst="rect">
                      <a:avLst/>
                    </a:prstGeom>
                    <a:noFill/>
                  </pic:spPr>
                </pic:pic>
              </a:graphicData>
            </a:graphic>
          </wp:inline>
        </w:drawing>
      </w:r>
    </w:p>
    <w:p w:rsidR="00BD4270" w:rsidRDefault="00BD4270">
      <w:pPr>
        <w:spacing w:line="276" w:lineRule="auto"/>
        <w:rPr>
          <w:b/>
        </w:rPr>
      </w:pPr>
      <w:r>
        <w:rPr>
          <w:b/>
        </w:rPr>
        <w:br w:type="page"/>
      </w:r>
    </w:p>
    <w:p w:rsidR="008F5950" w:rsidRDefault="004F2F62">
      <w:pPr>
        <w:pStyle w:val="FirstParagraph"/>
      </w:pPr>
      <w:r>
        <w:rPr>
          <w:b/>
        </w:rPr>
        <w:t>Table 1</w:t>
      </w:r>
      <w:r>
        <w:t>: This table shows the number and the rate of ED visits by patients who were diagnosed with a tick-borne disease, by county 2019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tblLook w:val="07E0" w:firstRow="1" w:lastRow="1" w:firstColumn="1" w:lastColumn="1" w:noHBand="1" w:noVBand="1"/>
      </w:tblPr>
      <w:tblGrid>
        <w:gridCol w:w="2169"/>
        <w:gridCol w:w="1096"/>
        <w:gridCol w:w="2237"/>
        <w:gridCol w:w="2606"/>
      </w:tblGrid>
      <w:tr w:rsidR="008F5950">
        <w:tc>
          <w:tcPr>
            <w:tcW w:w="0" w:type="auto"/>
            <w:tcBorders>
              <w:bottom w:val="single" w:sz="0" w:space="0" w:color="auto"/>
            </w:tcBorders>
            <w:vAlign w:val="bottom"/>
          </w:tcPr>
          <w:p w:rsidR="008F5950" w:rsidRDefault="004F2F62">
            <w:pPr>
              <w:pStyle w:val="Compact"/>
              <w:jc w:val="center"/>
            </w:pPr>
            <w:r>
              <w:t>County</w:t>
            </w:r>
          </w:p>
        </w:tc>
        <w:tc>
          <w:tcPr>
            <w:tcW w:w="0" w:type="auto"/>
            <w:tcBorders>
              <w:bottom w:val="single" w:sz="0" w:space="0" w:color="auto"/>
            </w:tcBorders>
            <w:vAlign w:val="bottom"/>
          </w:tcPr>
          <w:p w:rsidR="008F5950" w:rsidRDefault="004F2F62">
            <w:pPr>
              <w:pStyle w:val="Compact"/>
              <w:jc w:val="center"/>
            </w:pPr>
            <w:r>
              <w:t>Total Visits</w:t>
            </w:r>
          </w:p>
        </w:tc>
        <w:tc>
          <w:tcPr>
            <w:tcW w:w="0" w:type="auto"/>
            <w:tcBorders>
              <w:bottom w:val="single" w:sz="0" w:space="0" w:color="auto"/>
            </w:tcBorders>
            <w:vAlign w:val="bottom"/>
          </w:tcPr>
          <w:p w:rsidR="008F5950" w:rsidRDefault="004F2F62">
            <w:pPr>
              <w:pStyle w:val="Compact"/>
              <w:jc w:val="center"/>
            </w:pPr>
            <w:r>
              <w:t>Number of Tick-borne Disease Visits</w:t>
            </w:r>
          </w:p>
        </w:tc>
        <w:tc>
          <w:tcPr>
            <w:tcW w:w="0" w:type="auto"/>
            <w:tcBorders>
              <w:bottom w:val="single" w:sz="0" w:space="0" w:color="auto"/>
            </w:tcBorders>
            <w:vAlign w:val="bottom"/>
          </w:tcPr>
          <w:p w:rsidR="008F5950" w:rsidRDefault="004F2F62">
            <w:pPr>
              <w:pStyle w:val="Compact"/>
              <w:jc w:val="center"/>
            </w:pPr>
            <w:r>
              <w:t>Rate (Per 10,000) of Tick-borne Disease Visits</w:t>
            </w:r>
          </w:p>
        </w:tc>
      </w:tr>
      <w:tr w:rsidR="008F5950">
        <w:tc>
          <w:tcPr>
            <w:tcW w:w="0" w:type="auto"/>
          </w:tcPr>
          <w:p w:rsidR="008F5950" w:rsidRDefault="004F2F62">
            <w:pPr>
              <w:pStyle w:val="Compact"/>
              <w:jc w:val="center"/>
            </w:pPr>
            <w:r>
              <w:t>BARNSTABLE</w:t>
            </w:r>
          </w:p>
        </w:tc>
        <w:tc>
          <w:tcPr>
            <w:tcW w:w="0" w:type="auto"/>
          </w:tcPr>
          <w:p w:rsidR="008F5950" w:rsidRDefault="004F2F62">
            <w:pPr>
              <w:pStyle w:val="Compact"/>
              <w:jc w:val="center"/>
            </w:pPr>
            <w:r>
              <w:t>111613</w:t>
            </w:r>
          </w:p>
        </w:tc>
        <w:tc>
          <w:tcPr>
            <w:tcW w:w="0" w:type="auto"/>
          </w:tcPr>
          <w:p w:rsidR="008F5950" w:rsidRDefault="004F2F62">
            <w:pPr>
              <w:pStyle w:val="Compact"/>
              <w:jc w:val="center"/>
            </w:pPr>
            <w:bookmarkStart w:id="9" w:name="_GoBack"/>
            <w:bookmarkEnd w:id="9"/>
            <w:r>
              <w:t>107</w:t>
            </w:r>
          </w:p>
        </w:tc>
        <w:tc>
          <w:tcPr>
            <w:tcW w:w="0" w:type="auto"/>
          </w:tcPr>
          <w:p w:rsidR="008F5950" w:rsidRDefault="004F2F62">
            <w:pPr>
              <w:pStyle w:val="Compact"/>
              <w:jc w:val="center"/>
            </w:pPr>
            <w:r>
              <w:t>9.59</w:t>
            </w:r>
          </w:p>
        </w:tc>
      </w:tr>
      <w:tr w:rsidR="008F5950">
        <w:tc>
          <w:tcPr>
            <w:tcW w:w="0" w:type="auto"/>
          </w:tcPr>
          <w:p w:rsidR="008F5950" w:rsidRDefault="004F2F62">
            <w:pPr>
              <w:pStyle w:val="Compact"/>
              <w:jc w:val="center"/>
            </w:pPr>
            <w:r>
              <w:t>BERKSHIRE</w:t>
            </w:r>
          </w:p>
        </w:tc>
        <w:tc>
          <w:tcPr>
            <w:tcW w:w="0" w:type="auto"/>
          </w:tcPr>
          <w:p w:rsidR="008F5950" w:rsidRDefault="004F2F62">
            <w:pPr>
              <w:pStyle w:val="Compact"/>
              <w:jc w:val="center"/>
            </w:pPr>
            <w:r>
              <w:t>74978</w:t>
            </w:r>
          </w:p>
        </w:tc>
        <w:tc>
          <w:tcPr>
            <w:tcW w:w="0" w:type="auto"/>
          </w:tcPr>
          <w:p w:rsidR="008F5950" w:rsidRDefault="004F2F62">
            <w:pPr>
              <w:pStyle w:val="Compact"/>
              <w:jc w:val="center"/>
            </w:pPr>
            <w:r>
              <w:t>79</w:t>
            </w:r>
          </w:p>
        </w:tc>
        <w:tc>
          <w:tcPr>
            <w:tcW w:w="0" w:type="auto"/>
          </w:tcPr>
          <w:p w:rsidR="008F5950" w:rsidRDefault="004F2F62">
            <w:pPr>
              <w:pStyle w:val="Compact"/>
              <w:jc w:val="center"/>
            </w:pPr>
            <w:r>
              <w:t>10.54</w:t>
            </w:r>
          </w:p>
        </w:tc>
      </w:tr>
      <w:tr w:rsidR="008F5950">
        <w:tc>
          <w:tcPr>
            <w:tcW w:w="0" w:type="auto"/>
          </w:tcPr>
          <w:p w:rsidR="008F5950" w:rsidRDefault="004F2F62">
            <w:pPr>
              <w:pStyle w:val="Compact"/>
              <w:jc w:val="center"/>
            </w:pPr>
            <w:r>
              <w:t>BRISTOL</w:t>
            </w:r>
          </w:p>
        </w:tc>
        <w:tc>
          <w:tcPr>
            <w:tcW w:w="0" w:type="auto"/>
          </w:tcPr>
          <w:p w:rsidR="008F5950" w:rsidRDefault="004F2F62">
            <w:pPr>
              <w:pStyle w:val="Compact"/>
              <w:jc w:val="center"/>
            </w:pPr>
            <w:r>
              <w:t>309985</w:t>
            </w:r>
          </w:p>
        </w:tc>
        <w:tc>
          <w:tcPr>
            <w:tcW w:w="0" w:type="auto"/>
          </w:tcPr>
          <w:p w:rsidR="008F5950" w:rsidRDefault="004F2F62">
            <w:pPr>
              <w:pStyle w:val="Compact"/>
              <w:jc w:val="center"/>
            </w:pPr>
            <w:r>
              <w:t>200</w:t>
            </w:r>
          </w:p>
        </w:tc>
        <w:tc>
          <w:tcPr>
            <w:tcW w:w="0" w:type="auto"/>
          </w:tcPr>
          <w:p w:rsidR="008F5950" w:rsidRDefault="004F2F62">
            <w:pPr>
              <w:pStyle w:val="Compact"/>
              <w:jc w:val="center"/>
            </w:pPr>
            <w:r>
              <w:t>6.45</w:t>
            </w:r>
          </w:p>
        </w:tc>
      </w:tr>
      <w:tr w:rsidR="008F5950">
        <w:tc>
          <w:tcPr>
            <w:tcW w:w="0" w:type="auto"/>
          </w:tcPr>
          <w:p w:rsidR="008F5950" w:rsidRDefault="004F2F62">
            <w:pPr>
              <w:pStyle w:val="Compact"/>
              <w:jc w:val="center"/>
            </w:pPr>
            <w:r>
              <w:t>DUKES/NANTUCKET</w:t>
            </w:r>
          </w:p>
        </w:tc>
        <w:tc>
          <w:tcPr>
            <w:tcW w:w="0" w:type="auto"/>
          </w:tcPr>
          <w:p w:rsidR="008F5950" w:rsidRDefault="004F2F62">
            <w:pPr>
              <w:pStyle w:val="Compact"/>
              <w:jc w:val="center"/>
            </w:pPr>
            <w:r>
              <w:t>18084</w:t>
            </w:r>
          </w:p>
        </w:tc>
        <w:tc>
          <w:tcPr>
            <w:tcW w:w="0" w:type="auto"/>
          </w:tcPr>
          <w:p w:rsidR="008F5950" w:rsidRDefault="004F2F62">
            <w:pPr>
              <w:pStyle w:val="Compact"/>
              <w:jc w:val="center"/>
            </w:pPr>
            <w:r>
              <w:t>162</w:t>
            </w:r>
          </w:p>
        </w:tc>
        <w:tc>
          <w:tcPr>
            <w:tcW w:w="0" w:type="auto"/>
          </w:tcPr>
          <w:p w:rsidR="008F5950" w:rsidRDefault="004F2F62">
            <w:pPr>
              <w:pStyle w:val="Compact"/>
              <w:jc w:val="center"/>
            </w:pPr>
            <w:r>
              <w:t>89.58</w:t>
            </w:r>
          </w:p>
        </w:tc>
      </w:tr>
      <w:tr w:rsidR="008F5950">
        <w:tc>
          <w:tcPr>
            <w:tcW w:w="0" w:type="auto"/>
          </w:tcPr>
          <w:p w:rsidR="008F5950" w:rsidRDefault="004F2F62">
            <w:pPr>
              <w:pStyle w:val="Compact"/>
              <w:jc w:val="center"/>
            </w:pPr>
            <w:r>
              <w:t>ESSEX</w:t>
            </w:r>
          </w:p>
        </w:tc>
        <w:tc>
          <w:tcPr>
            <w:tcW w:w="0" w:type="auto"/>
          </w:tcPr>
          <w:p w:rsidR="008F5950" w:rsidRDefault="004F2F62">
            <w:pPr>
              <w:pStyle w:val="Compact"/>
              <w:jc w:val="center"/>
            </w:pPr>
            <w:r>
              <w:t>381673</w:t>
            </w:r>
          </w:p>
        </w:tc>
        <w:tc>
          <w:tcPr>
            <w:tcW w:w="0" w:type="auto"/>
          </w:tcPr>
          <w:p w:rsidR="008F5950" w:rsidRDefault="004F2F62">
            <w:pPr>
              <w:pStyle w:val="Compact"/>
              <w:jc w:val="center"/>
            </w:pPr>
            <w:r>
              <w:t>133</w:t>
            </w:r>
          </w:p>
        </w:tc>
        <w:tc>
          <w:tcPr>
            <w:tcW w:w="0" w:type="auto"/>
          </w:tcPr>
          <w:p w:rsidR="008F5950" w:rsidRDefault="004F2F62">
            <w:pPr>
              <w:pStyle w:val="Compact"/>
              <w:jc w:val="center"/>
            </w:pPr>
            <w:r>
              <w:t>3.48</w:t>
            </w:r>
          </w:p>
        </w:tc>
      </w:tr>
      <w:tr w:rsidR="008F5950">
        <w:tc>
          <w:tcPr>
            <w:tcW w:w="0" w:type="auto"/>
          </w:tcPr>
          <w:p w:rsidR="008F5950" w:rsidRDefault="004F2F62">
            <w:pPr>
              <w:pStyle w:val="Compact"/>
              <w:jc w:val="center"/>
            </w:pPr>
            <w:r>
              <w:t>FRANKLIN</w:t>
            </w:r>
          </w:p>
        </w:tc>
        <w:tc>
          <w:tcPr>
            <w:tcW w:w="0" w:type="auto"/>
          </w:tcPr>
          <w:p w:rsidR="008F5950" w:rsidRDefault="004F2F62">
            <w:pPr>
              <w:pStyle w:val="Compact"/>
              <w:jc w:val="center"/>
            </w:pPr>
            <w:r>
              <w:t>31801</w:t>
            </w:r>
          </w:p>
        </w:tc>
        <w:tc>
          <w:tcPr>
            <w:tcW w:w="0" w:type="auto"/>
          </w:tcPr>
          <w:p w:rsidR="008F5950" w:rsidRDefault="004F2F62">
            <w:pPr>
              <w:pStyle w:val="Compact"/>
              <w:jc w:val="center"/>
            </w:pPr>
            <w:r>
              <w:t>48</w:t>
            </w:r>
          </w:p>
        </w:tc>
        <w:tc>
          <w:tcPr>
            <w:tcW w:w="0" w:type="auto"/>
          </w:tcPr>
          <w:p w:rsidR="008F5950" w:rsidRDefault="004F2F62">
            <w:pPr>
              <w:pStyle w:val="Compact"/>
              <w:jc w:val="center"/>
            </w:pPr>
            <w:r>
              <w:t>15.09</w:t>
            </w:r>
          </w:p>
        </w:tc>
      </w:tr>
      <w:tr w:rsidR="008F5950">
        <w:tc>
          <w:tcPr>
            <w:tcW w:w="0" w:type="auto"/>
          </w:tcPr>
          <w:p w:rsidR="008F5950" w:rsidRDefault="004F2F62">
            <w:pPr>
              <w:pStyle w:val="Compact"/>
              <w:jc w:val="center"/>
            </w:pPr>
            <w:r>
              <w:t>HAMPDEN</w:t>
            </w:r>
          </w:p>
        </w:tc>
        <w:tc>
          <w:tcPr>
            <w:tcW w:w="0" w:type="auto"/>
          </w:tcPr>
          <w:p w:rsidR="008F5950" w:rsidRDefault="004F2F62">
            <w:pPr>
              <w:pStyle w:val="Compact"/>
              <w:jc w:val="center"/>
            </w:pPr>
            <w:r>
              <w:t>274666</w:t>
            </w:r>
          </w:p>
        </w:tc>
        <w:tc>
          <w:tcPr>
            <w:tcW w:w="0" w:type="auto"/>
          </w:tcPr>
          <w:p w:rsidR="008F5950" w:rsidRDefault="004F2F62">
            <w:pPr>
              <w:pStyle w:val="Compact"/>
              <w:jc w:val="center"/>
            </w:pPr>
            <w:r>
              <w:t>118</w:t>
            </w:r>
          </w:p>
        </w:tc>
        <w:tc>
          <w:tcPr>
            <w:tcW w:w="0" w:type="auto"/>
          </w:tcPr>
          <w:p w:rsidR="008F5950" w:rsidRDefault="004F2F62">
            <w:pPr>
              <w:pStyle w:val="Compact"/>
              <w:jc w:val="center"/>
            </w:pPr>
            <w:r>
              <w:t>4.3</w:t>
            </w:r>
          </w:p>
        </w:tc>
      </w:tr>
      <w:tr w:rsidR="008F5950">
        <w:tc>
          <w:tcPr>
            <w:tcW w:w="0" w:type="auto"/>
          </w:tcPr>
          <w:p w:rsidR="008F5950" w:rsidRDefault="004F2F62">
            <w:pPr>
              <w:pStyle w:val="Compact"/>
              <w:jc w:val="center"/>
            </w:pPr>
            <w:r>
              <w:t>HAMPSHIRE</w:t>
            </w:r>
          </w:p>
        </w:tc>
        <w:tc>
          <w:tcPr>
            <w:tcW w:w="0" w:type="auto"/>
          </w:tcPr>
          <w:p w:rsidR="008F5950" w:rsidRDefault="004F2F62">
            <w:pPr>
              <w:pStyle w:val="Compact"/>
              <w:jc w:val="center"/>
            </w:pPr>
            <w:r>
              <w:t>56005</w:t>
            </w:r>
          </w:p>
        </w:tc>
        <w:tc>
          <w:tcPr>
            <w:tcW w:w="0" w:type="auto"/>
          </w:tcPr>
          <w:p w:rsidR="008F5950" w:rsidRDefault="004F2F62">
            <w:pPr>
              <w:pStyle w:val="Compact"/>
              <w:jc w:val="center"/>
            </w:pPr>
            <w:r>
              <w:t>89</w:t>
            </w:r>
          </w:p>
        </w:tc>
        <w:tc>
          <w:tcPr>
            <w:tcW w:w="0" w:type="auto"/>
          </w:tcPr>
          <w:p w:rsidR="008F5950" w:rsidRDefault="004F2F62">
            <w:pPr>
              <w:pStyle w:val="Compact"/>
              <w:jc w:val="center"/>
            </w:pPr>
            <w:r>
              <w:t>15.89</w:t>
            </w:r>
          </w:p>
        </w:tc>
      </w:tr>
      <w:tr w:rsidR="008F5950">
        <w:tc>
          <w:tcPr>
            <w:tcW w:w="0" w:type="auto"/>
          </w:tcPr>
          <w:p w:rsidR="008F5950" w:rsidRDefault="004F2F62">
            <w:pPr>
              <w:pStyle w:val="Compact"/>
              <w:jc w:val="center"/>
            </w:pPr>
            <w:r>
              <w:t>MIDDLESEX</w:t>
            </w:r>
          </w:p>
        </w:tc>
        <w:tc>
          <w:tcPr>
            <w:tcW w:w="0" w:type="auto"/>
          </w:tcPr>
          <w:p w:rsidR="008F5950" w:rsidRDefault="004F2F62">
            <w:pPr>
              <w:pStyle w:val="Compact"/>
              <w:jc w:val="center"/>
            </w:pPr>
            <w:r>
              <w:t>505147</w:t>
            </w:r>
          </w:p>
        </w:tc>
        <w:tc>
          <w:tcPr>
            <w:tcW w:w="0" w:type="auto"/>
          </w:tcPr>
          <w:p w:rsidR="008F5950" w:rsidRDefault="004F2F62">
            <w:pPr>
              <w:pStyle w:val="Compact"/>
              <w:jc w:val="center"/>
            </w:pPr>
            <w:r>
              <w:t>288</w:t>
            </w:r>
          </w:p>
        </w:tc>
        <w:tc>
          <w:tcPr>
            <w:tcW w:w="0" w:type="auto"/>
          </w:tcPr>
          <w:p w:rsidR="008F5950" w:rsidRDefault="004F2F62">
            <w:pPr>
              <w:pStyle w:val="Compact"/>
              <w:jc w:val="center"/>
            </w:pPr>
            <w:r>
              <w:t>5.7</w:t>
            </w:r>
          </w:p>
        </w:tc>
      </w:tr>
      <w:tr w:rsidR="008F5950">
        <w:tc>
          <w:tcPr>
            <w:tcW w:w="0" w:type="auto"/>
          </w:tcPr>
          <w:p w:rsidR="008F5950" w:rsidRDefault="004F2F62">
            <w:pPr>
              <w:pStyle w:val="Compact"/>
              <w:jc w:val="center"/>
            </w:pPr>
            <w:r>
              <w:t>NORFOLK</w:t>
            </w:r>
          </w:p>
        </w:tc>
        <w:tc>
          <w:tcPr>
            <w:tcW w:w="0" w:type="auto"/>
          </w:tcPr>
          <w:p w:rsidR="008F5950" w:rsidRDefault="004F2F62">
            <w:pPr>
              <w:pStyle w:val="Compact"/>
              <w:jc w:val="center"/>
            </w:pPr>
            <w:r>
              <w:t>260583</w:t>
            </w:r>
          </w:p>
        </w:tc>
        <w:tc>
          <w:tcPr>
            <w:tcW w:w="0" w:type="auto"/>
          </w:tcPr>
          <w:p w:rsidR="008F5950" w:rsidRDefault="004F2F62">
            <w:pPr>
              <w:pStyle w:val="Compact"/>
              <w:jc w:val="center"/>
            </w:pPr>
            <w:r>
              <w:t>173</w:t>
            </w:r>
          </w:p>
        </w:tc>
        <w:tc>
          <w:tcPr>
            <w:tcW w:w="0" w:type="auto"/>
          </w:tcPr>
          <w:p w:rsidR="008F5950" w:rsidRDefault="004F2F62">
            <w:pPr>
              <w:pStyle w:val="Compact"/>
              <w:jc w:val="center"/>
            </w:pPr>
            <w:r>
              <w:t>6.64</w:t>
            </w:r>
          </w:p>
        </w:tc>
      </w:tr>
      <w:tr w:rsidR="008F5950">
        <w:tc>
          <w:tcPr>
            <w:tcW w:w="0" w:type="auto"/>
          </w:tcPr>
          <w:p w:rsidR="008F5950" w:rsidRDefault="004F2F62">
            <w:pPr>
              <w:pStyle w:val="Compact"/>
              <w:jc w:val="center"/>
            </w:pPr>
            <w:r>
              <w:t>PLYMOUTH</w:t>
            </w:r>
          </w:p>
        </w:tc>
        <w:tc>
          <w:tcPr>
            <w:tcW w:w="0" w:type="auto"/>
          </w:tcPr>
          <w:p w:rsidR="008F5950" w:rsidRDefault="004F2F62">
            <w:pPr>
              <w:pStyle w:val="Compact"/>
              <w:jc w:val="center"/>
            </w:pPr>
            <w:r>
              <w:t>260170</w:t>
            </w:r>
          </w:p>
        </w:tc>
        <w:tc>
          <w:tcPr>
            <w:tcW w:w="0" w:type="auto"/>
          </w:tcPr>
          <w:p w:rsidR="008F5950" w:rsidRDefault="004F2F62">
            <w:pPr>
              <w:pStyle w:val="Compact"/>
              <w:jc w:val="center"/>
            </w:pPr>
            <w:r>
              <w:t>227</w:t>
            </w:r>
          </w:p>
        </w:tc>
        <w:tc>
          <w:tcPr>
            <w:tcW w:w="0" w:type="auto"/>
          </w:tcPr>
          <w:p w:rsidR="008F5950" w:rsidRDefault="004F2F62">
            <w:pPr>
              <w:pStyle w:val="Compact"/>
              <w:jc w:val="center"/>
            </w:pPr>
            <w:r>
              <w:t>8.73</w:t>
            </w:r>
          </w:p>
        </w:tc>
      </w:tr>
      <w:tr w:rsidR="008F5950">
        <w:tc>
          <w:tcPr>
            <w:tcW w:w="0" w:type="auto"/>
          </w:tcPr>
          <w:p w:rsidR="008F5950" w:rsidRDefault="004F2F62">
            <w:pPr>
              <w:pStyle w:val="Compact"/>
              <w:jc w:val="center"/>
            </w:pPr>
            <w:r>
              <w:t>SUFFOLK</w:t>
            </w:r>
          </w:p>
        </w:tc>
        <w:tc>
          <w:tcPr>
            <w:tcW w:w="0" w:type="auto"/>
          </w:tcPr>
          <w:p w:rsidR="008F5950" w:rsidRDefault="004F2F62">
            <w:pPr>
              <w:pStyle w:val="Compact"/>
              <w:jc w:val="center"/>
            </w:pPr>
            <w:r>
              <w:t>409265</w:t>
            </w:r>
          </w:p>
        </w:tc>
        <w:tc>
          <w:tcPr>
            <w:tcW w:w="0" w:type="auto"/>
          </w:tcPr>
          <w:p w:rsidR="008F5950" w:rsidRDefault="004F2F62">
            <w:pPr>
              <w:pStyle w:val="Compact"/>
              <w:jc w:val="center"/>
            </w:pPr>
            <w:r>
              <w:t>64</w:t>
            </w:r>
          </w:p>
        </w:tc>
        <w:tc>
          <w:tcPr>
            <w:tcW w:w="0" w:type="auto"/>
          </w:tcPr>
          <w:p w:rsidR="008F5950" w:rsidRDefault="004F2F62">
            <w:pPr>
              <w:pStyle w:val="Compact"/>
              <w:jc w:val="center"/>
            </w:pPr>
            <w:r>
              <w:t>1.56</w:t>
            </w:r>
          </w:p>
        </w:tc>
      </w:tr>
      <w:tr w:rsidR="008F5950">
        <w:tc>
          <w:tcPr>
            <w:tcW w:w="0" w:type="auto"/>
          </w:tcPr>
          <w:p w:rsidR="008F5950" w:rsidRDefault="004F2F62">
            <w:pPr>
              <w:pStyle w:val="Compact"/>
              <w:jc w:val="center"/>
            </w:pPr>
            <w:r>
              <w:t>WORCESTER</w:t>
            </w:r>
          </w:p>
        </w:tc>
        <w:tc>
          <w:tcPr>
            <w:tcW w:w="0" w:type="auto"/>
          </w:tcPr>
          <w:p w:rsidR="008F5950" w:rsidRDefault="004F2F62">
            <w:pPr>
              <w:pStyle w:val="Compact"/>
              <w:jc w:val="center"/>
            </w:pPr>
            <w:r>
              <w:t>381891</w:t>
            </w:r>
          </w:p>
        </w:tc>
        <w:tc>
          <w:tcPr>
            <w:tcW w:w="0" w:type="auto"/>
          </w:tcPr>
          <w:p w:rsidR="008F5950" w:rsidRDefault="004F2F62">
            <w:pPr>
              <w:pStyle w:val="Compact"/>
              <w:jc w:val="center"/>
            </w:pPr>
            <w:r>
              <w:t>277</w:t>
            </w:r>
          </w:p>
        </w:tc>
        <w:tc>
          <w:tcPr>
            <w:tcW w:w="0" w:type="auto"/>
          </w:tcPr>
          <w:p w:rsidR="008F5950" w:rsidRDefault="004F2F62">
            <w:pPr>
              <w:pStyle w:val="Compact"/>
              <w:jc w:val="center"/>
            </w:pPr>
            <w:r>
              <w:t>7.25</w:t>
            </w:r>
          </w:p>
        </w:tc>
      </w:tr>
    </w:tbl>
    <w:p w:rsidR="00BD4270" w:rsidRDefault="004F2F62" w:rsidP="00BD4270">
      <w:pPr>
        <w:pStyle w:val="BodyText"/>
      </w:pPr>
      <w:r>
        <w:t>*Visits where patient county was missing or out of state are not shown (n=266820)</w:t>
      </w:r>
    </w:p>
    <w:p w:rsidR="00BD4270" w:rsidRDefault="00BD4270" w:rsidP="00BD4270">
      <w:pPr>
        <w:pStyle w:val="BodyText"/>
      </w:pPr>
      <w:r>
        <w:br w:type="page"/>
      </w:r>
    </w:p>
    <w:p w:rsidR="008F5950" w:rsidRDefault="008F5950" w:rsidP="00BD4270">
      <w:pPr>
        <w:pStyle w:val="BodyText"/>
      </w:pPr>
    </w:p>
    <w:p w:rsidR="008F5950" w:rsidRDefault="004F2F62">
      <w:pPr>
        <w:pStyle w:val="Heading4"/>
      </w:pPr>
      <w:bookmarkStart w:id="10" w:name="more-information"/>
      <w:r>
        <w:t>MORE INFORMATION:</w:t>
      </w:r>
      <w:bookmarkEnd w:id="10"/>
    </w:p>
    <w:p w:rsidR="008F5950" w:rsidRDefault="004F2F62">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rsidR="008F5950" w:rsidRDefault="004F2F62">
      <w:pPr>
        <w:pStyle w:val="Heading4"/>
      </w:pPr>
      <w:bookmarkStart w:id="11" w:name="visit-definitions"/>
      <w:r>
        <w:t xml:space="preserve">Visit Definitions </w:t>
      </w:r>
      <w:bookmarkEnd w:id="11"/>
    </w:p>
    <w:p w:rsidR="008F5950" w:rsidRDefault="004F2F62">
      <w:pPr>
        <w:pStyle w:val="FirstParagraph"/>
      </w:pPr>
      <w:r>
        <w:rPr>
          <w:b/>
        </w:rPr>
        <w:t>Tick Exposure Visit</w:t>
      </w:r>
      <w:r>
        <w:t>: Free-text query for the word tick in chief complaint (patient-stated reason for visit) or in the triage notes.</w:t>
      </w:r>
      <w:r>
        <w:br/>
      </w: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sectPr w:rsidR="008F5950" w:rsidSect="00837E7B">
      <w:headerReference w:type="even" r:id="rId15"/>
      <w:footerReference w:type="default" r:id="rId16"/>
      <w:head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9DB" w:rsidRDefault="009819DB">
      <w:pPr>
        <w:spacing w:after="0"/>
      </w:pPr>
      <w:r>
        <w:separator/>
      </w:r>
    </w:p>
  </w:endnote>
  <w:endnote w:type="continuationSeparator" w:id="0">
    <w:p w:rsidR="009819DB" w:rsidRDefault="009819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623" w:rsidRPr="00B36623" w:rsidRDefault="00F73F3A" w:rsidP="00B36623">
    <w:pPr>
      <w:pStyle w:val="Footer"/>
      <w:rPr>
        <w:color w:val="000000" w:themeColor="text1"/>
        <w:sz w:val="24"/>
        <w:szCs w:val="24"/>
      </w:rPr>
    </w:pPr>
    <w:sdt>
      <w:sdtPr>
        <w:rPr>
          <w:color w:val="000000" w:themeColor="text1"/>
          <w:sz w:val="24"/>
          <w:szCs w:val="24"/>
        </w:rPr>
        <w:alias w:val="Author"/>
        <w:id w:val="54214575"/>
        <w:dataBinding w:prefixMappings="xmlns:ns0='http://schemas.openxmlformats.org/package/2006/metadata/core-properties' xmlns:ns1='http://purl.org/dc/elements/1.1/'" w:xpath="/ns0:coreProperties[1]/ns1:creator[1]" w:storeItemID="{6C3C8BC8-F283-45AE-878A-BAB7291924A1}"/>
        <w:text/>
      </w:sdtPr>
      <w:sdtEndPr/>
      <w:sdtContent>
        <w:r w:rsidR="006D0196" w:rsidRPr="00D217F1">
          <w:rPr>
            <w:color w:val="000000" w:themeColor="text1"/>
            <w:sz w:val="24"/>
            <w:szCs w:val="24"/>
          </w:rPr>
          <w:t xml:space="preserve">Data current as of </w:t>
        </w:r>
        <w:r w:rsidR="006D0196">
          <w:rPr>
            <w:color w:val="000000" w:themeColor="text1"/>
            <w:sz w:val="24"/>
            <w:szCs w:val="24"/>
          </w:rPr>
          <w:t>1</w:t>
        </w:r>
        <w:r w:rsidR="00D30246">
          <w:rPr>
            <w:color w:val="000000" w:themeColor="text1"/>
            <w:sz w:val="24"/>
            <w:szCs w:val="24"/>
          </w:rPr>
          <w:t>4</w:t>
        </w:r>
        <w:r w:rsidR="006D0196">
          <w:rPr>
            <w:color w:val="000000" w:themeColor="text1"/>
            <w:sz w:val="24"/>
            <w:szCs w:val="24"/>
          </w:rPr>
          <w:t>JANUARY2020</w:t>
        </w:r>
        <w:r w:rsidR="006D0196" w:rsidRPr="00D217F1">
          <w:rPr>
            <w:color w:val="000000" w:themeColor="text1"/>
            <w:sz w:val="24"/>
            <w:szCs w:val="24"/>
          </w:rPr>
          <w:t xml:space="preserve"> and are subject to change</w:t>
        </w:r>
      </w:sdtContent>
    </w:sdt>
    <w:r>
      <w:rPr>
        <w:noProof/>
      </w:rPr>
      <w:pict>
        <v:shapetype id="_x0000_t202" coordsize="21600,21600" o:spt="202" path="m,l,21600r21600,l21600,xe">
          <v:stroke joinstyle="miter"/>
          <v:path gradientshapeok="t" o:connecttype="rect"/>
        </v:shapetype>
        <v:shape id="Text Box 56" o:spid="_x0000_s2052" type="#_x0000_t202" style="position:absolute;margin-left:338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B36623" w:rsidRPr="00B36623" w:rsidRDefault="004F2F62">
                <w:pPr>
                  <w:pStyle w:val="Footer"/>
                  <w:jc w:val="right"/>
                  <w:rPr>
                    <w:rFonts w:asciiTheme="majorHAnsi" w:hAnsiTheme="majorHAnsi"/>
                    <w:color w:val="000000" w:themeColor="text1"/>
                    <w:sz w:val="28"/>
                    <w:szCs w:val="40"/>
                  </w:rPr>
                </w:pPr>
                <w:r w:rsidRPr="00B36623">
                  <w:rPr>
                    <w:rFonts w:asciiTheme="majorHAnsi" w:hAnsiTheme="majorHAnsi"/>
                    <w:color w:val="000000" w:themeColor="text1"/>
                    <w:sz w:val="28"/>
                    <w:szCs w:val="40"/>
                  </w:rPr>
                  <w:fldChar w:fldCharType="begin"/>
                </w:r>
                <w:r w:rsidRPr="00B36623">
                  <w:rPr>
                    <w:rFonts w:asciiTheme="majorHAnsi" w:hAnsiTheme="majorHAnsi"/>
                    <w:color w:val="000000" w:themeColor="text1"/>
                    <w:sz w:val="28"/>
                    <w:szCs w:val="40"/>
                  </w:rPr>
                  <w:instrText xml:space="preserve"> PAGE  \* Arabic  \* MERGEFORMAT </w:instrText>
                </w:r>
                <w:r w:rsidRPr="00B36623">
                  <w:rPr>
                    <w:rFonts w:asciiTheme="majorHAnsi" w:hAnsiTheme="majorHAnsi"/>
                    <w:color w:val="000000" w:themeColor="text1"/>
                    <w:sz w:val="28"/>
                    <w:szCs w:val="40"/>
                  </w:rPr>
                  <w:fldChar w:fldCharType="separate"/>
                </w:r>
                <w:r w:rsidR="00F73F3A">
                  <w:rPr>
                    <w:rFonts w:asciiTheme="majorHAnsi" w:hAnsiTheme="majorHAnsi"/>
                    <w:noProof/>
                    <w:color w:val="000000" w:themeColor="text1"/>
                    <w:sz w:val="28"/>
                    <w:szCs w:val="40"/>
                  </w:rPr>
                  <w:t>1</w:t>
                </w:r>
                <w:r w:rsidRPr="00B36623">
                  <w:rPr>
                    <w:rFonts w:asciiTheme="majorHAnsi" w:hAnsiTheme="majorHAnsi"/>
                    <w:color w:val="000000" w:themeColor="text1"/>
                    <w:sz w:val="28"/>
                    <w:szCs w:val="40"/>
                  </w:rPr>
                  <w:fldChar w:fldCharType="end"/>
                </w:r>
              </w:p>
            </w:txbxContent>
          </v:textbox>
          <w10:wrap anchorx="margin" anchory="margin"/>
        </v:shape>
      </w:pict>
    </w:r>
    <w:r>
      <w:rPr>
        <w:noProof/>
      </w:rPr>
      <w:pict>
        <v:rect id="Rectangle 58" o:spid="_x0000_s2051"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9DB" w:rsidRDefault="009819DB">
      <w:r>
        <w:separator/>
      </w:r>
    </w:p>
  </w:footnote>
  <w:footnote w:type="continuationSeparator" w:id="0">
    <w:p w:rsidR="009819DB" w:rsidRDefault="009819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F73F3A">
    <w:pPr>
      <w:pStyle w:val="Header"/>
    </w:pPr>
    <w:r>
      <w:rPr>
        <w:noProof/>
      </w:rPr>
      <w:pict w14:anchorId="27D8D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F73F3A">
    <w:pPr>
      <w:pStyle w:val="Header"/>
    </w:pPr>
    <w:r>
      <w:rPr>
        <w:noProof/>
      </w:rPr>
      <w:pict w14:anchorId="5F8A0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AE401"/>
    <w:multiLevelType w:val="multilevel"/>
    <w:tmpl w:val="9986465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90D07"/>
    <w:rsid w:val="00011C8B"/>
    <w:rsid w:val="000921CE"/>
    <w:rsid w:val="00336DD0"/>
    <w:rsid w:val="0046280F"/>
    <w:rsid w:val="004E29B3"/>
    <w:rsid w:val="004F2F62"/>
    <w:rsid w:val="00590D07"/>
    <w:rsid w:val="006D0196"/>
    <w:rsid w:val="00784D58"/>
    <w:rsid w:val="008D6863"/>
    <w:rsid w:val="008F5950"/>
    <w:rsid w:val="009819DB"/>
    <w:rsid w:val="00B86B75"/>
    <w:rsid w:val="00BC48D5"/>
    <w:rsid w:val="00BD4270"/>
    <w:rsid w:val="00C36279"/>
    <w:rsid w:val="00D30246"/>
    <w:rsid w:val="00D93EF3"/>
    <w:rsid w:val="00DC6F6A"/>
    <w:rsid w:val="00E315A3"/>
    <w:rsid w:val="00F36CD4"/>
    <w:rsid w:val="00F73F3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1">
    <w:name w:val="Grid Table 4 - Accent 1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1">
    <w:name w:val="Grid Table 5 Dark - Accent 1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ass.gov/eohhs/gov/departments/dph/programs/id/isis/surveillance-data-request.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eohhs/gov/departments/dph/programs/id/"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870</Words>
  <Characters>4959</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MDPH Syndromoic Tickborne Disease Report 2019</dc:title>
  <dc:subject>tickborne disease</dc:subject>
  <dc:creator>MDPH;BIDLS</dc:creator>
  <cp:keywords>tickborne disease;Massachusetts;2019</cp:keywords>
  <cp:lastModifiedBy> JY</cp:lastModifiedBy>
  <cp:revision>2</cp:revision>
  <dcterms:created xsi:type="dcterms:W3CDTF">2020-01-28T15:11:00Z</dcterms:created>
  <dcterms:modified xsi:type="dcterms:W3CDTF">2020-01-28T15:11:00Z</dcterms:modified>
</cp:coreProperties>
</file>