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spacing w:before="132"/>
        <w:ind w:left="120"/>
      </w:pPr>
      <w:r>
        <w:rPr>
          <w:color w:val="034D6E"/>
          <w:u w:val="single" w:color="1F487C"/>
        </w:rPr>
        <w:t>Tip 4: Demonstrated</w:t>
      </w:r>
      <w:r>
        <w:rPr>
          <w:color w:val="034D6E"/>
          <w:spacing w:val="-15"/>
          <w:u w:val="single" w:color="1F487C"/>
        </w:rPr>
        <w:t> </w:t>
      </w:r>
      <w:r>
        <w:rPr>
          <w:color w:val="034D6E"/>
          <w:u w:val="single" w:color="1F487C"/>
        </w:rPr>
        <w:t>Competencies</w:t>
        <w:tab/>
      </w:r>
    </w:p>
    <w:p>
      <w:pPr>
        <w:pStyle w:val="Heading2"/>
        <w:spacing w:before="199"/>
      </w:pPr>
      <w:r>
        <w:rPr>
          <w:color w:val="4F81BC"/>
        </w:rPr>
        <w:t>Description</w:t>
      </w:r>
    </w:p>
    <w:p>
      <w:pPr>
        <w:pStyle w:val="BodyText"/>
        <w:spacing w:before="78"/>
        <w:ind w:left="120" w:right="305" w:firstLine="0"/>
      </w:pPr>
      <w:r>
        <w:rPr/>
        <w:t>A competency is the ability to apply knowledge, skills, or attitudes (KSAs) successfully or efficiently to perform critical job functions. One needs to practice a competency to use it effectively in various appropriate situations and times. When working with residents with OUD and StUD, there are important KSAs that your staff should possess to care for residents safely.</w:t>
      </w:r>
    </w:p>
    <w:p>
      <w:pPr>
        <w:pStyle w:val="BodyText"/>
        <w:spacing w:before="121"/>
        <w:ind w:left="120" w:right="151" w:firstLine="0"/>
      </w:pPr>
      <w:r>
        <w:rPr/>
        <w:t>This toolkit is based on a set of OUD, StUD, and treatment core competencies. As a result, many of the concepts presented in Tip 4 also appear throughout the toolkit. Tip 4 is designed to consolidate the list of essential core competencies under one Tip.</w:t>
      </w:r>
    </w:p>
    <w:p>
      <w:pPr>
        <w:pStyle w:val="Heading2"/>
        <w:spacing w:before="162"/>
      </w:pPr>
      <w:r>
        <w:rPr>
          <w:color w:val="4F81BC"/>
        </w:rPr>
        <w:t>Goals</w:t>
      </w:r>
    </w:p>
    <w:p>
      <w:pPr>
        <w:pStyle w:val="BodyText"/>
        <w:spacing w:before="79"/>
        <w:ind w:left="120" w:right="801" w:firstLine="0"/>
      </w:pPr>
      <w:r>
        <w:rPr/>
        <w:t>The goal of this section will be to help LTCF staff identify key competencies they should demonstrate and understand to better care for residents with OUD and StUD.</w:t>
      </w:r>
    </w:p>
    <w:p>
      <w:pPr>
        <w:pStyle w:val="Heading2"/>
      </w:pPr>
      <w:r>
        <w:rPr>
          <w:color w:val="4F81BC"/>
        </w:rPr>
        <w:t>Objectives</w:t>
      </w:r>
    </w:p>
    <w:p>
      <w:pPr>
        <w:pStyle w:val="BodyText"/>
        <w:spacing w:before="79"/>
        <w:ind w:left="120" w:firstLine="0"/>
      </w:pPr>
      <w:r>
        <w:rPr/>
        <w:t>At the end of this section, participants will be able to:</w:t>
      </w:r>
    </w:p>
    <w:p>
      <w:pPr>
        <w:pStyle w:val="ListParagraph"/>
        <w:numPr>
          <w:ilvl w:val="0"/>
          <w:numId w:val="1"/>
        </w:numPr>
        <w:tabs>
          <w:tab w:pos="839" w:val="left" w:leader="none"/>
          <w:tab w:pos="841" w:val="left" w:leader="none"/>
        </w:tabs>
        <w:spacing w:line="291" w:lineRule="exact" w:before="60" w:after="0"/>
        <w:ind w:left="840" w:right="0" w:hanging="362"/>
        <w:jc w:val="left"/>
        <w:rPr>
          <w:sz w:val="22"/>
        </w:rPr>
      </w:pPr>
      <w:r>
        <w:rPr>
          <w:sz w:val="22"/>
        </w:rPr>
        <w:t>Learn how to care for individuals with OUD and StUD in LTCF</w:t>
      </w:r>
      <w:r>
        <w:rPr>
          <w:spacing w:val="-13"/>
          <w:sz w:val="22"/>
        </w:rPr>
        <w:t> </w:t>
      </w:r>
      <w:r>
        <w:rPr>
          <w:sz w:val="22"/>
        </w:rPr>
        <w:t>effectively.</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Understand special considerations across the age spectrum for LTCF residents with OUD and</w:t>
      </w:r>
      <w:r>
        <w:rPr>
          <w:spacing w:val="-26"/>
          <w:sz w:val="22"/>
        </w:rPr>
        <w:t> </w:t>
      </w:r>
      <w:r>
        <w:rPr>
          <w:sz w:val="22"/>
        </w:rPr>
        <w:t>StUD.</w:t>
      </w:r>
    </w:p>
    <w:p>
      <w:pPr>
        <w:pStyle w:val="Heading2"/>
      </w:pPr>
      <w:r>
        <w:rPr>
          <w:color w:val="4F81BC"/>
        </w:rPr>
        <w:t>Policies</w:t>
      </w:r>
    </w:p>
    <w:p>
      <w:pPr>
        <w:pStyle w:val="ListParagraph"/>
        <w:numPr>
          <w:ilvl w:val="0"/>
          <w:numId w:val="1"/>
        </w:numPr>
        <w:tabs>
          <w:tab w:pos="840" w:val="left" w:leader="none"/>
          <w:tab w:pos="841" w:val="left" w:leader="none"/>
        </w:tabs>
        <w:spacing w:line="240" w:lineRule="auto" w:before="79" w:after="0"/>
        <w:ind w:left="840" w:right="0" w:hanging="361"/>
        <w:jc w:val="left"/>
        <w:rPr>
          <w:sz w:val="22"/>
        </w:rPr>
      </w:pPr>
      <w:r>
        <w:rPr>
          <w:sz w:val="22"/>
        </w:rPr>
        <w:t>Incorporate the following competencies into staff training</w:t>
      </w:r>
      <w:r>
        <w:rPr>
          <w:spacing w:val="-10"/>
          <w:sz w:val="22"/>
        </w:rPr>
        <w:t> </w:t>
      </w:r>
      <w:r>
        <w:rPr>
          <w:sz w:val="22"/>
        </w:rPr>
        <w:t>policy</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Understanding OUD and</w:t>
      </w:r>
      <w:r>
        <w:rPr>
          <w:spacing w:val="-8"/>
          <w:sz w:val="22"/>
        </w:rPr>
        <w:t> </w:t>
      </w:r>
      <w:r>
        <w:rPr>
          <w:sz w:val="22"/>
        </w:rPr>
        <w:t>StUD</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How to care for individuals with OUD and</w:t>
      </w:r>
      <w:r>
        <w:rPr>
          <w:spacing w:val="-8"/>
          <w:sz w:val="22"/>
        </w:rPr>
        <w:t> </w:t>
      </w:r>
      <w:r>
        <w:rPr>
          <w:sz w:val="22"/>
        </w:rPr>
        <w:t>StUD</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Preventing opioid and stimulant use</w:t>
      </w:r>
      <w:r>
        <w:rPr>
          <w:spacing w:val="-6"/>
          <w:sz w:val="22"/>
        </w:rPr>
        <w:t> </w:t>
      </w:r>
      <w:r>
        <w:rPr>
          <w:sz w:val="22"/>
        </w:rPr>
        <w:t>overdose</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What to do in case of an</w:t>
      </w:r>
      <w:r>
        <w:rPr>
          <w:spacing w:val="-10"/>
          <w:sz w:val="22"/>
        </w:rPr>
        <w:t> </w:t>
      </w:r>
      <w:r>
        <w:rPr>
          <w:sz w:val="22"/>
        </w:rPr>
        <w:t>overdose</w:t>
      </w:r>
    </w:p>
    <w:p>
      <w:pPr>
        <w:pStyle w:val="Heading2"/>
        <w:spacing w:before="150"/>
      </w:pPr>
      <w:r>
        <w:rPr>
          <w:color w:val="4F81BC"/>
        </w:rPr>
        <w:t>Process</w:t>
      </w:r>
    </w:p>
    <w:p>
      <w:pPr>
        <w:pStyle w:val="Heading3"/>
      </w:pPr>
      <w:r>
        <w:rPr>
          <w:color w:val="365F91"/>
        </w:rPr>
        <w:t>Knowledge About Understanding Opioid and Simulant Use Disorders</w:t>
      </w:r>
    </w:p>
    <w:p>
      <w:pPr>
        <w:pStyle w:val="BodyText"/>
        <w:spacing w:before="60"/>
        <w:ind w:left="120" w:right="318" w:firstLine="0"/>
      </w:pPr>
      <w:r>
        <w:rPr/>
        <w:t>LTCF clinicians and staff must develop knowledge, skills, and attitudes about OUD and StUD to effectively care for individuals with this chronic, relapsing medical condition.</w:t>
      </w:r>
    </w:p>
    <w:p>
      <w:pPr>
        <w:spacing w:line="240" w:lineRule="auto" w:before="117"/>
        <w:ind w:left="120" w:right="305" w:firstLine="0"/>
        <w:jc w:val="left"/>
        <w:rPr>
          <w:sz w:val="22"/>
        </w:rPr>
      </w:pPr>
      <w:r>
        <w:rPr>
          <w:b/>
          <w:i/>
          <w:sz w:val="22"/>
        </w:rPr>
        <w:t>Ethical and Legal Guidelines When Caring for People with Stimulant and Opioid Use Disorders</w:t>
      </w:r>
      <w:r>
        <w:rPr>
          <w:i/>
          <w:position w:val="9"/>
          <w:sz w:val="14"/>
        </w:rPr>
        <w:t>153</w:t>
      </w:r>
      <w:r>
        <w:rPr>
          <w:b/>
          <w:i/>
          <w:position w:val="9"/>
          <w:sz w:val="14"/>
        </w:rPr>
        <w:t>,</w:t>
      </w:r>
      <w:r>
        <w:rPr>
          <w:i/>
          <w:position w:val="9"/>
          <w:sz w:val="14"/>
        </w:rPr>
        <w:t>154</w:t>
      </w:r>
      <w:r>
        <w:rPr>
          <w:b/>
          <w:i/>
          <w:position w:val="9"/>
          <w:sz w:val="14"/>
        </w:rPr>
        <w:t>,</w:t>
      </w:r>
      <w:r>
        <w:rPr>
          <w:i/>
          <w:position w:val="9"/>
          <w:sz w:val="14"/>
        </w:rPr>
        <w:t>155 </w:t>
      </w:r>
      <w:r>
        <w:rPr>
          <w:b/>
          <w:sz w:val="22"/>
        </w:rPr>
        <w:t>Understanding of 42 CFR:</w:t>
      </w:r>
      <w:r>
        <w:rPr>
          <w:b/>
          <w:position w:val="9"/>
          <w:sz w:val="14"/>
        </w:rPr>
        <w:t>156 </w:t>
      </w:r>
      <w:r>
        <w:rPr>
          <w:sz w:val="22"/>
        </w:rPr>
        <w:t>Federal Drug and Alcohol Confidentiality regulation (42 CFR Part 2) protects the confidentiality of residents’ alcohol and SUDs. It protects residents’ identities, diagnoses, prognoses, and treatment plans in record documents maintained in connection with federally assisted programs or activities about substance abuse education, prevention, training, treatment, rehabilitation, or research. This ensures patients receiving treatment are not made more vulnerable than individuals with a SUD who do not seek treatment.</w:t>
      </w:r>
    </w:p>
    <w:p>
      <w:pPr>
        <w:pStyle w:val="ListParagraph"/>
        <w:numPr>
          <w:ilvl w:val="0"/>
          <w:numId w:val="1"/>
        </w:numPr>
        <w:tabs>
          <w:tab w:pos="841" w:val="left" w:leader="none"/>
        </w:tabs>
        <w:spacing w:line="240" w:lineRule="auto" w:before="0" w:after="0"/>
        <w:ind w:left="840" w:right="768" w:hanging="360"/>
        <w:jc w:val="both"/>
        <w:rPr>
          <w:sz w:val="22"/>
        </w:rPr>
      </w:pPr>
      <w:r>
        <w:rPr>
          <w:sz w:val="22"/>
        </w:rPr>
        <w:t>This applies to federally-assisted alcohol and drug abuse programs. Obtain patient consent before sharing information from a program subject to 42 CFR Part 2. After information disclosure, do not disclose further information without patient’s express consent or unless otherwise</w:t>
      </w:r>
      <w:r>
        <w:rPr>
          <w:spacing w:val="-29"/>
          <w:sz w:val="22"/>
        </w:rPr>
        <w:t> </w:t>
      </w:r>
      <w:r>
        <w:rPr>
          <w:sz w:val="22"/>
        </w:rPr>
        <w:t>permitted.</w:t>
      </w:r>
    </w:p>
    <w:p>
      <w:pPr>
        <w:spacing w:after="0" w:line="240" w:lineRule="auto"/>
        <w:jc w:val="both"/>
        <w:rPr>
          <w:sz w:val="22"/>
        </w:rPr>
        <w:sectPr>
          <w:headerReference w:type="default" r:id="rId5"/>
          <w:footerReference w:type="default" r:id="rId6"/>
          <w:type w:val="continuous"/>
          <w:pgSz w:w="12240" w:h="15840"/>
          <w:pgMar w:header="576" w:footer="1038" w:top="1580" w:bottom="1220" w:left="600" w:right="520"/>
          <w:pgNumType w:start="36"/>
        </w:sectPr>
      </w:pPr>
    </w:p>
    <w:p>
      <w:pPr>
        <w:pStyle w:val="ListParagraph"/>
        <w:numPr>
          <w:ilvl w:val="0"/>
          <w:numId w:val="1"/>
        </w:numPr>
        <w:tabs>
          <w:tab w:pos="840" w:val="left" w:leader="none"/>
          <w:tab w:pos="841" w:val="left" w:leader="none"/>
        </w:tabs>
        <w:spacing w:line="240" w:lineRule="auto" w:before="129" w:after="0"/>
        <w:ind w:left="840" w:right="0" w:hanging="361"/>
        <w:jc w:val="left"/>
        <w:rPr>
          <w:sz w:val="22"/>
        </w:rPr>
      </w:pPr>
      <w:r>
        <w:rPr>
          <w:sz w:val="22"/>
        </w:rPr>
        <w:t>Limited exceptions for disclosure without</w:t>
      </w:r>
      <w:r>
        <w:rPr>
          <w:spacing w:val="-11"/>
          <w:sz w:val="22"/>
        </w:rPr>
        <w:t> </w:t>
      </w:r>
      <w:r>
        <w:rPr>
          <w:sz w:val="22"/>
        </w:rPr>
        <w:t>consent:</w:t>
      </w:r>
    </w:p>
    <w:p>
      <w:pPr>
        <w:pStyle w:val="ListParagraph"/>
        <w:numPr>
          <w:ilvl w:val="1"/>
          <w:numId w:val="1"/>
        </w:numPr>
        <w:tabs>
          <w:tab w:pos="1560" w:val="left" w:leader="none"/>
          <w:tab w:pos="1561" w:val="left" w:leader="none"/>
        </w:tabs>
        <w:spacing w:line="298" w:lineRule="exact" w:before="1" w:after="0"/>
        <w:ind w:left="1560" w:right="0" w:hanging="361"/>
        <w:jc w:val="left"/>
        <w:rPr>
          <w:sz w:val="22"/>
        </w:rPr>
      </w:pPr>
      <w:r>
        <w:rPr>
          <w:sz w:val="22"/>
        </w:rPr>
        <w:t>Medical</w:t>
      </w:r>
      <w:r>
        <w:rPr>
          <w:spacing w:val="-2"/>
          <w:sz w:val="22"/>
        </w:rPr>
        <w:t> </w:t>
      </w:r>
      <w:r>
        <w:rPr>
          <w:sz w:val="22"/>
        </w:rPr>
        <w:t>emergencies</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Scientific research</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Audits and</w:t>
      </w:r>
      <w:r>
        <w:rPr>
          <w:spacing w:val="-3"/>
          <w:sz w:val="22"/>
        </w:rPr>
        <w:t> </w:t>
      </w:r>
      <w:r>
        <w:rPr>
          <w:sz w:val="22"/>
        </w:rPr>
        <w:t>evaluations</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Child abuse</w:t>
      </w:r>
      <w:r>
        <w:rPr>
          <w:spacing w:val="-3"/>
          <w:sz w:val="22"/>
        </w:rPr>
        <w:t> </w:t>
      </w:r>
      <w:r>
        <w:rPr>
          <w:sz w:val="22"/>
        </w:rPr>
        <w:t>reporting</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Crimes on program premises or against</w:t>
      </w:r>
      <w:r>
        <w:rPr>
          <w:spacing w:val="-8"/>
          <w:sz w:val="22"/>
        </w:rPr>
        <w:t> </w:t>
      </w:r>
      <w:r>
        <w:rPr>
          <w:sz w:val="22"/>
        </w:rPr>
        <w:t>personnel</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Court</w:t>
      </w:r>
      <w:r>
        <w:rPr>
          <w:spacing w:val="-1"/>
          <w:sz w:val="22"/>
        </w:rPr>
        <w:t> </w:t>
      </w:r>
      <w:r>
        <w:rPr>
          <w:sz w:val="22"/>
        </w:rPr>
        <w:t>order</w:t>
      </w:r>
    </w:p>
    <w:p>
      <w:pPr>
        <w:pStyle w:val="ListParagraph"/>
        <w:numPr>
          <w:ilvl w:val="1"/>
          <w:numId w:val="1"/>
        </w:numPr>
        <w:tabs>
          <w:tab w:pos="1560" w:val="left" w:leader="none"/>
          <w:tab w:pos="1561" w:val="left" w:leader="none"/>
        </w:tabs>
        <w:spacing w:line="230" w:lineRule="auto" w:before="3" w:after="0"/>
        <w:ind w:left="1560" w:right="825" w:hanging="361"/>
        <w:jc w:val="left"/>
        <w:rPr>
          <w:sz w:val="22"/>
        </w:rPr>
      </w:pPr>
      <w:r>
        <w:rPr>
          <w:sz w:val="22"/>
        </w:rPr>
        <w:t>Communications with a qualified service organization (QSO) of information needed by the organization to provide services to the</w:t>
      </w:r>
      <w:r>
        <w:rPr>
          <w:spacing w:val="-5"/>
          <w:sz w:val="22"/>
        </w:rPr>
        <w:t> </w:t>
      </w:r>
      <w:r>
        <w:rPr>
          <w:sz w:val="22"/>
        </w:rPr>
        <w:t>program</w:t>
      </w:r>
    </w:p>
    <w:p>
      <w:pPr>
        <w:pStyle w:val="Heading4"/>
        <w:spacing w:before="122"/>
        <w:rPr>
          <w:i/>
        </w:rPr>
      </w:pPr>
      <w:r>
        <w:rPr>
          <w:i/>
        </w:rPr>
        <w:t>Stigma: Dispelling Misconceptions</w:t>
      </w:r>
    </w:p>
    <w:p>
      <w:pPr>
        <w:pStyle w:val="ListParagraph"/>
        <w:numPr>
          <w:ilvl w:val="0"/>
          <w:numId w:val="1"/>
        </w:numPr>
        <w:tabs>
          <w:tab w:pos="840" w:val="left" w:leader="none"/>
          <w:tab w:pos="841" w:val="left" w:leader="none"/>
        </w:tabs>
        <w:spacing w:line="240" w:lineRule="auto" w:before="0" w:after="0"/>
        <w:ind w:left="840" w:right="107" w:hanging="361"/>
        <w:jc w:val="left"/>
        <w:rPr>
          <w:sz w:val="22"/>
        </w:rPr>
      </w:pPr>
      <w:r>
        <w:rPr>
          <w:sz w:val="22"/>
        </w:rPr>
        <w:t>According to the WHO, stigma is a major cause of discrimination and exclusion, and it contributes to human rights abuse. When a person experiences stigma, they are seen as less than because of their real or perceived health status or characteristic. Residents with OUD and StUD are no different than any other residents with chronic health conditions.</w:t>
      </w:r>
      <w:r>
        <w:rPr>
          <w:position w:val="9"/>
          <w:sz w:val="14"/>
        </w:rPr>
        <w:t>157,158,159,160 </w:t>
      </w:r>
      <w:r>
        <w:rPr>
          <w:sz w:val="22"/>
        </w:rPr>
        <w:t>(See</w:t>
      </w:r>
      <w:r>
        <w:rPr>
          <w:color w:val="0000FF"/>
          <w:sz w:val="22"/>
        </w:rPr>
        <w:t> </w:t>
      </w:r>
      <w:r>
        <w:rPr>
          <w:color w:val="0000FF"/>
          <w:sz w:val="22"/>
          <w:u w:val="single" w:color="0000FF"/>
        </w:rPr>
        <w:t>Tip</w:t>
      </w:r>
      <w:r>
        <w:rPr>
          <w:color w:val="0000FF"/>
          <w:spacing w:val="-24"/>
          <w:sz w:val="22"/>
          <w:u w:val="single" w:color="0000FF"/>
        </w:rPr>
        <w:t> </w:t>
      </w:r>
      <w:r>
        <w:rPr>
          <w:color w:val="0000FF"/>
          <w:sz w:val="22"/>
          <w:u w:val="single" w:color="0000FF"/>
        </w:rPr>
        <w:t>1.</w:t>
      </w:r>
      <w:r>
        <w:rPr>
          <w:sz w:val="22"/>
        </w:rPr>
        <w:t>)</w:t>
      </w:r>
    </w:p>
    <w:p>
      <w:pPr>
        <w:pStyle w:val="Heading4"/>
        <w:spacing w:before="117"/>
        <w:rPr>
          <w:i/>
        </w:rPr>
      </w:pPr>
      <w:r>
        <w:rPr>
          <w:i/>
        </w:rPr>
        <w:t>Implicit Bias</w:t>
      </w:r>
    </w:p>
    <w:p>
      <w:pPr>
        <w:pStyle w:val="ListParagraph"/>
        <w:numPr>
          <w:ilvl w:val="0"/>
          <w:numId w:val="1"/>
        </w:numPr>
        <w:tabs>
          <w:tab w:pos="840" w:val="left" w:leader="none"/>
          <w:tab w:pos="841" w:val="left" w:leader="none"/>
        </w:tabs>
        <w:spacing w:line="240" w:lineRule="auto" w:before="0" w:after="0"/>
        <w:ind w:left="840" w:right="144" w:hanging="361"/>
        <w:jc w:val="left"/>
        <w:rPr>
          <w:sz w:val="22"/>
        </w:rPr>
      </w:pPr>
      <w:r>
        <w:rPr>
          <w:sz w:val="22"/>
        </w:rPr>
        <w:t>Implicit biases are attitudes and stereotypes that are inaccessible to conscious awareness or control. These unconscious attitudes create quick assumptions and associations between people with certain characteristics and certain behaviors or evaluations. For example: if you imagine a scientist and you see a male rather than a female. Everyone carries these implicit assumptions, but it is important that you are aware of the assumptions that you make and how they can influence your care of</w:t>
      </w:r>
      <w:r>
        <w:rPr>
          <w:spacing w:val="-23"/>
          <w:sz w:val="22"/>
        </w:rPr>
        <w:t> </w:t>
      </w:r>
      <w:r>
        <w:rPr>
          <w:sz w:val="22"/>
        </w:rPr>
        <w:t>residents.</w:t>
      </w:r>
    </w:p>
    <w:p>
      <w:pPr>
        <w:pStyle w:val="ListParagraph"/>
        <w:numPr>
          <w:ilvl w:val="0"/>
          <w:numId w:val="1"/>
        </w:numPr>
        <w:tabs>
          <w:tab w:pos="840" w:val="left" w:leader="none"/>
          <w:tab w:pos="841" w:val="left" w:leader="none"/>
        </w:tabs>
        <w:spacing w:line="291" w:lineRule="exact" w:before="0" w:after="0"/>
        <w:ind w:left="840" w:right="0" w:hanging="361"/>
        <w:jc w:val="left"/>
        <w:rPr>
          <w:sz w:val="14"/>
        </w:rPr>
      </w:pPr>
      <w:r>
        <w:rPr>
          <w:sz w:val="22"/>
        </w:rPr>
        <w:t>You can take the</w:t>
      </w:r>
      <w:r>
        <w:rPr>
          <w:color w:val="0000FF"/>
          <w:sz w:val="22"/>
        </w:rPr>
        <w:t> </w:t>
      </w:r>
      <w:hyperlink r:id="rId7">
        <w:r>
          <w:rPr>
            <w:color w:val="0000FF"/>
            <w:sz w:val="22"/>
            <w:u w:val="single" w:color="0000FF"/>
          </w:rPr>
          <w:t>Implicit Association</w:t>
        </w:r>
        <w:r>
          <w:rPr>
            <w:color w:val="0000FF"/>
            <w:spacing w:val="-13"/>
            <w:sz w:val="22"/>
            <w:u w:val="single" w:color="0000FF"/>
          </w:rPr>
          <w:t> </w:t>
        </w:r>
        <w:r>
          <w:rPr>
            <w:color w:val="0000FF"/>
            <w:sz w:val="22"/>
            <w:u w:val="single" w:color="0000FF"/>
          </w:rPr>
          <w:t>Test.</w:t>
        </w:r>
      </w:hyperlink>
      <w:r>
        <w:rPr>
          <w:position w:val="9"/>
          <w:sz w:val="14"/>
        </w:rPr>
        <w:t>161</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Complete the</w:t>
      </w:r>
      <w:r>
        <w:rPr>
          <w:color w:val="0000FF"/>
          <w:sz w:val="22"/>
        </w:rPr>
        <w:t> </w:t>
      </w:r>
      <w:hyperlink r:id="rId8">
        <w:r>
          <w:rPr>
            <w:color w:val="0000FF"/>
            <w:sz w:val="22"/>
            <w:u w:val="single" w:color="0000FF"/>
          </w:rPr>
          <w:t>Addressing Bias</w:t>
        </w:r>
        <w:r>
          <w:rPr>
            <w:color w:val="0000FF"/>
            <w:spacing w:val="-5"/>
            <w:sz w:val="22"/>
            <w:u w:val="single" w:color="0000FF"/>
          </w:rPr>
          <w:t> </w:t>
        </w:r>
      </w:hyperlink>
      <w:r>
        <w:rPr>
          <w:color w:val="0000FF"/>
          <w:sz w:val="22"/>
          <w:u w:val="single" w:color="0000FF"/>
        </w:rPr>
        <w:t>module</w:t>
      </w:r>
      <w:r>
        <w:rPr>
          <w:sz w:val="22"/>
        </w:rPr>
        <w:t>.</w:t>
      </w:r>
      <w:r>
        <w:rPr>
          <w:position w:val="9"/>
          <w:sz w:val="14"/>
        </w:rPr>
        <w:t>162</w:t>
      </w:r>
    </w:p>
    <w:p>
      <w:pPr>
        <w:pStyle w:val="Heading4"/>
        <w:spacing w:line="291" w:lineRule="exact" w:before="121"/>
        <w:rPr>
          <w:i/>
        </w:rPr>
      </w:pPr>
      <w:r>
        <w:rPr>
          <w:i/>
        </w:rPr>
        <w:t>Distinction Between Use, Dependence, And Use Disorder</w:t>
      </w:r>
    </w:p>
    <w:p>
      <w:pPr>
        <w:pStyle w:val="ListParagraph"/>
        <w:numPr>
          <w:ilvl w:val="0"/>
          <w:numId w:val="1"/>
        </w:numPr>
        <w:tabs>
          <w:tab w:pos="839" w:val="left" w:leader="none"/>
          <w:tab w:pos="841" w:val="left" w:leader="none"/>
        </w:tabs>
        <w:spacing w:line="240" w:lineRule="auto" w:before="0" w:after="0"/>
        <w:ind w:left="840" w:right="168" w:hanging="361"/>
        <w:jc w:val="left"/>
        <w:rPr>
          <w:sz w:val="22"/>
        </w:rPr>
      </w:pPr>
      <w:r>
        <w:rPr>
          <w:sz w:val="22"/>
        </w:rPr>
        <w:t>Identity and discuss stigma and misconceptions of OUD and StUD.</w:t>
      </w:r>
      <w:r>
        <w:rPr>
          <w:position w:val="9"/>
          <w:sz w:val="14"/>
        </w:rPr>
        <w:t>163,164,165 </w:t>
      </w:r>
      <w:r>
        <w:rPr>
          <w:sz w:val="22"/>
        </w:rPr>
        <w:t>Also, identify and understand the distinction between use, dependence, and use disorder. (See</w:t>
      </w:r>
      <w:r>
        <w:rPr>
          <w:color w:val="0000FF"/>
          <w:sz w:val="22"/>
        </w:rPr>
        <w:t> </w:t>
      </w:r>
      <w:r>
        <w:rPr>
          <w:color w:val="0000FF"/>
          <w:sz w:val="22"/>
          <w:u w:val="single" w:color="0000FF"/>
        </w:rPr>
        <w:t>Tip 1</w:t>
      </w:r>
      <w:r>
        <w:rPr>
          <w:color w:val="0000FF"/>
          <w:sz w:val="22"/>
        </w:rPr>
        <w:t> </w:t>
      </w:r>
      <w:r>
        <w:rPr>
          <w:sz w:val="22"/>
        </w:rPr>
        <w:t>for more information on</w:t>
      </w:r>
      <w:r>
        <w:rPr>
          <w:spacing w:val="-40"/>
          <w:sz w:val="22"/>
        </w:rPr>
        <w:t> </w:t>
      </w:r>
      <w:r>
        <w:rPr>
          <w:sz w:val="22"/>
        </w:rPr>
        <w:t>stigma.)</w:t>
      </w:r>
    </w:p>
    <w:p>
      <w:pPr>
        <w:pStyle w:val="ListParagraph"/>
        <w:numPr>
          <w:ilvl w:val="0"/>
          <w:numId w:val="1"/>
        </w:numPr>
        <w:tabs>
          <w:tab w:pos="840" w:val="left" w:leader="none"/>
          <w:tab w:pos="841" w:val="left" w:leader="none"/>
        </w:tabs>
        <w:spacing w:line="240" w:lineRule="auto" w:before="0" w:after="0"/>
        <w:ind w:left="840" w:right="401" w:hanging="361"/>
        <w:jc w:val="left"/>
        <w:rPr>
          <w:sz w:val="22"/>
        </w:rPr>
      </w:pPr>
      <w:r>
        <w:rPr>
          <w:sz w:val="22"/>
        </w:rPr>
        <w:t>Substance dependence is not synonymous with a use disorder, but rather a physical state in which the body adapts to ongoing use of a</w:t>
      </w:r>
      <w:r>
        <w:rPr>
          <w:spacing w:val="-4"/>
          <w:sz w:val="22"/>
        </w:rPr>
        <w:t> </w:t>
      </w:r>
      <w:r>
        <w:rPr>
          <w:sz w:val="22"/>
        </w:rPr>
        <w:t>substance.</w:t>
      </w:r>
    </w:p>
    <w:p>
      <w:pPr>
        <w:pStyle w:val="ListParagraph"/>
        <w:numPr>
          <w:ilvl w:val="0"/>
          <w:numId w:val="1"/>
        </w:numPr>
        <w:tabs>
          <w:tab w:pos="840" w:val="left" w:leader="none"/>
          <w:tab w:pos="841" w:val="left" w:leader="none"/>
        </w:tabs>
        <w:spacing w:line="237" w:lineRule="auto" w:before="1" w:after="0"/>
        <w:ind w:left="840" w:right="139" w:hanging="360"/>
        <w:jc w:val="left"/>
        <w:rPr>
          <w:sz w:val="14"/>
        </w:rPr>
      </w:pPr>
      <w:r>
        <w:rPr>
          <w:sz w:val="22"/>
        </w:rPr>
        <w:t>When people use the word dependence, they typically refer to a physical dependence on a substance. Dependence includes symptoms of tolerance and withdrawal. An individual can have opioid dependence without having an</w:t>
      </w:r>
      <w:r>
        <w:rPr>
          <w:spacing w:val="-6"/>
          <w:sz w:val="22"/>
        </w:rPr>
        <w:t> </w:t>
      </w:r>
      <w:r>
        <w:rPr>
          <w:sz w:val="22"/>
        </w:rPr>
        <w:t>OUD.</w:t>
      </w:r>
      <w:r>
        <w:rPr>
          <w:position w:val="9"/>
          <w:sz w:val="14"/>
        </w:rPr>
        <w:t>166</w:t>
      </w:r>
    </w:p>
    <w:p>
      <w:pPr>
        <w:pStyle w:val="ListParagraph"/>
        <w:numPr>
          <w:ilvl w:val="0"/>
          <w:numId w:val="1"/>
        </w:numPr>
        <w:tabs>
          <w:tab w:pos="840" w:val="left" w:leader="none"/>
          <w:tab w:pos="841" w:val="left" w:leader="none"/>
        </w:tabs>
        <w:spacing w:line="240" w:lineRule="auto" w:before="3" w:after="0"/>
        <w:ind w:left="840" w:right="0" w:hanging="361"/>
        <w:jc w:val="left"/>
        <w:rPr>
          <w:sz w:val="22"/>
        </w:rPr>
      </w:pPr>
      <w:r>
        <w:rPr>
          <w:sz w:val="22"/>
        </w:rPr>
        <w:t>Definitions</w:t>
      </w:r>
    </w:p>
    <w:p>
      <w:pPr>
        <w:pStyle w:val="ListParagraph"/>
        <w:numPr>
          <w:ilvl w:val="1"/>
          <w:numId w:val="1"/>
        </w:numPr>
        <w:tabs>
          <w:tab w:pos="1560" w:val="left" w:leader="none"/>
          <w:tab w:pos="1561" w:val="left" w:leader="none"/>
        </w:tabs>
        <w:spacing w:line="235" w:lineRule="auto" w:before="5" w:after="0"/>
        <w:ind w:left="1560" w:right="127" w:hanging="361"/>
        <w:jc w:val="left"/>
        <w:rPr>
          <w:sz w:val="14"/>
        </w:rPr>
      </w:pPr>
      <w:r>
        <w:rPr>
          <w:sz w:val="22"/>
        </w:rPr>
        <w:t>“Substance abuse and dependence are caused by multiple factors, including genetic vulnerability, environmental stressors, social pressures, individual personality characteristics, and psychiatric problems.”</w:t>
      </w:r>
      <w:r>
        <w:rPr>
          <w:spacing w:val="6"/>
          <w:sz w:val="22"/>
        </w:rPr>
        <w:t> </w:t>
      </w:r>
      <w:r>
        <w:rPr>
          <w:position w:val="9"/>
          <w:sz w:val="14"/>
        </w:rPr>
        <w:t>167</w:t>
      </w:r>
    </w:p>
    <w:p>
      <w:pPr>
        <w:pStyle w:val="ListParagraph"/>
        <w:numPr>
          <w:ilvl w:val="1"/>
          <w:numId w:val="1"/>
        </w:numPr>
        <w:tabs>
          <w:tab w:pos="1559" w:val="left" w:leader="none"/>
          <w:tab w:pos="1561" w:val="left" w:leader="none"/>
        </w:tabs>
        <w:spacing w:line="228" w:lineRule="auto" w:before="10" w:after="0"/>
        <w:ind w:left="1560" w:right="287" w:hanging="361"/>
        <w:jc w:val="left"/>
        <w:rPr>
          <w:sz w:val="14"/>
        </w:rPr>
      </w:pPr>
      <w:r>
        <w:rPr>
          <w:sz w:val="22"/>
        </w:rPr>
        <w:t>“SUD is a mental disorder affecting a person’s brain and behavior, leading to a person’s inability to control their use of substances such as legal or illegal drugs, alcohol, or</w:t>
      </w:r>
      <w:r>
        <w:rPr>
          <w:spacing w:val="-24"/>
          <w:sz w:val="22"/>
        </w:rPr>
        <w:t> </w:t>
      </w:r>
      <w:r>
        <w:rPr>
          <w:sz w:val="22"/>
        </w:rPr>
        <w:t>medications.”</w:t>
      </w:r>
      <w:r>
        <w:rPr>
          <w:position w:val="9"/>
          <w:sz w:val="14"/>
        </w:rPr>
        <w:t>168</w:t>
      </w:r>
    </w:p>
    <w:p>
      <w:pPr>
        <w:pStyle w:val="ListParagraph"/>
        <w:numPr>
          <w:ilvl w:val="1"/>
          <w:numId w:val="1"/>
        </w:numPr>
        <w:tabs>
          <w:tab w:pos="1560" w:val="left" w:leader="none"/>
          <w:tab w:pos="1561" w:val="left" w:leader="none"/>
        </w:tabs>
        <w:spacing w:line="237" w:lineRule="auto" w:before="4" w:after="0"/>
        <w:ind w:left="1560" w:right="338" w:hanging="360"/>
        <w:jc w:val="left"/>
        <w:rPr>
          <w:sz w:val="14"/>
        </w:rPr>
      </w:pPr>
      <w:r>
        <w:rPr>
          <w:sz w:val="22"/>
        </w:rPr>
        <w:t>“OUD is a medical condition defined by not being able to abstain from using opioids, and behaviors centered around opioid use that interfere with daily life. However, people can misuse opioids and not have physical dependence. When a person has physical dependence, it can be particularly hard to stop taking opioids, and that dependence can interfere with daily routines, including personal relationships or</w:t>
      </w:r>
      <w:r>
        <w:rPr>
          <w:spacing w:val="-5"/>
          <w:sz w:val="22"/>
        </w:rPr>
        <w:t> </w:t>
      </w:r>
      <w:r>
        <w:rPr>
          <w:sz w:val="22"/>
        </w:rPr>
        <w:t>finances.”</w:t>
      </w:r>
      <w:r>
        <w:rPr>
          <w:position w:val="9"/>
          <w:sz w:val="14"/>
        </w:rPr>
        <w:t>169</w:t>
      </w:r>
    </w:p>
    <w:p>
      <w:pPr>
        <w:spacing w:after="0" w:line="237" w:lineRule="auto"/>
        <w:jc w:val="left"/>
        <w:rPr>
          <w:sz w:val="14"/>
        </w:rPr>
        <w:sectPr>
          <w:pgSz w:w="12240" w:h="15840"/>
          <w:pgMar w:header="576" w:footer="1038" w:top="1580" w:bottom="1220" w:left="600" w:right="520"/>
        </w:sectPr>
      </w:pPr>
    </w:p>
    <w:p>
      <w:pPr>
        <w:pStyle w:val="Heading4"/>
        <w:spacing w:before="129"/>
        <w:rPr>
          <w:i/>
        </w:rPr>
      </w:pPr>
      <w:r>
        <w:rPr>
          <w:i/>
        </w:rPr>
        <w:t>Trauma-Informed Care</w:t>
      </w:r>
    </w:p>
    <w:p>
      <w:pPr>
        <w:pStyle w:val="ListParagraph"/>
        <w:numPr>
          <w:ilvl w:val="0"/>
          <w:numId w:val="1"/>
        </w:numPr>
        <w:tabs>
          <w:tab w:pos="840" w:val="left" w:leader="none"/>
          <w:tab w:pos="841" w:val="left" w:leader="none"/>
        </w:tabs>
        <w:spacing w:line="237" w:lineRule="auto" w:before="3" w:after="0"/>
        <w:ind w:left="840" w:right="736" w:hanging="360"/>
        <w:jc w:val="left"/>
        <w:rPr>
          <w:sz w:val="22"/>
        </w:rPr>
      </w:pPr>
      <w:r>
        <w:rPr>
          <w:sz w:val="22"/>
        </w:rPr>
        <w:t>“Trauma-informed care understands and considers the pervasive nature of trauma and promotes environments of healing and recovery rather than practices and services that may inadvertently re- traumatize.”</w:t>
      </w:r>
      <w:r>
        <w:rPr>
          <w:position w:val="9"/>
          <w:sz w:val="14"/>
        </w:rPr>
        <w:t>170 </w:t>
      </w:r>
      <w:r>
        <w:rPr>
          <w:sz w:val="22"/>
        </w:rPr>
        <w:t>(</w:t>
      </w:r>
      <w:r>
        <w:rPr>
          <w:color w:val="0000FF"/>
          <w:sz w:val="22"/>
          <w:u w:val="single" w:color="0000FF"/>
        </w:rPr>
        <w:t>See Tip 3</w:t>
      </w:r>
      <w:r>
        <w:rPr>
          <w:color w:val="0000FF"/>
          <w:sz w:val="22"/>
        </w:rPr>
        <w:t> </w:t>
      </w:r>
      <w:r>
        <w:rPr>
          <w:sz w:val="22"/>
        </w:rPr>
        <w:t>for information regarding the effects of</w:t>
      </w:r>
      <w:r>
        <w:rPr>
          <w:spacing w:val="-25"/>
          <w:sz w:val="22"/>
        </w:rPr>
        <w:t> </w:t>
      </w:r>
      <w:r>
        <w:rPr>
          <w:sz w:val="22"/>
        </w:rPr>
        <w:t>trauma.)</w:t>
      </w:r>
    </w:p>
    <w:p>
      <w:pPr>
        <w:pStyle w:val="ListParagraph"/>
        <w:numPr>
          <w:ilvl w:val="0"/>
          <w:numId w:val="1"/>
        </w:numPr>
        <w:tabs>
          <w:tab w:pos="840" w:val="left" w:leader="none"/>
          <w:tab w:pos="841" w:val="left" w:leader="none"/>
        </w:tabs>
        <w:spacing w:line="237" w:lineRule="auto" w:before="6" w:after="0"/>
        <w:ind w:left="839" w:right="248" w:hanging="360"/>
        <w:jc w:val="left"/>
        <w:rPr>
          <w:sz w:val="14"/>
        </w:rPr>
      </w:pPr>
      <w:r>
        <w:rPr>
          <w:sz w:val="22"/>
        </w:rPr>
        <w:t>Screening and assessing suicide risk: Patient Health Questionnaire-9 (PHQ-9) is a LTCF screening tool used by social workers to measure depression severity in residents. View</w:t>
      </w:r>
      <w:r>
        <w:rPr>
          <w:color w:val="0000FF"/>
          <w:sz w:val="22"/>
        </w:rPr>
        <w:t> </w:t>
      </w:r>
      <w:hyperlink r:id="rId9">
        <w:r>
          <w:rPr>
            <w:color w:val="0000FF"/>
            <w:sz w:val="22"/>
            <w:u w:val="single" w:color="0000FF"/>
          </w:rPr>
          <w:t>universal suicide risk screening</w:t>
        </w:r>
      </w:hyperlink>
      <w:hyperlink r:id="rId9">
        <w:r>
          <w:rPr>
            <w:color w:val="0000FF"/>
            <w:sz w:val="22"/>
            <w:u w:val="single" w:color="0000FF"/>
          </w:rPr>
          <w:t> information</w:t>
        </w:r>
        <w:r>
          <w:rPr>
            <w:sz w:val="22"/>
          </w:rPr>
          <w:t>.</w:t>
        </w:r>
      </w:hyperlink>
      <w:r>
        <w:rPr>
          <w:position w:val="9"/>
          <w:sz w:val="14"/>
        </w:rPr>
        <w:t>171</w:t>
      </w:r>
    </w:p>
    <w:p>
      <w:pPr>
        <w:pStyle w:val="Heading4"/>
        <w:spacing w:line="295" w:lineRule="exact" w:before="119"/>
        <w:rPr>
          <w:b w:val="0"/>
          <w:i/>
          <w:sz w:val="14"/>
        </w:rPr>
      </w:pPr>
      <w:r>
        <w:rPr>
          <w:i/>
        </w:rPr>
        <w:t>Recognize and Manage Intoxication, Withdrawal, or Overdose.</w:t>
      </w:r>
      <w:r>
        <w:rPr>
          <w:b w:val="0"/>
          <w:i w:val="0"/>
          <w:position w:val="9"/>
          <w:sz w:val="14"/>
        </w:rPr>
        <w:t>172</w:t>
      </w:r>
      <w:r>
        <w:rPr>
          <w:i/>
          <w:position w:val="9"/>
          <w:sz w:val="14"/>
        </w:rPr>
        <w:t>,</w:t>
      </w:r>
      <w:r>
        <w:rPr>
          <w:b w:val="0"/>
          <w:i w:val="0"/>
          <w:position w:val="9"/>
          <w:sz w:val="14"/>
        </w:rPr>
        <w:t>173</w:t>
      </w:r>
    </w:p>
    <w:p>
      <w:pPr>
        <w:pStyle w:val="ListParagraph"/>
        <w:numPr>
          <w:ilvl w:val="0"/>
          <w:numId w:val="1"/>
        </w:numPr>
        <w:tabs>
          <w:tab w:pos="841" w:val="left" w:leader="none"/>
        </w:tabs>
        <w:spacing w:line="240" w:lineRule="auto" w:before="0" w:after="0"/>
        <w:ind w:left="840" w:right="307" w:hanging="360"/>
        <w:jc w:val="both"/>
        <w:rPr>
          <w:sz w:val="22"/>
        </w:rPr>
      </w:pPr>
      <w:r>
        <w:rPr>
          <w:sz w:val="22"/>
        </w:rPr>
        <w:t>Managing acute treatment (detoxification): LTCF cannot accept residents with primary diagnosis is SUD for detox. Instead, an appropriate outpatient, acute care, or rehabilitation facility should treat residents for detoxification before admission to LTCF. (See 150.003 Admissions, Transfers, and Discharges D</w:t>
      </w:r>
      <w:r>
        <w:rPr>
          <w:spacing w:val="-42"/>
          <w:sz w:val="22"/>
        </w:rPr>
        <w:t> </w:t>
      </w:r>
      <w:r>
        <w:rPr>
          <w:sz w:val="22"/>
        </w:rPr>
        <w:t>(5)).</w:t>
      </w:r>
    </w:p>
    <w:p>
      <w:pPr>
        <w:pStyle w:val="ListParagraph"/>
        <w:numPr>
          <w:ilvl w:val="0"/>
          <w:numId w:val="1"/>
        </w:numPr>
        <w:tabs>
          <w:tab w:pos="840" w:val="left" w:leader="none"/>
          <w:tab w:pos="841" w:val="left" w:leader="none"/>
        </w:tabs>
        <w:spacing w:line="240" w:lineRule="auto" w:before="0" w:after="0"/>
        <w:ind w:left="840" w:right="108" w:hanging="360"/>
        <w:jc w:val="left"/>
        <w:rPr>
          <w:sz w:val="14"/>
        </w:rPr>
      </w:pPr>
      <w:r>
        <w:rPr>
          <w:sz w:val="22"/>
        </w:rPr>
        <w:t>Communicate with the OTP or OBOT/OBAT providers regarding abrupt discontinuation of opioids after long-term intense use, which may produce withdrawal symptoms.</w:t>
      </w:r>
      <w:r>
        <w:rPr>
          <w:position w:val="9"/>
          <w:sz w:val="14"/>
        </w:rPr>
        <w:t>174 </w:t>
      </w:r>
      <w:r>
        <w:rPr>
          <w:sz w:val="22"/>
        </w:rPr>
        <w:t>(</w:t>
      </w:r>
      <w:r>
        <w:rPr>
          <w:color w:val="0000FF"/>
          <w:sz w:val="22"/>
          <w:u w:val="single" w:color="0000FF"/>
        </w:rPr>
        <w:t>See Tip 1</w:t>
      </w:r>
      <w:r>
        <w:rPr>
          <w:color w:val="0000FF"/>
          <w:sz w:val="22"/>
        </w:rPr>
        <w:t> </w:t>
      </w:r>
      <w:r>
        <w:rPr>
          <w:sz w:val="22"/>
        </w:rPr>
        <w:t>for symptoms of withdrawal). The most effective method for treating a resident who has withdrawal is to prescribe a long- acting oral opioid (usually methadone or buprenorphine) to relieve symptoms and then gradually reduce the dose to allow the resident to adjust to the absence of an opioid. Medically supervised withdrawal can also involve the use of non-opioid medications that can help control symptoms; this should only be done under the supervision of the residents’ clinicians at their OTP or</w:t>
      </w:r>
      <w:r>
        <w:rPr>
          <w:spacing w:val="-19"/>
          <w:sz w:val="22"/>
        </w:rPr>
        <w:t> </w:t>
      </w:r>
      <w:r>
        <w:rPr>
          <w:sz w:val="22"/>
        </w:rPr>
        <w:t>OBOT/OBAT.</w:t>
      </w:r>
      <w:r>
        <w:rPr>
          <w:position w:val="9"/>
          <w:sz w:val="14"/>
        </w:rPr>
        <w:t>6</w:t>
      </w:r>
    </w:p>
    <w:p>
      <w:pPr>
        <w:pStyle w:val="Heading4"/>
        <w:spacing w:line="237" w:lineRule="auto"/>
        <w:ind w:left="119" w:right="238"/>
        <w:rPr>
          <w:sz w:val="14"/>
        </w:rPr>
      </w:pPr>
      <w:r>
        <w:rPr>
          <w:i/>
        </w:rPr>
        <w:t>Special Considerations Across the Age Spectrum for Long-Term Residents with Opioid and Stimulant Use </w:t>
      </w:r>
      <w:r>
        <w:rPr/>
        <w:t>Disorder</w:t>
      </w:r>
      <w:r>
        <w:rPr>
          <w:position w:val="9"/>
          <w:sz w:val="14"/>
        </w:rPr>
        <w:t>175</w:t>
      </w:r>
    </w:p>
    <w:p>
      <w:pPr>
        <w:pStyle w:val="ListParagraph"/>
        <w:numPr>
          <w:ilvl w:val="0"/>
          <w:numId w:val="1"/>
        </w:numPr>
        <w:tabs>
          <w:tab w:pos="840" w:val="left" w:leader="none"/>
          <w:tab w:pos="841" w:val="left" w:leader="none"/>
        </w:tabs>
        <w:spacing w:line="237" w:lineRule="auto" w:before="3" w:after="0"/>
        <w:ind w:left="840" w:right="226" w:hanging="361"/>
        <w:jc w:val="left"/>
        <w:rPr>
          <w:sz w:val="14"/>
        </w:rPr>
      </w:pPr>
      <w:r>
        <w:rPr>
          <w:sz w:val="22"/>
        </w:rPr>
        <w:t>Typically, LTCF residents are thought of as an older, medically-complex population. However, LTCFs also have a population of younger adults who are admitted for short-term rehabilitation, are medically compromised, and need the level of care provided in a LTCF. All residents, regardless of age, require safety considerations when managing OUD and</w:t>
      </w:r>
      <w:r>
        <w:rPr>
          <w:spacing w:val="-11"/>
          <w:sz w:val="22"/>
        </w:rPr>
        <w:t> </w:t>
      </w:r>
      <w:r>
        <w:rPr>
          <w:sz w:val="22"/>
        </w:rPr>
        <w:t>StUD.</w:t>
      </w:r>
      <w:r>
        <w:rPr>
          <w:position w:val="9"/>
          <w:sz w:val="14"/>
        </w:rPr>
        <w:t>176</w:t>
      </w:r>
    </w:p>
    <w:p>
      <w:pPr>
        <w:pStyle w:val="ListParagraph"/>
        <w:numPr>
          <w:ilvl w:val="0"/>
          <w:numId w:val="1"/>
        </w:numPr>
        <w:tabs>
          <w:tab w:pos="840" w:val="left" w:leader="none"/>
          <w:tab w:pos="841" w:val="left" w:leader="none"/>
        </w:tabs>
        <w:spacing w:line="240" w:lineRule="auto" w:before="4" w:after="0"/>
        <w:ind w:left="840" w:right="1008" w:hanging="361"/>
        <w:jc w:val="left"/>
        <w:rPr>
          <w:sz w:val="22"/>
        </w:rPr>
      </w:pPr>
      <w:r>
        <w:rPr>
          <w:sz w:val="22"/>
        </w:rPr>
        <w:t>When LTCF residents receive MOUD through an OTP or OBOT/OBAT or receive StUD treatment, clinicians manage treatment by considering the</w:t>
      </w:r>
      <w:r>
        <w:rPr>
          <w:spacing w:val="-7"/>
          <w:sz w:val="22"/>
        </w:rPr>
        <w:t> </w:t>
      </w:r>
      <w:r>
        <w:rPr>
          <w:sz w:val="22"/>
        </w:rPr>
        <w:t>following:</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Medical</w:t>
      </w:r>
      <w:r>
        <w:rPr>
          <w:spacing w:val="-2"/>
          <w:sz w:val="22"/>
        </w:rPr>
        <w:t> </w:t>
      </w:r>
      <w:r>
        <w:rPr>
          <w:sz w:val="22"/>
        </w:rPr>
        <w:t>co-morbidities</w:t>
      </w:r>
    </w:p>
    <w:p>
      <w:pPr>
        <w:pStyle w:val="ListParagraph"/>
        <w:numPr>
          <w:ilvl w:val="1"/>
          <w:numId w:val="1"/>
        </w:numPr>
        <w:tabs>
          <w:tab w:pos="1560" w:val="left" w:leader="none"/>
          <w:tab w:pos="1561" w:val="left" w:leader="none"/>
        </w:tabs>
        <w:spacing w:line="291" w:lineRule="exact" w:before="0" w:after="0"/>
        <w:ind w:left="1560" w:right="0" w:hanging="361"/>
        <w:jc w:val="left"/>
        <w:rPr>
          <w:sz w:val="22"/>
        </w:rPr>
      </w:pPr>
      <w:r>
        <w:rPr>
          <w:sz w:val="22"/>
        </w:rPr>
        <w:t>Psychiatric co-morbidities</w:t>
      </w:r>
    </w:p>
    <w:p>
      <w:pPr>
        <w:pStyle w:val="ListParagraph"/>
        <w:numPr>
          <w:ilvl w:val="1"/>
          <w:numId w:val="1"/>
        </w:numPr>
        <w:tabs>
          <w:tab w:pos="1560" w:val="left" w:leader="none"/>
          <w:tab w:pos="1561" w:val="left" w:leader="none"/>
        </w:tabs>
        <w:spacing w:line="295" w:lineRule="exact" w:before="0" w:after="0"/>
        <w:ind w:left="1560" w:right="0" w:hanging="361"/>
        <w:jc w:val="left"/>
        <w:rPr>
          <w:sz w:val="14"/>
        </w:rPr>
      </w:pPr>
      <w:r>
        <w:rPr>
          <w:sz w:val="22"/>
        </w:rPr>
        <w:t>Managing acute and chronic pain and</w:t>
      </w:r>
      <w:r>
        <w:rPr>
          <w:spacing w:val="-7"/>
          <w:sz w:val="22"/>
        </w:rPr>
        <w:t> </w:t>
      </w:r>
      <w:r>
        <w:rPr>
          <w:sz w:val="22"/>
        </w:rPr>
        <w:t>OUD</w:t>
      </w:r>
      <w:r>
        <w:rPr>
          <w:position w:val="9"/>
          <w:sz w:val="14"/>
        </w:rPr>
        <w:t>177</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Effective</w:t>
      </w:r>
      <w:r>
        <w:rPr>
          <w:spacing w:val="-2"/>
          <w:sz w:val="22"/>
        </w:rPr>
        <w:t> </w:t>
      </w:r>
      <w:r>
        <w:rPr>
          <w:sz w:val="22"/>
        </w:rPr>
        <w:t>treatment</w:t>
      </w:r>
    </w:p>
    <w:p>
      <w:pPr>
        <w:pStyle w:val="ListParagraph"/>
        <w:numPr>
          <w:ilvl w:val="1"/>
          <w:numId w:val="1"/>
        </w:numPr>
        <w:tabs>
          <w:tab w:pos="1560" w:val="left" w:leader="none"/>
          <w:tab w:pos="1561" w:val="left" w:leader="none"/>
        </w:tabs>
        <w:spacing w:line="291" w:lineRule="exact" w:before="0" w:after="0"/>
        <w:ind w:left="1560" w:right="0" w:hanging="361"/>
        <w:jc w:val="left"/>
        <w:rPr>
          <w:sz w:val="22"/>
        </w:rPr>
      </w:pPr>
      <w:r>
        <w:rPr>
          <w:sz w:val="22"/>
        </w:rPr>
        <w:t>Polypharmacy and drug</w:t>
      </w:r>
      <w:r>
        <w:rPr>
          <w:spacing w:val="-3"/>
          <w:sz w:val="22"/>
        </w:rPr>
        <w:t> </w:t>
      </w:r>
      <w:r>
        <w:rPr>
          <w:sz w:val="22"/>
        </w:rPr>
        <w:t>interactions</w:t>
      </w:r>
    </w:p>
    <w:p>
      <w:pPr>
        <w:pStyle w:val="ListParagraph"/>
        <w:numPr>
          <w:ilvl w:val="0"/>
          <w:numId w:val="1"/>
        </w:numPr>
        <w:tabs>
          <w:tab w:pos="840" w:val="left" w:leader="none"/>
          <w:tab w:pos="841" w:val="left" w:leader="none"/>
        </w:tabs>
        <w:spacing w:line="289" w:lineRule="exact" w:before="0" w:after="0"/>
        <w:ind w:left="840" w:right="0" w:hanging="361"/>
        <w:jc w:val="left"/>
        <w:rPr>
          <w:sz w:val="22"/>
        </w:rPr>
      </w:pPr>
      <w:r>
        <w:rPr>
          <w:sz w:val="22"/>
        </w:rPr>
        <w:t>View BSAS guidelines for</w:t>
      </w:r>
      <w:r>
        <w:rPr>
          <w:color w:val="0000FF"/>
          <w:sz w:val="22"/>
        </w:rPr>
        <w:t> </w:t>
      </w:r>
      <w:hyperlink r:id="rId10">
        <w:r>
          <w:rPr>
            <w:color w:val="0000FF"/>
            <w:sz w:val="22"/>
            <w:u w:val="single" w:color="0000FF"/>
          </w:rPr>
          <w:t>practice with older adults</w:t>
        </w:r>
      </w:hyperlink>
      <w:r>
        <w:rPr>
          <w:position w:val="9"/>
          <w:sz w:val="14"/>
        </w:rPr>
        <w:t>178 </w:t>
      </w:r>
      <w:r>
        <w:rPr>
          <w:sz w:val="22"/>
        </w:rPr>
        <w:t>and</w:t>
      </w:r>
      <w:hyperlink r:id="rId11">
        <w:r>
          <w:rPr>
            <w:color w:val="0000FF"/>
            <w:sz w:val="22"/>
          </w:rPr>
          <w:t> </w:t>
        </w:r>
        <w:r>
          <w:rPr>
            <w:color w:val="0000FF"/>
            <w:sz w:val="22"/>
            <w:u w:val="single" w:color="0000FF"/>
          </w:rPr>
          <w:t>family approach</w:t>
        </w:r>
      </w:hyperlink>
      <w:r>
        <w:rPr>
          <w:position w:val="9"/>
          <w:sz w:val="14"/>
        </w:rPr>
        <w:t>179 </w:t>
      </w:r>
      <w:r>
        <w:rPr>
          <w:sz w:val="22"/>
        </w:rPr>
        <w:t>to</w:t>
      </w:r>
      <w:r>
        <w:rPr>
          <w:spacing w:val="28"/>
          <w:sz w:val="22"/>
        </w:rPr>
        <w:t> </w:t>
      </w:r>
      <w:r>
        <w:rPr>
          <w:sz w:val="22"/>
        </w:rPr>
        <w:t>treatment.</w:t>
      </w:r>
    </w:p>
    <w:p>
      <w:pPr>
        <w:pStyle w:val="ListParagraph"/>
        <w:numPr>
          <w:ilvl w:val="0"/>
          <w:numId w:val="1"/>
        </w:numPr>
        <w:tabs>
          <w:tab w:pos="840" w:val="left" w:leader="none"/>
          <w:tab w:pos="841" w:val="left" w:leader="none"/>
        </w:tabs>
        <w:spacing w:line="240" w:lineRule="auto" w:before="0" w:after="0"/>
        <w:ind w:left="840" w:right="509" w:hanging="361"/>
        <w:jc w:val="left"/>
        <w:rPr>
          <w:sz w:val="22"/>
        </w:rPr>
      </w:pPr>
      <w:r>
        <w:rPr>
          <w:sz w:val="22"/>
        </w:rPr>
        <w:t>If you have any questions regarding addressing complex needs of patients with chronic pain, SUD, or both, call MCSTAP for a free consultation 833-PAIN-SUD</w:t>
      </w:r>
      <w:r>
        <w:rPr>
          <w:spacing w:val="-13"/>
          <w:sz w:val="22"/>
        </w:rPr>
        <w:t> </w:t>
      </w:r>
      <w:r>
        <w:rPr>
          <w:sz w:val="22"/>
        </w:rPr>
        <w:t>(833-724-6783).</w:t>
      </w:r>
    </w:p>
    <w:p>
      <w:pPr>
        <w:pStyle w:val="Heading3"/>
        <w:spacing w:before="117"/>
        <w:rPr>
          <w:sz w:val="16"/>
        </w:rPr>
      </w:pPr>
      <w:r>
        <w:rPr>
          <w:color w:val="365F91"/>
        </w:rPr>
        <w:t>Long-Term Care Facility Residents’ Social Environment</w:t>
      </w:r>
      <w:r>
        <w:rPr>
          <w:color w:val="365F91"/>
          <w:position w:val="9"/>
          <w:sz w:val="16"/>
        </w:rPr>
        <w:t>180</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The rules and expectations in LTCF for residents with OUD and/or</w:t>
      </w:r>
      <w:r>
        <w:rPr>
          <w:spacing w:val="-14"/>
          <w:sz w:val="22"/>
        </w:rPr>
        <w:t> </w:t>
      </w:r>
      <w:r>
        <w:rPr>
          <w:sz w:val="22"/>
        </w:rPr>
        <w:t>StUD:</w:t>
      </w:r>
    </w:p>
    <w:p>
      <w:pPr>
        <w:pStyle w:val="ListParagraph"/>
        <w:numPr>
          <w:ilvl w:val="1"/>
          <w:numId w:val="1"/>
        </w:numPr>
        <w:tabs>
          <w:tab w:pos="1560" w:val="left" w:leader="none"/>
          <w:tab w:pos="1561" w:val="left" w:leader="none"/>
        </w:tabs>
        <w:spacing w:line="297" w:lineRule="exact" w:before="0" w:after="0"/>
        <w:ind w:left="1560" w:right="0" w:hanging="361"/>
        <w:jc w:val="left"/>
        <w:rPr>
          <w:sz w:val="22"/>
        </w:rPr>
      </w:pPr>
      <w:r>
        <w:rPr>
          <w:sz w:val="22"/>
        </w:rPr>
        <w:t>LTCFs have rules that apply to all residents, including those with OUD and</w:t>
      </w:r>
      <w:r>
        <w:rPr>
          <w:spacing w:val="-18"/>
          <w:sz w:val="22"/>
        </w:rPr>
        <w:t> </w:t>
      </w:r>
      <w:r>
        <w:rPr>
          <w:sz w:val="22"/>
        </w:rPr>
        <w:t>StUD.</w:t>
      </w:r>
    </w:p>
    <w:p>
      <w:pPr>
        <w:pStyle w:val="ListParagraph"/>
        <w:numPr>
          <w:ilvl w:val="1"/>
          <w:numId w:val="1"/>
        </w:numPr>
        <w:tabs>
          <w:tab w:pos="1560" w:val="left" w:leader="none"/>
          <w:tab w:pos="1561" w:val="left" w:leader="none"/>
        </w:tabs>
        <w:spacing w:line="230" w:lineRule="auto" w:before="4" w:after="0"/>
        <w:ind w:left="1560" w:right="648" w:hanging="361"/>
        <w:jc w:val="left"/>
        <w:rPr>
          <w:sz w:val="22"/>
        </w:rPr>
      </w:pPr>
      <w:r>
        <w:rPr>
          <w:sz w:val="22"/>
        </w:rPr>
        <w:t>Set appropriate boundaries for residents, staff, and visitors in collaboration with residents to provide a safe, supportive</w:t>
      </w:r>
      <w:r>
        <w:rPr>
          <w:spacing w:val="-4"/>
          <w:sz w:val="22"/>
        </w:rPr>
        <w:t> </w:t>
      </w:r>
      <w:r>
        <w:rPr>
          <w:sz w:val="22"/>
        </w:rPr>
        <w:t>environment.</w:t>
      </w:r>
    </w:p>
    <w:p>
      <w:pPr>
        <w:pStyle w:val="ListParagraph"/>
        <w:numPr>
          <w:ilvl w:val="1"/>
          <w:numId w:val="1"/>
        </w:numPr>
        <w:tabs>
          <w:tab w:pos="1560" w:val="left" w:leader="none"/>
          <w:tab w:pos="1561" w:val="left" w:leader="none"/>
        </w:tabs>
        <w:spacing w:line="298" w:lineRule="exact" w:before="3" w:after="0"/>
        <w:ind w:left="1560" w:right="0" w:hanging="361"/>
        <w:jc w:val="left"/>
        <w:rPr>
          <w:sz w:val="22"/>
        </w:rPr>
      </w:pPr>
      <w:r>
        <w:rPr>
          <w:sz w:val="22"/>
        </w:rPr>
        <w:t>Prepare staff to manage resident reactions associated with OUD and StUD. (</w:t>
      </w:r>
      <w:r>
        <w:rPr>
          <w:color w:val="0000FF"/>
          <w:sz w:val="22"/>
          <w:u w:val="single" w:color="0000FF"/>
        </w:rPr>
        <w:t>See Tip</w:t>
      </w:r>
      <w:r>
        <w:rPr>
          <w:color w:val="0000FF"/>
          <w:spacing w:val="-34"/>
          <w:sz w:val="22"/>
          <w:u w:val="single" w:color="0000FF"/>
        </w:rPr>
        <w:t> </w:t>
      </w:r>
      <w:r>
        <w:rPr>
          <w:color w:val="0000FF"/>
          <w:sz w:val="22"/>
          <w:u w:val="single" w:color="0000FF"/>
        </w:rPr>
        <w:t>1</w:t>
      </w:r>
      <w:r>
        <w:rPr>
          <w:sz w:val="22"/>
        </w:rPr>
        <w:t>.)</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Staff should be aware of resources and strategies to optimize resident and staff</w:t>
      </w:r>
      <w:r>
        <w:rPr>
          <w:spacing w:val="-35"/>
          <w:sz w:val="22"/>
        </w:rPr>
        <w:t> </w:t>
      </w:r>
      <w:r>
        <w:rPr>
          <w:sz w:val="22"/>
        </w:rPr>
        <w:t>safety.</w:t>
      </w:r>
    </w:p>
    <w:p>
      <w:pPr>
        <w:spacing w:after="0" w:line="298" w:lineRule="exact"/>
        <w:jc w:val="left"/>
        <w:rPr>
          <w:sz w:val="22"/>
        </w:rPr>
        <w:sectPr>
          <w:pgSz w:w="12240" w:h="15840"/>
          <w:pgMar w:header="576" w:footer="1038" w:top="1580" w:bottom="1220" w:left="600" w:right="520"/>
        </w:sectPr>
      </w:pPr>
    </w:p>
    <w:p>
      <w:pPr>
        <w:pStyle w:val="Heading3"/>
        <w:spacing w:before="130"/>
        <w:ind w:right="806"/>
      </w:pPr>
      <w:r>
        <w:rPr>
          <w:color w:val="365F91"/>
        </w:rPr>
        <w:t>Caring for Individuals Treated with Medication for Opioid Use Disorder in Long-Term Care Facilities</w:t>
      </w:r>
    </w:p>
    <w:p>
      <w:pPr>
        <w:pStyle w:val="BodyText"/>
        <w:spacing w:line="237" w:lineRule="auto" w:before="122"/>
        <w:ind w:left="120" w:right="957" w:firstLine="0"/>
        <w:rPr>
          <w:sz w:val="14"/>
        </w:rPr>
      </w:pPr>
      <w:r>
        <w:rPr/>
        <w:t>Individuals with OUD can be treated with MOUD while residing in a LTCF, though these facilities are not designated as OTPs or OBOTs/OBATs.</w:t>
      </w:r>
      <w:r>
        <w:rPr>
          <w:position w:val="9"/>
          <w:sz w:val="14"/>
        </w:rPr>
        <w:t>181</w:t>
      </w:r>
    </w:p>
    <w:p>
      <w:pPr>
        <w:pStyle w:val="ListParagraph"/>
        <w:numPr>
          <w:ilvl w:val="0"/>
          <w:numId w:val="1"/>
        </w:numPr>
        <w:tabs>
          <w:tab w:pos="840" w:val="left" w:leader="none"/>
          <w:tab w:pos="841" w:val="left" w:leader="none"/>
        </w:tabs>
        <w:spacing w:line="240" w:lineRule="auto" w:before="120" w:after="0"/>
        <w:ind w:left="840" w:right="0" w:hanging="361"/>
        <w:jc w:val="left"/>
        <w:rPr>
          <w:sz w:val="22"/>
        </w:rPr>
      </w:pPr>
      <w:r>
        <w:rPr>
          <w:sz w:val="22"/>
        </w:rPr>
        <w:t>Goals of MOUD (see</w:t>
      </w:r>
      <w:r>
        <w:rPr>
          <w:color w:val="0000FF"/>
          <w:sz w:val="22"/>
        </w:rPr>
        <w:t> </w:t>
      </w:r>
      <w:r>
        <w:rPr>
          <w:color w:val="0000FF"/>
          <w:sz w:val="22"/>
          <w:u w:val="single" w:color="0000FF"/>
        </w:rPr>
        <w:t>introduction</w:t>
      </w:r>
      <w:r>
        <w:rPr>
          <w:color w:val="0000FF"/>
          <w:sz w:val="22"/>
        </w:rPr>
        <w:t> </w:t>
      </w:r>
      <w:r>
        <w:rPr>
          <w:sz w:val="22"/>
        </w:rPr>
        <w:t>and</w:t>
      </w:r>
      <w:r>
        <w:rPr>
          <w:color w:val="0000FF"/>
          <w:sz w:val="22"/>
        </w:rPr>
        <w:t> </w:t>
      </w:r>
      <w:r>
        <w:rPr>
          <w:color w:val="0000FF"/>
          <w:sz w:val="22"/>
          <w:u w:val="single" w:color="0000FF"/>
        </w:rPr>
        <w:t>MOUD Comparison</w:t>
      </w:r>
      <w:r>
        <w:rPr>
          <w:color w:val="0000FF"/>
          <w:spacing w:val="-12"/>
          <w:sz w:val="22"/>
          <w:u w:val="single" w:color="0000FF"/>
        </w:rPr>
        <w:t> </w:t>
      </w:r>
      <w:r>
        <w:rPr>
          <w:color w:val="0000FF"/>
          <w:sz w:val="22"/>
          <w:u w:val="single" w:color="0000FF"/>
        </w:rPr>
        <w:t>chart</w:t>
      </w:r>
      <w:r>
        <w:rPr>
          <w:sz w:val="22"/>
        </w:rPr>
        <w:t>)</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Treatment modalities</w:t>
      </w:r>
      <w:r>
        <w:rPr>
          <w:spacing w:val="-3"/>
          <w:sz w:val="22"/>
        </w:rPr>
        <w:t> </w:t>
      </w:r>
      <w:r>
        <w:rPr>
          <w:sz w:val="22"/>
        </w:rPr>
        <w:t>include:</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Methadone, buprenorphine, buprenorphine, naloxone, or naltrexone (</w:t>
      </w:r>
      <w:r>
        <w:rPr>
          <w:color w:val="0000FF"/>
          <w:sz w:val="22"/>
          <w:u w:val="single" w:color="0000FF"/>
        </w:rPr>
        <w:t>MOUD comparison</w:t>
      </w:r>
      <w:r>
        <w:rPr>
          <w:color w:val="0000FF"/>
          <w:spacing w:val="-29"/>
          <w:sz w:val="22"/>
          <w:u w:val="single" w:color="0000FF"/>
        </w:rPr>
        <w:t> </w:t>
      </w:r>
      <w:r>
        <w:rPr>
          <w:color w:val="0000FF"/>
          <w:sz w:val="22"/>
          <w:u w:val="single" w:color="0000FF"/>
        </w:rPr>
        <w:t>chart</w:t>
      </w:r>
      <w:r>
        <w:rPr>
          <w:sz w:val="22"/>
        </w:rPr>
        <w:t>)</w:t>
      </w:r>
    </w:p>
    <w:p>
      <w:pPr>
        <w:pStyle w:val="ListParagraph"/>
        <w:numPr>
          <w:ilvl w:val="1"/>
          <w:numId w:val="1"/>
        </w:numPr>
        <w:tabs>
          <w:tab w:pos="1560" w:val="left" w:leader="none"/>
          <w:tab w:pos="1561" w:val="left" w:leader="none"/>
        </w:tabs>
        <w:spacing w:line="293" w:lineRule="exact" w:before="0" w:after="0"/>
        <w:ind w:left="1560" w:right="0" w:hanging="361"/>
        <w:jc w:val="left"/>
        <w:rPr>
          <w:sz w:val="22"/>
        </w:rPr>
      </w:pPr>
      <w:r>
        <w:rPr>
          <w:sz w:val="22"/>
        </w:rPr>
        <w:t>Counseling</w:t>
      </w:r>
    </w:p>
    <w:p>
      <w:pPr>
        <w:pStyle w:val="ListParagraph"/>
        <w:numPr>
          <w:ilvl w:val="1"/>
          <w:numId w:val="1"/>
        </w:numPr>
        <w:tabs>
          <w:tab w:pos="1560" w:val="left" w:leader="none"/>
          <w:tab w:pos="1561" w:val="left" w:leader="none"/>
        </w:tabs>
        <w:spacing w:line="293" w:lineRule="exact" w:before="0" w:after="0"/>
        <w:ind w:left="1560" w:right="0" w:hanging="362"/>
        <w:jc w:val="left"/>
        <w:rPr>
          <w:sz w:val="22"/>
        </w:rPr>
      </w:pPr>
      <w:r>
        <w:rPr>
          <w:sz w:val="22"/>
        </w:rPr>
        <w:t>Recovery support/peer</w:t>
      </w:r>
      <w:r>
        <w:rPr>
          <w:spacing w:val="-2"/>
          <w:sz w:val="22"/>
        </w:rPr>
        <w:t> </w:t>
      </w:r>
      <w:r>
        <w:rPr>
          <w:sz w:val="22"/>
        </w:rPr>
        <w:t>support-coaching</w:t>
      </w:r>
    </w:p>
    <w:p>
      <w:pPr>
        <w:pStyle w:val="ListParagraph"/>
        <w:numPr>
          <w:ilvl w:val="0"/>
          <w:numId w:val="1"/>
        </w:numPr>
        <w:tabs>
          <w:tab w:pos="840" w:val="left" w:leader="none"/>
          <w:tab w:pos="841" w:val="left" w:leader="none"/>
        </w:tabs>
        <w:spacing w:line="286" w:lineRule="exact" w:before="0" w:after="0"/>
        <w:ind w:left="840" w:right="0" w:hanging="362"/>
        <w:jc w:val="left"/>
        <w:rPr>
          <w:sz w:val="22"/>
        </w:rPr>
      </w:pPr>
      <w:r>
        <w:rPr>
          <w:sz w:val="22"/>
        </w:rPr>
        <w:t>Effective assessments and person-centered care plans (see</w:t>
      </w:r>
      <w:r>
        <w:rPr>
          <w:color w:val="0000FF"/>
          <w:sz w:val="22"/>
        </w:rPr>
        <w:t> </w:t>
      </w:r>
      <w:r>
        <w:rPr>
          <w:color w:val="0000FF"/>
          <w:sz w:val="22"/>
          <w:u w:val="single" w:color="0000FF"/>
        </w:rPr>
        <w:t>Tip</w:t>
      </w:r>
      <w:r>
        <w:rPr>
          <w:color w:val="0000FF"/>
          <w:spacing w:val="-13"/>
          <w:sz w:val="22"/>
          <w:u w:val="single" w:color="0000FF"/>
        </w:rPr>
        <w:t> </w:t>
      </w:r>
      <w:r>
        <w:rPr>
          <w:color w:val="0000FF"/>
          <w:sz w:val="22"/>
          <w:u w:val="single" w:color="0000FF"/>
        </w:rPr>
        <w:t>3</w:t>
      </w:r>
      <w:r>
        <w:rPr>
          <w:sz w:val="22"/>
        </w:rPr>
        <w:t>)</w:t>
      </w:r>
    </w:p>
    <w:p>
      <w:pPr>
        <w:pStyle w:val="ListParagraph"/>
        <w:numPr>
          <w:ilvl w:val="0"/>
          <w:numId w:val="1"/>
        </w:numPr>
        <w:tabs>
          <w:tab w:pos="840" w:val="left" w:leader="none"/>
          <w:tab w:pos="841" w:val="left" w:leader="none"/>
        </w:tabs>
        <w:spacing w:line="240" w:lineRule="auto" w:before="0" w:after="0"/>
        <w:ind w:left="840" w:right="410" w:hanging="360"/>
        <w:jc w:val="left"/>
        <w:rPr>
          <w:sz w:val="22"/>
        </w:rPr>
      </w:pPr>
      <w:r>
        <w:rPr>
          <w:sz w:val="22"/>
        </w:rPr>
        <w:t>Communication with treatment programs (</w:t>
      </w:r>
      <w:r>
        <w:rPr>
          <w:color w:val="0000FF"/>
          <w:sz w:val="22"/>
          <w:u w:val="single" w:color="0000FF"/>
        </w:rPr>
        <w:t>see Tip 5</w:t>
      </w:r>
      <w:r>
        <w:rPr>
          <w:color w:val="0000FF"/>
          <w:sz w:val="22"/>
        </w:rPr>
        <w:t> </w:t>
      </w:r>
      <w:r>
        <w:rPr>
          <w:sz w:val="22"/>
        </w:rPr>
        <w:t>and</w:t>
      </w:r>
      <w:r>
        <w:rPr>
          <w:color w:val="0000FF"/>
          <w:sz w:val="22"/>
        </w:rPr>
        <w:t> </w:t>
      </w:r>
      <w:r>
        <w:rPr>
          <w:color w:val="0000FF"/>
          <w:sz w:val="22"/>
          <w:u w:val="single" w:color="0000FF"/>
        </w:rPr>
        <w:t>Tip 6</w:t>
      </w:r>
      <w:r>
        <w:rPr>
          <w:color w:val="0000FF"/>
          <w:sz w:val="22"/>
        </w:rPr>
        <w:t> </w:t>
      </w:r>
      <w:r>
        <w:rPr>
          <w:sz w:val="22"/>
        </w:rPr>
        <w:t>for additional information on treatment programs and</w:t>
      </w:r>
      <w:r>
        <w:rPr>
          <w:spacing w:val="-3"/>
          <w:sz w:val="22"/>
        </w:rPr>
        <w:t> </w:t>
      </w:r>
      <w:r>
        <w:rPr>
          <w:sz w:val="22"/>
        </w:rPr>
        <w:t>communication)</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Protocols for medication changes and</w:t>
      </w:r>
      <w:r>
        <w:rPr>
          <w:spacing w:val="-10"/>
          <w:sz w:val="22"/>
        </w:rPr>
        <w:t> </w:t>
      </w:r>
      <w:r>
        <w:rPr>
          <w:sz w:val="22"/>
        </w:rPr>
        <w:t>needs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Arranging transportation (</w:t>
      </w:r>
      <w:r>
        <w:rPr>
          <w:color w:val="0000FF"/>
          <w:sz w:val="22"/>
          <w:u w:val="single" w:color="0000FF"/>
        </w:rPr>
        <w:t>see Tip</w:t>
      </w:r>
      <w:r>
        <w:rPr>
          <w:color w:val="0000FF"/>
          <w:spacing w:val="-7"/>
          <w:sz w:val="22"/>
          <w:u w:val="single" w:color="0000FF"/>
        </w:rPr>
        <w:t> </w:t>
      </w:r>
      <w:r>
        <w:rPr>
          <w:color w:val="0000FF"/>
          <w:sz w:val="22"/>
          <w:u w:val="single" w:color="0000FF"/>
        </w:rPr>
        <w:t>6</w:t>
      </w:r>
      <w:r>
        <w:rPr>
          <w:sz w:val="22"/>
        </w:rPr>
        <w:t>)</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Discharge planning, including continuity of care and resources (</w:t>
      </w:r>
      <w:r>
        <w:rPr>
          <w:color w:val="0000FF"/>
          <w:sz w:val="22"/>
          <w:u w:val="single" w:color="0000FF"/>
        </w:rPr>
        <w:t>see Tip</w:t>
      </w:r>
      <w:r>
        <w:rPr>
          <w:color w:val="0000FF"/>
          <w:spacing w:val="-12"/>
          <w:sz w:val="22"/>
          <w:u w:val="single" w:color="0000FF"/>
        </w:rPr>
        <w:t> </w:t>
      </w:r>
      <w:r>
        <w:rPr>
          <w:color w:val="0000FF"/>
          <w:sz w:val="22"/>
          <w:u w:val="single" w:color="0000FF"/>
        </w:rPr>
        <w:t>6</w:t>
      </w:r>
      <w:r>
        <w:rPr>
          <w:sz w:val="22"/>
        </w:rPr>
        <w:t>)</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Preventing an overdose (</w:t>
      </w:r>
      <w:r>
        <w:rPr>
          <w:color w:val="0000FF"/>
          <w:sz w:val="22"/>
          <w:u w:val="single" w:color="0000FF"/>
        </w:rPr>
        <w:t>see Tip</w:t>
      </w:r>
      <w:r>
        <w:rPr>
          <w:color w:val="0000FF"/>
          <w:spacing w:val="-8"/>
          <w:sz w:val="22"/>
          <w:u w:val="single" w:color="0000FF"/>
        </w:rPr>
        <w:t> </w:t>
      </w:r>
      <w:r>
        <w:rPr>
          <w:color w:val="0000FF"/>
          <w:sz w:val="22"/>
          <w:u w:val="single" w:color="0000FF"/>
        </w:rPr>
        <w:t>1</w:t>
      </w:r>
      <w:r>
        <w:rPr>
          <w:sz w:val="22"/>
        </w:rPr>
        <w:t>)</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Competency with naloxone to reverse opioid overdose (</w:t>
      </w:r>
      <w:r>
        <w:rPr>
          <w:color w:val="0000FF"/>
          <w:sz w:val="22"/>
          <w:u w:val="single" w:color="0000FF"/>
        </w:rPr>
        <w:t>see Tip 1</w:t>
      </w:r>
      <w:r>
        <w:rPr>
          <w:sz w:val="22"/>
        </w:rPr>
        <w:t>) and</w:t>
      </w:r>
      <w:r>
        <w:rPr>
          <w:color w:val="0000FF"/>
          <w:sz w:val="22"/>
        </w:rPr>
        <w:t> </w:t>
      </w:r>
      <w:hyperlink r:id="rId12">
        <w:r>
          <w:rPr>
            <w:color w:val="0000FF"/>
            <w:sz w:val="22"/>
            <w:u w:val="single" w:color="0000FF"/>
          </w:rPr>
          <w:t>Five Steps for First</w:t>
        </w:r>
        <w:r>
          <w:rPr>
            <w:color w:val="0000FF"/>
            <w:spacing w:val="-33"/>
            <w:sz w:val="22"/>
            <w:u w:val="single" w:color="0000FF"/>
          </w:rPr>
          <w:t> </w:t>
        </w:r>
        <w:r>
          <w:rPr>
            <w:color w:val="0000FF"/>
            <w:sz w:val="22"/>
            <w:u w:val="single" w:color="0000FF"/>
          </w:rPr>
          <w:t>Responders</w:t>
        </w:r>
      </w:hyperlink>
      <w:r>
        <w:rPr>
          <w:position w:val="9"/>
          <w:sz w:val="14"/>
        </w:rPr>
        <w:t>182</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Harm-reduction strategies (</w:t>
      </w:r>
      <w:r>
        <w:rPr>
          <w:color w:val="0000FF"/>
          <w:sz w:val="22"/>
          <w:u w:val="single" w:color="0000FF"/>
        </w:rPr>
        <w:t>see Tip</w:t>
      </w:r>
      <w:r>
        <w:rPr>
          <w:color w:val="0000FF"/>
          <w:spacing w:val="-5"/>
          <w:sz w:val="22"/>
          <w:u w:val="single" w:color="0000FF"/>
        </w:rPr>
        <w:t> </w:t>
      </w:r>
      <w:r>
        <w:rPr>
          <w:color w:val="0000FF"/>
          <w:sz w:val="22"/>
          <w:u w:val="single" w:color="0000FF"/>
        </w:rPr>
        <w:t>1</w:t>
      </w:r>
      <w:r>
        <w:rPr>
          <w:sz w:val="22"/>
        </w:rPr>
        <w:t>)</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Storing, dispensing, and transporting medications for MOUD (</w:t>
      </w:r>
      <w:r>
        <w:rPr>
          <w:color w:val="0000FF"/>
          <w:sz w:val="22"/>
          <w:u w:val="single" w:color="0000FF"/>
        </w:rPr>
        <w:t>see Tip</w:t>
      </w:r>
      <w:r>
        <w:rPr>
          <w:color w:val="0000FF"/>
          <w:spacing w:val="-16"/>
          <w:sz w:val="22"/>
          <w:u w:val="single" w:color="0000FF"/>
        </w:rPr>
        <w:t> </w:t>
      </w:r>
      <w:r>
        <w:rPr>
          <w:color w:val="0000FF"/>
          <w:sz w:val="22"/>
          <w:u w:val="single" w:color="0000FF"/>
        </w:rPr>
        <w:t>6</w:t>
      </w:r>
      <w:r>
        <w:rPr>
          <w:sz w:val="22"/>
        </w:rPr>
        <w:t>)</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Record-keeping, see your internal</w:t>
      </w:r>
      <w:r>
        <w:rPr>
          <w:spacing w:val="-7"/>
          <w:sz w:val="22"/>
        </w:rPr>
        <w:t> </w:t>
      </w:r>
      <w:r>
        <w:rPr>
          <w:sz w:val="22"/>
        </w:rPr>
        <w:t>policies</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LTCF reporting requirements for overdose events,</w:t>
      </w:r>
      <w:r>
        <w:rPr>
          <w:color w:val="0000FF"/>
          <w:sz w:val="22"/>
        </w:rPr>
        <w:t> </w:t>
      </w:r>
      <w:hyperlink r:id="rId13">
        <w:r>
          <w:rPr>
            <w:color w:val="0000FF"/>
            <w:sz w:val="22"/>
            <w:u w:val="single" w:color="0000FF"/>
          </w:rPr>
          <w:t>typically</w:t>
        </w:r>
        <w:r>
          <w:rPr>
            <w:color w:val="0000FF"/>
            <w:spacing w:val="-10"/>
            <w:sz w:val="22"/>
            <w:u w:val="single" w:color="0000FF"/>
          </w:rPr>
          <w:t> </w:t>
        </w:r>
        <w:r>
          <w:rPr>
            <w:color w:val="0000FF"/>
            <w:sz w:val="22"/>
            <w:u w:val="single" w:color="0000FF"/>
          </w:rPr>
          <w:t>DPH</w:t>
        </w:r>
      </w:hyperlink>
      <w:r>
        <w:rPr>
          <w:position w:val="9"/>
          <w:sz w:val="14"/>
        </w:rPr>
        <w:t>183</w:t>
      </w:r>
    </w:p>
    <w:p>
      <w:pPr>
        <w:pStyle w:val="Heading3"/>
        <w:spacing w:before="120"/>
      </w:pPr>
      <w:r>
        <w:rPr>
          <w:color w:val="365F91"/>
        </w:rPr>
        <w:t>Caring for the Caregivers (see </w:t>
      </w:r>
      <w:r>
        <w:rPr>
          <w:color w:val="0000BE"/>
          <w:u w:val="single" w:color="0000BE"/>
        </w:rPr>
        <w:t>Tip 2</w:t>
      </w:r>
      <w:r>
        <w:rPr>
          <w:color w:val="0000BE"/>
        </w:rPr>
        <w:t> </w:t>
      </w:r>
      <w:r>
        <w:rPr>
          <w:color w:val="365F91"/>
        </w:rPr>
        <w:t>and </w:t>
      </w:r>
      <w:r>
        <w:rPr>
          <w:color w:val="0000BE"/>
          <w:u w:val="single" w:color="0000BE"/>
        </w:rPr>
        <w:t>Tip 3</w:t>
      </w:r>
      <w:r>
        <w:rPr>
          <w:color w:val="0000BE"/>
        </w:rPr>
        <w:t> </w:t>
      </w:r>
      <w:r>
        <w:rPr>
          <w:color w:val="365F91"/>
        </w:rPr>
        <w:t>Regarding Resources for Families and Caregivers)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Setting personal and professional</w:t>
      </w:r>
      <w:r>
        <w:rPr>
          <w:spacing w:val="-5"/>
          <w:sz w:val="22"/>
        </w:rPr>
        <w:t> </w:t>
      </w:r>
      <w:r>
        <w:rPr>
          <w:sz w:val="22"/>
        </w:rPr>
        <w:t>boundaries</w:t>
      </w:r>
    </w:p>
    <w:p>
      <w:pPr>
        <w:pStyle w:val="ListParagraph"/>
        <w:numPr>
          <w:ilvl w:val="0"/>
          <w:numId w:val="1"/>
        </w:numPr>
        <w:tabs>
          <w:tab w:pos="840" w:val="left" w:leader="none"/>
          <w:tab w:pos="841" w:val="left" w:leader="none"/>
        </w:tabs>
        <w:spacing w:line="240" w:lineRule="auto" w:before="0" w:after="0"/>
        <w:ind w:left="840" w:right="0" w:hanging="362"/>
        <w:jc w:val="left"/>
        <w:rPr>
          <w:sz w:val="22"/>
        </w:rPr>
      </w:pPr>
      <w:r>
        <w:rPr>
          <w:sz w:val="22"/>
        </w:rPr>
        <w:t>Recovering from traumatic events (i.e., overdose event or unexpected resident</w:t>
      </w:r>
      <w:r>
        <w:rPr>
          <w:spacing w:val="-18"/>
          <w:sz w:val="22"/>
        </w:rPr>
        <w:t> </w:t>
      </w:r>
      <w:r>
        <w:rPr>
          <w:sz w:val="22"/>
        </w:rPr>
        <w:t>death)</w:t>
      </w:r>
    </w:p>
    <w:p>
      <w:pPr>
        <w:pStyle w:val="ListParagraph"/>
        <w:numPr>
          <w:ilvl w:val="0"/>
          <w:numId w:val="1"/>
        </w:numPr>
        <w:tabs>
          <w:tab w:pos="840" w:val="left" w:leader="none"/>
          <w:tab w:pos="841" w:val="left" w:leader="none"/>
        </w:tabs>
        <w:spacing w:line="291" w:lineRule="exact" w:before="0" w:after="0"/>
        <w:ind w:left="840" w:right="0" w:hanging="362"/>
        <w:jc w:val="left"/>
        <w:rPr>
          <w:sz w:val="22"/>
        </w:rPr>
      </w:pPr>
      <w:r>
        <w:rPr>
          <w:sz w:val="22"/>
        </w:rPr>
        <w:t>Debriefing after a</w:t>
      </w:r>
      <w:r>
        <w:rPr>
          <w:spacing w:val="-6"/>
          <w:sz w:val="22"/>
        </w:rPr>
        <w:t> </w:t>
      </w:r>
      <w:r>
        <w:rPr>
          <w:sz w:val="22"/>
        </w:rPr>
        <w:t>crisis</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Recognizing and preventing caregiver</w:t>
      </w:r>
      <w:r>
        <w:rPr>
          <w:spacing w:val="-5"/>
          <w:sz w:val="22"/>
        </w:rPr>
        <w:t> </w:t>
      </w:r>
      <w:r>
        <w:rPr>
          <w:sz w:val="22"/>
        </w:rPr>
        <w:t>burnout</w:t>
      </w:r>
    </w:p>
    <w:p>
      <w:pPr>
        <w:pStyle w:val="Heading2"/>
      </w:pPr>
      <w:r>
        <w:rPr>
          <w:color w:val="4F81BC"/>
        </w:rPr>
        <w:t>Education and Resources</w:t>
      </w:r>
    </w:p>
    <w:p>
      <w:pPr>
        <w:pStyle w:val="ListParagraph"/>
        <w:numPr>
          <w:ilvl w:val="0"/>
          <w:numId w:val="1"/>
        </w:numPr>
        <w:tabs>
          <w:tab w:pos="840" w:val="left" w:leader="none"/>
          <w:tab w:pos="841" w:val="left" w:leader="none"/>
        </w:tabs>
        <w:spacing w:line="237" w:lineRule="auto" w:before="82" w:after="0"/>
        <w:ind w:left="840" w:right="389" w:hanging="360"/>
        <w:jc w:val="left"/>
        <w:rPr>
          <w:sz w:val="14"/>
        </w:rPr>
      </w:pPr>
      <w:r>
        <w:rPr>
          <w:sz w:val="22"/>
        </w:rPr>
        <w:t>American Addiction Centers National Rehabs Directory:</w:t>
      </w:r>
      <w:r>
        <w:rPr>
          <w:color w:val="0000FF"/>
          <w:sz w:val="22"/>
        </w:rPr>
        <w:t> </w:t>
      </w:r>
      <w:hyperlink r:id="rId14">
        <w:r>
          <w:rPr>
            <w:color w:val="0000FF"/>
            <w:sz w:val="22"/>
            <w:u w:val="single" w:color="0000FF"/>
          </w:rPr>
          <w:t>Check Your Blind Spot: Understanding Implicit</w:t>
        </w:r>
      </w:hyperlink>
      <w:hyperlink r:id="rId14">
        <w:r>
          <w:rPr>
            <w:color w:val="0000FF"/>
            <w:sz w:val="22"/>
            <w:u w:val="single" w:color="0000FF"/>
          </w:rPr>
          <w:t> Bias</w:t>
        </w:r>
      </w:hyperlink>
      <w:r>
        <w:rPr>
          <w:position w:val="9"/>
          <w:sz w:val="14"/>
        </w:rPr>
        <w:t>184</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 Recover Month: Road to Recovery</w:t>
      </w:r>
      <w:r>
        <w:rPr>
          <w:color w:val="0000FF"/>
          <w:sz w:val="22"/>
        </w:rPr>
        <w:t> </w:t>
      </w:r>
      <w:hyperlink r:id="rId15">
        <w:r>
          <w:rPr>
            <w:color w:val="0000FF"/>
            <w:sz w:val="22"/>
            <w:u w:val="single" w:color="0000FF"/>
          </w:rPr>
          <w:t>Discussion</w:t>
        </w:r>
        <w:r>
          <w:rPr>
            <w:color w:val="0000FF"/>
            <w:spacing w:val="-10"/>
            <w:sz w:val="22"/>
            <w:u w:val="single" w:color="0000FF"/>
          </w:rPr>
          <w:t> </w:t>
        </w:r>
        <w:r>
          <w:rPr>
            <w:color w:val="0000FF"/>
            <w:sz w:val="22"/>
            <w:u w:val="single" w:color="0000FF"/>
          </w:rPr>
          <w:t>Guide</w:t>
        </w:r>
      </w:hyperlink>
      <w:r>
        <w:rPr>
          <w:position w:val="9"/>
          <w:sz w:val="14"/>
        </w:rPr>
        <w:t>185</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40" w:lineRule="auto"/>
        <w:jc w:val="left"/>
        <w:rPr>
          <w:sz w:val="22"/>
        </w:rPr>
        <w:sectPr>
          <w:pgSz w:w="12240" w:h="15840"/>
          <w:pgMar w:header="576" w:footer="1038" w:top="1580" w:bottom="1220" w:left="600" w:right="520"/>
        </w:sectPr>
      </w:pPr>
    </w:p>
    <w:p>
      <w:pPr>
        <w:pStyle w:val="Heading2"/>
        <w:spacing w:before="130"/>
      </w:pPr>
      <w:r>
        <w:rPr>
          <w:color w:val="4F81BC"/>
        </w:rPr>
        <w:t>Implementation: Key Points</w:t>
      </w:r>
    </w:p>
    <w:p>
      <w:pPr>
        <w:pStyle w:val="BodyText"/>
        <w:spacing w:before="1"/>
        <w:ind w:left="0" w:firstLine="0"/>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646"/>
        <w:gridCol w:w="9134"/>
      </w:tblGrid>
      <w:tr>
        <w:trPr>
          <w:trHeight w:val="292" w:hRule="atLeast"/>
        </w:trPr>
        <w:tc>
          <w:tcPr>
            <w:tcW w:w="1646" w:type="dxa"/>
            <w:shd w:val="clear" w:color="auto" w:fill="4376BA"/>
          </w:tcPr>
          <w:p>
            <w:pPr>
              <w:pStyle w:val="TableParagraph"/>
              <w:spacing w:line="272" w:lineRule="exact"/>
              <w:ind w:left="107" w:firstLine="0"/>
              <w:rPr>
                <w:b/>
                <w:sz w:val="22"/>
              </w:rPr>
            </w:pPr>
            <w:r>
              <w:rPr>
                <w:b/>
                <w:color w:val="FFFFFF"/>
                <w:sz w:val="22"/>
              </w:rPr>
              <w:t>Tip 4:</w:t>
            </w:r>
          </w:p>
        </w:tc>
        <w:tc>
          <w:tcPr>
            <w:tcW w:w="9134" w:type="dxa"/>
            <w:shd w:val="clear" w:color="auto" w:fill="4376BA"/>
          </w:tcPr>
          <w:p>
            <w:pPr>
              <w:pStyle w:val="TableParagraph"/>
              <w:spacing w:line="272" w:lineRule="exact"/>
              <w:ind w:left="108" w:firstLine="0"/>
              <w:rPr>
                <w:b/>
                <w:sz w:val="22"/>
              </w:rPr>
            </w:pPr>
            <w:r>
              <w:rPr>
                <w:b/>
                <w:color w:val="FFFFFF"/>
                <w:sz w:val="22"/>
              </w:rPr>
              <w:t>Demonstrated Competencies</w:t>
            </w:r>
          </w:p>
        </w:tc>
      </w:tr>
      <w:tr>
        <w:trPr>
          <w:trHeight w:val="531" w:hRule="atLeast"/>
        </w:trPr>
        <w:tc>
          <w:tcPr>
            <w:tcW w:w="1646" w:type="dxa"/>
            <w:shd w:val="clear" w:color="auto" w:fill="C9D9EB"/>
          </w:tcPr>
          <w:p>
            <w:pPr>
              <w:pStyle w:val="TableParagraph"/>
              <w:spacing w:line="266" w:lineRule="exact"/>
              <w:ind w:left="107" w:firstLine="0"/>
              <w:rPr>
                <w:b/>
                <w:sz w:val="20"/>
              </w:rPr>
            </w:pPr>
            <w:r>
              <w:rPr>
                <w:b/>
                <w:sz w:val="20"/>
              </w:rPr>
              <w:t>Policies</w:t>
            </w:r>
          </w:p>
        </w:tc>
        <w:tc>
          <w:tcPr>
            <w:tcW w:w="9134" w:type="dxa"/>
          </w:tcPr>
          <w:p>
            <w:pPr>
              <w:pStyle w:val="TableParagraph"/>
              <w:spacing w:line="266" w:lineRule="exact" w:before="2"/>
              <w:ind w:left="467" w:hanging="360"/>
              <w:rPr>
                <w:sz w:val="20"/>
              </w:rPr>
            </w:pPr>
            <w:r>
              <w:rPr>
                <w:b/>
                <w:sz w:val="20"/>
              </w:rPr>
              <w:t>1. </w:t>
            </w:r>
            <w:r>
              <w:rPr>
                <w:sz w:val="20"/>
              </w:rPr>
              <w:t>Incorporate competencies into staff training: understanding OUD and StUD, how to care for individuals with OUD and StUD, prevent overdose, and what to do in case of an overdose.</w:t>
            </w:r>
          </w:p>
        </w:tc>
      </w:tr>
      <w:tr>
        <w:trPr>
          <w:trHeight w:val="529" w:hRule="atLeast"/>
        </w:trPr>
        <w:tc>
          <w:tcPr>
            <w:tcW w:w="1646" w:type="dxa"/>
            <w:shd w:val="clear" w:color="auto" w:fill="C9D9EB"/>
          </w:tcPr>
          <w:p>
            <w:pPr>
              <w:pStyle w:val="TableParagraph"/>
              <w:spacing w:line="266" w:lineRule="exact"/>
              <w:ind w:left="107" w:firstLine="0"/>
              <w:rPr>
                <w:b/>
                <w:sz w:val="20"/>
              </w:rPr>
            </w:pPr>
            <w:r>
              <w:rPr>
                <w:b/>
                <w:sz w:val="20"/>
              </w:rPr>
              <w:t>Checklist of </w:t>
            </w:r>
            <w:r>
              <w:rPr>
                <w:b/>
                <w:w w:val="95"/>
                <w:sz w:val="20"/>
              </w:rPr>
              <w:t>Competencies</w:t>
            </w:r>
          </w:p>
        </w:tc>
        <w:tc>
          <w:tcPr>
            <w:tcW w:w="9134" w:type="dxa"/>
          </w:tcPr>
          <w:p>
            <w:pPr>
              <w:pStyle w:val="TableParagraph"/>
              <w:spacing w:before="129"/>
              <w:ind w:left="2502" w:right="2487" w:firstLine="0"/>
              <w:jc w:val="center"/>
              <w:rPr>
                <w:b/>
                <w:i/>
                <w:sz w:val="20"/>
              </w:rPr>
            </w:pPr>
            <w:r>
              <w:rPr>
                <w:b/>
                <w:i/>
                <w:sz w:val="20"/>
              </w:rPr>
              <w:t>Competencies: Knowledge, Skill, or Attitude</w:t>
            </w:r>
          </w:p>
        </w:tc>
      </w:tr>
      <w:tr>
        <w:trPr>
          <w:trHeight w:val="2126" w:hRule="atLeast"/>
        </w:trPr>
        <w:tc>
          <w:tcPr>
            <w:tcW w:w="1646" w:type="dxa"/>
            <w:shd w:val="clear" w:color="auto" w:fill="C9D9EB"/>
          </w:tcPr>
          <w:p>
            <w:pPr>
              <w:pStyle w:val="TableParagraph"/>
              <w:ind w:left="258" w:right="108" w:firstLine="0"/>
              <w:rPr>
                <w:i/>
                <w:sz w:val="20"/>
              </w:rPr>
            </w:pPr>
            <w:r>
              <w:rPr>
                <w:i/>
                <w:w w:val="95"/>
                <w:sz w:val="20"/>
              </w:rPr>
              <w:t>Understanding </w:t>
            </w:r>
            <w:r>
              <w:rPr>
                <w:i/>
                <w:sz w:val="20"/>
              </w:rPr>
              <w:t>OUD and StUD</w:t>
            </w:r>
          </w:p>
        </w:tc>
        <w:tc>
          <w:tcPr>
            <w:tcW w:w="9134" w:type="dxa"/>
          </w:tcPr>
          <w:p>
            <w:pPr>
              <w:pStyle w:val="TableParagraph"/>
              <w:numPr>
                <w:ilvl w:val="0"/>
                <w:numId w:val="2"/>
              </w:numPr>
              <w:tabs>
                <w:tab w:pos="468" w:val="left" w:leader="none"/>
              </w:tabs>
              <w:spacing w:line="264" w:lineRule="exact" w:before="0" w:after="0"/>
              <w:ind w:left="468" w:right="0" w:hanging="360"/>
              <w:jc w:val="left"/>
              <w:rPr>
                <w:b/>
                <w:sz w:val="20"/>
              </w:rPr>
            </w:pPr>
            <w:r>
              <w:rPr>
                <w:b/>
                <w:sz w:val="20"/>
              </w:rPr>
              <w:t>Knowledge and/or</w:t>
            </w:r>
            <w:r>
              <w:rPr>
                <w:b/>
                <w:spacing w:val="-2"/>
                <w:sz w:val="20"/>
              </w:rPr>
              <w:t> </w:t>
            </w:r>
            <w:r>
              <w:rPr>
                <w:b/>
                <w:sz w:val="20"/>
              </w:rPr>
              <w:t>Attitude</w:t>
            </w:r>
          </w:p>
          <w:p>
            <w:pPr>
              <w:pStyle w:val="TableParagraph"/>
              <w:numPr>
                <w:ilvl w:val="1"/>
                <w:numId w:val="2"/>
              </w:numPr>
              <w:tabs>
                <w:tab w:pos="827" w:val="left" w:leader="none"/>
                <w:tab w:pos="828" w:val="left" w:leader="none"/>
              </w:tabs>
              <w:spacing w:line="240" w:lineRule="auto" w:before="0" w:after="0"/>
              <w:ind w:left="827" w:right="0" w:hanging="361"/>
              <w:jc w:val="left"/>
              <w:rPr>
                <w:sz w:val="20"/>
              </w:rPr>
            </w:pPr>
            <w:r>
              <w:rPr>
                <w:sz w:val="20"/>
              </w:rPr>
              <w:t>Implicit bias: take the implicit association</w:t>
            </w:r>
            <w:r>
              <w:rPr>
                <w:spacing w:val="-4"/>
                <w:sz w:val="20"/>
              </w:rPr>
              <w:t> </w:t>
            </w:r>
            <w:r>
              <w:rPr>
                <w:sz w:val="20"/>
              </w:rPr>
              <w:t>tests.</w:t>
            </w:r>
          </w:p>
          <w:p>
            <w:pPr>
              <w:pStyle w:val="TableParagraph"/>
              <w:numPr>
                <w:ilvl w:val="1"/>
                <w:numId w:val="2"/>
              </w:numPr>
              <w:tabs>
                <w:tab w:pos="827" w:val="left" w:leader="none"/>
                <w:tab w:pos="828" w:val="left" w:leader="none"/>
              </w:tabs>
              <w:spacing w:line="240" w:lineRule="auto" w:before="0" w:after="0"/>
              <w:ind w:left="827" w:right="0" w:hanging="361"/>
              <w:jc w:val="left"/>
              <w:rPr>
                <w:sz w:val="20"/>
              </w:rPr>
            </w:pPr>
            <w:r>
              <w:rPr>
                <w:sz w:val="20"/>
              </w:rPr>
              <w:t>Dispelling the stigma and misconception of OUD and</w:t>
            </w:r>
            <w:r>
              <w:rPr>
                <w:spacing w:val="-1"/>
                <w:sz w:val="20"/>
              </w:rPr>
              <w:t> </w:t>
            </w:r>
            <w:r>
              <w:rPr>
                <w:sz w:val="20"/>
              </w:rPr>
              <w:t>StUD.</w:t>
            </w:r>
          </w:p>
          <w:p>
            <w:pPr>
              <w:pStyle w:val="TableParagraph"/>
              <w:numPr>
                <w:ilvl w:val="1"/>
                <w:numId w:val="2"/>
              </w:numPr>
              <w:tabs>
                <w:tab w:pos="827" w:val="left" w:leader="none"/>
                <w:tab w:pos="828" w:val="left" w:leader="none"/>
              </w:tabs>
              <w:spacing w:line="265" w:lineRule="exact" w:before="1" w:after="0"/>
              <w:ind w:left="827" w:right="0" w:hanging="361"/>
              <w:jc w:val="left"/>
              <w:rPr>
                <w:sz w:val="20"/>
              </w:rPr>
            </w:pPr>
            <w:r>
              <w:rPr>
                <w:sz w:val="20"/>
              </w:rPr>
              <w:t>Trauma-informed care</w:t>
            </w:r>
            <w:r>
              <w:rPr>
                <w:spacing w:val="1"/>
                <w:sz w:val="20"/>
              </w:rPr>
              <w:t> </w:t>
            </w:r>
            <w:r>
              <w:rPr>
                <w:sz w:val="20"/>
              </w:rPr>
              <w:t>approach.</w:t>
            </w:r>
          </w:p>
          <w:p>
            <w:pPr>
              <w:pStyle w:val="TableParagraph"/>
              <w:numPr>
                <w:ilvl w:val="1"/>
                <w:numId w:val="2"/>
              </w:numPr>
              <w:tabs>
                <w:tab w:pos="827" w:val="left" w:leader="none"/>
                <w:tab w:pos="828" w:val="left" w:leader="none"/>
              </w:tabs>
              <w:spacing w:line="265" w:lineRule="exact" w:before="0" w:after="0"/>
              <w:ind w:left="827" w:right="0" w:hanging="361"/>
              <w:jc w:val="left"/>
              <w:rPr>
                <w:sz w:val="20"/>
              </w:rPr>
            </w:pPr>
            <w:r>
              <w:rPr>
                <w:sz w:val="20"/>
              </w:rPr>
              <w:t>Recognize and manage intoxication, withdrawal, or</w:t>
            </w:r>
            <w:r>
              <w:rPr>
                <w:spacing w:val="-3"/>
                <w:sz w:val="20"/>
              </w:rPr>
              <w:t> </w:t>
            </w:r>
            <w:r>
              <w:rPr>
                <w:sz w:val="20"/>
              </w:rPr>
              <w:t>overdose.</w:t>
            </w:r>
          </w:p>
          <w:p>
            <w:pPr>
              <w:pStyle w:val="TableParagraph"/>
              <w:numPr>
                <w:ilvl w:val="1"/>
                <w:numId w:val="2"/>
              </w:numPr>
              <w:tabs>
                <w:tab w:pos="827" w:val="left" w:leader="none"/>
                <w:tab w:pos="828" w:val="left" w:leader="none"/>
              </w:tabs>
              <w:spacing w:line="240" w:lineRule="auto" w:before="0" w:after="0"/>
              <w:ind w:left="827" w:right="0" w:hanging="361"/>
              <w:jc w:val="left"/>
              <w:rPr>
                <w:sz w:val="20"/>
              </w:rPr>
            </w:pPr>
            <w:r>
              <w:rPr>
                <w:sz w:val="20"/>
              </w:rPr>
              <w:t>Ethical and legal</w:t>
            </w:r>
            <w:r>
              <w:rPr>
                <w:spacing w:val="-1"/>
                <w:sz w:val="20"/>
              </w:rPr>
              <w:t> </w:t>
            </w:r>
            <w:r>
              <w:rPr>
                <w:sz w:val="20"/>
              </w:rPr>
              <w:t>guidelines.</w:t>
            </w:r>
          </w:p>
          <w:p>
            <w:pPr>
              <w:pStyle w:val="TableParagraph"/>
              <w:numPr>
                <w:ilvl w:val="0"/>
                <w:numId w:val="2"/>
              </w:numPr>
              <w:tabs>
                <w:tab w:pos="468" w:val="left" w:leader="none"/>
              </w:tabs>
              <w:spacing w:line="240" w:lineRule="auto" w:before="0" w:after="0"/>
              <w:ind w:left="467" w:right="0" w:hanging="361"/>
              <w:jc w:val="left"/>
              <w:rPr>
                <w:b/>
                <w:sz w:val="20"/>
              </w:rPr>
            </w:pPr>
            <w:r>
              <w:rPr>
                <w:b/>
                <w:sz w:val="20"/>
              </w:rPr>
              <w:t>Knowledge and</w:t>
            </w:r>
            <w:r>
              <w:rPr>
                <w:b/>
                <w:spacing w:val="-3"/>
                <w:sz w:val="20"/>
              </w:rPr>
              <w:t> </w:t>
            </w:r>
            <w:r>
              <w:rPr>
                <w:b/>
                <w:sz w:val="20"/>
              </w:rPr>
              <w:t>Skill</w:t>
            </w:r>
          </w:p>
          <w:p>
            <w:pPr>
              <w:pStyle w:val="TableParagraph"/>
              <w:numPr>
                <w:ilvl w:val="1"/>
                <w:numId w:val="2"/>
              </w:numPr>
              <w:tabs>
                <w:tab w:pos="827" w:val="left" w:leader="none"/>
                <w:tab w:pos="828" w:val="left" w:leader="none"/>
              </w:tabs>
              <w:spacing w:line="246" w:lineRule="exact" w:before="1" w:after="0"/>
              <w:ind w:left="828" w:right="0" w:hanging="361"/>
              <w:jc w:val="left"/>
              <w:rPr>
                <w:sz w:val="20"/>
              </w:rPr>
            </w:pPr>
            <w:r>
              <w:rPr>
                <w:sz w:val="20"/>
              </w:rPr>
              <w:t>Distinction between use, dependence, and use</w:t>
            </w:r>
            <w:r>
              <w:rPr>
                <w:spacing w:val="-3"/>
                <w:sz w:val="20"/>
              </w:rPr>
              <w:t> </w:t>
            </w:r>
            <w:r>
              <w:rPr>
                <w:sz w:val="20"/>
              </w:rPr>
              <w:t>disorder.</w:t>
            </w:r>
          </w:p>
        </w:tc>
      </w:tr>
      <w:tr>
        <w:trPr>
          <w:trHeight w:val="1595" w:hRule="atLeast"/>
        </w:trPr>
        <w:tc>
          <w:tcPr>
            <w:tcW w:w="1646" w:type="dxa"/>
            <w:shd w:val="clear" w:color="auto" w:fill="C9D9EB"/>
          </w:tcPr>
          <w:p>
            <w:pPr>
              <w:pStyle w:val="TableParagraph"/>
              <w:ind w:left="258" w:right="82" w:firstLine="0"/>
              <w:rPr>
                <w:i/>
                <w:sz w:val="20"/>
              </w:rPr>
            </w:pPr>
            <w:r>
              <w:rPr>
                <w:i/>
                <w:sz w:val="20"/>
              </w:rPr>
              <w:t>Special </w:t>
            </w:r>
            <w:r>
              <w:rPr>
                <w:i/>
                <w:w w:val="95"/>
                <w:sz w:val="20"/>
              </w:rPr>
              <w:t>Considerations </w:t>
            </w:r>
            <w:r>
              <w:rPr>
                <w:i/>
                <w:sz w:val="20"/>
              </w:rPr>
              <w:t>Across the Age Spectrum</w:t>
            </w:r>
          </w:p>
        </w:tc>
        <w:tc>
          <w:tcPr>
            <w:tcW w:w="9134" w:type="dxa"/>
          </w:tcPr>
          <w:p>
            <w:pPr>
              <w:pStyle w:val="TableParagraph"/>
              <w:numPr>
                <w:ilvl w:val="0"/>
                <w:numId w:val="3"/>
              </w:numPr>
              <w:tabs>
                <w:tab w:pos="468" w:val="left" w:leader="none"/>
              </w:tabs>
              <w:spacing w:line="266" w:lineRule="exact" w:before="0" w:after="0"/>
              <w:ind w:left="468" w:right="0" w:hanging="360"/>
              <w:jc w:val="left"/>
              <w:rPr>
                <w:b/>
                <w:sz w:val="20"/>
              </w:rPr>
            </w:pPr>
            <w:r>
              <w:rPr>
                <w:b/>
                <w:sz w:val="20"/>
              </w:rPr>
              <w:t>Knowledge</w:t>
            </w:r>
          </w:p>
          <w:p>
            <w:pPr>
              <w:pStyle w:val="TableParagraph"/>
              <w:numPr>
                <w:ilvl w:val="1"/>
                <w:numId w:val="3"/>
              </w:numPr>
              <w:tabs>
                <w:tab w:pos="827" w:val="left" w:leader="none"/>
                <w:tab w:pos="828" w:val="left" w:leader="none"/>
              </w:tabs>
              <w:spacing w:line="240" w:lineRule="auto" w:before="0" w:after="0"/>
              <w:ind w:left="827" w:right="0" w:hanging="361"/>
              <w:jc w:val="left"/>
              <w:rPr>
                <w:sz w:val="20"/>
              </w:rPr>
            </w:pPr>
            <w:r>
              <w:rPr>
                <w:sz w:val="20"/>
              </w:rPr>
              <w:t>Medical</w:t>
            </w:r>
            <w:r>
              <w:rPr>
                <w:spacing w:val="-1"/>
                <w:sz w:val="20"/>
              </w:rPr>
              <w:t> </w:t>
            </w:r>
            <w:r>
              <w:rPr>
                <w:sz w:val="20"/>
              </w:rPr>
              <w:t>comorbidities</w:t>
            </w:r>
          </w:p>
          <w:p>
            <w:pPr>
              <w:pStyle w:val="TableParagraph"/>
              <w:numPr>
                <w:ilvl w:val="1"/>
                <w:numId w:val="3"/>
              </w:numPr>
              <w:tabs>
                <w:tab w:pos="827" w:val="left" w:leader="none"/>
                <w:tab w:pos="828" w:val="left" w:leader="none"/>
              </w:tabs>
              <w:spacing w:line="240" w:lineRule="auto" w:before="0" w:after="0"/>
              <w:ind w:left="827" w:right="0" w:hanging="361"/>
              <w:jc w:val="left"/>
              <w:rPr>
                <w:sz w:val="20"/>
              </w:rPr>
            </w:pPr>
            <w:r>
              <w:rPr>
                <w:sz w:val="20"/>
              </w:rPr>
              <w:t>Psychiatric</w:t>
            </w:r>
            <w:r>
              <w:rPr>
                <w:spacing w:val="-2"/>
                <w:sz w:val="20"/>
              </w:rPr>
              <w:t> </w:t>
            </w:r>
            <w:r>
              <w:rPr>
                <w:sz w:val="20"/>
              </w:rPr>
              <w:t>comorbidities</w:t>
            </w:r>
          </w:p>
          <w:p>
            <w:pPr>
              <w:pStyle w:val="TableParagraph"/>
              <w:numPr>
                <w:ilvl w:val="1"/>
                <w:numId w:val="3"/>
              </w:numPr>
              <w:tabs>
                <w:tab w:pos="827" w:val="left" w:leader="none"/>
                <w:tab w:pos="828" w:val="left" w:leader="none"/>
              </w:tabs>
              <w:spacing w:line="265" w:lineRule="exact" w:before="1" w:after="0"/>
              <w:ind w:left="827" w:right="0" w:hanging="361"/>
              <w:jc w:val="left"/>
              <w:rPr>
                <w:sz w:val="20"/>
              </w:rPr>
            </w:pPr>
            <w:r>
              <w:rPr>
                <w:sz w:val="20"/>
              </w:rPr>
              <w:t>Acute/chronic pain and OUD along with</w:t>
            </w:r>
            <w:r>
              <w:rPr>
                <w:spacing w:val="-3"/>
                <w:sz w:val="20"/>
              </w:rPr>
              <w:t> </w:t>
            </w:r>
            <w:r>
              <w:rPr>
                <w:sz w:val="20"/>
              </w:rPr>
              <w:t>StUD</w:t>
            </w:r>
          </w:p>
          <w:p>
            <w:pPr>
              <w:pStyle w:val="TableParagraph"/>
              <w:numPr>
                <w:ilvl w:val="1"/>
                <w:numId w:val="3"/>
              </w:numPr>
              <w:tabs>
                <w:tab w:pos="827" w:val="left" w:leader="none"/>
                <w:tab w:pos="828" w:val="left" w:leader="none"/>
              </w:tabs>
              <w:spacing w:line="265" w:lineRule="exact" w:before="0" w:after="0"/>
              <w:ind w:left="827" w:right="0" w:hanging="361"/>
              <w:jc w:val="left"/>
              <w:rPr>
                <w:sz w:val="20"/>
              </w:rPr>
            </w:pPr>
            <w:r>
              <w:rPr>
                <w:sz w:val="20"/>
              </w:rPr>
              <w:t>Effective treatment as determined by OTP or</w:t>
            </w:r>
            <w:r>
              <w:rPr>
                <w:spacing w:val="-1"/>
                <w:sz w:val="20"/>
              </w:rPr>
              <w:t> </w:t>
            </w:r>
            <w:r>
              <w:rPr>
                <w:sz w:val="20"/>
              </w:rPr>
              <w:t>OBOT/OBAT</w:t>
            </w:r>
          </w:p>
          <w:p>
            <w:pPr>
              <w:pStyle w:val="TableParagraph"/>
              <w:numPr>
                <w:ilvl w:val="1"/>
                <w:numId w:val="3"/>
              </w:numPr>
              <w:tabs>
                <w:tab w:pos="827" w:val="left" w:leader="none"/>
                <w:tab w:pos="828" w:val="left" w:leader="none"/>
              </w:tabs>
              <w:spacing w:line="246" w:lineRule="exact" w:before="0" w:after="0"/>
              <w:ind w:left="828" w:right="0" w:hanging="361"/>
              <w:jc w:val="left"/>
              <w:rPr>
                <w:sz w:val="20"/>
              </w:rPr>
            </w:pPr>
            <w:r>
              <w:rPr>
                <w:sz w:val="20"/>
              </w:rPr>
              <w:t>Polypharmacy and drug</w:t>
            </w:r>
            <w:r>
              <w:rPr>
                <w:spacing w:val="-1"/>
                <w:sz w:val="20"/>
              </w:rPr>
              <w:t> </w:t>
            </w:r>
            <w:r>
              <w:rPr>
                <w:sz w:val="20"/>
              </w:rPr>
              <w:t>interactions</w:t>
            </w:r>
          </w:p>
        </w:tc>
      </w:tr>
      <w:tr>
        <w:trPr>
          <w:trHeight w:val="798" w:hRule="atLeast"/>
        </w:trPr>
        <w:tc>
          <w:tcPr>
            <w:tcW w:w="1646" w:type="dxa"/>
            <w:shd w:val="clear" w:color="auto" w:fill="C9D9EB"/>
          </w:tcPr>
          <w:p>
            <w:pPr>
              <w:pStyle w:val="TableParagraph"/>
              <w:spacing w:line="266" w:lineRule="exact" w:before="2"/>
              <w:ind w:left="258" w:right="108" w:firstLine="0"/>
              <w:rPr>
                <w:i/>
                <w:sz w:val="20"/>
              </w:rPr>
            </w:pPr>
            <w:r>
              <w:rPr>
                <w:i/>
                <w:sz w:val="20"/>
              </w:rPr>
              <w:t>Residents’ </w:t>
            </w:r>
            <w:r>
              <w:rPr>
                <w:i/>
                <w:sz w:val="20"/>
              </w:rPr>
              <w:t>Social </w:t>
            </w:r>
            <w:r>
              <w:rPr>
                <w:i/>
                <w:w w:val="95"/>
                <w:sz w:val="20"/>
              </w:rPr>
              <w:t>Environment</w:t>
            </w:r>
          </w:p>
        </w:tc>
        <w:tc>
          <w:tcPr>
            <w:tcW w:w="9134" w:type="dxa"/>
          </w:tcPr>
          <w:p>
            <w:pPr>
              <w:pStyle w:val="TableParagraph"/>
              <w:numPr>
                <w:ilvl w:val="0"/>
                <w:numId w:val="4"/>
              </w:numPr>
              <w:tabs>
                <w:tab w:pos="468" w:val="left" w:leader="none"/>
              </w:tabs>
              <w:spacing w:line="266" w:lineRule="exact" w:before="0" w:after="0"/>
              <w:ind w:left="468" w:right="0" w:hanging="360"/>
              <w:jc w:val="left"/>
              <w:rPr>
                <w:b/>
                <w:sz w:val="20"/>
              </w:rPr>
            </w:pPr>
            <w:r>
              <w:rPr>
                <w:b/>
                <w:sz w:val="20"/>
              </w:rPr>
              <w:t>Knowledge and</w:t>
            </w:r>
            <w:r>
              <w:rPr>
                <w:b/>
                <w:spacing w:val="-3"/>
                <w:sz w:val="20"/>
              </w:rPr>
              <w:t> </w:t>
            </w:r>
            <w:r>
              <w:rPr>
                <w:b/>
                <w:sz w:val="20"/>
              </w:rPr>
              <w:t>Skill</w:t>
            </w:r>
          </w:p>
          <w:p>
            <w:pPr>
              <w:pStyle w:val="TableParagraph"/>
              <w:numPr>
                <w:ilvl w:val="1"/>
                <w:numId w:val="4"/>
              </w:numPr>
              <w:tabs>
                <w:tab w:pos="827" w:val="left" w:leader="none"/>
                <w:tab w:pos="828" w:val="left" w:leader="none"/>
              </w:tabs>
              <w:spacing w:line="260" w:lineRule="atLeast" w:before="0" w:after="0"/>
              <w:ind w:left="827" w:right="480" w:hanging="360"/>
              <w:jc w:val="left"/>
              <w:rPr>
                <w:sz w:val="20"/>
              </w:rPr>
            </w:pPr>
            <w:r>
              <w:rPr>
                <w:sz w:val="20"/>
              </w:rPr>
              <w:t>Expectations for residents with OUD and StUD: Resources and strategies for resident</w:t>
            </w:r>
            <w:r>
              <w:rPr>
                <w:spacing w:val="-37"/>
                <w:sz w:val="20"/>
              </w:rPr>
              <w:t> </w:t>
            </w:r>
            <w:r>
              <w:rPr>
                <w:sz w:val="20"/>
              </w:rPr>
              <w:t>and staff</w:t>
            </w:r>
            <w:r>
              <w:rPr>
                <w:spacing w:val="-1"/>
                <w:sz w:val="20"/>
              </w:rPr>
              <w:t> </w:t>
            </w:r>
            <w:r>
              <w:rPr>
                <w:sz w:val="20"/>
              </w:rPr>
              <w:t>safety</w:t>
            </w:r>
          </w:p>
        </w:tc>
      </w:tr>
      <w:tr>
        <w:trPr>
          <w:trHeight w:val="3988" w:hRule="atLeast"/>
        </w:trPr>
        <w:tc>
          <w:tcPr>
            <w:tcW w:w="1646" w:type="dxa"/>
            <w:shd w:val="clear" w:color="auto" w:fill="C9D9EB"/>
          </w:tcPr>
          <w:p>
            <w:pPr>
              <w:pStyle w:val="TableParagraph"/>
              <w:ind w:left="258" w:right="268" w:firstLine="0"/>
              <w:rPr>
                <w:i/>
                <w:sz w:val="20"/>
              </w:rPr>
            </w:pPr>
            <w:r>
              <w:rPr>
                <w:i/>
                <w:sz w:val="20"/>
              </w:rPr>
              <w:t>Caring for </w:t>
            </w:r>
            <w:r>
              <w:rPr>
                <w:i/>
                <w:sz w:val="20"/>
              </w:rPr>
              <w:t>Individuals with OUD Treated with MOUD</w:t>
            </w:r>
          </w:p>
        </w:tc>
        <w:tc>
          <w:tcPr>
            <w:tcW w:w="9134" w:type="dxa"/>
          </w:tcPr>
          <w:p>
            <w:pPr>
              <w:pStyle w:val="TableParagraph"/>
              <w:numPr>
                <w:ilvl w:val="0"/>
                <w:numId w:val="5"/>
              </w:numPr>
              <w:tabs>
                <w:tab w:pos="468" w:val="left" w:leader="none"/>
              </w:tabs>
              <w:spacing w:line="264" w:lineRule="exact" w:before="0" w:after="0"/>
              <w:ind w:left="468" w:right="0" w:hanging="360"/>
              <w:jc w:val="left"/>
              <w:rPr>
                <w:b/>
                <w:sz w:val="20"/>
              </w:rPr>
            </w:pPr>
            <w:r>
              <w:rPr>
                <w:b/>
                <w:sz w:val="20"/>
              </w:rPr>
              <w:t>Knowledge</w:t>
            </w:r>
          </w:p>
          <w:p>
            <w:pPr>
              <w:pStyle w:val="TableParagraph"/>
              <w:numPr>
                <w:ilvl w:val="1"/>
                <w:numId w:val="5"/>
              </w:numPr>
              <w:tabs>
                <w:tab w:pos="827" w:val="left" w:leader="none"/>
                <w:tab w:pos="828" w:val="left" w:leader="none"/>
              </w:tabs>
              <w:spacing w:line="240" w:lineRule="auto" w:before="0" w:after="0"/>
              <w:ind w:left="827" w:right="0" w:hanging="361"/>
              <w:jc w:val="left"/>
              <w:rPr>
                <w:sz w:val="20"/>
              </w:rPr>
            </w:pPr>
            <w:r>
              <w:rPr>
                <w:sz w:val="20"/>
              </w:rPr>
              <w:t>Goals of</w:t>
            </w:r>
            <w:r>
              <w:rPr>
                <w:spacing w:val="-2"/>
                <w:sz w:val="20"/>
              </w:rPr>
              <w:t> </w:t>
            </w:r>
            <w:r>
              <w:rPr>
                <w:sz w:val="20"/>
              </w:rPr>
              <w:t>MOUD</w:t>
            </w:r>
          </w:p>
          <w:p>
            <w:pPr>
              <w:pStyle w:val="TableParagraph"/>
              <w:numPr>
                <w:ilvl w:val="1"/>
                <w:numId w:val="5"/>
              </w:numPr>
              <w:tabs>
                <w:tab w:pos="827" w:val="left" w:leader="none"/>
                <w:tab w:pos="828" w:val="left" w:leader="none"/>
              </w:tabs>
              <w:spacing w:line="240" w:lineRule="auto" w:before="0" w:after="0"/>
              <w:ind w:left="827" w:right="0" w:hanging="361"/>
              <w:jc w:val="left"/>
              <w:rPr>
                <w:sz w:val="20"/>
              </w:rPr>
            </w:pPr>
            <w:r>
              <w:rPr>
                <w:sz w:val="20"/>
              </w:rPr>
              <w:t>Treatment</w:t>
            </w:r>
            <w:r>
              <w:rPr>
                <w:spacing w:val="-1"/>
                <w:sz w:val="20"/>
              </w:rPr>
              <w:t> </w:t>
            </w:r>
            <w:r>
              <w:rPr>
                <w:sz w:val="20"/>
              </w:rPr>
              <w:t>modalities</w:t>
            </w:r>
          </w:p>
          <w:p>
            <w:pPr>
              <w:pStyle w:val="TableParagraph"/>
              <w:numPr>
                <w:ilvl w:val="1"/>
                <w:numId w:val="5"/>
              </w:numPr>
              <w:tabs>
                <w:tab w:pos="827" w:val="left" w:leader="none"/>
                <w:tab w:pos="828" w:val="left" w:leader="none"/>
              </w:tabs>
              <w:spacing w:line="240" w:lineRule="auto" w:before="1" w:after="0"/>
              <w:ind w:left="827" w:right="0" w:hanging="361"/>
              <w:jc w:val="left"/>
              <w:rPr>
                <w:sz w:val="20"/>
              </w:rPr>
            </w:pPr>
            <w:r>
              <w:rPr>
                <w:sz w:val="20"/>
              </w:rPr>
              <w:t>Protocols for medication changes and</w:t>
            </w:r>
            <w:r>
              <w:rPr>
                <w:spacing w:val="-4"/>
                <w:sz w:val="20"/>
              </w:rPr>
              <w:t> </w:t>
            </w:r>
            <w:r>
              <w:rPr>
                <w:sz w:val="20"/>
              </w:rPr>
              <w:t>needs</w:t>
            </w:r>
          </w:p>
          <w:p>
            <w:pPr>
              <w:pStyle w:val="TableParagraph"/>
              <w:numPr>
                <w:ilvl w:val="1"/>
                <w:numId w:val="5"/>
              </w:numPr>
              <w:tabs>
                <w:tab w:pos="827" w:val="left" w:leader="none"/>
                <w:tab w:pos="828" w:val="left" w:leader="none"/>
              </w:tabs>
              <w:spacing w:line="240" w:lineRule="auto" w:before="0" w:after="0"/>
              <w:ind w:left="827" w:right="0" w:hanging="360"/>
              <w:jc w:val="left"/>
              <w:rPr>
                <w:sz w:val="20"/>
              </w:rPr>
            </w:pPr>
            <w:r>
              <w:rPr>
                <w:sz w:val="20"/>
              </w:rPr>
              <w:t>Arranging</w:t>
            </w:r>
            <w:r>
              <w:rPr>
                <w:spacing w:val="-1"/>
                <w:sz w:val="20"/>
              </w:rPr>
              <w:t> </w:t>
            </w:r>
            <w:r>
              <w:rPr>
                <w:sz w:val="20"/>
              </w:rPr>
              <w:t>transportation</w:t>
            </w:r>
          </w:p>
          <w:p>
            <w:pPr>
              <w:pStyle w:val="TableParagraph"/>
              <w:numPr>
                <w:ilvl w:val="1"/>
                <w:numId w:val="5"/>
              </w:numPr>
              <w:tabs>
                <w:tab w:pos="827" w:val="left" w:leader="none"/>
                <w:tab w:pos="828" w:val="left" w:leader="none"/>
              </w:tabs>
              <w:spacing w:line="265" w:lineRule="exact" w:before="0" w:after="0"/>
              <w:ind w:left="827" w:right="0" w:hanging="361"/>
              <w:jc w:val="left"/>
              <w:rPr>
                <w:sz w:val="20"/>
              </w:rPr>
            </w:pPr>
            <w:r>
              <w:rPr>
                <w:sz w:val="20"/>
              </w:rPr>
              <w:t>Harm</w:t>
            </w:r>
            <w:r>
              <w:rPr>
                <w:spacing w:val="-8"/>
                <w:sz w:val="20"/>
              </w:rPr>
              <w:t> </w:t>
            </w:r>
            <w:r>
              <w:rPr>
                <w:sz w:val="20"/>
              </w:rPr>
              <w:t>reduction</w:t>
            </w:r>
          </w:p>
          <w:p>
            <w:pPr>
              <w:pStyle w:val="TableParagraph"/>
              <w:numPr>
                <w:ilvl w:val="1"/>
                <w:numId w:val="5"/>
              </w:numPr>
              <w:tabs>
                <w:tab w:pos="827" w:val="left" w:leader="none"/>
                <w:tab w:pos="828" w:val="left" w:leader="none"/>
              </w:tabs>
              <w:spacing w:line="265" w:lineRule="exact" w:before="0" w:after="0"/>
              <w:ind w:left="827" w:right="0" w:hanging="361"/>
              <w:jc w:val="left"/>
              <w:rPr>
                <w:sz w:val="20"/>
              </w:rPr>
            </w:pPr>
            <w:r>
              <w:rPr>
                <w:sz w:val="20"/>
              </w:rPr>
              <w:t>Record-keeping</w:t>
            </w:r>
          </w:p>
          <w:p>
            <w:pPr>
              <w:pStyle w:val="TableParagraph"/>
              <w:numPr>
                <w:ilvl w:val="0"/>
                <w:numId w:val="5"/>
              </w:numPr>
              <w:tabs>
                <w:tab w:pos="468" w:val="left" w:leader="none"/>
              </w:tabs>
              <w:spacing w:line="240" w:lineRule="auto" w:before="1" w:after="0"/>
              <w:ind w:left="468" w:right="0" w:hanging="361"/>
              <w:jc w:val="left"/>
              <w:rPr>
                <w:b/>
                <w:sz w:val="20"/>
              </w:rPr>
            </w:pPr>
            <w:r>
              <w:rPr>
                <w:b/>
                <w:sz w:val="20"/>
              </w:rPr>
              <w:t>Skill</w:t>
            </w:r>
          </w:p>
          <w:p>
            <w:pPr>
              <w:pStyle w:val="TableParagraph"/>
              <w:numPr>
                <w:ilvl w:val="1"/>
                <w:numId w:val="5"/>
              </w:numPr>
              <w:tabs>
                <w:tab w:pos="827" w:val="left" w:leader="none"/>
                <w:tab w:pos="828" w:val="left" w:leader="none"/>
              </w:tabs>
              <w:spacing w:line="240" w:lineRule="auto" w:before="0" w:after="0"/>
              <w:ind w:left="827" w:right="0" w:hanging="361"/>
              <w:jc w:val="left"/>
              <w:rPr>
                <w:sz w:val="20"/>
              </w:rPr>
            </w:pPr>
            <w:r>
              <w:rPr>
                <w:sz w:val="20"/>
              </w:rPr>
              <w:t>Effective assessment and care</w:t>
            </w:r>
            <w:r>
              <w:rPr>
                <w:spacing w:val="1"/>
                <w:sz w:val="20"/>
              </w:rPr>
              <w:t> </w:t>
            </w:r>
            <w:r>
              <w:rPr>
                <w:sz w:val="20"/>
              </w:rPr>
              <w:t>plans</w:t>
            </w:r>
          </w:p>
          <w:p>
            <w:pPr>
              <w:pStyle w:val="TableParagraph"/>
              <w:numPr>
                <w:ilvl w:val="1"/>
                <w:numId w:val="5"/>
              </w:numPr>
              <w:tabs>
                <w:tab w:pos="827" w:val="left" w:leader="none"/>
                <w:tab w:pos="828" w:val="left" w:leader="none"/>
              </w:tabs>
              <w:spacing w:line="240" w:lineRule="auto" w:before="0" w:after="0"/>
              <w:ind w:left="827" w:right="0" w:hanging="361"/>
              <w:jc w:val="left"/>
              <w:rPr>
                <w:sz w:val="20"/>
              </w:rPr>
            </w:pPr>
            <w:r>
              <w:rPr>
                <w:sz w:val="20"/>
              </w:rPr>
              <w:t>Communication with treatment</w:t>
            </w:r>
            <w:r>
              <w:rPr>
                <w:spacing w:val="1"/>
                <w:sz w:val="20"/>
              </w:rPr>
              <w:t> </w:t>
            </w:r>
            <w:r>
              <w:rPr>
                <w:sz w:val="20"/>
              </w:rPr>
              <w:t>programs</w:t>
            </w:r>
          </w:p>
          <w:p>
            <w:pPr>
              <w:pStyle w:val="TableParagraph"/>
              <w:numPr>
                <w:ilvl w:val="1"/>
                <w:numId w:val="5"/>
              </w:numPr>
              <w:tabs>
                <w:tab w:pos="827" w:val="left" w:leader="none"/>
                <w:tab w:pos="828" w:val="left" w:leader="none"/>
              </w:tabs>
              <w:spacing w:line="240" w:lineRule="auto" w:before="1" w:after="0"/>
              <w:ind w:left="827" w:right="0" w:hanging="361"/>
              <w:jc w:val="left"/>
              <w:rPr>
                <w:sz w:val="20"/>
              </w:rPr>
            </w:pPr>
            <w:r>
              <w:rPr>
                <w:sz w:val="20"/>
              </w:rPr>
              <w:t>Discharge</w:t>
            </w:r>
            <w:r>
              <w:rPr>
                <w:spacing w:val="-2"/>
                <w:sz w:val="20"/>
              </w:rPr>
              <w:t> </w:t>
            </w:r>
            <w:r>
              <w:rPr>
                <w:sz w:val="20"/>
              </w:rPr>
              <w:t>planning</w:t>
            </w:r>
          </w:p>
          <w:p>
            <w:pPr>
              <w:pStyle w:val="TableParagraph"/>
              <w:numPr>
                <w:ilvl w:val="1"/>
                <w:numId w:val="5"/>
              </w:numPr>
              <w:tabs>
                <w:tab w:pos="827" w:val="left" w:leader="none"/>
                <w:tab w:pos="828" w:val="left" w:leader="none"/>
              </w:tabs>
              <w:spacing w:line="265" w:lineRule="exact" w:before="0" w:after="0"/>
              <w:ind w:left="827" w:right="0" w:hanging="361"/>
              <w:jc w:val="left"/>
              <w:rPr>
                <w:sz w:val="20"/>
              </w:rPr>
            </w:pPr>
            <w:r>
              <w:rPr>
                <w:sz w:val="20"/>
              </w:rPr>
              <w:t>Competency with</w:t>
            </w:r>
            <w:r>
              <w:rPr>
                <w:spacing w:val="-1"/>
                <w:sz w:val="20"/>
              </w:rPr>
              <w:t> </w:t>
            </w:r>
            <w:r>
              <w:rPr>
                <w:sz w:val="20"/>
              </w:rPr>
              <w:t>naloxone</w:t>
            </w:r>
          </w:p>
          <w:p>
            <w:pPr>
              <w:pStyle w:val="TableParagraph"/>
              <w:numPr>
                <w:ilvl w:val="0"/>
                <w:numId w:val="5"/>
              </w:numPr>
              <w:tabs>
                <w:tab w:pos="468" w:val="left" w:leader="none"/>
              </w:tabs>
              <w:spacing w:line="265" w:lineRule="exact" w:before="0" w:after="0"/>
              <w:ind w:left="467" w:right="0" w:hanging="361"/>
              <w:jc w:val="left"/>
              <w:rPr>
                <w:b/>
                <w:sz w:val="20"/>
              </w:rPr>
            </w:pPr>
            <w:r>
              <w:rPr>
                <w:b/>
                <w:sz w:val="20"/>
              </w:rPr>
              <w:t>Knowledge and</w:t>
            </w:r>
            <w:r>
              <w:rPr>
                <w:b/>
                <w:spacing w:val="-3"/>
                <w:sz w:val="20"/>
              </w:rPr>
              <w:t> </w:t>
            </w:r>
            <w:r>
              <w:rPr>
                <w:b/>
                <w:sz w:val="20"/>
              </w:rPr>
              <w:t>Skill</w:t>
            </w:r>
          </w:p>
          <w:p>
            <w:pPr>
              <w:pStyle w:val="TableParagraph"/>
              <w:numPr>
                <w:ilvl w:val="1"/>
                <w:numId w:val="5"/>
              </w:numPr>
              <w:tabs>
                <w:tab w:pos="827" w:val="left" w:leader="none"/>
                <w:tab w:pos="828" w:val="left" w:leader="none"/>
              </w:tabs>
              <w:spacing w:line="240" w:lineRule="auto" w:before="0" w:after="0"/>
              <w:ind w:left="827" w:right="0" w:hanging="361"/>
              <w:jc w:val="left"/>
              <w:rPr>
                <w:sz w:val="20"/>
              </w:rPr>
            </w:pPr>
            <w:r>
              <w:rPr>
                <w:sz w:val="20"/>
              </w:rPr>
              <w:t>Preventing</w:t>
            </w:r>
            <w:r>
              <w:rPr>
                <w:spacing w:val="-1"/>
                <w:sz w:val="20"/>
              </w:rPr>
              <w:t> </w:t>
            </w:r>
            <w:r>
              <w:rPr>
                <w:sz w:val="20"/>
              </w:rPr>
              <w:t>overdose</w:t>
            </w:r>
          </w:p>
          <w:p>
            <w:pPr>
              <w:pStyle w:val="TableParagraph"/>
              <w:numPr>
                <w:ilvl w:val="1"/>
                <w:numId w:val="5"/>
              </w:numPr>
              <w:tabs>
                <w:tab w:pos="827" w:val="left" w:leader="none"/>
                <w:tab w:pos="828" w:val="left" w:leader="none"/>
              </w:tabs>
              <w:spacing w:line="246" w:lineRule="exact" w:before="1" w:after="0"/>
              <w:ind w:left="828" w:right="0" w:hanging="361"/>
              <w:jc w:val="left"/>
              <w:rPr>
                <w:sz w:val="20"/>
              </w:rPr>
            </w:pPr>
            <w:r>
              <w:rPr>
                <w:sz w:val="20"/>
              </w:rPr>
              <w:t>Storing, dispensing, transportation of</w:t>
            </w:r>
            <w:r>
              <w:rPr>
                <w:spacing w:val="-1"/>
                <w:sz w:val="20"/>
              </w:rPr>
              <w:t> </w:t>
            </w:r>
            <w:r>
              <w:rPr>
                <w:sz w:val="20"/>
              </w:rPr>
              <w:t>MOUD</w:t>
            </w:r>
          </w:p>
        </w:tc>
      </w:tr>
      <w:tr>
        <w:trPr>
          <w:trHeight w:val="1331" w:hRule="atLeast"/>
        </w:trPr>
        <w:tc>
          <w:tcPr>
            <w:tcW w:w="1646" w:type="dxa"/>
            <w:shd w:val="clear" w:color="auto" w:fill="C9D9EB"/>
          </w:tcPr>
          <w:p>
            <w:pPr>
              <w:pStyle w:val="TableParagraph"/>
              <w:ind w:left="258" w:right="147" w:firstLine="0"/>
              <w:rPr>
                <w:i/>
                <w:sz w:val="20"/>
              </w:rPr>
            </w:pPr>
            <w:r>
              <w:rPr>
                <w:i/>
                <w:sz w:val="20"/>
              </w:rPr>
              <w:t>Caring for the </w:t>
            </w:r>
            <w:r>
              <w:rPr>
                <w:i/>
                <w:sz w:val="20"/>
              </w:rPr>
              <w:t>Caregivers</w:t>
            </w:r>
          </w:p>
        </w:tc>
        <w:tc>
          <w:tcPr>
            <w:tcW w:w="9134" w:type="dxa"/>
          </w:tcPr>
          <w:p>
            <w:pPr>
              <w:pStyle w:val="TableParagraph"/>
              <w:numPr>
                <w:ilvl w:val="0"/>
                <w:numId w:val="6"/>
              </w:numPr>
              <w:tabs>
                <w:tab w:pos="468" w:val="left" w:leader="none"/>
              </w:tabs>
              <w:spacing w:line="266" w:lineRule="exact" w:before="0" w:after="0"/>
              <w:ind w:left="468" w:right="0" w:hanging="360"/>
              <w:jc w:val="left"/>
              <w:rPr>
                <w:b/>
                <w:sz w:val="20"/>
              </w:rPr>
            </w:pPr>
            <w:r>
              <w:rPr>
                <w:b/>
                <w:sz w:val="20"/>
              </w:rPr>
              <w:t>Knowledge and/or</w:t>
            </w:r>
            <w:r>
              <w:rPr>
                <w:b/>
                <w:spacing w:val="-2"/>
                <w:sz w:val="20"/>
              </w:rPr>
              <w:t> </w:t>
            </w:r>
            <w:r>
              <w:rPr>
                <w:b/>
                <w:sz w:val="20"/>
              </w:rPr>
              <w:t>Skill</w:t>
            </w:r>
          </w:p>
          <w:p>
            <w:pPr>
              <w:pStyle w:val="TableParagraph"/>
              <w:numPr>
                <w:ilvl w:val="1"/>
                <w:numId w:val="6"/>
              </w:numPr>
              <w:tabs>
                <w:tab w:pos="827" w:val="left" w:leader="none"/>
                <w:tab w:pos="828" w:val="left" w:leader="none"/>
              </w:tabs>
              <w:spacing w:line="240" w:lineRule="auto" w:before="0" w:after="0"/>
              <w:ind w:left="827" w:right="0" w:hanging="361"/>
              <w:jc w:val="left"/>
              <w:rPr>
                <w:sz w:val="20"/>
              </w:rPr>
            </w:pPr>
            <w:r>
              <w:rPr>
                <w:sz w:val="20"/>
              </w:rPr>
              <w:t>Setting personal and professional</w:t>
            </w:r>
            <w:r>
              <w:rPr>
                <w:spacing w:val="-1"/>
                <w:sz w:val="20"/>
              </w:rPr>
              <w:t> </w:t>
            </w:r>
            <w:r>
              <w:rPr>
                <w:sz w:val="20"/>
              </w:rPr>
              <w:t>boundaries</w:t>
            </w:r>
          </w:p>
          <w:p>
            <w:pPr>
              <w:pStyle w:val="TableParagraph"/>
              <w:numPr>
                <w:ilvl w:val="1"/>
                <w:numId w:val="6"/>
              </w:numPr>
              <w:tabs>
                <w:tab w:pos="827" w:val="left" w:leader="none"/>
                <w:tab w:pos="828" w:val="left" w:leader="none"/>
              </w:tabs>
              <w:spacing w:line="240" w:lineRule="auto" w:before="0" w:after="0"/>
              <w:ind w:left="827" w:right="0" w:hanging="360"/>
              <w:jc w:val="left"/>
              <w:rPr>
                <w:sz w:val="20"/>
              </w:rPr>
            </w:pPr>
            <w:r>
              <w:rPr>
                <w:sz w:val="20"/>
              </w:rPr>
              <w:t>Recovering from traumatic</w:t>
            </w:r>
            <w:r>
              <w:rPr>
                <w:spacing w:val="2"/>
                <w:sz w:val="20"/>
              </w:rPr>
              <w:t> </w:t>
            </w:r>
            <w:r>
              <w:rPr>
                <w:sz w:val="20"/>
              </w:rPr>
              <w:t>events</w:t>
            </w:r>
          </w:p>
          <w:p>
            <w:pPr>
              <w:pStyle w:val="TableParagraph"/>
              <w:numPr>
                <w:ilvl w:val="1"/>
                <w:numId w:val="6"/>
              </w:numPr>
              <w:tabs>
                <w:tab w:pos="827" w:val="left" w:leader="none"/>
                <w:tab w:pos="828" w:val="left" w:leader="none"/>
              </w:tabs>
              <w:spacing w:line="240" w:lineRule="auto" w:before="1" w:after="0"/>
              <w:ind w:left="827" w:right="0" w:hanging="360"/>
              <w:jc w:val="left"/>
              <w:rPr>
                <w:sz w:val="20"/>
              </w:rPr>
            </w:pPr>
            <w:r>
              <w:rPr>
                <w:sz w:val="20"/>
              </w:rPr>
              <w:t>Debriefing after a</w:t>
            </w:r>
            <w:r>
              <w:rPr>
                <w:spacing w:val="1"/>
                <w:sz w:val="20"/>
              </w:rPr>
              <w:t> </w:t>
            </w:r>
            <w:r>
              <w:rPr>
                <w:sz w:val="20"/>
              </w:rPr>
              <w:t>crisis</w:t>
            </w:r>
          </w:p>
          <w:p>
            <w:pPr>
              <w:pStyle w:val="TableParagraph"/>
              <w:numPr>
                <w:ilvl w:val="1"/>
                <w:numId w:val="6"/>
              </w:numPr>
              <w:tabs>
                <w:tab w:pos="827" w:val="left" w:leader="none"/>
                <w:tab w:pos="828" w:val="left" w:leader="none"/>
              </w:tabs>
              <w:spacing w:line="246" w:lineRule="exact" w:before="0" w:after="0"/>
              <w:ind w:left="828" w:right="0" w:hanging="361"/>
              <w:jc w:val="left"/>
              <w:rPr>
                <w:sz w:val="20"/>
              </w:rPr>
            </w:pPr>
            <w:r>
              <w:rPr>
                <w:sz w:val="20"/>
              </w:rPr>
              <w:t>Recognizing and preventing</w:t>
            </w:r>
            <w:r>
              <w:rPr>
                <w:spacing w:val="2"/>
                <w:sz w:val="20"/>
              </w:rPr>
              <w:t> </w:t>
            </w:r>
            <w:r>
              <w:rPr>
                <w:sz w:val="20"/>
              </w:rPr>
              <w:t>burnout</w:t>
            </w:r>
          </w:p>
        </w:tc>
      </w:tr>
      <w:tr>
        <w:trPr>
          <w:trHeight w:val="532" w:hRule="atLeast"/>
        </w:trPr>
        <w:tc>
          <w:tcPr>
            <w:tcW w:w="1646" w:type="dxa"/>
            <w:shd w:val="clear" w:color="auto" w:fill="C9D9EB"/>
          </w:tcPr>
          <w:p>
            <w:pPr>
              <w:pStyle w:val="TableParagraph"/>
              <w:spacing w:line="266" w:lineRule="exact" w:before="3"/>
              <w:ind w:left="107" w:firstLine="0"/>
              <w:rPr>
                <w:b/>
                <w:sz w:val="20"/>
              </w:rPr>
            </w:pPr>
            <w:r>
              <w:rPr>
                <w:b/>
                <w:sz w:val="20"/>
              </w:rPr>
              <w:t>Regulatory </w:t>
            </w:r>
            <w:r>
              <w:rPr>
                <w:b/>
                <w:w w:val="95"/>
                <w:sz w:val="20"/>
              </w:rPr>
              <w:t>Considerations</w:t>
            </w:r>
          </w:p>
        </w:tc>
        <w:tc>
          <w:tcPr>
            <w:tcW w:w="9134" w:type="dxa"/>
          </w:tcPr>
          <w:p>
            <w:pPr>
              <w:pStyle w:val="TableParagraph"/>
              <w:spacing w:line="266" w:lineRule="exact"/>
              <w:ind w:left="108" w:firstLine="0"/>
              <w:rPr>
                <w:sz w:val="20"/>
              </w:rPr>
            </w:pPr>
            <w:r>
              <w:rPr>
                <w:sz w:val="20"/>
              </w:rPr>
              <w:t>Federal regulations on Patients’ Rights related to visitations, room searches, etc.</w:t>
            </w:r>
          </w:p>
          <w:p>
            <w:pPr>
              <w:pStyle w:val="TableParagraph"/>
              <w:spacing w:line="246" w:lineRule="exact"/>
              <w:ind w:left="108" w:firstLine="0"/>
              <w:rPr>
                <w:sz w:val="20"/>
              </w:rPr>
            </w:pPr>
            <w:r>
              <w:rPr>
                <w:sz w:val="20"/>
              </w:rPr>
              <w:t>150.003 Admissions, Transfers and Discharges</w:t>
            </w:r>
          </w:p>
        </w:tc>
      </w:tr>
    </w:tbl>
    <w:sectPr>
      <w:pgSz w:w="12240" w:h="15840"/>
      <w:pgMar w:header="576" w:footer="1038" w:top="1580" w:bottom="122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 w:name="Segoe UI">
    <w:altName w:val="Segoe U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385856">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386880">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387904">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6pt;height:14pt;mso-position-horizontal-relative:page;mso-position-vertical-relative:page;z-index:-251927552"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36</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1934720" filled="true" fillcolor="#1f487c" stroked="false">
          <v:fill type="solid"/>
          <w10:wrap type="none"/>
        </v:rect>
      </w:pict>
    </w:r>
    <w:r>
      <w:rPr/>
      <w:pict>
        <v:rect style="position:absolute;margin-left:397.080017pt;margin-top:28.800964pt;width:178.440008pt;height:50.399002pt;mso-position-horizontal-relative:page;mso-position-vertical-relative:page;z-index:-251933696"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1932672"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1931648"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68" w:hanging="360"/>
      </w:pPr>
      <w:rPr>
        <w:rFonts w:hint="default" w:ascii="Wingdings" w:hAnsi="Wingdings" w:eastAsia="Wingdings" w:cs="Wingdings"/>
        <w:w w:val="99"/>
        <w:sz w:val="20"/>
        <w:szCs w:val="20"/>
      </w:rPr>
    </w:lvl>
    <w:lvl w:ilvl="1">
      <w:start w:val="0"/>
      <w:numFmt w:val="bullet"/>
      <w:lvlText w:val=""/>
      <w:lvlJc w:val="left"/>
      <w:pPr>
        <w:ind w:left="827" w:hanging="360"/>
      </w:pPr>
      <w:rPr>
        <w:rFonts w:hint="default" w:ascii="Wingdings" w:hAnsi="Wingdings" w:eastAsia="Wingdings" w:cs="Wingdings"/>
        <w:w w:val="99"/>
        <w:sz w:val="20"/>
        <w:szCs w:val="20"/>
      </w:rPr>
    </w:lvl>
    <w:lvl w:ilvl="2">
      <w:start w:val="0"/>
      <w:numFmt w:val="bullet"/>
      <w:lvlText w:val="•"/>
      <w:lvlJc w:val="left"/>
      <w:pPr>
        <w:ind w:left="1741"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84" w:hanging="360"/>
      </w:pPr>
      <w:rPr>
        <w:rFonts w:hint="default"/>
      </w:rPr>
    </w:lvl>
    <w:lvl w:ilvl="5">
      <w:start w:val="0"/>
      <w:numFmt w:val="bullet"/>
      <w:lvlText w:val="•"/>
      <w:lvlJc w:val="left"/>
      <w:pPr>
        <w:ind w:left="4506" w:hanging="360"/>
      </w:pPr>
      <w:rPr>
        <w:rFonts w:hint="default"/>
      </w:rPr>
    </w:lvl>
    <w:lvl w:ilvl="6">
      <w:start w:val="0"/>
      <w:numFmt w:val="bullet"/>
      <w:lvlText w:val="•"/>
      <w:lvlJc w:val="left"/>
      <w:pPr>
        <w:ind w:left="5427" w:hanging="360"/>
      </w:pPr>
      <w:rPr>
        <w:rFonts w:hint="default"/>
      </w:rPr>
    </w:lvl>
    <w:lvl w:ilvl="7">
      <w:start w:val="0"/>
      <w:numFmt w:val="bullet"/>
      <w:lvlText w:val="•"/>
      <w:lvlJc w:val="left"/>
      <w:pPr>
        <w:ind w:left="6349" w:hanging="360"/>
      </w:pPr>
      <w:rPr>
        <w:rFonts w:hint="default"/>
      </w:rPr>
    </w:lvl>
    <w:lvl w:ilvl="8">
      <w:start w:val="0"/>
      <w:numFmt w:val="bullet"/>
      <w:lvlText w:val="•"/>
      <w:lvlJc w:val="left"/>
      <w:pPr>
        <w:ind w:left="7270" w:hanging="360"/>
      </w:pPr>
      <w:rPr>
        <w:rFonts w:hint="default"/>
      </w:rPr>
    </w:lvl>
  </w:abstractNum>
  <w:abstractNum w:abstractNumId="4">
    <w:multiLevelType w:val="hybridMultilevel"/>
    <w:lvl w:ilvl="0">
      <w:start w:val="0"/>
      <w:numFmt w:val="bullet"/>
      <w:lvlText w:val=""/>
      <w:lvlJc w:val="left"/>
      <w:pPr>
        <w:ind w:left="468" w:hanging="360"/>
      </w:pPr>
      <w:rPr>
        <w:rFonts w:hint="default" w:ascii="Wingdings" w:hAnsi="Wingdings" w:eastAsia="Wingdings" w:cs="Wingdings"/>
        <w:w w:val="99"/>
        <w:sz w:val="20"/>
        <w:szCs w:val="20"/>
      </w:rPr>
    </w:lvl>
    <w:lvl w:ilvl="1">
      <w:start w:val="0"/>
      <w:numFmt w:val="bullet"/>
      <w:lvlText w:val=""/>
      <w:lvlJc w:val="left"/>
      <w:pPr>
        <w:ind w:left="827" w:hanging="360"/>
      </w:pPr>
      <w:rPr>
        <w:rFonts w:hint="default" w:ascii="Wingdings" w:hAnsi="Wingdings" w:eastAsia="Wingdings" w:cs="Wingdings"/>
        <w:w w:val="99"/>
        <w:sz w:val="20"/>
        <w:szCs w:val="20"/>
      </w:rPr>
    </w:lvl>
    <w:lvl w:ilvl="2">
      <w:start w:val="0"/>
      <w:numFmt w:val="bullet"/>
      <w:lvlText w:val="•"/>
      <w:lvlJc w:val="left"/>
      <w:pPr>
        <w:ind w:left="1741"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84" w:hanging="360"/>
      </w:pPr>
      <w:rPr>
        <w:rFonts w:hint="default"/>
      </w:rPr>
    </w:lvl>
    <w:lvl w:ilvl="5">
      <w:start w:val="0"/>
      <w:numFmt w:val="bullet"/>
      <w:lvlText w:val="•"/>
      <w:lvlJc w:val="left"/>
      <w:pPr>
        <w:ind w:left="4506" w:hanging="360"/>
      </w:pPr>
      <w:rPr>
        <w:rFonts w:hint="default"/>
      </w:rPr>
    </w:lvl>
    <w:lvl w:ilvl="6">
      <w:start w:val="0"/>
      <w:numFmt w:val="bullet"/>
      <w:lvlText w:val="•"/>
      <w:lvlJc w:val="left"/>
      <w:pPr>
        <w:ind w:left="5427" w:hanging="360"/>
      </w:pPr>
      <w:rPr>
        <w:rFonts w:hint="default"/>
      </w:rPr>
    </w:lvl>
    <w:lvl w:ilvl="7">
      <w:start w:val="0"/>
      <w:numFmt w:val="bullet"/>
      <w:lvlText w:val="•"/>
      <w:lvlJc w:val="left"/>
      <w:pPr>
        <w:ind w:left="6349" w:hanging="360"/>
      </w:pPr>
      <w:rPr>
        <w:rFonts w:hint="default"/>
      </w:rPr>
    </w:lvl>
    <w:lvl w:ilvl="8">
      <w:start w:val="0"/>
      <w:numFmt w:val="bullet"/>
      <w:lvlText w:val="•"/>
      <w:lvlJc w:val="left"/>
      <w:pPr>
        <w:ind w:left="7270" w:hanging="360"/>
      </w:pPr>
      <w:rPr>
        <w:rFonts w:hint="default"/>
      </w:rPr>
    </w:lvl>
  </w:abstractNum>
  <w:abstractNum w:abstractNumId="3">
    <w:multiLevelType w:val="hybridMultilevel"/>
    <w:lvl w:ilvl="0">
      <w:start w:val="0"/>
      <w:numFmt w:val="bullet"/>
      <w:lvlText w:val=""/>
      <w:lvlJc w:val="left"/>
      <w:pPr>
        <w:ind w:left="468" w:hanging="360"/>
      </w:pPr>
      <w:rPr>
        <w:rFonts w:hint="default" w:ascii="Wingdings" w:hAnsi="Wingdings" w:eastAsia="Wingdings" w:cs="Wingdings"/>
        <w:w w:val="99"/>
        <w:sz w:val="20"/>
        <w:szCs w:val="20"/>
      </w:rPr>
    </w:lvl>
    <w:lvl w:ilvl="1">
      <w:start w:val="0"/>
      <w:numFmt w:val="bullet"/>
      <w:lvlText w:val=""/>
      <w:lvlJc w:val="left"/>
      <w:pPr>
        <w:ind w:left="828" w:hanging="360"/>
      </w:pPr>
      <w:rPr>
        <w:rFonts w:hint="default" w:ascii="Wingdings" w:hAnsi="Wingdings" w:eastAsia="Wingdings" w:cs="Wingdings"/>
        <w:w w:val="99"/>
        <w:sz w:val="20"/>
        <w:szCs w:val="20"/>
      </w:rPr>
    </w:lvl>
    <w:lvl w:ilvl="2">
      <w:start w:val="0"/>
      <w:numFmt w:val="bullet"/>
      <w:lvlText w:val="•"/>
      <w:lvlJc w:val="left"/>
      <w:pPr>
        <w:ind w:left="1741"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84" w:hanging="360"/>
      </w:pPr>
      <w:rPr>
        <w:rFonts w:hint="default"/>
      </w:rPr>
    </w:lvl>
    <w:lvl w:ilvl="5">
      <w:start w:val="0"/>
      <w:numFmt w:val="bullet"/>
      <w:lvlText w:val="•"/>
      <w:lvlJc w:val="left"/>
      <w:pPr>
        <w:ind w:left="4506" w:hanging="360"/>
      </w:pPr>
      <w:rPr>
        <w:rFonts w:hint="default"/>
      </w:rPr>
    </w:lvl>
    <w:lvl w:ilvl="6">
      <w:start w:val="0"/>
      <w:numFmt w:val="bullet"/>
      <w:lvlText w:val="•"/>
      <w:lvlJc w:val="left"/>
      <w:pPr>
        <w:ind w:left="5427" w:hanging="360"/>
      </w:pPr>
      <w:rPr>
        <w:rFonts w:hint="default"/>
      </w:rPr>
    </w:lvl>
    <w:lvl w:ilvl="7">
      <w:start w:val="0"/>
      <w:numFmt w:val="bullet"/>
      <w:lvlText w:val="•"/>
      <w:lvlJc w:val="left"/>
      <w:pPr>
        <w:ind w:left="6349" w:hanging="360"/>
      </w:pPr>
      <w:rPr>
        <w:rFonts w:hint="default"/>
      </w:rPr>
    </w:lvl>
    <w:lvl w:ilvl="8">
      <w:start w:val="0"/>
      <w:numFmt w:val="bullet"/>
      <w:lvlText w:val="•"/>
      <w:lvlJc w:val="left"/>
      <w:pPr>
        <w:ind w:left="7270" w:hanging="360"/>
      </w:pPr>
      <w:rPr>
        <w:rFonts w:hint="default"/>
      </w:rPr>
    </w:lvl>
  </w:abstractNum>
  <w:abstractNum w:abstractNumId="2">
    <w:multiLevelType w:val="hybridMultilevel"/>
    <w:lvl w:ilvl="0">
      <w:start w:val="0"/>
      <w:numFmt w:val="bullet"/>
      <w:lvlText w:val=""/>
      <w:lvlJc w:val="left"/>
      <w:pPr>
        <w:ind w:left="468" w:hanging="360"/>
      </w:pPr>
      <w:rPr>
        <w:rFonts w:hint="default" w:ascii="Wingdings" w:hAnsi="Wingdings" w:eastAsia="Wingdings" w:cs="Wingdings"/>
        <w:w w:val="99"/>
        <w:sz w:val="20"/>
        <w:szCs w:val="20"/>
      </w:rPr>
    </w:lvl>
    <w:lvl w:ilvl="1">
      <w:start w:val="0"/>
      <w:numFmt w:val="bullet"/>
      <w:lvlText w:val=""/>
      <w:lvlJc w:val="left"/>
      <w:pPr>
        <w:ind w:left="827" w:hanging="360"/>
      </w:pPr>
      <w:rPr>
        <w:rFonts w:hint="default" w:ascii="Wingdings" w:hAnsi="Wingdings" w:eastAsia="Wingdings" w:cs="Wingdings"/>
        <w:w w:val="99"/>
        <w:sz w:val="20"/>
        <w:szCs w:val="20"/>
      </w:rPr>
    </w:lvl>
    <w:lvl w:ilvl="2">
      <w:start w:val="0"/>
      <w:numFmt w:val="bullet"/>
      <w:lvlText w:val="•"/>
      <w:lvlJc w:val="left"/>
      <w:pPr>
        <w:ind w:left="1741"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84" w:hanging="360"/>
      </w:pPr>
      <w:rPr>
        <w:rFonts w:hint="default"/>
      </w:rPr>
    </w:lvl>
    <w:lvl w:ilvl="5">
      <w:start w:val="0"/>
      <w:numFmt w:val="bullet"/>
      <w:lvlText w:val="•"/>
      <w:lvlJc w:val="left"/>
      <w:pPr>
        <w:ind w:left="4506" w:hanging="360"/>
      </w:pPr>
      <w:rPr>
        <w:rFonts w:hint="default"/>
      </w:rPr>
    </w:lvl>
    <w:lvl w:ilvl="6">
      <w:start w:val="0"/>
      <w:numFmt w:val="bullet"/>
      <w:lvlText w:val="•"/>
      <w:lvlJc w:val="left"/>
      <w:pPr>
        <w:ind w:left="5427" w:hanging="360"/>
      </w:pPr>
      <w:rPr>
        <w:rFonts w:hint="default"/>
      </w:rPr>
    </w:lvl>
    <w:lvl w:ilvl="7">
      <w:start w:val="0"/>
      <w:numFmt w:val="bullet"/>
      <w:lvlText w:val="•"/>
      <w:lvlJc w:val="left"/>
      <w:pPr>
        <w:ind w:left="6349" w:hanging="360"/>
      </w:pPr>
      <w:rPr>
        <w:rFonts w:hint="default"/>
      </w:rPr>
    </w:lvl>
    <w:lvl w:ilvl="8">
      <w:start w:val="0"/>
      <w:numFmt w:val="bullet"/>
      <w:lvlText w:val="•"/>
      <w:lvlJc w:val="left"/>
      <w:pPr>
        <w:ind w:left="7270" w:hanging="360"/>
      </w:pPr>
      <w:rPr>
        <w:rFonts w:hint="default"/>
      </w:rPr>
    </w:lvl>
  </w:abstractNum>
  <w:abstractNum w:abstractNumId="1">
    <w:multiLevelType w:val="hybridMultilevel"/>
    <w:lvl w:ilvl="0">
      <w:start w:val="0"/>
      <w:numFmt w:val="bullet"/>
      <w:lvlText w:val=""/>
      <w:lvlJc w:val="left"/>
      <w:pPr>
        <w:ind w:left="468" w:hanging="360"/>
      </w:pPr>
      <w:rPr>
        <w:rFonts w:hint="default" w:ascii="Wingdings" w:hAnsi="Wingdings" w:eastAsia="Wingdings" w:cs="Wingdings"/>
        <w:w w:val="99"/>
        <w:sz w:val="20"/>
        <w:szCs w:val="20"/>
      </w:rPr>
    </w:lvl>
    <w:lvl w:ilvl="1">
      <w:start w:val="0"/>
      <w:numFmt w:val="bullet"/>
      <w:lvlText w:val=""/>
      <w:lvlJc w:val="left"/>
      <w:pPr>
        <w:ind w:left="827" w:hanging="360"/>
      </w:pPr>
      <w:rPr>
        <w:rFonts w:hint="default" w:ascii="Wingdings" w:hAnsi="Wingdings" w:eastAsia="Wingdings" w:cs="Wingdings"/>
        <w:w w:val="99"/>
        <w:sz w:val="20"/>
        <w:szCs w:val="20"/>
      </w:rPr>
    </w:lvl>
    <w:lvl w:ilvl="2">
      <w:start w:val="0"/>
      <w:numFmt w:val="bullet"/>
      <w:lvlText w:val="•"/>
      <w:lvlJc w:val="left"/>
      <w:pPr>
        <w:ind w:left="1741"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84" w:hanging="360"/>
      </w:pPr>
      <w:rPr>
        <w:rFonts w:hint="default"/>
      </w:rPr>
    </w:lvl>
    <w:lvl w:ilvl="5">
      <w:start w:val="0"/>
      <w:numFmt w:val="bullet"/>
      <w:lvlText w:val="•"/>
      <w:lvlJc w:val="left"/>
      <w:pPr>
        <w:ind w:left="4506" w:hanging="360"/>
      </w:pPr>
      <w:rPr>
        <w:rFonts w:hint="default"/>
      </w:rPr>
    </w:lvl>
    <w:lvl w:ilvl="6">
      <w:start w:val="0"/>
      <w:numFmt w:val="bullet"/>
      <w:lvlText w:val="•"/>
      <w:lvlJc w:val="left"/>
      <w:pPr>
        <w:ind w:left="5427" w:hanging="360"/>
      </w:pPr>
      <w:rPr>
        <w:rFonts w:hint="default"/>
      </w:rPr>
    </w:lvl>
    <w:lvl w:ilvl="7">
      <w:start w:val="0"/>
      <w:numFmt w:val="bullet"/>
      <w:lvlText w:val="•"/>
      <w:lvlJc w:val="left"/>
      <w:pPr>
        <w:ind w:left="6349" w:hanging="360"/>
      </w:pPr>
      <w:rPr>
        <w:rFonts w:hint="default"/>
      </w:rPr>
    </w:lvl>
    <w:lvl w:ilvl="8">
      <w:start w:val="0"/>
      <w:numFmt w:val="bullet"/>
      <w:lvlText w:val="•"/>
      <w:lvlJc w:val="left"/>
      <w:pPr>
        <w:ind w:left="7270" w:hanging="360"/>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o"/>
      <w:lvlJc w:val="left"/>
      <w:pPr>
        <w:ind w:left="1560" w:hanging="361"/>
      </w:pPr>
      <w:rPr>
        <w:rFonts w:hint="default" w:ascii="Courier New" w:hAnsi="Courier New" w:eastAsia="Courier New" w:cs="Courier New"/>
        <w:w w:val="100"/>
        <w:sz w:val="22"/>
        <w:szCs w:val="22"/>
      </w:rPr>
    </w:lvl>
    <w:lvl w:ilvl="2">
      <w:start w:val="0"/>
      <w:numFmt w:val="bullet"/>
      <w:lvlText w:val="•"/>
      <w:lvlJc w:val="left"/>
      <w:pPr>
        <w:ind w:left="2622" w:hanging="361"/>
      </w:pPr>
      <w:rPr>
        <w:rFonts w:hint="default"/>
      </w:rPr>
    </w:lvl>
    <w:lvl w:ilvl="3">
      <w:start w:val="0"/>
      <w:numFmt w:val="bullet"/>
      <w:lvlText w:val="•"/>
      <w:lvlJc w:val="left"/>
      <w:pPr>
        <w:ind w:left="3684" w:hanging="361"/>
      </w:pPr>
      <w:rPr>
        <w:rFonts w:hint="default"/>
      </w:rPr>
    </w:lvl>
    <w:lvl w:ilvl="4">
      <w:start w:val="0"/>
      <w:numFmt w:val="bullet"/>
      <w:lvlText w:val="•"/>
      <w:lvlJc w:val="left"/>
      <w:pPr>
        <w:ind w:left="4746" w:hanging="361"/>
      </w:pPr>
      <w:rPr>
        <w:rFonts w:hint="default"/>
      </w:rPr>
    </w:lvl>
    <w:lvl w:ilvl="5">
      <w:start w:val="0"/>
      <w:numFmt w:val="bullet"/>
      <w:lvlText w:val="•"/>
      <w:lvlJc w:val="left"/>
      <w:pPr>
        <w:ind w:left="5808" w:hanging="361"/>
      </w:pPr>
      <w:rPr>
        <w:rFonts w:hint="default"/>
      </w:rPr>
    </w:lvl>
    <w:lvl w:ilvl="6">
      <w:start w:val="0"/>
      <w:numFmt w:val="bullet"/>
      <w:lvlText w:val="•"/>
      <w:lvlJc w:val="left"/>
      <w:pPr>
        <w:ind w:left="6871" w:hanging="361"/>
      </w:pPr>
      <w:rPr>
        <w:rFonts w:hint="default"/>
      </w:rPr>
    </w:lvl>
    <w:lvl w:ilvl="7">
      <w:start w:val="0"/>
      <w:numFmt w:val="bullet"/>
      <w:lvlText w:val="•"/>
      <w:lvlJc w:val="left"/>
      <w:pPr>
        <w:ind w:left="7933" w:hanging="361"/>
      </w:pPr>
      <w:rPr>
        <w:rFonts w:hint="default"/>
      </w:rPr>
    </w:lvl>
    <w:lvl w:ilvl="8">
      <w:start w:val="0"/>
      <w:numFmt w:val="bullet"/>
      <w:lvlText w:val="•"/>
      <w:lvlJc w:val="left"/>
      <w:pPr>
        <w:ind w:left="8995" w:hanging="3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840" w:hanging="361"/>
    </w:pPr>
    <w:rPr>
      <w:rFonts w:ascii="Segoe UI" w:hAnsi="Segoe UI" w:eastAsia="Segoe UI" w:cs="Segoe UI"/>
      <w:sz w:val="22"/>
      <w:szCs w:val="22"/>
    </w:rPr>
  </w:style>
  <w:style w:styleId="Heading1" w:type="paragraph">
    <w:name w:val="Heading 1"/>
    <w:basedOn w:val="Normal"/>
    <w:uiPriority w:val="1"/>
    <w:qFormat/>
    <w:pPr>
      <w:spacing w:before="20"/>
      <w:ind w:left="20"/>
      <w:outlineLvl w:val="1"/>
    </w:pPr>
    <w:rPr>
      <w:rFonts w:ascii="Segoe UI" w:hAnsi="Segoe UI" w:eastAsia="Segoe UI" w:cs="Segoe UI"/>
      <w:b/>
      <w:bCs/>
      <w:sz w:val="30"/>
      <w:szCs w:val="30"/>
    </w:rPr>
  </w:style>
  <w:style w:styleId="Heading2" w:type="paragraph">
    <w:name w:val="Heading 2"/>
    <w:basedOn w:val="Normal"/>
    <w:uiPriority w:val="1"/>
    <w:qFormat/>
    <w:pPr>
      <w:spacing w:before="161"/>
      <w:ind w:left="120"/>
      <w:outlineLvl w:val="2"/>
    </w:pPr>
    <w:rPr>
      <w:rFonts w:ascii="Segoe UI" w:hAnsi="Segoe UI" w:eastAsia="Segoe UI" w:cs="Segoe UI"/>
      <w:b/>
      <w:bCs/>
      <w:sz w:val="26"/>
      <w:szCs w:val="26"/>
    </w:rPr>
  </w:style>
  <w:style w:styleId="Heading3" w:type="paragraph">
    <w:name w:val="Heading 3"/>
    <w:basedOn w:val="Normal"/>
    <w:uiPriority w:val="1"/>
    <w:qFormat/>
    <w:pPr>
      <w:spacing w:before="79"/>
      <w:ind w:left="120"/>
      <w:outlineLvl w:val="3"/>
    </w:pPr>
    <w:rPr>
      <w:rFonts w:ascii="Segoe UI" w:hAnsi="Segoe UI" w:eastAsia="Segoe UI" w:cs="Segoe UI"/>
      <w:b/>
      <w:bCs/>
      <w:sz w:val="24"/>
      <w:szCs w:val="24"/>
    </w:rPr>
  </w:style>
  <w:style w:styleId="Heading4" w:type="paragraph">
    <w:name w:val="Heading 4"/>
    <w:basedOn w:val="Normal"/>
    <w:uiPriority w:val="1"/>
    <w:qFormat/>
    <w:pPr>
      <w:spacing w:before="116"/>
      <w:ind w:left="120"/>
      <w:outlineLvl w:val="4"/>
    </w:pPr>
    <w:rPr>
      <w:rFonts w:ascii="Segoe UI" w:hAnsi="Segoe UI" w:eastAsia="Segoe UI" w:cs="Segoe UI"/>
      <w:b/>
      <w:bCs/>
      <w:i/>
      <w:sz w:val="22"/>
      <w:szCs w:val="22"/>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ind w:left="827" w:hanging="361"/>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implicit.harvard.edu/implicit/takeatest.html" TargetMode="External"/><Relationship Id="rId8" Type="http://schemas.openxmlformats.org/officeDocument/2006/relationships/hyperlink" Target="https://nccc.georgetown.edu/bias/module-4/2.php" TargetMode="External"/><Relationship Id="rId9" Type="http://schemas.openxmlformats.org/officeDocument/2006/relationships/hyperlink" Target="http://cssrs.columbia.edu/" TargetMode="External"/><Relationship Id="rId10" Type="http://schemas.openxmlformats.org/officeDocument/2006/relationships/hyperlink" Target="https://www.mass.gov/files/documents/2016/07/vp/care-principles-guidance-older-adults.pdf" TargetMode="External"/><Relationship Id="rId11" Type="http://schemas.openxmlformats.org/officeDocument/2006/relationships/hyperlink" Target="https://www.mass.gov/files/documents/2016/07/op/practice-guidance-engaging-young-adults-and-their-families.docx" TargetMode="External"/><Relationship Id="rId12" Type="http://schemas.openxmlformats.org/officeDocument/2006/relationships/hyperlink" Target="https://store.samhsa.gov/sites/default/files/d7/priv/five-essential-steps-for-first-responders.pdf" TargetMode="External"/><Relationship Id="rId13" Type="http://schemas.openxmlformats.org/officeDocument/2006/relationships/hyperlink" Target="https://www.mass.gov/circular-letter/circular-letter-dhcq-16-11-662-admission-of-residents-on-medication-assisted" TargetMode="External"/><Relationship Id="rId14" Type="http://schemas.openxmlformats.org/officeDocument/2006/relationships/hyperlink" Target="https://www.rehabs.com/pro-talk-articles/check-your-blind-spot-understanding-implicit-bias/" TargetMode="External"/><Relationship Id="rId15" Type="http://schemas.openxmlformats.org/officeDocument/2006/relationships/hyperlink" Target="https://www.recoverymonth.gov/sites/default/files/roadtorecovery/r2r2018-july-discussion-guide-508.pdf"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2021-10-21T15:24:49Z</dcterms:created>
  <dcterms:modified xsi:type="dcterms:W3CDTF">2021-10-21T15:24:49Z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