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2601" w14:textId="77777777" w:rsidR="00F119D2" w:rsidRPr="0092004C" w:rsidRDefault="00F119D2" w:rsidP="00F119D2">
      <w:pPr>
        <w:pStyle w:val="Heading1"/>
        <w:rPr>
          <w:i/>
        </w:rPr>
      </w:pPr>
      <w:bookmarkStart w:id="0" w:name="_Toc120034111"/>
      <w:r w:rsidRPr="0092004C">
        <w:t>Recomendación 4: Competencias demostradas</w:t>
      </w:r>
      <w:bookmarkEnd w:id="0"/>
      <w:r w:rsidRPr="0092004C">
        <w:t xml:space="preserve"> </w:t>
      </w:r>
    </w:p>
    <w:p w14:paraId="3865CC8E" w14:textId="77777777" w:rsidR="00F119D2" w:rsidRPr="0092004C" w:rsidRDefault="00F119D2" w:rsidP="00F119D2">
      <w:pPr>
        <w:pStyle w:val="Heading2"/>
      </w:pPr>
      <w:bookmarkStart w:id="1" w:name="_Toc120034112"/>
      <w:r w:rsidRPr="0092004C">
        <w:t>Descripción</w:t>
      </w:r>
      <w:bookmarkEnd w:id="1"/>
    </w:p>
    <w:p w14:paraId="34653569" w14:textId="77777777" w:rsidR="00F119D2" w:rsidRPr="0092004C" w:rsidRDefault="00F119D2" w:rsidP="00F119D2">
      <w:pPr>
        <w:pStyle w:val="MDPHParagraph"/>
        <w:spacing w:before="60"/>
        <w:rPr>
          <w:color w:val="000000"/>
          <w:shd w:val="clear" w:color="auto" w:fill="FFFFFF"/>
        </w:rPr>
      </w:pPr>
      <w:r w:rsidRPr="0092004C">
        <w:t xml:space="preserve">Una competencia es </w:t>
      </w:r>
      <w:r w:rsidRPr="0092004C">
        <w:rPr>
          <w:shd w:val="clear" w:color="auto" w:fill="FFFFFF"/>
        </w:rPr>
        <w:t>la habilidad de aplicar conocimiento, herramientas o aptitudes (KSA) de forma eficiente o exitosa para desempeñar funciones de trabajo esenciales. Necesitamos practicar una</w:t>
      </w:r>
      <w:r w:rsidRPr="0092004C">
        <w:rPr>
          <w:color w:val="000000"/>
          <w:shd w:val="clear" w:color="auto" w:fill="FFFFFF"/>
        </w:rPr>
        <w:t xml:space="preserve"> competencia para utilizarla efectivamente en varias situaciones y momentos apropiados. Cuando trabajamos con residentes con OUD y </w:t>
      </w:r>
      <w:proofErr w:type="spellStart"/>
      <w:r w:rsidRPr="0092004C">
        <w:rPr>
          <w:color w:val="000000"/>
          <w:shd w:val="clear" w:color="auto" w:fill="FFFFFF"/>
        </w:rPr>
        <w:t>StUD</w:t>
      </w:r>
      <w:proofErr w:type="spellEnd"/>
      <w:r w:rsidRPr="0092004C">
        <w:rPr>
          <w:color w:val="000000"/>
          <w:shd w:val="clear" w:color="auto" w:fill="FFFFFF"/>
        </w:rPr>
        <w:t xml:space="preserve">, existen cuatro KSA que su personal debe poseer para atender a los residentes de forma segura. </w:t>
      </w:r>
    </w:p>
    <w:p w14:paraId="29BEBE1C" w14:textId="77777777" w:rsidR="00F119D2" w:rsidRPr="0092004C" w:rsidRDefault="00F119D2" w:rsidP="00F119D2">
      <w:pPr>
        <w:pStyle w:val="MDPHParagraph"/>
        <w:spacing w:before="60"/>
        <w:rPr>
          <w:color w:val="000000"/>
          <w:shd w:val="clear" w:color="auto" w:fill="FFFFFF"/>
        </w:rPr>
      </w:pPr>
      <w:r w:rsidRPr="0092004C">
        <w:t xml:space="preserve">Este conjunto de herramientas se basa en una serie de competencias esenciales en tratamiento, OUD y </w:t>
      </w:r>
      <w:proofErr w:type="spellStart"/>
      <w:r w:rsidRPr="0092004C">
        <w:t>StUD</w:t>
      </w:r>
      <w:proofErr w:type="spellEnd"/>
      <w:r w:rsidRPr="0092004C">
        <w:t>. Como resultado, muchos de los conceptos que se presentaron en la Recomendación 4 también aparecen en todo el conjunto de herramientas. La Recomendación 4 está diseñada para consolidar la lista de competencias esenciales bajo una recomendación.</w:t>
      </w:r>
    </w:p>
    <w:p w14:paraId="158FFE28" w14:textId="77777777" w:rsidR="00F119D2" w:rsidRPr="0092004C" w:rsidRDefault="00F119D2" w:rsidP="00F119D2">
      <w:pPr>
        <w:pStyle w:val="Heading2"/>
      </w:pPr>
      <w:bookmarkStart w:id="2" w:name="_Toc120034113"/>
      <w:r w:rsidRPr="0092004C">
        <w:t>Metas</w:t>
      </w:r>
      <w:bookmarkEnd w:id="2"/>
    </w:p>
    <w:p w14:paraId="50161108" w14:textId="77777777" w:rsidR="00F119D2" w:rsidRPr="0092004C" w:rsidRDefault="00F119D2" w:rsidP="00F119D2">
      <w:pPr>
        <w:pStyle w:val="MDPHParagraph"/>
        <w:spacing w:before="60"/>
      </w:pPr>
      <w:r w:rsidRPr="0092004C">
        <w:t xml:space="preserve">La meta de esta sección es ayudar al personal de los centros de atención a largo plazo (LTCF) a identificar las competencias esenciales que deben demostrar y a entender a cuidar mejor a los residentes con OUD y </w:t>
      </w:r>
      <w:proofErr w:type="spellStart"/>
      <w:r w:rsidRPr="0092004C">
        <w:t>StUD</w:t>
      </w:r>
      <w:proofErr w:type="spellEnd"/>
      <w:r w:rsidRPr="0092004C">
        <w:t xml:space="preserve">. </w:t>
      </w:r>
    </w:p>
    <w:p w14:paraId="79984B33" w14:textId="77777777" w:rsidR="00F119D2" w:rsidRPr="0092004C" w:rsidRDefault="00F119D2" w:rsidP="00F119D2">
      <w:pPr>
        <w:pStyle w:val="Heading2"/>
      </w:pPr>
      <w:bookmarkStart w:id="3" w:name="_Toc120034114"/>
      <w:r w:rsidRPr="0092004C">
        <w:t>Objetivos</w:t>
      </w:r>
      <w:bookmarkEnd w:id="3"/>
    </w:p>
    <w:p w14:paraId="6289E7ED" w14:textId="77777777" w:rsidR="00F119D2" w:rsidRPr="0092004C" w:rsidRDefault="00F119D2" w:rsidP="00F119D2">
      <w:pPr>
        <w:pStyle w:val="MDPHParagraph"/>
        <w:spacing w:before="60" w:after="60"/>
      </w:pPr>
      <w:r w:rsidRPr="0092004C">
        <w:t xml:space="preserve">Al final de esta sección los participantes podrán: </w:t>
      </w:r>
    </w:p>
    <w:p w14:paraId="5F934770" w14:textId="77777777" w:rsidR="00F119D2" w:rsidRPr="0092004C" w:rsidRDefault="00F119D2" w:rsidP="00F119D2">
      <w:pPr>
        <w:pStyle w:val="MDPHBullet"/>
      </w:pPr>
      <w:r w:rsidRPr="0092004C">
        <w:t xml:space="preserve">Aprender a ayudar de forma efectiva a las personas con OUD y </w:t>
      </w:r>
      <w:proofErr w:type="spellStart"/>
      <w:r w:rsidRPr="0092004C">
        <w:t>StUD</w:t>
      </w:r>
      <w:proofErr w:type="spellEnd"/>
      <w:r w:rsidRPr="0092004C">
        <w:t xml:space="preserve"> que residen en los centros de atención a largo plazo. </w:t>
      </w:r>
    </w:p>
    <w:p w14:paraId="30287372" w14:textId="77777777" w:rsidR="00F119D2" w:rsidRPr="0092004C" w:rsidRDefault="00F119D2" w:rsidP="00F119D2">
      <w:pPr>
        <w:pStyle w:val="MDPHBullet"/>
      </w:pPr>
      <w:r w:rsidRPr="0092004C">
        <w:t xml:space="preserve">Entender las consideraciones especiales en todo el espectro de edades para con los residentes de los LTCF que sufren de OUD y </w:t>
      </w:r>
      <w:proofErr w:type="spellStart"/>
      <w:r w:rsidRPr="0092004C">
        <w:t>StUD</w:t>
      </w:r>
      <w:proofErr w:type="spellEnd"/>
      <w:r w:rsidRPr="0092004C">
        <w:t>.</w:t>
      </w:r>
    </w:p>
    <w:p w14:paraId="1AE1BB80" w14:textId="77777777" w:rsidR="00F119D2" w:rsidRPr="0092004C" w:rsidRDefault="00F119D2" w:rsidP="00F119D2">
      <w:pPr>
        <w:pStyle w:val="Heading2"/>
      </w:pPr>
      <w:bookmarkStart w:id="4" w:name="_Toc120034115"/>
      <w:r w:rsidRPr="0092004C">
        <w:t>Políticas</w:t>
      </w:r>
      <w:bookmarkEnd w:id="4"/>
    </w:p>
    <w:p w14:paraId="60E2E43B" w14:textId="77777777" w:rsidR="00F119D2" w:rsidRPr="0092004C" w:rsidRDefault="00F119D2" w:rsidP="00F119D2">
      <w:pPr>
        <w:pStyle w:val="ListParagraph"/>
        <w:numPr>
          <w:ilvl w:val="0"/>
          <w:numId w:val="2"/>
        </w:numPr>
        <w:rPr>
          <w:rFonts w:ascii="Segoe UI" w:hAnsi="Segoe UI" w:cs="Segoe UI"/>
        </w:rPr>
      </w:pPr>
      <w:r w:rsidRPr="0092004C">
        <w:rPr>
          <w:rFonts w:ascii="Segoe UI" w:hAnsi="Segoe UI"/>
        </w:rPr>
        <w:t>Incorpore las siguientes competencias en las políticas de capacitación del personal.</w:t>
      </w:r>
    </w:p>
    <w:p w14:paraId="7B5A9741" w14:textId="77777777" w:rsidR="00F119D2" w:rsidRPr="0092004C" w:rsidRDefault="00F119D2" w:rsidP="00F119D2">
      <w:pPr>
        <w:pStyle w:val="MDPHBullet"/>
        <w:numPr>
          <w:ilvl w:val="1"/>
          <w:numId w:val="1"/>
        </w:numPr>
      </w:pPr>
      <w:r w:rsidRPr="0092004C">
        <w:t xml:space="preserve">Comprender OUD y </w:t>
      </w:r>
      <w:proofErr w:type="spellStart"/>
      <w:r w:rsidRPr="0092004C">
        <w:t>StUD</w:t>
      </w:r>
      <w:proofErr w:type="spellEnd"/>
    </w:p>
    <w:p w14:paraId="5D698110" w14:textId="77777777" w:rsidR="00F119D2" w:rsidRPr="0092004C" w:rsidRDefault="00F119D2" w:rsidP="00F119D2">
      <w:pPr>
        <w:pStyle w:val="MDPHBullet"/>
        <w:numPr>
          <w:ilvl w:val="1"/>
          <w:numId w:val="1"/>
        </w:numPr>
      </w:pPr>
      <w:r w:rsidRPr="0092004C">
        <w:t xml:space="preserve">Cómo atender a las personas con OUD y </w:t>
      </w:r>
      <w:proofErr w:type="spellStart"/>
      <w:r w:rsidRPr="0092004C">
        <w:t>StUD</w:t>
      </w:r>
      <w:proofErr w:type="spellEnd"/>
    </w:p>
    <w:p w14:paraId="338924BF" w14:textId="77777777" w:rsidR="00F119D2" w:rsidRPr="0092004C" w:rsidRDefault="00F119D2" w:rsidP="00F119D2">
      <w:pPr>
        <w:pStyle w:val="MDPHBullet"/>
        <w:numPr>
          <w:ilvl w:val="1"/>
          <w:numId w:val="1"/>
        </w:numPr>
      </w:pPr>
      <w:r w:rsidRPr="0092004C">
        <w:t>Prevención de sobredosis por consumo de estimulantes y opioides</w:t>
      </w:r>
    </w:p>
    <w:p w14:paraId="2F537660" w14:textId="77777777" w:rsidR="00F119D2" w:rsidRPr="0092004C" w:rsidRDefault="00F119D2" w:rsidP="00F119D2">
      <w:pPr>
        <w:pStyle w:val="MDPHBullet"/>
        <w:numPr>
          <w:ilvl w:val="1"/>
          <w:numId w:val="1"/>
        </w:numPr>
      </w:pPr>
      <w:r w:rsidRPr="0092004C">
        <w:t>Qué hacer en caso de sobredosis</w:t>
      </w:r>
    </w:p>
    <w:p w14:paraId="2FF10330" w14:textId="77777777" w:rsidR="00F119D2" w:rsidRPr="0092004C" w:rsidRDefault="00F119D2" w:rsidP="00F119D2">
      <w:pPr>
        <w:pStyle w:val="Heading2"/>
      </w:pPr>
      <w:bookmarkStart w:id="5" w:name="_Toc120034116"/>
      <w:r w:rsidRPr="0092004C">
        <w:t>Proceso</w:t>
      </w:r>
      <w:bookmarkEnd w:id="5"/>
    </w:p>
    <w:p w14:paraId="4C1418C3" w14:textId="77777777" w:rsidR="00F119D2" w:rsidRPr="0092004C" w:rsidRDefault="00F119D2" w:rsidP="00F119D2">
      <w:pPr>
        <w:pStyle w:val="Heading3"/>
        <w:spacing w:before="60"/>
      </w:pPr>
      <w:bookmarkStart w:id="6" w:name="_Toc120034117"/>
      <w:r w:rsidRPr="0092004C">
        <w:t>Conocimiento de los trastornos por consumo de opioides y estimulantes</w:t>
      </w:r>
      <w:bookmarkEnd w:id="6"/>
    </w:p>
    <w:p w14:paraId="3A06BFE4" w14:textId="77777777" w:rsidR="00F119D2" w:rsidRPr="00B77ADC" w:rsidRDefault="00F119D2" w:rsidP="00F119D2">
      <w:pPr>
        <w:pStyle w:val="MDPHParagraph"/>
        <w:spacing w:before="60" w:after="60"/>
      </w:pPr>
      <w:r w:rsidRPr="00B77ADC">
        <w:t xml:space="preserve">Los profesionales clínicos y el personal de los centros de </w:t>
      </w:r>
      <w:proofErr w:type="spellStart"/>
      <w:r w:rsidRPr="00B77ADC">
        <w:t>atenció</w:t>
      </w:r>
      <w:proofErr w:type="spellEnd"/>
      <w:r w:rsidRPr="00B77ADC">
        <w:t xml:space="preserve"> a largo plazo (LTCF) deben desarrollar </w:t>
      </w:r>
      <w:r w:rsidRPr="00B77ADC">
        <w:rPr>
          <w:shd w:val="clear" w:color="auto" w:fill="FFFFFF"/>
        </w:rPr>
        <w:t xml:space="preserve">conocimiento, habilidades y aptitudes </w:t>
      </w:r>
      <w:r w:rsidRPr="00B77ADC">
        <w:t>sobre el trastorno por consumo de opioides (OUD) y el trastorno por consumo de estimulantes (</w:t>
      </w:r>
      <w:proofErr w:type="spellStart"/>
      <w:r w:rsidRPr="00B77ADC">
        <w:t>StUD</w:t>
      </w:r>
      <w:proofErr w:type="spellEnd"/>
      <w:r w:rsidRPr="00B77ADC">
        <w:t>) para atender efectivamente a las personas con esta condición médica, que presenta recaídas.</w:t>
      </w:r>
    </w:p>
    <w:p w14:paraId="2FFC5982" w14:textId="77777777" w:rsidR="00F119D2" w:rsidRPr="0092004C" w:rsidRDefault="00F119D2" w:rsidP="00F119D2">
      <w:pPr>
        <w:pStyle w:val="Heading4"/>
        <w:rPr>
          <w:rFonts w:cs="Segoe UI"/>
        </w:rPr>
      </w:pPr>
      <w:r w:rsidRPr="0092004C">
        <w:t>Las directrices técnicas y legales para la atención y cuidado de las personas con trastornos por consumo de opioides y estimulantes</w:t>
      </w:r>
      <w:r w:rsidRPr="0092004C">
        <w:rPr>
          <w:rStyle w:val="EndnoteReference"/>
          <w:b w:val="0"/>
        </w:rPr>
        <w:endnoteReference w:id="1"/>
      </w:r>
      <w:r w:rsidRPr="0092004C">
        <w:rPr>
          <w:vertAlign w:val="superscript"/>
        </w:rPr>
        <w:t>,</w:t>
      </w:r>
      <w:r w:rsidRPr="0092004C">
        <w:rPr>
          <w:rStyle w:val="EndnoteReference"/>
          <w:b w:val="0"/>
        </w:rPr>
        <w:endnoteReference w:id="2"/>
      </w:r>
      <w:r w:rsidRPr="0092004C">
        <w:rPr>
          <w:rStyle w:val="EndnoteReference"/>
          <w:b w:val="0"/>
        </w:rPr>
        <w:endnoteReference w:id="3"/>
      </w:r>
      <w:r>
        <w:rPr>
          <w:vertAlign w:val="superscript"/>
        </w:rPr>
        <w:t xml:space="preserve"> </w:t>
      </w:r>
    </w:p>
    <w:p w14:paraId="7F02953B" w14:textId="77777777" w:rsidR="00F119D2" w:rsidRPr="0092004C" w:rsidRDefault="00F119D2" w:rsidP="00F119D2">
      <w:pPr>
        <w:pStyle w:val="MDPHBullet"/>
        <w:numPr>
          <w:ilvl w:val="0"/>
          <w:numId w:val="0"/>
        </w:numPr>
      </w:pPr>
      <w:r w:rsidRPr="0092004C">
        <w:rPr>
          <w:b/>
        </w:rPr>
        <w:t>Entendimiento del Título 42 del Código de Regulaciones Federales (CFR, por sus siglas en inglés):</w:t>
      </w:r>
      <w:r w:rsidRPr="0092004C">
        <w:rPr>
          <w:rStyle w:val="EndnoteReference"/>
          <w:b/>
        </w:rPr>
        <w:endnoteReference w:id="4"/>
      </w:r>
      <w:r w:rsidRPr="0092004C">
        <w:t xml:space="preserve"> la Regulación federal de confidencialidad sobre alcohol y drogas [Federal </w:t>
      </w:r>
      <w:proofErr w:type="spellStart"/>
      <w:r w:rsidRPr="0092004C">
        <w:t>Drug</w:t>
      </w:r>
      <w:proofErr w:type="spellEnd"/>
      <w:r w:rsidRPr="0092004C">
        <w:t xml:space="preserve"> and Alcohol </w:t>
      </w:r>
      <w:proofErr w:type="spellStart"/>
      <w:r w:rsidRPr="0092004C">
        <w:t>Confidentiality</w:t>
      </w:r>
      <w:proofErr w:type="spellEnd"/>
      <w:r w:rsidRPr="0092004C">
        <w:t xml:space="preserve">] (parte </w:t>
      </w:r>
      <w:r w:rsidRPr="0092004C">
        <w:lastRenderedPageBreak/>
        <w:t>2 del Título 42 del CFR) protege la confidencialidad sobre el consumo de alcohol y SUD de los residentes. Esta ley protege las identidades, diagnósticos, pronósticos y planes de tratamiento escritos en documentos de expedientes que se guardan en relación con los programas o actividades federales asistidos sobre educación, prevención, capacitación, tratamiento, rehabilitación, o investigación sobre el abuso de sustancias. Esto asegura que a los pacientes que reciben tratamiento de SUD no se les deje en situaciones más vulnerables en comparación con los pacientes con SUD que no buscan tratamiento.</w:t>
      </w:r>
    </w:p>
    <w:p w14:paraId="212403CD" w14:textId="77777777" w:rsidR="00F119D2" w:rsidRPr="0092004C" w:rsidRDefault="00F119D2" w:rsidP="00F119D2">
      <w:pPr>
        <w:pStyle w:val="MDPHBullet"/>
        <w:numPr>
          <w:ilvl w:val="0"/>
          <w:numId w:val="1"/>
        </w:numPr>
      </w:pPr>
      <w:r w:rsidRPr="0092004C">
        <w:t>Esto aplica a los programas asistidos a nivel federal para tratar el abuso de drogas y alcohol. Obtenga el consentimiento del paciente antes de compartir información de un programa regulado bajo la parte 2 del Título 42 del CFR. Después de la revelación de la información, no revele más información sin el consentimiento expreso del paciente o a menos que se le permita de otra forma.</w:t>
      </w:r>
    </w:p>
    <w:p w14:paraId="7DB2A39D" w14:textId="77777777" w:rsidR="00F119D2" w:rsidRPr="0092004C" w:rsidRDefault="00F119D2" w:rsidP="00F119D2">
      <w:pPr>
        <w:pStyle w:val="MDPHBullet"/>
        <w:numPr>
          <w:ilvl w:val="0"/>
          <w:numId w:val="1"/>
        </w:numPr>
      </w:pPr>
      <w:r w:rsidRPr="0092004C">
        <w:t xml:space="preserve">Excepciones limitadas para la revelación de información sin consentimiento: </w:t>
      </w:r>
    </w:p>
    <w:p w14:paraId="493BBD90" w14:textId="77777777" w:rsidR="00F119D2" w:rsidRPr="0092004C" w:rsidRDefault="00F119D2" w:rsidP="00F119D2">
      <w:pPr>
        <w:pStyle w:val="MDPHBullet"/>
        <w:numPr>
          <w:ilvl w:val="1"/>
          <w:numId w:val="1"/>
        </w:numPr>
      </w:pPr>
      <w:r w:rsidRPr="0092004C">
        <w:t xml:space="preserve">Emergencias médicas </w:t>
      </w:r>
    </w:p>
    <w:p w14:paraId="13E41D26" w14:textId="77777777" w:rsidR="00F119D2" w:rsidRPr="0092004C" w:rsidRDefault="00F119D2" w:rsidP="00F119D2">
      <w:pPr>
        <w:pStyle w:val="MDPHBullet"/>
        <w:numPr>
          <w:ilvl w:val="1"/>
          <w:numId w:val="1"/>
        </w:numPr>
      </w:pPr>
      <w:r w:rsidRPr="0092004C">
        <w:t xml:space="preserve">Investigación científica </w:t>
      </w:r>
    </w:p>
    <w:p w14:paraId="313EFA7F" w14:textId="77777777" w:rsidR="00F119D2" w:rsidRPr="0092004C" w:rsidRDefault="00F119D2" w:rsidP="00F119D2">
      <w:pPr>
        <w:pStyle w:val="MDPHBullet"/>
        <w:numPr>
          <w:ilvl w:val="1"/>
          <w:numId w:val="1"/>
        </w:numPr>
      </w:pPr>
      <w:r w:rsidRPr="0092004C">
        <w:t xml:space="preserve">Auditorías y evaluaciones </w:t>
      </w:r>
    </w:p>
    <w:p w14:paraId="581C9CBF" w14:textId="77777777" w:rsidR="00F119D2" w:rsidRPr="0092004C" w:rsidRDefault="00F119D2" w:rsidP="00F119D2">
      <w:pPr>
        <w:pStyle w:val="MDPHBullet"/>
        <w:numPr>
          <w:ilvl w:val="1"/>
          <w:numId w:val="1"/>
        </w:numPr>
      </w:pPr>
      <w:r w:rsidRPr="0092004C">
        <w:t xml:space="preserve">Denuncia de abuso infantil </w:t>
      </w:r>
    </w:p>
    <w:p w14:paraId="5CB63795" w14:textId="77777777" w:rsidR="00F119D2" w:rsidRPr="0092004C" w:rsidRDefault="00F119D2" w:rsidP="00F119D2">
      <w:pPr>
        <w:pStyle w:val="MDPHBullet"/>
        <w:numPr>
          <w:ilvl w:val="1"/>
          <w:numId w:val="1"/>
        </w:numPr>
      </w:pPr>
      <w:r w:rsidRPr="0092004C">
        <w:t xml:space="preserve">Delitos en las instalaciones del programa o contra el personal </w:t>
      </w:r>
    </w:p>
    <w:p w14:paraId="557F340E" w14:textId="77777777" w:rsidR="00F119D2" w:rsidRPr="0092004C" w:rsidRDefault="00F119D2" w:rsidP="00F119D2">
      <w:pPr>
        <w:pStyle w:val="MDPHBullet"/>
        <w:numPr>
          <w:ilvl w:val="1"/>
          <w:numId w:val="1"/>
        </w:numPr>
      </w:pPr>
      <w:r w:rsidRPr="0092004C">
        <w:t xml:space="preserve">Mandatos judiciales </w:t>
      </w:r>
    </w:p>
    <w:p w14:paraId="0BFCF0A1" w14:textId="77777777" w:rsidR="00F119D2" w:rsidRPr="0092004C" w:rsidRDefault="00F119D2" w:rsidP="00F119D2">
      <w:pPr>
        <w:pStyle w:val="MDPHBullet"/>
        <w:numPr>
          <w:ilvl w:val="1"/>
          <w:numId w:val="1"/>
        </w:numPr>
      </w:pPr>
      <w:r w:rsidRPr="0092004C">
        <w:t>Comunicación con una organización de servicios calificados (QSO) de información necesaria para que la organización preste servicios al programa.</w:t>
      </w:r>
    </w:p>
    <w:p w14:paraId="01A8076A" w14:textId="77777777" w:rsidR="00F119D2" w:rsidRPr="0092004C" w:rsidRDefault="00F119D2" w:rsidP="00F119D2">
      <w:pPr>
        <w:pStyle w:val="Heading4"/>
        <w:rPr>
          <w:rFonts w:cs="Segoe UI"/>
        </w:rPr>
      </w:pPr>
      <w:r w:rsidRPr="0092004C">
        <w:t xml:space="preserve">Estigma: disipación de conceptos erróneos </w:t>
      </w:r>
    </w:p>
    <w:p w14:paraId="26312675" w14:textId="77777777" w:rsidR="00F119D2" w:rsidRPr="0092004C" w:rsidRDefault="00F119D2" w:rsidP="00F119D2">
      <w:pPr>
        <w:pStyle w:val="MDPHBullet"/>
      </w:pPr>
      <w:r w:rsidRPr="0092004C">
        <w:t xml:space="preserve">Según la Organización Mundial de la Salud (WHO), los estigmas son una causa principal de discriminación y exclusión, y contribuyen al incumplimiento de los derechos humanos. Cuando las personas son víctimas de estigmas se les ve como inferiores debido a sus estado o características de salud reales o percibidas. Los residentes con OUD y </w:t>
      </w:r>
      <w:proofErr w:type="spellStart"/>
      <w:r w:rsidRPr="0092004C">
        <w:t>StUD</w:t>
      </w:r>
      <w:proofErr w:type="spellEnd"/>
      <w:r w:rsidRPr="0092004C">
        <w:t xml:space="preserve"> no son diferentes a los demás residentes con enfermedades de salud crónicas.</w:t>
      </w:r>
      <w:r w:rsidRPr="0092004C">
        <w:rPr>
          <w:rStyle w:val="EndnoteReference"/>
        </w:rPr>
        <w:endnoteReference w:id="5"/>
      </w:r>
      <w:r w:rsidRPr="0092004C">
        <w:rPr>
          <w:vertAlign w:val="superscript"/>
        </w:rPr>
        <w:t>,</w:t>
      </w:r>
      <w:r w:rsidRPr="0092004C">
        <w:rPr>
          <w:rStyle w:val="EndnoteReference"/>
        </w:rPr>
        <w:endnoteReference w:id="6"/>
      </w:r>
      <w:r w:rsidRPr="0092004C">
        <w:rPr>
          <w:rStyle w:val="EndnoteReference"/>
        </w:rPr>
        <w:endnoteReference w:id="7"/>
      </w:r>
      <w:r w:rsidRPr="0092004C">
        <w:rPr>
          <w:vertAlign w:val="superscript"/>
        </w:rPr>
        <w:t>,</w:t>
      </w:r>
      <w:r w:rsidRPr="0092004C">
        <w:rPr>
          <w:rStyle w:val="EndnoteReference"/>
        </w:rPr>
        <w:endnoteReference w:id="8"/>
      </w:r>
      <w:r w:rsidRPr="0092004C">
        <w:t xml:space="preserve"> (Ver </w:t>
      </w:r>
      <w:hyperlink w:anchor="_Tip_1:_Understanding" w:history="1">
        <w:r w:rsidRPr="0092004C">
          <w:rPr>
            <w:rStyle w:val="Hyperlink"/>
          </w:rPr>
          <w:t>Recomendación 1</w:t>
        </w:r>
      </w:hyperlink>
      <w:r w:rsidRPr="0092004C">
        <w:rPr>
          <w:rStyle w:val="Hyperlink"/>
        </w:rPr>
        <w:t>.</w:t>
      </w:r>
      <w:r w:rsidRPr="0092004C">
        <w:t>)</w:t>
      </w:r>
    </w:p>
    <w:p w14:paraId="469D0BC7" w14:textId="77777777" w:rsidR="00F119D2" w:rsidRPr="0092004C" w:rsidRDefault="00F119D2" w:rsidP="00F119D2">
      <w:pPr>
        <w:pStyle w:val="Heading4"/>
        <w:rPr>
          <w:rFonts w:cs="Segoe UI"/>
        </w:rPr>
      </w:pPr>
      <w:r w:rsidRPr="0092004C">
        <w:t>Prejuicios y tendencias implícitas</w:t>
      </w:r>
    </w:p>
    <w:p w14:paraId="11D9BC42" w14:textId="77777777" w:rsidR="00F119D2" w:rsidRPr="0092004C" w:rsidRDefault="00F119D2" w:rsidP="00F119D2">
      <w:pPr>
        <w:pStyle w:val="MDPHBullet"/>
      </w:pPr>
      <w:r w:rsidRPr="0092004C">
        <w:t>Los prejuicios y tendencias implícitas son actitudes y estereotipos de los que las personas no se percatan o no tienen control sobre estos. Estas actitudes inconscientes crean suposiciones y asociaciones rápidas sobre personas con ciertas características y ciertos comportamientos o evaluaciones. Por ejemplo: cuando nos imaginamos un científico y lo vemos como un hombre en vez de una mujer. Todas las personas llevan consigo este tipo de suposiciones implícitas, pero es importante que usted esté consciente de las suposiciones o conjeturas que hace y cómo estas pueden influir en su atención de los residentes.</w:t>
      </w:r>
    </w:p>
    <w:p w14:paraId="6917DB6F" w14:textId="77777777" w:rsidR="00F119D2" w:rsidRPr="0092004C" w:rsidRDefault="00F119D2" w:rsidP="00F119D2">
      <w:pPr>
        <w:pStyle w:val="MDPHBullet"/>
      </w:pPr>
      <w:r w:rsidRPr="0092004C">
        <w:t xml:space="preserve">Puede presentar la </w:t>
      </w:r>
      <w:hyperlink r:id="rId7" w:history="1">
        <w:r w:rsidRPr="0092004C">
          <w:rPr>
            <w:rStyle w:val="Hyperlink"/>
          </w:rPr>
          <w:t>Prueba de asociación implícita</w:t>
        </w:r>
      </w:hyperlink>
      <w:r w:rsidRPr="0092004C">
        <w:rPr>
          <w:rStyle w:val="Hyperlink"/>
        </w:rPr>
        <w:t>.</w:t>
      </w:r>
      <w:r w:rsidRPr="0092004C">
        <w:rPr>
          <w:rStyle w:val="EndnoteReference"/>
        </w:rPr>
        <w:endnoteReference w:id="9"/>
      </w:r>
      <w:r w:rsidRPr="0092004C">
        <w:t xml:space="preserve"> </w:t>
      </w:r>
    </w:p>
    <w:p w14:paraId="534A18A6" w14:textId="77777777" w:rsidR="00F119D2" w:rsidRPr="0092004C" w:rsidRDefault="00F119D2" w:rsidP="00F119D2">
      <w:pPr>
        <w:pStyle w:val="MDPHBullet"/>
      </w:pPr>
      <w:r w:rsidRPr="0092004C">
        <w:t xml:space="preserve">Complete el módulo: </w:t>
      </w:r>
      <w:hyperlink r:id="rId8" w:history="1">
        <w:r w:rsidRPr="0092004C">
          <w:rPr>
            <w:rStyle w:val="Hyperlink"/>
          </w:rPr>
          <w:t>Combatiendo prejuicios y tendencias.</w:t>
        </w:r>
      </w:hyperlink>
      <w:r w:rsidRPr="0092004C">
        <w:rPr>
          <w:rStyle w:val="Hyperlink"/>
        </w:rPr>
        <w:t xml:space="preserve"> </w:t>
      </w:r>
      <w:r w:rsidRPr="0092004C">
        <w:rPr>
          <w:rStyle w:val="EndnoteReference"/>
        </w:rPr>
        <w:endnoteReference w:id="10"/>
      </w:r>
    </w:p>
    <w:p w14:paraId="5CA084A6" w14:textId="77777777" w:rsidR="00F119D2" w:rsidRPr="0092004C" w:rsidRDefault="00F119D2" w:rsidP="00F119D2">
      <w:pPr>
        <w:pStyle w:val="Heading4"/>
        <w:rPr>
          <w:rFonts w:cs="Segoe UI"/>
        </w:rPr>
      </w:pPr>
      <w:r w:rsidRPr="0092004C">
        <w:t>Distinción entre consumo, dependencia y trastorno por consumo</w:t>
      </w:r>
    </w:p>
    <w:p w14:paraId="150DC72C" w14:textId="77777777" w:rsidR="00F119D2" w:rsidRPr="0092004C" w:rsidRDefault="00F119D2" w:rsidP="00F119D2">
      <w:pPr>
        <w:pStyle w:val="MDPHBullet"/>
      </w:pPr>
      <w:r w:rsidRPr="0092004C">
        <w:t xml:space="preserve">Identifique y aborde el tema de los estigmas y los conceptos erróneos de OUD y </w:t>
      </w:r>
      <w:proofErr w:type="spellStart"/>
      <w:r w:rsidRPr="0092004C">
        <w:t>StUD</w:t>
      </w:r>
      <w:proofErr w:type="spellEnd"/>
      <w:r w:rsidRPr="0092004C">
        <w:t>.</w:t>
      </w:r>
      <w:r w:rsidRPr="0092004C">
        <w:rPr>
          <w:rStyle w:val="EndnoteReference"/>
        </w:rPr>
        <w:endnoteReference w:id="11"/>
      </w:r>
      <w:r w:rsidRPr="0092004C">
        <w:rPr>
          <w:vertAlign w:val="superscript"/>
        </w:rPr>
        <w:t>,</w:t>
      </w:r>
      <w:r w:rsidRPr="0092004C">
        <w:rPr>
          <w:rStyle w:val="EndnoteReference"/>
        </w:rPr>
        <w:endnoteReference w:id="12"/>
      </w:r>
      <w:r w:rsidRPr="0092004C">
        <w:rPr>
          <w:rStyle w:val="EndnoteReference"/>
        </w:rPr>
        <w:endnoteReference w:id="13"/>
      </w:r>
      <w:r w:rsidRPr="0092004C">
        <w:t xml:space="preserve"> También identifique y entienda la distinción entre consumo, dependencia, y trastorno de consumo. (Ver</w:t>
      </w:r>
      <w:r>
        <w:t xml:space="preserve"> </w:t>
      </w:r>
      <w:hyperlink w:anchor="_Tip_1:_Understanding" w:history="1">
        <w:r w:rsidRPr="0092004C">
          <w:rPr>
            <w:rStyle w:val="Hyperlink"/>
          </w:rPr>
          <w:t>Recomendación 1</w:t>
        </w:r>
      </w:hyperlink>
      <w:r w:rsidRPr="0092004C">
        <w:t xml:space="preserve"> para más información sobre los estigmas)</w:t>
      </w:r>
    </w:p>
    <w:p w14:paraId="4C9EA7EB" w14:textId="77777777" w:rsidR="00F119D2" w:rsidRPr="0092004C" w:rsidRDefault="00F119D2" w:rsidP="00F119D2">
      <w:pPr>
        <w:pStyle w:val="MDPHBullet"/>
      </w:pPr>
      <w:r w:rsidRPr="0092004C">
        <w:t xml:space="preserve">La dependencia de sustancias no es un sinónimo del tratamiento por consumo, sino más bien un estado físico en el que el cuerpo se adapta al uso continuo de una sustancia. </w:t>
      </w:r>
    </w:p>
    <w:p w14:paraId="7D9CC067" w14:textId="77777777" w:rsidR="00F119D2" w:rsidRPr="0092004C" w:rsidRDefault="00F119D2" w:rsidP="00F119D2">
      <w:pPr>
        <w:pStyle w:val="MDPHBullet"/>
        <w:pageBreakBefore/>
        <w:ind w:right="-86"/>
      </w:pPr>
      <w:r w:rsidRPr="0092004C">
        <w:lastRenderedPageBreak/>
        <w:t>Cuando la gente utiliza la palabra dependencia, típicamente se refieren a la dependencia física de una sustancia. La dependencia incluye síntomas de tolerancia y abstinencia. Una persona puede tener dependencia de opioides sin tener un trastorno por consumo de opioides (OUD).</w:t>
      </w:r>
      <w:r w:rsidRPr="0092004C">
        <w:rPr>
          <w:rStyle w:val="EndnoteReference"/>
          <w:shd w:val="clear" w:color="auto" w:fill="FFFFFF"/>
        </w:rPr>
        <w:endnoteReference w:id="14"/>
      </w:r>
      <w:r>
        <w:t xml:space="preserve"> </w:t>
      </w:r>
    </w:p>
    <w:p w14:paraId="018E2E0D" w14:textId="77777777" w:rsidR="00F119D2" w:rsidRPr="0092004C" w:rsidRDefault="00F119D2" w:rsidP="00F119D2">
      <w:pPr>
        <w:pStyle w:val="MDPHBullet"/>
        <w:numPr>
          <w:ilvl w:val="0"/>
          <w:numId w:val="5"/>
        </w:numPr>
      </w:pPr>
      <w:r w:rsidRPr="0092004C">
        <w:t xml:space="preserve">Definiciones </w:t>
      </w:r>
    </w:p>
    <w:p w14:paraId="46895B4D" w14:textId="77777777" w:rsidR="00F119D2" w:rsidRPr="0092004C" w:rsidRDefault="00F119D2" w:rsidP="00F119D2">
      <w:pPr>
        <w:pStyle w:val="MDPHBullet"/>
        <w:numPr>
          <w:ilvl w:val="0"/>
          <w:numId w:val="4"/>
        </w:numPr>
      </w:pPr>
      <w:r w:rsidRPr="0092004C">
        <w:t xml:space="preserve">"El abuso y la dependencia de sustancias los causan muchos factores, entre estos la vulnerabilidad genética, los factores estresantes del entorno, las presiones sociales, las características individuales de la personalidad, y los problemas psiquiátricos". </w:t>
      </w:r>
      <w:r w:rsidRPr="0092004C">
        <w:rPr>
          <w:rStyle w:val="EndnoteReference"/>
        </w:rPr>
        <w:endnoteReference w:id="15"/>
      </w:r>
    </w:p>
    <w:p w14:paraId="1E8063C1" w14:textId="77777777" w:rsidR="00F119D2" w:rsidRPr="0092004C" w:rsidRDefault="00F119D2" w:rsidP="00F119D2">
      <w:pPr>
        <w:pStyle w:val="MDPHBullet"/>
        <w:numPr>
          <w:ilvl w:val="0"/>
          <w:numId w:val="4"/>
        </w:numPr>
      </w:pPr>
      <w:r w:rsidRPr="0092004C">
        <w:t>"El SUD es un trastorno mental que afecta el cerebro y el comportamiento de una persona, esto conduce a la incapacidad de la persona para controlar su consumo de sustancias como drogas legales o ilegales, alcohol, o medicamentos".</w:t>
      </w:r>
      <w:r w:rsidRPr="0092004C">
        <w:rPr>
          <w:rStyle w:val="EndnoteReference"/>
        </w:rPr>
        <w:endnoteReference w:id="16"/>
      </w:r>
    </w:p>
    <w:p w14:paraId="3E7FACB1" w14:textId="77777777" w:rsidR="00F119D2" w:rsidRPr="0092004C" w:rsidRDefault="00F119D2" w:rsidP="00F119D2">
      <w:pPr>
        <w:pStyle w:val="MDPHBullet"/>
        <w:numPr>
          <w:ilvl w:val="0"/>
          <w:numId w:val="4"/>
        </w:numPr>
      </w:pPr>
      <w:r w:rsidRPr="0092004C">
        <w:rPr>
          <w:shd w:val="clear" w:color="auto" w:fill="FFFFFF"/>
        </w:rPr>
        <w:t>"El OUD es una condición médica que se define por no poder abstenerse de consumir opioides y comportamientos centrados alrededor de consumir opioides que interfieren con la vida diaria. No obstante, las personas pueden utilizar mal los opioides y no tener dependencia física. Cuando una persona tiene dependencia física, puede ser particularmente difícil que deje de tomar opioides y esa dependencia puede interferir en las rutinas diarias, entre estas las relaciones personales o el manejo de las finanzas".</w:t>
      </w:r>
      <w:r w:rsidRPr="0092004C">
        <w:rPr>
          <w:rStyle w:val="EndnoteReference"/>
          <w:shd w:val="clear" w:color="auto" w:fill="FFFFFF"/>
        </w:rPr>
        <w:endnoteReference w:id="17"/>
      </w:r>
    </w:p>
    <w:p w14:paraId="4310EA60" w14:textId="77777777" w:rsidR="00F119D2" w:rsidRPr="0092004C" w:rsidRDefault="00F119D2" w:rsidP="00F119D2">
      <w:pPr>
        <w:pStyle w:val="Heading4"/>
        <w:rPr>
          <w:rFonts w:cs="Segoe UI"/>
        </w:rPr>
      </w:pPr>
      <w:r w:rsidRPr="0092004C">
        <w:t xml:space="preserve">Atención basada en información sobre el trauma </w:t>
      </w:r>
    </w:p>
    <w:p w14:paraId="7AFC4A2D" w14:textId="77777777" w:rsidR="00F119D2" w:rsidRPr="0092004C" w:rsidRDefault="00F119D2" w:rsidP="00F119D2">
      <w:pPr>
        <w:pStyle w:val="MDPHBullet"/>
      </w:pPr>
      <w:r w:rsidRPr="0092004C">
        <w:rPr>
          <w:shd w:val="clear" w:color="auto" w:fill="FFFFFF"/>
        </w:rPr>
        <w:t xml:space="preserve">"La atención basada en información sobre el trauma entiende y considera la naturaleza dominante del trauma y promueve entornos de sanación y recuperación en vez de prácticas y servicios que pueden </w:t>
      </w:r>
      <w:proofErr w:type="spellStart"/>
      <w:r w:rsidRPr="0092004C">
        <w:rPr>
          <w:shd w:val="clear" w:color="auto" w:fill="FFFFFF"/>
        </w:rPr>
        <w:t>retraumatizar</w:t>
      </w:r>
      <w:proofErr w:type="spellEnd"/>
      <w:r w:rsidRPr="0092004C">
        <w:rPr>
          <w:shd w:val="clear" w:color="auto" w:fill="FFFFFF"/>
        </w:rPr>
        <w:t xml:space="preserve"> inadvertidamente".</w:t>
      </w:r>
      <w:r w:rsidRPr="0092004C">
        <w:rPr>
          <w:rStyle w:val="EndnoteReference"/>
          <w:shd w:val="clear" w:color="auto" w:fill="FFFFFF"/>
        </w:rPr>
        <w:endnoteReference w:id="18"/>
      </w:r>
      <w:r w:rsidRPr="0092004C">
        <w:rPr>
          <w:shd w:val="clear" w:color="auto" w:fill="FFFFFF"/>
        </w:rPr>
        <w:t xml:space="preserve"> (</w:t>
      </w:r>
      <w:hyperlink w:anchor="_Tip_3:_Organizational" w:history="1">
        <w:r w:rsidRPr="0092004C">
          <w:rPr>
            <w:rStyle w:val="Hyperlink"/>
            <w:shd w:val="clear" w:color="auto" w:fill="FFFFFF"/>
          </w:rPr>
          <w:t>Consulte la Recomendación 3</w:t>
        </w:r>
      </w:hyperlink>
      <w:r w:rsidRPr="0092004C">
        <w:rPr>
          <w:shd w:val="clear" w:color="auto" w:fill="FFFFFF"/>
        </w:rPr>
        <w:t xml:space="preserve"> para ver la información sobre los efectos del trauma)</w:t>
      </w:r>
    </w:p>
    <w:p w14:paraId="3BB6905E" w14:textId="77777777" w:rsidR="00F119D2" w:rsidRPr="0092004C" w:rsidRDefault="00F119D2" w:rsidP="00F119D2">
      <w:pPr>
        <w:pStyle w:val="MDPHBullet"/>
      </w:pPr>
      <w:r w:rsidRPr="0092004C">
        <w:t xml:space="preserve">Examinación y evaluación de los riesgos de suicidio: el Cuestionario sobre la salud del/la paciente - 9 (PHQ-9) es una herramienta de los centros de salud a largo plazo (LTCF) que utilizan los trabajadores sociales para medir la gravedad de la depresión de los residentes. Ver </w:t>
      </w:r>
      <w:hyperlink r:id="rId9" w:history="1">
        <w:r w:rsidRPr="0092004C">
          <w:rPr>
            <w:rStyle w:val="Hyperlink"/>
          </w:rPr>
          <w:t>Información sobre la examinación del riesgo universal de suicidios</w:t>
        </w:r>
      </w:hyperlink>
      <w:r w:rsidRPr="0092004C">
        <w:rPr>
          <w:rStyle w:val="EndnoteReference"/>
        </w:rPr>
        <w:endnoteReference w:id="19"/>
      </w:r>
    </w:p>
    <w:p w14:paraId="65CD2EE7" w14:textId="77777777" w:rsidR="00F119D2" w:rsidRPr="0092004C" w:rsidRDefault="00F119D2" w:rsidP="00F119D2">
      <w:pPr>
        <w:pStyle w:val="Heading4"/>
        <w:rPr>
          <w:rFonts w:cs="Segoe UI"/>
        </w:rPr>
      </w:pPr>
      <w:r w:rsidRPr="0092004C">
        <w:t>Reconozca y controle la intoxicación, la abstinencia o la sobredosis.</w:t>
      </w:r>
      <w:r w:rsidRPr="0092004C">
        <w:rPr>
          <w:rStyle w:val="EndnoteReference"/>
          <w:b w:val="0"/>
        </w:rPr>
        <w:endnoteReference w:id="20"/>
      </w:r>
      <w:r w:rsidRPr="0092004C">
        <w:rPr>
          <w:vertAlign w:val="superscript"/>
        </w:rPr>
        <w:t>,</w:t>
      </w:r>
      <w:r w:rsidRPr="0092004C">
        <w:rPr>
          <w:rStyle w:val="EndnoteReference"/>
          <w:b w:val="0"/>
        </w:rPr>
        <w:endnoteReference w:id="21"/>
      </w:r>
    </w:p>
    <w:p w14:paraId="0B8D3C12" w14:textId="77777777" w:rsidR="00F119D2" w:rsidRPr="0092004C" w:rsidRDefault="00F119D2" w:rsidP="00F119D2">
      <w:pPr>
        <w:pStyle w:val="MDPHBullet"/>
        <w:rPr>
          <w:shd w:val="clear" w:color="auto" w:fill="FFFFFF"/>
        </w:rPr>
      </w:pPr>
      <w:r w:rsidRPr="0092004C">
        <w:rPr>
          <w:shd w:val="clear" w:color="auto" w:fill="FFFFFF"/>
        </w:rPr>
        <w:t>administración del tratamiento agudo (desintoxicación): el Centro de atención a largo plazo (LTCF) no puede aceptar para desintoxicación a residentes cuyo diagnóstico principal es trastorno por uso de sustancias (SUD). En su lugar, un centro de atención ambulatoria, aguda o de rehabilitación debe tratar a los residentes por desintoxicación antes de su admisión al LTCF. (Consulte 150.003 Admisiones, transferencias y altas D (5)).</w:t>
      </w:r>
    </w:p>
    <w:p w14:paraId="44464472" w14:textId="77777777" w:rsidR="00F119D2" w:rsidRPr="0092004C" w:rsidRDefault="00F119D2" w:rsidP="00F119D2">
      <w:pPr>
        <w:pStyle w:val="MDPHBullet"/>
        <w:rPr>
          <w:shd w:val="clear" w:color="auto" w:fill="FFFFFF"/>
        </w:rPr>
      </w:pPr>
      <w:r w:rsidRPr="0092004C">
        <w:rPr>
          <w:shd w:val="clear" w:color="auto" w:fill="FFFFFF"/>
        </w:rPr>
        <w:t>Comuníquese con el Programa de tratamiento por consumo de opioides (OTP) o los proveedores de Tratamiento por consumo de opioides en consultorio (OBOT)/Tratamiento de adicción en consultorio (OBAT) acerca de la suspensión súbita de opioides luego del uso intenso a largo plazo, la cual puede producir síntomas de abstinencia.</w:t>
      </w:r>
      <w:r w:rsidRPr="0092004C">
        <w:rPr>
          <w:rStyle w:val="EndnoteReference"/>
        </w:rPr>
        <w:endnoteReference w:id="22"/>
      </w:r>
      <w:r w:rsidRPr="0092004C">
        <w:rPr>
          <w:shd w:val="clear" w:color="auto" w:fill="FFFFFF"/>
        </w:rPr>
        <w:t xml:space="preserve"> (</w:t>
      </w:r>
      <w:hyperlink w:anchor="_Tip_1:_Understanding" w:history="1">
        <w:r w:rsidRPr="0092004C">
          <w:rPr>
            <w:rStyle w:val="Hyperlink"/>
            <w:shd w:val="clear" w:color="auto" w:fill="FFFFFF"/>
          </w:rPr>
          <w:t>Consulte Consejo 1</w:t>
        </w:r>
      </w:hyperlink>
      <w:r w:rsidRPr="0092004C">
        <w:rPr>
          <w:shd w:val="clear" w:color="auto" w:fill="FFFFFF"/>
        </w:rPr>
        <w:t xml:space="preserve"> para ver los síntomas de abstinencia). El método más efectivo para tratar a un residente que tiene síntomas de abstinencia es recetar un opioide oral de acción prolongada (usualmente metadona o buprenorfina) para aliviar los síntomas y luego reducir gradualmente la dosis para permitirle al residente ajustarse a la ausencia de un opioide. La abstinencia con supervisión médica puede involucrar también el uso de medicamentos que no sean opioides que puedan ayudar a controlar los síntomas; esto solo debe hacerse bajo la supervisión de los médicos clínicos de los residentes en su OTP u OBOT/OBAT.</w:t>
      </w:r>
      <w:r w:rsidRPr="0092004C">
        <w:rPr>
          <w:rStyle w:val="EndnoteReference"/>
          <w:shd w:val="clear" w:color="auto" w:fill="FFFFFF"/>
        </w:rPr>
        <w:t>6</w:t>
      </w:r>
    </w:p>
    <w:p w14:paraId="56BCB54F" w14:textId="77777777" w:rsidR="00F119D2" w:rsidRPr="0092004C" w:rsidRDefault="00F119D2" w:rsidP="00F119D2">
      <w:pPr>
        <w:pStyle w:val="Heading4"/>
        <w:rPr>
          <w:rFonts w:cs="Segoe UI"/>
        </w:rPr>
      </w:pPr>
      <w:r w:rsidRPr="0092004C">
        <w:lastRenderedPageBreak/>
        <w:t>Consideraciones especiales a través del rango de edades para residentes a largo plazo con trastornos por uso de opioides y de estimulantes.</w:t>
      </w:r>
      <w:r w:rsidRPr="0092004C">
        <w:rPr>
          <w:vertAlign w:val="superscript"/>
        </w:rPr>
        <w:endnoteReference w:id="23"/>
      </w:r>
    </w:p>
    <w:p w14:paraId="2084871F" w14:textId="77777777" w:rsidR="00F119D2" w:rsidRPr="0092004C" w:rsidRDefault="00F119D2" w:rsidP="00F119D2">
      <w:pPr>
        <w:pStyle w:val="MDPHBullet"/>
      </w:pPr>
      <w:r w:rsidRPr="0092004C">
        <w:t>Tradicionalmente, se piensa en los residentes de LTCF como una población mayor y con complejidad médica. Sin embargo, los LTCF también tienen una población de adultos jóvenes que son admitidos para rehabilitación a corto plazo, tienen riesgo médico y necesitan el nivel de atención proporcionado en un LTCF. Todos los residentes, sin importar la edad, requieren de consideraciones de seguridad al administrar Trastorno por uso de opioides (OUD) y Trastorno por uso de estimulantes (</w:t>
      </w:r>
      <w:proofErr w:type="spellStart"/>
      <w:r w:rsidRPr="0092004C">
        <w:t>StUD</w:t>
      </w:r>
      <w:proofErr w:type="spellEnd"/>
      <w:r w:rsidRPr="0092004C">
        <w:t>).</w:t>
      </w:r>
      <w:r w:rsidRPr="0092004C">
        <w:rPr>
          <w:rStyle w:val="EndnoteReference"/>
        </w:rPr>
        <w:endnoteReference w:id="24"/>
      </w:r>
      <w:r w:rsidRPr="0092004C">
        <w:t xml:space="preserve"> </w:t>
      </w:r>
    </w:p>
    <w:p w14:paraId="17406790" w14:textId="77777777" w:rsidR="00F119D2" w:rsidRPr="0092004C" w:rsidRDefault="00F119D2" w:rsidP="00F119D2">
      <w:pPr>
        <w:pStyle w:val="MDPHBullet"/>
      </w:pPr>
      <w:r w:rsidRPr="0092004C">
        <w:t xml:space="preserve">Cuando los residentes del LTCF reciben Medicamentos para trastorno por uso de opioides (MOUD) mediante un OTP u OBOT/OBAT, o reciben tratamiento por </w:t>
      </w:r>
      <w:proofErr w:type="spellStart"/>
      <w:r w:rsidRPr="0092004C">
        <w:t>StUD</w:t>
      </w:r>
      <w:proofErr w:type="spellEnd"/>
      <w:r w:rsidRPr="0092004C">
        <w:t xml:space="preserve">, los médicos clínicos gestionan el tratamiento considerando lo siguiente: </w:t>
      </w:r>
    </w:p>
    <w:p w14:paraId="1CD1B4BD" w14:textId="77777777" w:rsidR="00F119D2" w:rsidRPr="0092004C" w:rsidRDefault="00F119D2" w:rsidP="00F119D2">
      <w:pPr>
        <w:pStyle w:val="MDPHBullet"/>
        <w:numPr>
          <w:ilvl w:val="1"/>
          <w:numId w:val="1"/>
        </w:numPr>
      </w:pPr>
      <w:r w:rsidRPr="0092004C">
        <w:t>Comorbilidades médicas</w:t>
      </w:r>
    </w:p>
    <w:p w14:paraId="340F7DB1" w14:textId="77777777" w:rsidR="00F119D2" w:rsidRPr="0092004C" w:rsidRDefault="00F119D2" w:rsidP="00F119D2">
      <w:pPr>
        <w:pStyle w:val="MDPHBullet"/>
        <w:numPr>
          <w:ilvl w:val="1"/>
          <w:numId w:val="1"/>
        </w:numPr>
      </w:pPr>
      <w:r w:rsidRPr="0092004C">
        <w:t xml:space="preserve">Comorbilidades psiquiátricas </w:t>
      </w:r>
    </w:p>
    <w:p w14:paraId="5155D0A2" w14:textId="77777777" w:rsidR="00F119D2" w:rsidRPr="0092004C" w:rsidRDefault="00F119D2" w:rsidP="00F119D2">
      <w:pPr>
        <w:pStyle w:val="MDPHBullet"/>
        <w:numPr>
          <w:ilvl w:val="1"/>
          <w:numId w:val="1"/>
        </w:numPr>
      </w:pPr>
      <w:r w:rsidRPr="0092004C">
        <w:t>Manejo de dolor agudo y crónico y de OUD</w:t>
      </w:r>
      <w:r w:rsidRPr="0092004C">
        <w:rPr>
          <w:rStyle w:val="EndnoteReference"/>
        </w:rPr>
        <w:endnoteReference w:id="25"/>
      </w:r>
    </w:p>
    <w:p w14:paraId="6431AED1" w14:textId="77777777" w:rsidR="00F119D2" w:rsidRPr="0092004C" w:rsidRDefault="00F119D2" w:rsidP="00F119D2">
      <w:pPr>
        <w:pStyle w:val="MDPHBullet"/>
        <w:numPr>
          <w:ilvl w:val="1"/>
          <w:numId w:val="1"/>
        </w:numPr>
      </w:pPr>
      <w:r w:rsidRPr="0092004C">
        <w:t xml:space="preserve">Tratamiento efectivo </w:t>
      </w:r>
    </w:p>
    <w:p w14:paraId="610C6B34" w14:textId="77777777" w:rsidR="00F119D2" w:rsidRPr="0092004C" w:rsidRDefault="00F119D2" w:rsidP="00F119D2">
      <w:pPr>
        <w:pStyle w:val="MDPHBullet"/>
        <w:numPr>
          <w:ilvl w:val="1"/>
          <w:numId w:val="1"/>
        </w:numPr>
      </w:pPr>
      <w:r w:rsidRPr="0092004C">
        <w:t xml:space="preserve">Interacciones de polifarmacia y drogas </w:t>
      </w:r>
    </w:p>
    <w:p w14:paraId="34799D95" w14:textId="77777777" w:rsidR="00F119D2" w:rsidRPr="0092004C" w:rsidRDefault="00F119D2" w:rsidP="00F119D2">
      <w:pPr>
        <w:pStyle w:val="MDPHBullet"/>
      </w:pPr>
      <w:r w:rsidRPr="0092004C">
        <w:t xml:space="preserve">Vea los lineamientos del Departamento de servicios para adicción a sustancias (BSAS) para la </w:t>
      </w:r>
      <w:hyperlink r:id="rId10" w:history="1">
        <w:r w:rsidRPr="0092004C">
          <w:rPr>
            <w:rStyle w:val="Hyperlink"/>
          </w:rPr>
          <w:t>práctica con adultos mayores</w:t>
        </w:r>
      </w:hyperlink>
      <w:r w:rsidRPr="0092004C">
        <w:rPr>
          <w:rStyle w:val="EndnoteReference"/>
        </w:rPr>
        <w:endnoteReference w:id="26"/>
      </w:r>
      <w:r w:rsidRPr="0092004C">
        <w:t xml:space="preserve"> y el </w:t>
      </w:r>
      <w:hyperlink r:id="rId11" w:history="1">
        <w:r w:rsidRPr="0092004C">
          <w:rPr>
            <w:rStyle w:val="Hyperlink"/>
          </w:rPr>
          <w:t>enfoque de familia</w:t>
        </w:r>
      </w:hyperlink>
      <w:r w:rsidRPr="0092004C">
        <w:rPr>
          <w:rStyle w:val="EndnoteReference"/>
        </w:rPr>
        <w:endnoteReference w:id="27"/>
      </w:r>
      <w:r w:rsidRPr="0092004C">
        <w:t xml:space="preserve"> al tratamiento.</w:t>
      </w:r>
    </w:p>
    <w:p w14:paraId="389F21FD" w14:textId="77777777" w:rsidR="00F119D2" w:rsidRPr="0092004C" w:rsidRDefault="00F119D2" w:rsidP="00F119D2">
      <w:pPr>
        <w:pStyle w:val="MDPHBullet"/>
      </w:pPr>
      <w:r w:rsidRPr="0092004C">
        <w:t>Si tiene dudas acerca de las complejas necesidades de los pacientes con dolor crónico, SUD o ambos, llame al Servicio de consulta de Massachusetts para el tratamiento de adicción y dolor (MCSTAP) para una consulta gratis a 833-PAIN-SUD (833-724-6783).</w:t>
      </w:r>
    </w:p>
    <w:p w14:paraId="4BE7BDFA" w14:textId="77777777" w:rsidR="00F119D2" w:rsidRPr="0092004C" w:rsidRDefault="00F119D2" w:rsidP="00F119D2">
      <w:pPr>
        <w:pStyle w:val="Heading3"/>
      </w:pPr>
      <w:bookmarkStart w:id="7" w:name="_Toc120034118"/>
      <w:r w:rsidRPr="0092004C">
        <w:t>Ambiente social de los residentes de Centros de atención a largo plazo</w:t>
      </w:r>
      <w:r w:rsidRPr="0092004C">
        <w:rPr>
          <w:vertAlign w:val="superscript"/>
        </w:rPr>
        <w:endnoteReference w:id="28"/>
      </w:r>
      <w:bookmarkEnd w:id="7"/>
    </w:p>
    <w:p w14:paraId="146FFC36" w14:textId="77777777" w:rsidR="00F119D2" w:rsidRPr="0092004C" w:rsidRDefault="00F119D2" w:rsidP="00F119D2">
      <w:pPr>
        <w:pStyle w:val="MDPHBullet"/>
      </w:pPr>
      <w:r w:rsidRPr="0092004C">
        <w:t xml:space="preserve">Las reglas y las expectativas en LTCF para residentes con OUD y/o </w:t>
      </w:r>
      <w:proofErr w:type="spellStart"/>
      <w:r w:rsidRPr="0092004C">
        <w:t>StUD</w:t>
      </w:r>
      <w:proofErr w:type="spellEnd"/>
      <w:r w:rsidRPr="0092004C">
        <w:t>:</w:t>
      </w:r>
    </w:p>
    <w:p w14:paraId="272B55AC" w14:textId="77777777" w:rsidR="00F119D2" w:rsidRPr="0092004C" w:rsidRDefault="00F119D2" w:rsidP="00F119D2">
      <w:pPr>
        <w:pStyle w:val="MDPHBullet"/>
        <w:numPr>
          <w:ilvl w:val="1"/>
          <w:numId w:val="1"/>
        </w:numPr>
      </w:pPr>
      <w:r w:rsidRPr="0092004C">
        <w:t xml:space="preserve">Los LTCF tienen reglas que aplican a todos los residentes, incluyendo a aquellos con OUD y </w:t>
      </w:r>
      <w:proofErr w:type="spellStart"/>
      <w:r w:rsidRPr="0092004C">
        <w:t>StUD</w:t>
      </w:r>
      <w:proofErr w:type="spellEnd"/>
      <w:r w:rsidRPr="0092004C">
        <w:t>.</w:t>
      </w:r>
    </w:p>
    <w:p w14:paraId="448267D9" w14:textId="77777777" w:rsidR="00F119D2" w:rsidRPr="0092004C" w:rsidRDefault="00F119D2" w:rsidP="00F119D2">
      <w:pPr>
        <w:pStyle w:val="MDPHBullet"/>
        <w:numPr>
          <w:ilvl w:val="1"/>
          <w:numId w:val="1"/>
        </w:numPr>
      </w:pPr>
      <w:r w:rsidRPr="0092004C">
        <w:t>Establecer límites adecuados para los residentes, el personal y los visitantes, en colaboración con los residentes para proporcionar un ambiente seguro y de apoyo.</w:t>
      </w:r>
    </w:p>
    <w:p w14:paraId="59D6CACB" w14:textId="77777777" w:rsidR="00F119D2" w:rsidRPr="0092004C" w:rsidRDefault="00F119D2" w:rsidP="00F119D2">
      <w:pPr>
        <w:pStyle w:val="MDPHBullet"/>
        <w:numPr>
          <w:ilvl w:val="1"/>
          <w:numId w:val="1"/>
        </w:numPr>
      </w:pPr>
      <w:r w:rsidRPr="0092004C">
        <w:t xml:space="preserve">Prepare al personal para manejar las reacciones de </w:t>
      </w:r>
      <w:proofErr w:type="gramStart"/>
      <w:r w:rsidRPr="0092004C">
        <w:t>los residentes asociadas</w:t>
      </w:r>
      <w:proofErr w:type="gramEnd"/>
      <w:r w:rsidRPr="0092004C">
        <w:t xml:space="preserve"> con OUD y </w:t>
      </w:r>
      <w:proofErr w:type="spellStart"/>
      <w:r w:rsidRPr="0092004C">
        <w:t>StUD</w:t>
      </w:r>
      <w:proofErr w:type="spellEnd"/>
      <w:r w:rsidRPr="0092004C">
        <w:t>. (</w:t>
      </w:r>
      <w:hyperlink w:anchor="_Tip_1:_Understanding" w:history="1">
        <w:r w:rsidRPr="0092004C">
          <w:rPr>
            <w:rStyle w:val="Hyperlink"/>
          </w:rPr>
          <w:t>Consulte Consejo 1</w:t>
        </w:r>
      </w:hyperlink>
      <w:r w:rsidRPr="0092004C">
        <w:t>.)</w:t>
      </w:r>
    </w:p>
    <w:p w14:paraId="202EBB38" w14:textId="77777777" w:rsidR="00F119D2" w:rsidRPr="0092004C" w:rsidRDefault="00F119D2" w:rsidP="00F119D2">
      <w:pPr>
        <w:pStyle w:val="MDPHBullet"/>
        <w:numPr>
          <w:ilvl w:val="1"/>
          <w:numId w:val="1"/>
        </w:numPr>
      </w:pPr>
      <w:r w:rsidRPr="0092004C">
        <w:t>El personal debe estar consciente de los recursos y las estrategias para optimizar la seguridad de los residentes y del personal.</w:t>
      </w:r>
    </w:p>
    <w:p w14:paraId="3BD11548" w14:textId="77777777" w:rsidR="00F119D2" w:rsidRPr="0092004C" w:rsidRDefault="00F119D2" w:rsidP="00F119D2">
      <w:pPr>
        <w:pStyle w:val="Heading3"/>
      </w:pPr>
      <w:bookmarkStart w:id="8" w:name="_Toc120034119"/>
      <w:r w:rsidRPr="0092004C">
        <w:t>Proporcionar atención a las personas que reciben tratamiento con Medicamentos para uso a largo plazo de opioides en Centros de atención a largo plazo</w:t>
      </w:r>
      <w:bookmarkEnd w:id="8"/>
    </w:p>
    <w:p w14:paraId="5F2A3F00" w14:textId="77777777" w:rsidR="00F119D2" w:rsidRPr="0092004C" w:rsidRDefault="00F119D2" w:rsidP="00F119D2">
      <w:pPr>
        <w:pStyle w:val="MDPHParagraph"/>
      </w:pPr>
      <w:r w:rsidRPr="0092004C">
        <w:t>Las personas con OUD pueden tratarse con MOUD mientras residen en un LTCF, aunque estos centros no están designados como OTP u OBOT/OBAT.</w:t>
      </w:r>
      <w:r w:rsidRPr="0092004C">
        <w:rPr>
          <w:vertAlign w:val="superscript"/>
        </w:rPr>
        <w:endnoteReference w:id="29"/>
      </w:r>
    </w:p>
    <w:p w14:paraId="72BFC6A7" w14:textId="77777777" w:rsidR="00F119D2" w:rsidRPr="0092004C" w:rsidRDefault="00F119D2" w:rsidP="00F119D2">
      <w:pPr>
        <w:pStyle w:val="MDPHBullet"/>
      </w:pPr>
      <w:r w:rsidRPr="0092004C">
        <w:t xml:space="preserve">Objetivos de MOUD (consulte la </w:t>
      </w:r>
      <w:hyperlink w:anchor="_Introduction" w:history="1">
        <w:r w:rsidRPr="0092004C">
          <w:rPr>
            <w:rStyle w:val="Hyperlink"/>
          </w:rPr>
          <w:t>introducción</w:t>
        </w:r>
      </w:hyperlink>
      <w:r w:rsidRPr="0092004C">
        <w:t xml:space="preserve"> y </w:t>
      </w:r>
      <w:hyperlink w:anchor="_Appendix_1:_Comparison" w:history="1">
        <w:r w:rsidRPr="0092004C">
          <w:rPr>
            <w:rStyle w:val="Hyperlink"/>
          </w:rPr>
          <w:t>cuadro de comparación de MOUD</w:t>
        </w:r>
      </w:hyperlink>
      <w:r w:rsidRPr="0092004C">
        <w:t xml:space="preserve">) </w:t>
      </w:r>
    </w:p>
    <w:p w14:paraId="4234E4D6" w14:textId="77777777" w:rsidR="00F119D2" w:rsidRPr="0092004C" w:rsidRDefault="00F119D2" w:rsidP="00F119D2">
      <w:pPr>
        <w:pStyle w:val="MDPHBullet"/>
      </w:pPr>
      <w:r w:rsidRPr="0092004C">
        <w:t>Las modalidades de tratamiento incluyen:</w:t>
      </w:r>
    </w:p>
    <w:p w14:paraId="023BBC70" w14:textId="77777777" w:rsidR="00F119D2" w:rsidRPr="0092004C" w:rsidRDefault="00F119D2" w:rsidP="00F119D2">
      <w:pPr>
        <w:pStyle w:val="MDPHBullet"/>
        <w:numPr>
          <w:ilvl w:val="1"/>
          <w:numId w:val="1"/>
        </w:numPr>
      </w:pPr>
      <w:r w:rsidRPr="0092004C">
        <w:t>Metadona, buprenorfina, buprenorfina, naloxona o naltrexona (</w:t>
      </w:r>
      <w:hyperlink w:anchor="_Appendix_1:_Comparison" w:history="1">
        <w:r w:rsidRPr="0092004C">
          <w:rPr>
            <w:rStyle w:val="Hyperlink"/>
          </w:rPr>
          <w:t>Cuadro de comparación de MOUD</w:t>
        </w:r>
      </w:hyperlink>
      <w:r w:rsidRPr="0092004C">
        <w:t>)</w:t>
      </w:r>
    </w:p>
    <w:p w14:paraId="48B8CE3B" w14:textId="77777777" w:rsidR="00F119D2" w:rsidRPr="0092004C" w:rsidRDefault="00F119D2" w:rsidP="00F119D2">
      <w:pPr>
        <w:pStyle w:val="MDPHBullet"/>
        <w:numPr>
          <w:ilvl w:val="1"/>
          <w:numId w:val="1"/>
        </w:numPr>
      </w:pPr>
      <w:r w:rsidRPr="0092004C">
        <w:t>Asesoría</w:t>
      </w:r>
    </w:p>
    <w:p w14:paraId="74CC9A74" w14:textId="77777777" w:rsidR="00F119D2" w:rsidRPr="0092004C" w:rsidRDefault="00F119D2" w:rsidP="00F119D2">
      <w:pPr>
        <w:pStyle w:val="MDPHBullet"/>
        <w:numPr>
          <w:ilvl w:val="1"/>
          <w:numId w:val="1"/>
        </w:numPr>
      </w:pPr>
      <w:r w:rsidRPr="0092004C">
        <w:t xml:space="preserve">Apoyo de recuperación/Apoyo de pares y capacitación </w:t>
      </w:r>
    </w:p>
    <w:p w14:paraId="684E4FFF" w14:textId="77777777" w:rsidR="00F119D2" w:rsidRPr="0092004C" w:rsidRDefault="00F119D2" w:rsidP="00F119D2">
      <w:pPr>
        <w:pStyle w:val="MDPHBullet"/>
      </w:pPr>
      <w:r w:rsidRPr="0092004C">
        <w:t xml:space="preserve">Evaluaciones efectivas y planes de atención centrados en la persona (consulte </w:t>
      </w:r>
      <w:hyperlink w:anchor="_Tip_3:_Organizational" w:history="1">
        <w:r w:rsidRPr="0092004C">
          <w:rPr>
            <w:rStyle w:val="Hyperlink"/>
          </w:rPr>
          <w:t>Consejo 3</w:t>
        </w:r>
      </w:hyperlink>
      <w:r w:rsidRPr="0092004C">
        <w:t>)</w:t>
      </w:r>
    </w:p>
    <w:p w14:paraId="1F5FCD38" w14:textId="77777777" w:rsidR="00F119D2" w:rsidRPr="0092004C" w:rsidRDefault="00F119D2" w:rsidP="00F119D2">
      <w:pPr>
        <w:pStyle w:val="MDPHBullet"/>
        <w:pageBreakBefore/>
        <w:ind w:right="-86"/>
      </w:pPr>
      <w:r w:rsidRPr="0092004C">
        <w:lastRenderedPageBreak/>
        <w:t>Comunicación con los programas de tratamiento (</w:t>
      </w:r>
      <w:hyperlink w:anchor="_TIP_5:_Community" w:history="1">
        <w:r w:rsidRPr="0092004C">
          <w:rPr>
            <w:rStyle w:val="Hyperlink"/>
          </w:rPr>
          <w:t>consulte Consejo 5</w:t>
        </w:r>
      </w:hyperlink>
      <w:r w:rsidRPr="0092004C">
        <w:t xml:space="preserve"> y </w:t>
      </w:r>
      <w:hyperlink w:anchor="_Tip_6:_Transitions" w:history="1">
        <w:r w:rsidRPr="0092004C">
          <w:rPr>
            <w:rStyle w:val="Hyperlink"/>
          </w:rPr>
          <w:t>Consejo 6</w:t>
        </w:r>
      </w:hyperlink>
      <w:r w:rsidRPr="0092004C">
        <w:t xml:space="preserve"> para obtener más información acerca de los programas de tratamiento y la comunicación)</w:t>
      </w:r>
    </w:p>
    <w:p w14:paraId="3950A02E" w14:textId="77777777" w:rsidR="00F119D2" w:rsidRPr="0092004C" w:rsidRDefault="00F119D2" w:rsidP="00F119D2">
      <w:pPr>
        <w:pStyle w:val="MDPHBullet"/>
      </w:pPr>
      <w:r w:rsidRPr="0092004C">
        <w:t>Protocolos para los cambios y las necesidades de medicamentos</w:t>
      </w:r>
    </w:p>
    <w:p w14:paraId="651DDF72" w14:textId="77777777" w:rsidR="00F119D2" w:rsidRPr="0092004C" w:rsidRDefault="00F119D2" w:rsidP="00F119D2">
      <w:pPr>
        <w:pStyle w:val="MDPHBullet"/>
      </w:pPr>
      <w:r w:rsidRPr="0092004C">
        <w:t>Organizar transporte (</w:t>
      </w:r>
      <w:hyperlink w:anchor="_Tip_6:_Transitions" w:history="1">
        <w:r w:rsidRPr="0092004C">
          <w:rPr>
            <w:rStyle w:val="Hyperlink"/>
          </w:rPr>
          <w:t>consulte Consejo 6</w:t>
        </w:r>
      </w:hyperlink>
      <w:r w:rsidRPr="0092004C">
        <w:t>)</w:t>
      </w:r>
    </w:p>
    <w:p w14:paraId="46121758" w14:textId="77777777" w:rsidR="00F119D2" w:rsidRPr="0092004C" w:rsidRDefault="00F119D2" w:rsidP="00F119D2">
      <w:pPr>
        <w:pStyle w:val="MDPHBullet"/>
      </w:pPr>
      <w:r w:rsidRPr="0092004C">
        <w:t>Planificación del alta, incluyendo continuidad de atención y recursos (</w:t>
      </w:r>
      <w:hyperlink w:anchor="_Tip_6:_Transitions" w:history="1">
        <w:r w:rsidRPr="0092004C">
          <w:rPr>
            <w:rStyle w:val="Hyperlink"/>
          </w:rPr>
          <w:t>consulte Consejo 6</w:t>
        </w:r>
      </w:hyperlink>
      <w:r w:rsidRPr="0092004C">
        <w:t>)</w:t>
      </w:r>
    </w:p>
    <w:p w14:paraId="3F165945" w14:textId="77777777" w:rsidR="00F119D2" w:rsidRPr="0092004C" w:rsidRDefault="00F119D2" w:rsidP="00F119D2">
      <w:pPr>
        <w:pStyle w:val="MDPHBullet"/>
      </w:pPr>
      <w:r w:rsidRPr="0092004C">
        <w:t>Prevención de sobredosis (</w:t>
      </w:r>
      <w:hyperlink w:anchor="_Tip_1:_Understanding" w:history="1">
        <w:r w:rsidRPr="0092004C">
          <w:rPr>
            <w:rStyle w:val="Hyperlink"/>
          </w:rPr>
          <w:t>consulte Consejo 1</w:t>
        </w:r>
      </w:hyperlink>
      <w:r w:rsidRPr="0092004C">
        <w:t>)</w:t>
      </w:r>
    </w:p>
    <w:p w14:paraId="576B7EC9" w14:textId="77777777" w:rsidR="00F119D2" w:rsidRPr="0092004C" w:rsidRDefault="00F119D2" w:rsidP="00F119D2">
      <w:pPr>
        <w:pStyle w:val="MDPHBullet"/>
      </w:pPr>
      <w:r w:rsidRPr="0092004C">
        <w:t>Competencia con naloxona para revertir una sobredosis por opioides (</w:t>
      </w:r>
      <w:hyperlink w:anchor="_Tip_1:_Understanding" w:history="1">
        <w:r w:rsidRPr="0092004C">
          <w:rPr>
            <w:rStyle w:val="Hyperlink"/>
          </w:rPr>
          <w:t>consulte Consejo 1</w:t>
        </w:r>
      </w:hyperlink>
      <w:r w:rsidRPr="0092004C">
        <w:t xml:space="preserve">) y </w:t>
      </w:r>
      <w:hyperlink r:id="rId12" w:history="1">
        <w:r w:rsidRPr="0092004C">
          <w:rPr>
            <w:rStyle w:val="Hyperlink"/>
          </w:rPr>
          <w:t>Cinco pasos para personal de respuesta de emergencia</w:t>
        </w:r>
      </w:hyperlink>
      <w:r w:rsidRPr="0092004C">
        <w:rPr>
          <w:rStyle w:val="EndnoteReference"/>
        </w:rPr>
        <w:endnoteReference w:id="30"/>
      </w:r>
    </w:p>
    <w:p w14:paraId="51EBD33D" w14:textId="77777777" w:rsidR="00F119D2" w:rsidRPr="0092004C" w:rsidRDefault="00F119D2" w:rsidP="00F119D2">
      <w:pPr>
        <w:pStyle w:val="MDPHBullet"/>
      </w:pPr>
      <w:r w:rsidRPr="0092004C">
        <w:t>Estrategias para reducir el daño (</w:t>
      </w:r>
      <w:hyperlink w:anchor="_Tip_1:_Understanding" w:history="1">
        <w:r w:rsidRPr="0092004C">
          <w:rPr>
            <w:rStyle w:val="Hyperlink"/>
          </w:rPr>
          <w:t>consulte Consejo 1</w:t>
        </w:r>
      </w:hyperlink>
      <w:r w:rsidRPr="0092004C">
        <w:t>)</w:t>
      </w:r>
    </w:p>
    <w:p w14:paraId="5F13AC6A" w14:textId="77777777" w:rsidR="00F119D2" w:rsidRPr="0092004C" w:rsidRDefault="00F119D2" w:rsidP="00F119D2">
      <w:pPr>
        <w:pStyle w:val="MDPHBullet"/>
      </w:pPr>
      <w:r w:rsidRPr="0092004C">
        <w:t>Almacenar, administrar y transportar medicamentos para MOUD (</w:t>
      </w:r>
      <w:hyperlink w:anchor="_Tip_6:_Transitions" w:history="1">
        <w:r w:rsidRPr="0092004C">
          <w:rPr>
            <w:rStyle w:val="Hyperlink"/>
          </w:rPr>
          <w:t>consulte Consejo 6</w:t>
        </w:r>
      </w:hyperlink>
      <w:r w:rsidRPr="0092004C">
        <w:t>)</w:t>
      </w:r>
    </w:p>
    <w:p w14:paraId="10CA55DF" w14:textId="77777777" w:rsidR="00F119D2" w:rsidRPr="0092004C" w:rsidRDefault="00F119D2" w:rsidP="00F119D2">
      <w:pPr>
        <w:pStyle w:val="MDPHBullet"/>
      </w:pPr>
      <w:r w:rsidRPr="0092004C">
        <w:t>Mantenimiento de registros, consulte sus políticas internas</w:t>
      </w:r>
    </w:p>
    <w:p w14:paraId="3D4D0D0D" w14:textId="77777777" w:rsidR="00F119D2" w:rsidRPr="0092004C" w:rsidRDefault="00F119D2" w:rsidP="00F119D2">
      <w:pPr>
        <w:pStyle w:val="MDPHBullet"/>
      </w:pPr>
      <w:r w:rsidRPr="0092004C">
        <w:t xml:space="preserve">Requisitos de reporte para LTCF de eventos de sobredosis, </w:t>
      </w:r>
      <w:hyperlink r:id="rId13" w:history="1">
        <w:r w:rsidRPr="0092004C">
          <w:rPr>
            <w:rStyle w:val="Hyperlink"/>
          </w:rPr>
          <w:t>usualmente Departamento de salud pública (DPH)</w:t>
        </w:r>
      </w:hyperlink>
      <w:r w:rsidRPr="0092004C">
        <w:rPr>
          <w:rStyle w:val="EndnoteReference"/>
        </w:rPr>
        <w:endnoteReference w:id="31"/>
      </w:r>
    </w:p>
    <w:p w14:paraId="4FFA78AC" w14:textId="77777777" w:rsidR="00F119D2" w:rsidRPr="0092004C" w:rsidRDefault="00F119D2" w:rsidP="00F119D2">
      <w:pPr>
        <w:pStyle w:val="Heading3"/>
      </w:pPr>
      <w:bookmarkStart w:id="9" w:name="_Toc120034120"/>
      <w:r w:rsidRPr="0092004C">
        <w:t xml:space="preserve">Atención para los cuidadores (consulte </w:t>
      </w:r>
      <w:hyperlink w:anchor="_TIP_2:_Creating" w:history="1">
        <w:r w:rsidRPr="0092004C">
          <w:rPr>
            <w:rStyle w:val="Hyperlink"/>
            <w:color w:val="034990" w:themeColor="hyperlink" w:themeShade="BF"/>
          </w:rPr>
          <w:t>Consejo 2</w:t>
        </w:r>
      </w:hyperlink>
      <w:r w:rsidRPr="0092004C">
        <w:t xml:space="preserve"> y </w:t>
      </w:r>
      <w:hyperlink w:anchor="_Tip_3:_Organizational" w:history="1">
        <w:r w:rsidRPr="0092004C">
          <w:rPr>
            <w:rStyle w:val="Hyperlink"/>
            <w:color w:val="034990" w:themeColor="hyperlink" w:themeShade="BF"/>
          </w:rPr>
          <w:t>Consejo 3</w:t>
        </w:r>
      </w:hyperlink>
      <w:r w:rsidRPr="0092004C">
        <w:t xml:space="preserve"> respecto a los recursos para las familias y los cuidadores)</w:t>
      </w:r>
      <w:bookmarkEnd w:id="9"/>
      <w:r w:rsidRPr="0092004C">
        <w:t xml:space="preserve"> </w:t>
      </w:r>
    </w:p>
    <w:p w14:paraId="56F44D3A" w14:textId="77777777" w:rsidR="00F119D2" w:rsidRPr="0092004C" w:rsidRDefault="00F119D2" w:rsidP="00F119D2">
      <w:pPr>
        <w:pStyle w:val="MDPHBullet"/>
      </w:pPr>
      <w:r w:rsidRPr="0092004C">
        <w:t>Establecer límites personales y profesionales</w:t>
      </w:r>
    </w:p>
    <w:p w14:paraId="754395BD" w14:textId="77777777" w:rsidR="00F119D2" w:rsidRPr="0092004C" w:rsidRDefault="00F119D2" w:rsidP="00F119D2">
      <w:pPr>
        <w:pStyle w:val="MDPHBullet"/>
      </w:pPr>
      <w:r w:rsidRPr="0092004C">
        <w:t>Recuperación de eventos traumáticos (por ejemplo, evento de sobredosis o muerte inesperada de residente)</w:t>
      </w:r>
    </w:p>
    <w:p w14:paraId="3CD4748A" w14:textId="77777777" w:rsidR="00F119D2" w:rsidRPr="0092004C" w:rsidRDefault="00F119D2" w:rsidP="00F119D2">
      <w:pPr>
        <w:pStyle w:val="MDPHBullet"/>
      </w:pPr>
      <w:r w:rsidRPr="0092004C">
        <w:t>Sesión informativa posterior a una crisis</w:t>
      </w:r>
    </w:p>
    <w:p w14:paraId="3D8795CB" w14:textId="77777777" w:rsidR="00F119D2" w:rsidRPr="0092004C" w:rsidRDefault="00F119D2" w:rsidP="00F119D2">
      <w:pPr>
        <w:pStyle w:val="MDPHBullet"/>
      </w:pPr>
      <w:r w:rsidRPr="0092004C">
        <w:t>Reconocer y prevenir el agotamiento del cuidador</w:t>
      </w:r>
    </w:p>
    <w:p w14:paraId="158A676A" w14:textId="77777777" w:rsidR="00F119D2" w:rsidRPr="0092004C" w:rsidRDefault="00F119D2" w:rsidP="00F119D2">
      <w:pPr>
        <w:pStyle w:val="Heading2"/>
      </w:pPr>
      <w:bookmarkStart w:id="10" w:name="_Toc120034121"/>
      <w:r w:rsidRPr="0092004C">
        <w:t>Educación y recursos</w:t>
      </w:r>
      <w:bookmarkEnd w:id="10"/>
    </w:p>
    <w:p w14:paraId="79ADF8BD" w14:textId="77777777" w:rsidR="00F119D2" w:rsidRPr="0092004C" w:rsidRDefault="00F119D2" w:rsidP="00F119D2">
      <w:pPr>
        <w:pStyle w:val="MDPHBullet"/>
        <w:rPr>
          <w:lang w:val="en-US"/>
        </w:rPr>
      </w:pPr>
      <w:r w:rsidRPr="0092004C">
        <w:rPr>
          <w:lang w:val="en-US"/>
        </w:rPr>
        <w:t xml:space="preserve">American Addiction Centers National Rehabs Directory: </w:t>
      </w:r>
      <w:hyperlink r:id="rId14" w:history="1">
        <w:r w:rsidRPr="0092004C">
          <w:rPr>
            <w:rStyle w:val="Hyperlink"/>
            <w:lang w:val="en-US"/>
          </w:rPr>
          <w:t xml:space="preserve">Check Your Blind Spot: Understanding Implicit Bias </w:t>
        </w:r>
      </w:hyperlink>
      <w:r w:rsidRPr="0092004C">
        <w:rPr>
          <w:vertAlign w:val="superscript"/>
        </w:rPr>
        <w:endnoteReference w:id="32"/>
      </w:r>
      <w:r w:rsidRPr="0092004C">
        <w:rPr>
          <w:vertAlign w:val="superscript"/>
          <w:lang w:val="en-US"/>
        </w:rPr>
        <w:t xml:space="preserve"> </w:t>
      </w:r>
    </w:p>
    <w:p w14:paraId="222C6372" w14:textId="77777777" w:rsidR="00F119D2" w:rsidRPr="0092004C" w:rsidRDefault="00F119D2" w:rsidP="00F119D2">
      <w:pPr>
        <w:pStyle w:val="MDPHBullet"/>
        <w:rPr>
          <w:rStyle w:val="Hyperlink"/>
          <w:lang w:val="en-US"/>
        </w:rPr>
      </w:pPr>
      <w:r w:rsidRPr="0092004C">
        <w:rPr>
          <w:lang w:val="en-US"/>
        </w:rPr>
        <w:t xml:space="preserve">SAMHSA Recover Month: Road to Recovery </w:t>
      </w:r>
      <w:hyperlink r:id="rId15" w:history="1">
        <w:proofErr w:type="spellStart"/>
        <w:r w:rsidRPr="0092004C">
          <w:rPr>
            <w:rStyle w:val="Hyperlink"/>
            <w:lang w:val="en-US"/>
          </w:rPr>
          <w:t>Guía</w:t>
        </w:r>
        <w:proofErr w:type="spellEnd"/>
        <w:r w:rsidRPr="0092004C">
          <w:rPr>
            <w:rStyle w:val="Hyperlink"/>
            <w:lang w:val="en-US"/>
          </w:rPr>
          <w:t xml:space="preserve"> de </w:t>
        </w:r>
        <w:proofErr w:type="spellStart"/>
        <w:r w:rsidRPr="0092004C">
          <w:rPr>
            <w:rStyle w:val="Hyperlink"/>
            <w:lang w:val="en-US"/>
          </w:rPr>
          <w:t>discusión</w:t>
        </w:r>
        <w:proofErr w:type="spellEnd"/>
      </w:hyperlink>
      <w:r w:rsidRPr="0092004C">
        <w:rPr>
          <w:vertAlign w:val="superscript"/>
        </w:rPr>
        <w:endnoteReference w:id="33"/>
      </w:r>
    </w:p>
    <w:p w14:paraId="1BEFDEC3" w14:textId="77777777" w:rsidR="00F119D2" w:rsidRPr="0092004C" w:rsidRDefault="00F119D2" w:rsidP="00F119D2">
      <w:pPr>
        <w:pStyle w:val="MDPHBullet"/>
        <w:rPr>
          <w:rStyle w:val="Hyperlink"/>
        </w:rPr>
      </w:pPr>
      <w:hyperlink w:anchor="_Appendix_13:_Additional" w:history="1">
        <w:r w:rsidRPr="0092004C">
          <w:rPr>
            <w:rStyle w:val="Hyperlink"/>
          </w:rPr>
          <w:t>Apéndice 13: recursos adicionales</w:t>
        </w:r>
      </w:hyperlink>
    </w:p>
    <w:p w14:paraId="5C41AA37" w14:textId="77777777" w:rsidR="00F119D2" w:rsidRPr="0092004C" w:rsidRDefault="00F119D2" w:rsidP="00F119D2">
      <w:r w:rsidRPr="0092004C">
        <w:br w:type="page"/>
      </w:r>
    </w:p>
    <w:p w14:paraId="5E2BF5D7" w14:textId="77777777" w:rsidR="00F119D2" w:rsidRPr="0092004C" w:rsidRDefault="00F119D2" w:rsidP="00F119D2">
      <w:pPr>
        <w:pStyle w:val="Heading2"/>
      </w:pPr>
      <w:bookmarkStart w:id="11" w:name="_Toc120034122"/>
      <w:r w:rsidRPr="0092004C">
        <w:lastRenderedPageBreak/>
        <w:t>Implementación: puntos clave</w:t>
      </w:r>
      <w:bookmarkEnd w:id="11"/>
    </w:p>
    <w:tbl>
      <w:tblPr>
        <w:tblW w:w="0" w:type="auto"/>
        <w:tbl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single" w:sz="8" w:space="0" w:color="4472C4" w:themeColor="accent1"/>
          <w:insideV w:val="single" w:sz="8" w:space="0" w:color="4472C4" w:themeColor="accent1"/>
        </w:tblBorders>
        <w:tblLook w:val="04A0" w:firstRow="1" w:lastRow="0" w:firstColumn="1" w:lastColumn="0" w:noHBand="0" w:noVBand="1"/>
      </w:tblPr>
      <w:tblGrid>
        <w:gridCol w:w="1764"/>
        <w:gridCol w:w="9016"/>
      </w:tblGrid>
      <w:tr w:rsidR="00F119D2" w:rsidRPr="0092004C" w14:paraId="20C7B88A" w14:textId="77777777" w:rsidTr="005858FB">
        <w:trPr>
          <w:tblHeader/>
        </w:trPr>
        <w:tc>
          <w:tcPr>
            <w:tcW w:w="1430" w:type="dxa"/>
            <w:shd w:val="clear" w:color="auto" w:fill="4376BB"/>
          </w:tcPr>
          <w:p w14:paraId="57832E98" w14:textId="77777777" w:rsidR="00F119D2" w:rsidRPr="0092004C" w:rsidRDefault="00F119D2" w:rsidP="005858FB">
            <w:pPr>
              <w:spacing w:line="260" w:lineRule="exact"/>
              <w:rPr>
                <w:rFonts w:ascii="Segoe UI" w:hAnsi="Segoe UI" w:cs="Segoe UI"/>
                <w:b/>
                <w:color w:val="FFFFFF" w:themeColor="background1"/>
                <w:szCs w:val="20"/>
              </w:rPr>
            </w:pPr>
            <w:r w:rsidRPr="0092004C">
              <w:rPr>
                <w:rFonts w:ascii="Segoe UI" w:hAnsi="Segoe UI"/>
                <w:b/>
                <w:color w:val="FFFFFF" w:themeColor="background1"/>
              </w:rPr>
              <w:t>Consejo 4:</w:t>
            </w:r>
          </w:p>
        </w:tc>
        <w:tc>
          <w:tcPr>
            <w:tcW w:w="9350" w:type="dxa"/>
            <w:shd w:val="clear" w:color="auto" w:fill="4376BB"/>
          </w:tcPr>
          <w:p w14:paraId="5E9F4FDD" w14:textId="77777777" w:rsidR="00F119D2" w:rsidRPr="0092004C" w:rsidRDefault="00F119D2" w:rsidP="005858FB">
            <w:pPr>
              <w:spacing w:line="260" w:lineRule="exact"/>
              <w:rPr>
                <w:rFonts w:ascii="Segoe UI" w:hAnsi="Segoe UI" w:cs="Segoe UI"/>
                <w:b/>
                <w:color w:val="FFFFFF" w:themeColor="background1"/>
                <w:szCs w:val="20"/>
              </w:rPr>
            </w:pPr>
            <w:r w:rsidRPr="0092004C">
              <w:rPr>
                <w:rFonts w:ascii="Segoe UI" w:hAnsi="Segoe UI"/>
                <w:b/>
                <w:color w:val="FFFFFF" w:themeColor="background1"/>
              </w:rPr>
              <w:t>Competencias demostradas</w:t>
            </w:r>
          </w:p>
        </w:tc>
      </w:tr>
      <w:tr w:rsidR="00F119D2" w:rsidRPr="0092004C" w14:paraId="5180A785" w14:textId="77777777" w:rsidTr="005858FB">
        <w:tc>
          <w:tcPr>
            <w:tcW w:w="1430" w:type="dxa"/>
            <w:shd w:val="clear" w:color="auto" w:fill="CAD9EC"/>
          </w:tcPr>
          <w:p w14:paraId="28FF4526" w14:textId="77777777" w:rsidR="00F119D2" w:rsidRPr="0092004C" w:rsidRDefault="00F119D2" w:rsidP="005858FB">
            <w:pPr>
              <w:spacing w:line="260" w:lineRule="exact"/>
              <w:rPr>
                <w:rFonts w:ascii="Segoe UI" w:hAnsi="Segoe UI" w:cs="Segoe UI"/>
                <w:b/>
                <w:sz w:val="20"/>
                <w:szCs w:val="20"/>
              </w:rPr>
            </w:pPr>
            <w:r w:rsidRPr="0092004C">
              <w:rPr>
                <w:rFonts w:ascii="Segoe UI" w:hAnsi="Segoe UI"/>
                <w:b/>
                <w:sz w:val="20"/>
              </w:rPr>
              <w:t>Políticas</w:t>
            </w:r>
          </w:p>
        </w:tc>
        <w:tc>
          <w:tcPr>
            <w:tcW w:w="9350" w:type="dxa"/>
          </w:tcPr>
          <w:p w14:paraId="640C936D" w14:textId="77777777" w:rsidR="00F119D2" w:rsidRPr="0092004C" w:rsidRDefault="00F119D2" w:rsidP="00F119D2">
            <w:pPr>
              <w:pStyle w:val="ListParagraph"/>
              <w:numPr>
                <w:ilvl w:val="0"/>
                <w:numId w:val="3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 xml:space="preserve">Incorporar competencias a la capacitación del personal: comprender OUD y </w:t>
            </w:r>
            <w:proofErr w:type="spellStart"/>
            <w:r w:rsidRPr="0092004C">
              <w:rPr>
                <w:rFonts w:ascii="Segoe UI" w:hAnsi="Segoe UI"/>
                <w:sz w:val="20"/>
              </w:rPr>
              <w:t>StUD</w:t>
            </w:r>
            <w:proofErr w:type="spellEnd"/>
            <w:r w:rsidRPr="0092004C">
              <w:rPr>
                <w:rFonts w:ascii="Segoe UI" w:hAnsi="Segoe UI"/>
                <w:sz w:val="20"/>
              </w:rPr>
              <w:t xml:space="preserve">, cómo cuidar a personas con OUD y </w:t>
            </w:r>
            <w:proofErr w:type="spellStart"/>
            <w:r w:rsidRPr="0092004C">
              <w:rPr>
                <w:rFonts w:ascii="Segoe UI" w:hAnsi="Segoe UI"/>
                <w:sz w:val="20"/>
              </w:rPr>
              <w:t>StUD</w:t>
            </w:r>
            <w:proofErr w:type="spellEnd"/>
            <w:r w:rsidRPr="0092004C">
              <w:rPr>
                <w:rFonts w:ascii="Segoe UI" w:hAnsi="Segoe UI"/>
                <w:sz w:val="20"/>
              </w:rPr>
              <w:t>, prevenir sobredosis y qué hacer en caso de una sobredosis.</w:t>
            </w:r>
          </w:p>
        </w:tc>
      </w:tr>
      <w:tr w:rsidR="00F119D2" w:rsidRPr="0092004C" w14:paraId="117F1A06" w14:textId="77777777" w:rsidTr="005858FB">
        <w:tc>
          <w:tcPr>
            <w:tcW w:w="1430" w:type="dxa"/>
            <w:shd w:val="clear" w:color="auto" w:fill="CAD9EC"/>
          </w:tcPr>
          <w:p w14:paraId="4FA77ADF" w14:textId="77777777" w:rsidR="00F119D2" w:rsidRPr="0092004C" w:rsidRDefault="00F119D2" w:rsidP="005858FB">
            <w:pPr>
              <w:spacing w:line="260" w:lineRule="exact"/>
              <w:rPr>
                <w:rFonts w:ascii="Segoe UI" w:hAnsi="Segoe UI" w:cs="Segoe UI"/>
                <w:b/>
                <w:sz w:val="20"/>
                <w:szCs w:val="20"/>
              </w:rPr>
            </w:pPr>
            <w:r w:rsidRPr="0092004C">
              <w:rPr>
                <w:rFonts w:ascii="Segoe UI" w:hAnsi="Segoe UI"/>
                <w:b/>
                <w:sz w:val="20"/>
              </w:rPr>
              <w:t xml:space="preserve">Lista de verificación de competencias </w:t>
            </w:r>
          </w:p>
        </w:tc>
        <w:tc>
          <w:tcPr>
            <w:tcW w:w="9350" w:type="dxa"/>
            <w:vAlign w:val="center"/>
          </w:tcPr>
          <w:p w14:paraId="6721A9E1" w14:textId="77777777" w:rsidR="00F119D2" w:rsidRPr="0092004C" w:rsidRDefault="00F119D2" w:rsidP="005858FB">
            <w:pPr>
              <w:spacing w:line="260" w:lineRule="exact"/>
              <w:jc w:val="center"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92004C">
              <w:rPr>
                <w:rFonts w:ascii="Segoe UI" w:hAnsi="Segoe UI"/>
                <w:b/>
                <w:i/>
                <w:sz w:val="20"/>
              </w:rPr>
              <w:t>Competencias: conocimiento, habilidad o actitud</w:t>
            </w:r>
          </w:p>
        </w:tc>
      </w:tr>
      <w:tr w:rsidR="00F119D2" w:rsidRPr="0092004C" w14:paraId="0725F162" w14:textId="77777777" w:rsidTr="005858FB">
        <w:trPr>
          <w:trHeight w:val="2019"/>
        </w:trPr>
        <w:tc>
          <w:tcPr>
            <w:tcW w:w="1430" w:type="dxa"/>
            <w:shd w:val="clear" w:color="auto" w:fill="CAD9EC"/>
          </w:tcPr>
          <w:p w14:paraId="54160044" w14:textId="77777777" w:rsidR="00F119D2" w:rsidRPr="0092004C" w:rsidRDefault="00F119D2" w:rsidP="005858FB">
            <w:pPr>
              <w:spacing w:line="260" w:lineRule="exact"/>
              <w:ind w:left="150"/>
              <w:rPr>
                <w:rFonts w:ascii="Segoe UI" w:hAnsi="Segoe UI" w:cs="Segoe UI"/>
                <w:i/>
                <w:sz w:val="20"/>
                <w:szCs w:val="20"/>
              </w:rPr>
            </w:pPr>
            <w:r w:rsidRPr="0092004C">
              <w:rPr>
                <w:rFonts w:ascii="Segoe UI" w:hAnsi="Segoe UI"/>
                <w:i/>
                <w:sz w:val="20"/>
              </w:rPr>
              <w:t xml:space="preserve">Comprender OUD y </w:t>
            </w:r>
            <w:proofErr w:type="spellStart"/>
            <w:r w:rsidRPr="0092004C">
              <w:rPr>
                <w:rFonts w:ascii="Segoe UI" w:hAnsi="Segoe UI"/>
                <w:i/>
                <w:sz w:val="20"/>
              </w:rPr>
              <w:t>StUD</w:t>
            </w:r>
            <w:proofErr w:type="spellEnd"/>
          </w:p>
        </w:tc>
        <w:tc>
          <w:tcPr>
            <w:tcW w:w="9350" w:type="dxa"/>
          </w:tcPr>
          <w:p w14:paraId="6B15115C" w14:textId="77777777" w:rsidR="00F119D2" w:rsidRPr="0092004C" w:rsidRDefault="00F119D2" w:rsidP="00F119D2">
            <w:pPr>
              <w:pStyle w:val="ListParagraph"/>
              <w:numPr>
                <w:ilvl w:val="0"/>
                <w:numId w:val="6"/>
              </w:numPr>
              <w:spacing w:line="260" w:lineRule="exact"/>
              <w:rPr>
                <w:rFonts w:ascii="Segoe UI" w:hAnsi="Segoe UI" w:cs="Segoe UI"/>
                <w:b/>
                <w:sz w:val="20"/>
                <w:szCs w:val="20"/>
              </w:rPr>
            </w:pPr>
            <w:r w:rsidRPr="0092004C">
              <w:rPr>
                <w:rFonts w:ascii="Segoe UI" w:hAnsi="Segoe UI"/>
                <w:b/>
                <w:sz w:val="20"/>
              </w:rPr>
              <w:t xml:space="preserve">Conocimiento y/o actitud </w:t>
            </w:r>
          </w:p>
          <w:p w14:paraId="2247DC67" w14:textId="77777777" w:rsidR="00F119D2" w:rsidRPr="0092004C" w:rsidRDefault="00F119D2" w:rsidP="00F119D2">
            <w:pPr>
              <w:pStyle w:val="ListParagraph"/>
              <w:numPr>
                <w:ilvl w:val="1"/>
                <w:numId w:val="6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>Sesgos implícitos: tome las pruebas de asociación implícita.</w:t>
            </w:r>
          </w:p>
          <w:p w14:paraId="39DF1723" w14:textId="77777777" w:rsidR="00F119D2" w:rsidRPr="0092004C" w:rsidRDefault="00F119D2" w:rsidP="00F119D2">
            <w:pPr>
              <w:pStyle w:val="ListParagraph"/>
              <w:numPr>
                <w:ilvl w:val="1"/>
                <w:numId w:val="6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 xml:space="preserve">Descartar el estigma y las ideas erróneas acerca de OUD y </w:t>
            </w:r>
            <w:proofErr w:type="spellStart"/>
            <w:r w:rsidRPr="0092004C">
              <w:rPr>
                <w:rFonts w:ascii="Segoe UI" w:hAnsi="Segoe UI"/>
                <w:sz w:val="20"/>
              </w:rPr>
              <w:t>StUD</w:t>
            </w:r>
            <w:proofErr w:type="spellEnd"/>
            <w:r w:rsidRPr="0092004C">
              <w:rPr>
                <w:rFonts w:ascii="Segoe UI" w:hAnsi="Segoe UI"/>
                <w:sz w:val="20"/>
              </w:rPr>
              <w:t>.</w:t>
            </w:r>
          </w:p>
          <w:p w14:paraId="3E876AA3" w14:textId="77777777" w:rsidR="00F119D2" w:rsidRPr="0092004C" w:rsidRDefault="00F119D2" w:rsidP="00F119D2">
            <w:pPr>
              <w:pStyle w:val="ListParagraph"/>
              <w:numPr>
                <w:ilvl w:val="1"/>
                <w:numId w:val="6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>Enfoque informado sobre la situación traumática.</w:t>
            </w:r>
          </w:p>
          <w:p w14:paraId="6C12CFA5" w14:textId="77777777" w:rsidR="00F119D2" w:rsidRPr="0092004C" w:rsidRDefault="00F119D2" w:rsidP="00F119D2">
            <w:pPr>
              <w:pStyle w:val="ListParagraph"/>
              <w:numPr>
                <w:ilvl w:val="1"/>
                <w:numId w:val="6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>Reconozca y controle la intoxicación, la abstinencia o la sobredosis.</w:t>
            </w:r>
          </w:p>
          <w:p w14:paraId="28B4E461" w14:textId="77777777" w:rsidR="00F119D2" w:rsidRPr="0092004C" w:rsidRDefault="00F119D2" w:rsidP="00F119D2">
            <w:pPr>
              <w:pStyle w:val="ListParagraph"/>
              <w:numPr>
                <w:ilvl w:val="1"/>
                <w:numId w:val="6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>Lineamientos éticos y legales.</w:t>
            </w:r>
          </w:p>
          <w:p w14:paraId="3EAA2565" w14:textId="77777777" w:rsidR="00F119D2" w:rsidRPr="0092004C" w:rsidRDefault="00F119D2" w:rsidP="00F119D2">
            <w:pPr>
              <w:pStyle w:val="ListParagraph"/>
              <w:numPr>
                <w:ilvl w:val="0"/>
                <w:numId w:val="6"/>
              </w:numPr>
              <w:spacing w:line="260" w:lineRule="exact"/>
              <w:rPr>
                <w:rFonts w:ascii="Segoe UI" w:hAnsi="Segoe UI" w:cs="Segoe UI"/>
                <w:b/>
                <w:sz w:val="20"/>
                <w:szCs w:val="20"/>
              </w:rPr>
            </w:pPr>
            <w:r w:rsidRPr="0092004C">
              <w:rPr>
                <w:rFonts w:ascii="Segoe UI" w:hAnsi="Segoe UI"/>
                <w:b/>
                <w:sz w:val="20"/>
              </w:rPr>
              <w:t>Conocimiento y habilidad</w:t>
            </w:r>
          </w:p>
          <w:p w14:paraId="20696A76" w14:textId="77777777" w:rsidR="00F119D2" w:rsidRPr="0092004C" w:rsidRDefault="00F119D2" w:rsidP="00F119D2">
            <w:pPr>
              <w:pStyle w:val="ListParagraph"/>
              <w:numPr>
                <w:ilvl w:val="1"/>
                <w:numId w:val="6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>Distinción entre uso, dependencia y trastorno.</w:t>
            </w:r>
          </w:p>
        </w:tc>
      </w:tr>
      <w:tr w:rsidR="00F119D2" w:rsidRPr="0092004C" w14:paraId="0C877F55" w14:textId="77777777" w:rsidTr="005858FB">
        <w:trPr>
          <w:trHeight w:val="1560"/>
        </w:trPr>
        <w:tc>
          <w:tcPr>
            <w:tcW w:w="1430" w:type="dxa"/>
            <w:shd w:val="clear" w:color="auto" w:fill="CAD9EC"/>
          </w:tcPr>
          <w:p w14:paraId="55A9FF23" w14:textId="77777777" w:rsidR="00F119D2" w:rsidRPr="0092004C" w:rsidRDefault="00F119D2" w:rsidP="005858FB">
            <w:pPr>
              <w:spacing w:line="260" w:lineRule="exact"/>
              <w:ind w:left="150"/>
              <w:rPr>
                <w:rFonts w:ascii="Segoe UI" w:hAnsi="Segoe UI" w:cs="Segoe UI"/>
                <w:i/>
                <w:sz w:val="20"/>
                <w:szCs w:val="20"/>
              </w:rPr>
            </w:pPr>
            <w:r w:rsidRPr="0092004C">
              <w:rPr>
                <w:rFonts w:ascii="Segoe UI" w:hAnsi="Segoe UI"/>
                <w:i/>
                <w:sz w:val="20"/>
              </w:rPr>
              <w:t>Consideraciones especiales a través del rango de edades</w:t>
            </w:r>
          </w:p>
        </w:tc>
        <w:tc>
          <w:tcPr>
            <w:tcW w:w="9350" w:type="dxa"/>
          </w:tcPr>
          <w:p w14:paraId="75ADC6F1" w14:textId="77777777" w:rsidR="00F119D2" w:rsidRPr="0092004C" w:rsidRDefault="00F119D2" w:rsidP="00F119D2">
            <w:pPr>
              <w:pStyle w:val="ListParagraph"/>
              <w:numPr>
                <w:ilvl w:val="0"/>
                <w:numId w:val="6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b/>
                <w:sz w:val="20"/>
              </w:rPr>
              <w:t>Conocimiento</w:t>
            </w:r>
          </w:p>
          <w:p w14:paraId="26B5F49A" w14:textId="77777777" w:rsidR="00F119D2" w:rsidRPr="0092004C" w:rsidRDefault="00F119D2" w:rsidP="00F119D2">
            <w:pPr>
              <w:pStyle w:val="ListParagraph"/>
              <w:numPr>
                <w:ilvl w:val="1"/>
                <w:numId w:val="6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>Comorbilidades médicas</w:t>
            </w:r>
          </w:p>
          <w:p w14:paraId="2D7584E6" w14:textId="77777777" w:rsidR="00F119D2" w:rsidRPr="0092004C" w:rsidRDefault="00F119D2" w:rsidP="00F119D2">
            <w:pPr>
              <w:pStyle w:val="ListParagraph"/>
              <w:numPr>
                <w:ilvl w:val="1"/>
                <w:numId w:val="6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>Comorbilidades psiquiátricas</w:t>
            </w:r>
          </w:p>
          <w:p w14:paraId="107833F0" w14:textId="77777777" w:rsidR="00F119D2" w:rsidRPr="0092004C" w:rsidRDefault="00F119D2" w:rsidP="00F119D2">
            <w:pPr>
              <w:pStyle w:val="ListParagraph"/>
              <w:numPr>
                <w:ilvl w:val="1"/>
                <w:numId w:val="6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 xml:space="preserve">Dolor agudo/crónico y OUD en conjunto con </w:t>
            </w:r>
            <w:proofErr w:type="spellStart"/>
            <w:r w:rsidRPr="0092004C">
              <w:rPr>
                <w:rFonts w:ascii="Segoe UI" w:hAnsi="Segoe UI"/>
                <w:sz w:val="20"/>
              </w:rPr>
              <w:t>StUD</w:t>
            </w:r>
            <w:proofErr w:type="spellEnd"/>
          </w:p>
          <w:p w14:paraId="6E6D437E" w14:textId="77777777" w:rsidR="00F119D2" w:rsidRPr="0092004C" w:rsidRDefault="00F119D2" w:rsidP="00F119D2">
            <w:pPr>
              <w:pStyle w:val="ListParagraph"/>
              <w:numPr>
                <w:ilvl w:val="1"/>
                <w:numId w:val="6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>Tratamiento efectivo según se determina por el OTP o el OBOT/OBAT</w:t>
            </w:r>
          </w:p>
          <w:p w14:paraId="70C339A6" w14:textId="77777777" w:rsidR="00F119D2" w:rsidRPr="0092004C" w:rsidRDefault="00F119D2" w:rsidP="00F119D2">
            <w:pPr>
              <w:pStyle w:val="ListParagraph"/>
              <w:numPr>
                <w:ilvl w:val="1"/>
                <w:numId w:val="6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>Interacciones de polifarmacia y drogas</w:t>
            </w:r>
          </w:p>
        </w:tc>
      </w:tr>
      <w:tr w:rsidR="00F119D2" w:rsidRPr="0092004C" w14:paraId="62BFF6CF" w14:textId="77777777" w:rsidTr="005858FB">
        <w:trPr>
          <w:trHeight w:val="720"/>
        </w:trPr>
        <w:tc>
          <w:tcPr>
            <w:tcW w:w="1430" w:type="dxa"/>
            <w:shd w:val="clear" w:color="auto" w:fill="CAD9EC"/>
          </w:tcPr>
          <w:p w14:paraId="452C9441" w14:textId="77777777" w:rsidR="00F119D2" w:rsidRPr="0092004C" w:rsidRDefault="00F119D2" w:rsidP="005858FB">
            <w:pPr>
              <w:spacing w:line="260" w:lineRule="exact"/>
              <w:ind w:left="150"/>
              <w:rPr>
                <w:rFonts w:ascii="Segoe UI" w:hAnsi="Segoe UI" w:cs="Segoe UI"/>
                <w:i/>
                <w:sz w:val="20"/>
                <w:szCs w:val="20"/>
              </w:rPr>
            </w:pPr>
            <w:r w:rsidRPr="0092004C">
              <w:rPr>
                <w:rFonts w:ascii="Segoe UI" w:hAnsi="Segoe UI"/>
                <w:i/>
                <w:sz w:val="20"/>
              </w:rPr>
              <w:t>Ambiente social de los residentes</w:t>
            </w:r>
          </w:p>
        </w:tc>
        <w:tc>
          <w:tcPr>
            <w:tcW w:w="9350" w:type="dxa"/>
          </w:tcPr>
          <w:p w14:paraId="5A405A2D" w14:textId="77777777" w:rsidR="00F119D2" w:rsidRPr="0092004C" w:rsidRDefault="00F119D2" w:rsidP="00F119D2">
            <w:pPr>
              <w:pStyle w:val="ListParagraph"/>
              <w:numPr>
                <w:ilvl w:val="0"/>
                <w:numId w:val="6"/>
              </w:numPr>
              <w:spacing w:line="260" w:lineRule="exact"/>
              <w:rPr>
                <w:rFonts w:ascii="Segoe UI" w:hAnsi="Segoe UI" w:cs="Segoe UI"/>
                <w:b/>
                <w:sz w:val="20"/>
                <w:szCs w:val="20"/>
              </w:rPr>
            </w:pPr>
            <w:r w:rsidRPr="0092004C">
              <w:rPr>
                <w:rFonts w:ascii="Segoe UI" w:hAnsi="Segoe UI"/>
                <w:b/>
                <w:sz w:val="20"/>
              </w:rPr>
              <w:t>Conocimiento y habilidad</w:t>
            </w:r>
          </w:p>
          <w:p w14:paraId="71D06502" w14:textId="77777777" w:rsidR="00F119D2" w:rsidRPr="0092004C" w:rsidRDefault="00F119D2" w:rsidP="00F119D2">
            <w:pPr>
              <w:pStyle w:val="ListParagraph"/>
              <w:numPr>
                <w:ilvl w:val="1"/>
                <w:numId w:val="6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 xml:space="preserve">Expectativas para residentes con OUD y </w:t>
            </w:r>
            <w:proofErr w:type="spellStart"/>
            <w:r w:rsidRPr="0092004C">
              <w:rPr>
                <w:rFonts w:ascii="Segoe UI" w:hAnsi="Segoe UI"/>
                <w:sz w:val="20"/>
              </w:rPr>
              <w:t>StUD</w:t>
            </w:r>
            <w:proofErr w:type="spellEnd"/>
            <w:r w:rsidRPr="0092004C">
              <w:rPr>
                <w:rFonts w:ascii="Segoe UI" w:hAnsi="Segoe UI"/>
                <w:sz w:val="20"/>
              </w:rPr>
              <w:t>: recursos y estrategias para la seguridad de los residentes y del personal</w:t>
            </w:r>
          </w:p>
        </w:tc>
      </w:tr>
      <w:tr w:rsidR="00F119D2" w:rsidRPr="0092004C" w14:paraId="46240A18" w14:textId="77777777" w:rsidTr="005858FB">
        <w:trPr>
          <w:cantSplit/>
        </w:trPr>
        <w:tc>
          <w:tcPr>
            <w:tcW w:w="1430" w:type="dxa"/>
            <w:shd w:val="clear" w:color="auto" w:fill="CAD9EC"/>
          </w:tcPr>
          <w:p w14:paraId="796C516A" w14:textId="77777777" w:rsidR="00F119D2" w:rsidRPr="0092004C" w:rsidRDefault="00F119D2" w:rsidP="005858FB">
            <w:pPr>
              <w:spacing w:line="260" w:lineRule="exact"/>
              <w:ind w:left="150"/>
              <w:rPr>
                <w:rFonts w:ascii="Segoe UI" w:hAnsi="Segoe UI" w:cs="Segoe UI"/>
                <w:i/>
                <w:sz w:val="20"/>
                <w:szCs w:val="20"/>
              </w:rPr>
            </w:pPr>
            <w:r w:rsidRPr="0092004C">
              <w:rPr>
                <w:rFonts w:ascii="Segoe UI" w:hAnsi="Segoe UI"/>
                <w:i/>
                <w:sz w:val="20"/>
              </w:rPr>
              <w:t>Atender a personas con OUD tratado con MOUD</w:t>
            </w:r>
          </w:p>
        </w:tc>
        <w:tc>
          <w:tcPr>
            <w:tcW w:w="9350" w:type="dxa"/>
          </w:tcPr>
          <w:p w14:paraId="4B7C5721" w14:textId="77777777" w:rsidR="00F119D2" w:rsidRPr="0092004C" w:rsidRDefault="00F119D2" w:rsidP="00F119D2">
            <w:pPr>
              <w:pStyle w:val="ListParagraph"/>
              <w:numPr>
                <w:ilvl w:val="0"/>
                <w:numId w:val="6"/>
              </w:numPr>
              <w:spacing w:line="260" w:lineRule="exact"/>
              <w:rPr>
                <w:rFonts w:ascii="Segoe UI" w:hAnsi="Segoe UI" w:cs="Segoe UI"/>
                <w:b/>
                <w:sz w:val="20"/>
                <w:szCs w:val="20"/>
              </w:rPr>
            </w:pPr>
            <w:r w:rsidRPr="0092004C">
              <w:rPr>
                <w:rFonts w:ascii="Segoe UI" w:hAnsi="Segoe UI"/>
                <w:b/>
                <w:sz w:val="20"/>
              </w:rPr>
              <w:t xml:space="preserve">Conocimiento </w:t>
            </w:r>
          </w:p>
          <w:p w14:paraId="7C275E22" w14:textId="77777777" w:rsidR="00F119D2" w:rsidRPr="0092004C" w:rsidRDefault="00F119D2" w:rsidP="00F119D2">
            <w:pPr>
              <w:pStyle w:val="ListParagraph"/>
              <w:numPr>
                <w:ilvl w:val="1"/>
                <w:numId w:val="6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>Objetivos de MOUD</w:t>
            </w:r>
          </w:p>
          <w:p w14:paraId="0D5333B1" w14:textId="77777777" w:rsidR="00F119D2" w:rsidRPr="0092004C" w:rsidRDefault="00F119D2" w:rsidP="00F119D2">
            <w:pPr>
              <w:pStyle w:val="ListParagraph"/>
              <w:numPr>
                <w:ilvl w:val="1"/>
                <w:numId w:val="6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>Modalidades de tratamiento</w:t>
            </w:r>
          </w:p>
          <w:p w14:paraId="4BF2D229" w14:textId="77777777" w:rsidR="00F119D2" w:rsidRPr="0092004C" w:rsidRDefault="00F119D2" w:rsidP="00F119D2">
            <w:pPr>
              <w:pStyle w:val="ListParagraph"/>
              <w:numPr>
                <w:ilvl w:val="1"/>
                <w:numId w:val="6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>Protocolos para los cambios y las necesidades de medicamentos</w:t>
            </w:r>
          </w:p>
          <w:p w14:paraId="3D7545F6" w14:textId="77777777" w:rsidR="00F119D2" w:rsidRPr="0092004C" w:rsidRDefault="00F119D2" w:rsidP="00F119D2">
            <w:pPr>
              <w:pStyle w:val="ListParagraph"/>
              <w:numPr>
                <w:ilvl w:val="1"/>
                <w:numId w:val="6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 xml:space="preserve">Organizar transporte </w:t>
            </w:r>
          </w:p>
          <w:p w14:paraId="5709CAC1" w14:textId="77777777" w:rsidR="00F119D2" w:rsidRPr="0092004C" w:rsidRDefault="00F119D2" w:rsidP="00F119D2">
            <w:pPr>
              <w:pStyle w:val="ListParagraph"/>
              <w:numPr>
                <w:ilvl w:val="1"/>
                <w:numId w:val="6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>Reducción de daño</w:t>
            </w:r>
          </w:p>
          <w:p w14:paraId="2DB42688" w14:textId="77777777" w:rsidR="00F119D2" w:rsidRPr="0092004C" w:rsidRDefault="00F119D2" w:rsidP="00F119D2">
            <w:pPr>
              <w:pStyle w:val="ListParagraph"/>
              <w:numPr>
                <w:ilvl w:val="1"/>
                <w:numId w:val="6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>Mantenimiento de registros</w:t>
            </w:r>
          </w:p>
          <w:p w14:paraId="7336EFC4" w14:textId="77777777" w:rsidR="00F119D2" w:rsidRPr="0092004C" w:rsidRDefault="00F119D2" w:rsidP="00F119D2">
            <w:pPr>
              <w:pStyle w:val="ListParagraph"/>
              <w:numPr>
                <w:ilvl w:val="0"/>
                <w:numId w:val="6"/>
              </w:numPr>
              <w:spacing w:line="260" w:lineRule="exact"/>
              <w:rPr>
                <w:rFonts w:ascii="Segoe UI" w:hAnsi="Segoe UI" w:cs="Segoe UI"/>
                <w:b/>
                <w:sz w:val="20"/>
                <w:szCs w:val="20"/>
              </w:rPr>
            </w:pPr>
            <w:r w:rsidRPr="0092004C">
              <w:rPr>
                <w:rFonts w:ascii="Segoe UI" w:hAnsi="Segoe UI"/>
                <w:b/>
                <w:sz w:val="20"/>
              </w:rPr>
              <w:t>Habilidad</w:t>
            </w:r>
          </w:p>
          <w:p w14:paraId="1D993388" w14:textId="77777777" w:rsidR="00F119D2" w:rsidRPr="0092004C" w:rsidRDefault="00F119D2" w:rsidP="00F119D2">
            <w:pPr>
              <w:pStyle w:val="ListParagraph"/>
              <w:numPr>
                <w:ilvl w:val="1"/>
                <w:numId w:val="6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>Planes efectivos de evaluación y atención</w:t>
            </w:r>
          </w:p>
          <w:p w14:paraId="195AAFAA" w14:textId="77777777" w:rsidR="00F119D2" w:rsidRPr="0092004C" w:rsidRDefault="00F119D2" w:rsidP="00F119D2">
            <w:pPr>
              <w:pStyle w:val="ListParagraph"/>
              <w:numPr>
                <w:ilvl w:val="1"/>
                <w:numId w:val="6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>Comunicación con los programas de comunicación</w:t>
            </w:r>
          </w:p>
          <w:p w14:paraId="4711DCA2" w14:textId="77777777" w:rsidR="00F119D2" w:rsidRPr="0092004C" w:rsidRDefault="00F119D2" w:rsidP="00F119D2">
            <w:pPr>
              <w:pStyle w:val="ListParagraph"/>
              <w:numPr>
                <w:ilvl w:val="1"/>
                <w:numId w:val="6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 xml:space="preserve">Planeación de alta </w:t>
            </w:r>
          </w:p>
          <w:p w14:paraId="1349FE75" w14:textId="77777777" w:rsidR="00F119D2" w:rsidRPr="0092004C" w:rsidRDefault="00F119D2" w:rsidP="00F119D2">
            <w:pPr>
              <w:pStyle w:val="ListParagraph"/>
              <w:numPr>
                <w:ilvl w:val="1"/>
                <w:numId w:val="6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>Competencia con naloxona</w:t>
            </w:r>
          </w:p>
          <w:p w14:paraId="18B38C8C" w14:textId="77777777" w:rsidR="00F119D2" w:rsidRPr="0092004C" w:rsidRDefault="00F119D2" w:rsidP="00F119D2">
            <w:pPr>
              <w:pStyle w:val="ListParagraph"/>
              <w:numPr>
                <w:ilvl w:val="0"/>
                <w:numId w:val="6"/>
              </w:numPr>
              <w:spacing w:line="260" w:lineRule="exact"/>
              <w:rPr>
                <w:rFonts w:ascii="Segoe UI" w:hAnsi="Segoe UI" w:cs="Segoe UI"/>
                <w:b/>
                <w:sz w:val="20"/>
                <w:szCs w:val="20"/>
              </w:rPr>
            </w:pPr>
            <w:r w:rsidRPr="0092004C">
              <w:rPr>
                <w:rFonts w:ascii="Segoe UI" w:hAnsi="Segoe UI"/>
                <w:b/>
                <w:sz w:val="20"/>
              </w:rPr>
              <w:t>Conocimiento y habilidad</w:t>
            </w:r>
          </w:p>
          <w:p w14:paraId="3B23999F" w14:textId="77777777" w:rsidR="00F119D2" w:rsidRPr="0092004C" w:rsidRDefault="00F119D2" w:rsidP="00F119D2">
            <w:pPr>
              <w:pStyle w:val="ListParagraph"/>
              <w:numPr>
                <w:ilvl w:val="1"/>
                <w:numId w:val="6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>Prevención de sobredosis</w:t>
            </w:r>
          </w:p>
          <w:p w14:paraId="5FC93C88" w14:textId="77777777" w:rsidR="00F119D2" w:rsidRPr="0092004C" w:rsidRDefault="00F119D2" w:rsidP="00F119D2">
            <w:pPr>
              <w:pStyle w:val="ListParagraph"/>
              <w:numPr>
                <w:ilvl w:val="1"/>
                <w:numId w:val="6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>Almacenar, administrar y transportar MOUD</w:t>
            </w:r>
          </w:p>
        </w:tc>
      </w:tr>
      <w:tr w:rsidR="00F119D2" w:rsidRPr="0092004C" w14:paraId="5906B574" w14:textId="77777777" w:rsidTr="005858FB">
        <w:trPr>
          <w:trHeight w:val="1152"/>
        </w:trPr>
        <w:tc>
          <w:tcPr>
            <w:tcW w:w="1430" w:type="dxa"/>
            <w:shd w:val="clear" w:color="auto" w:fill="CAD9EC"/>
          </w:tcPr>
          <w:p w14:paraId="6FA408A4" w14:textId="77777777" w:rsidR="00F119D2" w:rsidRPr="0092004C" w:rsidRDefault="00F119D2" w:rsidP="005858FB">
            <w:pPr>
              <w:spacing w:line="260" w:lineRule="exact"/>
              <w:ind w:left="150"/>
              <w:rPr>
                <w:rFonts w:ascii="Segoe UI" w:hAnsi="Segoe UI" w:cs="Segoe UI"/>
                <w:i/>
                <w:sz w:val="20"/>
                <w:szCs w:val="20"/>
              </w:rPr>
            </w:pPr>
            <w:r w:rsidRPr="0092004C">
              <w:rPr>
                <w:rFonts w:ascii="Segoe UI" w:hAnsi="Segoe UI"/>
                <w:i/>
                <w:sz w:val="20"/>
              </w:rPr>
              <w:t>Atención para los cuidadores</w:t>
            </w:r>
          </w:p>
        </w:tc>
        <w:tc>
          <w:tcPr>
            <w:tcW w:w="9350" w:type="dxa"/>
          </w:tcPr>
          <w:p w14:paraId="02EC7830" w14:textId="77777777" w:rsidR="00F119D2" w:rsidRPr="0092004C" w:rsidRDefault="00F119D2" w:rsidP="00F119D2">
            <w:pPr>
              <w:pStyle w:val="ListParagraph"/>
              <w:numPr>
                <w:ilvl w:val="0"/>
                <w:numId w:val="6"/>
              </w:numPr>
              <w:spacing w:line="260" w:lineRule="exact"/>
              <w:rPr>
                <w:rFonts w:ascii="Segoe UI" w:hAnsi="Segoe UI" w:cs="Segoe UI"/>
                <w:b/>
                <w:sz w:val="20"/>
                <w:szCs w:val="20"/>
              </w:rPr>
            </w:pPr>
            <w:r w:rsidRPr="0092004C">
              <w:rPr>
                <w:rFonts w:ascii="Segoe UI" w:hAnsi="Segoe UI"/>
                <w:b/>
                <w:sz w:val="20"/>
              </w:rPr>
              <w:t>Conocimiento y/o habilidad</w:t>
            </w:r>
          </w:p>
          <w:p w14:paraId="44CB7F9C" w14:textId="77777777" w:rsidR="00F119D2" w:rsidRPr="0092004C" w:rsidRDefault="00F119D2" w:rsidP="00F119D2">
            <w:pPr>
              <w:pStyle w:val="ListParagraph"/>
              <w:numPr>
                <w:ilvl w:val="1"/>
                <w:numId w:val="6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>Establecer límites personales y profesionales</w:t>
            </w:r>
          </w:p>
          <w:p w14:paraId="4DEB6A07" w14:textId="77777777" w:rsidR="00F119D2" w:rsidRPr="0092004C" w:rsidRDefault="00F119D2" w:rsidP="00F119D2">
            <w:pPr>
              <w:pStyle w:val="ListParagraph"/>
              <w:numPr>
                <w:ilvl w:val="1"/>
                <w:numId w:val="6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>Recuperación de eventos traumáticos</w:t>
            </w:r>
          </w:p>
          <w:p w14:paraId="5B4F5DAA" w14:textId="77777777" w:rsidR="00F119D2" w:rsidRPr="0092004C" w:rsidRDefault="00F119D2" w:rsidP="00F119D2">
            <w:pPr>
              <w:pStyle w:val="ListParagraph"/>
              <w:numPr>
                <w:ilvl w:val="1"/>
                <w:numId w:val="6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>Sesión informativa posterior a una crisis</w:t>
            </w:r>
          </w:p>
          <w:p w14:paraId="0EC93BC5" w14:textId="77777777" w:rsidR="00F119D2" w:rsidRPr="0092004C" w:rsidRDefault="00F119D2" w:rsidP="00F119D2">
            <w:pPr>
              <w:pStyle w:val="ListParagraph"/>
              <w:numPr>
                <w:ilvl w:val="1"/>
                <w:numId w:val="6"/>
              </w:num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>Reconocer y prevenir el agotamiento</w:t>
            </w:r>
          </w:p>
        </w:tc>
      </w:tr>
      <w:tr w:rsidR="00F119D2" w:rsidRPr="0092004C" w14:paraId="2DB683BB" w14:textId="77777777" w:rsidTr="005858FB">
        <w:tc>
          <w:tcPr>
            <w:tcW w:w="1430" w:type="dxa"/>
            <w:shd w:val="clear" w:color="auto" w:fill="CAD9EC"/>
          </w:tcPr>
          <w:p w14:paraId="716C0884" w14:textId="77777777" w:rsidR="00F119D2" w:rsidRPr="0092004C" w:rsidRDefault="00F119D2" w:rsidP="005858FB">
            <w:pPr>
              <w:spacing w:line="260" w:lineRule="exact"/>
              <w:rPr>
                <w:rFonts w:ascii="Segoe UI" w:hAnsi="Segoe UI" w:cs="Segoe UI"/>
                <w:b/>
                <w:sz w:val="20"/>
                <w:szCs w:val="20"/>
              </w:rPr>
            </w:pPr>
            <w:r w:rsidRPr="0092004C">
              <w:rPr>
                <w:rFonts w:ascii="Segoe UI" w:hAnsi="Segoe UI"/>
                <w:b/>
                <w:sz w:val="20"/>
              </w:rPr>
              <w:t>Consideraciones regulatorias</w:t>
            </w:r>
          </w:p>
        </w:tc>
        <w:tc>
          <w:tcPr>
            <w:tcW w:w="9350" w:type="dxa"/>
          </w:tcPr>
          <w:p w14:paraId="588FA6F0" w14:textId="77777777" w:rsidR="00F119D2" w:rsidRPr="0092004C" w:rsidRDefault="00F119D2" w:rsidP="005858FB">
            <w:p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</w:rPr>
              <w:t xml:space="preserve">Regulaciones federales sobre los Derechos de los pacientes relacionados con visitas, registros de habitaciones, etc. </w:t>
            </w:r>
          </w:p>
          <w:p w14:paraId="1A04301D" w14:textId="77777777" w:rsidR="00F119D2" w:rsidRPr="0092004C" w:rsidRDefault="00F119D2" w:rsidP="005858FB">
            <w:pPr>
              <w:spacing w:line="260" w:lineRule="exact"/>
              <w:rPr>
                <w:rFonts w:ascii="Segoe UI" w:hAnsi="Segoe UI" w:cs="Segoe UI"/>
                <w:sz w:val="20"/>
                <w:szCs w:val="20"/>
              </w:rPr>
            </w:pPr>
            <w:r w:rsidRPr="0092004C">
              <w:rPr>
                <w:rFonts w:ascii="Segoe UI" w:hAnsi="Segoe UI"/>
                <w:sz w:val="20"/>
                <w:shd w:val="clear" w:color="auto" w:fill="FFFFFF"/>
              </w:rPr>
              <w:lastRenderedPageBreak/>
              <w:t xml:space="preserve">150.003 </w:t>
            </w:r>
            <w:proofErr w:type="gramStart"/>
            <w:r w:rsidRPr="0092004C">
              <w:rPr>
                <w:rFonts w:ascii="Segoe UI" w:hAnsi="Segoe UI"/>
                <w:sz w:val="20"/>
                <w:shd w:val="clear" w:color="auto" w:fill="FFFFFF"/>
              </w:rPr>
              <w:t>Admisiones</w:t>
            </w:r>
            <w:proofErr w:type="gramEnd"/>
            <w:r w:rsidRPr="0092004C">
              <w:rPr>
                <w:rFonts w:ascii="Segoe UI" w:hAnsi="Segoe UI"/>
                <w:sz w:val="20"/>
                <w:shd w:val="clear" w:color="auto" w:fill="FFFFFF"/>
              </w:rPr>
              <w:t xml:space="preserve">, transferencias y altas </w:t>
            </w:r>
          </w:p>
        </w:tc>
      </w:tr>
    </w:tbl>
    <w:p w14:paraId="148C7CA1" w14:textId="77777777" w:rsidR="006A0977" w:rsidRDefault="006A0977"/>
    <w:sectPr w:rsidR="006A0977" w:rsidSect="00F119D2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20635" w14:textId="77777777" w:rsidR="00F119D2" w:rsidRDefault="00F119D2" w:rsidP="00F119D2">
      <w:r>
        <w:separator/>
      </w:r>
    </w:p>
  </w:endnote>
  <w:endnote w:type="continuationSeparator" w:id="0">
    <w:p w14:paraId="62873071" w14:textId="77777777" w:rsidR="00F119D2" w:rsidRDefault="00F119D2" w:rsidP="00F119D2">
      <w:r>
        <w:continuationSeparator/>
      </w:r>
    </w:p>
  </w:endnote>
  <w:endnote w:id="1">
    <w:p w14:paraId="4DE86371" w14:textId="77777777" w:rsidR="00F119D2" w:rsidRPr="0092004C" w:rsidRDefault="00F119D2" w:rsidP="00F119D2">
      <w:pPr>
        <w:pStyle w:val="EndnoteText"/>
        <w:spacing w:after="20"/>
        <w:ind w:left="270" w:hanging="270"/>
        <w:rPr>
          <w:rFonts w:ascii="Segoe UI" w:hAnsi="Segoe UI" w:cs="Segoe UI"/>
          <w:sz w:val="21"/>
          <w:szCs w:val="21"/>
        </w:rPr>
      </w:pPr>
      <w:r w:rsidRPr="0092004C">
        <w:rPr>
          <w:rStyle w:val="EndnoteReference"/>
          <w:rFonts w:ascii="Segoe UI" w:hAnsi="Segoe UI"/>
          <w:sz w:val="21"/>
          <w:szCs w:val="21"/>
        </w:rPr>
        <w:endnoteRef/>
      </w:r>
      <w:r w:rsidRPr="0092004C">
        <w:rPr>
          <w:rFonts w:ascii="Segoe UI" w:hAnsi="Segoe UI"/>
          <w:sz w:val="21"/>
        </w:rPr>
        <w:t xml:space="preserve"> O'Reilly, 10 Nuevas formas en las que la nueva ley sobre opioides podría ayudar a combatir la epidemia, Asociación Médica Estadounidense, sin fecha. </w:t>
      </w:r>
      <w:hyperlink r:id="rId1" w:history="1">
        <w:r w:rsidRPr="0092004C">
          <w:rPr>
            <w:rStyle w:val="Hyperlink"/>
            <w:rFonts w:ascii="Segoe UI" w:hAnsi="Segoe UI"/>
            <w:sz w:val="21"/>
          </w:rPr>
          <w:t>https://www.ama-assn.org/delivering-care/opioids/10-ways-new-opioids-law-could-help-address-epidemic</w:t>
        </w:r>
      </w:hyperlink>
      <w:r w:rsidRPr="0092004C">
        <w:rPr>
          <w:rFonts w:ascii="Segoe UI" w:hAnsi="Segoe UI"/>
          <w:sz w:val="21"/>
        </w:rPr>
        <w:t xml:space="preserve"> </w:t>
      </w:r>
    </w:p>
  </w:endnote>
  <w:endnote w:id="2">
    <w:p w14:paraId="673BBCF7" w14:textId="77777777" w:rsidR="00F119D2" w:rsidRPr="0092004C" w:rsidRDefault="00F119D2" w:rsidP="00F119D2">
      <w:pPr>
        <w:pStyle w:val="EndnoteText"/>
        <w:spacing w:after="20"/>
        <w:ind w:left="270" w:hanging="270"/>
        <w:rPr>
          <w:rFonts w:ascii="Segoe UI" w:hAnsi="Segoe UI" w:cs="Segoe UI"/>
          <w:sz w:val="21"/>
          <w:szCs w:val="21"/>
        </w:rPr>
      </w:pPr>
      <w:r w:rsidRPr="0092004C">
        <w:rPr>
          <w:rStyle w:val="EndnoteReference"/>
          <w:rFonts w:ascii="Segoe UI" w:hAnsi="Segoe UI"/>
          <w:sz w:val="21"/>
          <w:szCs w:val="21"/>
        </w:rPr>
        <w:endnoteRef/>
      </w:r>
      <w:r w:rsidRPr="0092004C">
        <w:rPr>
          <w:rFonts w:ascii="Segoe UI" w:hAnsi="Segoe UI"/>
          <w:sz w:val="21"/>
        </w:rPr>
        <w:t xml:space="preserve"> Aclaración de la ética médica sobre la prescripción de opioides (10 de agosto de 2018), </w:t>
      </w:r>
      <w:hyperlink r:id="rId2" w:history="1">
        <w:r w:rsidRPr="0092004C">
          <w:rPr>
            <w:rStyle w:val="Hyperlink"/>
            <w:rFonts w:ascii="Segoe UI" w:hAnsi="Segoe UI"/>
            <w:sz w:val="21"/>
          </w:rPr>
          <w:t>https://www.ama-assn.org/delivering-care/ethics/untangling-medical-ethics-prescribing-opioids</w:t>
        </w:r>
      </w:hyperlink>
      <w:r w:rsidRPr="0092004C">
        <w:rPr>
          <w:rFonts w:ascii="Segoe UI" w:hAnsi="Segoe UI"/>
          <w:sz w:val="21"/>
        </w:rPr>
        <w:t xml:space="preserve"> </w:t>
      </w:r>
    </w:p>
  </w:endnote>
  <w:endnote w:id="3">
    <w:p w14:paraId="79CD448A" w14:textId="77777777" w:rsidR="00F119D2" w:rsidRPr="0092004C" w:rsidRDefault="00F119D2" w:rsidP="00F119D2">
      <w:pPr>
        <w:pStyle w:val="EndnoteText"/>
        <w:spacing w:after="20"/>
        <w:ind w:left="270" w:hanging="270"/>
        <w:rPr>
          <w:rFonts w:ascii="Segoe UI" w:hAnsi="Segoe UI" w:cs="Segoe UI"/>
          <w:sz w:val="21"/>
          <w:szCs w:val="21"/>
        </w:rPr>
      </w:pPr>
      <w:r w:rsidRPr="0092004C">
        <w:rPr>
          <w:rStyle w:val="EndnoteReference"/>
          <w:rFonts w:ascii="Segoe UI" w:hAnsi="Segoe UI"/>
          <w:sz w:val="21"/>
          <w:szCs w:val="21"/>
        </w:rPr>
        <w:endnoteRef/>
      </w:r>
      <w:r w:rsidRPr="0092004C">
        <w:rPr>
          <w:rFonts w:ascii="Segoe UI" w:hAnsi="Segoe UI"/>
          <w:sz w:val="21"/>
        </w:rPr>
        <w:t xml:space="preserve"> Asistencia técnica y de capacitación para el tratamiento ambulatorio de la adicción en clínicas de tratamiento ambulatorio (OBAT), Lineamientos clínicos de las OBAT </w:t>
      </w:r>
      <w:hyperlink r:id="rId3" w:history="1">
        <w:r w:rsidRPr="0092004C">
          <w:rPr>
            <w:rStyle w:val="Hyperlink"/>
            <w:rFonts w:ascii="Segoe UI" w:hAnsi="Segoe UI"/>
            <w:sz w:val="21"/>
          </w:rPr>
          <w:t>www.bmcobat.org/resources/?category=1</w:t>
        </w:r>
      </w:hyperlink>
      <w:r w:rsidRPr="0092004C">
        <w:rPr>
          <w:rFonts w:ascii="Segoe UI" w:hAnsi="Segoe UI"/>
          <w:sz w:val="21"/>
        </w:rPr>
        <w:t xml:space="preserve"> </w:t>
      </w:r>
    </w:p>
  </w:endnote>
  <w:endnote w:id="4">
    <w:p w14:paraId="52CB6927" w14:textId="77777777" w:rsidR="00F119D2" w:rsidRPr="0092004C" w:rsidRDefault="00F119D2" w:rsidP="00F119D2">
      <w:pPr>
        <w:pStyle w:val="EndnoteText"/>
        <w:spacing w:after="20"/>
        <w:ind w:left="270" w:hanging="270"/>
        <w:rPr>
          <w:rFonts w:ascii="Segoe UI" w:hAnsi="Segoe UI" w:cs="Segoe UI"/>
          <w:sz w:val="21"/>
          <w:szCs w:val="21"/>
        </w:rPr>
      </w:pPr>
      <w:r w:rsidRPr="0092004C">
        <w:rPr>
          <w:rStyle w:val="EndnoteReference"/>
          <w:rFonts w:ascii="Segoe UI" w:hAnsi="Segoe UI"/>
          <w:sz w:val="21"/>
          <w:szCs w:val="21"/>
        </w:rPr>
        <w:endnoteRef/>
      </w:r>
      <w:r w:rsidRPr="0092004C">
        <w:rPr>
          <w:rFonts w:ascii="Segoe UI" w:hAnsi="Segoe UI"/>
          <w:sz w:val="21"/>
        </w:rPr>
        <w:t xml:space="preserve"> Regulaciones de confidencialidad sobre el abuso de sustancias, SAMHSA, </w:t>
      </w:r>
      <w:hyperlink r:id="rId4" w:history="1">
        <w:r w:rsidRPr="0092004C">
          <w:rPr>
            <w:rStyle w:val="Hyperlink"/>
            <w:rFonts w:ascii="Segoe UI" w:hAnsi="Segoe UI"/>
            <w:sz w:val="21"/>
          </w:rPr>
          <w:t>www.samhsa.gov/about-us/who-we-are/laws-regulations/confidentiality-regulations-faqs</w:t>
        </w:r>
      </w:hyperlink>
    </w:p>
  </w:endnote>
  <w:endnote w:id="5">
    <w:p w14:paraId="608DE34B" w14:textId="77777777" w:rsidR="00F119D2" w:rsidRPr="0092004C" w:rsidRDefault="00F119D2" w:rsidP="00F119D2">
      <w:pPr>
        <w:spacing w:after="20"/>
        <w:ind w:left="270" w:hanging="270"/>
        <w:rPr>
          <w:rFonts w:ascii="Segoe UI" w:hAnsi="Segoe UI" w:cs="Segoe UI"/>
          <w:sz w:val="21"/>
          <w:szCs w:val="21"/>
        </w:rPr>
      </w:pPr>
      <w:r w:rsidRPr="0092004C">
        <w:rPr>
          <w:rStyle w:val="EndnoteReference"/>
          <w:rFonts w:ascii="Segoe UI" w:hAnsi="Segoe UI"/>
          <w:sz w:val="21"/>
          <w:szCs w:val="21"/>
        </w:rPr>
        <w:endnoteRef/>
      </w:r>
      <w:r w:rsidRPr="0092004C">
        <w:rPr>
          <w:rFonts w:ascii="Segoe UI" w:hAnsi="Segoe UI"/>
          <w:sz w:val="21"/>
        </w:rPr>
        <w:t xml:space="preserve"> Avergonzar a las personas enfermas: adicción y estigmas (sin fecha) Lauren Villa, Información de: Drugabuse.com: </w:t>
      </w:r>
      <w:hyperlink r:id="rId5" w:history="1">
        <w:r w:rsidRPr="0092004C">
          <w:rPr>
            <w:rStyle w:val="Hyperlink"/>
            <w:rFonts w:ascii="Segoe UI" w:hAnsi="Segoe UI"/>
            <w:sz w:val="21"/>
          </w:rPr>
          <w:t>https://drugabuse.com/addiction/stigma/</w:t>
        </w:r>
      </w:hyperlink>
      <w:r w:rsidRPr="0092004C">
        <w:rPr>
          <w:rFonts w:ascii="Segoe UI" w:hAnsi="Segoe UI"/>
          <w:sz w:val="21"/>
        </w:rPr>
        <w:t xml:space="preserve"> </w:t>
      </w:r>
    </w:p>
  </w:endnote>
  <w:endnote w:id="6">
    <w:p w14:paraId="3E55A430" w14:textId="77777777" w:rsidR="00F119D2" w:rsidRPr="0092004C" w:rsidRDefault="00F119D2" w:rsidP="00F119D2">
      <w:pPr>
        <w:pStyle w:val="EndnoteText"/>
        <w:spacing w:after="20"/>
        <w:ind w:left="270" w:hanging="270"/>
        <w:rPr>
          <w:rFonts w:ascii="Segoe UI" w:hAnsi="Segoe UI" w:cs="Segoe UI"/>
          <w:sz w:val="21"/>
          <w:szCs w:val="21"/>
        </w:rPr>
      </w:pPr>
      <w:r w:rsidRPr="0092004C">
        <w:rPr>
          <w:rStyle w:val="EndnoteReference"/>
          <w:rFonts w:ascii="Segoe UI" w:hAnsi="Segoe UI"/>
          <w:sz w:val="21"/>
          <w:szCs w:val="21"/>
        </w:rPr>
        <w:endnoteRef/>
      </w:r>
      <w:r w:rsidRPr="0092004C">
        <w:rPr>
          <w:rFonts w:ascii="Segoe UI" w:hAnsi="Segoe UI"/>
          <w:sz w:val="21"/>
        </w:rPr>
        <w:t xml:space="preserve"> </w:t>
      </w:r>
      <w:hyperlink r:id="rId6" w:history="1">
        <w:r w:rsidRPr="0092004C">
          <w:rPr>
            <w:rStyle w:val="Hyperlink"/>
            <w:rFonts w:ascii="Segoe UI" w:hAnsi="Segoe UI"/>
            <w:sz w:val="21"/>
          </w:rPr>
          <w:t>https://www.acponline.org/system/files/documents/about_acp/chapters/ma/ge-rize-shatterproof-white-paper_final.pdf</w:t>
        </w:r>
      </w:hyperlink>
      <w:r w:rsidRPr="0092004C">
        <w:rPr>
          <w:rFonts w:ascii="Segoe UI" w:hAnsi="Segoe UI"/>
          <w:sz w:val="21"/>
        </w:rPr>
        <w:t xml:space="preserve"> </w:t>
      </w:r>
    </w:p>
  </w:endnote>
  <w:endnote w:id="7">
    <w:p w14:paraId="7688AD83" w14:textId="77777777" w:rsidR="00F119D2" w:rsidRPr="0092004C" w:rsidRDefault="00F119D2" w:rsidP="00F119D2">
      <w:pPr>
        <w:pStyle w:val="EndnoteText"/>
        <w:spacing w:after="20"/>
        <w:ind w:left="270" w:hanging="270"/>
        <w:rPr>
          <w:rFonts w:ascii="Segoe UI" w:hAnsi="Segoe UI" w:cs="Segoe UI"/>
          <w:sz w:val="21"/>
          <w:szCs w:val="21"/>
        </w:rPr>
      </w:pPr>
      <w:r w:rsidRPr="0092004C">
        <w:rPr>
          <w:rStyle w:val="EndnoteReference"/>
          <w:rFonts w:ascii="Segoe UI" w:hAnsi="Segoe UI"/>
          <w:sz w:val="21"/>
          <w:szCs w:val="21"/>
        </w:rPr>
        <w:endnoteRef/>
      </w:r>
      <w:r w:rsidRPr="0092004C">
        <w:rPr>
          <w:rFonts w:ascii="Segoe UI" w:hAnsi="Segoe UI"/>
          <w:sz w:val="21"/>
        </w:rPr>
        <w:t xml:space="preserve"> Olsen, Y., </w:t>
      </w:r>
      <w:proofErr w:type="spellStart"/>
      <w:r w:rsidRPr="0092004C">
        <w:rPr>
          <w:rFonts w:ascii="Segoe UI" w:hAnsi="Segoe UI"/>
          <w:sz w:val="21"/>
        </w:rPr>
        <w:t>Sharfstein</w:t>
      </w:r>
      <w:proofErr w:type="spellEnd"/>
      <w:r w:rsidRPr="0092004C">
        <w:rPr>
          <w:rFonts w:ascii="Segoe UI" w:hAnsi="Segoe UI"/>
          <w:sz w:val="21"/>
        </w:rPr>
        <w:t xml:space="preserve">, J.M., 2014 Confrontación de los estigmas sobre el trastorno por consumo de opioides y su tratamiento JAMA 311, 1393 </w:t>
      </w:r>
      <w:hyperlink r:id="rId7" w:history="1">
        <w:r w:rsidRPr="0092004C">
          <w:rPr>
            <w:rStyle w:val="Hyperlink"/>
            <w:rFonts w:ascii="Segoe UI" w:hAnsi="Segoe UI"/>
            <w:sz w:val="21"/>
          </w:rPr>
          <w:t>https://doi.org/10.1001/jama.2014.2147</w:t>
        </w:r>
      </w:hyperlink>
      <w:r w:rsidRPr="0092004C">
        <w:rPr>
          <w:rFonts w:ascii="Segoe UI" w:hAnsi="Segoe UI"/>
          <w:sz w:val="21"/>
        </w:rPr>
        <w:t xml:space="preserve"> </w:t>
      </w:r>
    </w:p>
  </w:endnote>
  <w:endnote w:id="8">
    <w:p w14:paraId="74755FE4" w14:textId="77777777" w:rsidR="00F119D2" w:rsidRPr="0092004C" w:rsidRDefault="00F119D2" w:rsidP="00F119D2">
      <w:pPr>
        <w:pStyle w:val="EndnoteText"/>
        <w:spacing w:after="20"/>
        <w:ind w:left="270" w:hanging="270"/>
        <w:rPr>
          <w:rFonts w:ascii="Segoe UI" w:hAnsi="Segoe UI" w:cs="Segoe UI"/>
          <w:sz w:val="21"/>
          <w:szCs w:val="21"/>
        </w:rPr>
      </w:pPr>
      <w:r w:rsidRPr="0092004C">
        <w:rPr>
          <w:rStyle w:val="EndnoteReference"/>
          <w:rFonts w:ascii="Segoe UI" w:hAnsi="Segoe UI"/>
          <w:sz w:val="21"/>
          <w:szCs w:val="21"/>
        </w:rPr>
        <w:endnoteRef/>
      </w:r>
      <w:r w:rsidRPr="0092004C">
        <w:rPr>
          <w:rFonts w:ascii="Segoe UI" w:hAnsi="Segoe UI"/>
          <w:sz w:val="21"/>
        </w:rPr>
        <w:t xml:space="preserve"> "Cambiando el lenguaje para cambiar la atención" </w:t>
      </w:r>
      <w:hyperlink r:id="rId8" w:history="1">
        <w:r w:rsidRPr="0092004C">
          <w:rPr>
            <w:rStyle w:val="Hyperlink"/>
            <w:rFonts w:ascii="Segoe UI" w:hAnsi="Segoe UI"/>
            <w:sz w:val="21"/>
          </w:rPr>
          <w:t>https://cf8b2643ab1d3c05e8f6-d3dc0d8f838e182b6b722cea42bb6a35.ssl.cf2.rackcdn.com/aaap_eb20f80a7ec0c1713978ba2b069091f7.pdf</w:t>
        </w:r>
      </w:hyperlink>
      <w:r w:rsidRPr="0092004C">
        <w:rPr>
          <w:rFonts w:ascii="Segoe UI" w:hAnsi="Segoe UI"/>
          <w:sz w:val="21"/>
        </w:rPr>
        <w:t xml:space="preserve"> </w:t>
      </w:r>
    </w:p>
  </w:endnote>
  <w:endnote w:id="9">
    <w:p w14:paraId="55EC9DD8" w14:textId="77777777" w:rsidR="00F119D2" w:rsidRPr="0092004C" w:rsidRDefault="00F119D2" w:rsidP="00F119D2">
      <w:pPr>
        <w:pStyle w:val="EndnoteText"/>
        <w:spacing w:after="20"/>
        <w:ind w:left="270" w:hanging="270"/>
        <w:rPr>
          <w:rFonts w:ascii="Segoe UI" w:hAnsi="Segoe UI" w:cs="Segoe UI"/>
          <w:sz w:val="21"/>
          <w:szCs w:val="21"/>
        </w:rPr>
      </w:pPr>
      <w:r w:rsidRPr="0092004C">
        <w:rPr>
          <w:rStyle w:val="EndnoteReference"/>
          <w:rFonts w:ascii="Segoe UI" w:hAnsi="Segoe UI"/>
          <w:sz w:val="21"/>
          <w:szCs w:val="21"/>
        </w:rPr>
        <w:endnoteRef/>
      </w:r>
      <w:r w:rsidRPr="0092004C">
        <w:rPr>
          <w:rFonts w:ascii="Segoe UI" w:hAnsi="Segoe UI"/>
          <w:sz w:val="21"/>
        </w:rPr>
        <w:t xml:space="preserve"> Señales de abuso de opioides, Johns Hopkins Medicine (sin fecha) </w:t>
      </w:r>
      <w:hyperlink r:id="rId9" w:history="1">
        <w:r w:rsidRPr="0092004C">
          <w:rPr>
            <w:rStyle w:val="Hyperlink"/>
            <w:rFonts w:ascii="Segoe UI" w:hAnsi="Segoe UI"/>
            <w:sz w:val="21"/>
          </w:rPr>
          <w:t>https://www.hopkinsmedicine.org/opioids/signs-of-opioid-abuse.html</w:t>
        </w:r>
      </w:hyperlink>
    </w:p>
  </w:endnote>
  <w:endnote w:id="10">
    <w:p w14:paraId="71705696" w14:textId="77777777" w:rsidR="00F119D2" w:rsidRPr="0092004C" w:rsidRDefault="00F119D2" w:rsidP="00F119D2">
      <w:pPr>
        <w:pStyle w:val="EndnoteText"/>
        <w:ind w:left="270" w:hanging="270"/>
        <w:rPr>
          <w:rFonts w:ascii="Segoe UI" w:hAnsi="Segoe UI" w:cs="Segoe UI"/>
          <w:sz w:val="21"/>
          <w:szCs w:val="21"/>
        </w:rPr>
      </w:pPr>
      <w:r w:rsidRPr="0092004C">
        <w:rPr>
          <w:rStyle w:val="EndnoteReference"/>
          <w:rFonts w:ascii="Segoe UI" w:hAnsi="Segoe UI"/>
          <w:sz w:val="21"/>
          <w:szCs w:val="21"/>
        </w:rPr>
        <w:endnoteRef/>
      </w:r>
      <w:r w:rsidRPr="0092004C">
        <w:rPr>
          <w:rFonts w:ascii="Segoe UI" w:hAnsi="Segoe UI"/>
          <w:sz w:val="21"/>
        </w:rPr>
        <w:t xml:space="preserve"> </w:t>
      </w:r>
      <w:proofErr w:type="spellStart"/>
      <w:r w:rsidRPr="0092004C">
        <w:rPr>
          <w:rFonts w:ascii="Segoe UI" w:hAnsi="Segoe UI"/>
          <w:sz w:val="21"/>
        </w:rPr>
        <w:t>National</w:t>
      </w:r>
      <w:proofErr w:type="spellEnd"/>
      <w:r w:rsidRPr="0092004C">
        <w:rPr>
          <w:rFonts w:ascii="Segoe UI" w:hAnsi="Segoe UI"/>
          <w:sz w:val="21"/>
        </w:rPr>
        <w:t xml:space="preserve"> Center </w:t>
      </w:r>
      <w:proofErr w:type="spellStart"/>
      <w:r w:rsidRPr="0092004C">
        <w:rPr>
          <w:rFonts w:ascii="Segoe UI" w:hAnsi="Segoe UI"/>
          <w:sz w:val="21"/>
        </w:rPr>
        <w:t>for</w:t>
      </w:r>
      <w:proofErr w:type="spellEnd"/>
      <w:r w:rsidRPr="0092004C">
        <w:rPr>
          <w:rFonts w:ascii="Segoe UI" w:hAnsi="Segoe UI"/>
          <w:sz w:val="21"/>
        </w:rPr>
        <w:t xml:space="preserve"> Cultural </w:t>
      </w:r>
      <w:proofErr w:type="spellStart"/>
      <w:r w:rsidRPr="0092004C">
        <w:rPr>
          <w:rFonts w:ascii="Segoe UI" w:hAnsi="Segoe UI"/>
          <w:sz w:val="21"/>
        </w:rPr>
        <w:t>Competence</w:t>
      </w:r>
      <w:proofErr w:type="spellEnd"/>
      <w:r w:rsidRPr="0092004C">
        <w:rPr>
          <w:rFonts w:ascii="Segoe UI" w:hAnsi="Segoe UI"/>
          <w:sz w:val="21"/>
        </w:rPr>
        <w:t xml:space="preserve"> ("Centro Nacional de Competencia Cultural"), Georgetown </w:t>
      </w:r>
      <w:proofErr w:type="spellStart"/>
      <w:r w:rsidRPr="0092004C">
        <w:rPr>
          <w:rFonts w:ascii="Segoe UI" w:hAnsi="Segoe UI"/>
          <w:sz w:val="21"/>
        </w:rPr>
        <w:t>University</w:t>
      </w:r>
      <w:proofErr w:type="spellEnd"/>
      <w:r w:rsidRPr="0092004C">
        <w:rPr>
          <w:rFonts w:ascii="Segoe UI" w:hAnsi="Segoe UI"/>
          <w:sz w:val="21"/>
        </w:rPr>
        <w:t xml:space="preserve"> Center </w:t>
      </w:r>
      <w:proofErr w:type="spellStart"/>
      <w:r w:rsidRPr="0092004C">
        <w:rPr>
          <w:rFonts w:ascii="Segoe UI" w:hAnsi="Segoe UI"/>
          <w:sz w:val="21"/>
        </w:rPr>
        <w:t>for</w:t>
      </w:r>
      <w:proofErr w:type="spellEnd"/>
      <w:r w:rsidRPr="0092004C">
        <w:rPr>
          <w:rFonts w:ascii="Segoe UI" w:hAnsi="Segoe UI"/>
          <w:sz w:val="21"/>
        </w:rPr>
        <w:t xml:space="preserve"> Child and Human </w:t>
      </w:r>
      <w:proofErr w:type="spellStart"/>
      <w:r w:rsidRPr="0092004C">
        <w:rPr>
          <w:rFonts w:ascii="Segoe UI" w:hAnsi="Segoe UI"/>
          <w:sz w:val="21"/>
        </w:rPr>
        <w:t>Development</w:t>
      </w:r>
      <w:proofErr w:type="spellEnd"/>
      <w:r w:rsidRPr="0092004C">
        <w:rPr>
          <w:rFonts w:ascii="Segoe UI" w:hAnsi="Segoe UI"/>
          <w:sz w:val="21"/>
        </w:rPr>
        <w:t xml:space="preserve"> (sin fecha) Prejuicios y tendencias inconscientes y conscientes en la atención médica: </w:t>
      </w:r>
      <w:hyperlink r:id="rId10" w:history="1">
        <w:r w:rsidRPr="0092004C">
          <w:rPr>
            <w:rStyle w:val="Hyperlink"/>
            <w:rFonts w:ascii="Segoe UI" w:hAnsi="Segoe UI"/>
            <w:sz w:val="21"/>
          </w:rPr>
          <w:t>https://nccc.georgetown.edu/bias/</w:t>
        </w:r>
      </w:hyperlink>
      <w:r w:rsidRPr="0092004C">
        <w:rPr>
          <w:rFonts w:ascii="Segoe UI" w:hAnsi="Segoe UI"/>
          <w:sz w:val="21"/>
        </w:rPr>
        <w:t xml:space="preserve"> </w:t>
      </w:r>
    </w:p>
  </w:endnote>
  <w:endnote w:id="11">
    <w:p w14:paraId="7DB6A0A4" w14:textId="77777777" w:rsidR="00F119D2" w:rsidRPr="0092004C" w:rsidRDefault="00F119D2" w:rsidP="00F119D2">
      <w:pPr>
        <w:pStyle w:val="EndnoteText"/>
        <w:spacing w:after="20"/>
        <w:ind w:left="270" w:hanging="270"/>
        <w:rPr>
          <w:rFonts w:ascii="Segoe UI" w:hAnsi="Segoe UI" w:cs="Segoe UI"/>
          <w:sz w:val="21"/>
          <w:szCs w:val="21"/>
        </w:rPr>
      </w:pPr>
      <w:r w:rsidRPr="0092004C">
        <w:rPr>
          <w:rStyle w:val="EndnoteReference"/>
          <w:rFonts w:ascii="Segoe UI" w:hAnsi="Segoe UI"/>
          <w:sz w:val="21"/>
          <w:szCs w:val="21"/>
        </w:rPr>
        <w:endnoteRef/>
      </w:r>
      <w:r w:rsidRPr="0092004C">
        <w:rPr>
          <w:rFonts w:ascii="Segoe UI" w:hAnsi="Segoe UI"/>
          <w:sz w:val="21"/>
        </w:rPr>
        <w:t xml:space="preserve"> Oportunidades para aumentar las evaluaciones y tratamiento de OUD entre profesionales de la salud, 2019 </w:t>
      </w:r>
      <w:hyperlink r:id="rId11" w:history="1">
        <w:r w:rsidRPr="0092004C">
          <w:rPr>
            <w:rStyle w:val="Hyperlink"/>
            <w:rFonts w:ascii="Segoe UI" w:hAnsi="Segoe UI"/>
            <w:sz w:val="21"/>
          </w:rPr>
          <w:t>https://www.acponline.org/system/files/documents/about_acp/chapters/ma/ge-rize-shatterproof-white-paper_final.pdf</w:t>
        </w:r>
      </w:hyperlink>
    </w:p>
  </w:endnote>
  <w:endnote w:id="12">
    <w:p w14:paraId="623D9FFF" w14:textId="77777777" w:rsidR="00F119D2" w:rsidRPr="0092004C" w:rsidRDefault="00F119D2" w:rsidP="00F119D2">
      <w:pPr>
        <w:pStyle w:val="EndnoteText"/>
        <w:spacing w:after="20"/>
        <w:ind w:left="270" w:hanging="270"/>
        <w:rPr>
          <w:rFonts w:ascii="Segoe UI" w:hAnsi="Segoe UI" w:cs="Segoe UI"/>
          <w:color w:val="0000FF"/>
          <w:sz w:val="21"/>
          <w:szCs w:val="21"/>
          <w:u w:val="single"/>
        </w:rPr>
      </w:pPr>
      <w:r w:rsidRPr="0092004C">
        <w:rPr>
          <w:rStyle w:val="EndnoteReference"/>
          <w:rFonts w:ascii="Segoe UI" w:hAnsi="Segoe UI"/>
          <w:sz w:val="21"/>
          <w:szCs w:val="21"/>
        </w:rPr>
        <w:endnoteRef/>
      </w:r>
      <w:r w:rsidRPr="0092004C">
        <w:rPr>
          <w:rFonts w:ascii="Segoe UI" w:hAnsi="Segoe UI"/>
          <w:sz w:val="21"/>
        </w:rPr>
        <w:t xml:space="preserve"> Olsen, Y., </w:t>
      </w:r>
      <w:proofErr w:type="spellStart"/>
      <w:r w:rsidRPr="0092004C">
        <w:rPr>
          <w:rFonts w:ascii="Segoe UI" w:hAnsi="Segoe UI"/>
          <w:sz w:val="21"/>
        </w:rPr>
        <w:t>Sharfstein</w:t>
      </w:r>
      <w:proofErr w:type="spellEnd"/>
      <w:r w:rsidRPr="0092004C">
        <w:rPr>
          <w:rFonts w:ascii="Segoe UI" w:hAnsi="Segoe UI"/>
          <w:sz w:val="21"/>
        </w:rPr>
        <w:t xml:space="preserve">, J.M., 2014 Confrontación de los estigmas sobre el trastorno por consumo de opioides y su tratamiento JAMA 311, 1393 </w:t>
      </w:r>
      <w:hyperlink r:id="rId12" w:history="1">
        <w:r w:rsidRPr="0092004C">
          <w:rPr>
            <w:rStyle w:val="Hyperlink"/>
            <w:rFonts w:ascii="Segoe UI" w:hAnsi="Segoe UI"/>
            <w:sz w:val="21"/>
          </w:rPr>
          <w:t>https://doi.org/10.1001/jama.2014.2147</w:t>
        </w:r>
      </w:hyperlink>
    </w:p>
  </w:endnote>
  <w:endnote w:id="13">
    <w:p w14:paraId="712FF38B" w14:textId="77777777" w:rsidR="00F119D2" w:rsidRPr="0092004C" w:rsidRDefault="00F119D2" w:rsidP="00F119D2">
      <w:pPr>
        <w:pStyle w:val="EndnoteText"/>
        <w:spacing w:after="20"/>
        <w:ind w:left="270" w:hanging="270"/>
        <w:rPr>
          <w:rFonts w:ascii="Segoe UI" w:hAnsi="Segoe UI" w:cs="Segoe UI"/>
          <w:color w:val="0563C1" w:themeColor="hyperlink"/>
          <w:sz w:val="21"/>
          <w:szCs w:val="21"/>
          <w:u w:val="single"/>
        </w:rPr>
      </w:pPr>
      <w:r w:rsidRPr="0092004C">
        <w:rPr>
          <w:rStyle w:val="EndnoteReference"/>
          <w:rFonts w:ascii="Segoe UI" w:hAnsi="Segoe UI"/>
          <w:sz w:val="21"/>
          <w:szCs w:val="21"/>
        </w:rPr>
        <w:endnoteRef/>
      </w:r>
      <w:r w:rsidRPr="0092004C">
        <w:rPr>
          <w:rFonts w:ascii="Segoe UI" w:hAnsi="Segoe UI"/>
          <w:sz w:val="21"/>
        </w:rPr>
        <w:t xml:space="preserve"> Capacitación sobre el MAT </w:t>
      </w:r>
      <w:hyperlink r:id="rId13" w:history="1">
        <w:r w:rsidRPr="0092004C">
          <w:rPr>
            <w:rStyle w:val="Hyperlink"/>
            <w:rFonts w:ascii="Segoe UI" w:hAnsi="Segoe UI"/>
            <w:sz w:val="21"/>
          </w:rPr>
          <w:t>https://cf8b2643ab1d3c05e8f6-d3dc0d8f838e182b6b722cea42bb6a35.ssl.cf2.rackcdn.com/aaap_eb20f80a7ec0c1713978ba2b069091f7.pdf</w:t>
        </w:r>
      </w:hyperlink>
    </w:p>
  </w:endnote>
  <w:endnote w:id="14">
    <w:p w14:paraId="579F09A4" w14:textId="77777777" w:rsidR="00F119D2" w:rsidRPr="0092004C" w:rsidRDefault="00F119D2" w:rsidP="00F119D2">
      <w:pPr>
        <w:pStyle w:val="EndnoteText"/>
        <w:spacing w:after="20"/>
        <w:ind w:left="270" w:hanging="270"/>
        <w:rPr>
          <w:rFonts w:ascii="Segoe UI" w:hAnsi="Segoe UI" w:cs="Segoe UI"/>
          <w:sz w:val="21"/>
          <w:szCs w:val="21"/>
        </w:rPr>
      </w:pPr>
      <w:r w:rsidRPr="0092004C">
        <w:rPr>
          <w:rStyle w:val="EndnoteReference"/>
          <w:rFonts w:ascii="Segoe UI" w:hAnsi="Segoe UI"/>
          <w:sz w:val="21"/>
          <w:szCs w:val="21"/>
        </w:rPr>
        <w:endnoteRef/>
      </w:r>
      <w:r w:rsidRPr="0092004C">
        <w:rPr>
          <w:rFonts w:ascii="Segoe UI" w:hAnsi="Segoe UI"/>
          <w:sz w:val="21"/>
        </w:rPr>
        <w:t xml:space="preserve"> Señales de abuso de opioides, Johns Hopkins Medicine (sin fecha) </w:t>
      </w:r>
      <w:hyperlink r:id="rId14" w:history="1">
        <w:r w:rsidRPr="0092004C">
          <w:rPr>
            <w:rStyle w:val="Hyperlink"/>
            <w:rFonts w:ascii="Segoe UI" w:hAnsi="Segoe UI"/>
            <w:sz w:val="21"/>
          </w:rPr>
          <w:t>https://www.hopkinsmedicine.org/opioids/signs-of-opioid-abuse.html</w:t>
        </w:r>
      </w:hyperlink>
    </w:p>
  </w:endnote>
  <w:endnote w:id="15">
    <w:p w14:paraId="0B41B305" w14:textId="77777777" w:rsidR="00F119D2" w:rsidRPr="0092004C" w:rsidRDefault="00F119D2" w:rsidP="00F119D2">
      <w:pPr>
        <w:pStyle w:val="EndnoteText"/>
        <w:spacing w:after="20"/>
        <w:ind w:left="270" w:hanging="270"/>
        <w:rPr>
          <w:rFonts w:ascii="Segoe UI" w:hAnsi="Segoe UI" w:cs="Segoe UI"/>
          <w:sz w:val="21"/>
          <w:szCs w:val="21"/>
        </w:rPr>
      </w:pPr>
      <w:r w:rsidRPr="0092004C">
        <w:rPr>
          <w:rStyle w:val="EndnoteReference"/>
          <w:rFonts w:ascii="Segoe UI" w:hAnsi="Segoe UI"/>
          <w:sz w:val="21"/>
          <w:szCs w:val="21"/>
        </w:rPr>
        <w:endnoteRef/>
      </w:r>
      <w:r w:rsidRPr="0092004C">
        <w:rPr>
          <w:rFonts w:ascii="Segoe UI" w:hAnsi="Segoe UI"/>
          <w:sz w:val="21"/>
        </w:rPr>
        <w:t xml:space="preserve"> Ibidem </w:t>
      </w:r>
    </w:p>
  </w:endnote>
  <w:endnote w:id="16">
    <w:p w14:paraId="727D8381" w14:textId="77777777" w:rsidR="00F119D2" w:rsidRPr="0092004C" w:rsidRDefault="00F119D2" w:rsidP="00F119D2">
      <w:pPr>
        <w:pStyle w:val="EndnoteText"/>
        <w:spacing w:after="20"/>
        <w:ind w:left="270" w:hanging="270"/>
        <w:rPr>
          <w:rFonts w:ascii="Segoe UI" w:hAnsi="Segoe UI" w:cs="Segoe UI"/>
          <w:sz w:val="21"/>
          <w:szCs w:val="21"/>
        </w:rPr>
      </w:pPr>
      <w:r w:rsidRPr="0092004C">
        <w:rPr>
          <w:rStyle w:val="EndnoteReference"/>
          <w:rFonts w:ascii="Segoe UI" w:hAnsi="Segoe UI"/>
          <w:sz w:val="21"/>
          <w:szCs w:val="21"/>
        </w:rPr>
        <w:endnoteRef/>
      </w:r>
      <w:r w:rsidRPr="0092004C">
        <w:rPr>
          <w:rFonts w:ascii="Segoe UI" w:hAnsi="Segoe UI"/>
          <w:sz w:val="21"/>
        </w:rPr>
        <w:t xml:space="preserve"> Consumo de sustancias y trastornos mentales que ocurren simultáneamente. Instituto Nacional de Salud Mental (2021) Información de junio de 2021. </w:t>
      </w:r>
      <w:hyperlink r:id="rId15" w:history="1">
        <w:r w:rsidRPr="0092004C">
          <w:rPr>
            <w:rStyle w:val="Hyperlink"/>
            <w:rFonts w:ascii="Segoe UI" w:hAnsi="Segoe UI"/>
            <w:sz w:val="21"/>
          </w:rPr>
          <w:t>https://www.nimh.nih.gov/health/topics/substance-use-and-mental-health/</w:t>
        </w:r>
      </w:hyperlink>
      <w:r w:rsidRPr="0092004C">
        <w:rPr>
          <w:rFonts w:ascii="Segoe UI" w:hAnsi="Segoe UI"/>
          <w:sz w:val="21"/>
        </w:rPr>
        <w:t xml:space="preserve"> </w:t>
      </w:r>
    </w:p>
  </w:endnote>
  <w:endnote w:id="17">
    <w:p w14:paraId="542AF103" w14:textId="77777777" w:rsidR="00F119D2" w:rsidRPr="0092004C" w:rsidRDefault="00F119D2" w:rsidP="00F119D2">
      <w:pPr>
        <w:pStyle w:val="EndnoteText"/>
        <w:spacing w:after="20"/>
        <w:ind w:left="270" w:hanging="270"/>
        <w:rPr>
          <w:rFonts w:ascii="Segoe UI" w:hAnsi="Segoe UI" w:cs="Segoe UI"/>
          <w:sz w:val="21"/>
          <w:szCs w:val="21"/>
        </w:rPr>
      </w:pPr>
      <w:r w:rsidRPr="0092004C">
        <w:rPr>
          <w:rStyle w:val="EndnoteReference"/>
          <w:rFonts w:ascii="Segoe UI" w:hAnsi="Segoe UI"/>
          <w:sz w:val="21"/>
          <w:szCs w:val="21"/>
        </w:rPr>
        <w:endnoteRef/>
      </w:r>
      <w:r w:rsidRPr="0092004C">
        <w:rPr>
          <w:rFonts w:ascii="Segoe UI" w:hAnsi="Segoe UI"/>
          <w:sz w:val="21"/>
        </w:rPr>
        <w:t xml:space="preserve"> Señales de abuso de opioides, Johns Hopkins Medicine (sin fecha) </w:t>
      </w:r>
      <w:hyperlink r:id="rId16" w:history="1">
        <w:r w:rsidRPr="0092004C">
          <w:rPr>
            <w:rStyle w:val="Hyperlink"/>
            <w:rFonts w:ascii="Segoe UI" w:hAnsi="Segoe UI"/>
            <w:sz w:val="21"/>
          </w:rPr>
          <w:t>https://www.hopkinsmedicine.org/opioids/signs-of-opioid-abuse.html</w:t>
        </w:r>
      </w:hyperlink>
    </w:p>
  </w:endnote>
  <w:endnote w:id="18">
    <w:p w14:paraId="0E6CD164" w14:textId="77777777" w:rsidR="00F119D2" w:rsidRPr="0092004C" w:rsidRDefault="00F119D2" w:rsidP="00F119D2">
      <w:pPr>
        <w:pStyle w:val="CommentText"/>
        <w:ind w:left="270" w:hanging="270"/>
        <w:rPr>
          <w:rFonts w:ascii="Segoe UI" w:hAnsi="Segoe UI" w:cs="Segoe UI"/>
          <w:sz w:val="21"/>
          <w:szCs w:val="21"/>
        </w:rPr>
      </w:pPr>
      <w:r w:rsidRPr="0092004C">
        <w:rPr>
          <w:rStyle w:val="EndnoteReference"/>
          <w:rFonts w:ascii="Segoe UI" w:hAnsi="Segoe UI"/>
          <w:sz w:val="21"/>
          <w:szCs w:val="21"/>
        </w:rPr>
        <w:endnoteRef/>
      </w:r>
      <w:r w:rsidRPr="0092004C">
        <w:rPr>
          <w:rFonts w:ascii="Segoe UI" w:hAnsi="Segoe UI"/>
          <w:sz w:val="21"/>
        </w:rPr>
        <w:t xml:space="preserve"> Universidad de Búfalo (agosto de 2021) ¿Qué es la atención basada en información sobre el trauma? Información de:</w:t>
      </w:r>
      <w:r>
        <w:rPr>
          <w:rFonts w:ascii="Segoe UI" w:hAnsi="Segoe UI"/>
          <w:sz w:val="21"/>
        </w:rPr>
        <w:t xml:space="preserve"> </w:t>
      </w:r>
      <w:hyperlink r:id="rId17" w:history="1">
        <w:r w:rsidRPr="00582F0A">
          <w:rPr>
            <w:rStyle w:val="Hyperlink"/>
            <w:rFonts w:ascii="Segoe UI" w:hAnsi="Segoe UI"/>
            <w:sz w:val="21"/>
          </w:rPr>
          <w:t>http://socialwork.buffalo.edu/social-research/institutes-centers/institute-on-trauma-and-trauma-</w:t>
        </w:r>
        <w:r w:rsidRPr="00582F0A">
          <w:rPr>
            <w:rStyle w:val="Hyperlink"/>
            <w:rFonts w:ascii="Segoe UI" w:hAnsi="Segoe UI"/>
            <w:sz w:val="21"/>
          </w:rPr>
          <w:br/>
        </w:r>
        <w:proofErr w:type="spellStart"/>
        <w:r w:rsidRPr="00582F0A">
          <w:rPr>
            <w:rStyle w:val="Hyperlink"/>
            <w:rFonts w:ascii="Segoe UI" w:hAnsi="Segoe UI"/>
            <w:sz w:val="21"/>
          </w:rPr>
          <w:t>informed</w:t>
        </w:r>
        <w:proofErr w:type="spellEnd"/>
        <w:r w:rsidRPr="00582F0A">
          <w:rPr>
            <w:rStyle w:val="Hyperlink"/>
            <w:rFonts w:ascii="Segoe UI" w:hAnsi="Segoe UI"/>
            <w:sz w:val="21"/>
          </w:rPr>
          <w:t>-care/what-is-trauma-informed-care.html</w:t>
        </w:r>
      </w:hyperlink>
    </w:p>
  </w:endnote>
  <w:endnote w:id="19">
    <w:p w14:paraId="7FA99FDF" w14:textId="77777777" w:rsidR="00F119D2" w:rsidRPr="0092004C" w:rsidRDefault="00F119D2" w:rsidP="00F119D2">
      <w:pPr>
        <w:pStyle w:val="EndnoteText"/>
        <w:spacing w:after="20"/>
        <w:ind w:left="270" w:hanging="270"/>
        <w:rPr>
          <w:rFonts w:ascii="Segoe UI" w:hAnsi="Segoe UI" w:cs="Segoe UI"/>
          <w:sz w:val="21"/>
          <w:szCs w:val="21"/>
        </w:rPr>
      </w:pPr>
      <w:r w:rsidRPr="0092004C">
        <w:rPr>
          <w:rStyle w:val="EndnoteReference"/>
          <w:rFonts w:ascii="Segoe UI" w:hAnsi="Segoe UI"/>
          <w:sz w:val="21"/>
          <w:szCs w:val="21"/>
        </w:rPr>
        <w:endnoteRef/>
      </w:r>
      <w:r w:rsidRPr="0092004C">
        <w:rPr>
          <w:rFonts w:ascii="Segoe UI" w:hAnsi="Segoe UI"/>
          <w:sz w:val="21"/>
        </w:rPr>
        <w:t xml:space="preserve"> Columbia </w:t>
      </w:r>
      <w:proofErr w:type="spellStart"/>
      <w:r w:rsidRPr="0092004C">
        <w:rPr>
          <w:rFonts w:ascii="Segoe UI" w:hAnsi="Segoe UI"/>
          <w:sz w:val="21"/>
        </w:rPr>
        <w:t>Lighthouse</w:t>
      </w:r>
      <w:proofErr w:type="spellEnd"/>
      <w:r w:rsidRPr="0092004C">
        <w:rPr>
          <w:rFonts w:ascii="Segoe UI" w:hAnsi="Segoe UI"/>
          <w:sz w:val="21"/>
        </w:rPr>
        <w:t xml:space="preserve"> Project ["Proyecto </w:t>
      </w:r>
      <w:proofErr w:type="spellStart"/>
      <w:r w:rsidRPr="0092004C">
        <w:rPr>
          <w:rFonts w:ascii="Segoe UI" w:hAnsi="Segoe UI"/>
          <w:sz w:val="21"/>
        </w:rPr>
        <w:t>Lighthouse</w:t>
      </w:r>
      <w:proofErr w:type="spellEnd"/>
      <w:r w:rsidRPr="0092004C">
        <w:rPr>
          <w:rFonts w:ascii="Segoe UI" w:hAnsi="Segoe UI"/>
          <w:sz w:val="21"/>
        </w:rPr>
        <w:t xml:space="preserve"> de Columbia"] (2019): Identifique el riesgo Prevenga el suicidio </w:t>
      </w:r>
      <w:hyperlink r:id="rId18" w:history="1">
        <w:r w:rsidRPr="0092004C">
          <w:rPr>
            <w:rStyle w:val="Hyperlink"/>
            <w:rFonts w:ascii="Segoe UI" w:hAnsi="Segoe UI"/>
            <w:sz w:val="21"/>
          </w:rPr>
          <w:t>http://cssrs.columbia.edu/</w:t>
        </w:r>
      </w:hyperlink>
      <w:r w:rsidRPr="0092004C">
        <w:rPr>
          <w:rFonts w:ascii="Segoe UI" w:hAnsi="Segoe UI"/>
          <w:sz w:val="21"/>
        </w:rPr>
        <w:t xml:space="preserve"> </w:t>
      </w:r>
    </w:p>
  </w:endnote>
  <w:endnote w:id="20">
    <w:p w14:paraId="29673735" w14:textId="77777777" w:rsidR="00F119D2" w:rsidRPr="0092004C" w:rsidRDefault="00F119D2" w:rsidP="00F119D2">
      <w:pPr>
        <w:pStyle w:val="EndnoteText"/>
        <w:spacing w:after="20"/>
        <w:ind w:left="270" w:hanging="270"/>
        <w:rPr>
          <w:rFonts w:ascii="Segoe UI" w:hAnsi="Segoe UI" w:cs="Segoe UI"/>
          <w:sz w:val="21"/>
          <w:szCs w:val="21"/>
        </w:rPr>
      </w:pPr>
      <w:r w:rsidRPr="0092004C">
        <w:rPr>
          <w:rStyle w:val="EndnoteReference"/>
          <w:rFonts w:ascii="Segoe UI" w:hAnsi="Segoe UI"/>
          <w:sz w:val="21"/>
          <w:szCs w:val="21"/>
        </w:rPr>
        <w:endnoteRef/>
      </w:r>
      <w:r w:rsidRPr="0092004C">
        <w:rPr>
          <w:rFonts w:ascii="Segoe UI" w:hAnsi="Segoe UI"/>
          <w:sz w:val="21"/>
          <w:lang w:val="en-US"/>
        </w:rPr>
        <w:t xml:space="preserve"> Signs of Opioid Abuse, Johns Hopkins Medicine n.d. </w:t>
      </w:r>
      <w:hyperlink r:id="rId19" w:history="1">
        <w:r w:rsidRPr="0092004C">
          <w:rPr>
            <w:rStyle w:val="Hyperlink"/>
            <w:rFonts w:ascii="Segoe UI" w:hAnsi="Segoe UI"/>
            <w:sz w:val="21"/>
          </w:rPr>
          <w:t>https://www.hopkinsmedicine.org/opioids/signs-of-opioid-abuse.html</w:t>
        </w:r>
      </w:hyperlink>
    </w:p>
  </w:endnote>
  <w:endnote w:id="21">
    <w:p w14:paraId="77BDB634" w14:textId="77777777" w:rsidR="00F119D2" w:rsidRPr="00866073" w:rsidRDefault="00F119D2" w:rsidP="00F119D2">
      <w:pPr>
        <w:pStyle w:val="EndnoteText"/>
        <w:spacing w:after="20"/>
        <w:ind w:left="270" w:hanging="270"/>
        <w:rPr>
          <w:rFonts w:ascii="Segoe UI" w:hAnsi="Segoe UI" w:cs="Segoe UI"/>
          <w:sz w:val="21"/>
          <w:szCs w:val="21"/>
          <w:lang w:val="en-US"/>
        </w:rPr>
      </w:pPr>
      <w:r w:rsidRPr="0092004C">
        <w:rPr>
          <w:rStyle w:val="EndnoteReference"/>
          <w:rFonts w:ascii="Segoe UI" w:hAnsi="Segoe UI"/>
          <w:sz w:val="21"/>
          <w:szCs w:val="21"/>
        </w:rPr>
        <w:endnoteRef/>
      </w:r>
      <w:r w:rsidRPr="0092004C">
        <w:rPr>
          <w:rFonts w:ascii="Segoe UI" w:hAnsi="Segoe UI"/>
          <w:sz w:val="21"/>
        </w:rPr>
        <w:t xml:space="preserve"> </w:t>
      </w:r>
      <w:r w:rsidRPr="0092004C">
        <w:rPr>
          <w:rFonts w:ascii="Segoe UI" w:hAnsi="Segoe UI" w:cs="Segoe UI"/>
          <w:sz w:val="21"/>
          <w:szCs w:val="21"/>
        </w:rPr>
        <w:fldChar w:fldCharType="begin"/>
      </w:r>
      <w:r w:rsidRPr="0092004C">
        <w:rPr>
          <w:rFonts w:ascii="Segoe UI" w:hAnsi="Segoe UI" w:cs="Segoe UI"/>
          <w:sz w:val="21"/>
          <w:szCs w:val="21"/>
        </w:rPr>
        <w:instrText xml:space="preserve"> BIBLIOGRAPHY  \l 1033 </w:instrText>
      </w:r>
      <w:r w:rsidRPr="0092004C">
        <w:rPr>
          <w:rFonts w:ascii="Segoe UI" w:hAnsi="Segoe UI" w:cs="Segoe UI"/>
          <w:sz w:val="21"/>
          <w:szCs w:val="21"/>
        </w:rPr>
        <w:fldChar w:fldCharType="separate"/>
      </w:r>
      <w:r w:rsidRPr="0092004C">
        <w:rPr>
          <w:rFonts w:ascii="Segoe UI" w:hAnsi="Segoe UI"/>
          <w:sz w:val="21"/>
        </w:rPr>
        <w:t xml:space="preserve">Marc A. </w:t>
      </w:r>
      <w:proofErr w:type="spellStart"/>
      <w:r w:rsidRPr="0092004C">
        <w:rPr>
          <w:rFonts w:ascii="Segoe UI" w:hAnsi="Segoe UI"/>
          <w:sz w:val="21"/>
        </w:rPr>
        <w:t>Schuckit</w:t>
      </w:r>
      <w:proofErr w:type="spellEnd"/>
      <w:r w:rsidRPr="0092004C">
        <w:rPr>
          <w:rFonts w:ascii="Segoe UI" w:hAnsi="Segoe UI"/>
          <w:sz w:val="21"/>
        </w:rPr>
        <w:t xml:space="preserve">, M. (28 de julio de 2016). </w:t>
      </w:r>
      <w:r w:rsidRPr="0092004C">
        <w:rPr>
          <w:rFonts w:ascii="Segoe UI" w:hAnsi="Segoe UI"/>
          <w:i/>
          <w:iCs/>
          <w:sz w:val="21"/>
          <w:szCs w:val="21"/>
        </w:rPr>
        <w:t>Tratamiento para el trastorno por consumo de opioides</w:t>
      </w:r>
      <w:r w:rsidRPr="0092004C">
        <w:rPr>
          <w:rFonts w:ascii="Segoe UI" w:hAnsi="Segoe UI"/>
          <w:sz w:val="21"/>
        </w:rPr>
        <w:t xml:space="preserve">. </w:t>
      </w:r>
      <w:proofErr w:type="spellStart"/>
      <w:r w:rsidRPr="00866073">
        <w:rPr>
          <w:rFonts w:ascii="Segoe UI" w:hAnsi="Segoe UI"/>
          <w:sz w:val="21"/>
          <w:lang w:val="en-US"/>
        </w:rPr>
        <w:t>Tomado</w:t>
      </w:r>
      <w:proofErr w:type="spellEnd"/>
      <w:r w:rsidRPr="00866073">
        <w:rPr>
          <w:rFonts w:ascii="Segoe UI" w:hAnsi="Segoe UI"/>
          <w:sz w:val="21"/>
          <w:lang w:val="en-US"/>
        </w:rPr>
        <w:t xml:space="preserve"> de New England Journal of Medicine: </w:t>
      </w:r>
      <w:r w:rsidRPr="00866073">
        <w:rPr>
          <w:rFonts w:ascii="Segoe UI" w:hAnsi="Segoe UI" w:cs="Segoe UI"/>
          <w:sz w:val="21"/>
          <w:szCs w:val="21"/>
          <w:lang w:val="en-US"/>
        </w:rPr>
        <w:br/>
      </w:r>
      <w:r w:rsidRPr="0092004C">
        <w:rPr>
          <w:rFonts w:ascii="Segoe UI" w:hAnsi="Segoe UI" w:cs="Segoe UI"/>
          <w:sz w:val="21"/>
          <w:szCs w:val="21"/>
        </w:rPr>
        <w:fldChar w:fldCharType="end"/>
      </w:r>
      <w:hyperlink r:id="rId20" w:history="1">
        <w:r w:rsidRPr="00866073">
          <w:rPr>
            <w:rStyle w:val="Hyperlink"/>
            <w:rFonts w:ascii="Segoe UI" w:hAnsi="Segoe UI"/>
            <w:sz w:val="21"/>
            <w:lang w:val="en-US"/>
          </w:rPr>
          <w:t>https://www.nejm.org/doi/10.1056/NEJMra1604339</w:t>
        </w:r>
      </w:hyperlink>
      <w:r w:rsidRPr="00866073">
        <w:rPr>
          <w:rFonts w:ascii="Segoe UI" w:hAnsi="Segoe UI"/>
          <w:sz w:val="21"/>
          <w:lang w:val="en-US"/>
        </w:rPr>
        <w:t xml:space="preserve"> </w:t>
      </w:r>
    </w:p>
  </w:endnote>
  <w:endnote w:id="22">
    <w:p w14:paraId="4403F3CF" w14:textId="77777777" w:rsidR="00F119D2" w:rsidRPr="00A4619A" w:rsidRDefault="00F119D2" w:rsidP="00F119D2">
      <w:pPr>
        <w:pStyle w:val="EndnoteText"/>
        <w:spacing w:after="20"/>
        <w:ind w:left="270" w:hanging="270"/>
        <w:rPr>
          <w:rFonts w:ascii="Segoe UI" w:hAnsi="Segoe UI" w:cs="Segoe UI"/>
          <w:sz w:val="21"/>
          <w:szCs w:val="21"/>
        </w:rPr>
      </w:pPr>
      <w:r w:rsidRPr="0092004C">
        <w:rPr>
          <w:rStyle w:val="EndnoteReference"/>
          <w:rFonts w:ascii="Segoe UI" w:hAnsi="Segoe UI"/>
          <w:sz w:val="21"/>
          <w:szCs w:val="21"/>
        </w:rPr>
        <w:endnoteRef/>
      </w:r>
      <w:r w:rsidRPr="0092004C">
        <w:rPr>
          <w:rFonts w:ascii="Segoe UI" w:hAnsi="Segoe UI"/>
          <w:sz w:val="21"/>
          <w:lang w:val="en-US"/>
        </w:rPr>
        <w:t xml:space="preserve"> What is Trauma-Informed Care? Buffalo Center for Social Research, n.d. </w:t>
      </w:r>
      <w:hyperlink r:id="rId21" w:history="1">
        <w:r w:rsidRPr="00A4619A">
          <w:rPr>
            <w:rStyle w:val="Hyperlink"/>
            <w:rFonts w:ascii="Segoe UI" w:hAnsi="Segoe UI"/>
            <w:sz w:val="21"/>
          </w:rPr>
          <w:t>http://socialwork.buffalo.edu/social-research/institutes-centers/institute-on-trauma-and-trauma-informed-care/what-is-trauma-informed-care.html</w:t>
        </w:r>
      </w:hyperlink>
    </w:p>
  </w:endnote>
  <w:endnote w:id="23">
    <w:p w14:paraId="66AD1D0B" w14:textId="77777777" w:rsidR="00F119D2" w:rsidRPr="00866073" w:rsidRDefault="00F119D2" w:rsidP="00F119D2">
      <w:pPr>
        <w:pStyle w:val="EndnoteText"/>
        <w:spacing w:after="20"/>
        <w:ind w:left="270" w:hanging="270"/>
        <w:rPr>
          <w:rFonts w:ascii="Segoe UI" w:hAnsi="Segoe UI" w:cs="Segoe UI"/>
          <w:sz w:val="21"/>
          <w:szCs w:val="21"/>
          <w:lang w:val="es-US"/>
        </w:rPr>
      </w:pPr>
      <w:r w:rsidRPr="0092004C">
        <w:rPr>
          <w:rStyle w:val="EndnoteReference"/>
          <w:rFonts w:ascii="Segoe UI" w:hAnsi="Segoe UI"/>
          <w:sz w:val="21"/>
          <w:szCs w:val="21"/>
        </w:rPr>
        <w:endnoteRef/>
      </w:r>
      <w:r w:rsidRPr="005F35B7">
        <w:rPr>
          <w:rFonts w:ascii="Segoe UI" w:hAnsi="Segoe UI"/>
          <w:sz w:val="21"/>
          <w:lang w:val="fr-FR"/>
        </w:rPr>
        <w:t xml:space="preserve"> Louis A. </w:t>
      </w:r>
      <w:proofErr w:type="spellStart"/>
      <w:r w:rsidRPr="005F35B7">
        <w:rPr>
          <w:rFonts w:ascii="Segoe UI" w:hAnsi="Segoe UI"/>
          <w:sz w:val="21"/>
          <w:lang w:val="fr-FR"/>
        </w:rPr>
        <w:t>Trevisan</w:t>
      </w:r>
      <w:proofErr w:type="spellEnd"/>
      <w:r w:rsidRPr="005F35B7">
        <w:rPr>
          <w:rFonts w:ascii="Segoe UI" w:hAnsi="Segoe UI"/>
          <w:sz w:val="21"/>
          <w:lang w:val="fr-FR"/>
        </w:rPr>
        <w:t>, M. (</w:t>
      </w:r>
      <w:proofErr w:type="spellStart"/>
      <w:r w:rsidRPr="005F35B7">
        <w:rPr>
          <w:rFonts w:ascii="Segoe UI" w:hAnsi="Segoe UI"/>
          <w:sz w:val="21"/>
          <w:lang w:val="fr-FR"/>
        </w:rPr>
        <w:t>n.d</w:t>
      </w:r>
      <w:proofErr w:type="spellEnd"/>
      <w:r w:rsidRPr="005F35B7">
        <w:rPr>
          <w:rFonts w:ascii="Segoe UI" w:hAnsi="Segoe UI"/>
          <w:sz w:val="21"/>
          <w:lang w:val="fr-FR"/>
        </w:rPr>
        <w:t xml:space="preserve">.) </w:t>
      </w:r>
      <w:r w:rsidRPr="0092004C">
        <w:rPr>
          <w:rFonts w:ascii="Segoe UI" w:hAnsi="Segoe UI"/>
          <w:i/>
          <w:iCs/>
          <w:sz w:val="21"/>
          <w:szCs w:val="21"/>
        </w:rPr>
        <w:t>Trastornos por consumo de sustancias en personas mayores</w:t>
      </w:r>
      <w:r w:rsidRPr="0092004C">
        <w:rPr>
          <w:rFonts w:ascii="Segoe UI" w:hAnsi="Segoe UI"/>
          <w:sz w:val="21"/>
        </w:rPr>
        <w:t xml:space="preserve">. </w:t>
      </w:r>
      <w:r w:rsidRPr="00866073">
        <w:rPr>
          <w:rFonts w:ascii="Segoe UI" w:hAnsi="Segoe UI"/>
          <w:sz w:val="21"/>
          <w:lang w:val="es-US"/>
        </w:rPr>
        <w:t xml:space="preserve">Extraído de </w:t>
      </w:r>
      <w:proofErr w:type="spellStart"/>
      <w:r w:rsidRPr="00866073">
        <w:rPr>
          <w:rFonts w:ascii="Segoe UI" w:hAnsi="Segoe UI"/>
          <w:sz w:val="21"/>
          <w:lang w:val="es-US"/>
        </w:rPr>
        <w:t>Providers</w:t>
      </w:r>
      <w:proofErr w:type="spellEnd"/>
      <w:r w:rsidRPr="00866073">
        <w:rPr>
          <w:rFonts w:ascii="Segoe UI" w:hAnsi="Segoe UI"/>
          <w:sz w:val="21"/>
          <w:lang w:val="es-US"/>
        </w:rPr>
        <w:t xml:space="preserve"> </w:t>
      </w:r>
      <w:proofErr w:type="spellStart"/>
      <w:r w:rsidRPr="00866073">
        <w:rPr>
          <w:rFonts w:ascii="Segoe UI" w:hAnsi="Segoe UI"/>
          <w:sz w:val="21"/>
          <w:lang w:val="es-US"/>
        </w:rPr>
        <w:t>Clinical</w:t>
      </w:r>
      <w:proofErr w:type="spellEnd"/>
      <w:r w:rsidRPr="00866073">
        <w:rPr>
          <w:rFonts w:ascii="Segoe UI" w:hAnsi="Segoe UI"/>
          <w:sz w:val="21"/>
          <w:lang w:val="es-US"/>
        </w:rPr>
        <w:t xml:space="preserve"> </w:t>
      </w:r>
      <w:proofErr w:type="spellStart"/>
      <w:r w:rsidRPr="00866073">
        <w:rPr>
          <w:rFonts w:ascii="Segoe UI" w:hAnsi="Segoe UI"/>
          <w:sz w:val="21"/>
          <w:lang w:val="es-US"/>
        </w:rPr>
        <w:t>Support</w:t>
      </w:r>
      <w:proofErr w:type="spellEnd"/>
      <w:r w:rsidRPr="00866073">
        <w:rPr>
          <w:rFonts w:ascii="Segoe UI" w:hAnsi="Segoe UI"/>
          <w:sz w:val="21"/>
          <w:lang w:val="es-US"/>
        </w:rPr>
        <w:t xml:space="preserve"> </w:t>
      </w:r>
      <w:proofErr w:type="spellStart"/>
      <w:r w:rsidRPr="00866073">
        <w:rPr>
          <w:rFonts w:ascii="Segoe UI" w:hAnsi="Segoe UI"/>
          <w:sz w:val="21"/>
          <w:lang w:val="es-US"/>
        </w:rPr>
        <w:t>System</w:t>
      </w:r>
      <w:proofErr w:type="spellEnd"/>
      <w:r w:rsidRPr="00866073">
        <w:rPr>
          <w:rFonts w:ascii="Segoe UI" w:hAnsi="Segoe UI"/>
          <w:sz w:val="21"/>
          <w:lang w:val="es-US"/>
        </w:rPr>
        <w:t xml:space="preserve">: </w:t>
      </w:r>
      <w:hyperlink r:id="rId22" w:history="1">
        <w:r w:rsidRPr="00866073">
          <w:rPr>
            <w:rStyle w:val="Hyperlink"/>
            <w:rFonts w:ascii="Segoe UI" w:hAnsi="Segoe UI"/>
            <w:sz w:val="21"/>
            <w:lang w:val="es-US"/>
          </w:rPr>
          <w:t>https://cf8b2643ab1d3c05e8f6-d3dc0d8f838e182b6b722cea42bb6a35.ssl.cf2.rackcdn.com/aaap_986d7d138b9fc49bcf0f61d6ba0392c9.pdf</w:t>
        </w:r>
      </w:hyperlink>
    </w:p>
  </w:endnote>
  <w:endnote w:id="24">
    <w:p w14:paraId="1A402ED4" w14:textId="77777777" w:rsidR="00F119D2" w:rsidRPr="0092004C" w:rsidRDefault="00F119D2" w:rsidP="00F119D2">
      <w:pPr>
        <w:pStyle w:val="EndnoteText"/>
        <w:ind w:left="270" w:hanging="270"/>
        <w:rPr>
          <w:rFonts w:ascii="Segoe UI" w:hAnsi="Segoe UI" w:cs="Segoe UI"/>
          <w:sz w:val="21"/>
          <w:szCs w:val="21"/>
        </w:rPr>
      </w:pPr>
      <w:r w:rsidRPr="0092004C">
        <w:rPr>
          <w:rFonts w:ascii="Segoe UI" w:hAnsi="Segoe UI"/>
          <w:sz w:val="21"/>
          <w:szCs w:val="21"/>
          <w:vertAlign w:val="superscript"/>
        </w:rPr>
        <w:endnoteRef/>
      </w:r>
      <w:r w:rsidRPr="0092004C">
        <w:rPr>
          <w:rFonts w:ascii="Segoe UI" w:hAnsi="Segoe UI"/>
          <w:sz w:val="21"/>
        </w:rPr>
        <w:t xml:space="preserve"> Hay LTCF pediátricos en </w:t>
      </w:r>
      <w:proofErr w:type="gramStart"/>
      <w:r w:rsidRPr="0092004C">
        <w:rPr>
          <w:rFonts w:ascii="Segoe UI" w:hAnsi="Segoe UI"/>
          <w:sz w:val="21"/>
        </w:rPr>
        <w:t>Massachusetts</w:t>
      </w:r>
      <w:proofErr w:type="gramEnd"/>
      <w:r w:rsidRPr="0092004C">
        <w:rPr>
          <w:rFonts w:ascii="Segoe UI" w:hAnsi="Segoe UI"/>
          <w:sz w:val="21"/>
        </w:rPr>
        <w:t xml:space="preserve"> pero este no es el enfoque de nuestro trabajo. La información para LTCF pediátricos puede encontrarse en </w:t>
      </w:r>
      <w:hyperlink r:id="rId23" w:history="1">
        <w:r w:rsidRPr="0092004C">
          <w:rPr>
            <w:rStyle w:val="Hyperlink"/>
            <w:rFonts w:ascii="Segoe UI" w:hAnsi="Segoe UI"/>
            <w:sz w:val="21"/>
          </w:rPr>
          <w:t>https://www.mass.gov/medical-review-team</w:t>
        </w:r>
      </w:hyperlink>
      <w:r w:rsidRPr="0092004C">
        <w:rPr>
          <w:rFonts w:ascii="Segoe UI" w:hAnsi="Segoe UI"/>
          <w:sz w:val="21"/>
        </w:rPr>
        <w:t>.</w:t>
      </w:r>
    </w:p>
  </w:endnote>
  <w:endnote w:id="25">
    <w:p w14:paraId="2B5129D9" w14:textId="77777777" w:rsidR="00F119D2" w:rsidRPr="0092004C" w:rsidRDefault="00F119D2" w:rsidP="00F119D2">
      <w:pPr>
        <w:pStyle w:val="Bibliography"/>
        <w:spacing w:after="20"/>
        <w:ind w:left="270" w:hanging="270"/>
        <w:rPr>
          <w:rFonts w:ascii="Segoe UI" w:hAnsi="Segoe UI" w:cs="Segoe UI"/>
          <w:sz w:val="21"/>
          <w:szCs w:val="21"/>
          <w:lang w:val="en-US"/>
        </w:rPr>
      </w:pPr>
      <w:r w:rsidRPr="0092004C">
        <w:rPr>
          <w:rStyle w:val="EndnoteReference"/>
          <w:rFonts w:ascii="Segoe UI" w:hAnsi="Segoe UI"/>
          <w:sz w:val="21"/>
          <w:szCs w:val="21"/>
        </w:rPr>
        <w:endnoteRef/>
      </w:r>
      <w:r w:rsidRPr="00FC0CA5">
        <w:rPr>
          <w:rFonts w:ascii="Segoe UI" w:hAnsi="Segoe UI"/>
          <w:sz w:val="21"/>
          <w:lang w:val="de-AT"/>
        </w:rPr>
        <w:t xml:space="preserve"> </w:t>
      </w:r>
      <w:r w:rsidRPr="00FC0CA5">
        <w:rPr>
          <w:rFonts w:ascii="Segoe UI" w:hAnsi="Segoe UI"/>
          <w:sz w:val="21"/>
          <w:lang w:val="de-AT"/>
        </w:rPr>
        <w:t xml:space="preserve">Alford, D. P. (n.d.) </w:t>
      </w:r>
      <w:r w:rsidRPr="00FC0CA5">
        <w:rPr>
          <w:rFonts w:ascii="Segoe UI" w:hAnsi="Segoe UI"/>
          <w:i/>
          <w:iCs/>
          <w:sz w:val="21"/>
          <w:szCs w:val="21"/>
          <w:lang w:val="en-US"/>
        </w:rPr>
        <w:t>Managing Acute &amp; Chronic Pain with Managing Acute &amp; Chronic Pain with Medication-Assisted Treatment (MAT)</w:t>
      </w:r>
      <w:r w:rsidRPr="00FC0CA5">
        <w:rPr>
          <w:rFonts w:ascii="Segoe UI" w:hAnsi="Segoe UI"/>
          <w:sz w:val="21"/>
          <w:lang w:val="en-US"/>
        </w:rPr>
        <w:t xml:space="preserve">. </w:t>
      </w:r>
      <w:proofErr w:type="spellStart"/>
      <w:r w:rsidRPr="0092004C">
        <w:rPr>
          <w:rFonts w:ascii="Segoe UI" w:hAnsi="Segoe UI"/>
          <w:sz w:val="21"/>
          <w:lang w:val="en-US"/>
        </w:rPr>
        <w:t>Tomado</w:t>
      </w:r>
      <w:proofErr w:type="spellEnd"/>
      <w:r w:rsidRPr="0092004C">
        <w:rPr>
          <w:rFonts w:ascii="Segoe UI" w:hAnsi="Segoe UI"/>
          <w:sz w:val="21"/>
          <w:lang w:val="en-US"/>
        </w:rPr>
        <w:t xml:space="preserve"> de Providers Clinical Support System for Medication-Assisted Treatment: </w:t>
      </w:r>
      <w:hyperlink r:id="rId24" w:history="1">
        <w:r w:rsidRPr="0092004C">
          <w:rPr>
            <w:rStyle w:val="Hyperlink"/>
            <w:rFonts w:ascii="Segoe UI" w:hAnsi="Segoe UI"/>
            <w:sz w:val="21"/>
            <w:lang w:val="en-US"/>
          </w:rPr>
          <w:t>http://pcssnow.org/wp-content/uploads/2015/12/Alford-Acute-Chronic-Pain-MAT-FINAL2-12-22-15.pdf</w:t>
        </w:r>
      </w:hyperlink>
    </w:p>
  </w:endnote>
  <w:endnote w:id="26">
    <w:p w14:paraId="63BF3176" w14:textId="77777777" w:rsidR="00F119D2" w:rsidRPr="0092004C" w:rsidRDefault="00F119D2" w:rsidP="00F119D2">
      <w:pPr>
        <w:pStyle w:val="EndnoteText"/>
        <w:spacing w:after="20"/>
        <w:ind w:left="270" w:hanging="270"/>
        <w:rPr>
          <w:rFonts w:ascii="Segoe UI" w:hAnsi="Segoe UI" w:cs="Segoe UI"/>
          <w:sz w:val="21"/>
          <w:szCs w:val="21"/>
          <w:lang w:val="en-US"/>
        </w:rPr>
      </w:pPr>
      <w:r w:rsidRPr="0092004C">
        <w:rPr>
          <w:rStyle w:val="EndnoteReference"/>
          <w:rFonts w:ascii="Segoe UI" w:hAnsi="Segoe UI"/>
          <w:sz w:val="21"/>
          <w:szCs w:val="21"/>
        </w:rPr>
        <w:endnoteRef/>
      </w:r>
      <w:r>
        <w:rPr>
          <w:rFonts w:ascii="Segoe UI" w:hAnsi="Segoe UI"/>
          <w:sz w:val="21"/>
          <w:lang w:val="en-US"/>
        </w:rPr>
        <w:t xml:space="preserve"> </w:t>
      </w:r>
      <w:r w:rsidRPr="0092004C">
        <w:rPr>
          <w:rFonts w:ascii="Segoe UI" w:hAnsi="Segoe UI"/>
          <w:sz w:val="21"/>
          <w:lang w:val="en-US"/>
        </w:rPr>
        <w:t xml:space="preserve">BSAS Practice Guidelines (2015): </w:t>
      </w:r>
      <w:hyperlink r:id="rId25" w:history="1">
        <w:r w:rsidRPr="0092004C">
          <w:rPr>
            <w:rStyle w:val="Hyperlink"/>
            <w:rFonts w:ascii="Segoe UI" w:hAnsi="Segoe UI"/>
            <w:sz w:val="21"/>
            <w:lang w:val="en-US"/>
          </w:rPr>
          <w:t>https://www.mass.gov/files/documents/2016/07/vp/care-principles-guidance-older-adults.pdf</w:t>
        </w:r>
      </w:hyperlink>
      <w:r w:rsidRPr="0092004C">
        <w:rPr>
          <w:rFonts w:ascii="Segoe UI" w:hAnsi="Segoe UI"/>
          <w:sz w:val="21"/>
          <w:lang w:val="en-US"/>
        </w:rPr>
        <w:t xml:space="preserve"> </w:t>
      </w:r>
    </w:p>
  </w:endnote>
  <w:endnote w:id="27">
    <w:p w14:paraId="38D96E95" w14:textId="77777777" w:rsidR="00F119D2" w:rsidRPr="0092004C" w:rsidRDefault="00F119D2" w:rsidP="00F119D2">
      <w:pPr>
        <w:pStyle w:val="EndnoteText"/>
        <w:spacing w:after="20"/>
        <w:ind w:left="270" w:hanging="270"/>
        <w:rPr>
          <w:rFonts w:ascii="Segoe UI" w:hAnsi="Segoe UI" w:cs="Segoe UI"/>
          <w:sz w:val="21"/>
          <w:szCs w:val="21"/>
          <w:lang w:val="en-US"/>
        </w:rPr>
      </w:pPr>
      <w:r w:rsidRPr="0092004C">
        <w:rPr>
          <w:rStyle w:val="EndnoteReference"/>
          <w:rFonts w:ascii="Segoe UI" w:hAnsi="Segoe UI"/>
          <w:sz w:val="21"/>
          <w:szCs w:val="21"/>
        </w:rPr>
        <w:endnoteRef/>
      </w:r>
      <w:r>
        <w:rPr>
          <w:rFonts w:ascii="Segoe UI" w:hAnsi="Segoe UI"/>
          <w:sz w:val="21"/>
          <w:lang w:val="en-US"/>
        </w:rPr>
        <w:t xml:space="preserve"> </w:t>
      </w:r>
      <w:r w:rsidRPr="0092004C">
        <w:rPr>
          <w:rFonts w:ascii="Segoe UI" w:hAnsi="Segoe UI"/>
          <w:sz w:val="21"/>
          <w:lang w:val="en-US"/>
        </w:rPr>
        <w:t xml:space="preserve">BSAS Practice Guidelines (2015): </w:t>
      </w:r>
      <w:hyperlink r:id="rId26" w:history="1">
        <w:r w:rsidRPr="0092004C">
          <w:rPr>
            <w:rStyle w:val="Hyperlink"/>
            <w:rFonts w:ascii="Segoe UI" w:hAnsi="Segoe UI"/>
            <w:sz w:val="21"/>
            <w:lang w:val="en-US"/>
          </w:rPr>
          <w:t>https://www.mass.gov/files/documents/2016/07/op/practice-guidance-engaging-young-adults-and-their-families.docx</w:t>
        </w:r>
      </w:hyperlink>
      <w:r w:rsidRPr="0092004C">
        <w:rPr>
          <w:rFonts w:ascii="Segoe UI" w:hAnsi="Segoe UI"/>
          <w:sz w:val="21"/>
          <w:lang w:val="en-US"/>
        </w:rPr>
        <w:t xml:space="preserve"> </w:t>
      </w:r>
    </w:p>
  </w:endnote>
  <w:endnote w:id="28">
    <w:p w14:paraId="0874277E" w14:textId="77777777" w:rsidR="00F119D2" w:rsidRPr="00866073" w:rsidRDefault="00F119D2" w:rsidP="00F119D2">
      <w:pPr>
        <w:pStyle w:val="Bibliography"/>
        <w:spacing w:after="20"/>
        <w:ind w:left="270" w:hanging="270"/>
        <w:rPr>
          <w:rFonts w:ascii="Segoe UI" w:hAnsi="Segoe UI" w:cs="Segoe UI"/>
          <w:sz w:val="21"/>
          <w:szCs w:val="21"/>
          <w:lang w:val="pt-BR"/>
        </w:rPr>
      </w:pPr>
      <w:r w:rsidRPr="0092004C">
        <w:rPr>
          <w:rStyle w:val="EndnoteReference"/>
          <w:rFonts w:ascii="Segoe UI" w:hAnsi="Segoe UI"/>
          <w:sz w:val="21"/>
          <w:szCs w:val="21"/>
        </w:rPr>
        <w:endnoteRef/>
      </w:r>
      <w:r w:rsidRPr="005F35B7">
        <w:rPr>
          <w:rFonts w:ascii="Segoe UI" w:hAnsi="Segoe UI"/>
          <w:sz w:val="21"/>
          <w:lang w:val="es-ES"/>
        </w:rPr>
        <w:t xml:space="preserve"> Celeste </w:t>
      </w:r>
      <w:proofErr w:type="spellStart"/>
      <w:r w:rsidRPr="005F35B7">
        <w:rPr>
          <w:rFonts w:ascii="Segoe UI" w:hAnsi="Segoe UI"/>
          <w:sz w:val="21"/>
          <w:lang w:val="es-ES"/>
        </w:rPr>
        <w:t>Shawler</w:t>
      </w:r>
      <w:proofErr w:type="spellEnd"/>
      <w:r w:rsidRPr="005F35B7">
        <w:rPr>
          <w:rFonts w:ascii="Segoe UI" w:hAnsi="Segoe UI"/>
          <w:sz w:val="21"/>
          <w:lang w:val="es-ES"/>
        </w:rPr>
        <w:t xml:space="preserve">, R. G. (1 de octubre de 2001). </w:t>
      </w:r>
      <w:r w:rsidRPr="0092004C">
        <w:rPr>
          <w:rFonts w:ascii="Segoe UI" w:hAnsi="Segoe UI"/>
          <w:i/>
          <w:iCs/>
          <w:sz w:val="21"/>
          <w:szCs w:val="21"/>
          <w:lang w:val="en-US"/>
        </w:rPr>
        <w:t>Analysis of Key Decision-Making Incidents in the Life of a Nursing Home Resident</w:t>
      </w:r>
      <w:r w:rsidRPr="0092004C">
        <w:rPr>
          <w:rFonts w:ascii="Segoe UI" w:hAnsi="Segoe UI"/>
          <w:sz w:val="21"/>
          <w:lang w:val="en-US"/>
        </w:rPr>
        <w:t xml:space="preserve">. </w:t>
      </w:r>
      <w:r w:rsidRPr="00866073">
        <w:rPr>
          <w:rFonts w:ascii="Segoe UI" w:hAnsi="Segoe UI"/>
          <w:sz w:val="21"/>
          <w:lang w:val="pt-BR"/>
        </w:rPr>
        <w:t xml:space="preserve">Tomado de The Gerontologist: </w:t>
      </w:r>
      <w:r>
        <w:fldChar w:fldCharType="begin"/>
      </w:r>
      <w:r>
        <w:instrText>HYPERLINK "https://academic.oup.com/gerontologist/article/41/5/612/596559"</w:instrText>
      </w:r>
      <w:r>
        <w:fldChar w:fldCharType="separate"/>
      </w:r>
      <w:r w:rsidRPr="00866073">
        <w:rPr>
          <w:rStyle w:val="Hyperlink"/>
          <w:rFonts w:ascii="Segoe UI" w:hAnsi="Segoe UI"/>
          <w:sz w:val="21"/>
          <w:lang w:val="pt-BR"/>
        </w:rPr>
        <w:t>https://academic.oup.com/gerontologist/article/41/5/612/596559</w:t>
      </w:r>
      <w:r>
        <w:rPr>
          <w:rStyle w:val="Hyperlink"/>
          <w:rFonts w:ascii="Segoe UI" w:hAnsi="Segoe UI"/>
          <w:sz w:val="21"/>
          <w:lang w:val="pt-BR"/>
        </w:rPr>
        <w:fldChar w:fldCharType="end"/>
      </w:r>
      <w:r w:rsidRPr="00866073">
        <w:rPr>
          <w:rFonts w:ascii="Segoe UI" w:hAnsi="Segoe UI"/>
          <w:sz w:val="21"/>
          <w:lang w:val="pt-BR"/>
        </w:rPr>
        <w:t xml:space="preserve"> </w:t>
      </w:r>
    </w:p>
  </w:endnote>
  <w:endnote w:id="29">
    <w:p w14:paraId="6B1BCCAF" w14:textId="77777777" w:rsidR="00F119D2" w:rsidRPr="0092004C" w:rsidRDefault="00F119D2" w:rsidP="00F119D2">
      <w:pPr>
        <w:spacing w:after="20"/>
        <w:ind w:left="270" w:hanging="270"/>
        <w:rPr>
          <w:rFonts w:ascii="Segoe UI" w:hAnsi="Segoe UI" w:cs="Segoe UI"/>
          <w:sz w:val="21"/>
          <w:szCs w:val="21"/>
          <w:lang w:val="en-US"/>
        </w:rPr>
      </w:pPr>
      <w:r w:rsidRPr="0092004C">
        <w:rPr>
          <w:rFonts w:ascii="Segoe UI" w:hAnsi="Segoe UI"/>
          <w:sz w:val="21"/>
          <w:szCs w:val="21"/>
          <w:vertAlign w:val="superscript"/>
        </w:rPr>
        <w:endnoteRef/>
      </w:r>
      <w:r w:rsidRPr="0092004C">
        <w:rPr>
          <w:rFonts w:ascii="Segoe UI" w:hAnsi="Segoe UI"/>
          <w:sz w:val="21"/>
          <w:lang w:val="en-US"/>
        </w:rPr>
        <w:t xml:space="preserve"> Circular Letter: DHCQ 16-11-662 - Admission of Residents on Medication-Assisted Treatment for Opioid Use Disorder, Eric Sheehan, JD, Director, Bureau of Health Care Safety and Quality, 15 de </w:t>
      </w:r>
      <w:proofErr w:type="spellStart"/>
      <w:r w:rsidRPr="0092004C">
        <w:rPr>
          <w:rFonts w:ascii="Segoe UI" w:hAnsi="Segoe UI"/>
          <w:sz w:val="21"/>
          <w:lang w:val="en-US"/>
        </w:rPr>
        <w:t>noviembre</w:t>
      </w:r>
      <w:proofErr w:type="spellEnd"/>
      <w:r w:rsidRPr="0092004C">
        <w:rPr>
          <w:rFonts w:ascii="Segoe UI" w:hAnsi="Segoe UI"/>
          <w:sz w:val="21"/>
          <w:lang w:val="en-US"/>
        </w:rPr>
        <w:t xml:space="preserve">, 2016 </w:t>
      </w:r>
      <w:hyperlink r:id="rId27" w:history="1">
        <w:r w:rsidRPr="0092004C">
          <w:rPr>
            <w:rStyle w:val="Hyperlink"/>
            <w:rFonts w:ascii="Segoe UI" w:hAnsi="Segoe UI"/>
            <w:sz w:val="21"/>
            <w:lang w:val="en-US"/>
          </w:rPr>
          <w:t>https://www.mass.gov/circular-letter/circular-letter-dhcq-16-11-662-admission-of-residents-on-medication-assisted</w:t>
        </w:r>
      </w:hyperlink>
    </w:p>
  </w:endnote>
  <w:endnote w:id="30">
    <w:p w14:paraId="24885375" w14:textId="77777777" w:rsidR="00F119D2" w:rsidRPr="0092004C" w:rsidRDefault="00F119D2" w:rsidP="00F119D2">
      <w:pPr>
        <w:spacing w:after="20"/>
        <w:ind w:left="270" w:hanging="270"/>
        <w:rPr>
          <w:rFonts w:ascii="Segoe UI" w:hAnsi="Segoe UI" w:cs="Segoe UI"/>
          <w:sz w:val="21"/>
          <w:szCs w:val="21"/>
          <w:lang w:val="en-US"/>
        </w:rPr>
      </w:pPr>
      <w:r w:rsidRPr="0092004C">
        <w:rPr>
          <w:rFonts w:ascii="Segoe UI" w:hAnsi="Segoe UI"/>
          <w:sz w:val="21"/>
          <w:szCs w:val="21"/>
          <w:vertAlign w:val="superscript"/>
        </w:rPr>
        <w:endnoteRef/>
      </w:r>
      <w:r w:rsidRPr="0092004C">
        <w:rPr>
          <w:rFonts w:ascii="Segoe UI" w:hAnsi="Segoe UI"/>
          <w:sz w:val="21"/>
          <w:lang w:val="en-US"/>
        </w:rPr>
        <w:t xml:space="preserve"> Opioid Overdose Prevention Toolkit - Five Essential Steps for First Responders, 2018 </w:t>
      </w:r>
      <w:hyperlink r:id="rId28" w:history="1">
        <w:r w:rsidRPr="0092004C">
          <w:rPr>
            <w:rStyle w:val="Hyperlink"/>
            <w:rFonts w:ascii="Segoe UI" w:hAnsi="Segoe UI"/>
            <w:sz w:val="21"/>
            <w:lang w:val="en-US"/>
          </w:rPr>
          <w:t>https://store.samhsa.gov/system/files/five-essential-steps-for-first-responders.pdf</w:t>
        </w:r>
      </w:hyperlink>
    </w:p>
  </w:endnote>
  <w:endnote w:id="31">
    <w:p w14:paraId="1CF668FA" w14:textId="77777777" w:rsidR="00F119D2" w:rsidRPr="0092004C" w:rsidRDefault="00F119D2" w:rsidP="00F119D2">
      <w:pPr>
        <w:pStyle w:val="EndnoteText"/>
        <w:ind w:left="270" w:hanging="270"/>
        <w:rPr>
          <w:rFonts w:ascii="Segoe UI" w:hAnsi="Segoe UI" w:cs="Segoe UI"/>
          <w:sz w:val="21"/>
          <w:szCs w:val="21"/>
          <w:lang w:val="en-US"/>
        </w:rPr>
      </w:pPr>
      <w:r w:rsidRPr="0092004C">
        <w:rPr>
          <w:rFonts w:ascii="Segoe UI" w:hAnsi="Segoe UI"/>
          <w:sz w:val="21"/>
          <w:szCs w:val="21"/>
          <w:vertAlign w:val="superscript"/>
        </w:rPr>
        <w:endnoteRef/>
      </w:r>
      <w:r w:rsidRPr="0092004C">
        <w:rPr>
          <w:rFonts w:ascii="Segoe UI" w:hAnsi="Segoe UI"/>
          <w:sz w:val="21"/>
          <w:lang w:val="en-US"/>
        </w:rPr>
        <w:t xml:space="preserve"> </w:t>
      </w:r>
      <w:hyperlink r:id="rId29" w:history="1">
        <w:r w:rsidRPr="0092004C">
          <w:rPr>
            <w:rStyle w:val="Hyperlink"/>
            <w:rFonts w:ascii="Segoe UI" w:hAnsi="Segoe UI"/>
            <w:sz w:val="21"/>
            <w:lang w:val="en-US"/>
          </w:rPr>
          <w:t>https://www.mass.gov/circular-letter/circular-letter-dhcq-16-11-662-admission-of-residents-on-medication-assisted</w:t>
        </w:r>
      </w:hyperlink>
      <w:r w:rsidRPr="0092004C">
        <w:rPr>
          <w:rFonts w:ascii="Segoe UI" w:hAnsi="Segoe UI"/>
          <w:sz w:val="21"/>
          <w:lang w:val="en-US"/>
        </w:rPr>
        <w:t xml:space="preserve"> </w:t>
      </w:r>
    </w:p>
  </w:endnote>
  <w:endnote w:id="32">
    <w:p w14:paraId="3425FE83" w14:textId="77777777" w:rsidR="00F119D2" w:rsidRPr="0092004C" w:rsidRDefault="00F119D2" w:rsidP="00F119D2">
      <w:pPr>
        <w:pStyle w:val="EndnoteText"/>
        <w:ind w:left="270" w:hanging="270"/>
        <w:rPr>
          <w:rFonts w:ascii="Segoe UI" w:hAnsi="Segoe UI" w:cs="Segoe UI"/>
          <w:sz w:val="21"/>
          <w:szCs w:val="21"/>
          <w:lang w:val="en-US"/>
        </w:rPr>
      </w:pPr>
      <w:r w:rsidRPr="0092004C">
        <w:rPr>
          <w:rStyle w:val="EndnoteReference"/>
          <w:rFonts w:ascii="Segoe UI" w:hAnsi="Segoe UI"/>
          <w:sz w:val="21"/>
          <w:szCs w:val="21"/>
        </w:rPr>
        <w:endnoteRef/>
      </w:r>
      <w:r w:rsidRPr="0092004C">
        <w:rPr>
          <w:rFonts w:ascii="Segoe UI" w:hAnsi="Segoe UI"/>
          <w:sz w:val="21"/>
          <w:lang w:val="en-US"/>
        </w:rPr>
        <w:t xml:space="preserve"> American Addiction Centers National Rehabs Directory. (2019, 4 de </w:t>
      </w:r>
      <w:proofErr w:type="spellStart"/>
      <w:r w:rsidRPr="0092004C">
        <w:rPr>
          <w:rFonts w:ascii="Segoe UI" w:hAnsi="Segoe UI"/>
          <w:sz w:val="21"/>
          <w:lang w:val="en-US"/>
        </w:rPr>
        <w:t>noviembre</w:t>
      </w:r>
      <w:proofErr w:type="spellEnd"/>
      <w:r w:rsidRPr="0092004C">
        <w:rPr>
          <w:rFonts w:ascii="Segoe UI" w:hAnsi="Segoe UI"/>
          <w:sz w:val="21"/>
          <w:lang w:val="en-US"/>
        </w:rPr>
        <w:t xml:space="preserve">). Check Your Blind Spot: Understanding Implicit Bias: </w:t>
      </w:r>
      <w:hyperlink r:id="rId30" w:history="1">
        <w:r w:rsidRPr="0092004C">
          <w:rPr>
            <w:rStyle w:val="Hyperlink"/>
            <w:rFonts w:ascii="Segoe UI" w:hAnsi="Segoe UI"/>
            <w:sz w:val="21"/>
            <w:lang w:val="en-US"/>
          </w:rPr>
          <w:t>https://rehabs.com/pro-talk/check-your-blind-spot-understanding-implicit-bias/</w:t>
        </w:r>
      </w:hyperlink>
      <w:r w:rsidRPr="0092004C">
        <w:rPr>
          <w:rFonts w:ascii="Segoe UI" w:hAnsi="Segoe UI"/>
          <w:sz w:val="21"/>
          <w:lang w:val="en-US"/>
        </w:rPr>
        <w:t xml:space="preserve"> </w:t>
      </w:r>
    </w:p>
  </w:endnote>
  <w:endnote w:id="33">
    <w:p w14:paraId="30A1AA34" w14:textId="77777777" w:rsidR="00F119D2" w:rsidRPr="0092004C" w:rsidRDefault="00F119D2" w:rsidP="00F119D2">
      <w:pPr>
        <w:pStyle w:val="EndnoteText"/>
        <w:ind w:left="270" w:hanging="270"/>
        <w:rPr>
          <w:rFonts w:ascii="Segoe UI" w:hAnsi="Segoe UI" w:cs="Segoe UI"/>
          <w:sz w:val="21"/>
          <w:szCs w:val="21"/>
          <w:lang w:val="en-US"/>
        </w:rPr>
      </w:pPr>
      <w:r w:rsidRPr="0092004C">
        <w:rPr>
          <w:rStyle w:val="EndnoteReference"/>
          <w:rFonts w:ascii="Segoe UI" w:hAnsi="Segoe UI"/>
          <w:sz w:val="21"/>
          <w:szCs w:val="21"/>
        </w:rPr>
        <w:endnoteRef/>
      </w:r>
      <w:r w:rsidRPr="0092004C">
        <w:rPr>
          <w:rFonts w:ascii="Segoe UI" w:hAnsi="Segoe UI"/>
          <w:sz w:val="21"/>
          <w:lang w:val="en-US"/>
        </w:rPr>
        <w:t xml:space="preserve"> SAMHSA. (18 de </w:t>
      </w:r>
      <w:proofErr w:type="spellStart"/>
      <w:r w:rsidRPr="0092004C">
        <w:rPr>
          <w:rFonts w:ascii="Segoe UI" w:hAnsi="Segoe UI"/>
          <w:sz w:val="21"/>
          <w:lang w:val="en-US"/>
        </w:rPr>
        <w:t>diciembre</w:t>
      </w:r>
      <w:proofErr w:type="spellEnd"/>
      <w:r w:rsidRPr="0092004C">
        <w:rPr>
          <w:rFonts w:ascii="Segoe UI" w:hAnsi="Segoe UI"/>
          <w:sz w:val="21"/>
          <w:lang w:val="en-US"/>
        </w:rPr>
        <w:t xml:space="preserve"> de 2017). The Road to Recovery Discussion Guide: 2018 Television and Radio Series: </w:t>
      </w:r>
      <w:hyperlink r:id="rId31" w:history="1">
        <w:r w:rsidRPr="0092004C">
          <w:rPr>
            <w:rStyle w:val="Hyperlink"/>
            <w:rFonts w:ascii="Segoe UI" w:hAnsi="Segoe UI"/>
            <w:sz w:val="21"/>
            <w:lang w:val="en-US"/>
          </w:rPr>
          <w:t>https://www.recoverymonth.gov/sites/default/files/roadtorecovery/r2r2018-july-discussion-guide-508.pdf</w:t>
        </w:r>
      </w:hyperlink>
      <w:r w:rsidRPr="0092004C">
        <w:rPr>
          <w:rFonts w:ascii="Segoe UI" w:hAnsi="Segoe UI"/>
          <w:sz w:val="21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B1585" w14:textId="3AFEFEF1" w:rsidR="00F119D2" w:rsidRPr="00814FB0" w:rsidRDefault="00F119D2" w:rsidP="00F119D2">
    <w:pPr>
      <w:pStyle w:val="Footer"/>
      <w:jc w:val="right"/>
      <w:rPr>
        <w:rFonts w:ascii="Segoe UI" w:hAnsi="Segoe UI" w:cs="Segoe UI"/>
        <w:color w:val="000000" w:themeColor="text1"/>
        <w:sz w:val="18"/>
        <w:szCs w:val="20"/>
      </w:rPr>
    </w:pPr>
    <w:r>
      <w:rPr>
        <w:noProof/>
        <w:color w:val="FFFFFF" w:themeColor="background1"/>
      </w:rPr>
      <w:drawing>
        <wp:anchor distT="0" distB="0" distL="114300" distR="114300" simplePos="0" relativeHeight="251661312" behindDoc="0" locked="0" layoutInCell="1" allowOverlap="1" wp14:anchorId="2C3F1617" wp14:editId="5F1D4447">
          <wp:simplePos x="0" y="0"/>
          <wp:positionH relativeFrom="column">
            <wp:posOffset>4693285</wp:posOffset>
          </wp:positionH>
          <wp:positionV relativeFrom="paragraph">
            <wp:posOffset>163195</wp:posOffset>
          </wp:positionV>
          <wp:extent cx="1463040" cy="503555"/>
          <wp:effectExtent l="0" t="0" r="3810" b="0"/>
          <wp:wrapNone/>
          <wp:docPr id="620" name="Picture 620" descr="Logo de MO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" name="Picture 620" descr="Logo de MOUD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hAnsi="Segoe UI"/>
        <w:noProof/>
        <w:color w:val="44546A" w:themeColor="text2"/>
        <w:sz w:val="20"/>
        <w:szCs w:val="20"/>
      </w:rPr>
      <w:drawing>
        <wp:anchor distT="0" distB="0" distL="114300" distR="114300" simplePos="0" relativeHeight="251659264" behindDoc="0" locked="0" layoutInCell="1" allowOverlap="1" wp14:anchorId="19457D2A" wp14:editId="00D14199">
          <wp:simplePos x="0" y="0"/>
          <wp:positionH relativeFrom="margin">
            <wp:posOffset>1270635</wp:posOffset>
          </wp:positionH>
          <wp:positionV relativeFrom="paragraph">
            <wp:posOffset>222250</wp:posOffset>
          </wp:positionV>
          <wp:extent cx="1362710" cy="365125"/>
          <wp:effectExtent l="0" t="0" r="8890" b="0"/>
          <wp:wrapSquare wrapText="bothSides"/>
          <wp:docPr id="619" name="Picture 619" descr="Logo de SAMH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" name="Picture 619" descr="Logo de SAMHSA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710" cy="36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hAnsi="Segoe UI"/>
        <w:color w:val="44546A" w:themeColor="text2"/>
        <w:sz w:val="20"/>
        <w:szCs w:val="20"/>
      </w:rPr>
      <w:tab/>
    </w:r>
    <w:r>
      <w:rPr>
        <w:rFonts w:ascii="Segoe UI" w:hAnsi="Segoe UI"/>
        <w:color w:val="44546A" w:themeColor="text2"/>
        <w:sz w:val="20"/>
        <w:szCs w:val="20"/>
      </w:rPr>
      <w:tab/>
    </w:r>
    <w:r w:rsidRPr="00814FB0">
      <w:rPr>
        <w:rFonts w:ascii="Segoe UI" w:hAnsi="Segoe UI"/>
        <w:color w:val="000000" w:themeColor="text1"/>
        <w:sz w:val="20"/>
        <w:szCs w:val="20"/>
      </w:rPr>
      <w:tab/>
    </w:r>
    <w:r w:rsidRPr="00814FB0">
      <w:rPr>
        <w:rFonts w:ascii="Segoe UI" w:hAnsi="Segoe UI" w:cs="Segoe UI"/>
        <w:color w:val="000000" w:themeColor="text1"/>
        <w:sz w:val="18"/>
        <w:szCs w:val="20"/>
      </w:rPr>
      <w:fldChar w:fldCharType="begin"/>
    </w:r>
    <w:r w:rsidRPr="00814FB0">
      <w:rPr>
        <w:rFonts w:ascii="Segoe UI" w:hAnsi="Segoe UI" w:cs="Segoe UI"/>
        <w:color w:val="000000" w:themeColor="text1"/>
        <w:sz w:val="18"/>
        <w:szCs w:val="20"/>
      </w:rPr>
      <w:instrText xml:space="preserve"> PAGE   \* MERGEFORMAT </w:instrText>
    </w:r>
    <w:r w:rsidRPr="00814FB0">
      <w:rPr>
        <w:rFonts w:ascii="Segoe UI" w:hAnsi="Segoe UI" w:cs="Segoe UI"/>
        <w:color w:val="000000" w:themeColor="text1"/>
        <w:sz w:val="18"/>
        <w:szCs w:val="20"/>
      </w:rPr>
      <w:fldChar w:fldCharType="separate"/>
    </w:r>
    <w:r>
      <w:rPr>
        <w:rFonts w:ascii="Segoe UI" w:hAnsi="Segoe UI" w:cs="Segoe UI"/>
        <w:color w:val="000000" w:themeColor="text1"/>
        <w:sz w:val="18"/>
        <w:szCs w:val="20"/>
      </w:rPr>
      <w:t>41</w:t>
    </w:r>
    <w:r w:rsidRPr="00814FB0">
      <w:rPr>
        <w:rFonts w:ascii="Segoe UI" w:hAnsi="Segoe UI" w:cs="Segoe UI"/>
        <w:color w:val="000000" w:themeColor="text1"/>
        <w:sz w:val="18"/>
        <w:szCs w:val="20"/>
      </w:rPr>
      <w:fldChar w:fldCharType="end"/>
    </w:r>
    <w:r w:rsidRPr="00814FB0">
      <w:rPr>
        <w:rFonts w:ascii="Segoe UI" w:hAnsi="Segoe UI"/>
        <w:noProof/>
        <w:color w:val="000000" w:themeColor="text1"/>
        <w:sz w:val="18"/>
        <w:szCs w:val="20"/>
      </w:rPr>
      <w:drawing>
        <wp:anchor distT="0" distB="0" distL="114300" distR="114300" simplePos="0" relativeHeight="251660288" behindDoc="0" locked="1" layoutInCell="1" allowOverlap="1" wp14:anchorId="120EDFE1" wp14:editId="76CE29F9">
          <wp:simplePos x="0" y="0"/>
          <wp:positionH relativeFrom="margin">
            <wp:posOffset>398145</wp:posOffset>
          </wp:positionH>
          <wp:positionV relativeFrom="page">
            <wp:posOffset>9253220</wp:posOffset>
          </wp:positionV>
          <wp:extent cx="640080" cy="640080"/>
          <wp:effectExtent l="0" t="0" r="7620" b="7620"/>
          <wp:wrapSquare wrapText="bothSides"/>
          <wp:docPr id="621" name="Picture 621" descr="Logo de DP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" name="Picture 621" descr="Logo de DPH"/>
                  <pic:cNvPicPr>
                    <a:picLocks noChangeAspect="1" noChangeArrowheads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D6C224" w14:textId="77777777" w:rsidR="00F119D2" w:rsidRDefault="00F11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CBE0B" w14:textId="77777777" w:rsidR="00F119D2" w:rsidRDefault="00F119D2" w:rsidP="00F119D2">
      <w:r>
        <w:separator/>
      </w:r>
    </w:p>
  </w:footnote>
  <w:footnote w:type="continuationSeparator" w:id="0">
    <w:p w14:paraId="32EE9CE5" w14:textId="77777777" w:rsidR="00F119D2" w:rsidRDefault="00F119D2" w:rsidP="00F11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3"/>
      <w:gridCol w:w="3267"/>
    </w:tblGrid>
    <w:tr w:rsidR="00F119D2" w14:paraId="423B3B06" w14:textId="77777777" w:rsidTr="00F119D2">
      <w:trPr>
        <w:trHeight w:val="1008"/>
        <w:jc w:val="center"/>
      </w:trPr>
      <w:tc>
        <w:tcPr>
          <w:tcW w:w="6093" w:type="dxa"/>
          <w:tcBorders>
            <w:right w:val="single" w:sz="18" w:space="0" w:color="FFFFFF" w:themeColor="background1"/>
          </w:tcBorders>
          <w:shd w:val="clear" w:color="auto" w:fill="1F497D"/>
          <w:vAlign w:val="center"/>
        </w:tcPr>
        <w:p w14:paraId="25367FD7" w14:textId="77777777" w:rsidR="00F119D2" w:rsidRPr="004F5D7A" w:rsidRDefault="00F119D2" w:rsidP="00F119D2">
          <w:pPr>
            <w:jc w:val="center"/>
            <w:rPr>
              <w:rFonts w:ascii="Segoe UI" w:hAnsi="Segoe UI" w:cs="Segoe UI"/>
              <w:b/>
              <w:color w:val="FFFFFF" w:themeColor="background1"/>
              <w:sz w:val="30"/>
              <w:szCs w:val="30"/>
            </w:rPr>
          </w:pPr>
          <w:r>
            <w:rPr>
              <w:rFonts w:ascii="Segoe UI" w:hAnsi="Segoe UI"/>
              <w:b/>
              <w:color w:val="FFFFFF" w:themeColor="background1"/>
              <w:sz w:val="30"/>
            </w:rPr>
            <w:t>Atención de residentes con trastornos por consumo de opioides y estimulantes en contextos de atención a largo plazo</w:t>
          </w:r>
        </w:p>
      </w:tc>
      <w:tc>
        <w:tcPr>
          <w:tcW w:w="3267" w:type="dxa"/>
          <w:tcBorders>
            <w:left w:val="single" w:sz="18" w:space="0" w:color="FFFFFF" w:themeColor="background1"/>
          </w:tcBorders>
          <w:shd w:val="clear" w:color="auto" w:fill="558ED5"/>
          <w:vAlign w:val="center"/>
        </w:tcPr>
        <w:p w14:paraId="36D31553" w14:textId="77777777" w:rsidR="00F119D2" w:rsidRPr="00525F8C" w:rsidRDefault="00F119D2" w:rsidP="00F119D2">
          <w:pPr>
            <w:rPr>
              <w:rFonts w:ascii="Segoe UI" w:hAnsi="Segoe UI" w:cs="Segoe UI"/>
              <w:b/>
              <w:color w:val="FFFFFF" w:themeColor="background1"/>
              <w:sz w:val="16"/>
              <w:szCs w:val="16"/>
            </w:rPr>
          </w:pPr>
          <w:r>
            <w:rPr>
              <w:rFonts w:ascii="Segoe UI" w:hAnsi="Segoe UI"/>
              <w:b/>
              <w:color w:val="FFFFFF" w:themeColor="background1"/>
              <w:sz w:val="16"/>
            </w:rPr>
            <w:t>Departamento de salud pública de Massachusetts</w:t>
          </w:r>
        </w:p>
        <w:p w14:paraId="5AE5F029" w14:textId="77777777" w:rsidR="00F119D2" w:rsidRPr="004F5D7A" w:rsidRDefault="00F119D2" w:rsidP="00F119D2">
          <w:pPr>
            <w:rPr>
              <w:rFonts w:ascii="Segoe UI" w:hAnsi="Segoe UI" w:cs="Segoe UI"/>
              <w:bCs/>
              <w:color w:val="FFFFFF" w:themeColor="background1"/>
              <w:sz w:val="16"/>
              <w:szCs w:val="16"/>
            </w:rPr>
          </w:pPr>
          <w:r>
            <w:rPr>
              <w:rFonts w:ascii="Segoe UI" w:hAnsi="Segoe UI"/>
              <w:color w:val="FFFFFF" w:themeColor="background1"/>
              <w:sz w:val="16"/>
            </w:rPr>
            <w:t>Departamento de seguridad y calidad de atención médica</w:t>
          </w:r>
          <w:r w:rsidRPr="00525F8C">
            <w:rPr>
              <w:rFonts w:ascii="Segoe UI" w:hAnsi="Segoe UI"/>
              <w:color w:val="FFFFFF" w:themeColor="background1"/>
              <w:sz w:val="16"/>
              <w:szCs w:val="16"/>
            </w:rPr>
            <w:br/>
          </w:r>
          <w:r>
            <w:rPr>
              <w:rFonts w:ascii="Segoe UI" w:hAnsi="Segoe UI"/>
              <w:color w:val="FFFFFF" w:themeColor="background1"/>
              <w:sz w:val="16"/>
            </w:rPr>
            <w:t>www.mass.gov/dph/bhcsq</w:t>
          </w:r>
        </w:p>
      </w:tc>
    </w:tr>
  </w:tbl>
  <w:p w14:paraId="3B5437CC" w14:textId="77777777" w:rsidR="00F119D2" w:rsidRDefault="00F119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340"/>
    <w:multiLevelType w:val="hybridMultilevel"/>
    <w:tmpl w:val="537C55C4"/>
    <w:lvl w:ilvl="0" w:tplc="9D5C5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76447"/>
    <w:multiLevelType w:val="hybridMultilevel"/>
    <w:tmpl w:val="77B60904"/>
    <w:lvl w:ilvl="0" w:tplc="22905B6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2" w:tplc="085C28E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0000" w:themeColor="text1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F43806"/>
    <w:multiLevelType w:val="hybridMultilevel"/>
    <w:tmpl w:val="775E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63FC4"/>
    <w:multiLevelType w:val="hybridMultilevel"/>
    <w:tmpl w:val="11880A8E"/>
    <w:lvl w:ilvl="0" w:tplc="9D5C5C5C">
      <w:start w:val="1"/>
      <w:numFmt w:val="bullet"/>
      <w:pStyle w:val="MDPH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E64D2"/>
    <w:multiLevelType w:val="hybridMultilevel"/>
    <w:tmpl w:val="DB2CD4B0"/>
    <w:lvl w:ilvl="0" w:tplc="B19C6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D4E11"/>
    <w:multiLevelType w:val="hybridMultilevel"/>
    <w:tmpl w:val="769CB4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C500FD"/>
    <w:multiLevelType w:val="hybridMultilevel"/>
    <w:tmpl w:val="AE4A0012"/>
    <w:lvl w:ilvl="0" w:tplc="1D104D00">
      <w:start w:val="1"/>
      <w:numFmt w:val="decimal"/>
      <w:lvlText w:val="%1."/>
      <w:lvlJc w:val="left"/>
      <w:pPr>
        <w:ind w:left="360" w:hanging="360"/>
      </w:pPr>
      <w:rPr>
        <w:rFonts w:ascii="Segoe UI" w:eastAsia="Arial" w:hAnsi="Segoe UI" w:cs="Segoe UI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8307440">
    <w:abstractNumId w:val="0"/>
  </w:num>
  <w:num w:numId="2" w16cid:durableId="1068767025">
    <w:abstractNumId w:val="4"/>
  </w:num>
  <w:num w:numId="3" w16cid:durableId="1746301900">
    <w:abstractNumId w:val="6"/>
  </w:num>
  <w:num w:numId="4" w16cid:durableId="837423033">
    <w:abstractNumId w:val="5"/>
  </w:num>
  <w:num w:numId="5" w16cid:durableId="1812478277">
    <w:abstractNumId w:val="2"/>
  </w:num>
  <w:num w:numId="6" w16cid:durableId="1357266568">
    <w:abstractNumId w:val="1"/>
  </w:num>
  <w:num w:numId="7" w16cid:durableId="59501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D2"/>
    <w:rsid w:val="006A0977"/>
    <w:rsid w:val="00A96636"/>
    <w:rsid w:val="00BD51FD"/>
    <w:rsid w:val="00C55917"/>
    <w:rsid w:val="00F1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656E8"/>
  <w15:chartTrackingRefBased/>
  <w15:docId w15:val="{800A55A6-E4D6-49DA-8BED-E0A0F097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119D2"/>
    <w:pPr>
      <w:widowControl w:val="0"/>
      <w:spacing w:after="0" w:line="240" w:lineRule="auto"/>
    </w:pPr>
    <w:rPr>
      <w:lang w:val="es-419"/>
    </w:rPr>
  </w:style>
  <w:style w:type="paragraph" w:styleId="Heading1">
    <w:name w:val="heading 1"/>
    <w:basedOn w:val="Normal"/>
    <w:link w:val="Heading1Char"/>
    <w:uiPriority w:val="1"/>
    <w:qFormat/>
    <w:rsid w:val="00F119D2"/>
    <w:pPr>
      <w:pBdr>
        <w:bottom w:val="single" w:sz="8" w:space="1" w:color="44546A" w:themeColor="text2"/>
      </w:pBdr>
      <w:spacing w:after="160"/>
      <w:outlineLvl w:val="0"/>
    </w:pPr>
    <w:rPr>
      <w:rFonts w:ascii="Segoe UI" w:eastAsia="Arial" w:hAnsi="Segoe UI" w:cs="Segoe UI"/>
      <w:b/>
      <w:bCs/>
      <w:color w:val="034D6F"/>
      <w:sz w:val="30"/>
      <w:szCs w:val="30"/>
    </w:rPr>
  </w:style>
  <w:style w:type="paragraph" w:styleId="Heading2">
    <w:name w:val="heading 2"/>
    <w:aliases w:val="MDPH Heading 2"/>
    <w:basedOn w:val="Normal"/>
    <w:next w:val="Normal"/>
    <w:link w:val="Heading2Char"/>
    <w:uiPriority w:val="9"/>
    <w:unhideWhenUsed/>
    <w:qFormat/>
    <w:rsid w:val="00F119D2"/>
    <w:pPr>
      <w:keepNext/>
      <w:keepLines/>
      <w:spacing w:before="160" w:after="80"/>
      <w:outlineLvl w:val="1"/>
    </w:pPr>
    <w:rPr>
      <w:rFonts w:ascii="Segoe UI" w:eastAsiaTheme="majorEastAsia" w:hAnsi="Segoe UI" w:cs="Segoe UI"/>
      <w:b/>
      <w:bCs/>
      <w:color w:val="4472C4" w:themeColor="accent1"/>
      <w:sz w:val="26"/>
      <w:szCs w:val="26"/>
    </w:rPr>
  </w:style>
  <w:style w:type="paragraph" w:styleId="Heading3">
    <w:name w:val="heading 3"/>
    <w:aliases w:val="MDPH Heading 3"/>
    <w:basedOn w:val="Normal"/>
    <w:next w:val="Normal"/>
    <w:link w:val="Heading3Char"/>
    <w:uiPriority w:val="9"/>
    <w:unhideWhenUsed/>
    <w:qFormat/>
    <w:rsid w:val="00F119D2"/>
    <w:pPr>
      <w:keepNext/>
      <w:keepLines/>
      <w:spacing w:before="120"/>
      <w:outlineLvl w:val="2"/>
    </w:pPr>
    <w:rPr>
      <w:rFonts w:ascii="Segoe UI" w:eastAsia="Times New Roman" w:hAnsi="Segoe UI" w:cs="Segoe UI"/>
      <w:b/>
      <w:bCs/>
      <w:color w:val="2F5496" w:themeColor="accent1" w:themeShade="BF"/>
      <w:sz w:val="24"/>
    </w:rPr>
  </w:style>
  <w:style w:type="paragraph" w:styleId="Heading4">
    <w:name w:val="heading 4"/>
    <w:aliases w:val="MDPH Heading 4"/>
    <w:basedOn w:val="Normal"/>
    <w:next w:val="Normal"/>
    <w:link w:val="Heading4Char"/>
    <w:uiPriority w:val="9"/>
    <w:unhideWhenUsed/>
    <w:qFormat/>
    <w:rsid w:val="00F119D2"/>
    <w:pPr>
      <w:keepNext/>
      <w:keepLines/>
      <w:spacing w:before="120"/>
      <w:outlineLvl w:val="3"/>
    </w:pPr>
    <w:rPr>
      <w:rFonts w:ascii="Segoe UI" w:eastAsiaTheme="majorEastAsia" w:hAnsi="Segoe UI" w:cstheme="majorBidi"/>
      <w:b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9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9D2"/>
  </w:style>
  <w:style w:type="paragraph" w:styleId="Footer">
    <w:name w:val="footer"/>
    <w:basedOn w:val="Normal"/>
    <w:link w:val="FooterChar"/>
    <w:uiPriority w:val="99"/>
    <w:unhideWhenUsed/>
    <w:rsid w:val="00F119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9D2"/>
  </w:style>
  <w:style w:type="table" w:styleId="TableGrid">
    <w:name w:val="Table Grid"/>
    <w:basedOn w:val="TableNormal"/>
    <w:uiPriority w:val="59"/>
    <w:unhideWhenUsed/>
    <w:rsid w:val="00F119D2"/>
    <w:pPr>
      <w:widowControl w:val="0"/>
      <w:spacing w:after="0" w:line="240" w:lineRule="auto"/>
    </w:pPr>
    <w:rPr>
      <w:lang w:val="es-4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F119D2"/>
    <w:rPr>
      <w:rFonts w:ascii="Segoe UI" w:eastAsia="Arial" w:hAnsi="Segoe UI" w:cs="Segoe UI"/>
      <w:b/>
      <w:bCs/>
      <w:color w:val="034D6F"/>
      <w:sz w:val="30"/>
      <w:szCs w:val="30"/>
      <w:lang w:val="es-419"/>
    </w:rPr>
  </w:style>
  <w:style w:type="character" w:customStyle="1" w:styleId="Heading2Char">
    <w:name w:val="Heading 2 Char"/>
    <w:aliases w:val="MDPH Heading 2 Char"/>
    <w:basedOn w:val="DefaultParagraphFont"/>
    <w:link w:val="Heading2"/>
    <w:uiPriority w:val="9"/>
    <w:rsid w:val="00F119D2"/>
    <w:rPr>
      <w:rFonts w:ascii="Segoe UI" w:eastAsiaTheme="majorEastAsia" w:hAnsi="Segoe UI" w:cs="Segoe UI"/>
      <w:b/>
      <w:bCs/>
      <w:color w:val="4472C4" w:themeColor="accent1"/>
      <w:sz w:val="26"/>
      <w:szCs w:val="26"/>
      <w:lang w:val="es-419"/>
    </w:rPr>
  </w:style>
  <w:style w:type="character" w:customStyle="1" w:styleId="Heading3Char">
    <w:name w:val="Heading 3 Char"/>
    <w:aliases w:val="MDPH Heading 3 Char"/>
    <w:basedOn w:val="DefaultParagraphFont"/>
    <w:link w:val="Heading3"/>
    <w:uiPriority w:val="9"/>
    <w:rsid w:val="00F119D2"/>
    <w:rPr>
      <w:rFonts w:ascii="Segoe UI" w:eastAsia="Times New Roman" w:hAnsi="Segoe UI" w:cs="Segoe UI"/>
      <w:b/>
      <w:bCs/>
      <w:color w:val="2F5496" w:themeColor="accent1" w:themeShade="BF"/>
      <w:sz w:val="24"/>
      <w:lang w:val="es-419"/>
    </w:rPr>
  </w:style>
  <w:style w:type="character" w:customStyle="1" w:styleId="Heading4Char">
    <w:name w:val="Heading 4 Char"/>
    <w:aliases w:val="MDPH Heading 4 Char"/>
    <w:basedOn w:val="DefaultParagraphFont"/>
    <w:link w:val="Heading4"/>
    <w:uiPriority w:val="9"/>
    <w:rsid w:val="00F119D2"/>
    <w:rPr>
      <w:rFonts w:ascii="Segoe UI" w:eastAsiaTheme="majorEastAsia" w:hAnsi="Segoe UI" w:cstheme="majorBidi"/>
      <w:b/>
      <w:i/>
      <w:iCs/>
      <w:color w:val="000000" w:themeColor="text1"/>
      <w:lang w:val="es-419"/>
    </w:rPr>
  </w:style>
  <w:style w:type="paragraph" w:styleId="ListParagraph">
    <w:name w:val="List Paragraph"/>
    <w:basedOn w:val="Normal"/>
    <w:link w:val="ListParagraphChar"/>
    <w:uiPriority w:val="34"/>
    <w:qFormat/>
    <w:rsid w:val="00F119D2"/>
  </w:style>
  <w:style w:type="character" w:styleId="Hyperlink">
    <w:name w:val="Hyperlink"/>
    <w:basedOn w:val="DefaultParagraphFont"/>
    <w:uiPriority w:val="99"/>
    <w:unhideWhenUsed/>
    <w:rsid w:val="00F119D2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F119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19D2"/>
    <w:rPr>
      <w:sz w:val="20"/>
      <w:szCs w:val="20"/>
      <w:lang w:val="es-419"/>
    </w:rPr>
  </w:style>
  <w:style w:type="paragraph" w:customStyle="1" w:styleId="MDPHParagraph">
    <w:name w:val="MDPH Paragraph"/>
    <w:basedOn w:val="Normal"/>
    <w:link w:val="MDPHParagraphChar"/>
    <w:uiPriority w:val="1"/>
    <w:qFormat/>
    <w:rsid w:val="00F119D2"/>
    <w:pPr>
      <w:spacing w:before="120" w:after="120"/>
      <w:ind w:right="-86"/>
    </w:pPr>
    <w:rPr>
      <w:rFonts w:ascii="Segoe UI" w:eastAsia="Arial" w:hAnsi="Segoe UI" w:cs="Segoe UI"/>
    </w:rPr>
  </w:style>
  <w:style w:type="paragraph" w:customStyle="1" w:styleId="MDPHBullet">
    <w:name w:val="MDPH Bullet"/>
    <w:basedOn w:val="ListParagraph"/>
    <w:link w:val="MDPHBulletChar"/>
    <w:uiPriority w:val="1"/>
    <w:qFormat/>
    <w:rsid w:val="00F119D2"/>
    <w:pPr>
      <w:numPr>
        <w:numId w:val="7"/>
      </w:numPr>
      <w:ind w:right="-90"/>
    </w:pPr>
    <w:rPr>
      <w:rFonts w:ascii="Segoe UI" w:eastAsia="Arial" w:hAnsi="Segoe UI" w:cs="Segoe UI"/>
    </w:rPr>
  </w:style>
  <w:style w:type="character" w:customStyle="1" w:styleId="MDPHParagraphChar">
    <w:name w:val="MDPH Paragraph Char"/>
    <w:basedOn w:val="DefaultParagraphFont"/>
    <w:link w:val="MDPHParagraph"/>
    <w:uiPriority w:val="1"/>
    <w:rsid w:val="00F119D2"/>
    <w:rPr>
      <w:rFonts w:ascii="Segoe UI" w:eastAsia="Arial" w:hAnsi="Segoe UI" w:cs="Segoe UI"/>
      <w:lang w:val="es-419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19D2"/>
    <w:rPr>
      <w:lang w:val="es-419"/>
    </w:rPr>
  </w:style>
  <w:style w:type="character" w:customStyle="1" w:styleId="MDPHBulletChar">
    <w:name w:val="MDPH Bullet Char"/>
    <w:basedOn w:val="ListParagraphChar"/>
    <w:link w:val="MDPHBullet"/>
    <w:uiPriority w:val="1"/>
    <w:rsid w:val="00F119D2"/>
    <w:rPr>
      <w:rFonts w:ascii="Segoe UI" w:eastAsia="Arial" w:hAnsi="Segoe UI" w:cs="Segoe UI"/>
      <w:lang w:val="es-419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19D2"/>
  </w:style>
  <w:style w:type="paragraph" w:styleId="EndnoteText">
    <w:name w:val="endnote text"/>
    <w:basedOn w:val="Normal"/>
    <w:link w:val="EndnoteTextChar"/>
    <w:uiPriority w:val="99"/>
    <w:unhideWhenUsed/>
    <w:rsid w:val="00F119D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119D2"/>
    <w:rPr>
      <w:sz w:val="20"/>
      <w:szCs w:val="20"/>
      <w:lang w:val="es-419"/>
    </w:rPr>
  </w:style>
  <w:style w:type="character" w:styleId="EndnoteReference">
    <w:name w:val="endnote reference"/>
    <w:basedOn w:val="DefaultParagraphFont"/>
    <w:uiPriority w:val="99"/>
    <w:semiHidden/>
    <w:unhideWhenUsed/>
    <w:rsid w:val="00F119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cc.georgetown.edu/bias/module-4/2.php" TargetMode="External"/><Relationship Id="rId13" Type="http://schemas.openxmlformats.org/officeDocument/2006/relationships/hyperlink" Target="https://www.mass.gov/circular-letter/circular-letter-dhcq-16-11-662-admission-of-residents-on-medication-assiste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mplicit.harvard.edu/implicit/takeatest.html" TargetMode="External"/><Relationship Id="rId12" Type="http://schemas.openxmlformats.org/officeDocument/2006/relationships/hyperlink" Target="https://store.samhsa.gov/sites/default/files/d7/priv/five-essential-steps-for-first-responders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files/documents/2016/07/op/practice-guidance-engaging-young-adults-and-their-families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coverymonth.gov/sites/default/files/roadtorecovery/r2r2018-july-discussion-guide-508.pdf" TargetMode="External"/><Relationship Id="rId10" Type="http://schemas.openxmlformats.org/officeDocument/2006/relationships/hyperlink" Target="https://www.mass.gov/files/documents/2016/07/vp/care-principles-guidance-older-adults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ssrs.columbia.edu/" TargetMode="External"/><Relationship Id="rId14" Type="http://schemas.openxmlformats.org/officeDocument/2006/relationships/hyperlink" Target="https://www.rehabs.com/pro-talk-articles/check-your-blind-spot-understanding-implicit-bias/" TargetMode="Externa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cf8b2643ab1d3c05e8f6-d3dc0d8f838e182b6b722cea42bb6a35.ssl.cf2.rackcdn.com/aaap_eb20f80a7ec0c1713978ba2b069091f7.pdf" TargetMode="External"/><Relationship Id="rId13" Type="http://schemas.openxmlformats.org/officeDocument/2006/relationships/hyperlink" Target="https://cf8b2643ab1d3c05e8f6-d3dc0d8f838e182b6b722cea42bb6a35.ssl.cf2.rackcdn.com/aaap_eb20f80a7ec0c1713978ba2b069091f7.pdf" TargetMode="External"/><Relationship Id="rId18" Type="http://schemas.openxmlformats.org/officeDocument/2006/relationships/hyperlink" Target="http://cssrs.columbia.edu/" TargetMode="External"/><Relationship Id="rId26" Type="http://schemas.openxmlformats.org/officeDocument/2006/relationships/hyperlink" Target="https://www.mass.gov/files/documents/2016/07/op/practice-guidance-engaging-young-adults-and-their-families.docx" TargetMode="External"/><Relationship Id="rId3" Type="http://schemas.openxmlformats.org/officeDocument/2006/relationships/hyperlink" Target="http://www.bmcobat.org/resources/?category=1" TargetMode="External"/><Relationship Id="rId21" Type="http://schemas.openxmlformats.org/officeDocument/2006/relationships/hyperlink" Target="http://socialwork.buffalo.edu/social-research/institutes-centers/institute-on-trauma-and-trauma-informed-care/what-is-trauma-informed-care.html" TargetMode="External"/><Relationship Id="rId7" Type="http://schemas.openxmlformats.org/officeDocument/2006/relationships/hyperlink" Target="https://doi.org/10.1001/jama.2014.2147" TargetMode="External"/><Relationship Id="rId12" Type="http://schemas.openxmlformats.org/officeDocument/2006/relationships/hyperlink" Target="https://doi.org/10.1001/jama.2014.2147" TargetMode="External"/><Relationship Id="rId17" Type="http://schemas.openxmlformats.org/officeDocument/2006/relationships/hyperlink" Target="http://socialwork.buffalo.edu/social-research/institutes-centers/institute-on-trauma-and-trauma-informed-care/what-is-trauma-informed-care.html" TargetMode="External"/><Relationship Id="rId25" Type="http://schemas.openxmlformats.org/officeDocument/2006/relationships/hyperlink" Target="https://www.mass.gov/files/documents/2016/07/vp/care-principles-guidance-older-adults.pdf" TargetMode="External"/><Relationship Id="rId2" Type="http://schemas.openxmlformats.org/officeDocument/2006/relationships/hyperlink" Target="https://www.ama-assn.org/delivering-care/ethics/untangling-medical-ethics-prescribing-opioids" TargetMode="External"/><Relationship Id="rId16" Type="http://schemas.openxmlformats.org/officeDocument/2006/relationships/hyperlink" Target="https://www.hopkinsmedicine.org/opioids/signs-of-opioid-abuse.html" TargetMode="External"/><Relationship Id="rId20" Type="http://schemas.openxmlformats.org/officeDocument/2006/relationships/hyperlink" Target="https://www.nejm.org/doi/10.1056/NEJMra1604339" TargetMode="External"/><Relationship Id="rId29" Type="http://schemas.openxmlformats.org/officeDocument/2006/relationships/hyperlink" Target="https://www.mass.gov/circular-letter/circular-letter-dhcq-16-11-662-admission-of-residents-on-medication-assisted" TargetMode="External"/><Relationship Id="rId1" Type="http://schemas.openxmlformats.org/officeDocument/2006/relationships/hyperlink" Target="https://www.ama-assn.org/delivering-care/opioids/10-ways-new-opioids-law-could-help-address-epidemic" TargetMode="External"/><Relationship Id="rId6" Type="http://schemas.openxmlformats.org/officeDocument/2006/relationships/hyperlink" Target="https://www.acponline.org/system/files/documents/about_acp/chapters/ma/ge-rize-shatterproof-white-paper_final.pdf" TargetMode="External"/><Relationship Id="rId11" Type="http://schemas.openxmlformats.org/officeDocument/2006/relationships/hyperlink" Target="https://www.acponline.org/system/files/documents/about_acp/chapters/ma/ge-rize-shatterproof-white-paper_final.pdf" TargetMode="External"/><Relationship Id="rId24" Type="http://schemas.openxmlformats.org/officeDocument/2006/relationships/hyperlink" Target="http://pcssnow.org/wp-content/uploads/2015/12/Alford-Acute-Chronic-Pain-MAT-FINAL2-12-22-15.pdf" TargetMode="External"/><Relationship Id="rId5" Type="http://schemas.openxmlformats.org/officeDocument/2006/relationships/hyperlink" Target="https://drugabuse.com/addiction/stigma/" TargetMode="External"/><Relationship Id="rId15" Type="http://schemas.openxmlformats.org/officeDocument/2006/relationships/hyperlink" Target="https://www.nimh.nih.gov/health/topics/substance-use-and-mental-health/" TargetMode="External"/><Relationship Id="rId23" Type="http://schemas.openxmlformats.org/officeDocument/2006/relationships/hyperlink" Target="https://www.mass.gov/medical-review-team" TargetMode="External"/><Relationship Id="rId28" Type="http://schemas.openxmlformats.org/officeDocument/2006/relationships/hyperlink" Target="https://store.samhsa.gov/system/files/five-essential-steps-for-first-responders.pdf" TargetMode="External"/><Relationship Id="rId10" Type="http://schemas.openxmlformats.org/officeDocument/2006/relationships/hyperlink" Target="https://nccc.georgetown.edu/bias/" TargetMode="External"/><Relationship Id="rId19" Type="http://schemas.openxmlformats.org/officeDocument/2006/relationships/hyperlink" Target="https://www.hopkinsmedicine.org/opioids/signs-of-opioid-abuse.html" TargetMode="External"/><Relationship Id="rId31" Type="http://schemas.openxmlformats.org/officeDocument/2006/relationships/hyperlink" Target="https://www.recoverymonth.gov/sites/default/files/roadtorecovery/r2r2018-july-discussion-guide-508.pdf" TargetMode="External"/><Relationship Id="rId4" Type="http://schemas.openxmlformats.org/officeDocument/2006/relationships/hyperlink" Target="http://www.samhsa.gov/about-us/who-we-are/laws-regulations/confidentiality-regulations-faqs" TargetMode="External"/><Relationship Id="rId9" Type="http://schemas.openxmlformats.org/officeDocument/2006/relationships/hyperlink" Target="https://www.hopkinsmedicine.org/opioids/signs-of-opioid-abuse.html" TargetMode="External"/><Relationship Id="rId14" Type="http://schemas.openxmlformats.org/officeDocument/2006/relationships/hyperlink" Target="https://www.hopkinsmedicine.org/opioids/signs-of-opioid-abuse.html" TargetMode="External"/><Relationship Id="rId22" Type="http://schemas.openxmlformats.org/officeDocument/2006/relationships/hyperlink" Target="https://cf8b2643ab1d3c05e8f6-d3dc0d8f838e182b6b722cea42bb6a35.ssl.cf2.rackcdn.com/aaap_986d7d138b9fc49bcf0f61d6ba0392c9.pdf" TargetMode="External"/><Relationship Id="rId27" Type="http://schemas.openxmlformats.org/officeDocument/2006/relationships/hyperlink" Target="https://www.mass.gov/circular-letter/circular-letter-dhcq-16-11-662-admission-of-residents-on-medication-assisted" TargetMode="External"/><Relationship Id="rId30" Type="http://schemas.openxmlformats.org/officeDocument/2006/relationships/hyperlink" Target="https://rehabs.com/pro-talk/check-your-blind-spot-understanding-implicit-bias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2518</Words>
  <Characters>14354</Characters>
  <Application>Microsoft Office Word</Application>
  <DocSecurity>0</DocSecurity>
  <Lines>119</Lines>
  <Paragraphs>33</Paragraphs>
  <ScaleCrop>false</ScaleCrop>
  <Company/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Tejada, Adriana (DPH)</dc:creator>
  <cp:keywords/>
  <dc:description/>
  <cp:lastModifiedBy>Tejada, Adriana (DPH)</cp:lastModifiedBy>
  <cp:revision>1</cp:revision>
  <dcterms:created xsi:type="dcterms:W3CDTF">2023-05-01T16:50:00Z</dcterms:created>
  <dcterms:modified xsi:type="dcterms:W3CDTF">2023-05-01T16:55:00Z</dcterms:modified>
</cp:coreProperties>
</file>