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tabs>
          <w:tab w:pos="10948" w:val="left" w:leader="none"/>
        </w:tabs>
        <w:spacing w:before="132"/>
        <w:ind w:left="120"/>
      </w:pPr>
      <w:r>
        <w:rPr>
          <w:color w:val="034D6E"/>
          <w:u w:val="single" w:color="1F487C"/>
        </w:rPr>
        <w:t>Tip 5: Community Wide Resources and</w:t>
      </w:r>
      <w:r>
        <w:rPr>
          <w:color w:val="034D6E"/>
          <w:spacing w:val="-18"/>
          <w:u w:val="single" w:color="1F487C"/>
        </w:rPr>
        <w:t> </w:t>
      </w:r>
      <w:r>
        <w:rPr>
          <w:color w:val="034D6E"/>
          <w:u w:val="single" w:color="1F487C"/>
        </w:rPr>
        <w:t>Partnerships</w:t>
        <w:tab/>
      </w:r>
    </w:p>
    <w:p>
      <w:pPr>
        <w:pStyle w:val="Heading2"/>
        <w:spacing w:before="199"/>
      </w:pPr>
      <w:r>
        <w:rPr>
          <w:color w:val="4F81BC"/>
        </w:rPr>
        <w:t>Description</w:t>
      </w:r>
    </w:p>
    <w:p>
      <w:pPr>
        <w:pStyle w:val="BodyText"/>
        <w:spacing w:before="119"/>
        <w:ind w:left="119" w:right="302" w:firstLine="0"/>
      </w:pPr>
      <w:r>
        <w:rPr/>
        <w:t>According to SAMHSA, patients experiencing OUD and StUD should “have access to mental health services as needed, medical care, and addiction counseling, as well as recovery support services, to supplement treatment with medication.”</w:t>
      </w:r>
      <w:r>
        <w:rPr>
          <w:position w:val="9"/>
          <w:sz w:val="14"/>
        </w:rPr>
        <w:t>186 </w:t>
      </w:r>
      <w:r>
        <w:rPr/>
        <w:t>LTCFs may have some resources available internally. Many resources will come from partnerships with local facilities, such as OTPs and OBOTs/OBOTs, or community groups assisting those with OUD or StUD. Staff within your facility must be generally aware of the types of resources available</w:t>
      </w:r>
      <w:r>
        <w:rPr>
          <w:rFonts w:ascii="Symbol" w:hAnsi="Symbol"/>
        </w:rPr>
        <w:t></w:t>
      </w:r>
      <w:r>
        <w:rPr/>
        <w:t>what they are, what they do, and how to find them.</w:t>
      </w:r>
    </w:p>
    <w:p>
      <w:pPr>
        <w:pStyle w:val="Heading2"/>
        <w:spacing w:before="156"/>
      </w:pPr>
      <w:r>
        <w:rPr>
          <w:color w:val="4F81BC"/>
        </w:rPr>
        <w:t>Goal</w:t>
      </w:r>
    </w:p>
    <w:p>
      <w:pPr>
        <w:pStyle w:val="BodyText"/>
        <w:spacing w:before="120"/>
        <w:ind w:left="119" w:right="251" w:firstLine="0"/>
      </w:pPr>
      <w:r>
        <w:rPr/>
        <w:t>The aim of this section is to help LTCFs become familiar with and learn how to connect with treatment partners and community resources to better care for residents with OUD and StUD.</w:t>
      </w:r>
    </w:p>
    <w:p>
      <w:pPr>
        <w:pStyle w:val="Heading2"/>
      </w:pPr>
      <w:r>
        <w:rPr>
          <w:color w:val="4F81BC"/>
        </w:rPr>
        <w:t>Objectives</w:t>
      </w:r>
    </w:p>
    <w:p>
      <w:pPr>
        <w:pStyle w:val="BodyText"/>
        <w:spacing w:before="120"/>
        <w:ind w:left="120" w:firstLine="0"/>
      </w:pPr>
      <w:r>
        <w:rPr/>
        <w:t>At the end of this section, participants will be able to:</w:t>
      </w:r>
    </w:p>
    <w:p>
      <w:pPr>
        <w:pStyle w:val="ListParagraph"/>
        <w:numPr>
          <w:ilvl w:val="0"/>
          <w:numId w:val="1"/>
        </w:numPr>
        <w:tabs>
          <w:tab w:pos="839" w:val="left" w:leader="none"/>
          <w:tab w:pos="841" w:val="left" w:leader="none"/>
        </w:tabs>
        <w:spacing w:line="240" w:lineRule="auto" w:before="120" w:after="0"/>
        <w:ind w:left="840" w:right="0" w:hanging="362"/>
        <w:jc w:val="left"/>
        <w:rPr>
          <w:sz w:val="22"/>
        </w:rPr>
      </w:pPr>
      <w:r>
        <w:rPr>
          <w:sz w:val="22"/>
        </w:rPr>
        <w:t>Define the roles of OTPs and</w:t>
      </w:r>
      <w:r>
        <w:rPr>
          <w:spacing w:val="-10"/>
          <w:sz w:val="22"/>
        </w:rPr>
        <w:t> </w:t>
      </w:r>
      <w:r>
        <w:rPr>
          <w:sz w:val="22"/>
        </w:rPr>
        <w:t>OBOTs/OBATs.</w:t>
      </w:r>
    </w:p>
    <w:p>
      <w:pPr>
        <w:pStyle w:val="ListParagraph"/>
        <w:numPr>
          <w:ilvl w:val="0"/>
          <w:numId w:val="1"/>
        </w:numPr>
        <w:tabs>
          <w:tab w:pos="839" w:val="left" w:leader="none"/>
          <w:tab w:pos="841" w:val="left" w:leader="none"/>
        </w:tabs>
        <w:spacing w:line="291" w:lineRule="exact" w:before="0" w:after="0"/>
        <w:ind w:left="840" w:right="0" w:hanging="362"/>
        <w:jc w:val="left"/>
        <w:rPr>
          <w:sz w:val="22"/>
        </w:rPr>
      </w:pPr>
      <w:r>
        <w:rPr>
          <w:sz w:val="22"/>
        </w:rPr>
        <w:t>Recognize the potential uses of</w:t>
      </w:r>
      <w:r>
        <w:rPr>
          <w:spacing w:val="-8"/>
          <w:sz w:val="22"/>
        </w:rPr>
        <w:t> </w:t>
      </w:r>
      <w:r>
        <w:rPr>
          <w:sz w:val="22"/>
        </w:rPr>
        <w:t>telehealth.</w:t>
      </w:r>
    </w:p>
    <w:p>
      <w:pPr>
        <w:pStyle w:val="ListParagraph"/>
        <w:numPr>
          <w:ilvl w:val="0"/>
          <w:numId w:val="1"/>
        </w:numPr>
        <w:tabs>
          <w:tab w:pos="839" w:val="left" w:leader="none"/>
          <w:tab w:pos="841" w:val="left" w:leader="none"/>
        </w:tabs>
        <w:spacing w:line="291" w:lineRule="exact" w:before="0" w:after="0"/>
        <w:ind w:left="840" w:right="0" w:hanging="362"/>
        <w:jc w:val="left"/>
        <w:rPr>
          <w:sz w:val="22"/>
        </w:rPr>
      </w:pPr>
      <w:r>
        <w:rPr>
          <w:sz w:val="22"/>
        </w:rPr>
        <w:t>Identify common community</w:t>
      </w:r>
      <w:r>
        <w:rPr>
          <w:spacing w:val="-4"/>
          <w:sz w:val="22"/>
        </w:rPr>
        <w:t> </w:t>
      </w:r>
      <w:r>
        <w:rPr>
          <w:sz w:val="22"/>
        </w:rPr>
        <w:t>resources.</w:t>
      </w:r>
    </w:p>
    <w:p>
      <w:pPr>
        <w:pStyle w:val="Heading2"/>
      </w:pPr>
      <w:r>
        <w:rPr>
          <w:color w:val="4F81BC"/>
        </w:rPr>
        <w:t>Policies</w:t>
      </w:r>
    </w:p>
    <w:p>
      <w:pPr>
        <w:pStyle w:val="ListParagraph"/>
        <w:numPr>
          <w:ilvl w:val="0"/>
          <w:numId w:val="1"/>
        </w:numPr>
        <w:tabs>
          <w:tab w:pos="840" w:val="left" w:leader="none"/>
          <w:tab w:pos="841" w:val="left" w:leader="none"/>
        </w:tabs>
        <w:spacing w:line="240" w:lineRule="auto" w:before="79" w:after="0"/>
        <w:ind w:left="840" w:right="276" w:hanging="361"/>
        <w:jc w:val="left"/>
        <w:rPr>
          <w:sz w:val="22"/>
        </w:rPr>
      </w:pPr>
      <w:r>
        <w:rPr>
          <w:sz w:val="22"/>
        </w:rPr>
        <w:t>Incorporate a communication strategy within policies and develop a plan of how you’ll use community- wide resources in the care of residents with OUD and</w:t>
      </w:r>
      <w:r>
        <w:rPr>
          <w:spacing w:val="-13"/>
          <w:sz w:val="22"/>
        </w:rPr>
        <w:t> </w:t>
      </w:r>
      <w:r>
        <w:rPr>
          <w:sz w:val="22"/>
        </w:rPr>
        <w:t>StUD.</w:t>
      </w:r>
    </w:p>
    <w:p>
      <w:pPr>
        <w:pStyle w:val="ListParagraph"/>
        <w:numPr>
          <w:ilvl w:val="0"/>
          <w:numId w:val="1"/>
        </w:numPr>
        <w:tabs>
          <w:tab w:pos="840" w:val="left" w:leader="none"/>
          <w:tab w:pos="841" w:val="left" w:leader="none"/>
        </w:tabs>
        <w:spacing w:line="240" w:lineRule="auto" w:before="1" w:after="0"/>
        <w:ind w:left="840" w:right="510" w:hanging="360"/>
        <w:jc w:val="left"/>
        <w:rPr>
          <w:sz w:val="22"/>
        </w:rPr>
      </w:pPr>
      <w:r>
        <w:rPr>
          <w:sz w:val="22"/>
        </w:rPr>
        <w:t>Develop a Qualified Service Organization Agreement (QSOA) with an OTP or OBOT/OBAT. (</w:t>
      </w:r>
      <w:hyperlink w:history="true" w:anchor="_bookmark0">
        <w:r>
          <w:rPr>
            <w:color w:val="0000FF"/>
            <w:sz w:val="22"/>
            <w:u w:val="single" w:color="0000FF"/>
          </w:rPr>
          <w:t>See Tip 6</w:t>
        </w:r>
        <w:r>
          <w:rPr>
            <w:sz w:val="22"/>
          </w:rPr>
          <w:t>:</w:t>
        </w:r>
      </w:hyperlink>
      <w:r>
        <w:rPr>
          <w:sz w:val="22"/>
        </w:rPr>
        <w:t> Transitions of Care for more</w:t>
      </w:r>
      <w:r>
        <w:rPr>
          <w:spacing w:val="-5"/>
          <w:sz w:val="22"/>
        </w:rPr>
        <w:t> </w:t>
      </w:r>
      <w:r>
        <w:rPr>
          <w:sz w:val="22"/>
        </w:rPr>
        <w:t>detail.)</w:t>
      </w:r>
    </w:p>
    <w:p>
      <w:pPr>
        <w:pStyle w:val="Heading2"/>
      </w:pPr>
      <w:r>
        <w:rPr>
          <w:color w:val="4F81BC"/>
        </w:rPr>
        <w:t>Process</w:t>
      </w:r>
    </w:p>
    <w:p>
      <w:pPr>
        <w:pStyle w:val="ListParagraph"/>
        <w:numPr>
          <w:ilvl w:val="0"/>
          <w:numId w:val="1"/>
        </w:numPr>
        <w:tabs>
          <w:tab w:pos="840" w:val="left" w:leader="none"/>
          <w:tab w:pos="841" w:val="left" w:leader="none"/>
        </w:tabs>
        <w:spacing w:line="240" w:lineRule="auto" w:before="79" w:after="0"/>
        <w:ind w:left="840" w:right="0" w:hanging="361"/>
        <w:jc w:val="left"/>
        <w:rPr>
          <w:sz w:val="22"/>
        </w:rPr>
      </w:pPr>
      <w:r>
        <w:rPr>
          <w:sz w:val="22"/>
        </w:rPr>
        <w:t>Review the education section below and related</w:t>
      </w:r>
      <w:r>
        <w:rPr>
          <w:spacing w:val="-6"/>
          <w:sz w:val="22"/>
        </w:rPr>
        <w:t> </w:t>
      </w:r>
      <w:r>
        <w:rPr>
          <w:sz w:val="22"/>
        </w:rPr>
        <w:t>resources.</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Integrate the use of community resources and partnerships in your</w:t>
      </w:r>
      <w:r>
        <w:rPr>
          <w:spacing w:val="-15"/>
          <w:sz w:val="22"/>
        </w:rPr>
        <w:t> </w:t>
      </w:r>
      <w:r>
        <w:rPr>
          <w:sz w:val="22"/>
        </w:rPr>
        <w:t>facility.</w:t>
      </w:r>
    </w:p>
    <w:p>
      <w:pPr>
        <w:pStyle w:val="Heading3"/>
        <w:ind w:left="119" w:right="763"/>
      </w:pPr>
      <w:r>
        <w:rPr>
          <w:color w:val="365F91"/>
        </w:rPr>
        <w:t>Opioid Treatment Programs and Office-Based Opioid Treatment or Office-Based Addiction Treatment Programs</w:t>
      </w:r>
    </w:p>
    <w:p>
      <w:pPr>
        <w:pStyle w:val="BodyText"/>
        <w:spacing w:before="120"/>
        <w:ind w:left="120" w:right="487" w:firstLine="0"/>
      </w:pPr>
      <w:r>
        <w:rPr/>
        <w:t>OTPs and OBOTs/OBATs are the main providers of MOUD. SAMHSA regulates OTPs and the request from providers at the OBOT/OBAT for the Drug Enforcement Agency (DEA) Drug Addiction Treatment Act of 2000 (DATA) waiver. BSAS also regulates OTPs and OBOTs/OBATs, but each has its own set of governing rules.</w:t>
      </w:r>
    </w:p>
    <w:p>
      <w:pPr>
        <w:pStyle w:val="BodyText"/>
        <w:spacing w:before="1"/>
        <w:ind w:left="120" w:right="298" w:firstLine="0"/>
      </w:pPr>
      <w:r>
        <w:rPr/>
        <w:t>Because the service requirements of each treatment provider vary, it is important to establish a clear understanding of the LTCF’s relationship with the OTP or OBOT/OBAT upon admission of a resident with OUD. (See </w:t>
      </w:r>
      <w:hyperlink w:history="true" w:anchor="_bookmark0">
        <w:r>
          <w:rPr>
            <w:color w:val="0000FF"/>
            <w:u w:val="single" w:color="0000FF"/>
          </w:rPr>
          <w:t>Tip 6</w:t>
        </w:r>
        <w:r>
          <w:rPr/>
          <w:t>: </w:t>
        </w:r>
      </w:hyperlink>
      <w:r>
        <w:rPr/>
        <w:t>Transitions of Care for more detail.)</w:t>
      </w:r>
    </w:p>
    <w:p>
      <w:pPr>
        <w:spacing w:after="0"/>
        <w:sectPr>
          <w:headerReference w:type="default" r:id="rId5"/>
          <w:footerReference w:type="default" r:id="rId6"/>
          <w:type w:val="continuous"/>
          <w:pgSz w:w="12240" w:h="15840"/>
          <w:pgMar w:header="576" w:footer="1038" w:top="1580" w:bottom="1220" w:left="600" w:right="520"/>
          <w:pgNumType w:start="41"/>
        </w:sectPr>
      </w:pPr>
    </w:p>
    <w:p>
      <w:pPr>
        <w:pStyle w:val="Heading4"/>
        <w:rPr>
          <w:i/>
        </w:rPr>
      </w:pPr>
      <w:r>
        <w:rPr>
          <w:i/>
        </w:rPr>
        <w:t>Opioid Treatment Program</w:t>
      </w:r>
    </w:p>
    <w:p>
      <w:pPr>
        <w:pStyle w:val="BodyText"/>
        <w:spacing w:before="121"/>
        <w:ind w:left="120" w:right="116" w:firstLine="0"/>
      </w:pPr>
      <w:r>
        <w:rPr/>
        <w:t>An OTP is an outpatient program that provides services to treat and manage OUD in a clinical setting. Only federally certified and licensed OTPs may dispense methadone for the treatment of OUD. OTPs may also dispense or administer other medications, including buprenorphine, buprenorphine/naloxone, or naltrexone on- site (see </w:t>
      </w:r>
      <w:r>
        <w:rPr>
          <w:color w:val="0000FF"/>
          <w:u w:val="single" w:color="0000FF"/>
        </w:rPr>
        <w:t>MOUD Comparison Chart</w:t>
      </w:r>
      <w:r>
        <w:rPr/>
        <w:t>). OTPs generally administer medication on-site but can provide take-home medication (pre-poured doses) on a case-by-case basis.</w:t>
      </w:r>
    </w:p>
    <w:p>
      <w:pPr>
        <w:pStyle w:val="BodyText"/>
        <w:spacing w:line="237" w:lineRule="auto" w:before="123"/>
        <w:ind w:left="120" w:right="336" w:firstLine="0"/>
        <w:rPr>
          <w:sz w:val="14"/>
        </w:rPr>
      </w:pPr>
      <w:r>
        <w:rPr/>
        <w:t>In response to COVID-19, BSAS received a blanket exemption from SAMHSA on behalf of OTPs for take-home doses of MOUD in June 2021.</w:t>
      </w:r>
      <w:r>
        <w:rPr>
          <w:position w:val="9"/>
          <w:sz w:val="14"/>
        </w:rPr>
        <w:t>187 </w:t>
      </w:r>
      <w:r>
        <w:rPr/>
        <w:t>SAMHSA has allowed the following: up to 28 days of take-home medications for all patients and up to 14 days of take-home medication for those patients who are unstable, but the OTP believes they can safely administer this level of take-home medication.</w:t>
      </w:r>
      <w:r>
        <w:rPr>
          <w:position w:val="9"/>
          <w:sz w:val="14"/>
        </w:rPr>
        <w:t>188 </w:t>
      </w:r>
      <w:r>
        <w:rPr/>
        <w:t>OTPs are also required to provide integrated emotional, social, and behavioral health services, including counseling, treatment, and education about diversion control.</w:t>
      </w:r>
      <w:r>
        <w:rPr>
          <w:position w:val="9"/>
          <w:sz w:val="14"/>
        </w:rPr>
        <w:t>189 </w:t>
      </w:r>
      <w:r>
        <w:rPr/>
        <w:t>SAMHSA regulates OTPs and maintains a </w:t>
      </w:r>
      <w:hyperlink r:id="rId7">
        <w:r>
          <w:rPr>
            <w:color w:val="0000FF"/>
            <w:u w:val="single" w:color="0000FF"/>
          </w:rPr>
          <w:t>directory</w:t>
        </w:r>
        <w:r>
          <w:rPr>
            <w:color w:val="0000FF"/>
          </w:rPr>
          <w:t> </w:t>
        </w:r>
      </w:hyperlink>
      <w:r>
        <w:rPr/>
        <w:t>of clinics by state.</w:t>
      </w:r>
      <w:r>
        <w:rPr>
          <w:position w:val="9"/>
          <w:sz w:val="14"/>
        </w:rPr>
        <w:t>190</w:t>
      </w:r>
    </w:p>
    <w:p>
      <w:pPr>
        <w:pStyle w:val="Heading4"/>
        <w:spacing w:before="123"/>
        <w:rPr>
          <w:i/>
        </w:rPr>
      </w:pPr>
      <w:r>
        <w:rPr>
          <w:i/>
        </w:rPr>
        <w:t>Office-Based Opioid Treatment or Office-Based Addiction Treatment</w:t>
      </w:r>
    </w:p>
    <w:p>
      <w:pPr>
        <w:pStyle w:val="BodyText"/>
        <w:spacing w:line="237" w:lineRule="auto" w:before="122"/>
        <w:ind w:left="119" w:right="599" w:firstLine="0"/>
        <w:rPr>
          <w:sz w:val="14"/>
        </w:rPr>
      </w:pPr>
      <w:r>
        <w:rPr/>
        <w:t>An OBOT/OBAT provider is another outpatient treatment program in which specific primary care or general health care practitioners are permitted to administer or prescribe certain medications to treat OUD after obtaining a waiver.</w:t>
      </w:r>
      <w:r>
        <w:rPr>
          <w:position w:val="9"/>
          <w:sz w:val="14"/>
        </w:rPr>
        <w:t>191</w:t>
      </w:r>
    </w:p>
    <w:p>
      <w:pPr>
        <w:pStyle w:val="BodyText"/>
        <w:spacing w:before="124"/>
        <w:ind w:left="119" w:right="196" w:firstLine="0"/>
      </w:pPr>
      <w:r>
        <w:rPr/>
        <w:t>The DATA Waiver permits practitioners, who meet certain qualifications, to treat opioid addiction with Schedule III, IV, and V narcotic medications specifically approved by the FDA for that indication. Qualified practitioners include physicians, nurse practitioners, physician assistants clinical nurse specialists, certified registered nurse anesthetist, and certified nurse-midwives.</w:t>
      </w:r>
    </w:p>
    <w:p>
      <w:pPr>
        <w:pStyle w:val="BodyText"/>
        <w:spacing w:before="121"/>
        <w:ind w:left="119" w:right="502" w:hanging="1"/>
      </w:pPr>
      <w:r>
        <w:rPr/>
        <w:t>Current practice guidelines permit qualified practitioners to treat up to 30 patients without the DATA Waiver training if they meet the following criteria:</w:t>
      </w:r>
    </w:p>
    <w:p>
      <w:pPr>
        <w:pStyle w:val="ListParagraph"/>
        <w:numPr>
          <w:ilvl w:val="0"/>
          <w:numId w:val="1"/>
        </w:numPr>
        <w:tabs>
          <w:tab w:pos="840" w:val="left" w:leader="none"/>
          <w:tab w:pos="841" w:val="left" w:leader="none"/>
        </w:tabs>
        <w:spacing w:line="240" w:lineRule="auto" w:before="118" w:after="0"/>
        <w:ind w:left="840" w:right="0" w:hanging="361"/>
        <w:jc w:val="left"/>
        <w:rPr>
          <w:sz w:val="22"/>
        </w:rPr>
      </w:pPr>
      <w:r>
        <w:rPr>
          <w:sz w:val="22"/>
        </w:rPr>
        <w:t>Must be a licensed provider with DEA</w:t>
      </w:r>
      <w:r>
        <w:rPr>
          <w:spacing w:val="-8"/>
          <w:sz w:val="22"/>
        </w:rPr>
        <w:t> </w:t>
      </w:r>
      <w:r>
        <w:rPr>
          <w:sz w:val="22"/>
        </w:rPr>
        <w:t>registration</w:t>
      </w:r>
    </w:p>
    <w:p>
      <w:pPr>
        <w:pStyle w:val="ListParagraph"/>
        <w:numPr>
          <w:ilvl w:val="0"/>
          <w:numId w:val="1"/>
        </w:numPr>
        <w:tabs>
          <w:tab w:pos="840" w:val="left" w:leader="none"/>
          <w:tab w:pos="841" w:val="left" w:leader="none"/>
        </w:tabs>
        <w:spacing w:line="240" w:lineRule="auto" w:before="120" w:after="0"/>
        <w:ind w:left="840" w:right="0" w:hanging="361"/>
        <w:jc w:val="left"/>
        <w:rPr>
          <w:sz w:val="22"/>
        </w:rPr>
      </w:pPr>
      <w:r>
        <w:rPr>
          <w:sz w:val="22"/>
        </w:rPr>
        <w:t>Must register a letter of intent with SAMHSA and DEA</w:t>
      </w:r>
      <w:r>
        <w:rPr>
          <w:spacing w:val="-15"/>
          <w:sz w:val="22"/>
        </w:rPr>
        <w:t> </w:t>
      </w:r>
      <w:r>
        <w:rPr>
          <w:sz w:val="22"/>
        </w:rPr>
        <w:t>registration</w:t>
      </w:r>
    </w:p>
    <w:p>
      <w:pPr>
        <w:pStyle w:val="ListParagraph"/>
        <w:numPr>
          <w:ilvl w:val="0"/>
          <w:numId w:val="1"/>
        </w:numPr>
        <w:tabs>
          <w:tab w:pos="840" w:val="left" w:leader="none"/>
          <w:tab w:pos="841" w:val="left" w:leader="none"/>
        </w:tabs>
        <w:spacing w:line="240" w:lineRule="auto" w:before="120" w:after="0"/>
        <w:ind w:left="840" w:right="0" w:hanging="361"/>
        <w:jc w:val="left"/>
        <w:rPr>
          <w:sz w:val="22"/>
        </w:rPr>
      </w:pPr>
      <w:r>
        <w:rPr>
          <w:sz w:val="22"/>
        </w:rPr>
        <w:t>Must be waivered to prescribe</w:t>
      </w:r>
      <w:r>
        <w:rPr>
          <w:spacing w:val="-7"/>
          <w:sz w:val="22"/>
        </w:rPr>
        <w:t> </w:t>
      </w:r>
      <w:r>
        <w:rPr>
          <w:sz w:val="22"/>
        </w:rPr>
        <w:t>buprenorphine</w:t>
      </w:r>
    </w:p>
    <w:p>
      <w:pPr>
        <w:pStyle w:val="BodyText"/>
        <w:spacing w:before="120"/>
        <w:ind w:left="120" w:firstLine="0"/>
      </w:pPr>
      <w:r>
        <w:rPr/>
        <w:t>MDPH and the BSAS encourage providers to take The DATA Waiver training, training options include:</w:t>
      </w:r>
    </w:p>
    <w:p>
      <w:pPr>
        <w:pStyle w:val="ListParagraph"/>
        <w:numPr>
          <w:ilvl w:val="0"/>
          <w:numId w:val="1"/>
        </w:numPr>
        <w:tabs>
          <w:tab w:pos="840" w:val="left" w:leader="none"/>
          <w:tab w:pos="841" w:val="left" w:leader="none"/>
        </w:tabs>
        <w:spacing w:line="240" w:lineRule="auto" w:before="121" w:after="0"/>
        <w:ind w:left="840" w:right="0" w:hanging="361"/>
        <w:jc w:val="left"/>
        <w:rPr>
          <w:sz w:val="22"/>
        </w:rPr>
      </w:pPr>
      <w:hyperlink r:id="rId8">
        <w:r>
          <w:rPr>
            <w:color w:val="0000FF"/>
            <w:sz w:val="22"/>
            <w:u w:val="single" w:color="0000FF"/>
          </w:rPr>
          <w:t>Boston Medical Center: OBAT Training and Technical Assistance + (OBAT</w:t>
        </w:r>
        <w:r>
          <w:rPr>
            <w:color w:val="0000FF"/>
            <w:spacing w:val="-20"/>
            <w:sz w:val="22"/>
            <w:u w:val="single" w:color="0000FF"/>
          </w:rPr>
          <w:t> </w:t>
        </w:r>
        <w:r>
          <w:rPr>
            <w:color w:val="0000FF"/>
            <w:sz w:val="22"/>
            <w:u w:val="single" w:color="0000FF"/>
          </w:rPr>
          <w:t>TTA+)</w:t>
        </w:r>
      </w:hyperlink>
    </w:p>
    <w:p>
      <w:pPr>
        <w:pStyle w:val="ListParagraph"/>
        <w:numPr>
          <w:ilvl w:val="0"/>
          <w:numId w:val="1"/>
        </w:numPr>
        <w:tabs>
          <w:tab w:pos="840" w:val="left" w:leader="none"/>
          <w:tab w:pos="841" w:val="left" w:leader="none"/>
        </w:tabs>
        <w:spacing w:line="240" w:lineRule="auto" w:before="119" w:after="0"/>
        <w:ind w:left="840" w:right="0" w:hanging="361"/>
        <w:jc w:val="left"/>
        <w:rPr>
          <w:sz w:val="22"/>
        </w:rPr>
      </w:pPr>
      <w:hyperlink r:id="rId9">
        <w:r>
          <w:rPr>
            <w:color w:val="0000FF"/>
            <w:sz w:val="22"/>
            <w:u w:val="single" w:color="0000FF"/>
          </w:rPr>
          <w:t>Providers Clinical Support System Waiver Training for</w:t>
        </w:r>
        <w:r>
          <w:rPr>
            <w:color w:val="0000FF"/>
            <w:spacing w:val="-12"/>
            <w:sz w:val="22"/>
            <w:u w:val="single" w:color="0000FF"/>
          </w:rPr>
          <w:t> </w:t>
        </w:r>
        <w:r>
          <w:rPr>
            <w:color w:val="0000FF"/>
            <w:sz w:val="22"/>
            <w:u w:val="single" w:color="0000FF"/>
          </w:rPr>
          <w:t>Physicians</w:t>
        </w:r>
      </w:hyperlink>
    </w:p>
    <w:p>
      <w:pPr>
        <w:pStyle w:val="BodyText"/>
        <w:spacing w:before="120"/>
        <w:ind w:left="120" w:right="199" w:firstLine="0"/>
        <w:rPr>
          <w:sz w:val="14"/>
        </w:rPr>
      </w:pPr>
      <w:r>
        <w:rPr/>
        <w:t>OBOTs/OBATs may prescribe buprenorphine, buprenorphine, or naloxone as take-home prescriptions and administer naltrexone on-site (see </w:t>
      </w:r>
      <w:r>
        <w:rPr>
          <w:color w:val="0000FF"/>
          <w:u w:val="single" w:color="0000FF"/>
        </w:rPr>
        <w:t>MOUD Comparison Chart</w:t>
      </w:r>
      <w:r>
        <w:rPr/>
        <w:t>). OBOTs/OBATs are required to provide integrated emotional, social, and behavioral health services, if they are licensed by BSAS. If they are not licensed by BSAS, they are strongly encouraged to refer patients to relevant resources or medical sub-specialties, as needed.</w:t>
      </w:r>
      <w:r>
        <w:rPr>
          <w:position w:val="9"/>
          <w:sz w:val="14"/>
        </w:rPr>
        <w:t>192</w:t>
      </w:r>
    </w:p>
    <w:p>
      <w:pPr>
        <w:pStyle w:val="BodyText"/>
        <w:spacing w:line="237" w:lineRule="auto" w:before="116"/>
        <w:ind w:left="120" w:hanging="1"/>
        <w:rPr>
          <w:sz w:val="14"/>
        </w:rPr>
      </w:pPr>
      <w:r>
        <w:rPr/>
        <w:t>SAMHSA administers DATA waivers</w:t>
      </w:r>
      <w:r>
        <w:rPr>
          <w:position w:val="9"/>
          <w:sz w:val="14"/>
        </w:rPr>
        <w:t>193 </w:t>
      </w:r>
      <w:r>
        <w:rPr/>
        <w:t>and maintains a public database of aggregate waiver data,</w:t>
      </w:r>
      <w:r>
        <w:rPr>
          <w:position w:val="9"/>
          <w:sz w:val="14"/>
        </w:rPr>
        <w:t>194 </w:t>
      </w:r>
      <w:r>
        <w:rPr/>
        <w:t>an online waiver check tool for pharmacists,</w:t>
      </w:r>
      <w:r>
        <w:rPr>
          <w:position w:val="9"/>
          <w:sz w:val="14"/>
        </w:rPr>
        <w:t>195 </w:t>
      </w:r>
      <w:r>
        <w:rPr/>
        <w:t>and a </w:t>
      </w:r>
      <w:hyperlink r:id="rId10">
        <w:r>
          <w:rPr>
            <w:color w:val="0000FF"/>
            <w:u w:val="single" w:color="0000FF"/>
          </w:rPr>
          <w:t>map</w:t>
        </w:r>
        <w:r>
          <w:rPr>
            <w:color w:val="0000FF"/>
          </w:rPr>
          <w:t> </w:t>
        </w:r>
      </w:hyperlink>
      <w:r>
        <w:rPr/>
        <w:t>you can filter to find a “buprenorphine physician.”</w:t>
      </w:r>
      <w:r>
        <w:rPr>
          <w:position w:val="9"/>
          <w:sz w:val="14"/>
        </w:rPr>
        <w:t>196</w:t>
      </w:r>
    </w:p>
    <w:p>
      <w:pPr>
        <w:pStyle w:val="BodyText"/>
        <w:spacing w:line="237" w:lineRule="auto" w:before="123"/>
        <w:ind w:left="120" w:right="195" w:firstLine="0"/>
        <w:rPr>
          <w:sz w:val="14"/>
        </w:rPr>
      </w:pPr>
      <w:r>
        <w:rPr/>
        <w:t>You can connect with local OTPs and OBOTs/OBATs through the Massachusetts Substance Use Helpline, 1-800- 327-5050,</w:t>
      </w:r>
      <w:r>
        <w:rPr>
          <w:position w:val="9"/>
          <w:sz w:val="14"/>
        </w:rPr>
        <w:t>197 </w:t>
      </w:r>
      <w:r>
        <w:rPr/>
        <w:t>or SAMHSA’s National Helpline, 1-800-662-HELP (4357).</w:t>
      </w:r>
      <w:r>
        <w:rPr>
          <w:position w:val="9"/>
          <w:sz w:val="14"/>
        </w:rPr>
        <w:t>198</w:t>
      </w:r>
    </w:p>
    <w:p>
      <w:pPr>
        <w:spacing w:after="0" w:line="237" w:lineRule="auto"/>
        <w:rPr>
          <w:sz w:val="14"/>
        </w:rPr>
        <w:sectPr>
          <w:pgSz w:w="12240" w:h="15840"/>
          <w:pgMar w:header="576" w:footer="1038" w:top="1580" w:bottom="1220" w:left="600" w:right="520"/>
        </w:sectPr>
      </w:pPr>
    </w:p>
    <w:p>
      <w:pPr>
        <w:pStyle w:val="Heading4"/>
        <w:ind w:left="119" w:right="1093"/>
      </w:pPr>
      <w:r>
        <w:rPr>
          <w:i/>
        </w:rPr>
        <w:t>At-a-Glance: Opioid Treatment Programs versus Office-Based Opioid Treatment or Office-Based </w:t>
      </w:r>
      <w:r>
        <w:rPr/>
        <w:t>Addiction Treatment Programs</w:t>
      </w:r>
    </w:p>
    <w:tbl>
      <w:tblPr>
        <w:tblW w:w="0" w:type="auto"/>
        <w:jc w:val="left"/>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3744"/>
        <w:gridCol w:w="2722"/>
        <w:gridCol w:w="4316"/>
      </w:tblGrid>
      <w:tr>
        <w:trPr>
          <w:trHeight w:val="359" w:hRule="atLeast"/>
        </w:trPr>
        <w:tc>
          <w:tcPr>
            <w:tcW w:w="3744" w:type="dxa"/>
          </w:tcPr>
          <w:p>
            <w:pPr>
              <w:pStyle w:val="TableParagraph"/>
              <w:ind w:left="0"/>
              <w:rPr>
                <w:rFonts w:ascii="Times New Roman"/>
                <w:sz w:val="20"/>
              </w:rPr>
            </w:pPr>
          </w:p>
        </w:tc>
        <w:tc>
          <w:tcPr>
            <w:tcW w:w="2722" w:type="dxa"/>
          </w:tcPr>
          <w:p>
            <w:pPr>
              <w:pStyle w:val="TableParagraph"/>
              <w:spacing w:before="33"/>
              <w:rPr>
                <w:b/>
                <w:sz w:val="22"/>
              </w:rPr>
            </w:pPr>
            <w:r>
              <w:rPr>
                <w:b/>
                <w:sz w:val="22"/>
              </w:rPr>
              <w:t>OTPs</w:t>
            </w:r>
          </w:p>
        </w:tc>
        <w:tc>
          <w:tcPr>
            <w:tcW w:w="4316" w:type="dxa"/>
          </w:tcPr>
          <w:p>
            <w:pPr>
              <w:pStyle w:val="TableParagraph"/>
              <w:spacing w:before="33"/>
              <w:rPr>
                <w:b/>
                <w:sz w:val="22"/>
              </w:rPr>
            </w:pPr>
            <w:r>
              <w:rPr>
                <w:b/>
                <w:sz w:val="22"/>
              </w:rPr>
              <w:t>OBOTs/OBATs</w:t>
            </w:r>
          </w:p>
        </w:tc>
      </w:tr>
      <w:tr>
        <w:trPr>
          <w:trHeight w:val="361" w:hRule="atLeast"/>
        </w:trPr>
        <w:tc>
          <w:tcPr>
            <w:tcW w:w="10782" w:type="dxa"/>
            <w:gridSpan w:val="3"/>
            <w:shd w:val="clear" w:color="auto" w:fill="4376BA"/>
          </w:tcPr>
          <w:p>
            <w:pPr>
              <w:pStyle w:val="TableParagraph"/>
              <w:spacing w:before="35"/>
              <w:rPr>
                <w:b/>
                <w:sz w:val="22"/>
              </w:rPr>
            </w:pPr>
            <w:r>
              <w:rPr>
                <w:b/>
                <w:color w:val="FFFFFF"/>
                <w:sz w:val="22"/>
              </w:rPr>
              <w:t>Are they allowed to offer…</w:t>
            </w:r>
          </w:p>
        </w:tc>
      </w:tr>
      <w:tr>
        <w:trPr>
          <w:trHeight w:val="359" w:hRule="atLeast"/>
        </w:trPr>
        <w:tc>
          <w:tcPr>
            <w:tcW w:w="3744" w:type="dxa"/>
            <w:shd w:val="clear" w:color="auto" w:fill="C9D9EB"/>
          </w:tcPr>
          <w:p>
            <w:pPr>
              <w:pStyle w:val="TableParagraph"/>
              <w:spacing w:before="39"/>
              <w:rPr>
                <w:sz w:val="21"/>
              </w:rPr>
            </w:pPr>
            <w:r>
              <w:rPr>
                <w:sz w:val="21"/>
              </w:rPr>
              <w:t>On-site treatment</w:t>
            </w:r>
          </w:p>
        </w:tc>
        <w:tc>
          <w:tcPr>
            <w:tcW w:w="2722" w:type="dxa"/>
          </w:tcPr>
          <w:p>
            <w:pPr>
              <w:pStyle w:val="TableParagraph"/>
              <w:spacing w:before="39"/>
              <w:rPr>
                <w:sz w:val="21"/>
              </w:rPr>
            </w:pPr>
            <w:r>
              <w:rPr>
                <w:sz w:val="21"/>
              </w:rPr>
              <w:t>Yes</w:t>
            </w:r>
          </w:p>
        </w:tc>
        <w:tc>
          <w:tcPr>
            <w:tcW w:w="4316" w:type="dxa"/>
          </w:tcPr>
          <w:p>
            <w:pPr>
              <w:pStyle w:val="TableParagraph"/>
              <w:spacing w:before="39"/>
              <w:rPr>
                <w:sz w:val="21"/>
              </w:rPr>
            </w:pPr>
            <w:r>
              <w:rPr>
                <w:sz w:val="21"/>
              </w:rPr>
              <w:t>Yes</w:t>
            </w:r>
          </w:p>
        </w:tc>
      </w:tr>
      <w:tr>
        <w:trPr>
          <w:trHeight w:val="1395" w:hRule="atLeast"/>
        </w:trPr>
        <w:tc>
          <w:tcPr>
            <w:tcW w:w="3744" w:type="dxa"/>
            <w:shd w:val="clear" w:color="auto" w:fill="C9D9EB"/>
          </w:tcPr>
          <w:p>
            <w:pPr>
              <w:pStyle w:val="TableParagraph"/>
              <w:spacing w:before="12"/>
              <w:ind w:left="0"/>
              <w:rPr>
                <w:b/>
                <w:i/>
                <w:sz w:val="41"/>
              </w:rPr>
            </w:pPr>
          </w:p>
          <w:p>
            <w:pPr>
              <w:pStyle w:val="TableParagraph"/>
              <w:rPr>
                <w:sz w:val="21"/>
              </w:rPr>
            </w:pPr>
            <w:r>
              <w:rPr>
                <w:sz w:val="21"/>
              </w:rPr>
              <w:t>Take-home treatment</w:t>
            </w:r>
          </w:p>
        </w:tc>
        <w:tc>
          <w:tcPr>
            <w:tcW w:w="2722" w:type="dxa"/>
          </w:tcPr>
          <w:p>
            <w:pPr>
              <w:pStyle w:val="TableParagraph"/>
              <w:ind w:right="396"/>
              <w:rPr>
                <w:sz w:val="21"/>
              </w:rPr>
            </w:pPr>
            <w:r>
              <w:rPr>
                <w:sz w:val="21"/>
              </w:rPr>
              <w:t>Yes (based on the OTPs provider decision per individual patient, as required by federal</w:t>
            </w:r>
          </w:p>
          <w:p>
            <w:pPr>
              <w:pStyle w:val="TableParagraph"/>
              <w:spacing w:line="259" w:lineRule="exact"/>
              <w:rPr>
                <w:sz w:val="21"/>
              </w:rPr>
            </w:pPr>
            <w:r>
              <w:rPr>
                <w:sz w:val="21"/>
              </w:rPr>
              <w:t>regulations)</w:t>
            </w:r>
          </w:p>
        </w:tc>
        <w:tc>
          <w:tcPr>
            <w:tcW w:w="4316" w:type="dxa"/>
          </w:tcPr>
          <w:p>
            <w:pPr>
              <w:pStyle w:val="TableParagraph"/>
              <w:spacing w:before="12"/>
              <w:ind w:left="0"/>
              <w:rPr>
                <w:b/>
                <w:i/>
                <w:sz w:val="41"/>
              </w:rPr>
            </w:pPr>
          </w:p>
          <w:p>
            <w:pPr>
              <w:pStyle w:val="TableParagraph"/>
              <w:rPr>
                <w:sz w:val="21"/>
              </w:rPr>
            </w:pPr>
            <w:r>
              <w:rPr>
                <w:sz w:val="21"/>
              </w:rPr>
              <w:t>Yes</w:t>
            </w:r>
          </w:p>
        </w:tc>
      </w:tr>
      <w:tr>
        <w:trPr>
          <w:trHeight w:val="361" w:hRule="atLeast"/>
        </w:trPr>
        <w:tc>
          <w:tcPr>
            <w:tcW w:w="3744" w:type="dxa"/>
            <w:shd w:val="clear" w:color="auto" w:fill="C9D9EB"/>
          </w:tcPr>
          <w:p>
            <w:pPr>
              <w:pStyle w:val="TableParagraph"/>
              <w:spacing w:before="39"/>
              <w:rPr>
                <w:sz w:val="21"/>
              </w:rPr>
            </w:pPr>
            <w:r>
              <w:rPr>
                <w:sz w:val="21"/>
              </w:rPr>
              <w:t>Methadone</w:t>
            </w:r>
          </w:p>
        </w:tc>
        <w:tc>
          <w:tcPr>
            <w:tcW w:w="2722" w:type="dxa"/>
          </w:tcPr>
          <w:p>
            <w:pPr>
              <w:pStyle w:val="TableParagraph"/>
              <w:spacing w:before="39"/>
              <w:rPr>
                <w:sz w:val="21"/>
              </w:rPr>
            </w:pPr>
            <w:r>
              <w:rPr>
                <w:sz w:val="21"/>
              </w:rPr>
              <w:t>Yes</w:t>
            </w:r>
          </w:p>
        </w:tc>
        <w:tc>
          <w:tcPr>
            <w:tcW w:w="4316" w:type="dxa"/>
          </w:tcPr>
          <w:p>
            <w:pPr>
              <w:pStyle w:val="TableParagraph"/>
              <w:spacing w:before="39"/>
              <w:rPr>
                <w:sz w:val="21"/>
              </w:rPr>
            </w:pPr>
            <w:r>
              <w:rPr>
                <w:sz w:val="21"/>
              </w:rPr>
              <w:t>No</w:t>
            </w:r>
          </w:p>
        </w:tc>
      </w:tr>
      <w:tr>
        <w:trPr>
          <w:trHeight w:val="359" w:hRule="atLeast"/>
        </w:trPr>
        <w:tc>
          <w:tcPr>
            <w:tcW w:w="3744" w:type="dxa"/>
            <w:shd w:val="clear" w:color="auto" w:fill="C9D9EB"/>
          </w:tcPr>
          <w:p>
            <w:pPr>
              <w:pStyle w:val="TableParagraph"/>
              <w:spacing w:before="39"/>
              <w:rPr>
                <w:sz w:val="21"/>
              </w:rPr>
            </w:pPr>
            <w:r>
              <w:rPr>
                <w:sz w:val="21"/>
              </w:rPr>
              <w:t>Buprenorphine</w:t>
            </w:r>
          </w:p>
        </w:tc>
        <w:tc>
          <w:tcPr>
            <w:tcW w:w="2722" w:type="dxa"/>
          </w:tcPr>
          <w:p>
            <w:pPr>
              <w:pStyle w:val="TableParagraph"/>
              <w:spacing w:before="39"/>
              <w:rPr>
                <w:sz w:val="21"/>
              </w:rPr>
            </w:pPr>
            <w:r>
              <w:rPr>
                <w:sz w:val="21"/>
              </w:rPr>
              <w:t>Yes</w:t>
            </w:r>
          </w:p>
        </w:tc>
        <w:tc>
          <w:tcPr>
            <w:tcW w:w="4316" w:type="dxa"/>
          </w:tcPr>
          <w:p>
            <w:pPr>
              <w:pStyle w:val="TableParagraph"/>
              <w:spacing w:before="39"/>
              <w:rPr>
                <w:sz w:val="21"/>
              </w:rPr>
            </w:pPr>
            <w:r>
              <w:rPr>
                <w:sz w:val="21"/>
              </w:rPr>
              <w:t>Yes</w:t>
            </w:r>
          </w:p>
        </w:tc>
      </w:tr>
      <w:tr>
        <w:trPr>
          <w:trHeight w:val="359" w:hRule="atLeast"/>
        </w:trPr>
        <w:tc>
          <w:tcPr>
            <w:tcW w:w="3744" w:type="dxa"/>
            <w:shd w:val="clear" w:color="auto" w:fill="C9D9EB"/>
          </w:tcPr>
          <w:p>
            <w:pPr>
              <w:pStyle w:val="TableParagraph"/>
              <w:spacing w:before="39"/>
              <w:rPr>
                <w:sz w:val="21"/>
              </w:rPr>
            </w:pPr>
            <w:r>
              <w:rPr>
                <w:sz w:val="21"/>
              </w:rPr>
              <w:t>Buprenorphine/naloxone</w:t>
            </w:r>
          </w:p>
        </w:tc>
        <w:tc>
          <w:tcPr>
            <w:tcW w:w="2722" w:type="dxa"/>
          </w:tcPr>
          <w:p>
            <w:pPr>
              <w:pStyle w:val="TableParagraph"/>
              <w:spacing w:before="39"/>
              <w:rPr>
                <w:sz w:val="21"/>
              </w:rPr>
            </w:pPr>
            <w:r>
              <w:rPr>
                <w:sz w:val="21"/>
              </w:rPr>
              <w:t>Yes</w:t>
            </w:r>
          </w:p>
        </w:tc>
        <w:tc>
          <w:tcPr>
            <w:tcW w:w="4316" w:type="dxa"/>
          </w:tcPr>
          <w:p>
            <w:pPr>
              <w:pStyle w:val="TableParagraph"/>
              <w:spacing w:before="39"/>
              <w:rPr>
                <w:sz w:val="21"/>
              </w:rPr>
            </w:pPr>
            <w:r>
              <w:rPr>
                <w:sz w:val="21"/>
              </w:rPr>
              <w:t>Yes</w:t>
            </w:r>
          </w:p>
        </w:tc>
      </w:tr>
      <w:tr>
        <w:trPr>
          <w:trHeight w:val="558" w:hRule="atLeast"/>
        </w:trPr>
        <w:tc>
          <w:tcPr>
            <w:tcW w:w="3744" w:type="dxa"/>
            <w:shd w:val="clear" w:color="auto" w:fill="C9D9EB"/>
          </w:tcPr>
          <w:p>
            <w:pPr>
              <w:pStyle w:val="TableParagraph"/>
              <w:spacing w:line="278" w:lineRule="exact" w:before="5"/>
              <w:ind w:right="587"/>
              <w:rPr>
                <w:sz w:val="21"/>
              </w:rPr>
            </w:pPr>
            <w:r>
              <w:rPr>
                <w:sz w:val="21"/>
              </w:rPr>
              <w:t>Buprenorphine extended release injection</w:t>
            </w:r>
          </w:p>
        </w:tc>
        <w:tc>
          <w:tcPr>
            <w:tcW w:w="2722" w:type="dxa"/>
          </w:tcPr>
          <w:p>
            <w:pPr>
              <w:pStyle w:val="TableParagraph"/>
              <w:spacing w:line="278" w:lineRule="exact" w:before="5"/>
              <w:ind w:right="93"/>
              <w:rPr>
                <w:sz w:val="21"/>
              </w:rPr>
            </w:pPr>
            <w:r>
              <w:rPr>
                <w:sz w:val="21"/>
              </w:rPr>
              <w:t>Yes (on-site only) if patient is eligible</w:t>
            </w:r>
          </w:p>
        </w:tc>
        <w:tc>
          <w:tcPr>
            <w:tcW w:w="4316" w:type="dxa"/>
          </w:tcPr>
          <w:p>
            <w:pPr>
              <w:pStyle w:val="TableParagraph"/>
              <w:spacing w:before="140"/>
              <w:rPr>
                <w:sz w:val="21"/>
              </w:rPr>
            </w:pPr>
            <w:r>
              <w:rPr>
                <w:sz w:val="21"/>
              </w:rPr>
              <w:t>Yes</w:t>
            </w:r>
          </w:p>
        </w:tc>
      </w:tr>
      <w:tr>
        <w:trPr>
          <w:trHeight w:val="358" w:hRule="atLeast"/>
        </w:trPr>
        <w:tc>
          <w:tcPr>
            <w:tcW w:w="3744" w:type="dxa"/>
            <w:shd w:val="clear" w:color="auto" w:fill="C9D9EB"/>
          </w:tcPr>
          <w:p>
            <w:pPr>
              <w:pStyle w:val="TableParagraph"/>
              <w:spacing w:before="36"/>
              <w:rPr>
                <w:sz w:val="21"/>
              </w:rPr>
            </w:pPr>
            <w:r>
              <w:rPr>
                <w:sz w:val="21"/>
              </w:rPr>
              <w:t>Naltrexone</w:t>
            </w:r>
          </w:p>
        </w:tc>
        <w:tc>
          <w:tcPr>
            <w:tcW w:w="2722" w:type="dxa"/>
          </w:tcPr>
          <w:p>
            <w:pPr>
              <w:pStyle w:val="TableParagraph"/>
              <w:spacing w:before="36"/>
              <w:rPr>
                <w:sz w:val="21"/>
              </w:rPr>
            </w:pPr>
            <w:r>
              <w:rPr>
                <w:sz w:val="21"/>
              </w:rPr>
              <w:t>Yes</w:t>
            </w:r>
          </w:p>
        </w:tc>
        <w:tc>
          <w:tcPr>
            <w:tcW w:w="4316" w:type="dxa"/>
          </w:tcPr>
          <w:p>
            <w:pPr>
              <w:pStyle w:val="TableParagraph"/>
              <w:spacing w:before="36"/>
              <w:rPr>
                <w:sz w:val="21"/>
              </w:rPr>
            </w:pPr>
            <w:r>
              <w:rPr>
                <w:sz w:val="21"/>
              </w:rPr>
              <w:t>Yes (on-site only)</w:t>
            </w:r>
          </w:p>
        </w:tc>
      </w:tr>
      <w:tr>
        <w:trPr>
          <w:trHeight w:val="359" w:hRule="atLeast"/>
        </w:trPr>
        <w:tc>
          <w:tcPr>
            <w:tcW w:w="10782" w:type="dxa"/>
            <w:gridSpan w:val="3"/>
            <w:shd w:val="clear" w:color="auto" w:fill="4376BA"/>
          </w:tcPr>
          <w:p>
            <w:pPr>
              <w:pStyle w:val="TableParagraph"/>
              <w:spacing w:before="33"/>
              <w:rPr>
                <w:b/>
                <w:sz w:val="22"/>
              </w:rPr>
            </w:pPr>
            <w:r>
              <w:rPr>
                <w:b/>
                <w:color w:val="FFFFFF"/>
                <w:sz w:val="22"/>
              </w:rPr>
              <w:t>Are they required to provide…</w:t>
            </w:r>
          </w:p>
        </w:tc>
      </w:tr>
      <w:tr>
        <w:trPr>
          <w:trHeight w:val="359" w:hRule="atLeast"/>
        </w:trPr>
        <w:tc>
          <w:tcPr>
            <w:tcW w:w="3744" w:type="dxa"/>
            <w:shd w:val="clear" w:color="auto" w:fill="C9D9EB"/>
          </w:tcPr>
          <w:p>
            <w:pPr>
              <w:pStyle w:val="TableParagraph"/>
              <w:spacing w:before="39"/>
              <w:rPr>
                <w:sz w:val="21"/>
              </w:rPr>
            </w:pPr>
            <w:r>
              <w:rPr>
                <w:sz w:val="21"/>
              </w:rPr>
              <w:t>Counseling</w:t>
            </w:r>
          </w:p>
        </w:tc>
        <w:tc>
          <w:tcPr>
            <w:tcW w:w="2722" w:type="dxa"/>
            <w:vMerge w:val="restart"/>
          </w:tcPr>
          <w:p>
            <w:pPr>
              <w:pStyle w:val="TableParagraph"/>
              <w:spacing w:before="6"/>
              <w:ind w:left="0"/>
              <w:rPr>
                <w:b/>
                <w:i/>
                <w:sz w:val="31"/>
              </w:rPr>
            </w:pPr>
          </w:p>
          <w:p>
            <w:pPr>
              <w:pStyle w:val="TableParagraph"/>
              <w:rPr>
                <w:sz w:val="21"/>
              </w:rPr>
            </w:pPr>
            <w:r>
              <w:rPr>
                <w:sz w:val="21"/>
              </w:rPr>
              <w:t>Yes</w:t>
            </w:r>
          </w:p>
        </w:tc>
        <w:tc>
          <w:tcPr>
            <w:tcW w:w="4316" w:type="dxa"/>
            <w:vMerge w:val="restart"/>
          </w:tcPr>
          <w:p>
            <w:pPr>
              <w:pStyle w:val="TableParagraph"/>
              <w:ind w:left="0"/>
              <w:rPr>
                <w:b/>
                <w:i/>
                <w:sz w:val="21"/>
              </w:rPr>
            </w:pPr>
          </w:p>
          <w:p>
            <w:pPr>
              <w:pStyle w:val="TableParagraph"/>
              <w:ind w:right="1224"/>
              <w:rPr>
                <w:sz w:val="21"/>
              </w:rPr>
            </w:pPr>
            <w:r>
              <w:rPr>
                <w:sz w:val="21"/>
              </w:rPr>
              <w:t>Yes, if licensed by BSAS (referral encouraged)</w:t>
            </w:r>
          </w:p>
        </w:tc>
      </w:tr>
      <w:tr>
        <w:trPr>
          <w:trHeight w:val="361" w:hRule="atLeast"/>
        </w:trPr>
        <w:tc>
          <w:tcPr>
            <w:tcW w:w="3744" w:type="dxa"/>
            <w:shd w:val="clear" w:color="auto" w:fill="C9D9EB"/>
          </w:tcPr>
          <w:p>
            <w:pPr>
              <w:pStyle w:val="TableParagraph"/>
              <w:spacing w:before="39"/>
              <w:rPr>
                <w:sz w:val="21"/>
              </w:rPr>
            </w:pPr>
            <w:r>
              <w:rPr>
                <w:sz w:val="21"/>
              </w:rPr>
              <w:t>Treatment</w:t>
            </w:r>
          </w:p>
        </w:tc>
        <w:tc>
          <w:tcPr>
            <w:tcW w:w="2722" w:type="dxa"/>
            <w:vMerge/>
            <w:tcBorders>
              <w:top w:val="nil"/>
            </w:tcBorders>
          </w:tcPr>
          <w:p>
            <w:pPr>
              <w:rPr>
                <w:sz w:val="2"/>
                <w:szCs w:val="2"/>
              </w:rPr>
            </w:pPr>
          </w:p>
        </w:tc>
        <w:tc>
          <w:tcPr>
            <w:tcW w:w="4316" w:type="dxa"/>
            <w:vMerge/>
            <w:tcBorders>
              <w:top w:val="nil"/>
            </w:tcBorders>
          </w:tcPr>
          <w:p>
            <w:pPr>
              <w:rPr>
                <w:sz w:val="2"/>
                <w:szCs w:val="2"/>
              </w:rPr>
            </w:pPr>
          </w:p>
        </w:tc>
      </w:tr>
      <w:tr>
        <w:trPr>
          <w:trHeight w:val="359" w:hRule="atLeast"/>
        </w:trPr>
        <w:tc>
          <w:tcPr>
            <w:tcW w:w="3744" w:type="dxa"/>
            <w:shd w:val="clear" w:color="auto" w:fill="C9D9EB"/>
          </w:tcPr>
          <w:p>
            <w:pPr>
              <w:pStyle w:val="TableParagraph"/>
              <w:spacing w:before="39"/>
              <w:rPr>
                <w:sz w:val="21"/>
              </w:rPr>
            </w:pPr>
            <w:r>
              <w:rPr>
                <w:sz w:val="21"/>
              </w:rPr>
              <w:t>Planning and diversion control</w:t>
            </w:r>
          </w:p>
        </w:tc>
        <w:tc>
          <w:tcPr>
            <w:tcW w:w="2722" w:type="dxa"/>
            <w:vMerge/>
            <w:tcBorders>
              <w:top w:val="nil"/>
            </w:tcBorders>
          </w:tcPr>
          <w:p>
            <w:pPr>
              <w:rPr>
                <w:sz w:val="2"/>
                <w:szCs w:val="2"/>
              </w:rPr>
            </w:pPr>
          </w:p>
        </w:tc>
        <w:tc>
          <w:tcPr>
            <w:tcW w:w="4316" w:type="dxa"/>
            <w:vMerge/>
            <w:tcBorders>
              <w:top w:val="nil"/>
            </w:tcBorders>
          </w:tcPr>
          <w:p>
            <w:pPr>
              <w:rPr>
                <w:sz w:val="2"/>
                <w:szCs w:val="2"/>
              </w:rPr>
            </w:pPr>
          </w:p>
        </w:tc>
      </w:tr>
      <w:tr>
        <w:trPr>
          <w:trHeight w:val="359" w:hRule="atLeast"/>
        </w:trPr>
        <w:tc>
          <w:tcPr>
            <w:tcW w:w="10782" w:type="dxa"/>
            <w:gridSpan w:val="3"/>
            <w:shd w:val="clear" w:color="auto" w:fill="4376BA"/>
          </w:tcPr>
          <w:p>
            <w:pPr>
              <w:pStyle w:val="TableParagraph"/>
              <w:spacing w:before="33"/>
              <w:rPr>
                <w:b/>
                <w:sz w:val="22"/>
              </w:rPr>
            </w:pPr>
            <w:r>
              <w:rPr>
                <w:b/>
                <w:color w:val="FFFFFF"/>
                <w:sz w:val="22"/>
              </w:rPr>
              <w:t>Can I find them…</w:t>
            </w:r>
          </w:p>
        </w:tc>
      </w:tr>
      <w:tr>
        <w:trPr>
          <w:trHeight w:val="558" w:hRule="atLeast"/>
        </w:trPr>
        <w:tc>
          <w:tcPr>
            <w:tcW w:w="3744" w:type="dxa"/>
            <w:shd w:val="clear" w:color="auto" w:fill="C9D9EB"/>
          </w:tcPr>
          <w:p>
            <w:pPr>
              <w:pStyle w:val="TableParagraph"/>
              <w:spacing w:line="278" w:lineRule="exact" w:before="5"/>
              <w:ind w:right="1445"/>
              <w:rPr>
                <w:sz w:val="21"/>
              </w:rPr>
            </w:pPr>
            <w:r>
              <w:rPr>
                <w:sz w:val="21"/>
              </w:rPr>
              <w:t>In an online database </w:t>
            </w:r>
            <w:hyperlink r:id="rId11">
              <w:r>
                <w:rPr>
                  <w:color w:val="0000FF"/>
                  <w:sz w:val="21"/>
                  <w:u w:val="single" w:color="0000FF"/>
                </w:rPr>
                <w:t>https://helplinema.org/</w:t>
              </w:r>
            </w:hyperlink>
          </w:p>
        </w:tc>
        <w:tc>
          <w:tcPr>
            <w:tcW w:w="2722" w:type="dxa"/>
          </w:tcPr>
          <w:p>
            <w:pPr>
              <w:pStyle w:val="TableParagraph"/>
              <w:spacing w:before="140"/>
              <w:rPr>
                <w:sz w:val="21"/>
              </w:rPr>
            </w:pPr>
            <w:r>
              <w:rPr>
                <w:sz w:val="21"/>
              </w:rPr>
              <w:t>Yes</w:t>
            </w:r>
          </w:p>
        </w:tc>
        <w:tc>
          <w:tcPr>
            <w:tcW w:w="4316" w:type="dxa"/>
          </w:tcPr>
          <w:p>
            <w:pPr>
              <w:pStyle w:val="TableParagraph"/>
              <w:spacing w:line="279" w:lineRule="exact" w:before="1"/>
              <w:rPr>
                <w:sz w:val="21"/>
              </w:rPr>
            </w:pPr>
            <w:r>
              <w:rPr>
                <w:sz w:val="21"/>
              </w:rPr>
              <w:t>Yes</w:t>
            </w:r>
          </w:p>
          <w:p>
            <w:pPr>
              <w:pStyle w:val="TableParagraph"/>
              <w:spacing w:line="259" w:lineRule="exact"/>
              <w:rPr>
                <w:sz w:val="21"/>
              </w:rPr>
            </w:pPr>
            <w:r>
              <w:rPr>
                <w:sz w:val="21"/>
              </w:rPr>
              <w:t>(SAMHSA, but physicians can opt out)</w:t>
            </w:r>
          </w:p>
        </w:tc>
      </w:tr>
      <w:tr>
        <w:trPr>
          <w:trHeight w:val="557" w:hRule="atLeast"/>
        </w:trPr>
        <w:tc>
          <w:tcPr>
            <w:tcW w:w="3744" w:type="dxa"/>
            <w:shd w:val="clear" w:color="auto" w:fill="C9D9EB"/>
          </w:tcPr>
          <w:p>
            <w:pPr>
              <w:pStyle w:val="TableParagraph"/>
              <w:spacing w:line="278" w:lineRule="exact"/>
              <w:rPr>
                <w:sz w:val="21"/>
              </w:rPr>
            </w:pPr>
            <w:r>
              <w:rPr>
                <w:sz w:val="21"/>
              </w:rPr>
              <w:t>By calling a hotline1-800-327-5050</w:t>
            </w:r>
          </w:p>
        </w:tc>
        <w:tc>
          <w:tcPr>
            <w:tcW w:w="2722" w:type="dxa"/>
          </w:tcPr>
          <w:p>
            <w:pPr>
              <w:pStyle w:val="TableParagraph"/>
              <w:spacing w:before="137"/>
              <w:rPr>
                <w:sz w:val="21"/>
              </w:rPr>
            </w:pPr>
            <w:r>
              <w:rPr>
                <w:sz w:val="21"/>
              </w:rPr>
              <w:t>Yes</w:t>
            </w:r>
          </w:p>
        </w:tc>
        <w:tc>
          <w:tcPr>
            <w:tcW w:w="4316" w:type="dxa"/>
          </w:tcPr>
          <w:p>
            <w:pPr>
              <w:pStyle w:val="TableParagraph"/>
              <w:spacing w:before="137"/>
              <w:rPr>
                <w:sz w:val="21"/>
              </w:rPr>
            </w:pPr>
            <w:r>
              <w:rPr>
                <w:sz w:val="21"/>
              </w:rPr>
              <w:t>Yes</w:t>
            </w:r>
          </w:p>
        </w:tc>
      </w:tr>
    </w:tbl>
    <w:p>
      <w:pPr>
        <w:spacing w:before="120"/>
        <w:ind w:left="120" w:right="0" w:firstLine="0"/>
        <w:jc w:val="left"/>
        <w:rPr>
          <w:b/>
          <w:sz w:val="24"/>
        </w:rPr>
      </w:pPr>
      <w:r>
        <w:rPr>
          <w:b/>
          <w:color w:val="365F91"/>
          <w:sz w:val="24"/>
        </w:rPr>
        <w:t>Telehealth</w:t>
      </w:r>
    </w:p>
    <w:p>
      <w:pPr>
        <w:pStyle w:val="BodyText"/>
        <w:spacing w:line="237" w:lineRule="auto" w:before="122"/>
        <w:ind w:left="119" w:right="95" w:firstLine="0"/>
        <w:rPr>
          <w:sz w:val="14"/>
        </w:rPr>
      </w:pPr>
      <w:r>
        <w:rPr/>
        <w:t>Telehealth is “the use of electronic communication and information technologies to provide or support clinical care at a distance. The delivery of services through telehealth involves the use of secure interactive audio and video telecommunications systems that permit two-way, real-time communication between a patient/resident and a provider.”</w:t>
      </w:r>
      <w:r>
        <w:rPr>
          <w:position w:val="9"/>
          <w:sz w:val="14"/>
        </w:rPr>
        <w:t>199 </w:t>
      </w:r>
      <w:r>
        <w:rPr/>
        <w:t>Telehealth services may grow in popularity because they are accessible, convenient, and cost- effective.</w:t>
      </w:r>
      <w:r>
        <w:rPr>
          <w:position w:val="9"/>
          <w:sz w:val="14"/>
        </w:rPr>
        <w:t>200</w:t>
      </w:r>
    </w:p>
    <w:p>
      <w:pPr>
        <w:pStyle w:val="BodyText"/>
        <w:spacing w:before="124"/>
        <w:ind w:left="120" w:right="249" w:firstLine="0"/>
      </w:pPr>
      <w:r>
        <w:rPr/>
        <w:t>Federal law requires a complete physical evaluation before admission to an OTP, limiting the option of telehealth to admit a new patient with OUD to an OTP. However, concerning new patients treated with buprenorphine, SAMHSA decided to exercise its authority to exempt OTPs from the requirement to perform an in-person physical evaluation for any patient the OTP will be treated with buprenorphine. A program physician, primary care physician, or an authorized healthcare professional under the supervision of a program physician, can determine whether one can accomplish an adequate evaluation of the patient via telehealth.</w:t>
      </w:r>
    </w:p>
    <w:p>
      <w:pPr>
        <w:spacing w:after="0"/>
        <w:sectPr>
          <w:pgSz w:w="12240" w:h="15840"/>
          <w:pgMar w:header="576" w:footer="1038" w:top="1580" w:bottom="1220" w:left="600" w:right="520"/>
        </w:sectPr>
      </w:pPr>
    </w:p>
    <w:p>
      <w:pPr>
        <w:pStyle w:val="BodyText"/>
        <w:spacing w:before="129"/>
        <w:ind w:left="119" w:right="234" w:firstLine="0"/>
        <w:rPr>
          <w:sz w:val="14"/>
        </w:rPr>
      </w:pPr>
      <w:r>
        <w:rPr/>
        <w:t>This exemption will continue for the period of the national emergency declared in response to the COVID-19 pandemic and applies exclusively to OTP patients treated with buprenorphine.</w:t>
      </w:r>
      <w:r>
        <w:rPr>
          <w:position w:val="9"/>
          <w:sz w:val="14"/>
        </w:rPr>
        <w:t>201 </w:t>
      </w:r>
      <w:r>
        <w:rPr/>
        <w:t>The practitioner must have a valid DEA registration to prescribe or dispense medications in the appropriate Controlled Substances Schedule. LTCFs may be able to utilize telehealth services for residents with OUD where transportation issues are a hindrance. Providers can use telehealth in place of an in-person visit for prescribing certain medications for OUD</w:t>
      </w:r>
      <w:r>
        <w:rPr>
          <w:position w:val="9"/>
          <w:sz w:val="14"/>
        </w:rPr>
        <w:t>202 </w:t>
      </w:r>
      <w:r>
        <w:rPr/>
        <w:t>or as a delivery method for behavioral health services.</w:t>
      </w:r>
      <w:r>
        <w:rPr>
          <w:position w:val="9"/>
          <w:sz w:val="14"/>
        </w:rPr>
        <w:t>203</w:t>
      </w:r>
    </w:p>
    <w:p>
      <w:pPr>
        <w:pStyle w:val="BodyText"/>
        <w:spacing w:line="237" w:lineRule="auto" w:before="113"/>
        <w:ind w:left="119" w:right="300" w:firstLine="0"/>
        <w:rPr>
          <w:sz w:val="14"/>
        </w:rPr>
      </w:pPr>
      <w:r>
        <w:rPr/>
        <w:t>To date, reimbursement policies have been a barrier to the widespread use of telehealth.</w:t>
      </w:r>
      <w:r>
        <w:rPr>
          <w:position w:val="9"/>
          <w:sz w:val="14"/>
        </w:rPr>
        <w:t>204 </w:t>
      </w:r>
      <w:r>
        <w:rPr/>
        <w:t>However, in response to COVID-19, new rules are expanding reimbursement of telehealth services during the pandemic. Tele-Behavioral Health services (TeleBH). MassHealth (Massachusetts’ Medicaid Program) recently revised their policy</w:t>
      </w:r>
      <w:r>
        <w:rPr>
          <w:position w:val="9"/>
          <w:sz w:val="14"/>
        </w:rPr>
        <w:t>205,206 </w:t>
      </w:r>
      <w:r>
        <w:rPr/>
        <w:t>to reimburse TeleBH “at same rates as in-person visits.” </w:t>
      </w:r>
      <w:r>
        <w:rPr>
          <w:position w:val="9"/>
          <w:sz w:val="14"/>
        </w:rPr>
        <w:t>207</w:t>
      </w:r>
    </w:p>
    <w:p>
      <w:pPr>
        <w:pStyle w:val="BodyText"/>
        <w:spacing w:before="124"/>
        <w:ind w:left="119" w:right="95" w:firstLine="0"/>
      </w:pPr>
      <w:r>
        <w:rPr/>
        <w:t>These new policies exclude reimbursement for the physical devices and infrastructure (tablets, high-speed internet, upkeep of technology), which may burden the facility. If an OTP is treating a resident, it is the OTP’s responsibility to provide counseling services for a resident diagnosed with OUD. Therefore, telehealth could be a potential delivery method. Be sure to include a note in your QSOA if OTP will provide the counseling via telehealth. (See </w:t>
      </w:r>
      <w:hyperlink w:history="true" w:anchor="_bookmark0">
        <w:r>
          <w:rPr>
            <w:color w:val="0000FF"/>
            <w:u w:val="single" w:color="0000FF"/>
          </w:rPr>
          <w:t>Tip 6</w:t>
        </w:r>
        <w:r>
          <w:rPr/>
          <w:t>: </w:t>
        </w:r>
      </w:hyperlink>
      <w:r>
        <w:rPr/>
        <w:t>Transitions of Care for more details.)</w:t>
      </w:r>
    </w:p>
    <w:p>
      <w:pPr>
        <w:pStyle w:val="BodyText"/>
        <w:spacing w:line="237" w:lineRule="auto" w:before="123"/>
        <w:ind w:left="120" w:right="795" w:firstLine="0"/>
      </w:pPr>
      <w:r>
        <w:rPr/>
        <w:t>Another way to use telehealth to care for residents is through provider support and consultation services. Providers can participate in a </w:t>
      </w:r>
      <w:hyperlink r:id="rId12">
        <w:r>
          <w:rPr>
            <w:color w:val="0000FF"/>
            <w:u w:val="single" w:color="0000FF"/>
          </w:rPr>
          <w:t>teleECHO clinic </w:t>
        </w:r>
      </w:hyperlink>
      <w:r>
        <w:rPr>
          <w:position w:val="9"/>
          <w:sz w:val="14"/>
        </w:rPr>
        <w:t>208 </w:t>
      </w:r>
      <w:r>
        <w:rPr/>
        <w:t>or the </w:t>
      </w:r>
      <w:hyperlink r:id="rId13">
        <w:r>
          <w:rPr>
            <w:color w:val="0000FF"/>
            <w:u w:val="single" w:color="0000FF"/>
          </w:rPr>
          <w:t>Providers Clinical Support System (PCSS) Clinical</w:t>
        </w:r>
      </w:hyperlink>
      <w:r>
        <w:rPr>
          <w:color w:val="0000FF"/>
        </w:rPr>
        <w:t> </w:t>
      </w:r>
      <w:hyperlink r:id="rId13">
        <w:r>
          <w:rPr>
            <w:color w:val="0000FF"/>
            <w:u w:val="single" w:color="0000FF"/>
          </w:rPr>
          <w:t>Mentoring Program</w:t>
        </w:r>
        <w:r>
          <w:rPr/>
          <w:t>,</w:t>
        </w:r>
      </w:hyperlink>
      <w:r>
        <w:rPr>
          <w:position w:val="9"/>
          <w:sz w:val="14"/>
        </w:rPr>
        <w:t>209 </w:t>
      </w:r>
      <w:r>
        <w:rPr/>
        <w:t>free of charge.</w:t>
      </w:r>
    </w:p>
    <w:p>
      <w:pPr>
        <w:pStyle w:val="BodyText"/>
        <w:spacing w:before="120"/>
        <w:ind w:left="119" w:right="161" w:firstLine="0"/>
        <w:jc w:val="both"/>
      </w:pPr>
      <w:r>
        <w:rPr/>
        <w:t>For a real-time phone consultation on safe prescribing and managing care for adults with chronic pain, SUDs, or both, call MCTSAP – a free service to Massachusetts providers – at 1-833-PAIN-SUD (1-833-724-6783), Monday to Friday, 9 a.m. – 5 p.m.</w:t>
      </w:r>
    </w:p>
    <w:p>
      <w:pPr>
        <w:pStyle w:val="ListParagraph"/>
        <w:numPr>
          <w:ilvl w:val="0"/>
          <w:numId w:val="1"/>
        </w:numPr>
        <w:tabs>
          <w:tab w:pos="841" w:val="left" w:leader="none"/>
        </w:tabs>
        <w:spacing w:line="240" w:lineRule="auto" w:before="118" w:after="0"/>
        <w:ind w:left="840" w:right="0" w:hanging="361"/>
        <w:jc w:val="both"/>
        <w:rPr>
          <w:sz w:val="22"/>
        </w:rPr>
      </w:pPr>
      <w:r>
        <w:rPr>
          <w:sz w:val="22"/>
        </w:rPr>
        <w:t>Telemedicine and prescribing buprenorphine for the treatment of OUD,</w:t>
      </w:r>
      <w:r>
        <w:rPr>
          <w:color w:val="0000FF"/>
          <w:spacing w:val="-14"/>
          <w:sz w:val="22"/>
        </w:rPr>
        <w:t> </w:t>
      </w:r>
      <w:hyperlink r:id="rId14">
        <w:r>
          <w:rPr>
            <w:color w:val="0000FF"/>
            <w:sz w:val="22"/>
            <w:u w:val="single" w:color="0000FF"/>
          </w:rPr>
          <w:t>statement.</w:t>
        </w:r>
      </w:hyperlink>
    </w:p>
    <w:p>
      <w:pPr>
        <w:pStyle w:val="ListParagraph"/>
        <w:numPr>
          <w:ilvl w:val="0"/>
          <w:numId w:val="1"/>
        </w:numPr>
        <w:tabs>
          <w:tab w:pos="841" w:val="left" w:leader="none"/>
        </w:tabs>
        <w:spacing w:line="240" w:lineRule="auto" w:before="0" w:after="0"/>
        <w:ind w:left="840" w:right="0" w:hanging="361"/>
        <w:jc w:val="both"/>
        <w:rPr>
          <w:sz w:val="22"/>
        </w:rPr>
      </w:pPr>
      <w:r>
        <w:rPr>
          <w:sz w:val="22"/>
        </w:rPr>
        <w:t>Use of telemedicine while providing medication-assisted treatment (MAT),</w:t>
      </w:r>
      <w:r>
        <w:rPr>
          <w:color w:val="0000FF"/>
          <w:sz w:val="22"/>
        </w:rPr>
        <w:t> </w:t>
      </w:r>
      <w:hyperlink r:id="rId15">
        <w:r>
          <w:rPr>
            <w:color w:val="0000FF"/>
            <w:sz w:val="22"/>
            <w:u w:val="single" w:color="0000FF"/>
          </w:rPr>
          <w:t>information</w:t>
        </w:r>
        <w:r>
          <w:rPr>
            <w:color w:val="0000FF"/>
            <w:spacing w:val="-19"/>
            <w:sz w:val="22"/>
            <w:u w:val="single" w:color="0000FF"/>
          </w:rPr>
          <w:t> </w:t>
        </w:r>
        <w:r>
          <w:rPr>
            <w:color w:val="0000FF"/>
            <w:sz w:val="22"/>
            <w:u w:val="single" w:color="0000FF"/>
          </w:rPr>
          <w:t>brief</w:t>
        </w:r>
      </w:hyperlink>
    </w:p>
    <w:p>
      <w:pPr>
        <w:pStyle w:val="Heading3"/>
      </w:pPr>
      <w:r>
        <w:rPr>
          <w:color w:val="365F91"/>
        </w:rPr>
        <w:t>Community Supports</w:t>
      </w:r>
    </w:p>
    <w:p>
      <w:pPr>
        <w:pStyle w:val="BodyText"/>
        <w:spacing w:line="237" w:lineRule="auto" w:before="123"/>
        <w:ind w:left="120" w:right="302" w:firstLine="0"/>
        <w:rPr>
          <w:sz w:val="14"/>
        </w:rPr>
      </w:pPr>
      <w:r>
        <w:rPr/>
        <w:t>LTCFs may coordinate with local community supports for individuals with OUD and StUD. Some forms of support that these groups can offer include helping patients stop using opioids and stimulants, managing recurrent use, and helping with necessary lifestyle changes. Just like OTPs and OBOTs/OBATs, you can get connected to these local services through the Massachusetts Substance Use Helpline, 1-800-327-5050,</w:t>
      </w:r>
      <w:r>
        <w:rPr>
          <w:position w:val="9"/>
          <w:sz w:val="14"/>
        </w:rPr>
        <w:t>210 </w:t>
      </w:r>
      <w:r>
        <w:rPr/>
        <w:t>or SAMHSA’s National Helpline, 1-800-662-HELP (4357).</w:t>
      </w:r>
      <w:r>
        <w:rPr>
          <w:position w:val="9"/>
          <w:sz w:val="14"/>
        </w:rPr>
        <w:t>211</w:t>
      </w:r>
    </w:p>
    <w:p>
      <w:pPr>
        <w:pStyle w:val="Heading3"/>
        <w:spacing w:before="126"/>
      </w:pPr>
      <w:r>
        <w:rPr>
          <w:color w:val="365F91"/>
        </w:rPr>
        <w:t>Additional Support Types</w:t>
      </w:r>
    </w:p>
    <w:p>
      <w:pPr>
        <w:pStyle w:val="Heading4"/>
        <w:spacing w:before="79"/>
        <w:rPr>
          <w:i/>
        </w:rPr>
      </w:pPr>
      <w:r>
        <w:rPr>
          <w:i/>
        </w:rPr>
        <w:t>Mutual Help Group Programs</w:t>
      </w:r>
    </w:p>
    <w:p>
      <w:pPr>
        <w:pStyle w:val="BodyText"/>
        <w:spacing w:before="120"/>
        <w:ind w:left="120" w:right="188" w:firstLine="0"/>
      </w:pPr>
      <w:r>
        <w:rPr/>
        <w:t>Mutual-help groups assist individuals (or families and friends of individuals) seeking to obtain or maintain sobriety through peer connections. Groups offer social and emotional support, structured tools and techniques, motivation, and accountability through shared experiences.</w:t>
      </w:r>
    </w:p>
    <w:p>
      <w:pPr>
        <w:pStyle w:val="ListParagraph"/>
        <w:numPr>
          <w:ilvl w:val="0"/>
          <w:numId w:val="2"/>
        </w:numPr>
        <w:tabs>
          <w:tab w:pos="839" w:val="left" w:leader="none"/>
          <w:tab w:pos="841" w:val="left" w:leader="none"/>
        </w:tabs>
        <w:spacing w:line="237" w:lineRule="auto" w:before="123" w:after="0"/>
        <w:ind w:left="840" w:right="474" w:hanging="361"/>
        <w:jc w:val="left"/>
        <w:rPr>
          <w:sz w:val="14"/>
        </w:rPr>
      </w:pPr>
      <w:r>
        <w:rPr>
          <w:sz w:val="22"/>
        </w:rPr>
        <w:t>“Going to meetings has kept me clean when nothing else could, talking to other addicts, service work and surrounding myself with this program has been</w:t>
      </w:r>
      <w:r>
        <w:rPr>
          <w:spacing w:val="-12"/>
          <w:sz w:val="22"/>
        </w:rPr>
        <w:t> </w:t>
      </w:r>
      <w:r>
        <w:rPr>
          <w:sz w:val="22"/>
        </w:rPr>
        <w:t>invaluable."</w:t>
      </w:r>
      <w:r>
        <w:rPr>
          <w:position w:val="9"/>
          <w:sz w:val="14"/>
        </w:rPr>
        <w:t>212</w:t>
      </w:r>
    </w:p>
    <w:p>
      <w:pPr>
        <w:spacing w:after="0" w:line="237" w:lineRule="auto"/>
        <w:jc w:val="left"/>
        <w:rPr>
          <w:sz w:val="14"/>
        </w:rPr>
        <w:sectPr>
          <w:pgSz w:w="12240" w:h="15840"/>
          <w:pgMar w:header="576" w:footer="1038" w:top="1580" w:bottom="1220" w:left="600" w:right="520"/>
        </w:sectPr>
      </w:pPr>
    </w:p>
    <w:p>
      <w:pPr>
        <w:pStyle w:val="BodyText"/>
        <w:spacing w:before="129"/>
        <w:ind w:left="120" w:firstLine="0"/>
      </w:pPr>
      <w:r>
        <w:rPr/>
        <w:t>In Massachusetts, groups for individuals with OUD and StUD include:</w:t>
      </w:r>
    </w:p>
    <w:p>
      <w:pPr>
        <w:pStyle w:val="ListParagraph"/>
        <w:numPr>
          <w:ilvl w:val="0"/>
          <w:numId w:val="1"/>
        </w:numPr>
        <w:tabs>
          <w:tab w:pos="840" w:val="left" w:leader="none"/>
          <w:tab w:pos="841" w:val="left" w:leader="none"/>
        </w:tabs>
        <w:spacing w:line="294" w:lineRule="exact" w:before="117" w:after="0"/>
        <w:ind w:left="840" w:right="0" w:hanging="361"/>
        <w:jc w:val="left"/>
        <w:rPr>
          <w:sz w:val="14"/>
        </w:rPr>
      </w:pPr>
      <w:hyperlink r:id="rId16">
        <w:r>
          <w:rPr>
            <w:color w:val="0000FF"/>
            <w:sz w:val="22"/>
            <w:u w:val="single" w:color="0000FF"/>
          </w:rPr>
          <w:t>Narcotics Anonymous</w:t>
        </w:r>
        <w:r>
          <w:rPr>
            <w:color w:val="0000FF"/>
            <w:spacing w:val="-3"/>
            <w:sz w:val="22"/>
            <w:u w:val="single" w:color="0000FF"/>
          </w:rPr>
          <w:t> </w:t>
        </w:r>
        <w:r>
          <w:rPr>
            <w:color w:val="0000FF"/>
            <w:sz w:val="22"/>
            <w:u w:val="single" w:color="0000FF"/>
          </w:rPr>
          <w:t>(NA)</w:t>
        </w:r>
      </w:hyperlink>
      <w:r>
        <w:rPr>
          <w:position w:val="9"/>
          <w:sz w:val="14"/>
        </w:rPr>
        <w:t>213</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hyperlink r:id="rId17">
        <w:r>
          <w:rPr>
            <w:color w:val="0000FF"/>
            <w:sz w:val="22"/>
            <w:u w:val="single" w:color="0000FF"/>
          </w:rPr>
          <w:t>Nar-Anon</w:t>
        </w:r>
      </w:hyperlink>
      <w:r>
        <w:rPr>
          <w:position w:val="9"/>
          <w:sz w:val="14"/>
        </w:rPr>
        <w:t>214</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hyperlink r:id="rId18">
        <w:r>
          <w:rPr>
            <w:color w:val="0000FF"/>
            <w:sz w:val="22"/>
            <w:u w:val="single" w:color="0000FF"/>
          </w:rPr>
          <w:t>SMART</w:t>
        </w:r>
        <w:r>
          <w:rPr>
            <w:color w:val="0000FF"/>
            <w:spacing w:val="-1"/>
            <w:sz w:val="22"/>
            <w:u w:val="single" w:color="0000FF"/>
          </w:rPr>
          <w:t> </w:t>
        </w:r>
        <w:r>
          <w:rPr>
            <w:color w:val="0000FF"/>
            <w:sz w:val="22"/>
            <w:u w:val="single" w:color="0000FF"/>
          </w:rPr>
          <w:t>Recovery®</w:t>
        </w:r>
      </w:hyperlink>
      <w:r>
        <w:rPr>
          <w:position w:val="9"/>
          <w:sz w:val="14"/>
        </w:rPr>
        <w:t>215</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hyperlink r:id="rId19">
        <w:r>
          <w:rPr>
            <w:color w:val="0000FF"/>
            <w:sz w:val="22"/>
            <w:u w:val="single" w:color="0000FF"/>
          </w:rPr>
          <w:t>Dual Recovery</w:t>
        </w:r>
        <w:r>
          <w:rPr>
            <w:color w:val="0000FF"/>
            <w:spacing w:val="-2"/>
            <w:sz w:val="22"/>
            <w:u w:val="single" w:color="0000FF"/>
          </w:rPr>
          <w:t> </w:t>
        </w:r>
        <w:r>
          <w:rPr>
            <w:color w:val="0000FF"/>
            <w:sz w:val="22"/>
            <w:u w:val="single" w:color="0000FF"/>
          </w:rPr>
          <w:t>Anonymous</w:t>
        </w:r>
      </w:hyperlink>
      <w:r>
        <w:rPr>
          <w:position w:val="9"/>
          <w:sz w:val="14"/>
        </w:rPr>
        <w:t>216</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hyperlink r:id="rId20">
        <w:r>
          <w:rPr>
            <w:color w:val="0000FF"/>
            <w:sz w:val="22"/>
            <w:u w:val="single" w:color="0000FF"/>
          </w:rPr>
          <w:t>Massachusetts Organization for Addiction Recovery</w:t>
        </w:r>
        <w:r>
          <w:rPr>
            <w:color w:val="0000FF"/>
            <w:spacing w:val="-4"/>
            <w:sz w:val="22"/>
            <w:u w:val="single" w:color="0000FF"/>
          </w:rPr>
          <w:t> </w:t>
        </w:r>
        <w:r>
          <w:rPr>
            <w:color w:val="0000FF"/>
            <w:sz w:val="22"/>
            <w:u w:val="single" w:color="0000FF"/>
          </w:rPr>
          <w:t>(MOAR)</w:t>
        </w:r>
      </w:hyperlink>
      <w:r>
        <w:rPr>
          <w:position w:val="9"/>
          <w:sz w:val="14"/>
        </w:rPr>
        <w:t>217</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hyperlink r:id="rId21">
        <w:r>
          <w:rPr>
            <w:color w:val="0000FF"/>
            <w:sz w:val="22"/>
            <w:u w:val="single" w:color="0000FF"/>
          </w:rPr>
          <w:t>Recovery Binder</w:t>
        </w:r>
        <w:r>
          <w:rPr>
            <w:color w:val="0000FF"/>
            <w:spacing w:val="8"/>
            <w:sz w:val="22"/>
          </w:rPr>
          <w:t> </w:t>
        </w:r>
      </w:hyperlink>
      <w:r>
        <w:rPr>
          <w:position w:val="9"/>
          <w:sz w:val="14"/>
        </w:rPr>
        <w:t>218</w:t>
      </w:r>
    </w:p>
    <w:p>
      <w:pPr>
        <w:pStyle w:val="ListParagraph"/>
        <w:numPr>
          <w:ilvl w:val="0"/>
          <w:numId w:val="1"/>
        </w:numPr>
        <w:tabs>
          <w:tab w:pos="840" w:val="left" w:leader="none"/>
          <w:tab w:pos="841" w:val="left" w:leader="none"/>
        </w:tabs>
        <w:spacing w:line="295" w:lineRule="exact" w:before="0" w:after="0"/>
        <w:ind w:left="840" w:right="0" w:hanging="361"/>
        <w:jc w:val="left"/>
        <w:rPr>
          <w:sz w:val="14"/>
        </w:rPr>
      </w:pPr>
      <w:hyperlink r:id="rId22">
        <w:r>
          <w:rPr>
            <w:color w:val="0000FF"/>
            <w:sz w:val="22"/>
            <w:u w:val="single" w:color="0000FF"/>
          </w:rPr>
          <w:t>The</w:t>
        </w:r>
        <w:r>
          <w:rPr>
            <w:color w:val="0000FF"/>
            <w:spacing w:val="-1"/>
            <w:sz w:val="22"/>
            <w:u w:val="single" w:color="0000FF"/>
          </w:rPr>
          <w:t> </w:t>
        </w:r>
        <w:r>
          <w:rPr>
            <w:color w:val="0000FF"/>
            <w:sz w:val="22"/>
            <w:u w:val="single" w:color="0000FF"/>
          </w:rPr>
          <w:t>Phoenix</w:t>
        </w:r>
      </w:hyperlink>
      <w:r>
        <w:rPr>
          <w:position w:val="9"/>
          <w:sz w:val="14"/>
        </w:rPr>
        <w:t>219</w:t>
      </w:r>
    </w:p>
    <w:p>
      <w:pPr>
        <w:pStyle w:val="Heading4"/>
        <w:spacing w:before="118"/>
        <w:rPr>
          <w:i/>
        </w:rPr>
      </w:pPr>
      <w:r>
        <w:rPr>
          <w:i/>
        </w:rPr>
        <w:t>Recovery Centers</w:t>
      </w:r>
    </w:p>
    <w:p>
      <w:pPr>
        <w:pStyle w:val="BodyText"/>
        <w:spacing w:before="120"/>
        <w:ind w:left="119" w:right="152" w:firstLine="0"/>
      </w:pPr>
      <w:r>
        <w:rPr/>
        <w:t>Recovery support centers offer individuals recovery education and peer support to help prevent relapse and promote sustained recovery from alcohol and other drugs. Recovery centers also conduct community outreach. They also link families to relapse prevention support and counseling, alcohol- and other drug-free social events, life skills training and education, and career exploration. They offer assistance with housing, employment, public assistance, emergency relief, benefits and entitlements, legal services, educational and job applications, financial aid, vocational rehabilitation and training, recovery networking, and advocacy and empowerment of individuals in recovery.</w:t>
      </w:r>
    </w:p>
    <w:p>
      <w:pPr>
        <w:pStyle w:val="Heading4"/>
        <w:spacing w:before="121"/>
        <w:rPr>
          <w:i/>
        </w:rPr>
      </w:pPr>
      <w:r>
        <w:rPr>
          <w:i/>
        </w:rPr>
        <w:t>Peer Recovery Coaches</w:t>
      </w:r>
    </w:p>
    <w:p>
      <w:pPr>
        <w:pStyle w:val="BodyText"/>
        <w:spacing w:before="121"/>
        <w:ind w:left="120" w:right="316" w:hanging="1"/>
      </w:pPr>
      <w:r>
        <w:rPr/>
        <w:t>A peer recovery coach is part of the interdisciplinary care team. They combine the lived experience of recovery with training and supervision to assist others in initiating and maintaining their recovery through self- actualization, community and civic engagement, and overall wellness.</w:t>
      </w:r>
    </w:p>
    <w:p>
      <w:pPr>
        <w:pStyle w:val="BodyText"/>
        <w:spacing w:before="120"/>
        <w:ind w:left="120" w:right="72" w:firstLine="0"/>
        <w:rPr>
          <w:sz w:val="14"/>
        </w:rPr>
      </w:pPr>
      <w:r>
        <w:rPr/>
        <w:t>Peer recovery coaches help people create recovery plans and pathways by providing different types of support, including emotional support, information (support health and wellness resources), concrete support (housing or employment), and connections (recovery community supports, activities, and events). If appropriate, reach out to your community OTP or OBOT/OBAT to connect residents to a recovery coach. MassHealth covers recovery coach services. Current research shows that people receiving peer recovery support experience reductions in substance use or improvements in recovery outcomes, on a small to moderate scale. </w:t>
      </w:r>
      <w:r>
        <w:rPr>
          <w:position w:val="9"/>
          <w:sz w:val="14"/>
        </w:rPr>
        <w:t>220</w:t>
      </w:r>
    </w:p>
    <w:p>
      <w:pPr>
        <w:pStyle w:val="ListParagraph"/>
        <w:numPr>
          <w:ilvl w:val="0"/>
          <w:numId w:val="1"/>
        </w:numPr>
        <w:tabs>
          <w:tab w:pos="839" w:val="left" w:leader="none"/>
          <w:tab w:pos="841" w:val="left" w:leader="none"/>
        </w:tabs>
        <w:spacing w:line="240" w:lineRule="auto" w:before="112" w:after="0"/>
        <w:ind w:left="840" w:right="0" w:hanging="362"/>
        <w:jc w:val="left"/>
        <w:rPr>
          <w:sz w:val="14"/>
        </w:rPr>
      </w:pPr>
      <w:r>
        <w:rPr>
          <w:sz w:val="22"/>
        </w:rPr>
        <w:t>“Peer support helped me see I was not hopeless. It gave me my voice back, bolstering my</w:t>
      </w:r>
      <w:r>
        <w:rPr>
          <w:spacing w:val="-42"/>
          <w:sz w:val="22"/>
        </w:rPr>
        <w:t> </w:t>
      </w:r>
      <w:r>
        <w:rPr>
          <w:sz w:val="22"/>
        </w:rPr>
        <w:t>self-worth.”</w:t>
      </w:r>
      <w:r>
        <w:rPr>
          <w:position w:val="9"/>
          <w:sz w:val="14"/>
        </w:rPr>
        <w:t>201</w:t>
      </w:r>
    </w:p>
    <w:p>
      <w:pPr>
        <w:pStyle w:val="Heading4"/>
        <w:spacing w:before="120"/>
        <w:rPr>
          <w:i/>
        </w:rPr>
      </w:pPr>
      <w:r>
        <w:rPr>
          <w:i/>
        </w:rPr>
        <w:t>Patient Navigators</w:t>
      </w:r>
    </w:p>
    <w:p>
      <w:pPr>
        <w:pStyle w:val="BodyText"/>
        <w:spacing w:before="60"/>
        <w:ind w:left="119" w:right="302" w:firstLine="0"/>
      </w:pPr>
      <w:r>
        <w:rPr/>
        <w:t>A patient navigator is a person who works in conjunction with local health care systems. A patient navigator helps guide a patient or resident through the healthcare system and support services. These services may be valuable resources once a patient is discharged to home. Patient navigators help identify patient needs and direct patients to emotional, financial, administrative, legal, social, or cultural support. Patient navigators improve access to care through advocacy and care coordination. They also work to reduce disparities and barriers to care rooted in language and cultural differences.</w:t>
      </w:r>
      <w:r>
        <w:rPr>
          <w:position w:val="9"/>
          <w:sz w:val="14"/>
        </w:rPr>
        <w:t>221 </w:t>
      </w:r>
      <w:r>
        <w:rPr/>
        <w:t>Insurance does not typically cover navigators. A patient navigator works with:</w:t>
      </w:r>
    </w:p>
    <w:p>
      <w:pPr>
        <w:pStyle w:val="ListParagraph"/>
        <w:numPr>
          <w:ilvl w:val="0"/>
          <w:numId w:val="1"/>
        </w:numPr>
        <w:tabs>
          <w:tab w:pos="840" w:val="left" w:leader="none"/>
          <w:tab w:pos="841" w:val="left" w:leader="none"/>
        </w:tabs>
        <w:spacing w:line="240" w:lineRule="auto" w:before="55" w:after="0"/>
        <w:ind w:left="840" w:right="0" w:hanging="361"/>
        <w:jc w:val="left"/>
        <w:rPr>
          <w:sz w:val="22"/>
        </w:rPr>
      </w:pPr>
      <w:r>
        <w:rPr>
          <w:sz w:val="22"/>
        </w:rPr>
        <w:t>The individual and family or other caregivers to help them learn to</w:t>
      </w:r>
      <w:r>
        <w:rPr>
          <w:spacing w:val="-17"/>
          <w:sz w:val="22"/>
        </w:rPr>
        <w:t> </w:t>
      </w:r>
      <w:r>
        <w:rPr>
          <w:sz w:val="22"/>
        </w:rPr>
        <w:t>self-navigate</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Members of the health care team to facilitate patient</w:t>
      </w:r>
      <w:r>
        <w:rPr>
          <w:spacing w:val="-10"/>
          <w:sz w:val="22"/>
        </w:rPr>
        <w:t> </w:t>
      </w:r>
      <w:r>
        <w:rPr>
          <w:sz w:val="22"/>
        </w:rPr>
        <w:t>healthcare</w:t>
      </w:r>
    </w:p>
    <w:p>
      <w:pPr>
        <w:pStyle w:val="ListParagraph"/>
        <w:numPr>
          <w:ilvl w:val="0"/>
          <w:numId w:val="1"/>
        </w:numPr>
        <w:tabs>
          <w:tab w:pos="840" w:val="left" w:leader="none"/>
          <w:tab w:pos="841" w:val="left" w:leader="none"/>
        </w:tabs>
        <w:spacing w:line="237" w:lineRule="auto" w:before="3" w:after="0"/>
        <w:ind w:left="840" w:right="215" w:hanging="361"/>
        <w:jc w:val="left"/>
        <w:rPr>
          <w:sz w:val="14"/>
        </w:rPr>
      </w:pPr>
      <w:r>
        <w:rPr>
          <w:sz w:val="22"/>
        </w:rPr>
        <w:t>Community resource providers (including insurance companies, employers, case managers, lawyers, and social services) who may have an effect on an individual’s healthcare</w:t>
      </w:r>
      <w:r>
        <w:rPr>
          <w:spacing w:val="-18"/>
          <w:sz w:val="22"/>
        </w:rPr>
        <w:t> </w:t>
      </w:r>
      <w:r>
        <w:rPr>
          <w:sz w:val="22"/>
        </w:rPr>
        <w:t>needs</w:t>
      </w:r>
      <w:r>
        <w:rPr>
          <w:position w:val="9"/>
          <w:sz w:val="14"/>
        </w:rPr>
        <w:t>222</w:t>
      </w:r>
    </w:p>
    <w:p>
      <w:pPr>
        <w:spacing w:after="0" w:line="237" w:lineRule="auto"/>
        <w:jc w:val="left"/>
        <w:rPr>
          <w:sz w:val="14"/>
        </w:rPr>
        <w:sectPr>
          <w:pgSz w:w="12240" w:h="15840"/>
          <w:pgMar w:header="576" w:footer="1038" w:top="1580" w:bottom="1220" w:left="600" w:right="520"/>
        </w:sectPr>
      </w:pPr>
    </w:p>
    <w:p>
      <w:pPr>
        <w:pStyle w:val="BodyText"/>
        <w:spacing w:before="129"/>
        <w:ind w:left="120" w:right="327" w:firstLine="0"/>
      </w:pPr>
      <w:r>
        <w:rPr/>
        <w:t>Some areas have patient navigators specializing in OUD and StUD. For example, in Guilford County, North Carolina, a program provides a navigator to visit individuals who experienced an overdose within 72-hours of being revived by EMS. The navigator “screens for risk of repeat overdose, assesses current SUD, discusses treatment options, provides education about harm reduction, and distributes and provides training on the use of naloxone.”</w:t>
      </w:r>
      <w:r>
        <w:rPr>
          <w:position w:val="9"/>
          <w:sz w:val="14"/>
        </w:rPr>
        <w:t>223 </w:t>
      </w:r>
      <w:r>
        <w:rPr/>
        <w:t>One of their navigators commented:</w:t>
      </w:r>
    </w:p>
    <w:p>
      <w:pPr>
        <w:pStyle w:val="ListParagraph"/>
        <w:numPr>
          <w:ilvl w:val="0"/>
          <w:numId w:val="2"/>
        </w:numPr>
        <w:tabs>
          <w:tab w:pos="840" w:val="left" w:leader="none"/>
          <w:tab w:pos="841" w:val="left" w:leader="none"/>
        </w:tabs>
        <w:spacing w:line="237" w:lineRule="auto" w:before="120" w:after="0"/>
        <w:ind w:left="840" w:right="545" w:hanging="361"/>
        <w:jc w:val="left"/>
        <w:rPr>
          <w:sz w:val="14"/>
        </w:rPr>
      </w:pPr>
      <w:r>
        <w:rPr>
          <w:sz w:val="22"/>
        </w:rPr>
        <w:t>“We meet people where they are and build relationships. Then they realize we’re safe. We’re there to spread love, not hurt</w:t>
      </w:r>
      <w:r>
        <w:rPr>
          <w:spacing w:val="-5"/>
          <w:sz w:val="22"/>
        </w:rPr>
        <w:t> </w:t>
      </w:r>
      <w:r>
        <w:rPr>
          <w:sz w:val="22"/>
        </w:rPr>
        <w:t>them.”</w:t>
      </w:r>
      <w:r>
        <w:rPr>
          <w:position w:val="9"/>
          <w:sz w:val="14"/>
        </w:rPr>
        <w:t>224</w:t>
      </w:r>
    </w:p>
    <w:p>
      <w:pPr>
        <w:pStyle w:val="BodyText"/>
        <w:spacing w:line="237" w:lineRule="auto" w:before="123"/>
        <w:ind w:left="119" w:right="172" w:firstLine="0"/>
        <w:rPr>
          <w:sz w:val="14"/>
        </w:rPr>
      </w:pPr>
      <w:r>
        <w:rPr/>
        <w:t>While community health workers (CHWs) are typically not associated with LTCFs, they can be valuable to residents upon discharge. CHWs often help people communicate with healthcare providers and connect them to community resources, including social service agencies. CHWs are frontline agents of change, helping reduce health disparities in underserved communities.”</w:t>
      </w:r>
      <w:r>
        <w:rPr>
          <w:position w:val="9"/>
          <w:sz w:val="14"/>
        </w:rPr>
        <w:t>225 </w:t>
      </w:r>
      <w:r>
        <w:rPr/>
        <w:t>CHWs provide education and support, including mutual-help programs, crisis counseling, referrals, and relapse-prevention plans.</w:t>
      </w:r>
      <w:r>
        <w:rPr>
          <w:position w:val="9"/>
          <w:sz w:val="14"/>
        </w:rPr>
        <w:t>226 </w:t>
      </w:r>
      <w:r>
        <w:rPr/>
        <w:t>More specifically, CHWs provide interpretation and translation services, culturally appropriate health education and information, assistance in accessing healthcare services and resources, informal counseling on health behaviors, advocacy for individual and community health needs, and some preventive services (such as blood pressure screenings).</w:t>
      </w:r>
      <w:r>
        <w:rPr>
          <w:position w:val="9"/>
          <w:sz w:val="14"/>
        </w:rPr>
        <w:t>227</w:t>
      </w:r>
    </w:p>
    <w:p>
      <w:pPr>
        <w:pStyle w:val="ListParagraph"/>
        <w:numPr>
          <w:ilvl w:val="0"/>
          <w:numId w:val="2"/>
        </w:numPr>
        <w:tabs>
          <w:tab w:pos="840" w:val="left" w:leader="none"/>
          <w:tab w:pos="841" w:val="left" w:leader="none"/>
        </w:tabs>
        <w:spacing w:line="237" w:lineRule="auto" w:before="131" w:after="0"/>
        <w:ind w:left="840" w:right="214" w:hanging="361"/>
        <w:jc w:val="left"/>
        <w:rPr>
          <w:sz w:val="14"/>
        </w:rPr>
      </w:pPr>
      <w:r>
        <w:rPr>
          <w:sz w:val="22"/>
        </w:rPr>
        <w:t>"I learned how to assist members in becoming self-sufficient with their health care. They make and keep appointments, have effective transportation, and ability to overcome social barriers as they arrive. Members look forward to my pleasant face and smile when they have clinic</w:t>
      </w:r>
      <w:r>
        <w:rPr>
          <w:spacing w:val="-19"/>
          <w:sz w:val="22"/>
        </w:rPr>
        <w:t> </w:t>
      </w:r>
      <w:r>
        <w:rPr>
          <w:sz w:val="22"/>
        </w:rPr>
        <w:t>appointments.”</w:t>
      </w:r>
      <w:r>
        <w:rPr>
          <w:position w:val="9"/>
          <w:sz w:val="14"/>
        </w:rPr>
        <w:t>228</w:t>
      </w:r>
    </w:p>
    <w:p>
      <w:pPr>
        <w:pStyle w:val="Heading2"/>
        <w:spacing w:before="164"/>
      </w:pPr>
      <w:r>
        <w:rPr>
          <w:color w:val="4F81BC"/>
        </w:rPr>
        <w:t>Education and Resources</w:t>
      </w:r>
    </w:p>
    <w:p>
      <w:pPr>
        <w:pStyle w:val="ListParagraph"/>
        <w:numPr>
          <w:ilvl w:val="0"/>
          <w:numId w:val="1"/>
        </w:numPr>
        <w:tabs>
          <w:tab w:pos="840" w:val="left" w:leader="none"/>
          <w:tab w:pos="841" w:val="left" w:leader="none"/>
        </w:tabs>
        <w:spacing w:line="295" w:lineRule="exact" w:before="76" w:after="0"/>
        <w:ind w:left="840" w:right="0" w:hanging="361"/>
        <w:jc w:val="left"/>
        <w:rPr>
          <w:sz w:val="14"/>
        </w:rPr>
      </w:pPr>
      <w:r>
        <w:rPr>
          <w:sz w:val="22"/>
        </w:rPr>
        <w:t>The Massachusetts Substance Use Helpline: 1-800-327-5050, English</w:t>
      </w:r>
      <w:r>
        <w:rPr>
          <w:color w:val="0000FF"/>
          <w:sz w:val="22"/>
        </w:rPr>
        <w:t> </w:t>
      </w:r>
      <w:hyperlink r:id="rId11">
        <w:r>
          <w:rPr>
            <w:color w:val="0000FF"/>
            <w:sz w:val="22"/>
            <w:u w:val="single" w:color="0000FF"/>
          </w:rPr>
          <w:t>Website;</w:t>
        </w:r>
      </w:hyperlink>
      <w:r>
        <w:rPr>
          <w:position w:val="9"/>
          <w:sz w:val="14"/>
        </w:rPr>
        <w:t>229 </w:t>
      </w:r>
      <w:r>
        <w:rPr>
          <w:sz w:val="22"/>
        </w:rPr>
        <w:t>Spanish</w:t>
      </w:r>
      <w:hyperlink r:id="rId23">
        <w:r>
          <w:rPr>
            <w:color w:val="0000FF"/>
            <w:spacing w:val="-38"/>
            <w:sz w:val="22"/>
          </w:rPr>
          <w:t> </w:t>
        </w:r>
        <w:r>
          <w:rPr>
            <w:color w:val="0000FF"/>
            <w:sz w:val="22"/>
            <w:u w:val="single" w:color="0000FF"/>
          </w:rPr>
          <w:t>Website</w:t>
        </w:r>
      </w:hyperlink>
      <w:r>
        <w:rPr>
          <w:position w:val="9"/>
          <w:sz w:val="14"/>
        </w:rPr>
        <w:t>230</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r>
        <w:rPr>
          <w:sz w:val="22"/>
        </w:rPr>
        <w:t>SAMHSA:</w:t>
      </w:r>
      <w:r>
        <w:rPr>
          <w:color w:val="0000FF"/>
          <w:sz w:val="22"/>
        </w:rPr>
        <w:t> </w:t>
      </w:r>
      <w:hyperlink r:id="rId24">
        <w:r>
          <w:rPr>
            <w:color w:val="0000FF"/>
            <w:sz w:val="22"/>
            <w:u w:val="single" w:color="0000FF"/>
          </w:rPr>
          <w:t>Federal Guidelines for Opioid Treatment</w:t>
        </w:r>
        <w:r>
          <w:rPr>
            <w:color w:val="0000FF"/>
            <w:spacing w:val="-10"/>
            <w:sz w:val="22"/>
            <w:u w:val="single" w:color="0000FF"/>
          </w:rPr>
          <w:t> </w:t>
        </w:r>
        <w:r>
          <w:rPr>
            <w:color w:val="0000FF"/>
            <w:sz w:val="22"/>
            <w:u w:val="single" w:color="0000FF"/>
          </w:rPr>
          <w:t>Programs</w:t>
        </w:r>
      </w:hyperlink>
      <w:r>
        <w:rPr>
          <w:position w:val="9"/>
          <w:sz w:val="14"/>
        </w:rPr>
        <w:t>231</w:t>
      </w:r>
    </w:p>
    <w:p>
      <w:pPr>
        <w:pStyle w:val="ListParagraph"/>
        <w:numPr>
          <w:ilvl w:val="0"/>
          <w:numId w:val="1"/>
        </w:numPr>
        <w:tabs>
          <w:tab w:pos="840" w:val="left" w:leader="none"/>
          <w:tab w:pos="841" w:val="left" w:leader="none"/>
        </w:tabs>
        <w:spacing w:line="295" w:lineRule="exact" w:before="0" w:after="0"/>
        <w:ind w:left="840" w:right="0" w:hanging="361"/>
        <w:jc w:val="left"/>
        <w:rPr>
          <w:sz w:val="14"/>
        </w:rPr>
      </w:pPr>
      <w:r>
        <w:rPr>
          <w:sz w:val="22"/>
        </w:rPr>
        <w:t>SAMHSA:</w:t>
      </w:r>
      <w:r>
        <w:rPr>
          <w:color w:val="0000FF"/>
          <w:sz w:val="22"/>
        </w:rPr>
        <w:t> </w:t>
      </w:r>
      <w:hyperlink r:id="rId7">
        <w:r>
          <w:rPr>
            <w:color w:val="0000FF"/>
            <w:sz w:val="22"/>
            <w:u w:val="single" w:color="0000FF"/>
          </w:rPr>
          <w:t>Opioid Treatment Program</w:t>
        </w:r>
        <w:r>
          <w:rPr>
            <w:color w:val="0000FF"/>
            <w:spacing w:val="-5"/>
            <w:sz w:val="22"/>
            <w:u w:val="single" w:color="0000FF"/>
          </w:rPr>
          <w:t> </w:t>
        </w:r>
        <w:r>
          <w:rPr>
            <w:color w:val="0000FF"/>
            <w:sz w:val="22"/>
            <w:u w:val="single" w:color="0000FF"/>
          </w:rPr>
          <w:t>Directory</w:t>
        </w:r>
      </w:hyperlink>
      <w:r>
        <w:rPr>
          <w:position w:val="9"/>
          <w:sz w:val="14"/>
        </w:rPr>
        <w:t>232</w:t>
      </w:r>
    </w:p>
    <w:p>
      <w:pPr>
        <w:pStyle w:val="ListParagraph"/>
        <w:numPr>
          <w:ilvl w:val="0"/>
          <w:numId w:val="1"/>
        </w:numPr>
        <w:tabs>
          <w:tab w:pos="840" w:val="left" w:leader="none"/>
          <w:tab w:pos="841" w:val="left" w:leader="none"/>
        </w:tabs>
        <w:spacing w:line="237" w:lineRule="auto" w:before="2" w:after="0"/>
        <w:ind w:left="840" w:right="755" w:hanging="360"/>
        <w:jc w:val="left"/>
        <w:rPr>
          <w:sz w:val="14"/>
        </w:rPr>
      </w:pPr>
      <w:r>
        <w:rPr>
          <w:sz w:val="22"/>
        </w:rPr>
        <w:t>Massachusetts Health Policy Commission:</w:t>
      </w:r>
      <w:r>
        <w:rPr>
          <w:color w:val="0000FF"/>
          <w:sz w:val="22"/>
        </w:rPr>
        <w:t> </w:t>
      </w:r>
      <w:hyperlink r:id="rId25">
        <w:r>
          <w:rPr>
            <w:color w:val="0000FF"/>
            <w:sz w:val="22"/>
            <w:u w:val="single" w:color="0000FF"/>
          </w:rPr>
          <w:t>Integrating Telemedicine for Behavioral Health: Practical</w:t>
        </w:r>
      </w:hyperlink>
      <w:hyperlink r:id="rId25">
        <w:r>
          <w:rPr>
            <w:color w:val="0000FF"/>
            <w:sz w:val="22"/>
            <w:u w:val="single" w:color="0000FF"/>
          </w:rPr>
          <w:t> Lessons from the</w:t>
        </w:r>
        <w:r>
          <w:rPr>
            <w:color w:val="0000FF"/>
            <w:spacing w:val="-3"/>
            <w:sz w:val="22"/>
            <w:u w:val="single" w:color="0000FF"/>
          </w:rPr>
          <w:t> </w:t>
        </w:r>
        <w:r>
          <w:rPr>
            <w:color w:val="0000FF"/>
            <w:sz w:val="22"/>
            <w:u w:val="single" w:color="0000FF"/>
          </w:rPr>
          <w:t>Field</w:t>
        </w:r>
      </w:hyperlink>
      <w:r>
        <w:rPr>
          <w:position w:val="9"/>
          <w:sz w:val="14"/>
        </w:rPr>
        <w:t>233</w:t>
      </w:r>
    </w:p>
    <w:p>
      <w:pPr>
        <w:pStyle w:val="ListParagraph"/>
        <w:numPr>
          <w:ilvl w:val="0"/>
          <w:numId w:val="1"/>
        </w:numPr>
        <w:tabs>
          <w:tab w:pos="840" w:val="left" w:leader="none"/>
          <w:tab w:pos="841" w:val="left" w:leader="none"/>
        </w:tabs>
        <w:spacing w:line="289" w:lineRule="exact" w:before="0" w:after="0"/>
        <w:ind w:left="840" w:right="0" w:hanging="361"/>
        <w:jc w:val="left"/>
        <w:rPr>
          <w:sz w:val="14"/>
        </w:rPr>
      </w:pPr>
      <w:r>
        <w:rPr>
          <w:sz w:val="22"/>
        </w:rPr>
        <w:t>RIZE Massachusetts Foundation:</w:t>
      </w:r>
      <w:r>
        <w:rPr>
          <w:color w:val="0000FF"/>
          <w:sz w:val="22"/>
        </w:rPr>
        <w:t> </w:t>
      </w:r>
      <w:hyperlink r:id="rId26">
        <w:r>
          <w:rPr>
            <w:color w:val="0000FF"/>
            <w:sz w:val="22"/>
            <w:u w:val="single" w:color="0000FF"/>
          </w:rPr>
          <w:t>Health Resources in</w:t>
        </w:r>
        <w:r>
          <w:rPr>
            <w:color w:val="0000FF"/>
            <w:spacing w:val="-10"/>
            <w:sz w:val="22"/>
            <w:u w:val="single" w:color="0000FF"/>
          </w:rPr>
          <w:t> </w:t>
        </w:r>
        <w:r>
          <w:rPr>
            <w:color w:val="0000FF"/>
            <w:sz w:val="22"/>
            <w:u w:val="single" w:color="0000FF"/>
          </w:rPr>
          <w:t>Action</w:t>
        </w:r>
      </w:hyperlink>
      <w:r>
        <w:rPr>
          <w:position w:val="9"/>
          <w:sz w:val="14"/>
        </w:rPr>
        <w:t>234</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r>
        <w:rPr>
          <w:sz w:val="22"/>
        </w:rPr>
        <w:t>S.A.F.E. Project:</w:t>
      </w:r>
      <w:r>
        <w:rPr>
          <w:color w:val="0000FF"/>
          <w:sz w:val="22"/>
        </w:rPr>
        <w:t> </w:t>
      </w:r>
      <w:hyperlink r:id="rId27">
        <w:r>
          <w:rPr>
            <w:color w:val="0000FF"/>
            <w:sz w:val="22"/>
            <w:u w:val="single" w:color="0000FF"/>
          </w:rPr>
          <w:t>Community</w:t>
        </w:r>
        <w:r>
          <w:rPr>
            <w:color w:val="0000FF"/>
            <w:spacing w:val="-3"/>
            <w:sz w:val="22"/>
            <w:u w:val="single" w:color="0000FF"/>
          </w:rPr>
          <w:t> </w:t>
        </w:r>
        <w:r>
          <w:rPr>
            <w:color w:val="0000FF"/>
            <w:sz w:val="22"/>
            <w:u w:val="single" w:color="0000FF"/>
          </w:rPr>
          <w:t>Playbook</w:t>
        </w:r>
      </w:hyperlink>
      <w:r>
        <w:rPr>
          <w:position w:val="9"/>
          <w:sz w:val="14"/>
        </w:rPr>
        <w:t>235</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r>
        <w:rPr>
          <w:sz w:val="22"/>
        </w:rPr>
        <w:t>S.A.F.E. Project NA and Persons Receiving Medication-Assisted Treatment:</w:t>
      </w:r>
      <w:r>
        <w:rPr>
          <w:color w:val="0000FF"/>
          <w:sz w:val="22"/>
        </w:rPr>
        <w:t> </w:t>
      </w:r>
      <w:hyperlink r:id="rId28">
        <w:r>
          <w:rPr>
            <w:color w:val="0000FF"/>
            <w:sz w:val="22"/>
            <w:u w:val="single" w:color="0000FF"/>
          </w:rPr>
          <w:t>Pamphlet for</w:t>
        </w:r>
        <w:r>
          <w:rPr>
            <w:color w:val="0000FF"/>
            <w:spacing w:val="-31"/>
            <w:sz w:val="22"/>
            <w:u w:val="single" w:color="0000FF"/>
          </w:rPr>
          <w:t> </w:t>
        </w:r>
        <w:r>
          <w:rPr>
            <w:color w:val="0000FF"/>
            <w:sz w:val="22"/>
            <w:u w:val="single" w:color="0000FF"/>
          </w:rPr>
          <w:t>Practitioners</w:t>
        </w:r>
      </w:hyperlink>
      <w:r>
        <w:rPr>
          <w:position w:val="9"/>
          <w:sz w:val="14"/>
        </w:rPr>
        <w:t>236</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r>
        <w:rPr>
          <w:sz w:val="22"/>
        </w:rPr>
        <w:t>Narcotics Anonymous National Helpline: 1-800-662-4357 or</w:t>
      </w:r>
      <w:r>
        <w:rPr>
          <w:color w:val="0000FF"/>
          <w:spacing w:val="-7"/>
          <w:sz w:val="22"/>
        </w:rPr>
        <w:t> </w:t>
      </w:r>
      <w:hyperlink r:id="rId29">
        <w:r>
          <w:rPr>
            <w:color w:val="0000FF"/>
            <w:sz w:val="22"/>
            <w:u w:val="single" w:color="0000FF"/>
          </w:rPr>
          <w:t>Website</w:t>
        </w:r>
      </w:hyperlink>
      <w:r>
        <w:rPr>
          <w:position w:val="9"/>
          <w:sz w:val="14"/>
        </w:rPr>
        <w:t>237</w:t>
      </w:r>
    </w:p>
    <w:p>
      <w:pPr>
        <w:pStyle w:val="ListParagraph"/>
        <w:numPr>
          <w:ilvl w:val="0"/>
          <w:numId w:val="1"/>
        </w:numPr>
        <w:tabs>
          <w:tab w:pos="840" w:val="left" w:leader="none"/>
          <w:tab w:pos="841" w:val="left" w:leader="none"/>
        </w:tabs>
        <w:spacing w:line="295" w:lineRule="exact" w:before="0" w:after="0"/>
        <w:ind w:left="840" w:right="0" w:hanging="361"/>
        <w:jc w:val="left"/>
        <w:rPr>
          <w:sz w:val="14"/>
        </w:rPr>
      </w:pPr>
      <w:r>
        <w:rPr>
          <w:sz w:val="22"/>
        </w:rPr>
        <w:t>Gavin Foundation:</w:t>
      </w:r>
      <w:r>
        <w:rPr>
          <w:color w:val="0000FF"/>
          <w:sz w:val="22"/>
        </w:rPr>
        <w:t> </w:t>
      </w:r>
      <w:hyperlink r:id="rId30">
        <w:r>
          <w:rPr>
            <w:color w:val="0000FF"/>
            <w:sz w:val="22"/>
            <w:u w:val="single" w:color="0000FF"/>
          </w:rPr>
          <w:t>Devine Recovery</w:t>
        </w:r>
        <w:r>
          <w:rPr>
            <w:color w:val="0000FF"/>
            <w:spacing w:val="-3"/>
            <w:sz w:val="22"/>
            <w:u w:val="single" w:color="0000FF"/>
          </w:rPr>
          <w:t> </w:t>
        </w:r>
        <w:r>
          <w:rPr>
            <w:color w:val="0000FF"/>
            <w:sz w:val="22"/>
            <w:u w:val="single" w:color="0000FF"/>
          </w:rPr>
          <w:t>Center</w:t>
        </w:r>
      </w:hyperlink>
      <w:r>
        <w:rPr>
          <w:position w:val="9"/>
          <w:sz w:val="14"/>
        </w:rPr>
        <w:t>238</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color w:val="0000FF"/>
          <w:sz w:val="22"/>
          <w:u w:val="single" w:color="0000FF"/>
        </w:rPr>
        <w:t>Appendix 13: Additional</w:t>
      </w:r>
      <w:r>
        <w:rPr>
          <w:color w:val="0000FF"/>
          <w:spacing w:val="-7"/>
          <w:sz w:val="22"/>
          <w:u w:val="single" w:color="0000FF"/>
        </w:rPr>
        <w:t> </w:t>
      </w:r>
      <w:r>
        <w:rPr>
          <w:color w:val="0000FF"/>
          <w:sz w:val="22"/>
          <w:u w:val="single" w:color="0000FF"/>
        </w:rPr>
        <w:t>Resources</w:t>
      </w:r>
    </w:p>
    <w:p>
      <w:pPr>
        <w:spacing w:after="0" w:line="240" w:lineRule="auto"/>
        <w:jc w:val="left"/>
        <w:rPr>
          <w:sz w:val="22"/>
        </w:rPr>
        <w:sectPr>
          <w:pgSz w:w="12240" w:h="15840"/>
          <w:pgMar w:header="576" w:footer="1038" w:top="1580" w:bottom="1220" w:left="600" w:right="520"/>
        </w:sectPr>
      </w:pPr>
    </w:p>
    <w:p>
      <w:pPr>
        <w:pStyle w:val="Heading2"/>
        <w:spacing w:before="130"/>
      </w:pPr>
      <w:bookmarkStart w:name="_bookmark0" w:id="1"/>
      <w:bookmarkEnd w:id="1"/>
      <w:r>
        <w:rPr>
          <w:b w:val="0"/>
        </w:rPr>
      </w:r>
      <w:r>
        <w:rPr>
          <w:color w:val="4F81BC"/>
        </w:rPr>
        <w:t>Implementation: Key Points</w:t>
      </w:r>
    </w:p>
    <w:p>
      <w:pPr>
        <w:pStyle w:val="BodyText"/>
        <w:spacing w:before="1"/>
        <w:ind w:left="0" w:firstLine="0"/>
        <w:rPr>
          <w:b/>
          <w:sz w:val="6"/>
        </w:rPr>
      </w:pPr>
    </w:p>
    <w:tbl>
      <w:tblPr>
        <w:tblW w:w="0" w:type="auto"/>
        <w:jc w:val="left"/>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1795"/>
        <w:gridCol w:w="5575"/>
        <w:gridCol w:w="3410"/>
      </w:tblGrid>
      <w:tr>
        <w:trPr>
          <w:trHeight w:val="292" w:hRule="atLeast"/>
        </w:trPr>
        <w:tc>
          <w:tcPr>
            <w:tcW w:w="1795" w:type="dxa"/>
            <w:shd w:val="clear" w:color="auto" w:fill="4376BA"/>
          </w:tcPr>
          <w:p>
            <w:pPr>
              <w:pStyle w:val="TableParagraph"/>
              <w:spacing w:line="272" w:lineRule="exact"/>
              <w:rPr>
                <w:b/>
                <w:sz w:val="22"/>
              </w:rPr>
            </w:pPr>
            <w:r>
              <w:rPr>
                <w:b/>
                <w:color w:val="FFFFFF"/>
                <w:sz w:val="22"/>
              </w:rPr>
              <w:t>Tip 5:</w:t>
            </w:r>
          </w:p>
        </w:tc>
        <w:tc>
          <w:tcPr>
            <w:tcW w:w="8985" w:type="dxa"/>
            <w:gridSpan w:val="2"/>
            <w:shd w:val="clear" w:color="auto" w:fill="4376BA"/>
          </w:tcPr>
          <w:p>
            <w:pPr>
              <w:pStyle w:val="TableParagraph"/>
              <w:spacing w:line="272" w:lineRule="exact"/>
              <w:rPr>
                <w:b/>
                <w:sz w:val="22"/>
              </w:rPr>
            </w:pPr>
            <w:r>
              <w:rPr>
                <w:b/>
                <w:color w:val="FFFFFF"/>
                <w:sz w:val="22"/>
              </w:rPr>
              <w:t>Community-Wide Resources and Partnerships</w:t>
            </w:r>
          </w:p>
        </w:tc>
      </w:tr>
      <w:tr>
        <w:trPr>
          <w:trHeight w:val="836" w:hRule="atLeast"/>
        </w:trPr>
        <w:tc>
          <w:tcPr>
            <w:tcW w:w="1795" w:type="dxa"/>
            <w:shd w:val="clear" w:color="auto" w:fill="C9D9EB"/>
          </w:tcPr>
          <w:p>
            <w:pPr>
              <w:pStyle w:val="TableParagraph"/>
              <w:spacing w:line="278" w:lineRule="exact"/>
              <w:rPr>
                <w:b/>
                <w:sz w:val="21"/>
              </w:rPr>
            </w:pPr>
            <w:r>
              <w:rPr>
                <w:b/>
                <w:sz w:val="21"/>
              </w:rPr>
              <w:t>Policies</w:t>
            </w:r>
          </w:p>
        </w:tc>
        <w:tc>
          <w:tcPr>
            <w:tcW w:w="8985" w:type="dxa"/>
            <w:gridSpan w:val="2"/>
          </w:tcPr>
          <w:p>
            <w:pPr>
              <w:pStyle w:val="TableParagraph"/>
              <w:numPr>
                <w:ilvl w:val="0"/>
                <w:numId w:val="3"/>
              </w:numPr>
              <w:tabs>
                <w:tab w:pos="467" w:val="left" w:leader="none"/>
                <w:tab w:pos="468" w:val="left" w:leader="none"/>
              </w:tabs>
              <w:spacing w:line="240" w:lineRule="auto" w:before="0" w:after="0"/>
              <w:ind w:left="467" w:right="792" w:hanging="360"/>
              <w:jc w:val="left"/>
              <w:rPr>
                <w:sz w:val="21"/>
              </w:rPr>
            </w:pPr>
            <w:r>
              <w:rPr>
                <w:sz w:val="21"/>
              </w:rPr>
              <w:t>Incorporate in policies how you plan to utilize community-wide resources in care of residents with OUD and</w:t>
            </w:r>
            <w:r>
              <w:rPr>
                <w:spacing w:val="-7"/>
                <w:sz w:val="21"/>
              </w:rPr>
              <w:t> </w:t>
            </w:r>
            <w:r>
              <w:rPr>
                <w:sz w:val="21"/>
              </w:rPr>
              <w:t>StUD.</w:t>
            </w:r>
          </w:p>
          <w:p>
            <w:pPr>
              <w:pStyle w:val="TableParagraph"/>
              <w:numPr>
                <w:ilvl w:val="0"/>
                <w:numId w:val="3"/>
              </w:numPr>
              <w:tabs>
                <w:tab w:pos="467" w:val="left" w:leader="none"/>
                <w:tab w:pos="468" w:val="left" w:leader="none"/>
              </w:tabs>
              <w:spacing w:line="259" w:lineRule="exact" w:before="0" w:after="0"/>
              <w:ind w:left="467" w:right="0" w:hanging="361"/>
              <w:jc w:val="left"/>
              <w:rPr>
                <w:sz w:val="21"/>
              </w:rPr>
            </w:pPr>
            <w:r>
              <w:rPr>
                <w:sz w:val="21"/>
              </w:rPr>
              <w:t>Develop a QSOA with the OTP or</w:t>
            </w:r>
            <w:r>
              <w:rPr>
                <w:spacing w:val="-12"/>
                <w:sz w:val="21"/>
              </w:rPr>
              <w:t> </w:t>
            </w:r>
            <w:r>
              <w:rPr>
                <w:sz w:val="21"/>
              </w:rPr>
              <w:t>OBOT/OBAT.</w:t>
            </w:r>
          </w:p>
        </w:tc>
      </w:tr>
      <w:tr>
        <w:trPr>
          <w:trHeight w:val="279" w:hRule="atLeast"/>
        </w:trPr>
        <w:tc>
          <w:tcPr>
            <w:tcW w:w="1795" w:type="dxa"/>
            <w:shd w:val="clear" w:color="auto" w:fill="C9D9EB"/>
          </w:tcPr>
          <w:p>
            <w:pPr>
              <w:pStyle w:val="TableParagraph"/>
              <w:spacing w:line="259" w:lineRule="exact" w:before="1"/>
              <w:rPr>
                <w:b/>
                <w:sz w:val="21"/>
              </w:rPr>
            </w:pPr>
            <w:r>
              <w:rPr>
                <w:b/>
                <w:sz w:val="21"/>
              </w:rPr>
              <w:t>Awareness</w:t>
            </w:r>
          </w:p>
        </w:tc>
        <w:tc>
          <w:tcPr>
            <w:tcW w:w="5575" w:type="dxa"/>
          </w:tcPr>
          <w:p>
            <w:pPr>
              <w:pStyle w:val="TableParagraph"/>
              <w:spacing w:line="259" w:lineRule="exact" w:before="1"/>
              <w:ind w:left="1449"/>
              <w:rPr>
                <w:b/>
                <w:i/>
                <w:sz w:val="21"/>
              </w:rPr>
            </w:pPr>
            <w:r>
              <w:rPr>
                <w:b/>
                <w:i/>
                <w:sz w:val="21"/>
              </w:rPr>
              <w:t>Community-Wide Resource</w:t>
            </w:r>
          </w:p>
        </w:tc>
        <w:tc>
          <w:tcPr>
            <w:tcW w:w="3410" w:type="dxa"/>
          </w:tcPr>
          <w:p>
            <w:pPr>
              <w:pStyle w:val="TableParagraph"/>
              <w:spacing w:line="259" w:lineRule="exact" w:before="1"/>
              <w:ind w:left="1113"/>
              <w:rPr>
                <w:b/>
                <w:i/>
                <w:sz w:val="21"/>
              </w:rPr>
            </w:pPr>
            <w:r>
              <w:rPr>
                <w:b/>
                <w:i/>
                <w:sz w:val="21"/>
              </w:rPr>
              <w:t>Information</w:t>
            </w:r>
          </w:p>
        </w:tc>
      </w:tr>
      <w:tr>
        <w:trPr>
          <w:trHeight w:val="1676" w:hRule="atLeast"/>
        </w:trPr>
        <w:tc>
          <w:tcPr>
            <w:tcW w:w="1795" w:type="dxa"/>
            <w:shd w:val="clear" w:color="auto" w:fill="C9D9EB"/>
          </w:tcPr>
          <w:p>
            <w:pPr>
              <w:pStyle w:val="TableParagraph"/>
              <w:spacing w:line="278" w:lineRule="exact"/>
              <w:ind w:left="258"/>
              <w:rPr>
                <w:i/>
                <w:sz w:val="21"/>
              </w:rPr>
            </w:pPr>
            <w:r>
              <w:rPr>
                <w:i/>
                <w:sz w:val="21"/>
              </w:rPr>
              <w:t>OTP</w:t>
            </w:r>
          </w:p>
        </w:tc>
        <w:tc>
          <w:tcPr>
            <w:tcW w:w="5575" w:type="dxa"/>
          </w:tcPr>
          <w:p>
            <w:pPr>
              <w:pStyle w:val="TableParagraph"/>
              <w:numPr>
                <w:ilvl w:val="0"/>
                <w:numId w:val="4"/>
              </w:numPr>
              <w:tabs>
                <w:tab w:pos="468" w:val="left" w:leader="none"/>
              </w:tabs>
              <w:spacing w:line="278" w:lineRule="exact" w:before="0" w:after="0"/>
              <w:ind w:left="467" w:right="0" w:hanging="361"/>
              <w:jc w:val="left"/>
              <w:rPr>
                <w:sz w:val="21"/>
              </w:rPr>
            </w:pPr>
            <w:r>
              <w:rPr>
                <w:sz w:val="21"/>
              </w:rPr>
              <w:t>On-site treatment and take-home</w:t>
            </w:r>
            <w:r>
              <w:rPr>
                <w:spacing w:val="-7"/>
                <w:sz w:val="21"/>
              </w:rPr>
              <w:t> </w:t>
            </w:r>
            <w:r>
              <w:rPr>
                <w:sz w:val="21"/>
              </w:rPr>
              <w:t>treatment</w:t>
            </w:r>
          </w:p>
          <w:p>
            <w:pPr>
              <w:pStyle w:val="TableParagraph"/>
              <w:numPr>
                <w:ilvl w:val="0"/>
                <w:numId w:val="4"/>
              </w:numPr>
              <w:tabs>
                <w:tab w:pos="468" w:val="left" w:leader="none"/>
              </w:tabs>
              <w:spacing w:line="279" w:lineRule="exact" w:before="1" w:after="0"/>
              <w:ind w:left="467" w:right="0" w:hanging="361"/>
              <w:jc w:val="left"/>
              <w:rPr>
                <w:sz w:val="21"/>
              </w:rPr>
            </w:pPr>
            <w:r>
              <w:rPr>
                <w:sz w:val="21"/>
              </w:rPr>
              <w:t>Currently offer</w:t>
            </w:r>
            <w:r>
              <w:rPr>
                <w:spacing w:val="-2"/>
                <w:sz w:val="21"/>
              </w:rPr>
              <w:t> </w:t>
            </w:r>
            <w:r>
              <w:rPr>
                <w:sz w:val="21"/>
              </w:rPr>
              <w:t>methadone</w:t>
            </w:r>
          </w:p>
          <w:p>
            <w:pPr>
              <w:pStyle w:val="TableParagraph"/>
              <w:numPr>
                <w:ilvl w:val="0"/>
                <w:numId w:val="4"/>
              </w:numPr>
              <w:tabs>
                <w:tab w:pos="468" w:val="left" w:leader="none"/>
              </w:tabs>
              <w:spacing w:line="240" w:lineRule="auto" w:before="0" w:after="0"/>
              <w:ind w:left="467" w:right="671" w:hanging="360"/>
              <w:jc w:val="left"/>
              <w:rPr>
                <w:sz w:val="21"/>
              </w:rPr>
            </w:pPr>
            <w:r>
              <w:rPr>
                <w:sz w:val="21"/>
              </w:rPr>
              <w:t>Future plans to offer- buprenorphine, naloxone, naltrexone</w:t>
            </w:r>
          </w:p>
          <w:p>
            <w:pPr>
              <w:pStyle w:val="TableParagraph"/>
              <w:numPr>
                <w:ilvl w:val="0"/>
                <w:numId w:val="4"/>
              </w:numPr>
              <w:tabs>
                <w:tab w:pos="468" w:val="left" w:leader="none"/>
              </w:tabs>
              <w:spacing w:line="278" w:lineRule="exact" w:before="5" w:after="0"/>
              <w:ind w:left="467" w:right="871" w:hanging="360"/>
              <w:jc w:val="left"/>
              <w:rPr>
                <w:sz w:val="21"/>
              </w:rPr>
            </w:pPr>
            <w:r>
              <w:rPr>
                <w:sz w:val="21"/>
              </w:rPr>
              <w:t>Counseling required, treatment, planning and diversion</w:t>
            </w:r>
            <w:r>
              <w:rPr>
                <w:spacing w:val="-3"/>
                <w:sz w:val="21"/>
              </w:rPr>
              <w:t> </w:t>
            </w:r>
            <w:r>
              <w:rPr>
                <w:sz w:val="21"/>
              </w:rPr>
              <w:t>control</w:t>
            </w:r>
          </w:p>
        </w:tc>
        <w:tc>
          <w:tcPr>
            <w:tcW w:w="3410" w:type="dxa"/>
          </w:tcPr>
          <w:p>
            <w:pPr>
              <w:pStyle w:val="TableParagraph"/>
              <w:numPr>
                <w:ilvl w:val="0"/>
                <w:numId w:val="5"/>
              </w:numPr>
              <w:tabs>
                <w:tab w:pos="467" w:val="left" w:leader="none"/>
                <w:tab w:pos="468" w:val="left" w:leader="none"/>
              </w:tabs>
              <w:spacing w:line="278" w:lineRule="exact" w:before="0" w:after="0"/>
              <w:ind w:left="468" w:right="0" w:hanging="361"/>
              <w:jc w:val="left"/>
              <w:rPr>
                <w:sz w:val="21"/>
              </w:rPr>
            </w:pPr>
            <w:hyperlink r:id="rId7">
              <w:r>
                <w:rPr>
                  <w:color w:val="0000FF"/>
                  <w:sz w:val="21"/>
                  <w:u w:val="single" w:color="0000FF"/>
                </w:rPr>
                <w:t>OTP Treatment</w:t>
              </w:r>
              <w:r>
                <w:rPr>
                  <w:color w:val="0000FF"/>
                  <w:spacing w:val="-3"/>
                  <w:sz w:val="21"/>
                  <w:u w:val="single" w:color="0000FF"/>
                </w:rPr>
                <w:t> </w:t>
              </w:r>
              <w:r>
                <w:rPr>
                  <w:color w:val="0000FF"/>
                  <w:sz w:val="21"/>
                  <w:u w:val="single" w:color="0000FF"/>
                </w:rPr>
                <w:t>Directory</w:t>
              </w:r>
            </w:hyperlink>
          </w:p>
          <w:p>
            <w:pPr>
              <w:pStyle w:val="TableParagraph"/>
              <w:numPr>
                <w:ilvl w:val="0"/>
                <w:numId w:val="5"/>
              </w:numPr>
              <w:tabs>
                <w:tab w:pos="468" w:val="left" w:leader="none"/>
                <w:tab w:pos="469" w:val="left" w:leader="none"/>
              </w:tabs>
              <w:spacing w:line="240" w:lineRule="auto" w:before="1" w:after="0"/>
              <w:ind w:left="468" w:right="171" w:hanging="361"/>
              <w:jc w:val="left"/>
              <w:rPr>
                <w:sz w:val="21"/>
              </w:rPr>
            </w:pPr>
            <w:r>
              <w:rPr>
                <w:sz w:val="21"/>
              </w:rPr>
              <w:t>Massachusetts Substance</w:t>
            </w:r>
            <w:r>
              <w:rPr>
                <w:spacing w:val="-13"/>
                <w:sz w:val="21"/>
              </w:rPr>
              <w:t> </w:t>
            </w:r>
            <w:r>
              <w:rPr>
                <w:sz w:val="21"/>
              </w:rPr>
              <w:t>Use Helpline:</w:t>
            </w:r>
            <w:r>
              <w:rPr>
                <w:spacing w:val="-4"/>
                <w:sz w:val="21"/>
              </w:rPr>
              <w:t> </w:t>
            </w:r>
            <w:r>
              <w:rPr>
                <w:sz w:val="21"/>
              </w:rPr>
              <w:t>1-800-327-5050</w:t>
            </w:r>
          </w:p>
          <w:p>
            <w:pPr>
              <w:pStyle w:val="TableParagraph"/>
              <w:numPr>
                <w:ilvl w:val="0"/>
                <w:numId w:val="5"/>
              </w:numPr>
              <w:tabs>
                <w:tab w:pos="468" w:val="left" w:leader="none"/>
                <w:tab w:pos="469" w:val="left" w:leader="none"/>
              </w:tabs>
              <w:spacing w:line="240" w:lineRule="auto" w:before="1" w:after="0"/>
              <w:ind w:left="468" w:right="378" w:hanging="361"/>
              <w:jc w:val="left"/>
              <w:rPr>
                <w:sz w:val="21"/>
              </w:rPr>
            </w:pPr>
            <w:r>
              <w:rPr>
                <w:sz w:val="21"/>
              </w:rPr>
              <w:t>SAMHSA National Helpline: 1-800-662-HELP</w:t>
            </w:r>
            <w:r>
              <w:rPr>
                <w:spacing w:val="-3"/>
                <w:sz w:val="21"/>
              </w:rPr>
              <w:t> </w:t>
            </w:r>
            <w:r>
              <w:rPr>
                <w:sz w:val="21"/>
              </w:rPr>
              <w:t>(4357)</w:t>
            </w:r>
          </w:p>
        </w:tc>
      </w:tr>
      <w:tr>
        <w:trPr>
          <w:trHeight w:val="1395" w:hRule="atLeast"/>
        </w:trPr>
        <w:tc>
          <w:tcPr>
            <w:tcW w:w="1795" w:type="dxa"/>
            <w:shd w:val="clear" w:color="auto" w:fill="C9D9EB"/>
          </w:tcPr>
          <w:p>
            <w:pPr>
              <w:pStyle w:val="TableParagraph"/>
              <w:spacing w:line="277" w:lineRule="exact"/>
              <w:ind w:left="258"/>
              <w:rPr>
                <w:i/>
                <w:sz w:val="21"/>
              </w:rPr>
            </w:pPr>
            <w:r>
              <w:rPr>
                <w:i/>
                <w:sz w:val="21"/>
              </w:rPr>
              <w:t>OBOT/OBAT</w:t>
            </w:r>
          </w:p>
        </w:tc>
        <w:tc>
          <w:tcPr>
            <w:tcW w:w="5575" w:type="dxa"/>
          </w:tcPr>
          <w:p>
            <w:pPr>
              <w:pStyle w:val="TableParagraph"/>
              <w:numPr>
                <w:ilvl w:val="0"/>
                <w:numId w:val="6"/>
              </w:numPr>
              <w:tabs>
                <w:tab w:pos="468" w:val="left" w:leader="none"/>
              </w:tabs>
              <w:spacing w:line="277" w:lineRule="exact" w:before="0" w:after="0"/>
              <w:ind w:left="467" w:right="0" w:hanging="361"/>
              <w:jc w:val="left"/>
              <w:rPr>
                <w:sz w:val="21"/>
              </w:rPr>
            </w:pPr>
            <w:r>
              <w:rPr>
                <w:sz w:val="21"/>
              </w:rPr>
              <w:t>On-site treatment and take-home</w:t>
            </w:r>
            <w:r>
              <w:rPr>
                <w:spacing w:val="-7"/>
                <w:sz w:val="21"/>
              </w:rPr>
              <w:t> </w:t>
            </w:r>
            <w:r>
              <w:rPr>
                <w:sz w:val="21"/>
              </w:rPr>
              <w:t>treatment</w:t>
            </w:r>
          </w:p>
          <w:p>
            <w:pPr>
              <w:pStyle w:val="TableParagraph"/>
              <w:numPr>
                <w:ilvl w:val="0"/>
                <w:numId w:val="6"/>
              </w:numPr>
              <w:tabs>
                <w:tab w:pos="468" w:val="left" w:leader="none"/>
              </w:tabs>
              <w:spacing w:line="279" w:lineRule="exact" w:before="0" w:after="0"/>
              <w:ind w:left="467" w:right="0" w:hanging="361"/>
              <w:jc w:val="left"/>
              <w:rPr>
                <w:sz w:val="21"/>
              </w:rPr>
            </w:pPr>
            <w:r>
              <w:rPr>
                <w:sz w:val="21"/>
              </w:rPr>
              <w:t>Buprenorphine, naloxone,</w:t>
            </w:r>
            <w:r>
              <w:rPr>
                <w:spacing w:val="-7"/>
                <w:sz w:val="21"/>
              </w:rPr>
              <w:t> </w:t>
            </w:r>
            <w:r>
              <w:rPr>
                <w:sz w:val="21"/>
              </w:rPr>
              <w:t>naltrexone</w:t>
            </w:r>
          </w:p>
          <w:p>
            <w:pPr>
              <w:pStyle w:val="TableParagraph"/>
              <w:numPr>
                <w:ilvl w:val="0"/>
                <w:numId w:val="6"/>
              </w:numPr>
              <w:tabs>
                <w:tab w:pos="468" w:val="left" w:leader="none"/>
              </w:tabs>
              <w:spacing w:line="240" w:lineRule="auto" w:before="1" w:after="0"/>
              <w:ind w:left="467" w:right="631" w:hanging="360"/>
              <w:jc w:val="left"/>
              <w:rPr>
                <w:sz w:val="21"/>
              </w:rPr>
            </w:pPr>
            <w:r>
              <w:rPr>
                <w:sz w:val="21"/>
              </w:rPr>
              <w:t>Referrals to counseling, treatment, planning and diversion</w:t>
            </w:r>
          </w:p>
        </w:tc>
        <w:tc>
          <w:tcPr>
            <w:tcW w:w="3410" w:type="dxa"/>
          </w:tcPr>
          <w:p>
            <w:pPr>
              <w:pStyle w:val="TableParagraph"/>
              <w:numPr>
                <w:ilvl w:val="0"/>
                <w:numId w:val="7"/>
              </w:numPr>
              <w:tabs>
                <w:tab w:pos="467" w:val="left" w:leader="none"/>
                <w:tab w:pos="468" w:val="left" w:leader="none"/>
              </w:tabs>
              <w:spacing w:line="277" w:lineRule="exact" w:before="0" w:after="0"/>
              <w:ind w:left="468" w:right="0" w:hanging="361"/>
              <w:jc w:val="left"/>
              <w:rPr>
                <w:sz w:val="21"/>
              </w:rPr>
            </w:pPr>
            <w:hyperlink r:id="rId10">
              <w:r>
                <w:rPr>
                  <w:color w:val="0000FF"/>
                  <w:sz w:val="21"/>
                  <w:u w:val="single" w:color="0000FF"/>
                </w:rPr>
                <w:t>Treatment</w:t>
              </w:r>
              <w:r>
                <w:rPr>
                  <w:color w:val="0000FF"/>
                  <w:spacing w:val="-3"/>
                  <w:sz w:val="21"/>
                  <w:u w:val="single" w:color="0000FF"/>
                </w:rPr>
                <w:t> </w:t>
              </w:r>
              <w:r>
                <w:rPr>
                  <w:color w:val="0000FF"/>
                  <w:sz w:val="21"/>
                  <w:u w:val="single" w:color="0000FF"/>
                </w:rPr>
                <w:t>Map</w:t>
              </w:r>
            </w:hyperlink>
          </w:p>
          <w:p>
            <w:pPr>
              <w:pStyle w:val="TableParagraph"/>
              <w:numPr>
                <w:ilvl w:val="0"/>
                <w:numId w:val="7"/>
              </w:numPr>
              <w:tabs>
                <w:tab w:pos="468" w:val="left" w:leader="none"/>
                <w:tab w:pos="469" w:val="left" w:leader="none"/>
              </w:tabs>
              <w:spacing w:line="240" w:lineRule="auto" w:before="0" w:after="0"/>
              <w:ind w:left="468" w:right="171" w:hanging="361"/>
              <w:jc w:val="left"/>
              <w:rPr>
                <w:sz w:val="21"/>
              </w:rPr>
            </w:pPr>
            <w:r>
              <w:rPr>
                <w:sz w:val="21"/>
              </w:rPr>
              <w:t>Massachusetts Substance</w:t>
            </w:r>
            <w:r>
              <w:rPr>
                <w:spacing w:val="-13"/>
                <w:sz w:val="21"/>
              </w:rPr>
              <w:t> </w:t>
            </w:r>
            <w:r>
              <w:rPr>
                <w:sz w:val="21"/>
              </w:rPr>
              <w:t>Use Helpline:</w:t>
            </w:r>
            <w:r>
              <w:rPr>
                <w:spacing w:val="-4"/>
                <w:sz w:val="21"/>
              </w:rPr>
              <w:t> </w:t>
            </w:r>
            <w:r>
              <w:rPr>
                <w:sz w:val="21"/>
              </w:rPr>
              <w:t>1-800-327-5050</w:t>
            </w:r>
          </w:p>
          <w:p>
            <w:pPr>
              <w:pStyle w:val="TableParagraph"/>
              <w:numPr>
                <w:ilvl w:val="0"/>
                <w:numId w:val="7"/>
              </w:numPr>
              <w:tabs>
                <w:tab w:pos="468" w:val="left" w:leader="none"/>
                <w:tab w:pos="469" w:val="left" w:leader="none"/>
              </w:tabs>
              <w:spacing w:line="280" w:lineRule="exact" w:before="2" w:after="0"/>
              <w:ind w:left="467" w:right="378" w:hanging="360"/>
              <w:jc w:val="left"/>
              <w:rPr>
                <w:sz w:val="21"/>
              </w:rPr>
            </w:pPr>
            <w:r>
              <w:rPr>
                <w:sz w:val="21"/>
              </w:rPr>
              <w:t>SAMHSA National Helpline: 1-800-662-HELP</w:t>
            </w:r>
            <w:r>
              <w:rPr>
                <w:spacing w:val="-3"/>
                <w:sz w:val="21"/>
              </w:rPr>
              <w:t> </w:t>
            </w:r>
            <w:r>
              <w:rPr>
                <w:sz w:val="21"/>
              </w:rPr>
              <w:t>(4357)</w:t>
            </w:r>
          </w:p>
        </w:tc>
      </w:tr>
      <w:tr>
        <w:trPr>
          <w:trHeight w:val="1115" w:hRule="atLeast"/>
        </w:trPr>
        <w:tc>
          <w:tcPr>
            <w:tcW w:w="1795" w:type="dxa"/>
            <w:shd w:val="clear" w:color="auto" w:fill="C9D9EB"/>
          </w:tcPr>
          <w:p>
            <w:pPr>
              <w:pStyle w:val="TableParagraph"/>
              <w:spacing w:line="276" w:lineRule="exact"/>
              <w:ind w:left="258"/>
              <w:rPr>
                <w:i/>
                <w:sz w:val="21"/>
              </w:rPr>
            </w:pPr>
            <w:r>
              <w:rPr>
                <w:i/>
                <w:sz w:val="21"/>
              </w:rPr>
              <w:t>Telehealth</w:t>
            </w:r>
          </w:p>
        </w:tc>
        <w:tc>
          <w:tcPr>
            <w:tcW w:w="5575" w:type="dxa"/>
          </w:tcPr>
          <w:p>
            <w:pPr>
              <w:pStyle w:val="TableParagraph"/>
              <w:numPr>
                <w:ilvl w:val="0"/>
                <w:numId w:val="8"/>
              </w:numPr>
              <w:tabs>
                <w:tab w:pos="468" w:val="left" w:leader="none"/>
              </w:tabs>
              <w:spacing w:line="242" w:lineRule="auto" w:before="0" w:after="0"/>
              <w:ind w:left="467" w:right="342" w:hanging="360"/>
              <w:jc w:val="left"/>
              <w:rPr>
                <w:sz w:val="21"/>
              </w:rPr>
            </w:pPr>
            <w:r>
              <w:rPr>
                <w:sz w:val="21"/>
              </w:rPr>
              <w:t>Counseling Services: facilities can be reimbursed by MassHealth and</w:t>
            </w:r>
            <w:r>
              <w:rPr>
                <w:spacing w:val="-3"/>
                <w:sz w:val="21"/>
              </w:rPr>
              <w:t> </w:t>
            </w:r>
            <w:r>
              <w:rPr>
                <w:sz w:val="21"/>
              </w:rPr>
              <w:t>Medicare</w:t>
            </w:r>
          </w:p>
          <w:p>
            <w:pPr>
              <w:pStyle w:val="TableParagraph"/>
              <w:numPr>
                <w:ilvl w:val="0"/>
                <w:numId w:val="8"/>
              </w:numPr>
              <w:tabs>
                <w:tab w:pos="468" w:val="left" w:leader="none"/>
              </w:tabs>
              <w:spacing w:line="274" w:lineRule="exact" w:before="0" w:after="0"/>
              <w:ind w:left="467" w:right="0" w:hanging="361"/>
              <w:jc w:val="left"/>
              <w:rPr>
                <w:sz w:val="21"/>
              </w:rPr>
            </w:pPr>
            <w:r>
              <w:rPr>
                <w:sz w:val="21"/>
              </w:rPr>
              <w:t>Include in</w:t>
            </w:r>
            <w:r>
              <w:rPr>
                <w:spacing w:val="-1"/>
                <w:sz w:val="21"/>
              </w:rPr>
              <w:t> </w:t>
            </w:r>
            <w:r>
              <w:rPr>
                <w:sz w:val="21"/>
              </w:rPr>
              <w:t>QSOA</w:t>
            </w:r>
          </w:p>
          <w:p>
            <w:pPr>
              <w:pStyle w:val="TableParagraph"/>
              <w:numPr>
                <w:ilvl w:val="0"/>
                <w:numId w:val="8"/>
              </w:numPr>
              <w:tabs>
                <w:tab w:pos="468" w:val="left" w:leader="none"/>
              </w:tabs>
              <w:spacing w:line="261" w:lineRule="exact" w:before="0" w:after="0"/>
              <w:ind w:left="467" w:right="0" w:hanging="361"/>
              <w:jc w:val="left"/>
              <w:rPr>
                <w:sz w:val="21"/>
              </w:rPr>
            </w:pPr>
            <w:r>
              <w:rPr>
                <w:sz w:val="21"/>
              </w:rPr>
              <w:t>MCSTAP consultations available for</w:t>
            </w:r>
            <w:r>
              <w:rPr>
                <w:spacing w:val="-5"/>
                <w:sz w:val="21"/>
              </w:rPr>
              <w:t> </w:t>
            </w:r>
            <w:r>
              <w:rPr>
                <w:sz w:val="21"/>
              </w:rPr>
              <w:t>free</w:t>
            </w:r>
          </w:p>
        </w:tc>
        <w:tc>
          <w:tcPr>
            <w:tcW w:w="3410" w:type="dxa"/>
          </w:tcPr>
          <w:p>
            <w:pPr>
              <w:pStyle w:val="TableParagraph"/>
              <w:ind w:left="0"/>
              <w:rPr>
                <w:rFonts w:ascii="Times New Roman"/>
                <w:sz w:val="20"/>
              </w:rPr>
            </w:pPr>
          </w:p>
        </w:tc>
      </w:tr>
      <w:tr>
        <w:trPr>
          <w:trHeight w:val="1955" w:hRule="atLeast"/>
        </w:trPr>
        <w:tc>
          <w:tcPr>
            <w:tcW w:w="1795" w:type="dxa"/>
            <w:shd w:val="clear" w:color="auto" w:fill="C9D9EB"/>
          </w:tcPr>
          <w:p>
            <w:pPr>
              <w:pStyle w:val="TableParagraph"/>
              <w:ind w:left="258" w:right="193"/>
              <w:rPr>
                <w:i/>
                <w:sz w:val="21"/>
              </w:rPr>
            </w:pPr>
            <w:r>
              <w:rPr>
                <w:i/>
                <w:sz w:val="21"/>
              </w:rPr>
              <w:t>Mutual Health </w:t>
            </w:r>
            <w:r>
              <w:rPr>
                <w:i/>
                <w:sz w:val="21"/>
              </w:rPr>
              <w:t>Group Programs</w:t>
            </w:r>
          </w:p>
        </w:tc>
        <w:tc>
          <w:tcPr>
            <w:tcW w:w="5575" w:type="dxa"/>
          </w:tcPr>
          <w:p>
            <w:pPr>
              <w:pStyle w:val="TableParagraph"/>
              <w:numPr>
                <w:ilvl w:val="0"/>
                <w:numId w:val="9"/>
              </w:numPr>
              <w:tabs>
                <w:tab w:pos="468" w:val="left" w:leader="none"/>
              </w:tabs>
              <w:spacing w:line="277" w:lineRule="exact" w:before="0" w:after="0"/>
              <w:ind w:left="467" w:right="0" w:hanging="361"/>
              <w:jc w:val="left"/>
              <w:rPr>
                <w:sz w:val="21"/>
              </w:rPr>
            </w:pPr>
            <w:r>
              <w:rPr>
                <w:sz w:val="21"/>
              </w:rPr>
              <w:t>NA: 12-step recovery</w:t>
            </w:r>
            <w:r>
              <w:rPr>
                <w:spacing w:val="-1"/>
                <w:sz w:val="21"/>
              </w:rPr>
              <w:t> </w:t>
            </w:r>
            <w:r>
              <w:rPr>
                <w:sz w:val="21"/>
              </w:rPr>
              <w:t>program</w:t>
            </w:r>
          </w:p>
          <w:p>
            <w:pPr>
              <w:pStyle w:val="TableParagraph"/>
              <w:numPr>
                <w:ilvl w:val="0"/>
                <w:numId w:val="9"/>
              </w:numPr>
              <w:tabs>
                <w:tab w:pos="468" w:val="left" w:leader="none"/>
              </w:tabs>
              <w:spacing w:line="240" w:lineRule="auto" w:before="0" w:after="0"/>
              <w:ind w:left="467" w:right="312" w:hanging="360"/>
              <w:jc w:val="left"/>
              <w:rPr>
                <w:sz w:val="21"/>
              </w:rPr>
            </w:pPr>
            <w:r>
              <w:rPr>
                <w:sz w:val="21"/>
              </w:rPr>
              <w:t>Nar-Anon: 12-step recovery program for family and friends</w:t>
            </w:r>
          </w:p>
          <w:p>
            <w:pPr>
              <w:pStyle w:val="TableParagraph"/>
              <w:numPr>
                <w:ilvl w:val="0"/>
                <w:numId w:val="9"/>
              </w:numPr>
              <w:tabs>
                <w:tab w:pos="468" w:val="left" w:leader="none"/>
              </w:tabs>
              <w:spacing w:line="240" w:lineRule="auto" w:before="0" w:after="0"/>
              <w:ind w:left="467" w:right="548" w:hanging="360"/>
              <w:jc w:val="left"/>
              <w:rPr>
                <w:sz w:val="21"/>
              </w:rPr>
            </w:pPr>
            <w:r>
              <w:rPr>
                <w:sz w:val="21"/>
              </w:rPr>
              <w:t>SMART Recovery: recovery program for addictive behaviors focus on</w:t>
            </w:r>
            <w:r>
              <w:rPr>
                <w:spacing w:val="-7"/>
                <w:sz w:val="21"/>
              </w:rPr>
              <w:t> </w:t>
            </w:r>
            <w:r>
              <w:rPr>
                <w:sz w:val="21"/>
              </w:rPr>
              <w:t>self-regulation</w:t>
            </w:r>
          </w:p>
          <w:p>
            <w:pPr>
              <w:pStyle w:val="TableParagraph"/>
              <w:numPr>
                <w:ilvl w:val="0"/>
                <w:numId w:val="9"/>
              </w:numPr>
              <w:tabs>
                <w:tab w:pos="468" w:val="left" w:leader="none"/>
              </w:tabs>
              <w:spacing w:line="278" w:lineRule="exact" w:before="5" w:after="0"/>
              <w:ind w:left="467" w:right="535" w:hanging="360"/>
              <w:jc w:val="left"/>
              <w:rPr>
                <w:sz w:val="21"/>
              </w:rPr>
            </w:pPr>
            <w:r>
              <w:rPr>
                <w:sz w:val="21"/>
              </w:rPr>
              <w:t>Dual Recovery Anonymous: 12-step recovery and emotional or psychiatric</w:t>
            </w:r>
            <w:r>
              <w:rPr>
                <w:spacing w:val="-3"/>
                <w:sz w:val="21"/>
              </w:rPr>
              <w:t> </w:t>
            </w:r>
            <w:r>
              <w:rPr>
                <w:sz w:val="21"/>
              </w:rPr>
              <w:t>illness</w:t>
            </w:r>
          </w:p>
        </w:tc>
        <w:tc>
          <w:tcPr>
            <w:tcW w:w="3410" w:type="dxa"/>
          </w:tcPr>
          <w:p>
            <w:pPr>
              <w:pStyle w:val="TableParagraph"/>
              <w:numPr>
                <w:ilvl w:val="0"/>
                <w:numId w:val="10"/>
              </w:numPr>
              <w:tabs>
                <w:tab w:pos="467" w:val="left" w:leader="none"/>
                <w:tab w:pos="468" w:val="left" w:leader="none"/>
              </w:tabs>
              <w:spacing w:line="277" w:lineRule="exact" w:before="0" w:after="0"/>
              <w:ind w:left="468" w:right="0" w:hanging="361"/>
              <w:jc w:val="left"/>
              <w:rPr>
                <w:sz w:val="21"/>
              </w:rPr>
            </w:pPr>
            <w:r>
              <w:rPr>
                <w:sz w:val="21"/>
              </w:rPr>
              <w:t>New England Region:</w:t>
            </w:r>
            <w:r>
              <w:rPr>
                <w:color w:val="0000FF"/>
                <w:spacing w:val="-7"/>
                <w:sz w:val="21"/>
              </w:rPr>
              <w:t> </w:t>
            </w:r>
            <w:hyperlink r:id="rId16">
              <w:r>
                <w:rPr>
                  <w:color w:val="0000FF"/>
                  <w:sz w:val="21"/>
                  <w:u w:val="single" w:color="0000FF"/>
                </w:rPr>
                <w:t>NAs</w:t>
              </w:r>
            </w:hyperlink>
          </w:p>
          <w:p>
            <w:pPr>
              <w:pStyle w:val="TableParagraph"/>
              <w:numPr>
                <w:ilvl w:val="0"/>
                <w:numId w:val="10"/>
              </w:numPr>
              <w:tabs>
                <w:tab w:pos="468" w:val="left" w:leader="none"/>
                <w:tab w:pos="469" w:val="left" w:leader="none"/>
              </w:tabs>
              <w:spacing w:line="279" w:lineRule="exact" w:before="0" w:after="0"/>
              <w:ind w:left="468" w:right="0" w:hanging="362"/>
              <w:jc w:val="left"/>
              <w:rPr>
                <w:sz w:val="21"/>
              </w:rPr>
            </w:pPr>
            <w:hyperlink r:id="rId31">
              <w:r>
                <w:rPr>
                  <w:color w:val="0000FF"/>
                  <w:sz w:val="21"/>
                  <w:u w:val="single" w:color="0000FF"/>
                </w:rPr>
                <w:t>Nar-Anon: Find a</w:t>
              </w:r>
              <w:r>
                <w:rPr>
                  <w:color w:val="0000FF"/>
                  <w:spacing w:val="-8"/>
                  <w:sz w:val="21"/>
                  <w:u w:val="single" w:color="0000FF"/>
                </w:rPr>
                <w:t> </w:t>
              </w:r>
              <w:r>
                <w:rPr>
                  <w:color w:val="0000FF"/>
                  <w:sz w:val="21"/>
                  <w:u w:val="single" w:color="0000FF"/>
                </w:rPr>
                <w:t>meeting</w:t>
              </w:r>
            </w:hyperlink>
          </w:p>
          <w:p>
            <w:pPr>
              <w:pStyle w:val="TableParagraph"/>
              <w:numPr>
                <w:ilvl w:val="0"/>
                <w:numId w:val="10"/>
              </w:numPr>
              <w:tabs>
                <w:tab w:pos="468" w:val="left" w:leader="none"/>
                <w:tab w:pos="469" w:val="left" w:leader="none"/>
              </w:tabs>
              <w:spacing w:line="279" w:lineRule="exact" w:before="1" w:after="0"/>
              <w:ind w:left="468" w:right="0" w:hanging="362"/>
              <w:jc w:val="left"/>
              <w:rPr>
                <w:sz w:val="21"/>
              </w:rPr>
            </w:pPr>
            <w:hyperlink r:id="rId32">
              <w:r>
                <w:rPr>
                  <w:color w:val="0000FF"/>
                  <w:sz w:val="21"/>
                  <w:u w:val="single" w:color="0000FF"/>
                </w:rPr>
                <w:t>SMART</w:t>
              </w:r>
              <w:r>
                <w:rPr>
                  <w:color w:val="0000FF"/>
                  <w:spacing w:val="-4"/>
                  <w:sz w:val="21"/>
                  <w:u w:val="single" w:color="0000FF"/>
                </w:rPr>
                <w:t> </w:t>
              </w:r>
              <w:r>
                <w:rPr>
                  <w:color w:val="0000FF"/>
                  <w:sz w:val="21"/>
                  <w:u w:val="single" w:color="0000FF"/>
                </w:rPr>
                <w:t>Recovery</w:t>
              </w:r>
            </w:hyperlink>
          </w:p>
          <w:p>
            <w:pPr>
              <w:pStyle w:val="TableParagraph"/>
              <w:numPr>
                <w:ilvl w:val="0"/>
                <w:numId w:val="10"/>
              </w:numPr>
              <w:tabs>
                <w:tab w:pos="468" w:val="left" w:leader="none"/>
                <w:tab w:pos="469" w:val="left" w:leader="none"/>
              </w:tabs>
              <w:spacing w:line="279" w:lineRule="exact" w:before="0" w:after="0"/>
              <w:ind w:left="468" w:right="0" w:hanging="362"/>
              <w:jc w:val="left"/>
              <w:rPr>
                <w:sz w:val="21"/>
              </w:rPr>
            </w:pPr>
            <w:hyperlink r:id="rId33">
              <w:r>
                <w:rPr>
                  <w:color w:val="0000FF"/>
                  <w:sz w:val="21"/>
                  <w:u w:val="single" w:color="0000FF"/>
                </w:rPr>
                <w:t>Dual</w:t>
              </w:r>
              <w:r>
                <w:rPr>
                  <w:color w:val="0000FF"/>
                  <w:spacing w:val="-2"/>
                  <w:sz w:val="21"/>
                  <w:u w:val="single" w:color="0000FF"/>
                </w:rPr>
                <w:t> </w:t>
              </w:r>
              <w:r>
                <w:rPr>
                  <w:color w:val="0000FF"/>
                  <w:sz w:val="21"/>
                  <w:u w:val="single" w:color="0000FF"/>
                </w:rPr>
                <w:t>Recovery</w:t>
              </w:r>
            </w:hyperlink>
          </w:p>
        </w:tc>
      </w:tr>
      <w:tr>
        <w:trPr>
          <w:trHeight w:val="1673" w:hRule="atLeast"/>
        </w:trPr>
        <w:tc>
          <w:tcPr>
            <w:tcW w:w="1795" w:type="dxa"/>
            <w:shd w:val="clear" w:color="auto" w:fill="C9D9EB"/>
          </w:tcPr>
          <w:p>
            <w:pPr>
              <w:pStyle w:val="TableParagraph"/>
              <w:spacing w:line="277" w:lineRule="exact"/>
              <w:ind w:left="258"/>
              <w:rPr>
                <w:i/>
                <w:sz w:val="21"/>
              </w:rPr>
            </w:pPr>
            <w:r>
              <w:rPr>
                <w:i/>
                <w:sz w:val="21"/>
              </w:rPr>
              <w:t>Peer Recovery</w:t>
            </w:r>
          </w:p>
        </w:tc>
        <w:tc>
          <w:tcPr>
            <w:tcW w:w="5575" w:type="dxa"/>
          </w:tcPr>
          <w:p>
            <w:pPr>
              <w:pStyle w:val="TableParagraph"/>
              <w:numPr>
                <w:ilvl w:val="0"/>
                <w:numId w:val="11"/>
              </w:numPr>
              <w:tabs>
                <w:tab w:pos="468" w:val="left" w:leader="none"/>
              </w:tabs>
              <w:spacing w:line="240" w:lineRule="auto" w:before="0" w:after="0"/>
              <w:ind w:left="467" w:right="339" w:hanging="360"/>
              <w:jc w:val="left"/>
              <w:rPr>
                <w:sz w:val="21"/>
              </w:rPr>
            </w:pPr>
            <w:r>
              <w:rPr>
                <w:sz w:val="21"/>
              </w:rPr>
              <w:t>Reach out to local peer recovery support centers or contact the</w:t>
            </w:r>
            <w:r>
              <w:rPr>
                <w:spacing w:val="-1"/>
                <w:sz w:val="21"/>
              </w:rPr>
              <w:t> </w:t>
            </w:r>
            <w:r>
              <w:rPr>
                <w:sz w:val="21"/>
              </w:rPr>
              <w:t>helpline.</w:t>
            </w:r>
          </w:p>
        </w:tc>
        <w:tc>
          <w:tcPr>
            <w:tcW w:w="3410" w:type="dxa"/>
          </w:tcPr>
          <w:p>
            <w:pPr>
              <w:pStyle w:val="TableParagraph"/>
              <w:numPr>
                <w:ilvl w:val="0"/>
                <w:numId w:val="12"/>
              </w:numPr>
              <w:tabs>
                <w:tab w:pos="467" w:val="left" w:leader="none"/>
                <w:tab w:pos="468" w:val="left" w:leader="none"/>
              </w:tabs>
              <w:spacing w:line="240" w:lineRule="auto" w:before="0" w:after="0"/>
              <w:ind w:left="467" w:right="808" w:hanging="360"/>
              <w:jc w:val="left"/>
              <w:rPr>
                <w:sz w:val="21"/>
              </w:rPr>
            </w:pPr>
            <w:hyperlink r:id="rId34">
              <w:r>
                <w:rPr>
                  <w:color w:val="0000FF"/>
                  <w:sz w:val="21"/>
                  <w:u w:val="single" w:color="0000FF"/>
                </w:rPr>
                <w:t>Peer Recovery Support</w:t>
              </w:r>
            </w:hyperlink>
            <w:hyperlink r:id="rId34">
              <w:r>
                <w:rPr>
                  <w:color w:val="0000FF"/>
                  <w:sz w:val="21"/>
                  <w:u w:val="single" w:color="0000FF"/>
                </w:rPr>
                <w:t> Centers</w:t>
              </w:r>
            </w:hyperlink>
          </w:p>
          <w:p>
            <w:pPr>
              <w:pStyle w:val="TableParagraph"/>
              <w:numPr>
                <w:ilvl w:val="0"/>
                <w:numId w:val="12"/>
              </w:numPr>
              <w:tabs>
                <w:tab w:pos="468" w:val="left" w:leader="none"/>
                <w:tab w:pos="469" w:val="left" w:leader="none"/>
              </w:tabs>
              <w:spacing w:line="240" w:lineRule="auto" w:before="0" w:after="0"/>
              <w:ind w:left="468" w:right="345" w:hanging="361"/>
              <w:jc w:val="left"/>
              <w:rPr>
                <w:sz w:val="21"/>
              </w:rPr>
            </w:pPr>
            <w:r>
              <w:rPr>
                <w:sz w:val="21"/>
              </w:rPr>
              <w:t>Reach out to OTP/OBOT for services</w:t>
            </w:r>
          </w:p>
          <w:p>
            <w:pPr>
              <w:pStyle w:val="TableParagraph"/>
              <w:numPr>
                <w:ilvl w:val="0"/>
                <w:numId w:val="12"/>
              </w:numPr>
              <w:tabs>
                <w:tab w:pos="468" w:val="left" w:leader="none"/>
                <w:tab w:pos="469" w:val="left" w:leader="none"/>
              </w:tabs>
              <w:spacing w:line="278" w:lineRule="exact" w:before="3" w:after="0"/>
              <w:ind w:left="467" w:right="744" w:hanging="360"/>
              <w:jc w:val="left"/>
              <w:rPr>
                <w:sz w:val="21"/>
              </w:rPr>
            </w:pPr>
            <w:r>
              <w:rPr>
                <w:sz w:val="21"/>
              </w:rPr>
              <w:t>Contact MassHealth for coverage</w:t>
            </w:r>
            <w:r>
              <w:rPr>
                <w:spacing w:val="-4"/>
                <w:sz w:val="21"/>
              </w:rPr>
              <w:t> </w:t>
            </w:r>
            <w:r>
              <w:rPr>
                <w:sz w:val="21"/>
              </w:rPr>
              <w:t>options</w:t>
            </w:r>
          </w:p>
        </w:tc>
      </w:tr>
      <w:tr>
        <w:trPr>
          <w:trHeight w:val="837" w:hRule="atLeast"/>
        </w:trPr>
        <w:tc>
          <w:tcPr>
            <w:tcW w:w="1795" w:type="dxa"/>
            <w:shd w:val="clear" w:color="auto" w:fill="C9D9EB"/>
          </w:tcPr>
          <w:p>
            <w:pPr>
              <w:pStyle w:val="TableParagraph"/>
              <w:ind w:left="258" w:right="506"/>
              <w:rPr>
                <w:i/>
                <w:sz w:val="21"/>
              </w:rPr>
            </w:pPr>
            <w:r>
              <w:rPr>
                <w:i/>
                <w:sz w:val="21"/>
              </w:rPr>
              <w:t>Patient </w:t>
            </w:r>
            <w:r>
              <w:rPr>
                <w:i/>
                <w:sz w:val="21"/>
              </w:rPr>
              <w:t>Navigators</w:t>
            </w:r>
          </w:p>
        </w:tc>
        <w:tc>
          <w:tcPr>
            <w:tcW w:w="5575" w:type="dxa"/>
          </w:tcPr>
          <w:p>
            <w:pPr>
              <w:pStyle w:val="TableParagraph"/>
              <w:numPr>
                <w:ilvl w:val="0"/>
                <w:numId w:val="13"/>
              </w:numPr>
              <w:tabs>
                <w:tab w:pos="468" w:val="left" w:leader="none"/>
              </w:tabs>
              <w:spacing w:line="278" w:lineRule="exact" w:before="3" w:after="0"/>
              <w:ind w:left="467" w:right="249" w:hanging="360"/>
              <w:jc w:val="left"/>
              <w:rPr>
                <w:sz w:val="21"/>
              </w:rPr>
            </w:pPr>
            <w:r>
              <w:rPr>
                <w:sz w:val="21"/>
              </w:rPr>
              <w:t>Works in conjunction with local health care systems helps guide a patient through the healthcare system and patient support</w:t>
            </w:r>
            <w:r>
              <w:rPr>
                <w:spacing w:val="-3"/>
                <w:sz w:val="21"/>
              </w:rPr>
              <w:t> </w:t>
            </w:r>
            <w:r>
              <w:rPr>
                <w:sz w:val="21"/>
              </w:rPr>
              <w:t>services.</w:t>
            </w:r>
          </w:p>
        </w:tc>
        <w:tc>
          <w:tcPr>
            <w:tcW w:w="3410" w:type="dxa"/>
          </w:tcPr>
          <w:p>
            <w:pPr>
              <w:pStyle w:val="TableParagraph"/>
              <w:numPr>
                <w:ilvl w:val="0"/>
                <w:numId w:val="14"/>
              </w:numPr>
              <w:tabs>
                <w:tab w:pos="467" w:val="left" w:leader="none"/>
                <w:tab w:pos="468" w:val="left" w:leader="none"/>
              </w:tabs>
              <w:spacing w:line="240" w:lineRule="auto" w:before="0" w:after="0"/>
              <w:ind w:left="467" w:right="167" w:hanging="360"/>
              <w:jc w:val="left"/>
              <w:rPr>
                <w:sz w:val="21"/>
              </w:rPr>
            </w:pPr>
            <w:r>
              <w:rPr>
                <w:sz w:val="21"/>
              </w:rPr>
              <w:t>Currently may not be covered under insurance</w:t>
            </w:r>
          </w:p>
        </w:tc>
      </w:tr>
      <w:tr>
        <w:trPr>
          <w:trHeight w:val="558" w:hRule="atLeast"/>
        </w:trPr>
        <w:tc>
          <w:tcPr>
            <w:tcW w:w="1795" w:type="dxa"/>
            <w:shd w:val="clear" w:color="auto" w:fill="C9D9EB"/>
          </w:tcPr>
          <w:p>
            <w:pPr>
              <w:pStyle w:val="TableParagraph"/>
              <w:spacing w:line="280" w:lineRule="exact" w:before="1"/>
              <w:ind w:right="180"/>
              <w:rPr>
                <w:b/>
                <w:sz w:val="21"/>
              </w:rPr>
            </w:pPr>
            <w:r>
              <w:rPr>
                <w:b/>
                <w:sz w:val="21"/>
              </w:rPr>
              <w:t>Regulatory Considerations</w:t>
            </w:r>
          </w:p>
        </w:tc>
        <w:tc>
          <w:tcPr>
            <w:tcW w:w="8985" w:type="dxa"/>
            <w:gridSpan w:val="2"/>
          </w:tcPr>
          <w:p>
            <w:pPr>
              <w:pStyle w:val="TableParagraph"/>
              <w:spacing w:line="278" w:lineRule="exact"/>
              <w:rPr>
                <w:sz w:val="21"/>
              </w:rPr>
            </w:pPr>
            <w:r>
              <w:rPr>
                <w:sz w:val="21"/>
              </w:rPr>
              <w:t>None</w:t>
            </w:r>
          </w:p>
        </w:tc>
      </w:tr>
    </w:tbl>
    <w:sectPr>
      <w:pgSz w:w="12240" w:h="15840"/>
      <w:pgMar w:header="576" w:footer="1038" w:top="1580" w:bottom="1220" w:left="60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w:altName w:val="Wingdings"/>
    <w:charset w:val="2"/>
    <w:family w:val="auto"/>
    <w:pitch w:val="variable"/>
  </w:font>
  <w:font w:name="Symbol">
    <w:altName w:val="Symbol"/>
    <w:charset w:val="2"/>
    <w:family w:val="roman"/>
    <w:pitch w:val="variable"/>
  </w:font>
  <w:font w:name="Segoe UI">
    <w:altName w:val="Segoe U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drawing>
        <wp:anchor distT="0" distB="0" distL="0" distR="0" allowOverlap="1" layoutInCell="1" locked="0" behindDoc="1" simplePos="0" relativeHeight="251176960">
          <wp:simplePos x="0" y="0"/>
          <wp:positionH relativeFrom="page">
            <wp:posOffset>457200</wp:posOffset>
          </wp:positionH>
          <wp:positionV relativeFrom="page">
            <wp:posOffset>9272271</wp:posOffset>
          </wp:positionV>
          <wp:extent cx="640079" cy="64007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640079" cy="640079"/>
                  </a:xfrm>
                  <a:prstGeom prst="rect">
                    <a:avLst/>
                  </a:prstGeom>
                </pic:spPr>
              </pic:pic>
            </a:graphicData>
          </a:graphic>
        </wp:anchor>
      </w:drawing>
    </w:r>
    <w:r>
      <w:rPr/>
      <w:drawing>
        <wp:anchor distT="0" distB="0" distL="0" distR="0" allowOverlap="1" layoutInCell="1" locked="0" behindDoc="1" simplePos="0" relativeHeight="251177984">
          <wp:simplePos x="0" y="0"/>
          <wp:positionH relativeFrom="page">
            <wp:posOffset>5467985</wp:posOffset>
          </wp:positionH>
          <wp:positionV relativeFrom="page">
            <wp:posOffset>9340875</wp:posOffset>
          </wp:positionV>
          <wp:extent cx="1461295" cy="503551"/>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461295" cy="503551"/>
                  </a:xfrm>
                  <a:prstGeom prst="rect">
                    <a:avLst/>
                  </a:prstGeom>
                </pic:spPr>
              </pic:pic>
            </a:graphicData>
          </a:graphic>
        </wp:anchor>
      </w:drawing>
    </w:r>
    <w:r>
      <w:rPr/>
      <w:drawing>
        <wp:anchor distT="0" distB="0" distL="0" distR="0" allowOverlap="1" layoutInCell="1" locked="0" behindDoc="1" simplePos="0" relativeHeight="251179008">
          <wp:simplePos x="0" y="0"/>
          <wp:positionH relativeFrom="page">
            <wp:posOffset>1257300</wp:posOffset>
          </wp:positionH>
          <wp:positionV relativeFrom="page">
            <wp:posOffset>9408820</wp:posOffset>
          </wp:positionV>
          <wp:extent cx="1362709" cy="365119"/>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3" cstate="print"/>
                  <a:stretch>
                    <a:fillRect/>
                  </a:stretch>
                </pic:blipFill>
                <pic:spPr>
                  <a:xfrm>
                    <a:off x="0" y="0"/>
                    <a:ext cx="1362709" cy="365119"/>
                  </a:xfrm>
                  <a:prstGeom prst="rect">
                    <a:avLst/>
                  </a:prstGeom>
                </pic:spPr>
              </pic:pic>
            </a:graphicData>
          </a:graphic>
        </wp:anchor>
      </w:drawing>
    </w:r>
    <w:r>
      <w:rPr/>
      <w:pict>
        <v:shape style="position:absolute;margin-left:563.280029pt;margin-top:751.408081pt;width:15.6pt;height:14pt;mso-position-horizontal-relative:page;mso-position-vertical-relative:page;z-index:-252136448" type="#_x0000_t202" filled="false" stroked="false">
          <v:textbox inset="0,0,0,0">
            <w:txbxContent>
              <w:p>
                <w:pPr>
                  <w:spacing w:before="20"/>
                  <w:ind w:left="60" w:right="0" w:firstLine="0"/>
                  <w:jc w:val="left"/>
                  <w:rPr>
                    <w:sz w:val="18"/>
                  </w:rPr>
                </w:pPr>
                <w:r>
                  <w:rPr/>
                  <w:fldChar w:fldCharType="begin"/>
                </w:r>
                <w:r>
                  <w:rPr>
                    <w:sz w:val="18"/>
                  </w:rPr>
                  <w:instrText> PAGE </w:instrText>
                </w:r>
                <w:r>
                  <w:rPr/>
                  <w:fldChar w:fldCharType="separate"/>
                </w:r>
                <w:r>
                  <w:rPr/>
                  <w:t>41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rect style="position:absolute;margin-left:36pt;margin-top:28.800964pt;width:358.920017pt;height:50.399002pt;mso-position-horizontal-relative:page;mso-position-vertical-relative:page;z-index:-252143616" filled="true" fillcolor="#1f487c" stroked="false">
          <v:fill type="solid"/>
          <w10:wrap type="none"/>
        </v:rect>
      </w:pict>
    </w:r>
    <w:r>
      <w:rPr/>
      <w:pict>
        <v:rect style="position:absolute;margin-left:397.080017pt;margin-top:28.800964pt;width:178.440008pt;height:50.399002pt;mso-position-horizontal-relative:page;mso-position-vertical-relative:page;z-index:-252142592" filled="true" fillcolor="#548ed4" stroked="false">
          <v:fill type="solid"/>
          <w10:wrap type="none"/>
        </v:rect>
      </w:pict>
    </w:r>
    <w:r>
      <w:rPr/>
      <w:pict>
        <v:shapetype id="_x0000_t202" o:spt="202" coordsize="21600,21600" path="m,l,21600r21600,l21600,xe">
          <v:stroke joinstyle="miter"/>
          <v:path gradientshapeok="t" o:connecttype="rect"/>
        </v:shapetype>
        <v:shape style="position:absolute;margin-left:40.400002pt;margin-top:33.093475pt;width:344.85pt;height:41.9pt;mso-position-horizontal-relative:page;mso-position-vertical-relative:page;z-index:-252141568" type="#_x0000_t202" filled="false" stroked="false">
          <v:textbox inset="0,0,0,0">
            <w:txbxContent>
              <w:p>
                <w:pPr>
                  <w:spacing w:before="20"/>
                  <w:ind w:left="20" w:right="1" w:firstLine="0"/>
                  <w:jc w:val="left"/>
                  <w:rPr>
                    <w:b/>
                    <w:sz w:val="30"/>
                  </w:rPr>
                </w:pPr>
                <w:r>
                  <w:rPr>
                    <w:b/>
                    <w:color w:val="FFFFFF"/>
                    <w:sz w:val="30"/>
                  </w:rPr>
                  <w:t>The Care of Residents with Opioid and Stimulant Use Disorders in Long-Term Care Settings</w:t>
                </w:r>
              </w:p>
            </w:txbxContent>
          </v:textbox>
          <w10:wrap type="none"/>
        </v:shape>
      </w:pict>
    </w:r>
    <w:r>
      <w:rPr/>
      <w:pict>
        <v:shape style="position:absolute;margin-left:400.399994pt;margin-top:37.004025pt;width:166.8pt;height:33.950pt;mso-position-horizontal-relative:page;mso-position-vertical-relative:page;z-index:-252140544" type="#_x0000_t202" filled="false" stroked="false">
          <v:textbox inset="0,0,0,0">
            <w:txbxContent>
              <w:p>
                <w:pPr>
                  <w:spacing w:before="21"/>
                  <w:ind w:left="20" w:right="3" w:firstLine="0"/>
                  <w:jc w:val="left"/>
                  <w:rPr>
                    <w:sz w:val="16"/>
                  </w:rPr>
                </w:pPr>
                <w:r>
                  <w:rPr>
                    <w:b/>
                    <w:color w:val="FFFFFF"/>
                    <w:sz w:val="16"/>
                  </w:rPr>
                  <w:t>Massachusetts Department of Public Health </w:t>
                </w:r>
                <w:r>
                  <w:rPr>
                    <w:color w:val="FFFFFF"/>
                    <w:sz w:val="16"/>
                  </w:rPr>
                  <w:t>Bureau of Health Care Safety &amp; Quality</w:t>
                </w:r>
                <w:hyperlink r:id="rId1">
                  <w:r>
                    <w:rPr>
                      <w:color w:val="FFFFFF"/>
                      <w:sz w:val="16"/>
                    </w:rPr>
                    <w:t> www.mass.gov/dph/bhcsq</w:t>
                  </w:r>
                </w:hyperlink>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0"/>
      <w:numFmt w:val="bullet"/>
      <w:lvlText w:val=""/>
      <w:lvlJc w:val="left"/>
      <w:pPr>
        <w:ind w:left="468" w:hanging="360"/>
      </w:pPr>
      <w:rPr>
        <w:rFonts w:hint="default" w:ascii="Symbol" w:hAnsi="Symbol" w:eastAsia="Symbol" w:cs="Symbol"/>
        <w:w w:val="100"/>
        <w:sz w:val="21"/>
        <w:szCs w:val="21"/>
      </w:rPr>
    </w:lvl>
    <w:lvl w:ilvl="1">
      <w:start w:val="0"/>
      <w:numFmt w:val="bullet"/>
      <w:lvlText w:val="•"/>
      <w:lvlJc w:val="left"/>
      <w:pPr>
        <w:ind w:left="753" w:hanging="360"/>
      </w:pPr>
      <w:rPr>
        <w:rFonts w:hint="default"/>
      </w:rPr>
    </w:lvl>
    <w:lvl w:ilvl="2">
      <w:start w:val="0"/>
      <w:numFmt w:val="bullet"/>
      <w:lvlText w:val="•"/>
      <w:lvlJc w:val="left"/>
      <w:pPr>
        <w:ind w:left="1046" w:hanging="360"/>
      </w:pPr>
      <w:rPr>
        <w:rFonts w:hint="default"/>
      </w:rPr>
    </w:lvl>
    <w:lvl w:ilvl="3">
      <w:start w:val="0"/>
      <w:numFmt w:val="bullet"/>
      <w:lvlText w:val="•"/>
      <w:lvlJc w:val="left"/>
      <w:pPr>
        <w:ind w:left="1339" w:hanging="360"/>
      </w:pPr>
      <w:rPr>
        <w:rFonts w:hint="default"/>
      </w:rPr>
    </w:lvl>
    <w:lvl w:ilvl="4">
      <w:start w:val="0"/>
      <w:numFmt w:val="bullet"/>
      <w:lvlText w:val="•"/>
      <w:lvlJc w:val="left"/>
      <w:pPr>
        <w:ind w:left="1632" w:hanging="360"/>
      </w:pPr>
      <w:rPr>
        <w:rFonts w:hint="default"/>
      </w:rPr>
    </w:lvl>
    <w:lvl w:ilvl="5">
      <w:start w:val="0"/>
      <w:numFmt w:val="bullet"/>
      <w:lvlText w:val="•"/>
      <w:lvlJc w:val="left"/>
      <w:pPr>
        <w:ind w:left="1925" w:hanging="360"/>
      </w:pPr>
      <w:rPr>
        <w:rFonts w:hint="default"/>
      </w:rPr>
    </w:lvl>
    <w:lvl w:ilvl="6">
      <w:start w:val="0"/>
      <w:numFmt w:val="bullet"/>
      <w:lvlText w:val="•"/>
      <w:lvlJc w:val="left"/>
      <w:pPr>
        <w:ind w:left="2218" w:hanging="360"/>
      </w:pPr>
      <w:rPr>
        <w:rFonts w:hint="default"/>
      </w:rPr>
    </w:lvl>
    <w:lvl w:ilvl="7">
      <w:start w:val="0"/>
      <w:numFmt w:val="bullet"/>
      <w:lvlText w:val="•"/>
      <w:lvlJc w:val="left"/>
      <w:pPr>
        <w:ind w:left="2511" w:hanging="360"/>
      </w:pPr>
      <w:rPr>
        <w:rFonts w:hint="default"/>
      </w:rPr>
    </w:lvl>
    <w:lvl w:ilvl="8">
      <w:start w:val="0"/>
      <w:numFmt w:val="bullet"/>
      <w:lvlText w:val="•"/>
      <w:lvlJc w:val="left"/>
      <w:pPr>
        <w:ind w:left="2804" w:hanging="360"/>
      </w:pPr>
      <w:rPr>
        <w:rFonts w:hint="default"/>
      </w:rPr>
    </w:lvl>
  </w:abstractNum>
  <w:abstractNum w:abstractNumId="12">
    <w:multiLevelType w:val="hybridMultilevel"/>
    <w:lvl w:ilvl="0">
      <w:start w:val="0"/>
      <w:numFmt w:val="bullet"/>
      <w:lvlText w:val=""/>
      <w:lvlJc w:val="left"/>
      <w:pPr>
        <w:ind w:left="467" w:hanging="360"/>
      </w:pPr>
      <w:rPr>
        <w:rFonts w:hint="default" w:ascii="Wingdings" w:hAnsi="Wingdings" w:eastAsia="Wingdings" w:cs="Wingdings"/>
        <w:w w:val="100"/>
        <w:sz w:val="21"/>
        <w:szCs w:val="21"/>
      </w:rPr>
    </w:lvl>
    <w:lvl w:ilvl="1">
      <w:start w:val="0"/>
      <w:numFmt w:val="bullet"/>
      <w:lvlText w:val="•"/>
      <w:lvlJc w:val="left"/>
      <w:pPr>
        <w:ind w:left="969" w:hanging="360"/>
      </w:pPr>
      <w:rPr>
        <w:rFonts w:hint="default"/>
      </w:rPr>
    </w:lvl>
    <w:lvl w:ilvl="2">
      <w:start w:val="0"/>
      <w:numFmt w:val="bullet"/>
      <w:lvlText w:val="•"/>
      <w:lvlJc w:val="left"/>
      <w:pPr>
        <w:ind w:left="1479" w:hanging="360"/>
      </w:pPr>
      <w:rPr>
        <w:rFonts w:hint="default"/>
      </w:rPr>
    </w:lvl>
    <w:lvl w:ilvl="3">
      <w:start w:val="0"/>
      <w:numFmt w:val="bullet"/>
      <w:lvlText w:val="•"/>
      <w:lvlJc w:val="left"/>
      <w:pPr>
        <w:ind w:left="1988" w:hanging="360"/>
      </w:pPr>
      <w:rPr>
        <w:rFonts w:hint="default"/>
      </w:rPr>
    </w:lvl>
    <w:lvl w:ilvl="4">
      <w:start w:val="0"/>
      <w:numFmt w:val="bullet"/>
      <w:lvlText w:val="•"/>
      <w:lvlJc w:val="left"/>
      <w:pPr>
        <w:ind w:left="2498" w:hanging="360"/>
      </w:pPr>
      <w:rPr>
        <w:rFonts w:hint="default"/>
      </w:rPr>
    </w:lvl>
    <w:lvl w:ilvl="5">
      <w:start w:val="0"/>
      <w:numFmt w:val="bullet"/>
      <w:lvlText w:val="•"/>
      <w:lvlJc w:val="left"/>
      <w:pPr>
        <w:ind w:left="3007" w:hanging="360"/>
      </w:pPr>
      <w:rPr>
        <w:rFonts w:hint="default"/>
      </w:rPr>
    </w:lvl>
    <w:lvl w:ilvl="6">
      <w:start w:val="0"/>
      <w:numFmt w:val="bullet"/>
      <w:lvlText w:val="•"/>
      <w:lvlJc w:val="left"/>
      <w:pPr>
        <w:ind w:left="3517" w:hanging="360"/>
      </w:pPr>
      <w:rPr>
        <w:rFonts w:hint="default"/>
      </w:rPr>
    </w:lvl>
    <w:lvl w:ilvl="7">
      <w:start w:val="0"/>
      <w:numFmt w:val="bullet"/>
      <w:lvlText w:val="•"/>
      <w:lvlJc w:val="left"/>
      <w:pPr>
        <w:ind w:left="4026" w:hanging="360"/>
      </w:pPr>
      <w:rPr>
        <w:rFonts w:hint="default"/>
      </w:rPr>
    </w:lvl>
    <w:lvl w:ilvl="8">
      <w:start w:val="0"/>
      <w:numFmt w:val="bullet"/>
      <w:lvlText w:val="•"/>
      <w:lvlJc w:val="left"/>
      <w:pPr>
        <w:ind w:left="4536" w:hanging="360"/>
      </w:pPr>
      <w:rPr>
        <w:rFonts w:hint="default"/>
      </w:rPr>
    </w:lvl>
  </w:abstractNum>
  <w:abstractNum w:abstractNumId="11">
    <w:multiLevelType w:val="hybridMultilevel"/>
    <w:lvl w:ilvl="0">
      <w:start w:val="0"/>
      <w:numFmt w:val="bullet"/>
      <w:lvlText w:val=""/>
      <w:lvlJc w:val="left"/>
      <w:pPr>
        <w:ind w:left="468" w:hanging="360"/>
      </w:pPr>
      <w:rPr>
        <w:rFonts w:hint="default" w:ascii="Symbol" w:hAnsi="Symbol" w:eastAsia="Symbol" w:cs="Symbol"/>
        <w:w w:val="100"/>
        <w:sz w:val="21"/>
        <w:szCs w:val="21"/>
      </w:rPr>
    </w:lvl>
    <w:lvl w:ilvl="1">
      <w:start w:val="0"/>
      <w:numFmt w:val="bullet"/>
      <w:lvlText w:val="•"/>
      <w:lvlJc w:val="left"/>
      <w:pPr>
        <w:ind w:left="753" w:hanging="360"/>
      </w:pPr>
      <w:rPr>
        <w:rFonts w:hint="default"/>
      </w:rPr>
    </w:lvl>
    <w:lvl w:ilvl="2">
      <w:start w:val="0"/>
      <w:numFmt w:val="bullet"/>
      <w:lvlText w:val="•"/>
      <w:lvlJc w:val="left"/>
      <w:pPr>
        <w:ind w:left="1046" w:hanging="360"/>
      </w:pPr>
      <w:rPr>
        <w:rFonts w:hint="default"/>
      </w:rPr>
    </w:lvl>
    <w:lvl w:ilvl="3">
      <w:start w:val="0"/>
      <w:numFmt w:val="bullet"/>
      <w:lvlText w:val="•"/>
      <w:lvlJc w:val="left"/>
      <w:pPr>
        <w:ind w:left="1339" w:hanging="360"/>
      </w:pPr>
      <w:rPr>
        <w:rFonts w:hint="default"/>
      </w:rPr>
    </w:lvl>
    <w:lvl w:ilvl="4">
      <w:start w:val="0"/>
      <w:numFmt w:val="bullet"/>
      <w:lvlText w:val="•"/>
      <w:lvlJc w:val="left"/>
      <w:pPr>
        <w:ind w:left="1632" w:hanging="360"/>
      </w:pPr>
      <w:rPr>
        <w:rFonts w:hint="default"/>
      </w:rPr>
    </w:lvl>
    <w:lvl w:ilvl="5">
      <w:start w:val="0"/>
      <w:numFmt w:val="bullet"/>
      <w:lvlText w:val="•"/>
      <w:lvlJc w:val="left"/>
      <w:pPr>
        <w:ind w:left="1925" w:hanging="360"/>
      </w:pPr>
      <w:rPr>
        <w:rFonts w:hint="default"/>
      </w:rPr>
    </w:lvl>
    <w:lvl w:ilvl="6">
      <w:start w:val="0"/>
      <w:numFmt w:val="bullet"/>
      <w:lvlText w:val="•"/>
      <w:lvlJc w:val="left"/>
      <w:pPr>
        <w:ind w:left="2218" w:hanging="360"/>
      </w:pPr>
      <w:rPr>
        <w:rFonts w:hint="default"/>
      </w:rPr>
    </w:lvl>
    <w:lvl w:ilvl="7">
      <w:start w:val="0"/>
      <w:numFmt w:val="bullet"/>
      <w:lvlText w:val="•"/>
      <w:lvlJc w:val="left"/>
      <w:pPr>
        <w:ind w:left="2511" w:hanging="360"/>
      </w:pPr>
      <w:rPr>
        <w:rFonts w:hint="default"/>
      </w:rPr>
    </w:lvl>
    <w:lvl w:ilvl="8">
      <w:start w:val="0"/>
      <w:numFmt w:val="bullet"/>
      <w:lvlText w:val="•"/>
      <w:lvlJc w:val="left"/>
      <w:pPr>
        <w:ind w:left="2804" w:hanging="360"/>
      </w:pPr>
      <w:rPr>
        <w:rFonts w:hint="default"/>
      </w:rPr>
    </w:lvl>
  </w:abstractNum>
  <w:abstractNum w:abstractNumId="10">
    <w:multiLevelType w:val="hybridMultilevel"/>
    <w:lvl w:ilvl="0">
      <w:start w:val="0"/>
      <w:numFmt w:val="bullet"/>
      <w:lvlText w:val=""/>
      <w:lvlJc w:val="left"/>
      <w:pPr>
        <w:ind w:left="467" w:hanging="360"/>
      </w:pPr>
      <w:rPr>
        <w:rFonts w:hint="default" w:ascii="Wingdings" w:hAnsi="Wingdings" w:eastAsia="Wingdings" w:cs="Wingdings"/>
        <w:w w:val="100"/>
        <w:sz w:val="21"/>
        <w:szCs w:val="21"/>
      </w:rPr>
    </w:lvl>
    <w:lvl w:ilvl="1">
      <w:start w:val="0"/>
      <w:numFmt w:val="bullet"/>
      <w:lvlText w:val="•"/>
      <w:lvlJc w:val="left"/>
      <w:pPr>
        <w:ind w:left="969" w:hanging="360"/>
      </w:pPr>
      <w:rPr>
        <w:rFonts w:hint="default"/>
      </w:rPr>
    </w:lvl>
    <w:lvl w:ilvl="2">
      <w:start w:val="0"/>
      <w:numFmt w:val="bullet"/>
      <w:lvlText w:val="•"/>
      <w:lvlJc w:val="left"/>
      <w:pPr>
        <w:ind w:left="1479" w:hanging="360"/>
      </w:pPr>
      <w:rPr>
        <w:rFonts w:hint="default"/>
      </w:rPr>
    </w:lvl>
    <w:lvl w:ilvl="3">
      <w:start w:val="0"/>
      <w:numFmt w:val="bullet"/>
      <w:lvlText w:val="•"/>
      <w:lvlJc w:val="left"/>
      <w:pPr>
        <w:ind w:left="1988" w:hanging="360"/>
      </w:pPr>
      <w:rPr>
        <w:rFonts w:hint="default"/>
      </w:rPr>
    </w:lvl>
    <w:lvl w:ilvl="4">
      <w:start w:val="0"/>
      <w:numFmt w:val="bullet"/>
      <w:lvlText w:val="•"/>
      <w:lvlJc w:val="left"/>
      <w:pPr>
        <w:ind w:left="2498" w:hanging="360"/>
      </w:pPr>
      <w:rPr>
        <w:rFonts w:hint="default"/>
      </w:rPr>
    </w:lvl>
    <w:lvl w:ilvl="5">
      <w:start w:val="0"/>
      <w:numFmt w:val="bullet"/>
      <w:lvlText w:val="•"/>
      <w:lvlJc w:val="left"/>
      <w:pPr>
        <w:ind w:left="3007" w:hanging="360"/>
      </w:pPr>
      <w:rPr>
        <w:rFonts w:hint="default"/>
      </w:rPr>
    </w:lvl>
    <w:lvl w:ilvl="6">
      <w:start w:val="0"/>
      <w:numFmt w:val="bullet"/>
      <w:lvlText w:val="•"/>
      <w:lvlJc w:val="left"/>
      <w:pPr>
        <w:ind w:left="3517" w:hanging="360"/>
      </w:pPr>
      <w:rPr>
        <w:rFonts w:hint="default"/>
      </w:rPr>
    </w:lvl>
    <w:lvl w:ilvl="7">
      <w:start w:val="0"/>
      <w:numFmt w:val="bullet"/>
      <w:lvlText w:val="•"/>
      <w:lvlJc w:val="left"/>
      <w:pPr>
        <w:ind w:left="4026" w:hanging="360"/>
      </w:pPr>
      <w:rPr>
        <w:rFonts w:hint="default"/>
      </w:rPr>
    </w:lvl>
    <w:lvl w:ilvl="8">
      <w:start w:val="0"/>
      <w:numFmt w:val="bullet"/>
      <w:lvlText w:val="•"/>
      <w:lvlJc w:val="left"/>
      <w:pPr>
        <w:ind w:left="4536" w:hanging="360"/>
      </w:pPr>
      <w:rPr>
        <w:rFonts w:hint="default"/>
      </w:rPr>
    </w:lvl>
  </w:abstractNum>
  <w:abstractNum w:abstractNumId="9">
    <w:multiLevelType w:val="hybridMultilevel"/>
    <w:lvl w:ilvl="0">
      <w:start w:val="0"/>
      <w:numFmt w:val="bullet"/>
      <w:lvlText w:val=""/>
      <w:lvlJc w:val="left"/>
      <w:pPr>
        <w:ind w:left="468" w:hanging="360"/>
      </w:pPr>
      <w:rPr>
        <w:rFonts w:hint="default" w:ascii="Symbol" w:hAnsi="Symbol" w:eastAsia="Symbol" w:cs="Symbol"/>
        <w:w w:val="100"/>
        <w:sz w:val="21"/>
        <w:szCs w:val="21"/>
      </w:rPr>
    </w:lvl>
    <w:lvl w:ilvl="1">
      <w:start w:val="0"/>
      <w:numFmt w:val="bullet"/>
      <w:lvlText w:val="•"/>
      <w:lvlJc w:val="left"/>
      <w:pPr>
        <w:ind w:left="753" w:hanging="360"/>
      </w:pPr>
      <w:rPr>
        <w:rFonts w:hint="default"/>
      </w:rPr>
    </w:lvl>
    <w:lvl w:ilvl="2">
      <w:start w:val="0"/>
      <w:numFmt w:val="bullet"/>
      <w:lvlText w:val="•"/>
      <w:lvlJc w:val="left"/>
      <w:pPr>
        <w:ind w:left="1046" w:hanging="360"/>
      </w:pPr>
      <w:rPr>
        <w:rFonts w:hint="default"/>
      </w:rPr>
    </w:lvl>
    <w:lvl w:ilvl="3">
      <w:start w:val="0"/>
      <w:numFmt w:val="bullet"/>
      <w:lvlText w:val="•"/>
      <w:lvlJc w:val="left"/>
      <w:pPr>
        <w:ind w:left="1339" w:hanging="360"/>
      </w:pPr>
      <w:rPr>
        <w:rFonts w:hint="default"/>
      </w:rPr>
    </w:lvl>
    <w:lvl w:ilvl="4">
      <w:start w:val="0"/>
      <w:numFmt w:val="bullet"/>
      <w:lvlText w:val="•"/>
      <w:lvlJc w:val="left"/>
      <w:pPr>
        <w:ind w:left="1632" w:hanging="360"/>
      </w:pPr>
      <w:rPr>
        <w:rFonts w:hint="default"/>
      </w:rPr>
    </w:lvl>
    <w:lvl w:ilvl="5">
      <w:start w:val="0"/>
      <w:numFmt w:val="bullet"/>
      <w:lvlText w:val="•"/>
      <w:lvlJc w:val="left"/>
      <w:pPr>
        <w:ind w:left="1925" w:hanging="360"/>
      </w:pPr>
      <w:rPr>
        <w:rFonts w:hint="default"/>
      </w:rPr>
    </w:lvl>
    <w:lvl w:ilvl="6">
      <w:start w:val="0"/>
      <w:numFmt w:val="bullet"/>
      <w:lvlText w:val="•"/>
      <w:lvlJc w:val="left"/>
      <w:pPr>
        <w:ind w:left="2218" w:hanging="360"/>
      </w:pPr>
      <w:rPr>
        <w:rFonts w:hint="default"/>
      </w:rPr>
    </w:lvl>
    <w:lvl w:ilvl="7">
      <w:start w:val="0"/>
      <w:numFmt w:val="bullet"/>
      <w:lvlText w:val="•"/>
      <w:lvlJc w:val="left"/>
      <w:pPr>
        <w:ind w:left="2511" w:hanging="360"/>
      </w:pPr>
      <w:rPr>
        <w:rFonts w:hint="default"/>
      </w:rPr>
    </w:lvl>
    <w:lvl w:ilvl="8">
      <w:start w:val="0"/>
      <w:numFmt w:val="bullet"/>
      <w:lvlText w:val="•"/>
      <w:lvlJc w:val="left"/>
      <w:pPr>
        <w:ind w:left="2804" w:hanging="360"/>
      </w:pPr>
      <w:rPr>
        <w:rFonts w:hint="default"/>
      </w:rPr>
    </w:lvl>
  </w:abstractNum>
  <w:abstractNum w:abstractNumId="8">
    <w:multiLevelType w:val="hybridMultilevel"/>
    <w:lvl w:ilvl="0">
      <w:start w:val="0"/>
      <w:numFmt w:val="bullet"/>
      <w:lvlText w:val=""/>
      <w:lvlJc w:val="left"/>
      <w:pPr>
        <w:ind w:left="467" w:hanging="360"/>
      </w:pPr>
      <w:rPr>
        <w:rFonts w:hint="default" w:ascii="Wingdings" w:hAnsi="Wingdings" w:eastAsia="Wingdings" w:cs="Wingdings"/>
        <w:w w:val="100"/>
        <w:sz w:val="21"/>
        <w:szCs w:val="21"/>
      </w:rPr>
    </w:lvl>
    <w:lvl w:ilvl="1">
      <w:start w:val="0"/>
      <w:numFmt w:val="bullet"/>
      <w:lvlText w:val="•"/>
      <w:lvlJc w:val="left"/>
      <w:pPr>
        <w:ind w:left="969" w:hanging="360"/>
      </w:pPr>
      <w:rPr>
        <w:rFonts w:hint="default"/>
      </w:rPr>
    </w:lvl>
    <w:lvl w:ilvl="2">
      <w:start w:val="0"/>
      <w:numFmt w:val="bullet"/>
      <w:lvlText w:val="•"/>
      <w:lvlJc w:val="left"/>
      <w:pPr>
        <w:ind w:left="1479" w:hanging="360"/>
      </w:pPr>
      <w:rPr>
        <w:rFonts w:hint="default"/>
      </w:rPr>
    </w:lvl>
    <w:lvl w:ilvl="3">
      <w:start w:val="0"/>
      <w:numFmt w:val="bullet"/>
      <w:lvlText w:val="•"/>
      <w:lvlJc w:val="left"/>
      <w:pPr>
        <w:ind w:left="1988" w:hanging="360"/>
      </w:pPr>
      <w:rPr>
        <w:rFonts w:hint="default"/>
      </w:rPr>
    </w:lvl>
    <w:lvl w:ilvl="4">
      <w:start w:val="0"/>
      <w:numFmt w:val="bullet"/>
      <w:lvlText w:val="•"/>
      <w:lvlJc w:val="left"/>
      <w:pPr>
        <w:ind w:left="2498" w:hanging="360"/>
      </w:pPr>
      <w:rPr>
        <w:rFonts w:hint="default"/>
      </w:rPr>
    </w:lvl>
    <w:lvl w:ilvl="5">
      <w:start w:val="0"/>
      <w:numFmt w:val="bullet"/>
      <w:lvlText w:val="•"/>
      <w:lvlJc w:val="left"/>
      <w:pPr>
        <w:ind w:left="3007" w:hanging="360"/>
      </w:pPr>
      <w:rPr>
        <w:rFonts w:hint="default"/>
      </w:rPr>
    </w:lvl>
    <w:lvl w:ilvl="6">
      <w:start w:val="0"/>
      <w:numFmt w:val="bullet"/>
      <w:lvlText w:val="•"/>
      <w:lvlJc w:val="left"/>
      <w:pPr>
        <w:ind w:left="3517" w:hanging="360"/>
      </w:pPr>
      <w:rPr>
        <w:rFonts w:hint="default"/>
      </w:rPr>
    </w:lvl>
    <w:lvl w:ilvl="7">
      <w:start w:val="0"/>
      <w:numFmt w:val="bullet"/>
      <w:lvlText w:val="•"/>
      <w:lvlJc w:val="left"/>
      <w:pPr>
        <w:ind w:left="4026" w:hanging="360"/>
      </w:pPr>
      <w:rPr>
        <w:rFonts w:hint="default"/>
      </w:rPr>
    </w:lvl>
    <w:lvl w:ilvl="8">
      <w:start w:val="0"/>
      <w:numFmt w:val="bullet"/>
      <w:lvlText w:val="•"/>
      <w:lvlJc w:val="left"/>
      <w:pPr>
        <w:ind w:left="4536" w:hanging="360"/>
      </w:pPr>
      <w:rPr>
        <w:rFonts w:hint="default"/>
      </w:rPr>
    </w:lvl>
  </w:abstractNum>
  <w:abstractNum w:abstractNumId="7">
    <w:multiLevelType w:val="hybridMultilevel"/>
    <w:lvl w:ilvl="0">
      <w:start w:val="0"/>
      <w:numFmt w:val="bullet"/>
      <w:lvlText w:val=""/>
      <w:lvlJc w:val="left"/>
      <w:pPr>
        <w:ind w:left="467" w:hanging="360"/>
      </w:pPr>
      <w:rPr>
        <w:rFonts w:hint="default" w:ascii="Wingdings" w:hAnsi="Wingdings" w:eastAsia="Wingdings" w:cs="Wingdings"/>
        <w:w w:val="100"/>
        <w:sz w:val="21"/>
        <w:szCs w:val="21"/>
      </w:rPr>
    </w:lvl>
    <w:lvl w:ilvl="1">
      <w:start w:val="0"/>
      <w:numFmt w:val="bullet"/>
      <w:lvlText w:val="•"/>
      <w:lvlJc w:val="left"/>
      <w:pPr>
        <w:ind w:left="969" w:hanging="360"/>
      </w:pPr>
      <w:rPr>
        <w:rFonts w:hint="default"/>
      </w:rPr>
    </w:lvl>
    <w:lvl w:ilvl="2">
      <w:start w:val="0"/>
      <w:numFmt w:val="bullet"/>
      <w:lvlText w:val="•"/>
      <w:lvlJc w:val="left"/>
      <w:pPr>
        <w:ind w:left="1479" w:hanging="360"/>
      </w:pPr>
      <w:rPr>
        <w:rFonts w:hint="default"/>
      </w:rPr>
    </w:lvl>
    <w:lvl w:ilvl="3">
      <w:start w:val="0"/>
      <w:numFmt w:val="bullet"/>
      <w:lvlText w:val="•"/>
      <w:lvlJc w:val="left"/>
      <w:pPr>
        <w:ind w:left="1988" w:hanging="360"/>
      </w:pPr>
      <w:rPr>
        <w:rFonts w:hint="default"/>
      </w:rPr>
    </w:lvl>
    <w:lvl w:ilvl="4">
      <w:start w:val="0"/>
      <w:numFmt w:val="bullet"/>
      <w:lvlText w:val="•"/>
      <w:lvlJc w:val="left"/>
      <w:pPr>
        <w:ind w:left="2498" w:hanging="360"/>
      </w:pPr>
      <w:rPr>
        <w:rFonts w:hint="default"/>
      </w:rPr>
    </w:lvl>
    <w:lvl w:ilvl="5">
      <w:start w:val="0"/>
      <w:numFmt w:val="bullet"/>
      <w:lvlText w:val="•"/>
      <w:lvlJc w:val="left"/>
      <w:pPr>
        <w:ind w:left="3007" w:hanging="360"/>
      </w:pPr>
      <w:rPr>
        <w:rFonts w:hint="default"/>
      </w:rPr>
    </w:lvl>
    <w:lvl w:ilvl="6">
      <w:start w:val="0"/>
      <w:numFmt w:val="bullet"/>
      <w:lvlText w:val="•"/>
      <w:lvlJc w:val="left"/>
      <w:pPr>
        <w:ind w:left="3517" w:hanging="360"/>
      </w:pPr>
      <w:rPr>
        <w:rFonts w:hint="default"/>
      </w:rPr>
    </w:lvl>
    <w:lvl w:ilvl="7">
      <w:start w:val="0"/>
      <w:numFmt w:val="bullet"/>
      <w:lvlText w:val="•"/>
      <w:lvlJc w:val="left"/>
      <w:pPr>
        <w:ind w:left="4026" w:hanging="360"/>
      </w:pPr>
      <w:rPr>
        <w:rFonts w:hint="default"/>
      </w:rPr>
    </w:lvl>
    <w:lvl w:ilvl="8">
      <w:start w:val="0"/>
      <w:numFmt w:val="bullet"/>
      <w:lvlText w:val="•"/>
      <w:lvlJc w:val="left"/>
      <w:pPr>
        <w:ind w:left="4536" w:hanging="360"/>
      </w:pPr>
      <w:rPr>
        <w:rFonts w:hint="default"/>
      </w:rPr>
    </w:lvl>
  </w:abstractNum>
  <w:abstractNum w:abstractNumId="6">
    <w:multiLevelType w:val="hybridMultilevel"/>
    <w:lvl w:ilvl="0">
      <w:start w:val="0"/>
      <w:numFmt w:val="bullet"/>
      <w:lvlText w:val=""/>
      <w:lvlJc w:val="left"/>
      <w:pPr>
        <w:ind w:left="468" w:hanging="360"/>
      </w:pPr>
      <w:rPr>
        <w:rFonts w:hint="default" w:ascii="Symbol" w:hAnsi="Symbol" w:eastAsia="Symbol" w:cs="Symbol"/>
        <w:w w:val="100"/>
        <w:sz w:val="21"/>
        <w:szCs w:val="21"/>
      </w:rPr>
    </w:lvl>
    <w:lvl w:ilvl="1">
      <w:start w:val="0"/>
      <w:numFmt w:val="bullet"/>
      <w:lvlText w:val="•"/>
      <w:lvlJc w:val="left"/>
      <w:pPr>
        <w:ind w:left="753" w:hanging="360"/>
      </w:pPr>
      <w:rPr>
        <w:rFonts w:hint="default"/>
      </w:rPr>
    </w:lvl>
    <w:lvl w:ilvl="2">
      <w:start w:val="0"/>
      <w:numFmt w:val="bullet"/>
      <w:lvlText w:val="•"/>
      <w:lvlJc w:val="left"/>
      <w:pPr>
        <w:ind w:left="1046" w:hanging="360"/>
      </w:pPr>
      <w:rPr>
        <w:rFonts w:hint="default"/>
      </w:rPr>
    </w:lvl>
    <w:lvl w:ilvl="3">
      <w:start w:val="0"/>
      <w:numFmt w:val="bullet"/>
      <w:lvlText w:val="•"/>
      <w:lvlJc w:val="left"/>
      <w:pPr>
        <w:ind w:left="1339" w:hanging="360"/>
      </w:pPr>
      <w:rPr>
        <w:rFonts w:hint="default"/>
      </w:rPr>
    </w:lvl>
    <w:lvl w:ilvl="4">
      <w:start w:val="0"/>
      <w:numFmt w:val="bullet"/>
      <w:lvlText w:val="•"/>
      <w:lvlJc w:val="left"/>
      <w:pPr>
        <w:ind w:left="1632" w:hanging="360"/>
      </w:pPr>
      <w:rPr>
        <w:rFonts w:hint="default"/>
      </w:rPr>
    </w:lvl>
    <w:lvl w:ilvl="5">
      <w:start w:val="0"/>
      <w:numFmt w:val="bullet"/>
      <w:lvlText w:val="•"/>
      <w:lvlJc w:val="left"/>
      <w:pPr>
        <w:ind w:left="1925" w:hanging="360"/>
      </w:pPr>
      <w:rPr>
        <w:rFonts w:hint="default"/>
      </w:rPr>
    </w:lvl>
    <w:lvl w:ilvl="6">
      <w:start w:val="0"/>
      <w:numFmt w:val="bullet"/>
      <w:lvlText w:val="•"/>
      <w:lvlJc w:val="left"/>
      <w:pPr>
        <w:ind w:left="2218" w:hanging="360"/>
      </w:pPr>
      <w:rPr>
        <w:rFonts w:hint="default"/>
      </w:rPr>
    </w:lvl>
    <w:lvl w:ilvl="7">
      <w:start w:val="0"/>
      <w:numFmt w:val="bullet"/>
      <w:lvlText w:val="•"/>
      <w:lvlJc w:val="left"/>
      <w:pPr>
        <w:ind w:left="2511" w:hanging="360"/>
      </w:pPr>
      <w:rPr>
        <w:rFonts w:hint="default"/>
      </w:rPr>
    </w:lvl>
    <w:lvl w:ilvl="8">
      <w:start w:val="0"/>
      <w:numFmt w:val="bullet"/>
      <w:lvlText w:val="•"/>
      <w:lvlJc w:val="left"/>
      <w:pPr>
        <w:ind w:left="2804" w:hanging="360"/>
      </w:pPr>
      <w:rPr>
        <w:rFonts w:hint="default"/>
      </w:rPr>
    </w:lvl>
  </w:abstractNum>
  <w:abstractNum w:abstractNumId="5">
    <w:multiLevelType w:val="hybridMultilevel"/>
    <w:lvl w:ilvl="0">
      <w:start w:val="0"/>
      <w:numFmt w:val="bullet"/>
      <w:lvlText w:val=""/>
      <w:lvlJc w:val="left"/>
      <w:pPr>
        <w:ind w:left="467" w:hanging="360"/>
      </w:pPr>
      <w:rPr>
        <w:rFonts w:hint="default" w:ascii="Wingdings" w:hAnsi="Wingdings" w:eastAsia="Wingdings" w:cs="Wingdings"/>
        <w:w w:val="100"/>
        <w:sz w:val="21"/>
        <w:szCs w:val="21"/>
      </w:rPr>
    </w:lvl>
    <w:lvl w:ilvl="1">
      <w:start w:val="0"/>
      <w:numFmt w:val="bullet"/>
      <w:lvlText w:val="•"/>
      <w:lvlJc w:val="left"/>
      <w:pPr>
        <w:ind w:left="969" w:hanging="360"/>
      </w:pPr>
      <w:rPr>
        <w:rFonts w:hint="default"/>
      </w:rPr>
    </w:lvl>
    <w:lvl w:ilvl="2">
      <w:start w:val="0"/>
      <w:numFmt w:val="bullet"/>
      <w:lvlText w:val="•"/>
      <w:lvlJc w:val="left"/>
      <w:pPr>
        <w:ind w:left="1479" w:hanging="360"/>
      </w:pPr>
      <w:rPr>
        <w:rFonts w:hint="default"/>
      </w:rPr>
    </w:lvl>
    <w:lvl w:ilvl="3">
      <w:start w:val="0"/>
      <w:numFmt w:val="bullet"/>
      <w:lvlText w:val="•"/>
      <w:lvlJc w:val="left"/>
      <w:pPr>
        <w:ind w:left="1988" w:hanging="360"/>
      </w:pPr>
      <w:rPr>
        <w:rFonts w:hint="default"/>
      </w:rPr>
    </w:lvl>
    <w:lvl w:ilvl="4">
      <w:start w:val="0"/>
      <w:numFmt w:val="bullet"/>
      <w:lvlText w:val="•"/>
      <w:lvlJc w:val="left"/>
      <w:pPr>
        <w:ind w:left="2498" w:hanging="360"/>
      </w:pPr>
      <w:rPr>
        <w:rFonts w:hint="default"/>
      </w:rPr>
    </w:lvl>
    <w:lvl w:ilvl="5">
      <w:start w:val="0"/>
      <w:numFmt w:val="bullet"/>
      <w:lvlText w:val="•"/>
      <w:lvlJc w:val="left"/>
      <w:pPr>
        <w:ind w:left="3007" w:hanging="360"/>
      </w:pPr>
      <w:rPr>
        <w:rFonts w:hint="default"/>
      </w:rPr>
    </w:lvl>
    <w:lvl w:ilvl="6">
      <w:start w:val="0"/>
      <w:numFmt w:val="bullet"/>
      <w:lvlText w:val="•"/>
      <w:lvlJc w:val="left"/>
      <w:pPr>
        <w:ind w:left="3517" w:hanging="360"/>
      </w:pPr>
      <w:rPr>
        <w:rFonts w:hint="default"/>
      </w:rPr>
    </w:lvl>
    <w:lvl w:ilvl="7">
      <w:start w:val="0"/>
      <w:numFmt w:val="bullet"/>
      <w:lvlText w:val="•"/>
      <w:lvlJc w:val="left"/>
      <w:pPr>
        <w:ind w:left="4026" w:hanging="360"/>
      </w:pPr>
      <w:rPr>
        <w:rFonts w:hint="default"/>
      </w:rPr>
    </w:lvl>
    <w:lvl w:ilvl="8">
      <w:start w:val="0"/>
      <w:numFmt w:val="bullet"/>
      <w:lvlText w:val="•"/>
      <w:lvlJc w:val="left"/>
      <w:pPr>
        <w:ind w:left="4536" w:hanging="360"/>
      </w:pPr>
      <w:rPr>
        <w:rFonts w:hint="default"/>
      </w:rPr>
    </w:lvl>
  </w:abstractNum>
  <w:abstractNum w:abstractNumId="4">
    <w:multiLevelType w:val="hybridMultilevel"/>
    <w:lvl w:ilvl="0">
      <w:start w:val="0"/>
      <w:numFmt w:val="bullet"/>
      <w:lvlText w:val=""/>
      <w:lvlJc w:val="left"/>
      <w:pPr>
        <w:ind w:left="468" w:hanging="360"/>
      </w:pPr>
      <w:rPr>
        <w:rFonts w:hint="default" w:ascii="Symbol" w:hAnsi="Symbol" w:eastAsia="Symbol" w:cs="Symbol"/>
        <w:w w:val="100"/>
        <w:sz w:val="21"/>
        <w:szCs w:val="21"/>
      </w:rPr>
    </w:lvl>
    <w:lvl w:ilvl="1">
      <w:start w:val="0"/>
      <w:numFmt w:val="bullet"/>
      <w:lvlText w:val="•"/>
      <w:lvlJc w:val="left"/>
      <w:pPr>
        <w:ind w:left="753" w:hanging="360"/>
      </w:pPr>
      <w:rPr>
        <w:rFonts w:hint="default"/>
      </w:rPr>
    </w:lvl>
    <w:lvl w:ilvl="2">
      <w:start w:val="0"/>
      <w:numFmt w:val="bullet"/>
      <w:lvlText w:val="•"/>
      <w:lvlJc w:val="left"/>
      <w:pPr>
        <w:ind w:left="1046" w:hanging="360"/>
      </w:pPr>
      <w:rPr>
        <w:rFonts w:hint="default"/>
      </w:rPr>
    </w:lvl>
    <w:lvl w:ilvl="3">
      <w:start w:val="0"/>
      <w:numFmt w:val="bullet"/>
      <w:lvlText w:val="•"/>
      <w:lvlJc w:val="left"/>
      <w:pPr>
        <w:ind w:left="1339" w:hanging="360"/>
      </w:pPr>
      <w:rPr>
        <w:rFonts w:hint="default"/>
      </w:rPr>
    </w:lvl>
    <w:lvl w:ilvl="4">
      <w:start w:val="0"/>
      <w:numFmt w:val="bullet"/>
      <w:lvlText w:val="•"/>
      <w:lvlJc w:val="left"/>
      <w:pPr>
        <w:ind w:left="1632" w:hanging="360"/>
      </w:pPr>
      <w:rPr>
        <w:rFonts w:hint="default"/>
      </w:rPr>
    </w:lvl>
    <w:lvl w:ilvl="5">
      <w:start w:val="0"/>
      <w:numFmt w:val="bullet"/>
      <w:lvlText w:val="•"/>
      <w:lvlJc w:val="left"/>
      <w:pPr>
        <w:ind w:left="1925" w:hanging="360"/>
      </w:pPr>
      <w:rPr>
        <w:rFonts w:hint="default"/>
      </w:rPr>
    </w:lvl>
    <w:lvl w:ilvl="6">
      <w:start w:val="0"/>
      <w:numFmt w:val="bullet"/>
      <w:lvlText w:val="•"/>
      <w:lvlJc w:val="left"/>
      <w:pPr>
        <w:ind w:left="2218" w:hanging="360"/>
      </w:pPr>
      <w:rPr>
        <w:rFonts w:hint="default"/>
      </w:rPr>
    </w:lvl>
    <w:lvl w:ilvl="7">
      <w:start w:val="0"/>
      <w:numFmt w:val="bullet"/>
      <w:lvlText w:val="•"/>
      <w:lvlJc w:val="left"/>
      <w:pPr>
        <w:ind w:left="2511" w:hanging="360"/>
      </w:pPr>
      <w:rPr>
        <w:rFonts w:hint="default"/>
      </w:rPr>
    </w:lvl>
    <w:lvl w:ilvl="8">
      <w:start w:val="0"/>
      <w:numFmt w:val="bullet"/>
      <w:lvlText w:val="•"/>
      <w:lvlJc w:val="left"/>
      <w:pPr>
        <w:ind w:left="2804" w:hanging="360"/>
      </w:pPr>
      <w:rPr>
        <w:rFonts w:hint="default"/>
      </w:rPr>
    </w:lvl>
  </w:abstractNum>
  <w:abstractNum w:abstractNumId="3">
    <w:multiLevelType w:val="hybridMultilevel"/>
    <w:lvl w:ilvl="0">
      <w:start w:val="0"/>
      <w:numFmt w:val="bullet"/>
      <w:lvlText w:val=""/>
      <w:lvlJc w:val="left"/>
      <w:pPr>
        <w:ind w:left="467" w:hanging="360"/>
      </w:pPr>
      <w:rPr>
        <w:rFonts w:hint="default" w:ascii="Wingdings" w:hAnsi="Wingdings" w:eastAsia="Wingdings" w:cs="Wingdings"/>
        <w:w w:val="100"/>
        <w:sz w:val="21"/>
        <w:szCs w:val="21"/>
      </w:rPr>
    </w:lvl>
    <w:lvl w:ilvl="1">
      <w:start w:val="0"/>
      <w:numFmt w:val="bullet"/>
      <w:lvlText w:val="•"/>
      <w:lvlJc w:val="left"/>
      <w:pPr>
        <w:ind w:left="969" w:hanging="360"/>
      </w:pPr>
      <w:rPr>
        <w:rFonts w:hint="default"/>
      </w:rPr>
    </w:lvl>
    <w:lvl w:ilvl="2">
      <w:start w:val="0"/>
      <w:numFmt w:val="bullet"/>
      <w:lvlText w:val="•"/>
      <w:lvlJc w:val="left"/>
      <w:pPr>
        <w:ind w:left="1479" w:hanging="360"/>
      </w:pPr>
      <w:rPr>
        <w:rFonts w:hint="default"/>
      </w:rPr>
    </w:lvl>
    <w:lvl w:ilvl="3">
      <w:start w:val="0"/>
      <w:numFmt w:val="bullet"/>
      <w:lvlText w:val="•"/>
      <w:lvlJc w:val="left"/>
      <w:pPr>
        <w:ind w:left="1988" w:hanging="360"/>
      </w:pPr>
      <w:rPr>
        <w:rFonts w:hint="default"/>
      </w:rPr>
    </w:lvl>
    <w:lvl w:ilvl="4">
      <w:start w:val="0"/>
      <w:numFmt w:val="bullet"/>
      <w:lvlText w:val="•"/>
      <w:lvlJc w:val="left"/>
      <w:pPr>
        <w:ind w:left="2498" w:hanging="360"/>
      </w:pPr>
      <w:rPr>
        <w:rFonts w:hint="default"/>
      </w:rPr>
    </w:lvl>
    <w:lvl w:ilvl="5">
      <w:start w:val="0"/>
      <w:numFmt w:val="bullet"/>
      <w:lvlText w:val="•"/>
      <w:lvlJc w:val="left"/>
      <w:pPr>
        <w:ind w:left="3007" w:hanging="360"/>
      </w:pPr>
      <w:rPr>
        <w:rFonts w:hint="default"/>
      </w:rPr>
    </w:lvl>
    <w:lvl w:ilvl="6">
      <w:start w:val="0"/>
      <w:numFmt w:val="bullet"/>
      <w:lvlText w:val="•"/>
      <w:lvlJc w:val="left"/>
      <w:pPr>
        <w:ind w:left="3517" w:hanging="360"/>
      </w:pPr>
      <w:rPr>
        <w:rFonts w:hint="default"/>
      </w:rPr>
    </w:lvl>
    <w:lvl w:ilvl="7">
      <w:start w:val="0"/>
      <w:numFmt w:val="bullet"/>
      <w:lvlText w:val="•"/>
      <w:lvlJc w:val="left"/>
      <w:pPr>
        <w:ind w:left="4026" w:hanging="360"/>
      </w:pPr>
      <w:rPr>
        <w:rFonts w:hint="default"/>
      </w:rPr>
    </w:lvl>
    <w:lvl w:ilvl="8">
      <w:start w:val="0"/>
      <w:numFmt w:val="bullet"/>
      <w:lvlText w:val="•"/>
      <w:lvlJc w:val="left"/>
      <w:pPr>
        <w:ind w:left="4536" w:hanging="360"/>
      </w:pPr>
      <w:rPr>
        <w:rFonts w:hint="default"/>
      </w:rPr>
    </w:lvl>
  </w:abstractNum>
  <w:abstractNum w:abstractNumId="2">
    <w:multiLevelType w:val="hybridMultilevel"/>
    <w:lvl w:ilvl="0">
      <w:start w:val="1"/>
      <w:numFmt w:val="decimal"/>
      <w:lvlText w:val="%1."/>
      <w:lvlJc w:val="left"/>
      <w:pPr>
        <w:ind w:left="467" w:hanging="360"/>
        <w:jc w:val="left"/>
      </w:pPr>
      <w:rPr>
        <w:rFonts w:hint="default" w:ascii="Segoe UI" w:hAnsi="Segoe UI" w:eastAsia="Segoe UI" w:cs="Segoe UI"/>
        <w:spacing w:val="-2"/>
        <w:w w:val="100"/>
        <w:sz w:val="21"/>
        <w:szCs w:val="21"/>
      </w:rPr>
    </w:lvl>
    <w:lvl w:ilvl="1">
      <w:start w:val="0"/>
      <w:numFmt w:val="bullet"/>
      <w:lvlText w:val="•"/>
      <w:lvlJc w:val="left"/>
      <w:pPr>
        <w:ind w:left="1310" w:hanging="360"/>
      </w:pPr>
      <w:rPr>
        <w:rFonts w:hint="default"/>
      </w:rPr>
    </w:lvl>
    <w:lvl w:ilvl="2">
      <w:start w:val="0"/>
      <w:numFmt w:val="bullet"/>
      <w:lvlText w:val="•"/>
      <w:lvlJc w:val="left"/>
      <w:pPr>
        <w:ind w:left="2161" w:hanging="360"/>
      </w:pPr>
      <w:rPr>
        <w:rFonts w:hint="default"/>
      </w:rPr>
    </w:lvl>
    <w:lvl w:ilvl="3">
      <w:start w:val="0"/>
      <w:numFmt w:val="bullet"/>
      <w:lvlText w:val="•"/>
      <w:lvlJc w:val="left"/>
      <w:pPr>
        <w:ind w:left="3011" w:hanging="360"/>
      </w:pPr>
      <w:rPr>
        <w:rFonts w:hint="default"/>
      </w:rPr>
    </w:lvl>
    <w:lvl w:ilvl="4">
      <w:start w:val="0"/>
      <w:numFmt w:val="bullet"/>
      <w:lvlText w:val="•"/>
      <w:lvlJc w:val="left"/>
      <w:pPr>
        <w:ind w:left="3862" w:hanging="360"/>
      </w:pPr>
      <w:rPr>
        <w:rFonts w:hint="default"/>
      </w:rPr>
    </w:lvl>
    <w:lvl w:ilvl="5">
      <w:start w:val="0"/>
      <w:numFmt w:val="bullet"/>
      <w:lvlText w:val="•"/>
      <w:lvlJc w:val="left"/>
      <w:pPr>
        <w:ind w:left="4712" w:hanging="360"/>
      </w:pPr>
      <w:rPr>
        <w:rFonts w:hint="default"/>
      </w:rPr>
    </w:lvl>
    <w:lvl w:ilvl="6">
      <w:start w:val="0"/>
      <w:numFmt w:val="bullet"/>
      <w:lvlText w:val="•"/>
      <w:lvlJc w:val="left"/>
      <w:pPr>
        <w:ind w:left="5563" w:hanging="360"/>
      </w:pPr>
      <w:rPr>
        <w:rFonts w:hint="default"/>
      </w:rPr>
    </w:lvl>
    <w:lvl w:ilvl="7">
      <w:start w:val="0"/>
      <w:numFmt w:val="bullet"/>
      <w:lvlText w:val="•"/>
      <w:lvlJc w:val="left"/>
      <w:pPr>
        <w:ind w:left="6413" w:hanging="360"/>
      </w:pPr>
      <w:rPr>
        <w:rFonts w:hint="default"/>
      </w:rPr>
    </w:lvl>
    <w:lvl w:ilvl="8">
      <w:start w:val="0"/>
      <w:numFmt w:val="bullet"/>
      <w:lvlText w:val="•"/>
      <w:lvlJc w:val="left"/>
      <w:pPr>
        <w:ind w:left="7264" w:hanging="360"/>
      </w:pPr>
      <w:rPr>
        <w:rFonts w:hint="default"/>
      </w:rPr>
    </w:lvl>
  </w:abstractNum>
  <w:abstractNum w:abstractNumId="1">
    <w:multiLevelType w:val="hybridMultilevel"/>
    <w:lvl w:ilvl="0">
      <w:start w:val="0"/>
      <w:numFmt w:val="bullet"/>
      <w:lvlText w:val=""/>
      <w:lvlJc w:val="left"/>
      <w:pPr>
        <w:ind w:left="840" w:hanging="361"/>
      </w:pPr>
      <w:rPr>
        <w:rFonts w:hint="default" w:ascii="Wingdings" w:hAnsi="Wingdings" w:eastAsia="Wingdings" w:cs="Wingdings"/>
        <w:w w:val="100"/>
        <w:sz w:val="22"/>
        <w:szCs w:val="22"/>
      </w:rPr>
    </w:lvl>
    <w:lvl w:ilvl="1">
      <w:start w:val="0"/>
      <w:numFmt w:val="bullet"/>
      <w:lvlText w:val="•"/>
      <w:lvlJc w:val="left"/>
      <w:pPr>
        <w:ind w:left="1868" w:hanging="361"/>
      </w:pPr>
      <w:rPr>
        <w:rFonts w:hint="default"/>
      </w:rPr>
    </w:lvl>
    <w:lvl w:ilvl="2">
      <w:start w:val="0"/>
      <w:numFmt w:val="bullet"/>
      <w:lvlText w:val="•"/>
      <w:lvlJc w:val="left"/>
      <w:pPr>
        <w:ind w:left="2896" w:hanging="361"/>
      </w:pPr>
      <w:rPr>
        <w:rFonts w:hint="default"/>
      </w:rPr>
    </w:lvl>
    <w:lvl w:ilvl="3">
      <w:start w:val="0"/>
      <w:numFmt w:val="bullet"/>
      <w:lvlText w:val="•"/>
      <w:lvlJc w:val="left"/>
      <w:pPr>
        <w:ind w:left="3924" w:hanging="361"/>
      </w:pPr>
      <w:rPr>
        <w:rFonts w:hint="default"/>
      </w:rPr>
    </w:lvl>
    <w:lvl w:ilvl="4">
      <w:start w:val="0"/>
      <w:numFmt w:val="bullet"/>
      <w:lvlText w:val="•"/>
      <w:lvlJc w:val="left"/>
      <w:pPr>
        <w:ind w:left="4952" w:hanging="361"/>
      </w:pPr>
      <w:rPr>
        <w:rFonts w:hint="default"/>
      </w:rPr>
    </w:lvl>
    <w:lvl w:ilvl="5">
      <w:start w:val="0"/>
      <w:numFmt w:val="bullet"/>
      <w:lvlText w:val="•"/>
      <w:lvlJc w:val="left"/>
      <w:pPr>
        <w:ind w:left="5980" w:hanging="361"/>
      </w:pPr>
      <w:rPr>
        <w:rFonts w:hint="default"/>
      </w:rPr>
    </w:lvl>
    <w:lvl w:ilvl="6">
      <w:start w:val="0"/>
      <w:numFmt w:val="bullet"/>
      <w:lvlText w:val="•"/>
      <w:lvlJc w:val="left"/>
      <w:pPr>
        <w:ind w:left="7008" w:hanging="361"/>
      </w:pPr>
      <w:rPr>
        <w:rFonts w:hint="default"/>
      </w:rPr>
    </w:lvl>
    <w:lvl w:ilvl="7">
      <w:start w:val="0"/>
      <w:numFmt w:val="bullet"/>
      <w:lvlText w:val="•"/>
      <w:lvlJc w:val="left"/>
      <w:pPr>
        <w:ind w:left="8036" w:hanging="361"/>
      </w:pPr>
      <w:rPr>
        <w:rFonts w:hint="default"/>
      </w:rPr>
    </w:lvl>
    <w:lvl w:ilvl="8">
      <w:start w:val="0"/>
      <w:numFmt w:val="bullet"/>
      <w:lvlText w:val="•"/>
      <w:lvlJc w:val="left"/>
      <w:pPr>
        <w:ind w:left="9064" w:hanging="361"/>
      </w:pPr>
      <w:rPr>
        <w:rFonts w:hint="default"/>
      </w:rPr>
    </w:lvl>
  </w:abstractNum>
  <w:abstractNum w:abstractNumId="0">
    <w:multiLevelType w:val="hybridMultilevel"/>
    <w:lvl w:ilvl="0">
      <w:start w:val="0"/>
      <w:numFmt w:val="bullet"/>
      <w:lvlText w:val=""/>
      <w:lvlJc w:val="left"/>
      <w:pPr>
        <w:ind w:left="840" w:hanging="361"/>
      </w:pPr>
      <w:rPr>
        <w:rFonts w:hint="default" w:ascii="Symbol" w:hAnsi="Symbol" w:eastAsia="Symbol" w:cs="Symbol"/>
        <w:w w:val="100"/>
        <w:sz w:val="22"/>
        <w:szCs w:val="22"/>
      </w:rPr>
    </w:lvl>
    <w:lvl w:ilvl="1">
      <w:start w:val="0"/>
      <w:numFmt w:val="bullet"/>
      <w:lvlText w:val="•"/>
      <w:lvlJc w:val="left"/>
      <w:pPr>
        <w:ind w:left="1868" w:hanging="361"/>
      </w:pPr>
      <w:rPr>
        <w:rFonts w:hint="default"/>
      </w:rPr>
    </w:lvl>
    <w:lvl w:ilvl="2">
      <w:start w:val="0"/>
      <w:numFmt w:val="bullet"/>
      <w:lvlText w:val="•"/>
      <w:lvlJc w:val="left"/>
      <w:pPr>
        <w:ind w:left="2896" w:hanging="361"/>
      </w:pPr>
      <w:rPr>
        <w:rFonts w:hint="default"/>
      </w:rPr>
    </w:lvl>
    <w:lvl w:ilvl="3">
      <w:start w:val="0"/>
      <w:numFmt w:val="bullet"/>
      <w:lvlText w:val="•"/>
      <w:lvlJc w:val="left"/>
      <w:pPr>
        <w:ind w:left="3924" w:hanging="361"/>
      </w:pPr>
      <w:rPr>
        <w:rFonts w:hint="default"/>
      </w:rPr>
    </w:lvl>
    <w:lvl w:ilvl="4">
      <w:start w:val="0"/>
      <w:numFmt w:val="bullet"/>
      <w:lvlText w:val="•"/>
      <w:lvlJc w:val="left"/>
      <w:pPr>
        <w:ind w:left="4952" w:hanging="361"/>
      </w:pPr>
      <w:rPr>
        <w:rFonts w:hint="default"/>
      </w:rPr>
    </w:lvl>
    <w:lvl w:ilvl="5">
      <w:start w:val="0"/>
      <w:numFmt w:val="bullet"/>
      <w:lvlText w:val="•"/>
      <w:lvlJc w:val="left"/>
      <w:pPr>
        <w:ind w:left="5980" w:hanging="361"/>
      </w:pPr>
      <w:rPr>
        <w:rFonts w:hint="default"/>
      </w:rPr>
    </w:lvl>
    <w:lvl w:ilvl="6">
      <w:start w:val="0"/>
      <w:numFmt w:val="bullet"/>
      <w:lvlText w:val="•"/>
      <w:lvlJc w:val="left"/>
      <w:pPr>
        <w:ind w:left="7008" w:hanging="361"/>
      </w:pPr>
      <w:rPr>
        <w:rFonts w:hint="default"/>
      </w:rPr>
    </w:lvl>
    <w:lvl w:ilvl="7">
      <w:start w:val="0"/>
      <w:numFmt w:val="bullet"/>
      <w:lvlText w:val="•"/>
      <w:lvlJc w:val="left"/>
      <w:pPr>
        <w:ind w:left="8036" w:hanging="361"/>
      </w:pPr>
      <w:rPr>
        <w:rFonts w:hint="default"/>
      </w:rPr>
    </w:lvl>
    <w:lvl w:ilvl="8">
      <w:start w:val="0"/>
      <w:numFmt w:val="bullet"/>
      <w:lvlText w:val="•"/>
      <w:lvlJc w:val="left"/>
      <w:pPr>
        <w:ind w:left="9064" w:hanging="361"/>
      </w:pPr>
      <w:rPr>
        <w:rFonts w:hint="default"/>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rPr>
  </w:style>
  <w:style w:styleId="BodyText" w:type="paragraph">
    <w:name w:val="Body Text"/>
    <w:basedOn w:val="Normal"/>
    <w:uiPriority w:val="1"/>
    <w:qFormat/>
    <w:pPr>
      <w:ind w:left="840" w:hanging="361"/>
    </w:pPr>
    <w:rPr>
      <w:rFonts w:ascii="Segoe UI" w:hAnsi="Segoe UI" w:eastAsia="Segoe UI" w:cs="Segoe UI"/>
      <w:sz w:val="22"/>
      <w:szCs w:val="22"/>
    </w:rPr>
  </w:style>
  <w:style w:styleId="Heading1" w:type="paragraph">
    <w:name w:val="Heading 1"/>
    <w:basedOn w:val="Normal"/>
    <w:uiPriority w:val="1"/>
    <w:qFormat/>
    <w:pPr>
      <w:spacing w:before="20"/>
      <w:ind w:left="20"/>
      <w:outlineLvl w:val="1"/>
    </w:pPr>
    <w:rPr>
      <w:rFonts w:ascii="Segoe UI" w:hAnsi="Segoe UI" w:eastAsia="Segoe UI" w:cs="Segoe UI"/>
      <w:b/>
      <w:bCs/>
      <w:sz w:val="30"/>
      <w:szCs w:val="30"/>
    </w:rPr>
  </w:style>
  <w:style w:styleId="Heading2" w:type="paragraph">
    <w:name w:val="Heading 2"/>
    <w:basedOn w:val="Normal"/>
    <w:uiPriority w:val="1"/>
    <w:qFormat/>
    <w:pPr>
      <w:spacing w:before="161"/>
      <w:ind w:left="120"/>
      <w:outlineLvl w:val="2"/>
    </w:pPr>
    <w:rPr>
      <w:rFonts w:ascii="Segoe UI" w:hAnsi="Segoe UI" w:eastAsia="Segoe UI" w:cs="Segoe UI"/>
      <w:b/>
      <w:bCs/>
      <w:sz w:val="26"/>
      <w:szCs w:val="26"/>
    </w:rPr>
  </w:style>
  <w:style w:styleId="Heading3" w:type="paragraph">
    <w:name w:val="Heading 3"/>
    <w:basedOn w:val="Normal"/>
    <w:uiPriority w:val="1"/>
    <w:qFormat/>
    <w:pPr>
      <w:spacing w:before="120"/>
      <w:ind w:left="120"/>
      <w:outlineLvl w:val="3"/>
    </w:pPr>
    <w:rPr>
      <w:rFonts w:ascii="Segoe UI" w:hAnsi="Segoe UI" w:eastAsia="Segoe UI" w:cs="Segoe UI"/>
      <w:b/>
      <w:bCs/>
      <w:sz w:val="24"/>
      <w:szCs w:val="24"/>
    </w:rPr>
  </w:style>
  <w:style w:styleId="Heading4" w:type="paragraph">
    <w:name w:val="Heading 4"/>
    <w:basedOn w:val="Normal"/>
    <w:uiPriority w:val="1"/>
    <w:qFormat/>
    <w:pPr>
      <w:spacing w:before="129"/>
      <w:ind w:left="120"/>
      <w:outlineLvl w:val="4"/>
    </w:pPr>
    <w:rPr>
      <w:rFonts w:ascii="Segoe UI" w:hAnsi="Segoe UI" w:eastAsia="Segoe UI" w:cs="Segoe UI"/>
      <w:b/>
      <w:bCs/>
      <w:i/>
      <w:sz w:val="22"/>
      <w:szCs w:val="22"/>
    </w:rPr>
  </w:style>
  <w:style w:styleId="ListParagraph" w:type="paragraph">
    <w:name w:val="List Paragraph"/>
    <w:basedOn w:val="Normal"/>
    <w:uiPriority w:val="1"/>
    <w:qFormat/>
    <w:pPr>
      <w:ind w:left="840" w:hanging="361"/>
    </w:pPr>
    <w:rPr>
      <w:rFonts w:ascii="Segoe UI" w:hAnsi="Segoe UI" w:eastAsia="Segoe UI" w:cs="Segoe UI"/>
    </w:rPr>
  </w:style>
  <w:style w:styleId="TableParagraph" w:type="paragraph">
    <w:name w:val="Table Paragraph"/>
    <w:basedOn w:val="Normal"/>
    <w:uiPriority w:val="1"/>
    <w:qFormat/>
    <w:pPr>
      <w:ind w:left="107"/>
    </w:pPr>
    <w:rPr>
      <w:rFonts w:ascii="Segoe UI" w:hAnsi="Segoe UI" w:eastAsia="Segoe UI" w:cs="Segoe U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dpt2.samhsa.gov/treatment/directory.aspx" TargetMode="External"/><Relationship Id="rId8" Type="http://schemas.openxmlformats.org/officeDocument/2006/relationships/hyperlink" Target="https://www.bmcobat.org/training/register/" TargetMode="External"/><Relationship Id="rId9" Type="http://schemas.openxmlformats.org/officeDocument/2006/relationships/hyperlink" Target="https://pcssnow.org/medications-for-opioid-use-disorder/waiver-training-for-physicians/" TargetMode="External"/><Relationship Id="rId10" Type="http://schemas.openxmlformats.org/officeDocument/2006/relationships/hyperlink" Target="https://findtreatment.samhsa.gov/locator" TargetMode="External"/><Relationship Id="rId11" Type="http://schemas.openxmlformats.org/officeDocument/2006/relationships/hyperlink" Target="https://helplinema.org/" TargetMode="External"/><Relationship Id="rId12" Type="http://schemas.openxmlformats.org/officeDocument/2006/relationships/hyperlink" Target="https://echo.unm.edu/" TargetMode="External"/><Relationship Id="rId13" Type="http://schemas.openxmlformats.org/officeDocument/2006/relationships/hyperlink" Target="https://pcssnow.org/mentoring/" TargetMode="External"/><Relationship Id="rId14" Type="http://schemas.openxmlformats.org/officeDocument/2006/relationships/hyperlink" Target="https://www.hhs.gov/opioids/sites/default/files/2018-09/hhs-telemedicine-hhs-statement-final-508compliant.pdf" TargetMode="External"/><Relationship Id="rId15" Type="http://schemas.openxmlformats.org/officeDocument/2006/relationships/hyperlink" Target="https://www.hhs.gov/opioids/sites/default/files/2018-09/hhs-telemedicine-dea-final-508compliant.pdf" TargetMode="External"/><Relationship Id="rId16" Type="http://schemas.openxmlformats.org/officeDocument/2006/relationships/hyperlink" Target="https://nerna.org/" TargetMode="External"/><Relationship Id="rId17" Type="http://schemas.openxmlformats.org/officeDocument/2006/relationships/hyperlink" Target="https://www.nar-anon.org/find-a-group" TargetMode="External"/><Relationship Id="rId18" Type="http://schemas.openxmlformats.org/officeDocument/2006/relationships/hyperlink" Target="http://www.smartrecovery.org/" TargetMode="External"/><Relationship Id="rId19" Type="http://schemas.openxmlformats.org/officeDocument/2006/relationships/hyperlink" Target="http://draonline.qwknetllc.com/index.html" TargetMode="External"/><Relationship Id="rId20" Type="http://schemas.openxmlformats.org/officeDocument/2006/relationships/hyperlink" Target="https://www.moar-recovery.org/join-moar" TargetMode="External"/><Relationship Id="rId21" Type="http://schemas.openxmlformats.org/officeDocument/2006/relationships/hyperlink" Target="https://www.recoverybinder.org/resources/recovery-support-centers" TargetMode="External"/><Relationship Id="rId22" Type="http://schemas.openxmlformats.org/officeDocument/2006/relationships/hyperlink" Target="https://thephoenix.org/about-us/" TargetMode="External"/><Relationship Id="rId23" Type="http://schemas.openxmlformats.org/officeDocument/2006/relationships/hyperlink" Target="https://helplinema.org/?lang=es" TargetMode="External"/><Relationship Id="rId24" Type="http://schemas.openxmlformats.org/officeDocument/2006/relationships/hyperlink" Target="https://store.samhsa.gov/product/Federal-Guidelines-for-Opioid-Treatment-Programs/PEP15-FEDGUIDEOTP" TargetMode="External"/><Relationship Id="rId25" Type="http://schemas.openxmlformats.org/officeDocument/2006/relationships/hyperlink" Target="https://www.mass.gov/files/documents/2019/05/28/TeleBH%20brief_final.pdf" TargetMode="External"/><Relationship Id="rId26" Type="http://schemas.openxmlformats.org/officeDocument/2006/relationships/hyperlink" Target="https://rizema.org/resources/" TargetMode="External"/><Relationship Id="rId27" Type="http://schemas.openxmlformats.org/officeDocument/2006/relationships/hyperlink" Target="https://www.safeproject.us/playbook/" TargetMode="External"/><Relationship Id="rId28" Type="http://schemas.openxmlformats.org/officeDocument/2006/relationships/hyperlink" Target="http://www.na.org/admin/include/spaw2/uploads/pdf/pr/2306_NA_PRMAT_1021.pdf" TargetMode="External"/><Relationship Id="rId29" Type="http://schemas.openxmlformats.org/officeDocument/2006/relationships/hyperlink" Target="https://www.samhsa.gov/find-help/national-helpline" TargetMode="External"/><Relationship Id="rId30" Type="http://schemas.openxmlformats.org/officeDocument/2006/relationships/hyperlink" Target="http://www.gavinfoundation.org/programs/devine-recovery-center" TargetMode="External"/><Relationship Id="rId31" Type="http://schemas.openxmlformats.org/officeDocument/2006/relationships/hyperlink" Target="https://www.nar-anon.org/find-a-meeting" TargetMode="External"/><Relationship Id="rId32" Type="http://schemas.openxmlformats.org/officeDocument/2006/relationships/hyperlink" Target="https://www.smartrecovery.org/" TargetMode="External"/><Relationship Id="rId33" Type="http://schemas.openxmlformats.org/officeDocument/2006/relationships/hyperlink" Target="http://draonline.qwknetllc.com/l" TargetMode="External"/><Relationship Id="rId34" Type="http://schemas.openxmlformats.org/officeDocument/2006/relationships/hyperlink" Target="https://www.mass.gov/info-details/peer-recovery-support-centers" TargetMode="External"/><Relationship Id="rId3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www.mass.gov/dph/bhcs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Healthcentric Advisors</dc:creator>
  <dcterms:created xsi:type="dcterms:W3CDTF">2021-10-21T15:25:41Z</dcterms:created>
  <dcterms:modified xsi:type="dcterms:W3CDTF">2021-10-21T15:25:41Z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2021-10-21T00:00:00Z</vt:filetime>
  </property>
  <property fmtid="{D5CDD505-2E9C-101B-9397-08002B2CF9AE}" pid="3" name="Creator">
    <vt:lpwstr>Acrobat PDFMaker 17 for Word</vt:lpwstr>
  </property>
  <property fmtid="{D5CDD505-2E9C-101B-9397-08002B2CF9AE}" pid="4" name="LastSaved">
    <vt:filetime>2021-10-21T00:00:00Z</vt:filetime>
  </property>
</Properties>
</file>