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4AA0" w14:textId="77777777" w:rsidR="00473EAD" w:rsidRPr="0092004C" w:rsidRDefault="00473EAD" w:rsidP="00473EAD">
      <w:pPr>
        <w:pStyle w:val="Heading1"/>
      </w:pPr>
      <w:bookmarkStart w:id="0" w:name="_Toc120034123"/>
      <w:r w:rsidRPr="00235CF5">
        <w:t xml:space="preserve">Recomendación </w:t>
      </w:r>
      <w:r w:rsidRPr="0092004C">
        <w:t>5: recursos y asociaciones para toda la comunidad</w:t>
      </w:r>
      <w:bookmarkEnd w:id="0"/>
    </w:p>
    <w:p w14:paraId="3B77AFD2" w14:textId="77777777" w:rsidR="00473EAD" w:rsidRPr="0092004C" w:rsidRDefault="00473EAD" w:rsidP="00473EAD">
      <w:pPr>
        <w:pStyle w:val="Heading2"/>
        <w:spacing w:before="120"/>
      </w:pPr>
      <w:bookmarkStart w:id="1" w:name="_Toc120034124"/>
      <w:r w:rsidRPr="0092004C">
        <w:t>Descripción</w:t>
      </w:r>
      <w:bookmarkEnd w:id="1"/>
      <w:r w:rsidRPr="0092004C">
        <w:t xml:space="preserve"> </w:t>
      </w:r>
    </w:p>
    <w:p w14:paraId="79A0E101" w14:textId="77777777" w:rsidR="00473EAD" w:rsidRPr="00B77ADC" w:rsidRDefault="00473EAD" w:rsidP="00473EAD">
      <w:pPr>
        <w:pStyle w:val="MDPHParagraph"/>
        <w:spacing w:before="100" w:after="100"/>
      </w:pPr>
      <w:r w:rsidRPr="00B77ADC">
        <w:t xml:space="preserve">De acuerdo con la Administración de servicios para el abuso de sustancias y la salud mental (SAMHSA), los pacientes que presentan OUD y </w:t>
      </w:r>
      <w:proofErr w:type="spellStart"/>
      <w:r w:rsidRPr="00B77ADC">
        <w:t>StUD</w:t>
      </w:r>
      <w:proofErr w:type="spellEnd"/>
      <w:r w:rsidRPr="00B77ADC">
        <w:t xml:space="preserve"> deben “tener acceso a servicios de salud mental según sea necesario, atención médica y Asesoría para adicciones, al igual que servicios de apoyo para la recuperación, para complementar el tratamiento con medicamentos”.</w:t>
      </w:r>
      <w:r w:rsidRPr="00B77ADC">
        <w:rPr>
          <w:rStyle w:val="EndnoteReference"/>
        </w:rPr>
        <w:endnoteReference w:id="1"/>
      </w:r>
      <w:r w:rsidRPr="00B77ADC">
        <w:t xml:space="preserve"> Los LTCF pueden tener algunos recursos disponibles de forma interna. Muchos recursos vendrán de asociaciones con centros locales, como los OTP y los OBOT/OBAT, o grupos de la comunidad que proporcionan asistencia a aquellos con OUD o </w:t>
      </w:r>
      <w:proofErr w:type="spellStart"/>
      <w:r w:rsidRPr="00B77ADC">
        <w:t>StUD</w:t>
      </w:r>
      <w:proofErr w:type="spellEnd"/>
      <w:r w:rsidRPr="00B77ADC">
        <w:t>. El personal dentro de su centro debe estar consciente de forma general de los tipos de recursos disponibles</w:t>
      </w:r>
      <w:r w:rsidRPr="00B77ADC">
        <w:sym w:font="Symbol" w:char="F0BE"/>
      </w:r>
      <w:r w:rsidRPr="00B77ADC">
        <w:t>cuáles son, qué hacen y cómo encontrarlos.</w:t>
      </w:r>
    </w:p>
    <w:p w14:paraId="2BE4DBC6" w14:textId="77777777" w:rsidR="00473EAD" w:rsidRPr="0092004C" w:rsidRDefault="00473EAD" w:rsidP="00473EAD">
      <w:pPr>
        <w:pStyle w:val="Heading2"/>
        <w:spacing w:before="120"/>
      </w:pPr>
      <w:bookmarkStart w:id="2" w:name="_Toc120034125"/>
      <w:r w:rsidRPr="0092004C">
        <w:t>Objetivo</w:t>
      </w:r>
      <w:bookmarkEnd w:id="2"/>
    </w:p>
    <w:p w14:paraId="05D010E0" w14:textId="77777777" w:rsidR="00473EAD" w:rsidRPr="0092004C" w:rsidRDefault="00473EAD" w:rsidP="00473EAD">
      <w:pPr>
        <w:pStyle w:val="MDPHParagraph"/>
        <w:spacing w:before="100" w:after="100"/>
      </w:pPr>
      <w:r w:rsidRPr="0092004C">
        <w:t xml:space="preserve">El objetivo de esta sección es ayudarle a los LTCF a familiarizarse con y a aprender cómo conectar con los socios de tratamiento y los recursos de la comunidad para proporcionar una mejor atención a los residentes con OUD y </w:t>
      </w:r>
      <w:proofErr w:type="spellStart"/>
      <w:r w:rsidRPr="0092004C">
        <w:t>StUD</w:t>
      </w:r>
      <w:proofErr w:type="spellEnd"/>
      <w:r w:rsidRPr="0092004C">
        <w:t xml:space="preserve">. </w:t>
      </w:r>
    </w:p>
    <w:p w14:paraId="1A2421F7" w14:textId="77777777" w:rsidR="00473EAD" w:rsidRPr="0092004C" w:rsidRDefault="00473EAD" w:rsidP="00473EAD">
      <w:pPr>
        <w:pStyle w:val="Heading2"/>
        <w:spacing w:before="120"/>
      </w:pPr>
      <w:bookmarkStart w:id="3" w:name="_Toc120034126"/>
      <w:r w:rsidRPr="0092004C">
        <w:t>Objetivos</w:t>
      </w:r>
      <w:bookmarkEnd w:id="3"/>
    </w:p>
    <w:p w14:paraId="7737CA3B" w14:textId="77777777" w:rsidR="00473EAD" w:rsidRPr="0092004C" w:rsidRDefault="00473EAD" w:rsidP="00473EAD">
      <w:pPr>
        <w:pStyle w:val="MDPHParagraph"/>
      </w:pPr>
      <w:r w:rsidRPr="0092004C">
        <w:t>Al final de esta sección, los participantes serán capaces de:</w:t>
      </w:r>
    </w:p>
    <w:p w14:paraId="325640E8" w14:textId="77777777" w:rsidR="00473EAD" w:rsidRPr="0092004C" w:rsidRDefault="00473EAD" w:rsidP="00473EAD">
      <w:pPr>
        <w:pStyle w:val="MDPHBullet"/>
      </w:pPr>
      <w:r w:rsidRPr="0092004C">
        <w:t>Definir las funciones de los OTP y los OBOT/OBAT.</w:t>
      </w:r>
    </w:p>
    <w:p w14:paraId="3204C758" w14:textId="77777777" w:rsidR="00473EAD" w:rsidRPr="0092004C" w:rsidRDefault="00473EAD" w:rsidP="00473EAD">
      <w:pPr>
        <w:pStyle w:val="MDPHBullet"/>
      </w:pPr>
      <w:r w:rsidRPr="0092004C">
        <w:t>Reconocer los usos potenciales de telesalud.</w:t>
      </w:r>
    </w:p>
    <w:p w14:paraId="7C60443F" w14:textId="77777777" w:rsidR="00473EAD" w:rsidRPr="0092004C" w:rsidRDefault="00473EAD" w:rsidP="00473EAD">
      <w:pPr>
        <w:pStyle w:val="MDPHBullet"/>
      </w:pPr>
      <w:r w:rsidRPr="0092004C">
        <w:t>Identificar los recursos habituales de la comunidad.</w:t>
      </w:r>
    </w:p>
    <w:p w14:paraId="14271775" w14:textId="77777777" w:rsidR="00473EAD" w:rsidRPr="0092004C" w:rsidRDefault="00473EAD" w:rsidP="00473EAD">
      <w:pPr>
        <w:pStyle w:val="Heading2"/>
        <w:spacing w:before="120"/>
      </w:pPr>
      <w:bookmarkStart w:id="4" w:name="_Toc120034127"/>
      <w:r w:rsidRPr="0092004C">
        <w:t>Políticas</w:t>
      </w:r>
      <w:bookmarkEnd w:id="4"/>
    </w:p>
    <w:p w14:paraId="3ABB8CA4" w14:textId="77777777" w:rsidR="00473EAD" w:rsidRPr="0092004C" w:rsidRDefault="00473EAD" w:rsidP="00473EAD">
      <w:pPr>
        <w:pStyle w:val="ListParagraph"/>
        <w:numPr>
          <w:ilvl w:val="0"/>
          <w:numId w:val="9"/>
        </w:numPr>
        <w:rPr>
          <w:rFonts w:ascii="Segoe UI" w:hAnsi="Segoe UI" w:cs="Segoe UI"/>
        </w:rPr>
      </w:pPr>
      <w:r w:rsidRPr="0092004C">
        <w:rPr>
          <w:rFonts w:ascii="Segoe UI" w:hAnsi="Segoe UI"/>
        </w:rPr>
        <w:t xml:space="preserve">Incorporar una estrategia de comunicación dentro de las políticas y desarrollar un plan acerca de cómo usará los recursos para toda la comunidad en la atención a los residentes con OUD y </w:t>
      </w:r>
      <w:proofErr w:type="spellStart"/>
      <w:r w:rsidRPr="0092004C">
        <w:rPr>
          <w:rFonts w:ascii="Segoe UI" w:hAnsi="Segoe UI"/>
        </w:rPr>
        <w:t>StUD</w:t>
      </w:r>
      <w:proofErr w:type="spellEnd"/>
      <w:r w:rsidRPr="0092004C">
        <w:rPr>
          <w:rFonts w:ascii="Segoe UI" w:hAnsi="Segoe UI"/>
        </w:rPr>
        <w:t xml:space="preserve">. </w:t>
      </w:r>
    </w:p>
    <w:p w14:paraId="480F3EB4" w14:textId="77777777" w:rsidR="00473EAD" w:rsidRPr="0092004C" w:rsidRDefault="00473EAD" w:rsidP="00473EAD">
      <w:pPr>
        <w:pStyle w:val="ListParagraph"/>
        <w:numPr>
          <w:ilvl w:val="0"/>
          <w:numId w:val="9"/>
        </w:numPr>
        <w:rPr>
          <w:rFonts w:ascii="Segoe UI" w:hAnsi="Segoe UI" w:cs="Segoe UI"/>
        </w:rPr>
      </w:pPr>
      <w:r w:rsidRPr="0092004C">
        <w:rPr>
          <w:rFonts w:ascii="Segoe UI" w:hAnsi="Segoe UI"/>
        </w:rPr>
        <w:t>Desarrollar un Acuerdo de organización de servicio calificada (QSOA) con un OTP u OBOT/OBAT. (</w:t>
      </w:r>
      <w:hyperlink w:anchor="_Tip_6:_Transitions" w:history="1">
        <w:r w:rsidRPr="0092004C">
          <w:rPr>
            <w:rStyle w:val="Hyperlink"/>
            <w:rFonts w:ascii="Segoe UI" w:hAnsi="Segoe UI"/>
          </w:rPr>
          <w:t>Consulte Consejo 6</w:t>
        </w:r>
      </w:hyperlink>
      <w:r w:rsidRPr="0092004C">
        <w:rPr>
          <w:rFonts w:ascii="Segoe UI" w:hAnsi="Segoe UI"/>
        </w:rPr>
        <w:t>: Transiciones de atención para más detalles.)</w:t>
      </w:r>
    </w:p>
    <w:p w14:paraId="0BE5520A" w14:textId="77777777" w:rsidR="00473EAD" w:rsidRPr="0092004C" w:rsidRDefault="00473EAD" w:rsidP="00473EAD">
      <w:pPr>
        <w:pStyle w:val="Heading2"/>
        <w:spacing w:before="120"/>
      </w:pPr>
      <w:bookmarkStart w:id="5" w:name="_Toc120034128"/>
      <w:r w:rsidRPr="0092004C">
        <w:t>Proceso</w:t>
      </w:r>
      <w:bookmarkEnd w:id="5"/>
    </w:p>
    <w:p w14:paraId="77890A85" w14:textId="77777777" w:rsidR="00473EAD" w:rsidRPr="0092004C" w:rsidRDefault="00473EAD" w:rsidP="00473EAD">
      <w:pPr>
        <w:pStyle w:val="MDPHBullet"/>
      </w:pPr>
      <w:bookmarkStart w:id="6" w:name="_OTPs_and_OBOTs"/>
      <w:bookmarkEnd w:id="6"/>
      <w:r w:rsidRPr="0092004C">
        <w:t>Revise la sección de educación a continuación y los recursos relacionados.</w:t>
      </w:r>
    </w:p>
    <w:p w14:paraId="5F6575B1" w14:textId="77777777" w:rsidR="00473EAD" w:rsidRPr="0092004C" w:rsidRDefault="00473EAD" w:rsidP="00473EAD">
      <w:pPr>
        <w:pStyle w:val="MDPHBullet"/>
      </w:pPr>
      <w:r w:rsidRPr="0092004C">
        <w:t>Integre el uso de los recursos de la comunidad y de las asociaciones en su centro.</w:t>
      </w:r>
    </w:p>
    <w:p w14:paraId="5260FE5C" w14:textId="77777777" w:rsidR="00473EAD" w:rsidRPr="0092004C" w:rsidRDefault="00473EAD" w:rsidP="00473EAD">
      <w:pPr>
        <w:pStyle w:val="Heading3"/>
      </w:pPr>
      <w:bookmarkStart w:id="7" w:name="_Toc120034129"/>
      <w:r w:rsidRPr="0092004C">
        <w:t>Programas de tratamiento por consumo de opioides y Programas de Tratamiento por consumo de opioides en consultorio o de Tratamiento de adicción en consultorio</w:t>
      </w:r>
      <w:bookmarkEnd w:id="7"/>
      <w:r w:rsidRPr="0092004C">
        <w:t xml:space="preserve"> </w:t>
      </w:r>
    </w:p>
    <w:p w14:paraId="6E0B014F" w14:textId="77777777" w:rsidR="00473EAD" w:rsidRPr="00B77ADC" w:rsidRDefault="00473EAD" w:rsidP="00473EAD">
      <w:pPr>
        <w:pStyle w:val="MDPHParagraph"/>
      </w:pPr>
      <w:r w:rsidRPr="00B77ADC">
        <w:t>Los OTP y los OBOT/OBAT son los proveedores principales de MOUD. SAMHSA regula a los OTP y la solicitud de proveedores en los OBOT/OBAT para la exención de la Ley de tratamiento de adicción a drogas del 2000 (DATA) de la Agencia Federal Antinarcóticos (DEA</w:t>
      </w:r>
      <w:proofErr w:type="gramStart"/>
      <w:r w:rsidRPr="00B77ADC">
        <w:t>) .</w:t>
      </w:r>
      <w:proofErr w:type="gramEnd"/>
      <w:r w:rsidRPr="00B77ADC">
        <w:t xml:space="preserve"> El BSAS también regula a los OTP y los OBOT/OBAT, pero cada uno tiene su propia serie de reglas gobernantes. Debido a que los requerimientos de servicio de cada proveedor de tratamiento varían, es importante establecer un entendimiento claro de la relación del LTCF con el OTP u OBOT/OBAT tras la admisión de un residente con OUD. (Consulte </w:t>
      </w:r>
      <w:hyperlink w:anchor="_Tip_6:_Transitions" w:history="1">
        <w:r w:rsidRPr="00B77ADC">
          <w:rPr>
            <w:rStyle w:val="Hyperlink"/>
          </w:rPr>
          <w:t>el Consejo6</w:t>
        </w:r>
      </w:hyperlink>
      <w:r w:rsidRPr="00B77ADC">
        <w:t xml:space="preserve">: Transiciones de atención </w:t>
      </w:r>
      <w:r w:rsidRPr="00B77ADC">
        <w:lastRenderedPageBreak/>
        <w:t xml:space="preserve">para más detalles.) </w:t>
      </w:r>
    </w:p>
    <w:p w14:paraId="373E3780" w14:textId="77777777" w:rsidR="00473EAD" w:rsidRPr="0092004C" w:rsidRDefault="00473EAD" w:rsidP="00473EAD">
      <w:pPr>
        <w:pStyle w:val="Heading4"/>
        <w:rPr>
          <w:rFonts w:cs="Segoe UI"/>
        </w:rPr>
      </w:pPr>
      <w:r w:rsidRPr="0092004C">
        <w:t>Programa de tratamiento por consumo de opioides</w:t>
      </w:r>
    </w:p>
    <w:p w14:paraId="68E3F074" w14:textId="77777777" w:rsidR="00473EAD" w:rsidRPr="0092004C" w:rsidRDefault="00473EAD" w:rsidP="00473EAD">
      <w:pPr>
        <w:pStyle w:val="MDPHParagraph"/>
        <w:spacing w:before="100" w:after="100"/>
      </w:pPr>
      <w:r w:rsidRPr="0092004C">
        <w:t xml:space="preserve">Un OTP es un programa ambulatorio que proporciona servicios para tratar y administrar OUD en un ambiente clínico. Solo los OTP certificados de forma federal y los que tienen licencia pueden administrar metadona para el tratamiento de OUD. Los OTP también pueden administrar o aplicar otros medicamentos, incluyendo buprenorfina, buprenorfina/naloxona o naltrexona en sus instalaciones (consulte el </w:t>
      </w:r>
      <w:hyperlink w:anchor="_Appendix_1:_Comparison" w:history="1">
        <w:r w:rsidRPr="0092004C">
          <w:rPr>
            <w:rStyle w:val="Hyperlink"/>
          </w:rPr>
          <w:t>Cuadro de comparación de MOUD</w:t>
        </w:r>
      </w:hyperlink>
      <w:r w:rsidRPr="0092004C">
        <w:t xml:space="preserve">). Los OTP generalmente proporciona medicamentos en sus </w:t>
      </w:r>
      <w:proofErr w:type="gramStart"/>
      <w:r w:rsidRPr="0092004C">
        <w:t>instalaciones</w:t>
      </w:r>
      <w:proofErr w:type="gramEnd"/>
      <w:r w:rsidRPr="0092004C">
        <w:t xml:space="preserve"> pero pueden proporcionar medicamentos para tomarse en casa (dosis preparadas previamente) en función de cada caso. </w:t>
      </w:r>
    </w:p>
    <w:p w14:paraId="0B8C92DF" w14:textId="77777777" w:rsidR="00473EAD" w:rsidRPr="0092004C" w:rsidRDefault="00473EAD" w:rsidP="00473EAD">
      <w:pPr>
        <w:pStyle w:val="MDPHParagraph"/>
        <w:spacing w:before="100" w:after="100"/>
      </w:pPr>
      <w:r w:rsidRPr="0092004C">
        <w:t>En respuesta a la COVID-19, BSAS recibió una excepción general de SAMHSA a nombre de los OTP para dosis para tomar en casa de MOUD en junio de 2021.</w:t>
      </w:r>
      <w:r w:rsidRPr="0092004C">
        <w:rPr>
          <w:rStyle w:val="EndnoteReference"/>
        </w:rPr>
        <w:endnoteReference w:id="2"/>
      </w:r>
      <w:r w:rsidRPr="0092004C">
        <w:t xml:space="preserve"> SAMHSA permitió lo siguiente: hasta 28 días de medicamentos para tomarse en casa para todos los pacientes y hasta 14 días de medicamentos para tomarse en casa para aquellos pacientes que son inestables, pero el OTP cree que pueden administrar de forma segura este nivel de medicamentos para tomarse en casa.</w:t>
      </w:r>
      <w:r w:rsidRPr="0092004C">
        <w:rPr>
          <w:rStyle w:val="EndnoteReference"/>
        </w:rPr>
        <w:endnoteReference w:id="3"/>
      </w:r>
      <w:r w:rsidRPr="0092004C">
        <w:t xml:space="preserve"> También se requiere que los OTP proporcionen servicios integrados de salud emocional, social y de comportamiento, incluyendo Asesoría, tratamiento y educación acerca de control de desviación.</w:t>
      </w:r>
      <w:r w:rsidRPr="0092004C">
        <w:rPr>
          <w:rStyle w:val="EndnoteReference"/>
        </w:rPr>
        <w:endnoteReference w:id="4"/>
      </w:r>
      <w:r w:rsidRPr="0092004C">
        <w:t xml:space="preserve"> SAMHSA regula a los OTP y mantiene un </w:t>
      </w:r>
      <w:hyperlink r:id="rId7" w:history="1">
        <w:r w:rsidRPr="0092004C">
          <w:rPr>
            <w:rStyle w:val="Hyperlink"/>
          </w:rPr>
          <w:t>directorio</w:t>
        </w:r>
      </w:hyperlink>
      <w:r w:rsidRPr="0092004C">
        <w:t xml:space="preserve"> de clínicas por estado.</w:t>
      </w:r>
      <w:r w:rsidRPr="0092004C">
        <w:rPr>
          <w:rStyle w:val="EndnoteReference"/>
        </w:rPr>
        <w:endnoteReference w:id="5"/>
      </w:r>
      <w:r w:rsidRPr="0092004C">
        <w:t xml:space="preserve"> </w:t>
      </w:r>
    </w:p>
    <w:p w14:paraId="2AEB2ABD" w14:textId="77777777" w:rsidR="00473EAD" w:rsidRPr="0092004C" w:rsidRDefault="00473EAD" w:rsidP="00473EAD">
      <w:pPr>
        <w:pStyle w:val="Heading4"/>
        <w:rPr>
          <w:rFonts w:cs="Segoe UI"/>
        </w:rPr>
      </w:pPr>
      <w:r w:rsidRPr="0092004C">
        <w:t>Programas de tratamiento por consumo de opioides y Programas de Tratamiento por consumo de opioides en consultorio o de Tratamiento de adicción en consultorio</w:t>
      </w:r>
    </w:p>
    <w:p w14:paraId="1AD35134" w14:textId="77777777" w:rsidR="00473EAD" w:rsidRPr="0092004C" w:rsidRDefault="00473EAD" w:rsidP="00473EAD">
      <w:pPr>
        <w:pStyle w:val="MDPHParagraph"/>
        <w:spacing w:before="100" w:after="100"/>
      </w:pPr>
      <w:r w:rsidRPr="0092004C">
        <w:t>Un proveedor OBOT/OBAT es otro programa de tratamiento ambulatorio en el cual los profesionales de atención primaria específica o de atención médica general tienen permitido administrar o prescribir ciertos medicamentos para tratar OUD después de obtener una exención.</w:t>
      </w:r>
      <w:r w:rsidRPr="0092004C">
        <w:rPr>
          <w:rStyle w:val="EndnoteReference"/>
        </w:rPr>
        <w:endnoteReference w:id="6"/>
      </w:r>
      <w:r w:rsidRPr="0092004C">
        <w:t xml:space="preserve"> </w:t>
      </w:r>
    </w:p>
    <w:p w14:paraId="37DF08BD" w14:textId="77777777" w:rsidR="00473EAD" w:rsidRPr="0092004C" w:rsidRDefault="00473EAD" w:rsidP="00473EAD">
      <w:pPr>
        <w:pStyle w:val="MDPHParagraph"/>
        <w:spacing w:before="100" w:after="100"/>
      </w:pPr>
      <w:r w:rsidRPr="0092004C">
        <w:t xml:space="preserve">La exención DATA </w:t>
      </w:r>
      <w:proofErr w:type="gramStart"/>
      <w:r w:rsidRPr="0092004C">
        <w:t>le</w:t>
      </w:r>
      <w:proofErr w:type="gramEnd"/>
      <w:r w:rsidRPr="0092004C">
        <w:t xml:space="preserve"> permite a los profesionales, que cumplen con ciertos requisitos, tratar la adicción a opioides con medicamentos narcóticos de Anexo III, IV y V específicamente aprobados por la Administración de Alimentos y Medicamentos (FDA) para tal indicación. Los profesionales calificados incluyen médicos, enfermeros profesionales, enfermeros especialistas asistentes clínicos de médicos, enfermeros registrados certificados anestesiólogos y enfermeros parteros certificados. </w:t>
      </w:r>
    </w:p>
    <w:p w14:paraId="025F1421" w14:textId="77777777" w:rsidR="00473EAD" w:rsidRPr="0092004C" w:rsidRDefault="00473EAD" w:rsidP="00473EAD">
      <w:pPr>
        <w:pStyle w:val="MDPHParagraph"/>
        <w:spacing w:before="100" w:after="100"/>
      </w:pPr>
      <w:r w:rsidRPr="0092004C">
        <w:t xml:space="preserve">Los lineamientos de las prácticas actuales permiten a los profesionales calificados tratar hasta 30 pacientes sin la capacitación de Exención DATA si cumplen con los siguientes criterios: </w:t>
      </w:r>
    </w:p>
    <w:p w14:paraId="1493E4D2" w14:textId="77777777" w:rsidR="00473EAD" w:rsidRPr="0092004C" w:rsidRDefault="00473EAD" w:rsidP="00473EAD">
      <w:pPr>
        <w:pStyle w:val="MDPHParagraph"/>
        <w:numPr>
          <w:ilvl w:val="0"/>
          <w:numId w:val="6"/>
        </w:numPr>
      </w:pPr>
      <w:r w:rsidRPr="0092004C">
        <w:t xml:space="preserve">Debe ser un proveedor con licencia con registro de la DEA </w:t>
      </w:r>
    </w:p>
    <w:p w14:paraId="08BE13ED" w14:textId="77777777" w:rsidR="00473EAD" w:rsidRPr="0092004C" w:rsidRDefault="00473EAD" w:rsidP="00473EAD">
      <w:pPr>
        <w:pStyle w:val="MDPHParagraph"/>
        <w:numPr>
          <w:ilvl w:val="0"/>
          <w:numId w:val="6"/>
        </w:numPr>
      </w:pPr>
      <w:r w:rsidRPr="0092004C">
        <w:t xml:space="preserve">Debe registrar una carta de intención con el registro de SAMHSA y DEA </w:t>
      </w:r>
    </w:p>
    <w:p w14:paraId="7F0F2816" w14:textId="77777777" w:rsidR="00473EAD" w:rsidRPr="0092004C" w:rsidRDefault="00473EAD" w:rsidP="00473EAD">
      <w:pPr>
        <w:pStyle w:val="MDPHParagraph"/>
        <w:numPr>
          <w:ilvl w:val="0"/>
          <w:numId w:val="6"/>
        </w:numPr>
      </w:pPr>
      <w:r w:rsidRPr="0092004C">
        <w:t>Debe estar exento para recetar buprenorfina</w:t>
      </w:r>
    </w:p>
    <w:p w14:paraId="0381CEA7" w14:textId="77777777" w:rsidR="00473EAD" w:rsidRPr="0092004C" w:rsidRDefault="00473EAD" w:rsidP="00473EAD">
      <w:pPr>
        <w:pStyle w:val="MDPHParagraph"/>
      </w:pPr>
      <w:r w:rsidRPr="0092004C">
        <w:t>MDPH y el BSAS alientan a los proveedores a tomar la capacitación de Exención DATA; las opciones de capacitación incluyen:</w:t>
      </w:r>
    </w:p>
    <w:p w14:paraId="25E19D7C" w14:textId="77777777" w:rsidR="00473EAD" w:rsidRPr="0092004C" w:rsidRDefault="00473EAD" w:rsidP="00473EAD">
      <w:pPr>
        <w:pStyle w:val="MDPHParagraph"/>
        <w:numPr>
          <w:ilvl w:val="0"/>
          <w:numId w:val="11"/>
        </w:numPr>
        <w:rPr>
          <w:lang w:val="en-US"/>
        </w:rPr>
      </w:pPr>
      <w:hyperlink r:id="rId8" w:history="1">
        <w:r w:rsidRPr="0092004C">
          <w:rPr>
            <w:rStyle w:val="Hyperlink"/>
            <w:lang w:val="en-US"/>
          </w:rPr>
          <w:t>Boston Medical Center: OBAT Training and Technical Assistance + (OBAT TTA+)</w:t>
        </w:r>
      </w:hyperlink>
      <w:r w:rsidRPr="0092004C">
        <w:rPr>
          <w:lang w:val="en-US"/>
        </w:rPr>
        <w:t xml:space="preserve"> </w:t>
      </w:r>
    </w:p>
    <w:p w14:paraId="5B635618" w14:textId="77777777" w:rsidR="00473EAD" w:rsidRPr="0092004C" w:rsidRDefault="00473EAD" w:rsidP="00473EAD">
      <w:pPr>
        <w:pStyle w:val="MDPHParagraph"/>
        <w:numPr>
          <w:ilvl w:val="0"/>
          <w:numId w:val="11"/>
        </w:numPr>
      </w:pPr>
      <w:hyperlink r:id="rId9" w:history="1">
        <w:r w:rsidRPr="0092004C">
          <w:rPr>
            <w:rStyle w:val="Hyperlink"/>
          </w:rPr>
          <w:t>Proveedores Sistema de apoyo clínico Capacitación para médicos</w:t>
        </w:r>
      </w:hyperlink>
    </w:p>
    <w:p w14:paraId="0CEAAB77" w14:textId="77777777" w:rsidR="00473EAD" w:rsidRPr="0092004C" w:rsidRDefault="00473EAD" w:rsidP="00473EAD">
      <w:pPr>
        <w:pStyle w:val="MDPHParagraph"/>
      </w:pPr>
      <w:r w:rsidRPr="0092004C">
        <w:t xml:space="preserve">Los OBOT/OBAT pueden recetar buprenorfina, buprenorfina o naloxona como prescripciones para tomar en casa y administrar naltrexona en sus instalaciones (consulte el </w:t>
      </w:r>
      <w:hyperlink w:anchor="_Appendix_1:_Comparison" w:history="1">
        <w:r w:rsidRPr="0092004C">
          <w:rPr>
            <w:rStyle w:val="Hyperlink"/>
          </w:rPr>
          <w:t>cuadro de comparación MOUD</w:t>
        </w:r>
      </w:hyperlink>
      <w:r w:rsidRPr="0092004C">
        <w:t xml:space="preserve">). Se requiere que los OBOT/OBAT proporcionen servicios de salud emocional, social y de comportamiento integrados si tienen </w:t>
      </w:r>
      <w:r w:rsidRPr="0092004C">
        <w:lastRenderedPageBreak/>
        <w:t>una licencia de BSAS. Si no tienen una licencia de BSAS, se les anima a referir a los pacientes a los recursos pertinentes o a las subespecialidades médicas, según sea necesario.</w:t>
      </w:r>
      <w:r w:rsidRPr="0092004C">
        <w:rPr>
          <w:rStyle w:val="EndnoteReference"/>
        </w:rPr>
        <w:endnoteReference w:id="7"/>
      </w:r>
      <w:r w:rsidRPr="0092004C">
        <w:t xml:space="preserve"> </w:t>
      </w:r>
    </w:p>
    <w:p w14:paraId="21C0B86B" w14:textId="77777777" w:rsidR="00473EAD" w:rsidRPr="0092004C" w:rsidRDefault="00473EAD" w:rsidP="00473EAD">
      <w:pPr>
        <w:pStyle w:val="MDPHParagraph"/>
      </w:pPr>
      <w:r w:rsidRPr="0092004C">
        <w:t>SAMHSA administra las exenciones DATA</w:t>
      </w:r>
      <w:r w:rsidRPr="0092004C">
        <w:rPr>
          <w:rStyle w:val="EndnoteReference"/>
        </w:rPr>
        <w:endnoteReference w:id="8"/>
      </w:r>
      <w:r w:rsidRPr="0092004C">
        <w:t xml:space="preserve"> y mantiene una base de datos pública de datos conjuntos de exención,</w:t>
      </w:r>
      <w:r w:rsidRPr="0092004C">
        <w:rPr>
          <w:rStyle w:val="EndnoteReference"/>
        </w:rPr>
        <w:endnoteReference w:id="9"/>
      </w:r>
      <w:r w:rsidRPr="0092004C">
        <w:t xml:space="preserve"> una herramienta en línea de verificación para farmacéuticos</w:t>
      </w:r>
      <w:r w:rsidRPr="0092004C">
        <w:rPr>
          <w:rStyle w:val="EndnoteReference"/>
        </w:rPr>
        <w:endnoteReference w:id="10"/>
      </w:r>
      <w:r w:rsidRPr="0092004C">
        <w:t xml:space="preserve"> y un </w:t>
      </w:r>
      <w:hyperlink r:id="rId10" w:history="1">
        <w:r w:rsidRPr="0092004C">
          <w:rPr>
            <w:rStyle w:val="Hyperlink"/>
          </w:rPr>
          <w:t>mapa</w:t>
        </w:r>
      </w:hyperlink>
      <w:r w:rsidRPr="0092004C">
        <w:t xml:space="preserve"> donde puede encontrar un “médico de buprenorfina”.</w:t>
      </w:r>
      <w:r w:rsidRPr="0092004C">
        <w:rPr>
          <w:rStyle w:val="EndnoteReference"/>
        </w:rPr>
        <w:endnoteReference w:id="11"/>
      </w:r>
      <w:r w:rsidRPr="0092004C">
        <w:t xml:space="preserve"> </w:t>
      </w:r>
    </w:p>
    <w:p w14:paraId="796F9F95" w14:textId="77777777" w:rsidR="00473EAD" w:rsidRDefault="00473EAD" w:rsidP="00473EAD">
      <w:pPr>
        <w:pStyle w:val="MDPHParagraph"/>
      </w:pPr>
      <w:r w:rsidRPr="0092004C">
        <w:t>Puede conectar con los OTP y los OBOT/OBAT locales a través de la Línea de ayuda de uso de sustancias de Massachusetts, 1-800-327-5050,</w:t>
      </w:r>
      <w:r w:rsidRPr="0092004C">
        <w:rPr>
          <w:rStyle w:val="EndnoteReference"/>
        </w:rPr>
        <w:endnoteReference w:id="12"/>
      </w:r>
      <w:r w:rsidRPr="0092004C">
        <w:t xml:space="preserve"> o la Línea de ayuda nacional de SAMHSA, 1-800-662-HELP (4357).</w:t>
      </w:r>
      <w:r w:rsidRPr="0092004C">
        <w:rPr>
          <w:rStyle w:val="EndnoteReference"/>
        </w:rPr>
        <w:endnoteReference w:id="13"/>
      </w:r>
    </w:p>
    <w:p w14:paraId="4A4A189B" w14:textId="77777777" w:rsidR="00473EAD" w:rsidRPr="0092004C" w:rsidRDefault="00473EAD" w:rsidP="00473EAD">
      <w:pPr>
        <w:pStyle w:val="Heading4"/>
        <w:spacing w:before="240"/>
        <w:rPr>
          <w:rFonts w:cs="Segoe UI"/>
        </w:rPr>
      </w:pPr>
      <w:r w:rsidRPr="0092004C">
        <w:t>A simple vista: Programas de tratamiento por consumo de opioides versus Programas de Tratamiento por consumo de opioides en consultorio o de Tratamiento de adicción en consultorio</w:t>
      </w:r>
    </w:p>
    <w:tbl>
      <w:tblPr>
        <w:tblW w:w="0" w:type="auto"/>
        <w:jc w:val="cente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3744"/>
        <w:gridCol w:w="2721"/>
        <w:gridCol w:w="4315"/>
      </w:tblGrid>
      <w:tr w:rsidR="00473EAD" w:rsidRPr="0092004C" w14:paraId="1402DB5E" w14:textId="77777777" w:rsidTr="005858FB">
        <w:trPr>
          <w:cantSplit/>
          <w:trHeight w:val="360"/>
          <w:jc w:val="center"/>
        </w:trPr>
        <w:tc>
          <w:tcPr>
            <w:tcW w:w="0" w:type="auto"/>
            <w:vAlign w:val="center"/>
          </w:tcPr>
          <w:p w14:paraId="179EC75B" w14:textId="77777777" w:rsidR="00473EAD" w:rsidRPr="0092004C" w:rsidRDefault="00473EAD" w:rsidP="005858FB">
            <w:pPr>
              <w:rPr>
                <w:rFonts w:ascii="Segoe UI" w:hAnsi="Segoe UI" w:cs="Segoe UI"/>
                <w:sz w:val="21"/>
                <w:szCs w:val="21"/>
              </w:rPr>
            </w:pPr>
          </w:p>
        </w:tc>
        <w:tc>
          <w:tcPr>
            <w:tcW w:w="2721" w:type="dxa"/>
            <w:shd w:val="clear" w:color="auto" w:fill="auto"/>
            <w:vAlign w:val="center"/>
          </w:tcPr>
          <w:p w14:paraId="4152A7C1" w14:textId="77777777" w:rsidR="00473EAD" w:rsidRPr="0092004C" w:rsidRDefault="00473EAD" w:rsidP="005858FB">
            <w:pPr>
              <w:rPr>
                <w:rFonts w:ascii="Segoe UI" w:hAnsi="Segoe UI" w:cs="Segoe UI"/>
                <w:b/>
                <w:szCs w:val="21"/>
              </w:rPr>
            </w:pPr>
            <w:r w:rsidRPr="0092004C">
              <w:rPr>
                <w:rFonts w:ascii="Segoe UI" w:hAnsi="Segoe UI"/>
                <w:b/>
              </w:rPr>
              <w:t>OTP</w:t>
            </w:r>
          </w:p>
        </w:tc>
        <w:tc>
          <w:tcPr>
            <w:tcW w:w="4315" w:type="dxa"/>
            <w:shd w:val="clear" w:color="auto" w:fill="auto"/>
            <w:vAlign w:val="center"/>
          </w:tcPr>
          <w:p w14:paraId="1AFA6BB6" w14:textId="77777777" w:rsidR="00473EAD" w:rsidRPr="0092004C" w:rsidRDefault="00473EAD" w:rsidP="005858FB">
            <w:pPr>
              <w:rPr>
                <w:rFonts w:ascii="Segoe UI" w:hAnsi="Segoe UI" w:cs="Segoe UI"/>
                <w:b/>
                <w:color w:val="C45911" w:themeColor="accent2" w:themeShade="BF"/>
                <w:szCs w:val="21"/>
              </w:rPr>
            </w:pPr>
            <w:r w:rsidRPr="0092004C">
              <w:rPr>
                <w:rFonts w:ascii="Segoe UI" w:hAnsi="Segoe UI"/>
                <w:b/>
              </w:rPr>
              <w:t>OBOT/OBAT</w:t>
            </w:r>
          </w:p>
        </w:tc>
      </w:tr>
      <w:tr w:rsidR="00473EAD" w:rsidRPr="0092004C" w14:paraId="278E222D" w14:textId="77777777" w:rsidTr="005858FB">
        <w:trPr>
          <w:cantSplit/>
          <w:trHeight w:val="360"/>
          <w:jc w:val="center"/>
        </w:trPr>
        <w:tc>
          <w:tcPr>
            <w:tcW w:w="0" w:type="auto"/>
            <w:gridSpan w:val="3"/>
            <w:shd w:val="clear" w:color="auto" w:fill="4376BB"/>
            <w:vAlign w:val="center"/>
          </w:tcPr>
          <w:p w14:paraId="4CA66C1B" w14:textId="77777777" w:rsidR="00473EAD" w:rsidRPr="0092004C" w:rsidRDefault="00473EAD" w:rsidP="005858FB">
            <w:pPr>
              <w:rPr>
                <w:rFonts w:ascii="Segoe UI" w:hAnsi="Segoe UI" w:cs="Segoe UI"/>
                <w:b/>
                <w:color w:val="FFFFFF" w:themeColor="background1"/>
                <w:szCs w:val="21"/>
              </w:rPr>
            </w:pPr>
            <w:r w:rsidRPr="0092004C">
              <w:rPr>
                <w:rFonts w:ascii="Segoe UI" w:hAnsi="Segoe UI"/>
                <w:b/>
                <w:color w:val="FFFFFF" w:themeColor="background1"/>
              </w:rPr>
              <w:t>Se les permite ofrecer…</w:t>
            </w:r>
          </w:p>
        </w:tc>
      </w:tr>
      <w:tr w:rsidR="00473EAD" w:rsidRPr="0092004C" w14:paraId="610D74CD" w14:textId="77777777" w:rsidTr="005858FB">
        <w:trPr>
          <w:cantSplit/>
          <w:trHeight w:val="360"/>
          <w:jc w:val="center"/>
        </w:trPr>
        <w:tc>
          <w:tcPr>
            <w:tcW w:w="0" w:type="auto"/>
            <w:shd w:val="clear" w:color="auto" w:fill="CAD9EC"/>
            <w:vAlign w:val="center"/>
          </w:tcPr>
          <w:p w14:paraId="12C1CE13" w14:textId="77777777" w:rsidR="00473EAD" w:rsidRPr="0092004C" w:rsidRDefault="00473EAD" w:rsidP="005858FB">
            <w:pPr>
              <w:rPr>
                <w:rFonts w:ascii="Segoe UI" w:hAnsi="Segoe UI" w:cs="Segoe UI"/>
                <w:sz w:val="21"/>
                <w:szCs w:val="21"/>
              </w:rPr>
            </w:pPr>
            <w:r w:rsidRPr="0092004C">
              <w:rPr>
                <w:rFonts w:ascii="Segoe UI" w:hAnsi="Segoe UI"/>
                <w:sz w:val="21"/>
              </w:rPr>
              <w:t>Tratamiento en sus instalaciones</w:t>
            </w:r>
          </w:p>
        </w:tc>
        <w:tc>
          <w:tcPr>
            <w:tcW w:w="2721" w:type="dxa"/>
            <w:shd w:val="clear" w:color="auto" w:fill="auto"/>
            <w:vAlign w:val="center"/>
          </w:tcPr>
          <w:p w14:paraId="300B6B72" w14:textId="77777777" w:rsidR="00473EAD" w:rsidRPr="0092004C" w:rsidRDefault="00473EAD" w:rsidP="005858FB">
            <w:pPr>
              <w:rPr>
                <w:rFonts w:ascii="Segoe UI" w:hAnsi="Segoe UI" w:cs="Segoe UI"/>
                <w:sz w:val="21"/>
                <w:szCs w:val="21"/>
              </w:rPr>
            </w:pPr>
            <w:r w:rsidRPr="0092004C">
              <w:rPr>
                <w:rFonts w:ascii="Segoe UI" w:hAnsi="Segoe UI"/>
                <w:sz w:val="21"/>
              </w:rPr>
              <w:t xml:space="preserve">Sí </w:t>
            </w:r>
          </w:p>
        </w:tc>
        <w:tc>
          <w:tcPr>
            <w:tcW w:w="4315" w:type="dxa"/>
            <w:shd w:val="clear" w:color="auto" w:fill="auto"/>
            <w:vAlign w:val="center"/>
          </w:tcPr>
          <w:p w14:paraId="4125C543" w14:textId="77777777" w:rsidR="00473EAD" w:rsidRPr="0092004C" w:rsidRDefault="00473EAD" w:rsidP="005858FB">
            <w:pPr>
              <w:rPr>
                <w:rFonts w:ascii="Segoe UI" w:hAnsi="Segoe UI" w:cs="Segoe UI"/>
                <w:sz w:val="21"/>
                <w:szCs w:val="21"/>
              </w:rPr>
            </w:pPr>
            <w:r w:rsidRPr="0092004C">
              <w:rPr>
                <w:rFonts w:ascii="Segoe UI" w:hAnsi="Segoe UI"/>
                <w:sz w:val="21"/>
              </w:rPr>
              <w:t>Sí</w:t>
            </w:r>
          </w:p>
        </w:tc>
      </w:tr>
      <w:tr w:rsidR="00473EAD" w:rsidRPr="0092004C" w14:paraId="32124669" w14:textId="77777777" w:rsidTr="005858FB">
        <w:trPr>
          <w:cantSplit/>
          <w:trHeight w:val="360"/>
          <w:jc w:val="center"/>
        </w:trPr>
        <w:tc>
          <w:tcPr>
            <w:tcW w:w="0" w:type="auto"/>
            <w:shd w:val="clear" w:color="auto" w:fill="CAD9EC"/>
            <w:vAlign w:val="center"/>
          </w:tcPr>
          <w:p w14:paraId="5C46D807" w14:textId="77777777" w:rsidR="00473EAD" w:rsidRPr="0092004C" w:rsidRDefault="00473EAD" w:rsidP="005858FB">
            <w:pPr>
              <w:rPr>
                <w:rFonts w:ascii="Segoe UI" w:hAnsi="Segoe UI" w:cs="Segoe UI"/>
                <w:sz w:val="21"/>
                <w:szCs w:val="21"/>
              </w:rPr>
            </w:pPr>
            <w:r w:rsidRPr="0092004C">
              <w:rPr>
                <w:rFonts w:ascii="Segoe UI" w:hAnsi="Segoe UI"/>
                <w:sz w:val="21"/>
              </w:rPr>
              <w:t>Tratamiento para usar en casa</w:t>
            </w:r>
          </w:p>
        </w:tc>
        <w:tc>
          <w:tcPr>
            <w:tcW w:w="2721" w:type="dxa"/>
            <w:shd w:val="clear" w:color="auto" w:fill="auto"/>
            <w:vAlign w:val="center"/>
          </w:tcPr>
          <w:p w14:paraId="24DA728A" w14:textId="77777777" w:rsidR="00473EAD" w:rsidRPr="0092004C" w:rsidRDefault="00473EAD" w:rsidP="005858FB">
            <w:pPr>
              <w:rPr>
                <w:rFonts w:ascii="Segoe UI" w:hAnsi="Segoe UI" w:cs="Segoe UI"/>
                <w:sz w:val="21"/>
                <w:szCs w:val="21"/>
              </w:rPr>
            </w:pPr>
            <w:r w:rsidRPr="0092004C">
              <w:rPr>
                <w:rFonts w:ascii="Segoe UI" w:hAnsi="Segoe UI"/>
                <w:sz w:val="21"/>
              </w:rPr>
              <w:t>Sí (con base a la decisión del proveedor del OTP por paciente individual, según lo requieren las regulaciones federales)</w:t>
            </w:r>
          </w:p>
        </w:tc>
        <w:tc>
          <w:tcPr>
            <w:tcW w:w="4315" w:type="dxa"/>
            <w:shd w:val="clear" w:color="auto" w:fill="auto"/>
            <w:vAlign w:val="center"/>
          </w:tcPr>
          <w:p w14:paraId="6B68E47B" w14:textId="77777777" w:rsidR="00473EAD" w:rsidRPr="0092004C" w:rsidRDefault="00473EAD" w:rsidP="005858FB">
            <w:pPr>
              <w:rPr>
                <w:rFonts w:ascii="Segoe UI" w:hAnsi="Segoe UI" w:cs="Segoe UI"/>
                <w:sz w:val="21"/>
                <w:szCs w:val="21"/>
              </w:rPr>
            </w:pPr>
            <w:r w:rsidRPr="0092004C">
              <w:rPr>
                <w:rFonts w:ascii="Segoe UI" w:hAnsi="Segoe UI"/>
                <w:sz w:val="21"/>
              </w:rPr>
              <w:t>Sí</w:t>
            </w:r>
            <w:r w:rsidRPr="0092004C">
              <w:rPr>
                <w:rFonts w:ascii="Segoe UI" w:hAnsi="Segoe UI"/>
                <w:sz w:val="21"/>
                <w:szCs w:val="21"/>
              </w:rPr>
              <w:tab/>
            </w:r>
          </w:p>
        </w:tc>
      </w:tr>
      <w:tr w:rsidR="00473EAD" w:rsidRPr="0092004C" w14:paraId="2E2680C6" w14:textId="77777777" w:rsidTr="005858FB">
        <w:trPr>
          <w:cantSplit/>
          <w:trHeight w:val="360"/>
          <w:jc w:val="center"/>
        </w:trPr>
        <w:tc>
          <w:tcPr>
            <w:tcW w:w="0" w:type="auto"/>
            <w:shd w:val="clear" w:color="auto" w:fill="CAD9EC"/>
            <w:vAlign w:val="center"/>
          </w:tcPr>
          <w:p w14:paraId="0223EA36" w14:textId="77777777" w:rsidR="00473EAD" w:rsidRPr="0092004C" w:rsidRDefault="00473EAD" w:rsidP="005858FB">
            <w:pPr>
              <w:rPr>
                <w:rFonts w:ascii="Segoe UI" w:hAnsi="Segoe UI" w:cs="Segoe UI"/>
                <w:sz w:val="21"/>
                <w:szCs w:val="21"/>
              </w:rPr>
            </w:pPr>
            <w:r w:rsidRPr="0092004C">
              <w:rPr>
                <w:rFonts w:ascii="Segoe UI" w:hAnsi="Segoe UI"/>
                <w:sz w:val="21"/>
              </w:rPr>
              <w:t>Metadona</w:t>
            </w:r>
          </w:p>
        </w:tc>
        <w:tc>
          <w:tcPr>
            <w:tcW w:w="2721" w:type="dxa"/>
            <w:shd w:val="clear" w:color="auto" w:fill="auto"/>
            <w:vAlign w:val="center"/>
          </w:tcPr>
          <w:p w14:paraId="36DCD8B5" w14:textId="77777777" w:rsidR="00473EAD" w:rsidRPr="0092004C" w:rsidRDefault="00473EAD" w:rsidP="005858FB">
            <w:pPr>
              <w:rPr>
                <w:rFonts w:ascii="Segoe UI" w:hAnsi="Segoe UI" w:cs="Segoe UI"/>
                <w:sz w:val="21"/>
                <w:szCs w:val="21"/>
              </w:rPr>
            </w:pPr>
            <w:r w:rsidRPr="0092004C">
              <w:rPr>
                <w:rFonts w:ascii="Segoe UI" w:hAnsi="Segoe UI"/>
                <w:sz w:val="21"/>
              </w:rPr>
              <w:t xml:space="preserve">Sí </w:t>
            </w:r>
          </w:p>
        </w:tc>
        <w:tc>
          <w:tcPr>
            <w:tcW w:w="4315" w:type="dxa"/>
            <w:shd w:val="clear" w:color="auto" w:fill="auto"/>
            <w:vAlign w:val="center"/>
          </w:tcPr>
          <w:p w14:paraId="51726F59" w14:textId="77777777" w:rsidR="00473EAD" w:rsidRPr="0092004C" w:rsidRDefault="00473EAD" w:rsidP="005858FB">
            <w:pPr>
              <w:rPr>
                <w:rFonts w:ascii="Segoe UI" w:hAnsi="Segoe UI" w:cs="Segoe UI"/>
                <w:sz w:val="21"/>
                <w:szCs w:val="21"/>
              </w:rPr>
            </w:pPr>
            <w:r w:rsidRPr="0092004C">
              <w:rPr>
                <w:rFonts w:ascii="Segoe UI" w:hAnsi="Segoe UI"/>
                <w:sz w:val="21"/>
              </w:rPr>
              <w:t>No</w:t>
            </w:r>
          </w:p>
        </w:tc>
      </w:tr>
      <w:tr w:rsidR="00473EAD" w:rsidRPr="0092004C" w14:paraId="13F12DD1" w14:textId="77777777" w:rsidTr="005858FB">
        <w:trPr>
          <w:cantSplit/>
          <w:trHeight w:val="360"/>
          <w:jc w:val="center"/>
        </w:trPr>
        <w:tc>
          <w:tcPr>
            <w:tcW w:w="0" w:type="auto"/>
            <w:shd w:val="clear" w:color="auto" w:fill="CAD9EC"/>
            <w:vAlign w:val="center"/>
          </w:tcPr>
          <w:p w14:paraId="162704CC" w14:textId="77777777" w:rsidR="00473EAD" w:rsidRPr="0092004C" w:rsidRDefault="00473EAD" w:rsidP="005858FB">
            <w:pPr>
              <w:rPr>
                <w:rFonts w:ascii="Segoe UI" w:hAnsi="Segoe UI" w:cs="Segoe UI"/>
                <w:sz w:val="21"/>
                <w:szCs w:val="21"/>
              </w:rPr>
            </w:pPr>
            <w:r w:rsidRPr="0092004C">
              <w:rPr>
                <w:rFonts w:ascii="Segoe UI" w:hAnsi="Segoe UI"/>
                <w:sz w:val="21"/>
              </w:rPr>
              <w:t>Buprenorfina</w:t>
            </w:r>
          </w:p>
        </w:tc>
        <w:tc>
          <w:tcPr>
            <w:tcW w:w="2721" w:type="dxa"/>
            <w:shd w:val="clear" w:color="auto" w:fill="auto"/>
            <w:vAlign w:val="center"/>
          </w:tcPr>
          <w:p w14:paraId="71EFC9EB" w14:textId="77777777" w:rsidR="00473EAD" w:rsidRPr="0092004C" w:rsidRDefault="00473EAD" w:rsidP="005858FB">
            <w:pPr>
              <w:rPr>
                <w:rFonts w:ascii="Segoe UI" w:hAnsi="Segoe UI" w:cs="Segoe UI"/>
                <w:sz w:val="21"/>
                <w:szCs w:val="21"/>
              </w:rPr>
            </w:pPr>
            <w:r w:rsidRPr="0092004C">
              <w:rPr>
                <w:rFonts w:ascii="Segoe UI" w:hAnsi="Segoe UI"/>
                <w:sz w:val="21"/>
              </w:rPr>
              <w:t xml:space="preserve">Sí </w:t>
            </w:r>
          </w:p>
        </w:tc>
        <w:tc>
          <w:tcPr>
            <w:tcW w:w="4315" w:type="dxa"/>
            <w:shd w:val="clear" w:color="auto" w:fill="auto"/>
            <w:vAlign w:val="center"/>
          </w:tcPr>
          <w:p w14:paraId="172224F9" w14:textId="77777777" w:rsidR="00473EAD" w:rsidRPr="0092004C" w:rsidRDefault="00473EAD" w:rsidP="005858FB">
            <w:pPr>
              <w:rPr>
                <w:rFonts w:ascii="Segoe UI" w:hAnsi="Segoe UI" w:cs="Segoe UI"/>
                <w:sz w:val="21"/>
                <w:szCs w:val="21"/>
              </w:rPr>
            </w:pPr>
            <w:r w:rsidRPr="0092004C">
              <w:rPr>
                <w:rFonts w:ascii="Segoe UI" w:hAnsi="Segoe UI"/>
                <w:sz w:val="21"/>
              </w:rPr>
              <w:t>Sí</w:t>
            </w:r>
          </w:p>
        </w:tc>
      </w:tr>
      <w:tr w:rsidR="00473EAD" w:rsidRPr="0092004C" w14:paraId="559FA991" w14:textId="77777777" w:rsidTr="005858FB">
        <w:trPr>
          <w:cantSplit/>
          <w:trHeight w:val="360"/>
          <w:jc w:val="center"/>
        </w:trPr>
        <w:tc>
          <w:tcPr>
            <w:tcW w:w="0" w:type="auto"/>
            <w:shd w:val="clear" w:color="auto" w:fill="CAD9EC"/>
            <w:vAlign w:val="center"/>
          </w:tcPr>
          <w:p w14:paraId="267757BC" w14:textId="77777777" w:rsidR="00473EAD" w:rsidRPr="0092004C" w:rsidRDefault="00473EAD" w:rsidP="005858FB">
            <w:pPr>
              <w:rPr>
                <w:rFonts w:ascii="Segoe UI" w:hAnsi="Segoe UI" w:cs="Segoe UI"/>
                <w:sz w:val="21"/>
                <w:szCs w:val="21"/>
              </w:rPr>
            </w:pPr>
            <w:r w:rsidRPr="0092004C">
              <w:rPr>
                <w:rFonts w:ascii="Segoe UI" w:hAnsi="Segoe UI"/>
                <w:sz w:val="21"/>
              </w:rPr>
              <w:t>Buprenorfina/naloxona</w:t>
            </w:r>
          </w:p>
        </w:tc>
        <w:tc>
          <w:tcPr>
            <w:tcW w:w="2721" w:type="dxa"/>
            <w:shd w:val="clear" w:color="auto" w:fill="auto"/>
            <w:vAlign w:val="center"/>
          </w:tcPr>
          <w:p w14:paraId="4B6D9299" w14:textId="77777777" w:rsidR="00473EAD" w:rsidRPr="0092004C" w:rsidRDefault="00473EAD" w:rsidP="005858FB">
            <w:pPr>
              <w:rPr>
                <w:rFonts w:ascii="Segoe UI" w:hAnsi="Segoe UI" w:cs="Segoe UI"/>
                <w:sz w:val="21"/>
                <w:szCs w:val="21"/>
              </w:rPr>
            </w:pPr>
            <w:r w:rsidRPr="0092004C">
              <w:rPr>
                <w:rFonts w:ascii="Segoe UI" w:hAnsi="Segoe UI"/>
                <w:sz w:val="21"/>
              </w:rPr>
              <w:t>Sí</w:t>
            </w:r>
          </w:p>
        </w:tc>
        <w:tc>
          <w:tcPr>
            <w:tcW w:w="4315" w:type="dxa"/>
            <w:shd w:val="clear" w:color="auto" w:fill="auto"/>
            <w:vAlign w:val="center"/>
          </w:tcPr>
          <w:p w14:paraId="459DE67A" w14:textId="77777777" w:rsidR="00473EAD" w:rsidRPr="0092004C" w:rsidRDefault="00473EAD" w:rsidP="005858FB">
            <w:pPr>
              <w:rPr>
                <w:rFonts w:ascii="Segoe UI" w:hAnsi="Segoe UI" w:cs="Segoe UI"/>
                <w:sz w:val="21"/>
                <w:szCs w:val="21"/>
              </w:rPr>
            </w:pPr>
            <w:r w:rsidRPr="0092004C">
              <w:rPr>
                <w:rFonts w:ascii="Segoe UI" w:hAnsi="Segoe UI"/>
                <w:sz w:val="21"/>
              </w:rPr>
              <w:t>Sí</w:t>
            </w:r>
          </w:p>
        </w:tc>
      </w:tr>
      <w:tr w:rsidR="00473EAD" w:rsidRPr="0092004C" w14:paraId="71E996B2" w14:textId="77777777" w:rsidTr="005858FB">
        <w:trPr>
          <w:cantSplit/>
          <w:trHeight w:val="360"/>
          <w:jc w:val="center"/>
        </w:trPr>
        <w:tc>
          <w:tcPr>
            <w:tcW w:w="0" w:type="auto"/>
            <w:shd w:val="clear" w:color="auto" w:fill="CAD9EC"/>
            <w:vAlign w:val="center"/>
          </w:tcPr>
          <w:p w14:paraId="6938F1F2" w14:textId="77777777" w:rsidR="00473EAD" w:rsidRPr="0092004C" w:rsidRDefault="00473EAD" w:rsidP="005858FB">
            <w:pPr>
              <w:rPr>
                <w:rFonts w:ascii="Segoe UI" w:hAnsi="Segoe UI" w:cs="Segoe UI"/>
                <w:sz w:val="21"/>
                <w:szCs w:val="21"/>
              </w:rPr>
            </w:pPr>
            <w:r w:rsidRPr="0092004C">
              <w:rPr>
                <w:rFonts w:ascii="Segoe UI" w:hAnsi="Segoe UI"/>
                <w:sz w:val="21"/>
              </w:rPr>
              <w:t xml:space="preserve">Inyección de liberación extendida de buprenorfina </w:t>
            </w:r>
          </w:p>
        </w:tc>
        <w:tc>
          <w:tcPr>
            <w:tcW w:w="2721" w:type="dxa"/>
            <w:shd w:val="clear" w:color="auto" w:fill="auto"/>
            <w:vAlign w:val="center"/>
          </w:tcPr>
          <w:p w14:paraId="48A6BBB0" w14:textId="77777777" w:rsidR="00473EAD" w:rsidRPr="0092004C" w:rsidRDefault="00473EAD" w:rsidP="005858FB">
            <w:pPr>
              <w:rPr>
                <w:rFonts w:ascii="Segoe UI" w:hAnsi="Segoe UI" w:cs="Segoe UI"/>
                <w:sz w:val="21"/>
                <w:szCs w:val="21"/>
              </w:rPr>
            </w:pPr>
            <w:r w:rsidRPr="0092004C">
              <w:rPr>
                <w:rFonts w:ascii="Segoe UI" w:hAnsi="Segoe UI"/>
                <w:sz w:val="21"/>
              </w:rPr>
              <w:t>Sí (solo en las instalaciones), si el paciente es elegible</w:t>
            </w:r>
          </w:p>
        </w:tc>
        <w:tc>
          <w:tcPr>
            <w:tcW w:w="4315" w:type="dxa"/>
            <w:shd w:val="clear" w:color="auto" w:fill="auto"/>
            <w:vAlign w:val="center"/>
          </w:tcPr>
          <w:p w14:paraId="3F7B228F" w14:textId="77777777" w:rsidR="00473EAD" w:rsidRPr="0092004C" w:rsidRDefault="00473EAD" w:rsidP="005858FB">
            <w:pPr>
              <w:rPr>
                <w:rFonts w:ascii="Segoe UI" w:hAnsi="Segoe UI" w:cs="Segoe UI"/>
                <w:sz w:val="21"/>
                <w:szCs w:val="21"/>
              </w:rPr>
            </w:pPr>
            <w:r w:rsidRPr="0092004C">
              <w:rPr>
                <w:rFonts w:ascii="Segoe UI" w:hAnsi="Segoe UI"/>
                <w:sz w:val="21"/>
              </w:rPr>
              <w:t>Sí</w:t>
            </w:r>
          </w:p>
        </w:tc>
      </w:tr>
      <w:tr w:rsidR="00473EAD" w:rsidRPr="0092004C" w14:paraId="35F9FBC8" w14:textId="77777777" w:rsidTr="005858FB">
        <w:trPr>
          <w:cantSplit/>
          <w:trHeight w:val="360"/>
          <w:jc w:val="center"/>
        </w:trPr>
        <w:tc>
          <w:tcPr>
            <w:tcW w:w="0" w:type="auto"/>
            <w:shd w:val="clear" w:color="auto" w:fill="CAD9EC"/>
            <w:vAlign w:val="center"/>
          </w:tcPr>
          <w:p w14:paraId="29472732" w14:textId="77777777" w:rsidR="00473EAD" w:rsidRPr="0092004C" w:rsidRDefault="00473EAD" w:rsidP="005858FB">
            <w:pPr>
              <w:rPr>
                <w:rFonts w:ascii="Segoe UI" w:hAnsi="Segoe UI" w:cs="Segoe UI"/>
                <w:sz w:val="21"/>
                <w:szCs w:val="21"/>
              </w:rPr>
            </w:pPr>
            <w:r w:rsidRPr="0092004C">
              <w:rPr>
                <w:rFonts w:ascii="Segoe UI" w:hAnsi="Segoe UI"/>
                <w:sz w:val="21"/>
              </w:rPr>
              <w:t>Naltrexona</w:t>
            </w:r>
          </w:p>
        </w:tc>
        <w:tc>
          <w:tcPr>
            <w:tcW w:w="2721" w:type="dxa"/>
            <w:shd w:val="clear" w:color="auto" w:fill="auto"/>
            <w:vAlign w:val="center"/>
          </w:tcPr>
          <w:p w14:paraId="29B77ECF" w14:textId="77777777" w:rsidR="00473EAD" w:rsidRPr="0092004C" w:rsidRDefault="00473EAD" w:rsidP="005858FB">
            <w:pPr>
              <w:rPr>
                <w:rFonts w:ascii="Segoe UI" w:hAnsi="Segoe UI" w:cs="Segoe UI"/>
                <w:sz w:val="21"/>
                <w:szCs w:val="21"/>
              </w:rPr>
            </w:pPr>
            <w:r w:rsidRPr="0092004C">
              <w:rPr>
                <w:rFonts w:ascii="Segoe UI" w:hAnsi="Segoe UI"/>
                <w:sz w:val="21"/>
              </w:rPr>
              <w:t xml:space="preserve">Sí </w:t>
            </w:r>
          </w:p>
        </w:tc>
        <w:tc>
          <w:tcPr>
            <w:tcW w:w="4315" w:type="dxa"/>
            <w:shd w:val="clear" w:color="auto" w:fill="auto"/>
            <w:vAlign w:val="center"/>
          </w:tcPr>
          <w:p w14:paraId="7F889646" w14:textId="77777777" w:rsidR="00473EAD" w:rsidRPr="0092004C" w:rsidRDefault="00473EAD" w:rsidP="005858FB">
            <w:pPr>
              <w:rPr>
                <w:rFonts w:ascii="Segoe UI" w:hAnsi="Segoe UI" w:cs="Segoe UI"/>
                <w:sz w:val="21"/>
                <w:szCs w:val="21"/>
              </w:rPr>
            </w:pPr>
            <w:r w:rsidRPr="0092004C">
              <w:rPr>
                <w:rFonts w:ascii="Segoe UI" w:hAnsi="Segoe UI"/>
                <w:sz w:val="21"/>
              </w:rPr>
              <w:t>Sí (solo en las instalaciones)</w:t>
            </w:r>
          </w:p>
        </w:tc>
      </w:tr>
      <w:tr w:rsidR="00473EAD" w:rsidRPr="0092004C" w14:paraId="0A4F6CBA" w14:textId="77777777" w:rsidTr="005858FB">
        <w:trPr>
          <w:cantSplit/>
          <w:trHeight w:val="360"/>
          <w:jc w:val="center"/>
        </w:trPr>
        <w:tc>
          <w:tcPr>
            <w:tcW w:w="0" w:type="auto"/>
            <w:gridSpan w:val="3"/>
            <w:shd w:val="clear" w:color="auto" w:fill="4376BB"/>
            <w:vAlign w:val="center"/>
          </w:tcPr>
          <w:p w14:paraId="523D0757" w14:textId="77777777" w:rsidR="00473EAD" w:rsidRPr="0092004C" w:rsidRDefault="00473EAD" w:rsidP="005858FB">
            <w:pPr>
              <w:rPr>
                <w:rFonts w:ascii="Segoe UI" w:hAnsi="Segoe UI" w:cs="Segoe UI"/>
                <w:b/>
                <w:color w:val="FFFFFF" w:themeColor="background1"/>
                <w:szCs w:val="21"/>
              </w:rPr>
            </w:pPr>
            <w:r w:rsidRPr="0092004C">
              <w:rPr>
                <w:rFonts w:ascii="Segoe UI" w:hAnsi="Segoe UI"/>
                <w:b/>
                <w:color w:val="FFFFFF" w:themeColor="background1"/>
              </w:rPr>
              <w:t>Se les requiere proporcionar…</w:t>
            </w:r>
          </w:p>
        </w:tc>
      </w:tr>
      <w:tr w:rsidR="00473EAD" w:rsidRPr="0092004C" w14:paraId="1F69FE49" w14:textId="77777777" w:rsidTr="005858FB">
        <w:trPr>
          <w:cantSplit/>
          <w:trHeight w:val="360"/>
          <w:jc w:val="center"/>
        </w:trPr>
        <w:tc>
          <w:tcPr>
            <w:tcW w:w="0" w:type="auto"/>
            <w:shd w:val="clear" w:color="auto" w:fill="CAD9EC"/>
            <w:vAlign w:val="center"/>
          </w:tcPr>
          <w:p w14:paraId="240AC010" w14:textId="77777777" w:rsidR="00473EAD" w:rsidRPr="0092004C" w:rsidRDefault="00473EAD" w:rsidP="005858FB">
            <w:pPr>
              <w:rPr>
                <w:rFonts w:ascii="Segoe UI" w:hAnsi="Segoe UI" w:cs="Segoe UI"/>
                <w:sz w:val="21"/>
                <w:szCs w:val="21"/>
              </w:rPr>
            </w:pPr>
            <w:r w:rsidRPr="0092004C">
              <w:rPr>
                <w:rFonts w:ascii="Segoe UI" w:hAnsi="Segoe UI"/>
                <w:sz w:val="21"/>
              </w:rPr>
              <w:t>Asesoría</w:t>
            </w:r>
          </w:p>
        </w:tc>
        <w:tc>
          <w:tcPr>
            <w:tcW w:w="2721" w:type="dxa"/>
            <w:vMerge w:val="restart"/>
            <w:shd w:val="clear" w:color="auto" w:fill="auto"/>
            <w:vAlign w:val="center"/>
          </w:tcPr>
          <w:p w14:paraId="4B76EAE5" w14:textId="77777777" w:rsidR="00473EAD" w:rsidRPr="0092004C" w:rsidRDefault="00473EAD" w:rsidP="005858FB">
            <w:pPr>
              <w:rPr>
                <w:rFonts w:ascii="Segoe UI" w:hAnsi="Segoe UI" w:cs="Segoe UI"/>
                <w:b/>
                <w:sz w:val="21"/>
                <w:szCs w:val="21"/>
              </w:rPr>
            </w:pPr>
            <w:r w:rsidRPr="0092004C">
              <w:rPr>
                <w:rFonts w:ascii="Segoe UI" w:hAnsi="Segoe UI"/>
                <w:sz w:val="21"/>
              </w:rPr>
              <w:t>Sí</w:t>
            </w:r>
          </w:p>
        </w:tc>
        <w:tc>
          <w:tcPr>
            <w:tcW w:w="4315" w:type="dxa"/>
            <w:vMerge w:val="restart"/>
            <w:shd w:val="clear" w:color="auto" w:fill="auto"/>
            <w:vAlign w:val="center"/>
          </w:tcPr>
          <w:p w14:paraId="2C1E3F2A" w14:textId="77777777" w:rsidR="00473EAD" w:rsidRPr="0092004C" w:rsidRDefault="00473EAD" w:rsidP="005858FB">
            <w:pPr>
              <w:rPr>
                <w:rFonts w:ascii="Segoe UI" w:hAnsi="Segoe UI" w:cs="Segoe UI"/>
                <w:sz w:val="21"/>
                <w:szCs w:val="21"/>
              </w:rPr>
            </w:pPr>
            <w:r w:rsidRPr="0092004C">
              <w:rPr>
                <w:rFonts w:ascii="Segoe UI" w:hAnsi="Segoe UI"/>
                <w:sz w:val="21"/>
              </w:rPr>
              <w:t>Sí, si tienen licencia de BSAS (se alienta la recomendación)</w:t>
            </w:r>
          </w:p>
        </w:tc>
      </w:tr>
      <w:tr w:rsidR="00473EAD" w:rsidRPr="0092004C" w14:paraId="7278C4C4" w14:textId="77777777" w:rsidTr="005858FB">
        <w:trPr>
          <w:cantSplit/>
          <w:trHeight w:val="360"/>
          <w:jc w:val="center"/>
        </w:trPr>
        <w:tc>
          <w:tcPr>
            <w:tcW w:w="0" w:type="auto"/>
            <w:shd w:val="clear" w:color="auto" w:fill="CAD9EC"/>
            <w:vAlign w:val="center"/>
          </w:tcPr>
          <w:p w14:paraId="404CE9B2" w14:textId="77777777" w:rsidR="00473EAD" w:rsidRPr="0092004C" w:rsidRDefault="00473EAD" w:rsidP="005858FB">
            <w:pPr>
              <w:rPr>
                <w:rFonts w:ascii="Segoe UI" w:hAnsi="Segoe UI" w:cs="Segoe UI"/>
                <w:sz w:val="21"/>
                <w:szCs w:val="21"/>
              </w:rPr>
            </w:pPr>
            <w:r w:rsidRPr="0092004C">
              <w:rPr>
                <w:rFonts w:ascii="Segoe UI" w:hAnsi="Segoe UI"/>
                <w:sz w:val="21"/>
              </w:rPr>
              <w:t>Tratamiento</w:t>
            </w:r>
          </w:p>
        </w:tc>
        <w:tc>
          <w:tcPr>
            <w:tcW w:w="2721" w:type="dxa"/>
            <w:vMerge/>
            <w:shd w:val="clear" w:color="auto" w:fill="auto"/>
            <w:vAlign w:val="center"/>
          </w:tcPr>
          <w:p w14:paraId="61AE2DD3" w14:textId="77777777" w:rsidR="00473EAD" w:rsidRPr="0092004C" w:rsidRDefault="00473EAD" w:rsidP="005858FB">
            <w:pPr>
              <w:rPr>
                <w:rFonts w:ascii="Segoe UI" w:hAnsi="Segoe UI" w:cs="Segoe UI"/>
                <w:sz w:val="21"/>
                <w:szCs w:val="21"/>
              </w:rPr>
            </w:pPr>
          </w:p>
        </w:tc>
        <w:tc>
          <w:tcPr>
            <w:tcW w:w="4315" w:type="dxa"/>
            <w:vMerge/>
            <w:shd w:val="clear" w:color="auto" w:fill="auto"/>
            <w:vAlign w:val="center"/>
          </w:tcPr>
          <w:p w14:paraId="7220E186" w14:textId="77777777" w:rsidR="00473EAD" w:rsidRPr="0092004C" w:rsidRDefault="00473EAD" w:rsidP="005858FB">
            <w:pPr>
              <w:rPr>
                <w:rFonts w:ascii="Segoe UI" w:hAnsi="Segoe UI" w:cs="Segoe UI"/>
                <w:sz w:val="21"/>
                <w:szCs w:val="21"/>
              </w:rPr>
            </w:pPr>
          </w:p>
        </w:tc>
      </w:tr>
      <w:tr w:rsidR="00473EAD" w:rsidRPr="0092004C" w14:paraId="74FCC685" w14:textId="77777777" w:rsidTr="005858FB">
        <w:trPr>
          <w:cantSplit/>
          <w:trHeight w:val="360"/>
          <w:jc w:val="center"/>
        </w:trPr>
        <w:tc>
          <w:tcPr>
            <w:tcW w:w="0" w:type="auto"/>
            <w:shd w:val="clear" w:color="auto" w:fill="CAD9EC"/>
            <w:vAlign w:val="center"/>
          </w:tcPr>
          <w:p w14:paraId="1E219368" w14:textId="77777777" w:rsidR="00473EAD" w:rsidRPr="0092004C" w:rsidRDefault="00473EAD" w:rsidP="005858FB">
            <w:pPr>
              <w:rPr>
                <w:rFonts w:ascii="Segoe UI" w:hAnsi="Segoe UI" w:cs="Segoe UI"/>
                <w:sz w:val="21"/>
                <w:szCs w:val="21"/>
              </w:rPr>
            </w:pPr>
            <w:r w:rsidRPr="0092004C">
              <w:rPr>
                <w:rFonts w:ascii="Segoe UI" w:hAnsi="Segoe UI"/>
                <w:sz w:val="21"/>
              </w:rPr>
              <w:t>Planeación y control de desviación</w:t>
            </w:r>
          </w:p>
        </w:tc>
        <w:tc>
          <w:tcPr>
            <w:tcW w:w="2721" w:type="dxa"/>
            <w:vMerge/>
            <w:shd w:val="clear" w:color="auto" w:fill="auto"/>
            <w:vAlign w:val="center"/>
          </w:tcPr>
          <w:p w14:paraId="0920CE88" w14:textId="77777777" w:rsidR="00473EAD" w:rsidRPr="0092004C" w:rsidRDefault="00473EAD" w:rsidP="005858FB">
            <w:pPr>
              <w:rPr>
                <w:rFonts w:ascii="Segoe UI" w:hAnsi="Segoe UI" w:cs="Segoe UI"/>
                <w:sz w:val="21"/>
                <w:szCs w:val="21"/>
              </w:rPr>
            </w:pPr>
          </w:p>
        </w:tc>
        <w:tc>
          <w:tcPr>
            <w:tcW w:w="4315" w:type="dxa"/>
            <w:vMerge/>
            <w:shd w:val="clear" w:color="auto" w:fill="auto"/>
            <w:vAlign w:val="center"/>
          </w:tcPr>
          <w:p w14:paraId="4A9FF167" w14:textId="77777777" w:rsidR="00473EAD" w:rsidRPr="0092004C" w:rsidRDefault="00473EAD" w:rsidP="005858FB">
            <w:pPr>
              <w:rPr>
                <w:rFonts w:ascii="Segoe UI" w:hAnsi="Segoe UI" w:cs="Segoe UI"/>
                <w:sz w:val="21"/>
                <w:szCs w:val="21"/>
              </w:rPr>
            </w:pPr>
          </w:p>
        </w:tc>
      </w:tr>
      <w:tr w:rsidR="00473EAD" w:rsidRPr="0092004C" w14:paraId="0A02A3A9" w14:textId="77777777" w:rsidTr="005858FB">
        <w:trPr>
          <w:cantSplit/>
          <w:trHeight w:val="360"/>
          <w:jc w:val="center"/>
        </w:trPr>
        <w:tc>
          <w:tcPr>
            <w:tcW w:w="0" w:type="auto"/>
            <w:gridSpan w:val="3"/>
            <w:shd w:val="clear" w:color="auto" w:fill="4376BB"/>
            <w:vAlign w:val="center"/>
          </w:tcPr>
          <w:p w14:paraId="2058CECF" w14:textId="77777777" w:rsidR="00473EAD" w:rsidRPr="0092004C" w:rsidRDefault="00473EAD" w:rsidP="005858FB">
            <w:pPr>
              <w:rPr>
                <w:rFonts w:ascii="Segoe UI" w:hAnsi="Segoe UI" w:cs="Segoe UI"/>
                <w:b/>
                <w:color w:val="FFFFFF" w:themeColor="background1"/>
                <w:szCs w:val="21"/>
              </w:rPr>
            </w:pPr>
            <w:r w:rsidRPr="0092004C">
              <w:rPr>
                <w:rFonts w:ascii="Segoe UI" w:hAnsi="Segoe UI"/>
                <w:b/>
                <w:color w:val="FFFFFF" w:themeColor="background1"/>
              </w:rPr>
              <w:t>Puedo encontrarles...</w:t>
            </w:r>
          </w:p>
        </w:tc>
      </w:tr>
      <w:tr w:rsidR="00473EAD" w:rsidRPr="0092004C" w14:paraId="18F044F9" w14:textId="77777777" w:rsidTr="005858FB">
        <w:trPr>
          <w:cantSplit/>
          <w:trHeight w:val="360"/>
          <w:jc w:val="center"/>
        </w:trPr>
        <w:tc>
          <w:tcPr>
            <w:tcW w:w="0" w:type="auto"/>
            <w:shd w:val="clear" w:color="auto" w:fill="CAD9EC"/>
            <w:vAlign w:val="center"/>
          </w:tcPr>
          <w:p w14:paraId="224D304F" w14:textId="77777777" w:rsidR="00473EAD" w:rsidRPr="0092004C" w:rsidRDefault="00473EAD" w:rsidP="005858FB">
            <w:pPr>
              <w:rPr>
                <w:rFonts w:ascii="Segoe UI" w:hAnsi="Segoe UI" w:cs="Segoe UI"/>
                <w:sz w:val="21"/>
                <w:szCs w:val="21"/>
              </w:rPr>
            </w:pPr>
            <w:r w:rsidRPr="0092004C">
              <w:rPr>
                <w:rFonts w:ascii="Segoe UI" w:hAnsi="Segoe UI"/>
                <w:sz w:val="21"/>
              </w:rPr>
              <w:t xml:space="preserve">En una base de datos en línea </w:t>
            </w:r>
            <w:hyperlink r:id="rId11" w:history="1">
              <w:r w:rsidRPr="0092004C">
                <w:rPr>
                  <w:rStyle w:val="Hyperlink"/>
                  <w:rFonts w:ascii="Segoe UI" w:hAnsi="Segoe UI"/>
                  <w:sz w:val="21"/>
                </w:rPr>
                <w:t>https://helplinema.org/</w:t>
              </w:r>
            </w:hyperlink>
          </w:p>
        </w:tc>
        <w:tc>
          <w:tcPr>
            <w:tcW w:w="2721" w:type="dxa"/>
            <w:shd w:val="clear" w:color="auto" w:fill="auto"/>
            <w:vAlign w:val="center"/>
          </w:tcPr>
          <w:p w14:paraId="06431D18" w14:textId="77777777" w:rsidR="00473EAD" w:rsidRPr="0092004C" w:rsidRDefault="00473EAD" w:rsidP="005858FB">
            <w:pPr>
              <w:rPr>
                <w:rFonts w:ascii="Segoe UI" w:hAnsi="Segoe UI" w:cs="Segoe UI"/>
                <w:sz w:val="21"/>
                <w:szCs w:val="21"/>
              </w:rPr>
            </w:pPr>
            <w:r w:rsidRPr="0092004C">
              <w:rPr>
                <w:rFonts w:ascii="Segoe UI" w:hAnsi="Segoe UI"/>
                <w:sz w:val="21"/>
              </w:rPr>
              <w:t>Sí</w:t>
            </w:r>
          </w:p>
        </w:tc>
        <w:tc>
          <w:tcPr>
            <w:tcW w:w="4315" w:type="dxa"/>
            <w:shd w:val="clear" w:color="auto" w:fill="auto"/>
            <w:vAlign w:val="center"/>
          </w:tcPr>
          <w:p w14:paraId="57BFE5C1" w14:textId="77777777" w:rsidR="00473EAD" w:rsidRPr="0092004C" w:rsidRDefault="00473EAD" w:rsidP="005858FB">
            <w:pPr>
              <w:rPr>
                <w:rFonts w:ascii="Segoe UI" w:hAnsi="Segoe UI" w:cs="Segoe UI"/>
                <w:sz w:val="21"/>
                <w:szCs w:val="21"/>
              </w:rPr>
            </w:pPr>
            <w:r w:rsidRPr="0092004C">
              <w:rPr>
                <w:rFonts w:ascii="Segoe UI" w:hAnsi="Segoe UI"/>
                <w:sz w:val="21"/>
              </w:rPr>
              <w:t>Sí</w:t>
            </w:r>
            <w:r w:rsidRPr="0092004C">
              <w:rPr>
                <w:rFonts w:ascii="Segoe UI" w:hAnsi="Segoe UI"/>
                <w:sz w:val="21"/>
                <w:szCs w:val="21"/>
              </w:rPr>
              <w:tab/>
            </w:r>
          </w:p>
          <w:p w14:paraId="77DDF440" w14:textId="77777777" w:rsidR="00473EAD" w:rsidRPr="0092004C" w:rsidRDefault="00473EAD" w:rsidP="005858FB">
            <w:pPr>
              <w:rPr>
                <w:rFonts w:ascii="Segoe UI" w:hAnsi="Segoe UI" w:cs="Segoe UI"/>
                <w:sz w:val="21"/>
                <w:szCs w:val="21"/>
              </w:rPr>
            </w:pPr>
            <w:r w:rsidRPr="0092004C">
              <w:rPr>
                <w:rFonts w:ascii="Segoe UI" w:hAnsi="Segoe UI"/>
                <w:sz w:val="21"/>
              </w:rPr>
              <w:t>(SAMHSA, pero los médicos pueden solicitar ser excluidos)</w:t>
            </w:r>
          </w:p>
        </w:tc>
      </w:tr>
      <w:tr w:rsidR="00473EAD" w:rsidRPr="0092004C" w14:paraId="34410F41" w14:textId="77777777" w:rsidTr="005858FB">
        <w:trPr>
          <w:cantSplit/>
          <w:trHeight w:val="360"/>
          <w:jc w:val="center"/>
        </w:trPr>
        <w:tc>
          <w:tcPr>
            <w:tcW w:w="0" w:type="auto"/>
            <w:shd w:val="clear" w:color="auto" w:fill="CAD9EC"/>
            <w:vAlign w:val="center"/>
          </w:tcPr>
          <w:p w14:paraId="5492B289" w14:textId="77777777" w:rsidR="00473EAD" w:rsidRPr="0092004C" w:rsidRDefault="00473EAD" w:rsidP="005858FB">
            <w:pPr>
              <w:rPr>
                <w:rFonts w:ascii="Segoe UI" w:hAnsi="Segoe UI" w:cs="Segoe UI"/>
                <w:sz w:val="21"/>
                <w:szCs w:val="21"/>
              </w:rPr>
            </w:pPr>
            <w:r w:rsidRPr="0092004C">
              <w:rPr>
                <w:rFonts w:ascii="Segoe UI" w:hAnsi="Segoe UI"/>
                <w:sz w:val="21"/>
              </w:rPr>
              <w:t xml:space="preserve">Llamando a una línea directa </w:t>
            </w:r>
            <w:r>
              <w:rPr>
                <w:rFonts w:ascii="Segoe UI" w:hAnsi="Segoe UI"/>
                <w:sz w:val="21"/>
              </w:rPr>
              <w:br/>
            </w:r>
            <w:r w:rsidRPr="0092004C">
              <w:rPr>
                <w:rFonts w:ascii="Segoe UI" w:hAnsi="Segoe UI"/>
                <w:sz w:val="21"/>
              </w:rPr>
              <w:t xml:space="preserve">1-800-327-5050 </w:t>
            </w:r>
          </w:p>
          <w:p w14:paraId="1AD826CF" w14:textId="77777777" w:rsidR="00473EAD" w:rsidRPr="0092004C" w:rsidRDefault="00473EAD" w:rsidP="005858FB">
            <w:pPr>
              <w:rPr>
                <w:rFonts w:ascii="Segoe UI" w:hAnsi="Segoe UI" w:cs="Segoe UI"/>
                <w:sz w:val="21"/>
                <w:szCs w:val="21"/>
              </w:rPr>
            </w:pPr>
          </w:p>
        </w:tc>
        <w:tc>
          <w:tcPr>
            <w:tcW w:w="2721" w:type="dxa"/>
            <w:shd w:val="clear" w:color="auto" w:fill="auto"/>
            <w:vAlign w:val="center"/>
          </w:tcPr>
          <w:p w14:paraId="7155A265" w14:textId="77777777" w:rsidR="00473EAD" w:rsidRPr="0092004C" w:rsidRDefault="00473EAD" w:rsidP="005858FB">
            <w:pPr>
              <w:rPr>
                <w:rFonts w:ascii="Segoe UI" w:hAnsi="Segoe UI" w:cs="Segoe UI"/>
                <w:sz w:val="21"/>
                <w:szCs w:val="21"/>
              </w:rPr>
            </w:pPr>
            <w:r w:rsidRPr="0092004C">
              <w:rPr>
                <w:rFonts w:ascii="Segoe UI" w:hAnsi="Segoe UI"/>
                <w:sz w:val="21"/>
              </w:rPr>
              <w:t>Sí</w:t>
            </w:r>
          </w:p>
        </w:tc>
        <w:tc>
          <w:tcPr>
            <w:tcW w:w="4315" w:type="dxa"/>
            <w:shd w:val="clear" w:color="auto" w:fill="auto"/>
            <w:vAlign w:val="center"/>
          </w:tcPr>
          <w:p w14:paraId="7D43FCAA" w14:textId="77777777" w:rsidR="00473EAD" w:rsidRPr="0092004C" w:rsidRDefault="00473EAD" w:rsidP="005858FB">
            <w:pPr>
              <w:rPr>
                <w:rFonts w:ascii="Segoe UI" w:hAnsi="Segoe UI" w:cs="Segoe UI"/>
                <w:sz w:val="21"/>
                <w:szCs w:val="21"/>
              </w:rPr>
            </w:pPr>
            <w:r w:rsidRPr="0092004C">
              <w:rPr>
                <w:rFonts w:ascii="Segoe UI" w:hAnsi="Segoe UI"/>
                <w:sz w:val="21"/>
              </w:rPr>
              <w:t>Sí</w:t>
            </w:r>
          </w:p>
        </w:tc>
      </w:tr>
    </w:tbl>
    <w:p w14:paraId="3EF2F014" w14:textId="77777777" w:rsidR="00473EAD" w:rsidRPr="0092004C" w:rsidRDefault="00473EAD" w:rsidP="00473EAD">
      <w:pPr>
        <w:pStyle w:val="Heading3"/>
        <w:pageBreakBefore/>
      </w:pPr>
      <w:bookmarkStart w:id="8" w:name="_Toc120034130"/>
      <w:r w:rsidRPr="0092004C">
        <w:lastRenderedPageBreak/>
        <w:t>Telesalud</w:t>
      </w:r>
      <w:bookmarkEnd w:id="8"/>
    </w:p>
    <w:p w14:paraId="08F10357" w14:textId="77777777" w:rsidR="00473EAD" w:rsidRPr="0092004C" w:rsidRDefault="00473EAD" w:rsidP="00473EAD">
      <w:pPr>
        <w:pStyle w:val="MDPHParagraph"/>
        <w:spacing w:before="100" w:after="100"/>
      </w:pPr>
      <w:r w:rsidRPr="0092004C">
        <w:t>Telesalud es “el uso de comunicación electrónica y de tecnologías de la información para proporcionar o apoyar la atención clínica a distancia. La impartición de servicios por medio de telesalud involucra el uso de sistemas de telecomunicaciones seguras de audio y video que permiten comunicación de dos vías en tiempo real entre un paciente/residente y un proveedor”.</w:t>
      </w:r>
      <w:r w:rsidRPr="0092004C">
        <w:rPr>
          <w:rStyle w:val="EndnoteReference"/>
        </w:rPr>
        <w:endnoteReference w:id="14"/>
      </w:r>
      <w:r w:rsidRPr="0092004C">
        <w:t xml:space="preserve"> Los servicios de telesalud pueden volverse más populares porque son accesibles, convenientes y económicos.</w:t>
      </w:r>
      <w:r w:rsidRPr="0092004C">
        <w:rPr>
          <w:rStyle w:val="EndnoteReference"/>
        </w:rPr>
        <w:endnoteReference w:id="15"/>
      </w:r>
    </w:p>
    <w:p w14:paraId="2119CC71" w14:textId="77777777" w:rsidR="00473EAD" w:rsidRPr="0092004C" w:rsidRDefault="00473EAD" w:rsidP="00473EAD">
      <w:pPr>
        <w:pStyle w:val="MDPHParagraph"/>
        <w:spacing w:before="100" w:after="100"/>
      </w:pPr>
      <w:r w:rsidRPr="0092004C">
        <w:t xml:space="preserve">La ley federal requiere una evaluación física completa antes de la admisión a un OTP, limitando la opción de telesalud para admitir a un nuevo paciente con OUD a un OTP. Sin embargo, respecto a nuevos pacientes que reciben tratamiento con buprenorfina, SAMHSA decidió ejercer su autoridad para exentar a los OTP del requisito de llevar a cabo una evaluación física en persona para cualquier paciente que será tratado con buprenorfina por el OTP. Un médico, médico de atención primaria del programa o profesional de atención médica autorizado bajo la supervisión de un médico del programa puede determinar si puede lograr una evaluación correcta del paciente por medio de telesalud. </w:t>
      </w:r>
    </w:p>
    <w:p w14:paraId="75C4C87D" w14:textId="77777777" w:rsidR="00473EAD" w:rsidRPr="003C4F82" w:rsidRDefault="00473EAD" w:rsidP="00473EAD">
      <w:pPr>
        <w:pStyle w:val="MDPHParagraph"/>
        <w:spacing w:before="100" w:after="100"/>
        <w:rPr>
          <w:spacing w:val="-2"/>
        </w:rPr>
      </w:pPr>
      <w:r w:rsidRPr="003C4F82">
        <w:rPr>
          <w:spacing w:val="-2"/>
        </w:rPr>
        <w:t>Esta exención continuará durante el periodo de la emergencia nacional declarada en respuesta a la pandemia de la COVID-19 y aplica exclusivamente a los pacientes de OTP que reciben tratamiento con buprenorfina.</w:t>
      </w:r>
      <w:r w:rsidRPr="003C4F82">
        <w:rPr>
          <w:rStyle w:val="EndnoteReference"/>
          <w:spacing w:val="-2"/>
        </w:rPr>
        <w:endnoteReference w:id="16"/>
      </w:r>
      <w:r w:rsidRPr="003C4F82">
        <w:rPr>
          <w:spacing w:val="-2"/>
        </w:rPr>
        <w:t xml:space="preserve"> El profesional debe tener un registro válido de la DEA para recetar o administrar medicamentos en el Anexo de sustancias controladas. Los LTCF pueden utilizar los servicios de telesalud para residentes con OUD cuando el transporte sea un obstáculo. Los proveedores pueden usar telesalud en lugar de una visita en persona para recetar ciertos medicamentos para OUD</w:t>
      </w:r>
      <w:r w:rsidRPr="003C4F82">
        <w:rPr>
          <w:rStyle w:val="EndnoteReference"/>
          <w:spacing w:val="-2"/>
        </w:rPr>
        <w:endnoteReference w:id="17"/>
      </w:r>
      <w:r w:rsidRPr="003C4F82">
        <w:rPr>
          <w:spacing w:val="-2"/>
        </w:rPr>
        <w:t xml:space="preserve"> o como método de distribución para servicios de salud del comportamiento.</w:t>
      </w:r>
      <w:r w:rsidRPr="003C4F82">
        <w:rPr>
          <w:rStyle w:val="EndnoteReference"/>
          <w:spacing w:val="-2"/>
        </w:rPr>
        <w:endnoteReference w:id="18"/>
      </w:r>
      <w:r w:rsidRPr="003C4F82">
        <w:rPr>
          <w:spacing w:val="-2"/>
        </w:rPr>
        <w:t xml:space="preserve"> </w:t>
      </w:r>
    </w:p>
    <w:p w14:paraId="194C6184" w14:textId="77777777" w:rsidR="00473EAD" w:rsidRPr="0092004C" w:rsidRDefault="00473EAD" w:rsidP="00473EAD">
      <w:pPr>
        <w:pStyle w:val="MDPHParagraph"/>
        <w:spacing w:before="100" w:after="100"/>
      </w:pPr>
      <w:r w:rsidRPr="0092004C">
        <w:t>A la fecha, las políticas de reembolso han sido una barrera para la difusión del uso de telesalud.</w:t>
      </w:r>
      <w:r w:rsidRPr="0092004C">
        <w:rPr>
          <w:rStyle w:val="EndnoteReference"/>
        </w:rPr>
        <w:endnoteReference w:id="19"/>
      </w:r>
      <w:r w:rsidRPr="0092004C">
        <w:t xml:space="preserve"> Sin embargo, en respuesta a la COVID-19, nuevas reglas están expandiendo el reembolso para los servicios de telesalud durante la pandemia. Tele-</w:t>
      </w:r>
      <w:proofErr w:type="spellStart"/>
      <w:r w:rsidRPr="0092004C">
        <w:t>Behavioral</w:t>
      </w:r>
      <w:proofErr w:type="spellEnd"/>
      <w:r w:rsidRPr="0092004C">
        <w:t xml:space="preserve"> </w:t>
      </w:r>
      <w:proofErr w:type="spellStart"/>
      <w:r w:rsidRPr="0092004C">
        <w:t>Health</w:t>
      </w:r>
      <w:proofErr w:type="spellEnd"/>
      <w:r w:rsidRPr="0092004C">
        <w:t xml:space="preserve"> </w:t>
      </w:r>
      <w:proofErr w:type="spellStart"/>
      <w:r w:rsidRPr="0092004C">
        <w:t>services</w:t>
      </w:r>
      <w:proofErr w:type="spellEnd"/>
      <w:r w:rsidRPr="0092004C">
        <w:t xml:space="preserve"> (</w:t>
      </w:r>
      <w:proofErr w:type="spellStart"/>
      <w:r w:rsidRPr="0092004C">
        <w:t>TeleBH</w:t>
      </w:r>
      <w:proofErr w:type="spellEnd"/>
      <w:r w:rsidRPr="0092004C">
        <w:t xml:space="preserve">). </w:t>
      </w:r>
      <w:proofErr w:type="spellStart"/>
      <w:r w:rsidRPr="0092004C">
        <w:t>MassHealth</w:t>
      </w:r>
      <w:proofErr w:type="spellEnd"/>
      <w:r w:rsidRPr="0092004C">
        <w:t xml:space="preserve"> (Programa de Medicaid de Massachusetts) actualizó recientemente su política</w:t>
      </w:r>
      <w:r w:rsidRPr="0092004C">
        <w:rPr>
          <w:rStyle w:val="EndnoteReference"/>
        </w:rPr>
        <w:endnoteReference w:id="20"/>
      </w:r>
      <w:r w:rsidRPr="0092004C">
        <w:rPr>
          <w:vertAlign w:val="superscript"/>
        </w:rPr>
        <w:t>,</w:t>
      </w:r>
      <w:r w:rsidRPr="0092004C">
        <w:rPr>
          <w:rStyle w:val="EndnoteReference"/>
        </w:rPr>
        <w:endnoteReference w:id="21"/>
      </w:r>
      <w:r w:rsidRPr="0092004C">
        <w:t xml:space="preserve"> para reembolsar </w:t>
      </w:r>
      <w:proofErr w:type="spellStart"/>
      <w:r w:rsidRPr="0092004C">
        <w:t>TeleBH</w:t>
      </w:r>
      <w:proofErr w:type="spellEnd"/>
      <w:r w:rsidRPr="0092004C">
        <w:t xml:space="preserve"> “a las mismas tasas que las visitas en persona”.</w:t>
      </w:r>
      <w:r w:rsidRPr="0092004C">
        <w:rPr>
          <w:rStyle w:val="EndnoteReference"/>
        </w:rPr>
        <w:t xml:space="preserve"> </w:t>
      </w:r>
      <w:r w:rsidRPr="0092004C">
        <w:rPr>
          <w:rStyle w:val="EndnoteReference"/>
        </w:rPr>
        <w:endnoteReference w:id="22"/>
      </w:r>
      <w:r w:rsidRPr="0092004C">
        <w:t xml:space="preserve"> </w:t>
      </w:r>
    </w:p>
    <w:p w14:paraId="2245D368" w14:textId="77777777" w:rsidR="00473EAD" w:rsidRPr="0092004C" w:rsidRDefault="00473EAD" w:rsidP="00473EAD">
      <w:pPr>
        <w:pStyle w:val="MDPHParagraph"/>
        <w:spacing w:before="100" w:after="100"/>
      </w:pPr>
      <w:r w:rsidRPr="0092004C">
        <w:t xml:space="preserve">Estas nuevas políticas excluyen el reembolso de los dispositivos físicos y la infraestructura (tabletas, Internet de alta velocidad, mantenimiento de la tecnología), que pueden ser una carga para el centro. Si un OTP está tratando a un residente, es responsabilidad del OTP proporcionar servicios de Asesoría para un residente diagnosticado con OUD. Por lo tanto, telesalud puede ser un método potencial para proporcionarlo. Asegúrese de incluir una nota en su QSOA si el OTP proporcionará el Asesoría mediante telesalud. (Consulte </w:t>
      </w:r>
      <w:hyperlink w:anchor="_Tip_6:_Transitions" w:history="1">
        <w:r w:rsidRPr="0092004C">
          <w:rPr>
            <w:rStyle w:val="Hyperlink"/>
          </w:rPr>
          <w:t>el Consejo 6</w:t>
        </w:r>
      </w:hyperlink>
      <w:r w:rsidRPr="0092004C">
        <w:t>: Transiciones de atención para más detalles.)</w:t>
      </w:r>
    </w:p>
    <w:p w14:paraId="6BCBF713" w14:textId="77777777" w:rsidR="00473EAD" w:rsidRPr="0092004C" w:rsidRDefault="00473EAD" w:rsidP="00473EAD">
      <w:pPr>
        <w:pStyle w:val="MDPHParagraph"/>
        <w:spacing w:before="100" w:after="100"/>
      </w:pPr>
      <w:r w:rsidRPr="0092004C">
        <w:t>Otra forma de usar telesalud para proporcionar atención a los residentes es por medio del apoyo de proveedor y de servicios de consulta. Los proveedores pueden participar en una </w:t>
      </w:r>
      <w:hyperlink r:id="rId12" w:tgtFrame="_blank" w:history="1">
        <w:r w:rsidRPr="0092004C">
          <w:rPr>
            <w:rStyle w:val="Hyperlink"/>
          </w:rPr>
          <w:t xml:space="preserve">clínica </w:t>
        </w:r>
        <w:proofErr w:type="spellStart"/>
        <w:r w:rsidRPr="0092004C">
          <w:rPr>
            <w:rStyle w:val="Hyperlink"/>
          </w:rPr>
          <w:t>teleECHO</w:t>
        </w:r>
        <w:proofErr w:type="spellEnd"/>
      </w:hyperlink>
      <w:r w:rsidRPr="0092004C">
        <w:rPr>
          <w:rStyle w:val="Hyperlink"/>
        </w:rPr>
        <w:t xml:space="preserve"> </w:t>
      </w:r>
      <w:r w:rsidRPr="0092004C">
        <w:rPr>
          <w:rStyle w:val="EndnoteReference"/>
        </w:rPr>
        <w:endnoteReference w:id="23"/>
      </w:r>
      <w:r w:rsidRPr="0092004C">
        <w:t xml:space="preserve"> o el </w:t>
      </w:r>
      <w:hyperlink r:id="rId13" w:tgtFrame="_blank" w:history="1">
        <w:r w:rsidRPr="0092004C">
          <w:rPr>
            <w:rStyle w:val="Hyperlink"/>
          </w:rPr>
          <w:t>Programa de asesoría clínica del Sistema de apoyo clínico de proveedores (PCSS)</w:t>
        </w:r>
      </w:hyperlink>
      <w:r w:rsidRPr="0092004C">
        <w:t>,</w:t>
      </w:r>
      <w:r w:rsidRPr="0092004C">
        <w:rPr>
          <w:rStyle w:val="EndnoteReference"/>
        </w:rPr>
        <w:endnoteReference w:id="24"/>
      </w:r>
      <w:r w:rsidRPr="0092004C">
        <w:t xml:space="preserve"> de forma gratuita. </w:t>
      </w:r>
    </w:p>
    <w:p w14:paraId="0AD279E2" w14:textId="77777777" w:rsidR="00473EAD" w:rsidRPr="0092004C" w:rsidRDefault="00473EAD" w:rsidP="00473EAD">
      <w:pPr>
        <w:pStyle w:val="MDPHParagraph"/>
        <w:spacing w:before="100" w:after="100"/>
      </w:pPr>
      <w:r w:rsidRPr="0092004C">
        <w:t xml:space="preserve">Para una consulta en vivo por teléfono acerca de recetar de forma segura y de administrar la atención para adultos con dolor crónico, SUD o ambos, llame al Servicio de consulta de Massachusetts para el tratamiento de adicción y dolor (MCTSAP), un servicio gratuito para los proveedores de Massachusetts, al 1-833-PAIN-SUD </w:t>
      </w:r>
      <w:r>
        <w:br/>
      </w:r>
      <w:r w:rsidRPr="0092004C">
        <w:t xml:space="preserve">(1-833-724-6783), de lunes a viernes, 9 a. m. – 5 p. m. </w:t>
      </w:r>
    </w:p>
    <w:p w14:paraId="479A8ED2" w14:textId="77777777" w:rsidR="00473EAD" w:rsidRPr="0092004C" w:rsidRDefault="00473EAD" w:rsidP="00473EAD">
      <w:pPr>
        <w:pStyle w:val="MDPHBullet"/>
      </w:pPr>
      <w:r w:rsidRPr="0092004C">
        <w:t xml:space="preserve">Telemedicina y recetar buprenorfina para el tratamiento de OUD, </w:t>
      </w:r>
      <w:hyperlink r:id="rId14" w:history="1">
        <w:r w:rsidRPr="0092004C">
          <w:rPr>
            <w:rStyle w:val="Hyperlink"/>
          </w:rPr>
          <w:t>declaración</w:t>
        </w:r>
      </w:hyperlink>
      <w:r w:rsidRPr="0092004C">
        <w:rPr>
          <w:rStyle w:val="Hyperlink"/>
        </w:rPr>
        <w:t>.</w:t>
      </w:r>
    </w:p>
    <w:p w14:paraId="0F65DF37" w14:textId="77777777" w:rsidR="00473EAD" w:rsidRPr="0092004C" w:rsidRDefault="00473EAD" w:rsidP="00473EAD">
      <w:pPr>
        <w:pStyle w:val="MDPHBullet"/>
        <w:rPr>
          <w:rStyle w:val="Hyperlink"/>
        </w:rPr>
      </w:pPr>
      <w:r w:rsidRPr="0092004C">
        <w:t xml:space="preserve">Uso de telemedicina mientras proporciona tratamiento asistido por medicamento (MAT), </w:t>
      </w:r>
      <w:hyperlink r:id="rId15" w:history="1">
        <w:r w:rsidRPr="0092004C">
          <w:rPr>
            <w:rStyle w:val="Hyperlink"/>
          </w:rPr>
          <w:t xml:space="preserve">resumen de </w:t>
        </w:r>
        <w:r w:rsidRPr="0092004C">
          <w:rPr>
            <w:rStyle w:val="Hyperlink"/>
          </w:rPr>
          <w:lastRenderedPageBreak/>
          <w:t>información</w:t>
        </w:r>
      </w:hyperlink>
    </w:p>
    <w:p w14:paraId="5230FB0D" w14:textId="77777777" w:rsidR="00473EAD" w:rsidRPr="0092004C" w:rsidRDefault="00473EAD" w:rsidP="00473EAD">
      <w:pPr>
        <w:pStyle w:val="Heading3"/>
      </w:pPr>
      <w:bookmarkStart w:id="9" w:name="_Toc120034131"/>
      <w:r w:rsidRPr="0092004C">
        <w:t>Apoyos comunitarios</w:t>
      </w:r>
      <w:bookmarkEnd w:id="9"/>
    </w:p>
    <w:p w14:paraId="3C1BF2CC" w14:textId="77777777" w:rsidR="00473EAD" w:rsidRPr="0092004C" w:rsidRDefault="00473EAD" w:rsidP="00473EAD">
      <w:pPr>
        <w:pStyle w:val="MDPHParagraph"/>
      </w:pPr>
      <w:r w:rsidRPr="0092004C">
        <w:t xml:space="preserve">Los LTCF puede coordinarse con los apoyos comunitarios locales para personas con OUD y </w:t>
      </w:r>
      <w:proofErr w:type="spellStart"/>
      <w:r w:rsidRPr="0092004C">
        <w:t>StUD</w:t>
      </w:r>
      <w:proofErr w:type="spellEnd"/>
      <w:r w:rsidRPr="0092004C">
        <w:t>. Algunas formas de apoyo que estos grupos incluyen ayudar a los pacientes a detener el uso de opioides y estimulantes, manejar el uso recurrente y ayudar con los cambios de estilo de vida necesarios. Igual que los OTP y los OBOT/OBAT, puede conectarse a estos servicios locales a través de la Línea de ayuda de uso de sustancias de Massachusetts, 1-800-327-5050,</w:t>
      </w:r>
      <w:r w:rsidRPr="0092004C">
        <w:rPr>
          <w:vertAlign w:val="superscript"/>
        </w:rPr>
        <w:endnoteReference w:id="25"/>
      </w:r>
      <w:r w:rsidRPr="0092004C">
        <w:t xml:space="preserve"> o la Línea de ayuda nacional de SAMHSA, 1-800-662-HELP (4357).</w:t>
      </w:r>
      <w:r w:rsidRPr="0092004C">
        <w:rPr>
          <w:rStyle w:val="EndnoteReference"/>
        </w:rPr>
        <w:endnoteReference w:id="26"/>
      </w:r>
      <w:r w:rsidRPr="0092004C">
        <w:t xml:space="preserve"> </w:t>
      </w:r>
    </w:p>
    <w:p w14:paraId="173E441E" w14:textId="77777777" w:rsidR="00473EAD" w:rsidRPr="0092004C" w:rsidRDefault="00473EAD" w:rsidP="00473EAD">
      <w:pPr>
        <w:pStyle w:val="Heading3"/>
      </w:pPr>
      <w:bookmarkStart w:id="10" w:name="_Toc120034132"/>
      <w:r w:rsidRPr="0092004C">
        <w:t>Tipos adicionales de apoyo</w:t>
      </w:r>
      <w:bookmarkEnd w:id="10"/>
    </w:p>
    <w:p w14:paraId="4AC7FBBA" w14:textId="77777777" w:rsidR="00473EAD" w:rsidRPr="0092004C" w:rsidRDefault="00473EAD" w:rsidP="00473EAD">
      <w:pPr>
        <w:pStyle w:val="Heading4"/>
        <w:spacing w:before="80"/>
        <w:rPr>
          <w:rFonts w:cs="Segoe UI"/>
        </w:rPr>
      </w:pPr>
      <w:r w:rsidRPr="0092004C">
        <w:t>Programas grupales de ayuda mutua</w:t>
      </w:r>
    </w:p>
    <w:p w14:paraId="7510FDB0" w14:textId="77777777" w:rsidR="00473EAD" w:rsidRPr="0092004C" w:rsidRDefault="00473EAD" w:rsidP="00473EAD">
      <w:pPr>
        <w:pStyle w:val="MDPHParagraph"/>
      </w:pPr>
      <w:r w:rsidRPr="0092004C">
        <w:t xml:space="preserve">Los grupos de ayuda mutua apoyan a las personas (o a las familias y a los amigos de las personas) que buscan obtener o mantener la sobriedad mediante conexiones con sus pares. Los grupos ofrecen apoyo social y emocional, herramientas y técnicas estructuradas, motivación y rendición de cuentas mediante experiencias compartidas. </w:t>
      </w:r>
    </w:p>
    <w:p w14:paraId="27E13117" w14:textId="77777777" w:rsidR="00473EAD" w:rsidRPr="0092004C" w:rsidRDefault="00473EAD" w:rsidP="00473EAD">
      <w:pPr>
        <w:pStyle w:val="MDPHParagraph"/>
        <w:numPr>
          <w:ilvl w:val="0"/>
          <w:numId w:val="8"/>
        </w:numPr>
      </w:pPr>
      <w:r w:rsidRPr="0092004C">
        <w:t>“Ir a reuniones me ha mantenido limpio cuando nada más pudo, hablar con otros adictos, el trabajo de servicio y rodearme a mí mismo con este programa ha sido invaluable”.</w:t>
      </w:r>
      <w:r w:rsidRPr="0092004C">
        <w:rPr>
          <w:rStyle w:val="EndnoteReference"/>
        </w:rPr>
        <w:endnoteReference w:id="27"/>
      </w:r>
    </w:p>
    <w:p w14:paraId="0525056B" w14:textId="77777777" w:rsidR="00473EAD" w:rsidRPr="0092004C" w:rsidRDefault="00473EAD" w:rsidP="00473EAD">
      <w:pPr>
        <w:pStyle w:val="MDPHParagraph"/>
      </w:pPr>
      <w:r w:rsidRPr="0092004C">
        <w:t xml:space="preserve">En Massachusetts, algunos grupos para personas con OUD y </w:t>
      </w:r>
      <w:proofErr w:type="spellStart"/>
      <w:r w:rsidRPr="0092004C">
        <w:t>StUD</w:t>
      </w:r>
      <w:proofErr w:type="spellEnd"/>
      <w:r w:rsidRPr="0092004C">
        <w:t xml:space="preserve"> incluyen:</w:t>
      </w:r>
    </w:p>
    <w:p w14:paraId="784D86FA" w14:textId="77777777" w:rsidR="00473EAD" w:rsidRPr="0092004C" w:rsidRDefault="00473EAD" w:rsidP="00473EAD">
      <w:pPr>
        <w:pStyle w:val="MDPHBullet"/>
      </w:pPr>
      <w:hyperlink r:id="rId16" w:history="1">
        <w:proofErr w:type="spellStart"/>
        <w:r w:rsidRPr="0092004C">
          <w:rPr>
            <w:rStyle w:val="Hyperlink"/>
          </w:rPr>
          <w:t>Narcotics</w:t>
        </w:r>
        <w:proofErr w:type="spellEnd"/>
        <w:r w:rsidRPr="0092004C">
          <w:rPr>
            <w:rStyle w:val="Hyperlink"/>
          </w:rPr>
          <w:t xml:space="preserve"> Anonymous (NA)</w:t>
        </w:r>
      </w:hyperlink>
      <w:r w:rsidRPr="0092004C">
        <w:rPr>
          <w:rStyle w:val="EndnoteReference"/>
        </w:rPr>
        <w:endnoteReference w:id="28"/>
      </w:r>
      <w:r w:rsidRPr="0092004C">
        <w:t xml:space="preserve"> </w:t>
      </w:r>
    </w:p>
    <w:p w14:paraId="51400BFF" w14:textId="77777777" w:rsidR="00473EAD" w:rsidRPr="0092004C" w:rsidRDefault="00473EAD" w:rsidP="00473EAD">
      <w:pPr>
        <w:pStyle w:val="MDPHBullet"/>
      </w:pPr>
      <w:hyperlink r:id="rId17" w:history="1">
        <w:proofErr w:type="spellStart"/>
        <w:r w:rsidRPr="0092004C">
          <w:rPr>
            <w:rStyle w:val="Hyperlink"/>
          </w:rPr>
          <w:t>Nar-Anon</w:t>
        </w:r>
        <w:proofErr w:type="spellEnd"/>
      </w:hyperlink>
      <w:r w:rsidRPr="0092004C">
        <w:rPr>
          <w:rStyle w:val="EndnoteReference"/>
        </w:rPr>
        <w:endnoteReference w:id="29"/>
      </w:r>
      <w:r w:rsidRPr="0092004C">
        <w:t xml:space="preserve"> </w:t>
      </w:r>
    </w:p>
    <w:p w14:paraId="21191420" w14:textId="77777777" w:rsidR="00473EAD" w:rsidRPr="0092004C" w:rsidRDefault="00473EAD" w:rsidP="00473EAD">
      <w:pPr>
        <w:pStyle w:val="MDPHBullet"/>
      </w:pPr>
      <w:hyperlink r:id="rId18" w:history="1">
        <w:r w:rsidRPr="0092004C">
          <w:rPr>
            <w:rStyle w:val="Hyperlink"/>
          </w:rPr>
          <w:t xml:space="preserve">SMART </w:t>
        </w:r>
        <w:proofErr w:type="spellStart"/>
        <w:r w:rsidRPr="0092004C">
          <w:rPr>
            <w:rStyle w:val="Hyperlink"/>
          </w:rPr>
          <w:t>Recovery</w:t>
        </w:r>
        <w:proofErr w:type="spellEnd"/>
        <w:r w:rsidRPr="0092004C">
          <w:rPr>
            <w:rStyle w:val="Hyperlink"/>
          </w:rPr>
          <w:t>®</w:t>
        </w:r>
      </w:hyperlink>
      <w:r w:rsidRPr="0092004C">
        <w:rPr>
          <w:rStyle w:val="EndnoteReference"/>
        </w:rPr>
        <w:endnoteReference w:id="30"/>
      </w:r>
      <w:r w:rsidRPr="0092004C">
        <w:t xml:space="preserve"> </w:t>
      </w:r>
    </w:p>
    <w:p w14:paraId="5A25C4F9" w14:textId="77777777" w:rsidR="00473EAD" w:rsidRPr="0092004C" w:rsidRDefault="00473EAD" w:rsidP="00473EAD">
      <w:pPr>
        <w:pStyle w:val="MDPHBullet"/>
      </w:pPr>
      <w:hyperlink r:id="rId19" w:history="1">
        <w:r w:rsidRPr="0092004C">
          <w:rPr>
            <w:rStyle w:val="Hyperlink"/>
          </w:rPr>
          <w:t xml:space="preserve">Dual </w:t>
        </w:r>
        <w:proofErr w:type="spellStart"/>
        <w:r w:rsidRPr="0092004C">
          <w:rPr>
            <w:rStyle w:val="Hyperlink"/>
          </w:rPr>
          <w:t>Recovery</w:t>
        </w:r>
        <w:proofErr w:type="spellEnd"/>
        <w:r w:rsidRPr="0092004C">
          <w:rPr>
            <w:rStyle w:val="Hyperlink"/>
          </w:rPr>
          <w:t xml:space="preserve"> Anonymous</w:t>
        </w:r>
      </w:hyperlink>
      <w:r w:rsidRPr="0092004C">
        <w:rPr>
          <w:rStyle w:val="EndnoteReference"/>
        </w:rPr>
        <w:endnoteReference w:id="31"/>
      </w:r>
      <w:r w:rsidRPr="0092004C">
        <w:t xml:space="preserve"> </w:t>
      </w:r>
    </w:p>
    <w:p w14:paraId="76026AE2" w14:textId="77777777" w:rsidR="00473EAD" w:rsidRPr="0092004C" w:rsidRDefault="00473EAD" w:rsidP="00473EAD">
      <w:pPr>
        <w:pStyle w:val="MDPHBullet"/>
        <w:rPr>
          <w:lang w:val="en-US"/>
        </w:rPr>
      </w:pPr>
      <w:hyperlink r:id="rId20" w:history="1">
        <w:r w:rsidRPr="0092004C">
          <w:rPr>
            <w:rStyle w:val="Hyperlink"/>
            <w:lang w:val="en-US"/>
          </w:rPr>
          <w:t>Massachusetts Organization for Addiction Recovery (MOAR)</w:t>
        </w:r>
      </w:hyperlink>
      <w:r w:rsidRPr="0092004C">
        <w:rPr>
          <w:rStyle w:val="EndnoteReference"/>
        </w:rPr>
        <w:endnoteReference w:id="32"/>
      </w:r>
      <w:r w:rsidRPr="0092004C">
        <w:rPr>
          <w:lang w:val="en-US"/>
        </w:rPr>
        <w:t xml:space="preserve"> </w:t>
      </w:r>
    </w:p>
    <w:p w14:paraId="55CB458E" w14:textId="77777777" w:rsidR="00473EAD" w:rsidRPr="0092004C" w:rsidRDefault="00473EAD" w:rsidP="00473EAD">
      <w:pPr>
        <w:pStyle w:val="MDPHBullet"/>
      </w:pPr>
      <w:hyperlink r:id="rId21" w:history="1">
        <w:r w:rsidRPr="0092004C">
          <w:rPr>
            <w:rStyle w:val="Hyperlink"/>
          </w:rPr>
          <w:t>Carpeta de recuperación</w:t>
        </w:r>
      </w:hyperlink>
      <w:r w:rsidRPr="0092004C">
        <w:t xml:space="preserve"> </w:t>
      </w:r>
      <w:r w:rsidRPr="0092004C">
        <w:rPr>
          <w:rStyle w:val="EndnoteReference"/>
        </w:rPr>
        <w:endnoteReference w:id="33"/>
      </w:r>
      <w:r w:rsidRPr="0092004C">
        <w:t xml:space="preserve"> </w:t>
      </w:r>
    </w:p>
    <w:p w14:paraId="72383053" w14:textId="77777777" w:rsidR="00473EAD" w:rsidRPr="0092004C" w:rsidRDefault="00473EAD" w:rsidP="00473EAD">
      <w:pPr>
        <w:pStyle w:val="MDPHBullet"/>
      </w:pPr>
      <w:hyperlink r:id="rId22" w:history="1">
        <w:proofErr w:type="spellStart"/>
        <w:r w:rsidRPr="0092004C">
          <w:rPr>
            <w:rStyle w:val="Hyperlink"/>
          </w:rPr>
          <w:t>The</w:t>
        </w:r>
        <w:proofErr w:type="spellEnd"/>
        <w:r w:rsidRPr="0092004C">
          <w:rPr>
            <w:rStyle w:val="Hyperlink"/>
          </w:rPr>
          <w:t xml:space="preserve"> Phoenix</w:t>
        </w:r>
      </w:hyperlink>
      <w:r w:rsidRPr="0092004C">
        <w:rPr>
          <w:rStyle w:val="EndnoteReference"/>
        </w:rPr>
        <w:endnoteReference w:id="34"/>
      </w:r>
      <w:r w:rsidRPr="0092004C">
        <w:t xml:space="preserve"> </w:t>
      </w:r>
    </w:p>
    <w:p w14:paraId="70A2D4E3" w14:textId="77777777" w:rsidR="00473EAD" w:rsidRPr="0092004C" w:rsidRDefault="00473EAD" w:rsidP="00473EAD">
      <w:pPr>
        <w:pStyle w:val="Heading4"/>
        <w:rPr>
          <w:rFonts w:cs="Segoe UI"/>
        </w:rPr>
      </w:pPr>
      <w:r w:rsidRPr="0092004C">
        <w:t>Centros de recuperación</w:t>
      </w:r>
    </w:p>
    <w:p w14:paraId="31CE08AB" w14:textId="77777777" w:rsidR="00473EAD" w:rsidRPr="0092004C" w:rsidRDefault="00473EAD" w:rsidP="00473EAD">
      <w:pPr>
        <w:pStyle w:val="MDPHParagraph"/>
      </w:pPr>
      <w:r w:rsidRPr="0092004C">
        <w:t xml:space="preserve">Los centros de recuperación </w:t>
      </w:r>
      <w:proofErr w:type="gramStart"/>
      <w:r w:rsidRPr="0092004C">
        <w:t>le</w:t>
      </w:r>
      <w:proofErr w:type="gramEnd"/>
      <w:r w:rsidRPr="0092004C">
        <w:t xml:space="preserve"> ofrecen a las personas educación sobre la recuperación y apoyo de pares para ayudar a prevenir la reincidencia y promover una recuperación sostenida del alcohol y otras drogas. Los centros de recuperación también llevan a cabo divulgación comunitaria. También vinculan a las familias a apoyo y Asesoría para la prevención de reincidencias, eventos sociales libres de alcohol y de otras drogas, capacitación en habilidades para la vida y educación, y exploración de carrera. Ofrecen asistencia con vivienda, empleo, asistencia pública, ayuda de emergencia, beneficios y derechos, servicios legales, aplicaciones educativas y de trabajo, ayuda económica, rehabilitación y capacitación vocacional, relaciones sociales de recuperación, y defensa y empoderamiento de personas en recuperación. </w:t>
      </w:r>
    </w:p>
    <w:p w14:paraId="482F59DE" w14:textId="77777777" w:rsidR="00473EAD" w:rsidRPr="0092004C" w:rsidRDefault="00473EAD" w:rsidP="00473EAD">
      <w:pPr>
        <w:pStyle w:val="Heading4"/>
        <w:rPr>
          <w:rFonts w:cs="Segoe UI"/>
        </w:rPr>
      </w:pPr>
      <w:r w:rsidRPr="0092004C">
        <w:t>Instructores de recuperación entre compañeros</w:t>
      </w:r>
    </w:p>
    <w:p w14:paraId="5B977A01" w14:textId="77777777" w:rsidR="00473EAD" w:rsidRPr="0092004C" w:rsidRDefault="00473EAD" w:rsidP="00473EAD">
      <w:pPr>
        <w:pStyle w:val="MDPHParagraph"/>
      </w:pPr>
      <w:r w:rsidRPr="0092004C">
        <w:t xml:space="preserve">Un instructor de recuperación entre compañeros es parte del equipo interdisciplinario de atención. Combinan la experiencia vivida de la recuperación con capacitación y supervisión para ayudar a otros a iniciar y mantener su recuperación mediante superación personal, participación en la comunidad y cívica, y bienestar general. </w:t>
      </w:r>
    </w:p>
    <w:p w14:paraId="5D3068D4" w14:textId="77777777" w:rsidR="00473EAD" w:rsidRPr="0092004C" w:rsidRDefault="00473EAD" w:rsidP="00473EAD">
      <w:pPr>
        <w:pStyle w:val="MDPHParagraph"/>
        <w:spacing w:after="80"/>
      </w:pPr>
      <w:r w:rsidRPr="0092004C">
        <w:t xml:space="preserve">Los instructores de recuperación entre compañeros les ayudan a las personas a crear planes y trayectorias de </w:t>
      </w:r>
      <w:r w:rsidRPr="0092004C">
        <w:lastRenderedPageBreak/>
        <w:t xml:space="preserve">recuperación, incluyendo apoyo emocional, información (recursos de soporte de salud y bienestar), apoyo concreto (vivienda y empleo) y conexiones (apoyos de comunidad de recuperación, actividades y eventos). De ser adecuado, contacte al OTP u OBOT/OBAT de su comunidad para conectar a los residentes con un instructor de recuperación. </w:t>
      </w:r>
      <w:proofErr w:type="spellStart"/>
      <w:r w:rsidRPr="0092004C">
        <w:t>MassHealth</w:t>
      </w:r>
      <w:proofErr w:type="spellEnd"/>
      <w:r w:rsidRPr="0092004C">
        <w:t xml:space="preserve"> cubre servicios de instructor de recuperación. La investigación actual muestra que las personas que reciben apoyo de recuperación entre compañeros experimentan una reducción en el uso de sustancias o mejoras en los resultados de la recuperación, en una escala de pequeña a moderada.</w:t>
      </w:r>
      <w:r w:rsidRPr="0092004C">
        <w:rPr>
          <w:rStyle w:val="EndnoteReference"/>
        </w:rPr>
        <w:t xml:space="preserve"> </w:t>
      </w:r>
      <w:r w:rsidRPr="0092004C">
        <w:rPr>
          <w:rStyle w:val="EndnoteReference"/>
        </w:rPr>
        <w:endnoteReference w:id="35"/>
      </w:r>
    </w:p>
    <w:p w14:paraId="25327F82" w14:textId="77777777" w:rsidR="00473EAD" w:rsidRPr="0092004C" w:rsidRDefault="00473EAD" w:rsidP="00473EAD">
      <w:pPr>
        <w:pStyle w:val="MDPHBullet"/>
      </w:pPr>
      <w:r w:rsidRPr="0092004C">
        <w:t>“El apoyo de mis compañeros me ayudó a ver que tenía esperanza. Me devolvió mi voz, impulsando mi autoestima”.</w:t>
      </w:r>
      <w:r w:rsidRPr="0092004C">
        <w:rPr>
          <w:vertAlign w:val="superscript"/>
        </w:rPr>
        <w:t>201</w:t>
      </w:r>
    </w:p>
    <w:p w14:paraId="1D5266AF" w14:textId="77777777" w:rsidR="00473EAD" w:rsidRPr="0092004C" w:rsidRDefault="00473EAD" w:rsidP="00473EAD">
      <w:pPr>
        <w:pStyle w:val="Heading4"/>
        <w:spacing w:before="100"/>
        <w:rPr>
          <w:rFonts w:cs="Segoe UI"/>
        </w:rPr>
      </w:pPr>
      <w:r w:rsidRPr="0092004C">
        <w:t>Asesor de pacientes</w:t>
      </w:r>
    </w:p>
    <w:p w14:paraId="7D3A13D9" w14:textId="77777777" w:rsidR="00473EAD" w:rsidRPr="0092004C" w:rsidRDefault="00473EAD" w:rsidP="00473EAD">
      <w:pPr>
        <w:pStyle w:val="MDPHParagraph"/>
        <w:spacing w:before="40" w:after="40"/>
      </w:pPr>
      <w:r w:rsidRPr="0092004C">
        <w:t>Un asesor de pacientes es una persona que trabaja en conjunto con los sistemas de atención médica locales. Un asesor de pacientes ayuda a guiar a un paciente o residente a través del sistema de atención médica y los servicios de apoyo. Estos servicios pueden ser recursos valiosos una vez que un paciente es dado de alta a su hogar. Los asesores de pacientes pueden ayudar a identificar las necesidades del paciente y a dirigir a los pacientes para recibir apoyo emocional, económico, administrativo, legal, social o cultural. Los asesores de pacientes mejoran el acceso a la atención mediante la defensoría y la coordinación de la atención. También trabajan para reducir las disparidades y las barreras nacidas de las diferencias de idioma y culturales.</w:t>
      </w:r>
      <w:r w:rsidRPr="0092004C">
        <w:rPr>
          <w:rStyle w:val="EndnoteReference"/>
        </w:rPr>
        <w:endnoteReference w:id="36"/>
      </w:r>
      <w:r w:rsidRPr="0092004C">
        <w:t xml:space="preserve"> El seguro usualmente no cubre a los asesores. Un asesor de pacientes trabaja con:</w:t>
      </w:r>
    </w:p>
    <w:p w14:paraId="38186897" w14:textId="77777777" w:rsidR="00473EAD" w:rsidRPr="0092004C" w:rsidRDefault="00473EAD" w:rsidP="00473EAD">
      <w:pPr>
        <w:pStyle w:val="MDPHBullet"/>
      </w:pPr>
      <w:r w:rsidRPr="0092004C">
        <w:t>La persona y la familia u otros cuidadores para ayudarles a orientarse a sí mismos</w:t>
      </w:r>
    </w:p>
    <w:p w14:paraId="1B712CF8" w14:textId="77777777" w:rsidR="00473EAD" w:rsidRPr="0092004C" w:rsidRDefault="00473EAD" w:rsidP="00473EAD">
      <w:pPr>
        <w:pStyle w:val="MDPHBullet"/>
      </w:pPr>
      <w:r w:rsidRPr="0092004C">
        <w:t xml:space="preserve">Miembros del equipo de atención médica para facilitar la atención médica del paciente </w:t>
      </w:r>
    </w:p>
    <w:p w14:paraId="5FD6DDD7" w14:textId="77777777" w:rsidR="00473EAD" w:rsidRPr="0092004C" w:rsidRDefault="00473EAD" w:rsidP="00473EAD">
      <w:pPr>
        <w:pStyle w:val="MDPHBullet"/>
      </w:pPr>
      <w:r w:rsidRPr="0092004C">
        <w:t>Proveedores de recursos de comunidad (incluyendo compañías de seguros, empleadores, administradores de caso, abogados y servicios sociales) que pueden tener un efecto en las necesidades de atención médica de una persona.</w:t>
      </w:r>
      <w:r w:rsidRPr="0092004C">
        <w:rPr>
          <w:rStyle w:val="EndnoteReference"/>
        </w:rPr>
        <w:endnoteReference w:id="37"/>
      </w:r>
    </w:p>
    <w:p w14:paraId="51096057" w14:textId="77777777" w:rsidR="00473EAD" w:rsidRPr="0092004C" w:rsidRDefault="00473EAD" w:rsidP="00473EAD">
      <w:pPr>
        <w:pStyle w:val="MDPHParagraph"/>
        <w:spacing w:before="60" w:after="40"/>
      </w:pPr>
      <w:r w:rsidRPr="0092004C">
        <w:t xml:space="preserve">Algunas áreas tienen asesores de pacientes que se especializan en OUD y </w:t>
      </w:r>
      <w:proofErr w:type="spellStart"/>
      <w:r w:rsidRPr="0092004C">
        <w:t>StUD</w:t>
      </w:r>
      <w:proofErr w:type="spellEnd"/>
      <w:r w:rsidRPr="0092004C">
        <w:t xml:space="preserve">. Por ejemplo, en el condado </w:t>
      </w:r>
      <w:proofErr w:type="spellStart"/>
      <w:r w:rsidRPr="0092004C">
        <w:t>Gulford</w:t>
      </w:r>
      <w:proofErr w:type="spellEnd"/>
      <w:r w:rsidRPr="0092004C">
        <w:t>, Carolina del Norte, un programa proporciona un asesor para visitar a las personas que experimentaron una sobredosis, dentro de las 72 horas posteriores a ser reanimadas por un Servicio médico de emergencia (EMS). El asesor “evalúa los riesgos de repetir una sobredosis, evalúa el SUD actual, discute las opciones de tratamiento, proporciona educación acerca de la reducción de daño y distribuye capacitación sobre el uso de naloxona”.</w:t>
      </w:r>
      <w:r w:rsidRPr="0092004C">
        <w:rPr>
          <w:rStyle w:val="EndnoteReference"/>
        </w:rPr>
        <w:endnoteReference w:id="38"/>
      </w:r>
      <w:r w:rsidRPr="0092004C">
        <w:t xml:space="preserve"> Uno de sus asesores comentó:</w:t>
      </w:r>
    </w:p>
    <w:p w14:paraId="6FC1BE46" w14:textId="77777777" w:rsidR="00473EAD" w:rsidRPr="0092004C" w:rsidRDefault="00473EAD" w:rsidP="00473EAD">
      <w:pPr>
        <w:pStyle w:val="MDPHParagraph"/>
        <w:numPr>
          <w:ilvl w:val="0"/>
          <w:numId w:val="8"/>
        </w:numPr>
        <w:spacing w:before="60" w:after="40"/>
      </w:pPr>
      <w:r w:rsidRPr="0092004C">
        <w:t>“Nos reunimos con las personas donde están y construimos relaciones. Luego se dan cuenta de que no somos un peligro. Estamos ahí para propagar el afecto, no para herirles”.</w:t>
      </w:r>
      <w:r w:rsidRPr="0092004C">
        <w:rPr>
          <w:rStyle w:val="EndnoteReference"/>
        </w:rPr>
        <w:endnoteReference w:id="39"/>
      </w:r>
      <w:r w:rsidRPr="0092004C">
        <w:t xml:space="preserve"> </w:t>
      </w:r>
    </w:p>
    <w:p w14:paraId="76AD6702" w14:textId="77777777" w:rsidR="00473EAD" w:rsidRPr="0092004C" w:rsidRDefault="00473EAD" w:rsidP="00473EAD">
      <w:pPr>
        <w:pStyle w:val="MDPHParagraph"/>
        <w:spacing w:before="100" w:after="100"/>
      </w:pPr>
      <w:r w:rsidRPr="0092004C">
        <w:t>Mientras que los trabajadores de salud de la comunidad (CHW) usualmente no están asociados con los LTCF, pueden ser valiosos para los residentes al ser dados de alta. Los CHW a menudo ayudan a las personas a comunicarse con los proveedores de atención médica y a conectarles con los recursos comunitarios, incluyendo agencias de servicio social. Los CHW son agentes de cambio de primera línea, ayudando a reducir las disparidades de salud en comunidades desatendidas”.</w:t>
      </w:r>
      <w:r w:rsidRPr="0092004C">
        <w:rPr>
          <w:rStyle w:val="EndnoteReference"/>
        </w:rPr>
        <w:endnoteReference w:id="40"/>
      </w:r>
      <w:r w:rsidRPr="0092004C">
        <w:t xml:space="preserve"> Los CHW proporcionan educación y apoyo, incluyendo programas de ayuda mutua, Asesoría en casos de crisis, recomendaciones y planes para la prevención de reincidencia.</w:t>
      </w:r>
      <w:r w:rsidRPr="0092004C">
        <w:rPr>
          <w:rStyle w:val="EndnoteReference"/>
        </w:rPr>
        <w:endnoteReference w:id="41"/>
      </w:r>
      <w:r w:rsidRPr="0092004C">
        <w:t xml:space="preserve"> De forma más específica, los CHW proporcionan servicios de interpretación y traducción, educación e información de salud culturalmente adecuada, asistencia para acceder a los servicios y los recursos de atención médica, Asesoría informal acerca de comportamientos de salud, defensoría para una persona y necesidades de salud de la comunidad, y algunos servicios preventivos (como revisión de presión arterial).</w:t>
      </w:r>
      <w:r w:rsidRPr="0092004C">
        <w:rPr>
          <w:rStyle w:val="EndnoteReference"/>
        </w:rPr>
        <w:endnoteReference w:id="42"/>
      </w:r>
    </w:p>
    <w:p w14:paraId="7555A0FF" w14:textId="77777777" w:rsidR="00473EAD" w:rsidRPr="0092004C" w:rsidRDefault="00473EAD" w:rsidP="00473EAD">
      <w:pPr>
        <w:pStyle w:val="MDPHParagraph"/>
        <w:numPr>
          <w:ilvl w:val="0"/>
          <w:numId w:val="8"/>
        </w:numPr>
        <w:spacing w:before="100" w:after="100"/>
      </w:pPr>
      <w:r w:rsidRPr="0092004C">
        <w:lastRenderedPageBreak/>
        <w:t>"Aprendí cómo ayudar a los miembros a volverse autosuficientes con su atención médica. Hacen y mantienen sus citas, tienen transporte efectivo y la habilidad de superar las barreras sociales conforme las encuentran. Los miembros ansían ver mi rostro amigable y sonríen cuando tienen citas clínicas”.</w:t>
      </w:r>
      <w:r w:rsidRPr="0092004C">
        <w:rPr>
          <w:rStyle w:val="EndnoteReference"/>
        </w:rPr>
        <w:endnoteReference w:id="43"/>
      </w:r>
    </w:p>
    <w:p w14:paraId="710E5EC7" w14:textId="77777777" w:rsidR="00473EAD" w:rsidRPr="0092004C" w:rsidRDefault="00473EAD" w:rsidP="00473EAD">
      <w:pPr>
        <w:pStyle w:val="Heading2"/>
      </w:pPr>
      <w:bookmarkStart w:id="11" w:name="_Toc120034133"/>
      <w:r w:rsidRPr="0092004C">
        <w:t>Educación y recursos</w:t>
      </w:r>
      <w:bookmarkEnd w:id="11"/>
    </w:p>
    <w:p w14:paraId="4F56FA25" w14:textId="77777777" w:rsidR="00473EAD" w:rsidRPr="0092004C" w:rsidRDefault="00473EAD" w:rsidP="00473EAD">
      <w:pPr>
        <w:pStyle w:val="MDPHBullet"/>
      </w:pPr>
      <w:r w:rsidRPr="0092004C">
        <w:t xml:space="preserve">La línea de ayuda de uso de sustancias de Massachusetts: 1-800-327-5050, sitio web en </w:t>
      </w:r>
      <w:hyperlink r:id="rId23" w:history="1">
        <w:proofErr w:type="gramStart"/>
        <w:r w:rsidRPr="0092004C">
          <w:rPr>
            <w:rStyle w:val="Hyperlink"/>
          </w:rPr>
          <w:t>Inglés</w:t>
        </w:r>
        <w:proofErr w:type="gramEnd"/>
      </w:hyperlink>
      <w:r w:rsidRPr="0092004C">
        <w:rPr>
          <w:rStyle w:val="Hyperlink"/>
        </w:rPr>
        <w:t>;</w:t>
      </w:r>
      <w:r w:rsidRPr="0092004C">
        <w:rPr>
          <w:rStyle w:val="EndnoteReference"/>
        </w:rPr>
        <w:endnoteReference w:id="44"/>
      </w:r>
      <w:r w:rsidRPr="0092004C">
        <w:t xml:space="preserve"> sitio web en </w:t>
      </w:r>
      <w:hyperlink r:id="rId24" w:history="1">
        <w:r w:rsidRPr="0092004C">
          <w:rPr>
            <w:rStyle w:val="Hyperlink"/>
          </w:rPr>
          <w:t>Español</w:t>
        </w:r>
      </w:hyperlink>
      <w:r w:rsidRPr="0092004C">
        <w:rPr>
          <w:rStyle w:val="EndnoteReference"/>
        </w:rPr>
        <w:endnoteReference w:id="45"/>
      </w:r>
    </w:p>
    <w:p w14:paraId="56C72F0A" w14:textId="77777777" w:rsidR="00473EAD" w:rsidRPr="00FC0CA5" w:rsidRDefault="00473EAD" w:rsidP="00473EAD">
      <w:pPr>
        <w:pStyle w:val="MDPHBullet"/>
        <w:rPr>
          <w:lang w:val="en-US"/>
        </w:rPr>
      </w:pPr>
      <w:r w:rsidRPr="00FC0CA5">
        <w:rPr>
          <w:lang w:val="en-US"/>
        </w:rPr>
        <w:t xml:space="preserve">SAMHSA: </w:t>
      </w:r>
      <w:hyperlink r:id="rId25" w:history="1">
        <w:r w:rsidRPr="00FC0CA5">
          <w:rPr>
            <w:rStyle w:val="Hyperlink"/>
            <w:lang w:val="en-US"/>
          </w:rPr>
          <w:t>Federal Guidelines for Opioid Treatment Programs</w:t>
        </w:r>
      </w:hyperlink>
      <w:r w:rsidRPr="0092004C">
        <w:rPr>
          <w:rStyle w:val="EndnoteReference"/>
        </w:rPr>
        <w:endnoteReference w:id="46"/>
      </w:r>
      <w:r w:rsidRPr="00FC0CA5">
        <w:rPr>
          <w:lang w:val="en-US"/>
        </w:rPr>
        <w:t xml:space="preserve"> </w:t>
      </w:r>
    </w:p>
    <w:p w14:paraId="3264650E" w14:textId="77777777" w:rsidR="00473EAD" w:rsidRPr="0092004C" w:rsidRDefault="00473EAD" w:rsidP="00473EAD">
      <w:pPr>
        <w:pStyle w:val="MDPHBullet"/>
      </w:pPr>
      <w:r w:rsidRPr="0092004C">
        <w:t xml:space="preserve">SAMHSA: </w:t>
      </w:r>
      <w:hyperlink r:id="rId26" w:history="1">
        <w:r w:rsidRPr="0092004C">
          <w:rPr>
            <w:rStyle w:val="Hyperlink"/>
          </w:rPr>
          <w:t>Directorio de programas de tratamiento de opiáceos.</w:t>
        </w:r>
      </w:hyperlink>
      <w:r w:rsidRPr="0092004C">
        <w:rPr>
          <w:rStyle w:val="EndnoteReference"/>
        </w:rPr>
        <w:endnoteReference w:id="47"/>
      </w:r>
    </w:p>
    <w:p w14:paraId="50859C6E" w14:textId="77777777" w:rsidR="00473EAD" w:rsidRPr="00FC0CA5" w:rsidRDefault="00473EAD" w:rsidP="00473EAD">
      <w:pPr>
        <w:pStyle w:val="MDPHBullet"/>
        <w:rPr>
          <w:lang w:val="en-US"/>
        </w:rPr>
      </w:pPr>
      <w:proofErr w:type="spellStart"/>
      <w:r w:rsidRPr="00FC0CA5">
        <w:rPr>
          <w:lang w:val="en-US"/>
        </w:rPr>
        <w:t>Comisión</w:t>
      </w:r>
      <w:proofErr w:type="spellEnd"/>
      <w:r w:rsidRPr="00FC0CA5">
        <w:rPr>
          <w:lang w:val="en-US"/>
        </w:rPr>
        <w:t xml:space="preserve"> de Política Sanitaria de Massachusetts: </w:t>
      </w:r>
      <w:hyperlink r:id="rId27" w:history="1">
        <w:r w:rsidRPr="00FC0CA5">
          <w:rPr>
            <w:rStyle w:val="Hyperlink"/>
            <w:lang w:val="en-US"/>
          </w:rPr>
          <w:t>Integrating Telemedicine for Behavioral Health: Practical Lessons from the Field</w:t>
        </w:r>
      </w:hyperlink>
      <w:r w:rsidRPr="0092004C">
        <w:rPr>
          <w:rStyle w:val="EndnoteReference"/>
        </w:rPr>
        <w:endnoteReference w:id="48"/>
      </w:r>
      <w:r>
        <w:rPr>
          <w:lang w:val="en-US"/>
        </w:rPr>
        <w:t xml:space="preserve"> </w:t>
      </w:r>
    </w:p>
    <w:p w14:paraId="30CF19B4" w14:textId="77777777" w:rsidR="00473EAD" w:rsidRPr="00FC0CA5" w:rsidRDefault="00473EAD" w:rsidP="00473EAD">
      <w:pPr>
        <w:pStyle w:val="MDPHBullet"/>
        <w:rPr>
          <w:lang w:val="en-US"/>
        </w:rPr>
      </w:pPr>
      <w:r w:rsidRPr="00FC0CA5">
        <w:rPr>
          <w:lang w:val="en-US"/>
        </w:rPr>
        <w:t xml:space="preserve">RIZE Massachusetts Foundation: </w:t>
      </w:r>
      <w:hyperlink r:id="rId28" w:history="1">
        <w:r w:rsidRPr="00FC0CA5">
          <w:rPr>
            <w:rStyle w:val="Hyperlink"/>
            <w:lang w:val="en-US"/>
          </w:rPr>
          <w:t>Health Resources in Action</w:t>
        </w:r>
      </w:hyperlink>
      <w:r w:rsidRPr="0092004C">
        <w:rPr>
          <w:rStyle w:val="EndnoteReference"/>
        </w:rPr>
        <w:endnoteReference w:id="49"/>
      </w:r>
    </w:p>
    <w:p w14:paraId="1419DDE4" w14:textId="77777777" w:rsidR="00473EAD" w:rsidRPr="0092004C" w:rsidRDefault="00473EAD" w:rsidP="00473EAD">
      <w:pPr>
        <w:pStyle w:val="MDPHBullet"/>
      </w:pPr>
      <w:r w:rsidRPr="0092004C">
        <w:t xml:space="preserve">S.A.F.E. Proyecto: </w:t>
      </w:r>
      <w:hyperlink r:id="rId29" w:history="1">
        <w:r w:rsidRPr="0092004C">
          <w:rPr>
            <w:rStyle w:val="Hyperlink"/>
          </w:rPr>
          <w:t>Manual de la Comunidad</w:t>
        </w:r>
      </w:hyperlink>
      <w:r w:rsidRPr="0092004C">
        <w:rPr>
          <w:rStyle w:val="EndnoteReference"/>
        </w:rPr>
        <w:endnoteReference w:id="50"/>
      </w:r>
    </w:p>
    <w:p w14:paraId="3F6242F4" w14:textId="77777777" w:rsidR="00473EAD" w:rsidRPr="0092004C" w:rsidRDefault="00473EAD" w:rsidP="00473EAD">
      <w:pPr>
        <w:pStyle w:val="MDPHBullet"/>
      </w:pPr>
      <w:r w:rsidRPr="0092004C">
        <w:t xml:space="preserve">S.A.F.E. Proyecto NA y personas que reciben tratamiento asistido con medicamentos: </w:t>
      </w:r>
      <w:hyperlink r:id="rId30" w:history="1">
        <w:r w:rsidRPr="0092004C">
          <w:rPr>
            <w:rStyle w:val="Hyperlink"/>
          </w:rPr>
          <w:t>Folleto para los profesionales</w:t>
        </w:r>
      </w:hyperlink>
      <w:r w:rsidRPr="0092004C">
        <w:rPr>
          <w:rStyle w:val="EndnoteReference"/>
        </w:rPr>
        <w:endnoteReference w:id="51"/>
      </w:r>
      <w:r w:rsidRPr="0092004C">
        <w:t xml:space="preserve"> </w:t>
      </w:r>
    </w:p>
    <w:p w14:paraId="37AF5D4A" w14:textId="77777777" w:rsidR="00473EAD" w:rsidRPr="0092004C" w:rsidRDefault="00473EAD" w:rsidP="00473EAD">
      <w:pPr>
        <w:pStyle w:val="MDPHBullet"/>
      </w:pPr>
      <w:r w:rsidRPr="0092004C">
        <w:t xml:space="preserve">Línea de ayuda nacional de </w:t>
      </w:r>
      <w:proofErr w:type="spellStart"/>
      <w:r w:rsidRPr="0092004C">
        <w:t>Narcotics</w:t>
      </w:r>
      <w:proofErr w:type="spellEnd"/>
      <w:r w:rsidRPr="0092004C">
        <w:t xml:space="preserve"> Anonymous </w:t>
      </w:r>
      <w:proofErr w:type="spellStart"/>
      <w:r w:rsidRPr="0092004C">
        <w:t>National</w:t>
      </w:r>
      <w:proofErr w:type="spellEnd"/>
      <w:r w:rsidRPr="0092004C">
        <w:t xml:space="preserve">: 1-800-662-4357 o </w:t>
      </w:r>
      <w:hyperlink r:id="rId31" w:history="1">
        <w:r w:rsidRPr="0092004C">
          <w:rPr>
            <w:rStyle w:val="Hyperlink"/>
          </w:rPr>
          <w:t>sitio web</w:t>
        </w:r>
      </w:hyperlink>
      <w:r w:rsidRPr="0092004C">
        <w:rPr>
          <w:rStyle w:val="EndnoteReference"/>
        </w:rPr>
        <w:endnoteReference w:id="52"/>
      </w:r>
    </w:p>
    <w:p w14:paraId="5D9AA0C5" w14:textId="77777777" w:rsidR="00473EAD" w:rsidRPr="00FC0CA5" w:rsidRDefault="00473EAD" w:rsidP="00473EAD">
      <w:pPr>
        <w:pStyle w:val="MDPHBullet"/>
        <w:rPr>
          <w:rStyle w:val="Hyperlink"/>
          <w:lang w:val="en-US"/>
        </w:rPr>
      </w:pPr>
      <w:r w:rsidRPr="00FC0CA5">
        <w:rPr>
          <w:lang w:val="en-US"/>
        </w:rPr>
        <w:t xml:space="preserve">Gavin Foundation: </w:t>
      </w:r>
      <w:hyperlink r:id="rId32" w:history="1">
        <w:r w:rsidRPr="00FC0CA5">
          <w:rPr>
            <w:rStyle w:val="Hyperlink"/>
            <w:lang w:val="en-US"/>
          </w:rPr>
          <w:t>Devine Recovery Center</w:t>
        </w:r>
      </w:hyperlink>
      <w:r w:rsidRPr="0092004C">
        <w:rPr>
          <w:vertAlign w:val="superscript"/>
        </w:rPr>
        <w:endnoteReference w:id="53"/>
      </w:r>
    </w:p>
    <w:p w14:paraId="10168AF3" w14:textId="77777777" w:rsidR="00473EAD" w:rsidRPr="0092004C" w:rsidRDefault="00473EAD" w:rsidP="00473EAD">
      <w:pPr>
        <w:pStyle w:val="MDPHBullet"/>
      </w:pPr>
      <w:hyperlink w:anchor="_Appendix_13:_Additional" w:history="1">
        <w:r w:rsidRPr="0092004C">
          <w:rPr>
            <w:rStyle w:val="Hyperlink"/>
          </w:rPr>
          <w:t>Apéndice 13: recursos adicionales</w:t>
        </w:r>
      </w:hyperlink>
      <w:r w:rsidRPr="0092004C">
        <w:br w:type="page"/>
      </w:r>
    </w:p>
    <w:p w14:paraId="4BDD3689" w14:textId="77777777" w:rsidR="00473EAD" w:rsidRPr="0092004C" w:rsidRDefault="00473EAD" w:rsidP="00473EAD">
      <w:pPr>
        <w:pStyle w:val="Heading2"/>
      </w:pPr>
      <w:bookmarkStart w:id="12" w:name="_Toc120034134"/>
      <w:r w:rsidRPr="0092004C">
        <w:lastRenderedPageBreak/>
        <w:t>Implementación: puntos clave</w:t>
      </w:r>
      <w:bookmarkEnd w:id="12"/>
    </w:p>
    <w:tbl>
      <w:tblPr>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1817"/>
        <w:gridCol w:w="5560"/>
        <w:gridCol w:w="3403"/>
      </w:tblGrid>
      <w:tr w:rsidR="00473EAD" w:rsidRPr="0092004C" w14:paraId="2DB6B96F" w14:textId="77777777" w:rsidTr="005858FB">
        <w:trPr>
          <w:tblHeader/>
        </w:trPr>
        <w:tc>
          <w:tcPr>
            <w:tcW w:w="1795" w:type="dxa"/>
            <w:shd w:val="clear" w:color="auto" w:fill="4376BB"/>
          </w:tcPr>
          <w:p w14:paraId="008210B2" w14:textId="77777777" w:rsidR="00473EAD" w:rsidRPr="0092004C" w:rsidRDefault="00473EAD" w:rsidP="005858FB">
            <w:pPr>
              <w:spacing w:line="270" w:lineRule="exact"/>
              <w:rPr>
                <w:rFonts w:ascii="Segoe UI" w:hAnsi="Segoe UI" w:cs="Segoe UI"/>
                <w:b/>
                <w:color w:val="FFFFFF" w:themeColor="background1"/>
              </w:rPr>
            </w:pPr>
            <w:r w:rsidRPr="0092004C">
              <w:rPr>
                <w:rFonts w:ascii="Segoe UI" w:hAnsi="Segoe UI"/>
                <w:b/>
                <w:color w:val="FFFFFF" w:themeColor="background1"/>
              </w:rPr>
              <w:t>Consejo 5:</w:t>
            </w:r>
          </w:p>
        </w:tc>
        <w:tc>
          <w:tcPr>
            <w:tcW w:w="8985" w:type="dxa"/>
            <w:gridSpan w:val="2"/>
            <w:shd w:val="clear" w:color="auto" w:fill="4376BB"/>
          </w:tcPr>
          <w:p w14:paraId="18C737DC" w14:textId="77777777" w:rsidR="00473EAD" w:rsidRPr="0092004C" w:rsidRDefault="00473EAD" w:rsidP="005858FB">
            <w:pPr>
              <w:spacing w:line="270" w:lineRule="exact"/>
              <w:rPr>
                <w:rFonts w:ascii="Segoe UI" w:hAnsi="Segoe UI" w:cs="Segoe UI"/>
                <w:b/>
                <w:color w:val="FFFFFF" w:themeColor="background1"/>
              </w:rPr>
            </w:pPr>
            <w:r w:rsidRPr="0092004C">
              <w:rPr>
                <w:rFonts w:ascii="Segoe UI" w:hAnsi="Segoe UI"/>
                <w:b/>
                <w:color w:val="FFFFFF" w:themeColor="background1"/>
              </w:rPr>
              <w:t>Recursos y asociaciones para toda la comunidad</w:t>
            </w:r>
          </w:p>
        </w:tc>
      </w:tr>
      <w:tr w:rsidR="00473EAD" w:rsidRPr="0092004C" w14:paraId="4CFE68C1" w14:textId="77777777" w:rsidTr="005858FB">
        <w:tc>
          <w:tcPr>
            <w:tcW w:w="1795" w:type="dxa"/>
            <w:shd w:val="clear" w:color="auto" w:fill="CAD9EC"/>
          </w:tcPr>
          <w:p w14:paraId="55F49361" w14:textId="77777777" w:rsidR="00473EAD" w:rsidRPr="0092004C" w:rsidRDefault="00473EAD" w:rsidP="005858FB">
            <w:pPr>
              <w:spacing w:line="270" w:lineRule="exact"/>
              <w:rPr>
                <w:rFonts w:ascii="Segoe UI" w:hAnsi="Segoe UI" w:cs="Segoe UI"/>
                <w:b/>
                <w:sz w:val="21"/>
                <w:szCs w:val="21"/>
              </w:rPr>
            </w:pPr>
            <w:r w:rsidRPr="0092004C">
              <w:rPr>
                <w:rFonts w:ascii="Segoe UI" w:hAnsi="Segoe UI"/>
                <w:b/>
                <w:sz w:val="21"/>
              </w:rPr>
              <w:t>Políticas</w:t>
            </w:r>
          </w:p>
        </w:tc>
        <w:tc>
          <w:tcPr>
            <w:tcW w:w="8985" w:type="dxa"/>
            <w:gridSpan w:val="2"/>
          </w:tcPr>
          <w:p w14:paraId="22C6CD57" w14:textId="77777777" w:rsidR="00473EAD" w:rsidRPr="0092004C" w:rsidRDefault="00473EAD" w:rsidP="00473EAD">
            <w:pPr>
              <w:pStyle w:val="ListParagraph"/>
              <w:numPr>
                <w:ilvl w:val="0"/>
                <w:numId w:val="3"/>
              </w:numPr>
              <w:spacing w:line="270" w:lineRule="exact"/>
              <w:rPr>
                <w:rFonts w:ascii="Segoe UI" w:hAnsi="Segoe UI" w:cs="Segoe UI"/>
                <w:sz w:val="21"/>
                <w:szCs w:val="21"/>
              </w:rPr>
            </w:pPr>
            <w:r w:rsidRPr="0092004C">
              <w:rPr>
                <w:rFonts w:ascii="Segoe UI" w:hAnsi="Segoe UI"/>
                <w:sz w:val="21"/>
              </w:rPr>
              <w:t xml:space="preserve">Incorporar en las políticas un plan acerca de </w:t>
            </w:r>
            <w:proofErr w:type="spellStart"/>
            <w:r w:rsidRPr="0092004C">
              <w:rPr>
                <w:rFonts w:ascii="Segoe UI" w:hAnsi="Segoe UI"/>
                <w:sz w:val="21"/>
              </w:rPr>
              <w:t>como</w:t>
            </w:r>
            <w:proofErr w:type="spellEnd"/>
            <w:r w:rsidRPr="0092004C">
              <w:rPr>
                <w:rFonts w:ascii="Segoe UI" w:hAnsi="Segoe UI"/>
                <w:sz w:val="21"/>
              </w:rPr>
              <w:t xml:space="preserve"> usará los recursos para toda la comunidad en la atención a los residentes con OUD y </w:t>
            </w:r>
            <w:proofErr w:type="spellStart"/>
            <w:r w:rsidRPr="0092004C">
              <w:rPr>
                <w:rFonts w:ascii="Segoe UI" w:hAnsi="Segoe UI"/>
                <w:sz w:val="21"/>
              </w:rPr>
              <w:t>StUD</w:t>
            </w:r>
            <w:proofErr w:type="spellEnd"/>
            <w:r w:rsidRPr="0092004C">
              <w:rPr>
                <w:rFonts w:ascii="Segoe UI" w:hAnsi="Segoe UI"/>
                <w:sz w:val="21"/>
              </w:rPr>
              <w:t xml:space="preserve">. </w:t>
            </w:r>
          </w:p>
          <w:p w14:paraId="3FC03D59" w14:textId="77777777" w:rsidR="00473EAD" w:rsidRPr="0092004C" w:rsidRDefault="00473EAD" w:rsidP="00473EAD">
            <w:pPr>
              <w:pStyle w:val="ListParagraph"/>
              <w:numPr>
                <w:ilvl w:val="0"/>
                <w:numId w:val="3"/>
              </w:numPr>
              <w:spacing w:line="270" w:lineRule="exact"/>
              <w:rPr>
                <w:rFonts w:ascii="Segoe UI" w:hAnsi="Segoe UI" w:cs="Segoe UI"/>
                <w:sz w:val="21"/>
                <w:szCs w:val="21"/>
              </w:rPr>
            </w:pPr>
            <w:r w:rsidRPr="0092004C">
              <w:rPr>
                <w:rFonts w:ascii="Segoe UI" w:hAnsi="Segoe UI"/>
                <w:sz w:val="21"/>
              </w:rPr>
              <w:t>Desarrollar un QSOA con el OTP u el OBOT/OBAT.</w:t>
            </w:r>
          </w:p>
        </w:tc>
      </w:tr>
      <w:tr w:rsidR="00473EAD" w:rsidRPr="0092004C" w14:paraId="100ACC60" w14:textId="77777777" w:rsidTr="005858FB">
        <w:tc>
          <w:tcPr>
            <w:tcW w:w="1795" w:type="dxa"/>
            <w:shd w:val="clear" w:color="auto" w:fill="CAD9EC"/>
          </w:tcPr>
          <w:p w14:paraId="5705A3C1" w14:textId="77777777" w:rsidR="00473EAD" w:rsidRPr="0092004C" w:rsidRDefault="00473EAD" w:rsidP="005858FB">
            <w:pPr>
              <w:spacing w:line="270" w:lineRule="exact"/>
              <w:rPr>
                <w:rFonts w:ascii="Segoe UI" w:hAnsi="Segoe UI" w:cs="Segoe UI"/>
                <w:b/>
                <w:sz w:val="21"/>
                <w:szCs w:val="21"/>
              </w:rPr>
            </w:pPr>
            <w:r w:rsidRPr="0092004C">
              <w:rPr>
                <w:rFonts w:ascii="Segoe UI" w:hAnsi="Segoe UI"/>
                <w:b/>
                <w:sz w:val="21"/>
              </w:rPr>
              <w:t>Conciencia</w:t>
            </w:r>
          </w:p>
        </w:tc>
        <w:tc>
          <w:tcPr>
            <w:tcW w:w="5575" w:type="dxa"/>
          </w:tcPr>
          <w:p w14:paraId="0E6815AF" w14:textId="77777777" w:rsidR="00473EAD" w:rsidRPr="0092004C" w:rsidRDefault="00473EAD" w:rsidP="005858FB">
            <w:pPr>
              <w:spacing w:line="270" w:lineRule="exact"/>
              <w:jc w:val="center"/>
              <w:rPr>
                <w:rFonts w:ascii="Segoe UI" w:hAnsi="Segoe UI" w:cs="Segoe UI"/>
                <w:b/>
                <w:i/>
                <w:sz w:val="21"/>
                <w:szCs w:val="21"/>
              </w:rPr>
            </w:pPr>
            <w:r w:rsidRPr="0092004C">
              <w:rPr>
                <w:rFonts w:ascii="Segoe UI" w:hAnsi="Segoe UI"/>
                <w:b/>
                <w:i/>
                <w:sz w:val="21"/>
              </w:rPr>
              <w:t>Recurso para toda la comunidad</w:t>
            </w:r>
          </w:p>
        </w:tc>
        <w:tc>
          <w:tcPr>
            <w:tcW w:w="3410" w:type="dxa"/>
          </w:tcPr>
          <w:p w14:paraId="4A1483A2" w14:textId="77777777" w:rsidR="00473EAD" w:rsidRPr="0092004C" w:rsidRDefault="00473EAD" w:rsidP="005858FB">
            <w:pPr>
              <w:spacing w:line="270" w:lineRule="exact"/>
              <w:jc w:val="center"/>
              <w:rPr>
                <w:rFonts w:ascii="Segoe UI" w:hAnsi="Segoe UI" w:cs="Segoe UI"/>
                <w:b/>
                <w:i/>
                <w:sz w:val="21"/>
                <w:szCs w:val="21"/>
              </w:rPr>
            </w:pPr>
            <w:r w:rsidRPr="0092004C">
              <w:rPr>
                <w:rFonts w:ascii="Segoe UI" w:hAnsi="Segoe UI"/>
                <w:b/>
                <w:i/>
                <w:sz w:val="21"/>
              </w:rPr>
              <w:t>Información</w:t>
            </w:r>
          </w:p>
        </w:tc>
      </w:tr>
      <w:tr w:rsidR="00473EAD" w:rsidRPr="0092004C" w14:paraId="0A04FB36" w14:textId="77777777" w:rsidTr="005858FB">
        <w:tc>
          <w:tcPr>
            <w:tcW w:w="1795" w:type="dxa"/>
            <w:shd w:val="clear" w:color="auto" w:fill="CAD9EC"/>
          </w:tcPr>
          <w:p w14:paraId="094F2F48" w14:textId="77777777" w:rsidR="00473EAD" w:rsidRPr="0092004C" w:rsidRDefault="00473EAD" w:rsidP="005858FB">
            <w:pPr>
              <w:spacing w:line="270" w:lineRule="exact"/>
              <w:ind w:left="152"/>
              <w:rPr>
                <w:rFonts w:ascii="Segoe UI" w:hAnsi="Segoe UI" w:cs="Segoe UI"/>
                <w:i/>
                <w:sz w:val="21"/>
                <w:szCs w:val="21"/>
              </w:rPr>
            </w:pPr>
            <w:r w:rsidRPr="0092004C">
              <w:rPr>
                <w:rFonts w:ascii="Segoe UI" w:hAnsi="Segoe UI"/>
                <w:i/>
                <w:sz w:val="21"/>
              </w:rPr>
              <w:t>OTP</w:t>
            </w:r>
          </w:p>
        </w:tc>
        <w:tc>
          <w:tcPr>
            <w:tcW w:w="5575" w:type="dxa"/>
          </w:tcPr>
          <w:p w14:paraId="3DD59DAC"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Tratamiento en las instalaciones y tratamiento para usar en casa</w:t>
            </w:r>
          </w:p>
          <w:p w14:paraId="470E9205"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 xml:space="preserve">Actualmente ofrece metadona </w:t>
            </w:r>
          </w:p>
          <w:p w14:paraId="1504AF0C"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Planes futuros para ofrecer: buprenorfina, naloxona y naltrexona</w:t>
            </w:r>
          </w:p>
          <w:p w14:paraId="6FBC220B"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 xml:space="preserve">Asesoría requerida, tratamiento, planeación y control de desviación </w:t>
            </w:r>
          </w:p>
        </w:tc>
        <w:tc>
          <w:tcPr>
            <w:tcW w:w="3410" w:type="dxa"/>
          </w:tcPr>
          <w:p w14:paraId="1F72F32A" w14:textId="77777777" w:rsidR="00473EAD" w:rsidRPr="0092004C" w:rsidRDefault="00473EAD" w:rsidP="00473EAD">
            <w:pPr>
              <w:pStyle w:val="ListParagraph"/>
              <w:numPr>
                <w:ilvl w:val="1"/>
                <w:numId w:val="1"/>
              </w:numPr>
              <w:spacing w:line="270" w:lineRule="exact"/>
              <w:rPr>
                <w:rFonts w:ascii="Segoe UI" w:hAnsi="Segoe UI" w:cs="Segoe UI"/>
                <w:color w:val="1F3864" w:themeColor="accent1" w:themeShade="80"/>
                <w:sz w:val="21"/>
                <w:szCs w:val="21"/>
                <w:u w:val="single"/>
              </w:rPr>
            </w:pPr>
            <w:hyperlink r:id="rId33" w:history="1">
              <w:r w:rsidRPr="0092004C">
                <w:rPr>
                  <w:rStyle w:val="Hyperlink"/>
                  <w:rFonts w:ascii="Segoe UI" w:hAnsi="Segoe UI"/>
                  <w:sz w:val="21"/>
                </w:rPr>
                <w:t>Directorio de tratamiento OTP</w:t>
              </w:r>
            </w:hyperlink>
          </w:p>
          <w:p w14:paraId="17E74CC8" w14:textId="77777777" w:rsidR="00473EAD" w:rsidRPr="0092004C" w:rsidRDefault="00473EAD" w:rsidP="00473EAD">
            <w:pPr>
              <w:pStyle w:val="ListParagraph"/>
              <w:numPr>
                <w:ilvl w:val="1"/>
                <w:numId w:val="1"/>
              </w:numPr>
              <w:spacing w:line="270" w:lineRule="exact"/>
              <w:rPr>
                <w:rFonts w:ascii="Segoe UI" w:hAnsi="Segoe UI" w:cs="Segoe UI"/>
                <w:sz w:val="21"/>
                <w:szCs w:val="21"/>
              </w:rPr>
            </w:pPr>
            <w:r w:rsidRPr="0092004C">
              <w:rPr>
                <w:rFonts w:ascii="Segoe UI" w:hAnsi="Segoe UI"/>
                <w:sz w:val="21"/>
              </w:rPr>
              <w:t>Línea de ayuda de uso de sustancias de Massachusetts: 1-800-327-5050</w:t>
            </w:r>
          </w:p>
          <w:p w14:paraId="1F7942D0" w14:textId="77777777" w:rsidR="00473EAD" w:rsidRPr="0092004C" w:rsidRDefault="00473EAD" w:rsidP="00473EAD">
            <w:pPr>
              <w:pStyle w:val="ListParagraph"/>
              <w:numPr>
                <w:ilvl w:val="1"/>
                <w:numId w:val="1"/>
              </w:numPr>
              <w:spacing w:line="270" w:lineRule="exact"/>
              <w:rPr>
                <w:rFonts w:ascii="Segoe UI" w:hAnsi="Segoe UI" w:cs="Segoe UI"/>
                <w:sz w:val="21"/>
                <w:szCs w:val="21"/>
              </w:rPr>
            </w:pPr>
            <w:r w:rsidRPr="0092004C">
              <w:rPr>
                <w:rFonts w:ascii="Segoe UI" w:hAnsi="Segoe UI"/>
                <w:sz w:val="21"/>
              </w:rPr>
              <w:t xml:space="preserve">Línea nacional de ayuda SAMHSA: </w:t>
            </w:r>
            <w:r w:rsidRPr="0092004C">
              <w:rPr>
                <w:rFonts w:ascii="Segoe UI" w:hAnsi="Segoe UI"/>
                <w:sz w:val="21"/>
                <w:szCs w:val="21"/>
              </w:rPr>
              <w:br/>
            </w:r>
            <w:r w:rsidRPr="0092004C">
              <w:rPr>
                <w:rFonts w:ascii="Segoe UI" w:hAnsi="Segoe UI"/>
                <w:sz w:val="21"/>
              </w:rPr>
              <w:t>1-800-662-HELP (4357)</w:t>
            </w:r>
          </w:p>
        </w:tc>
      </w:tr>
      <w:tr w:rsidR="00473EAD" w:rsidRPr="0092004C" w14:paraId="2A914A6E" w14:textId="77777777" w:rsidTr="005858FB">
        <w:tc>
          <w:tcPr>
            <w:tcW w:w="1795" w:type="dxa"/>
            <w:shd w:val="clear" w:color="auto" w:fill="CAD9EC"/>
          </w:tcPr>
          <w:p w14:paraId="7C25EB54" w14:textId="77777777" w:rsidR="00473EAD" w:rsidRPr="0092004C" w:rsidRDefault="00473EAD" w:rsidP="005858FB">
            <w:pPr>
              <w:spacing w:line="270" w:lineRule="exact"/>
              <w:ind w:left="152"/>
              <w:rPr>
                <w:rFonts w:ascii="Segoe UI" w:hAnsi="Segoe UI" w:cs="Segoe UI"/>
                <w:i/>
                <w:sz w:val="21"/>
                <w:szCs w:val="21"/>
              </w:rPr>
            </w:pPr>
            <w:r w:rsidRPr="0092004C">
              <w:rPr>
                <w:rFonts w:ascii="Segoe UI" w:hAnsi="Segoe UI"/>
                <w:i/>
                <w:sz w:val="21"/>
              </w:rPr>
              <w:t>OBOT/OBAT</w:t>
            </w:r>
          </w:p>
        </w:tc>
        <w:tc>
          <w:tcPr>
            <w:tcW w:w="5575" w:type="dxa"/>
          </w:tcPr>
          <w:p w14:paraId="55C1F5DE"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Tratamiento en las instalaciones y tratamiento para usar en casa</w:t>
            </w:r>
          </w:p>
          <w:p w14:paraId="0D022556"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Buprenorfina, naloxona y naltrexona</w:t>
            </w:r>
          </w:p>
          <w:p w14:paraId="265F05FF"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Recomendación de asesoría, tratamiento, planeación y desviación</w:t>
            </w:r>
          </w:p>
        </w:tc>
        <w:tc>
          <w:tcPr>
            <w:tcW w:w="3410" w:type="dxa"/>
          </w:tcPr>
          <w:p w14:paraId="2675D27E" w14:textId="77777777" w:rsidR="00473EAD" w:rsidRPr="0092004C" w:rsidRDefault="00473EAD" w:rsidP="00473EAD">
            <w:pPr>
              <w:pStyle w:val="ListParagraph"/>
              <w:numPr>
                <w:ilvl w:val="1"/>
                <w:numId w:val="1"/>
              </w:numPr>
              <w:spacing w:line="270" w:lineRule="exact"/>
              <w:rPr>
                <w:rFonts w:ascii="Segoe UI" w:hAnsi="Segoe UI" w:cs="Segoe UI"/>
                <w:color w:val="0000FF"/>
                <w:sz w:val="21"/>
                <w:szCs w:val="21"/>
              </w:rPr>
            </w:pPr>
            <w:hyperlink r:id="rId34" w:history="1">
              <w:r w:rsidRPr="0092004C">
                <w:rPr>
                  <w:rStyle w:val="Hyperlink"/>
                  <w:rFonts w:ascii="Segoe UI" w:hAnsi="Segoe UI"/>
                  <w:sz w:val="21"/>
                </w:rPr>
                <w:t>Mapa de tratamiento</w:t>
              </w:r>
            </w:hyperlink>
          </w:p>
          <w:p w14:paraId="1118F0DC" w14:textId="77777777" w:rsidR="00473EAD" w:rsidRPr="0092004C" w:rsidRDefault="00473EAD" w:rsidP="00473EAD">
            <w:pPr>
              <w:pStyle w:val="ListParagraph"/>
              <w:numPr>
                <w:ilvl w:val="1"/>
                <w:numId w:val="1"/>
              </w:numPr>
              <w:spacing w:line="270" w:lineRule="exact"/>
              <w:rPr>
                <w:rFonts w:ascii="Segoe UI" w:hAnsi="Segoe UI" w:cs="Segoe UI"/>
                <w:sz w:val="21"/>
                <w:szCs w:val="21"/>
              </w:rPr>
            </w:pPr>
            <w:r w:rsidRPr="0092004C">
              <w:rPr>
                <w:rFonts w:ascii="Segoe UI" w:hAnsi="Segoe UI"/>
                <w:sz w:val="21"/>
              </w:rPr>
              <w:t>Línea de ayuda de uso de sustancias de Massachusetts: 1-800-327-5050</w:t>
            </w:r>
          </w:p>
          <w:p w14:paraId="04DCED89" w14:textId="77777777" w:rsidR="00473EAD" w:rsidRPr="0092004C" w:rsidRDefault="00473EAD" w:rsidP="00473EAD">
            <w:pPr>
              <w:pStyle w:val="ListParagraph"/>
              <w:numPr>
                <w:ilvl w:val="1"/>
                <w:numId w:val="1"/>
              </w:numPr>
              <w:spacing w:line="270" w:lineRule="exact"/>
              <w:rPr>
                <w:rFonts w:ascii="Segoe UI" w:hAnsi="Segoe UI" w:cs="Segoe UI"/>
                <w:sz w:val="21"/>
                <w:szCs w:val="21"/>
              </w:rPr>
            </w:pPr>
            <w:r w:rsidRPr="0092004C">
              <w:rPr>
                <w:rFonts w:ascii="Segoe UI" w:hAnsi="Segoe UI"/>
                <w:sz w:val="21"/>
              </w:rPr>
              <w:t xml:space="preserve">Línea nacional de ayuda SAMHSA: </w:t>
            </w:r>
            <w:r w:rsidRPr="0092004C">
              <w:rPr>
                <w:rFonts w:ascii="Segoe UI" w:hAnsi="Segoe UI"/>
                <w:sz w:val="21"/>
                <w:szCs w:val="21"/>
              </w:rPr>
              <w:br/>
            </w:r>
            <w:r w:rsidRPr="0092004C">
              <w:rPr>
                <w:rFonts w:ascii="Segoe UI" w:hAnsi="Segoe UI"/>
                <w:sz w:val="21"/>
              </w:rPr>
              <w:t>1-800-662-HELP (4357)</w:t>
            </w:r>
          </w:p>
        </w:tc>
      </w:tr>
      <w:tr w:rsidR="00473EAD" w:rsidRPr="0092004C" w14:paraId="65941E29" w14:textId="77777777" w:rsidTr="005858FB">
        <w:tc>
          <w:tcPr>
            <w:tcW w:w="1795" w:type="dxa"/>
            <w:shd w:val="clear" w:color="auto" w:fill="CAD9EC"/>
          </w:tcPr>
          <w:p w14:paraId="22E13781" w14:textId="77777777" w:rsidR="00473EAD" w:rsidRPr="0092004C" w:rsidRDefault="00473EAD" w:rsidP="005858FB">
            <w:pPr>
              <w:spacing w:line="270" w:lineRule="exact"/>
              <w:ind w:left="152"/>
              <w:rPr>
                <w:rFonts w:ascii="Segoe UI" w:hAnsi="Segoe UI" w:cs="Segoe UI"/>
                <w:i/>
                <w:sz w:val="21"/>
                <w:szCs w:val="21"/>
              </w:rPr>
            </w:pPr>
            <w:r w:rsidRPr="0092004C">
              <w:rPr>
                <w:rFonts w:ascii="Segoe UI" w:hAnsi="Segoe UI"/>
                <w:i/>
                <w:sz w:val="21"/>
              </w:rPr>
              <w:t>Telesalud</w:t>
            </w:r>
          </w:p>
        </w:tc>
        <w:tc>
          <w:tcPr>
            <w:tcW w:w="5575" w:type="dxa"/>
          </w:tcPr>
          <w:p w14:paraId="351B05AA"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 xml:space="preserve">Servicios de asesoría: las instalaciones pueden recibir un reembolso de </w:t>
            </w:r>
            <w:proofErr w:type="spellStart"/>
            <w:r w:rsidRPr="0092004C">
              <w:rPr>
                <w:rFonts w:ascii="Segoe UI" w:hAnsi="Segoe UI"/>
                <w:sz w:val="21"/>
              </w:rPr>
              <w:t>MassHealth</w:t>
            </w:r>
            <w:proofErr w:type="spellEnd"/>
            <w:r w:rsidRPr="0092004C">
              <w:rPr>
                <w:rFonts w:ascii="Segoe UI" w:hAnsi="Segoe UI"/>
                <w:sz w:val="21"/>
              </w:rPr>
              <w:t xml:space="preserve"> y Medicare</w:t>
            </w:r>
          </w:p>
          <w:p w14:paraId="68B50E44"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 xml:space="preserve">Incluye un QSOA </w:t>
            </w:r>
          </w:p>
          <w:p w14:paraId="04F139CC"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Consultas con MCSTAP disponibles de forma gratuita</w:t>
            </w:r>
          </w:p>
        </w:tc>
        <w:tc>
          <w:tcPr>
            <w:tcW w:w="3410" w:type="dxa"/>
          </w:tcPr>
          <w:p w14:paraId="3542FA96" w14:textId="77777777" w:rsidR="00473EAD" w:rsidRPr="0092004C" w:rsidRDefault="00473EAD" w:rsidP="005858FB">
            <w:pPr>
              <w:spacing w:line="270" w:lineRule="exact"/>
              <w:rPr>
                <w:rFonts w:ascii="Segoe UI" w:hAnsi="Segoe UI" w:cs="Segoe UI"/>
                <w:sz w:val="21"/>
                <w:szCs w:val="21"/>
              </w:rPr>
            </w:pPr>
          </w:p>
        </w:tc>
      </w:tr>
      <w:tr w:rsidR="00473EAD" w:rsidRPr="0092004C" w14:paraId="39D5C977" w14:textId="77777777" w:rsidTr="005858FB">
        <w:trPr>
          <w:cantSplit/>
        </w:trPr>
        <w:tc>
          <w:tcPr>
            <w:tcW w:w="1795" w:type="dxa"/>
            <w:shd w:val="clear" w:color="auto" w:fill="CAD9EC"/>
          </w:tcPr>
          <w:p w14:paraId="7E560AA5" w14:textId="77777777" w:rsidR="00473EAD" w:rsidRPr="0092004C" w:rsidRDefault="00473EAD" w:rsidP="005858FB">
            <w:pPr>
              <w:spacing w:line="270" w:lineRule="exact"/>
              <w:ind w:left="152"/>
              <w:rPr>
                <w:rFonts w:ascii="Segoe UI" w:hAnsi="Segoe UI" w:cs="Segoe UI"/>
                <w:i/>
                <w:sz w:val="21"/>
                <w:szCs w:val="21"/>
              </w:rPr>
            </w:pPr>
            <w:r w:rsidRPr="0092004C">
              <w:rPr>
                <w:rFonts w:ascii="Segoe UI" w:hAnsi="Segoe UI"/>
                <w:i/>
                <w:sz w:val="21"/>
              </w:rPr>
              <w:t>Programas grupales de ayuda mutua</w:t>
            </w:r>
          </w:p>
        </w:tc>
        <w:tc>
          <w:tcPr>
            <w:tcW w:w="5575" w:type="dxa"/>
          </w:tcPr>
          <w:p w14:paraId="45E35088"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NA: programa de recuperación de 12 pasos</w:t>
            </w:r>
          </w:p>
          <w:p w14:paraId="3C953D29"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proofErr w:type="spellStart"/>
            <w:r w:rsidRPr="0092004C">
              <w:rPr>
                <w:rFonts w:ascii="Segoe UI" w:hAnsi="Segoe UI"/>
                <w:sz w:val="21"/>
              </w:rPr>
              <w:t>Nar-Anon</w:t>
            </w:r>
            <w:proofErr w:type="spellEnd"/>
            <w:r w:rsidRPr="0092004C">
              <w:rPr>
                <w:rFonts w:ascii="Segoe UI" w:hAnsi="Segoe UI"/>
                <w:sz w:val="21"/>
              </w:rPr>
              <w:t>: programa de recuperación de 12 pasos para familia y amigos</w:t>
            </w:r>
          </w:p>
          <w:p w14:paraId="445819DF"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 xml:space="preserve">SMART </w:t>
            </w:r>
            <w:proofErr w:type="spellStart"/>
            <w:r w:rsidRPr="0092004C">
              <w:rPr>
                <w:rFonts w:ascii="Segoe UI" w:hAnsi="Segoe UI"/>
                <w:sz w:val="21"/>
              </w:rPr>
              <w:t>Recovery</w:t>
            </w:r>
            <w:proofErr w:type="spellEnd"/>
            <w:r w:rsidRPr="0092004C">
              <w:rPr>
                <w:rFonts w:ascii="Segoe UI" w:hAnsi="Segoe UI"/>
                <w:sz w:val="21"/>
              </w:rPr>
              <w:t>: programa de recuperación para comportamientos adictivos con enfoque en autorregulación</w:t>
            </w:r>
          </w:p>
          <w:p w14:paraId="02E560E6"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 xml:space="preserve">Dual </w:t>
            </w:r>
            <w:proofErr w:type="spellStart"/>
            <w:r w:rsidRPr="0092004C">
              <w:rPr>
                <w:rFonts w:ascii="Segoe UI" w:hAnsi="Segoe UI"/>
                <w:sz w:val="21"/>
              </w:rPr>
              <w:t>Recovery</w:t>
            </w:r>
            <w:proofErr w:type="spellEnd"/>
            <w:r w:rsidRPr="0092004C">
              <w:rPr>
                <w:rFonts w:ascii="Segoe UI" w:hAnsi="Segoe UI"/>
                <w:sz w:val="21"/>
              </w:rPr>
              <w:t xml:space="preserve"> Anonymous: recuperación de 12 pasos y de enfermedad emocional o psiquiátrica</w:t>
            </w:r>
          </w:p>
        </w:tc>
        <w:tc>
          <w:tcPr>
            <w:tcW w:w="3410" w:type="dxa"/>
          </w:tcPr>
          <w:p w14:paraId="34C305B6" w14:textId="77777777" w:rsidR="00473EAD" w:rsidRPr="0092004C" w:rsidRDefault="00473EAD" w:rsidP="00473EAD">
            <w:pPr>
              <w:pStyle w:val="ListParagraph"/>
              <w:numPr>
                <w:ilvl w:val="1"/>
                <w:numId w:val="1"/>
              </w:numPr>
              <w:spacing w:line="270" w:lineRule="exact"/>
              <w:rPr>
                <w:rFonts w:ascii="Segoe UI" w:hAnsi="Segoe UI" w:cs="Segoe UI"/>
                <w:color w:val="013366"/>
                <w:sz w:val="21"/>
                <w:szCs w:val="21"/>
              </w:rPr>
            </w:pPr>
            <w:r w:rsidRPr="0092004C">
              <w:rPr>
                <w:rFonts w:ascii="Segoe UI" w:hAnsi="Segoe UI"/>
                <w:color w:val="000000" w:themeColor="text1"/>
                <w:sz w:val="21"/>
              </w:rPr>
              <w:t xml:space="preserve">Región de Nueva Inglaterra: </w:t>
            </w:r>
            <w:hyperlink r:id="rId35" w:history="1">
              <w:r w:rsidRPr="0092004C">
                <w:rPr>
                  <w:rStyle w:val="Hyperlink"/>
                  <w:rFonts w:ascii="Segoe UI" w:hAnsi="Segoe UI"/>
                  <w:sz w:val="21"/>
                </w:rPr>
                <w:t>NA</w:t>
              </w:r>
            </w:hyperlink>
          </w:p>
          <w:p w14:paraId="38BEECC3" w14:textId="77777777" w:rsidR="00473EAD" w:rsidRPr="0092004C" w:rsidRDefault="00473EAD" w:rsidP="00473EAD">
            <w:pPr>
              <w:pStyle w:val="ListParagraph"/>
              <w:numPr>
                <w:ilvl w:val="1"/>
                <w:numId w:val="1"/>
              </w:numPr>
              <w:spacing w:line="270" w:lineRule="exact"/>
              <w:rPr>
                <w:rFonts w:ascii="Segoe UI" w:hAnsi="Segoe UI" w:cs="Segoe UI"/>
                <w:color w:val="000000" w:themeColor="text1"/>
                <w:sz w:val="21"/>
                <w:szCs w:val="21"/>
              </w:rPr>
            </w:pPr>
            <w:hyperlink r:id="rId36" w:history="1">
              <w:proofErr w:type="spellStart"/>
              <w:r w:rsidRPr="0092004C">
                <w:rPr>
                  <w:rStyle w:val="Hyperlink"/>
                  <w:rFonts w:ascii="Segoe UI" w:hAnsi="Segoe UI"/>
                  <w:sz w:val="21"/>
                </w:rPr>
                <w:t>Nar-Anon</w:t>
              </w:r>
              <w:proofErr w:type="spellEnd"/>
              <w:r w:rsidRPr="0092004C">
                <w:rPr>
                  <w:rStyle w:val="Hyperlink"/>
                  <w:rFonts w:ascii="Segoe UI" w:hAnsi="Segoe UI"/>
                  <w:sz w:val="21"/>
                </w:rPr>
                <w:t>: encontrar una reunión</w:t>
              </w:r>
            </w:hyperlink>
            <w:r w:rsidRPr="0092004C">
              <w:rPr>
                <w:rFonts w:ascii="Segoe UI" w:hAnsi="Segoe UI"/>
                <w:color w:val="013366"/>
                <w:sz w:val="21"/>
              </w:rPr>
              <w:t xml:space="preserve"> </w:t>
            </w:r>
          </w:p>
          <w:p w14:paraId="0F8DD6ED" w14:textId="77777777" w:rsidR="00473EAD" w:rsidRPr="0092004C" w:rsidRDefault="00473EAD" w:rsidP="00473EAD">
            <w:pPr>
              <w:pStyle w:val="ListParagraph"/>
              <w:numPr>
                <w:ilvl w:val="1"/>
                <w:numId w:val="1"/>
              </w:numPr>
              <w:spacing w:line="270" w:lineRule="exact"/>
              <w:rPr>
                <w:rStyle w:val="Hyperlink"/>
                <w:rFonts w:ascii="Segoe UI" w:hAnsi="Segoe UI" w:cs="Segoe UI"/>
                <w:color w:val="013366"/>
                <w:sz w:val="21"/>
                <w:szCs w:val="21"/>
              </w:rPr>
            </w:pPr>
            <w:hyperlink r:id="rId37" w:history="1">
              <w:r w:rsidRPr="0092004C">
                <w:rPr>
                  <w:rStyle w:val="Hyperlink"/>
                  <w:rFonts w:ascii="Segoe UI" w:hAnsi="Segoe UI"/>
                  <w:sz w:val="21"/>
                </w:rPr>
                <w:t xml:space="preserve">SMART </w:t>
              </w:r>
              <w:proofErr w:type="spellStart"/>
              <w:r w:rsidRPr="0092004C">
                <w:rPr>
                  <w:rStyle w:val="Hyperlink"/>
                  <w:rFonts w:ascii="Segoe UI" w:hAnsi="Segoe UI"/>
                  <w:sz w:val="21"/>
                </w:rPr>
                <w:t>Recovery</w:t>
              </w:r>
              <w:proofErr w:type="spellEnd"/>
            </w:hyperlink>
            <w:r w:rsidRPr="0092004C">
              <w:rPr>
                <w:rFonts w:ascii="Segoe UI" w:hAnsi="Segoe UI"/>
                <w:sz w:val="21"/>
              </w:rPr>
              <w:t xml:space="preserve"> </w:t>
            </w:r>
          </w:p>
          <w:p w14:paraId="4F7AECA8" w14:textId="77777777" w:rsidR="00473EAD" w:rsidRPr="0092004C" w:rsidRDefault="00473EAD" w:rsidP="00473EAD">
            <w:pPr>
              <w:pStyle w:val="ListParagraph"/>
              <w:numPr>
                <w:ilvl w:val="1"/>
                <w:numId w:val="1"/>
              </w:numPr>
              <w:spacing w:line="270" w:lineRule="exact"/>
              <w:rPr>
                <w:rFonts w:ascii="Segoe UI" w:hAnsi="Segoe UI" w:cs="Segoe UI"/>
                <w:color w:val="013366"/>
                <w:sz w:val="21"/>
                <w:szCs w:val="21"/>
              </w:rPr>
            </w:pPr>
            <w:hyperlink r:id="rId38" w:history="1">
              <w:r w:rsidRPr="0092004C">
                <w:rPr>
                  <w:rStyle w:val="Hyperlink"/>
                  <w:rFonts w:ascii="Segoe UI" w:hAnsi="Segoe UI"/>
                  <w:sz w:val="21"/>
                </w:rPr>
                <w:t xml:space="preserve">Dual </w:t>
              </w:r>
              <w:proofErr w:type="spellStart"/>
              <w:r w:rsidRPr="0092004C">
                <w:rPr>
                  <w:rStyle w:val="Hyperlink"/>
                  <w:rFonts w:ascii="Segoe UI" w:hAnsi="Segoe UI"/>
                  <w:sz w:val="21"/>
                </w:rPr>
                <w:t>Recovery</w:t>
              </w:r>
              <w:proofErr w:type="spellEnd"/>
            </w:hyperlink>
            <w:r w:rsidRPr="0092004C">
              <w:rPr>
                <w:rFonts w:ascii="Segoe UI" w:hAnsi="Segoe UI"/>
                <w:sz w:val="21"/>
              </w:rPr>
              <w:t xml:space="preserve"> </w:t>
            </w:r>
          </w:p>
        </w:tc>
      </w:tr>
      <w:tr w:rsidR="00473EAD" w:rsidRPr="0092004C" w14:paraId="41054D9E" w14:textId="77777777" w:rsidTr="005858FB">
        <w:tc>
          <w:tcPr>
            <w:tcW w:w="1795" w:type="dxa"/>
            <w:shd w:val="clear" w:color="auto" w:fill="CAD9EC"/>
          </w:tcPr>
          <w:p w14:paraId="599EAB4D" w14:textId="77777777" w:rsidR="00473EAD" w:rsidRPr="0092004C" w:rsidRDefault="00473EAD" w:rsidP="005858FB">
            <w:pPr>
              <w:spacing w:line="270" w:lineRule="exact"/>
              <w:ind w:left="152"/>
              <w:rPr>
                <w:rFonts w:ascii="Segoe UI" w:hAnsi="Segoe UI" w:cs="Segoe UI"/>
                <w:i/>
                <w:sz w:val="21"/>
                <w:szCs w:val="21"/>
              </w:rPr>
            </w:pPr>
            <w:r w:rsidRPr="0092004C">
              <w:rPr>
                <w:rFonts w:ascii="Segoe UI" w:hAnsi="Segoe UI"/>
                <w:i/>
                <w:sz w:val="21"/>
              </w:rPr>
              <w:t>Recuperación entre compañeros</w:t>
            </w:r>
          </w:p>
        </w:tc>
        <w:tc>
          <w:tcPr>
            <w:tcW w:w="5575" w:type="dxa"/>
          </w:tcPr>
          <w:p w14:paraId="371E9758" w14:textId="77777777" w:rsidR="00473EAD" w:rsidRPr="0092004C" w:rsidRDefault="00473EAD" w:rsidP="00473EAD">
            <w:pPr>
              <w:pStyle w:val="ListParagraph"/>
              <w:numPr>
                <w:ilvl w:val="0"/>
                <w:numId w:val="2"/>
              </w:numPr>
              <w:spacing w:line="270" w:lineRule="exact"/>
              <w:rPr>
                <w:rFonts w:ascii="Segoe UI" w:hAnsi="Segoe UI" w:cs="Segoe UI"/>
                <w:sz w:val="21"/>
                <w:szCs w:val="21"/>
              </w:rPr>
            </w:pPr>
            <w:r w:rsidRPr="0092004C">
              <w:rPr>
                <w:rFonts w:ascii="Segoe UI" w:hAnsi="Segoe UI"/>
                <w:sz w:val="21"/>
              </w:rPr>
              <w:t>Póngase en contacto con el centro de apoyo de recuperación entre compañeros o con la línea de ayuda</w:t>
            </w:r>
          </w:p>
        </w:tc>
        <w:tc>
          <w:tcPr>
            <w:tcW w:w="3410" w:type="dxa"/>
          </w:tcPr>
          <w:p w14:paraId="2BA0D3CD" w14:textId="77777777" w:rsidR="00473EAD" w:rsidRPr="0092004C" w:rsidRDefault="00473EAD" w:rsidP="00473EAD">
            <w:pPr>
              <w:pStyle w:val="ListParagraph"/>
              <w:numPr>
                <w:ilvl w:val="1"/>
                <w:numId w:val="7"/>
              </w:numPr>
              <w:spacing w:line="270" w:lineRule="exact"/>
              <w:rPr>
                <w:rStyle w:val="Hyperlink"/>
                <w:rFonts w:ascii="Segoe UI" w:hAnsi="Segoe UI" w:cs="Segoe UI"/>
                <w:color w:val="013366"/>
                <w:sz w:val="21"/>
                <w:szCs w:val="21"/>
              </w:rPr>
            </w:pPr>
            <w:hyperlink r:id="rId39" w:history="1">
              <w:r w:rsidRPr="0092004C">
                <w:rPr>
                  <w:rStyle w:val="Hyperlink"/>
                  <w:rFonts w:ascii="Segoe UI" w:hAnsi="Segoe UI"/>
                  <w:sz w:val="21"/>
                </w:rPr>
                <w:t>Centros de apoyo de recuperación entre compañeros</w:t>
              </w:r>
            </w:hyperlink>
            <w:r w:rsidRPr="0092004C">
              <w:rPr>
                <w:rStyle w:val="Hyperlink"/>
                <w:rFonts w:ascii="Segoe UI" w:hAnsi="Segoe UI"/>
                <w:sz w:val="21"/>
              </w:rPr>
              <w:t xml:space="preserve"> </w:t>
            </w:r>
          </w:p>
          <w:p w14:paraId="53EA283A" w14:textId="77777777" w:rsidR="00473EAD" w:rsidRPr="0092004C" w:rsidRDefault="00473EAD" w:rsidP="00473EAD">
            <w:pPr>
              <w:pStyle w:val="ListParagraph"/>
              <w:numPr>
                <w:ilvl w:val="1"/>
                <w:numId w:val="4"/>
              </w:numPr>
              <w:spacing w:line="270" w:lineRule="exact"/>
              <w:rPr>
                <w:rFonts w:ascii="Segoe UI" w:hAnsi="Segoe UI" w:cs="Segoe UI"/>
                <w:sz w:val="21"/>
                <w:szCs w:val="21"/>
              </w:rPr>
            </w:pPr>
            <w:r w:rsidRPr="0092004C">
              <w:rPr>
                <w:rFonts w:ascii="Segoe UI" w:hAnsi="Segoe UI"/>
                <w:sz w:val="21"/>
              </w:rPr>
              <w:t>Contacte a OTP/OBOT para recibir los servicios</w:t>
            </w:r>
          </w:p>
          <w:p w14:paraId="59162138" w14:textId="77777777" w:rsidR="00473EAD" w:rsidRPr="0092004C" w:rsidRDefault="00473EAD" w:rsidP="00473EAD">
            <w:pPr>
              <w:pStyle w:val="ListParagraph"/>
              <w:numPr>
                <w:ilvl w:val="1"/>
                <w:numId w:val="4"/>
              </w:numPr>
              <w:spacing w:line="270" w:lineRule="exact"/>
              <w:rPr>
                <w:rFonts w:ascii="Segoe UI" w:hAnsi="Segoe UI" w:cs="Segoe UI"/>
                <w:sz w:val="21"/>
                <w:szCs w:val="21"/>
              </w:rPr>
            </w:pPr>
            <w:r w:rsidRPr="0092004C">
              <w:rPr>
                <w:rFonts w:ascii="Segoe UI" w:hAnsi="Segoe UI"/>
                <w:sz w:val="21"/>
              </w:rPr>
              <w:t xml:space="preserve">Contacte </w:t>
            </w:r>
            <w:proofErr w:type="spellStart"/>
            <w:r w:rsidRPr="0092004C">
              <w:rPr>
                <w:rFonts w:ascii="Segoe UI" w:hAnsi="Segoe UI"/>
                <w:sz w:val="21"/>
              </w:rPr>
              <w:t>MassHealth</w:t>
            </w:r>
            <w:proofErr w:type="spellEnd"/>
            <w:r w:rsidRPr="0092004C">
              <w:rPr>
                <w:rFonts w:ascii="Segoe UI" w:hAnsi="Segoe UI"/>
                <w:sz w:val="21"/>
              </w:rPr>
              <w:t xml:space="preserve"> para opciones de cobertura</w:t>
            </w:r>
          </w:p>
        </w:tc>
      </w:tr>
      <w:tr w:rsidR="00473EAD" w:rsidRPr="0092004C" w14:paraId="14587DD8" w14:textId="77777777" w:rsidTr="005858FB">
        <w:tc>
          <w:tcPr>
            <w:tcW w:w="1795" w:type="dxa"/>
            <w:shd w:val="clear" w:color="auto" w:fill="CAD9EC"/>
          </w:tcPr>
          <w:p w14:paraId="037F6BF0" w14:textId="77777777" w:rsidR="00473EAD" w:rsidRPr="0092004C" w:rsidRDefault="00473EAD" w:rsidP="005858FB">
            <w:pPr>
              <w:spacing w:line="270" w:lineRule="exact"/>
              <w:ind w:left="152"/>
              <w:rPr>
                <w:rFonts w:ascii="Segoe UI" w:hAnsi="Segoe UI" w:cs="Segoe UI"/>
                <w:i/>
                <w:sz w:val="21"/>
                <w:szCs w:val="21"/>
              </w:rPr>
            </w:pPr>
            <w:r w:rsidRPr="0092004C">
              <w:rPr>
                <w:rFonts w:ascii="Segoe UI" w:hAnsi="Segoe UI"/>
                <w:i/>
                <w:sz w:val="21"/>
              </w:rPr>
              <w:t>Asesor de pacientes</w:t>
            </w:r>
          </w:p>
        </w:tc>
        <w:tc>
          <w:tcPr>
            <w:tcW w:w="5575" w:type="dxa"/>
          </w:tcPr>
          <w:p w14:paraId="4A5C78E1" w14:textId="77777777" w:rsidR="00473EAD" w:rsidRPr="0092004C" w:rsidRDefault="00473EAD" w:rsidP="00473EAD">
            <w:pPr>
              <w:pStyle w:val="ListParagraph"/>
              <w:numPr>
                <w:ilvl w:val="0"/>
                <w:numId w:val="2"/>
              </w:numPr>
              <w:spacing w:line="270" w:lineRule="exact"/>
              <w:rPr>
                <w:rFonts w:ascii="Segoe UI" w:hAnsi="Segoe UI" w:cs="Segoe UI"/>
                <w:b/>
                <w:sz w:val="21"/>
                <w:szCs w:val="21"/>
              </w:rPr>
            </w:pPr>
            <w:r w:rsidRPr="0092004C">
              <w:rPr>
                <w:rFonts w:ascii="Segoe UI" w:hAnsi="Segoe UI"/>
                <w:sz w:val="21"/>
              </w:rPr>
              <w:t>Trabaja en conjunto con los sistemas de atención médica locales y ayuda a guiar al paciente a través del sistema de atención médica y los servicios de apoyo de paciente.</w:t>
            </w:r>
          </w:p>
        </w:tc>
        <w:tc>
          <w:tcPr>
            <w:tcW w:w="3410" w:type="dxa"/>
          </w:tcPr>
          <w:p w14:paraId="58962D66" w14:textId="77777777" w:rsidR="00473EAD" w:rsidRPr="0092004C" w:rsidRDefault="00473EAD" w:rsidP="00473EAD">
            <w:pPr>
              <w:pStyle w:val="ListParagraph"/>
              <w:numPr>
                <w:ilvl w:val="0"/>
                <w:numId w:val="5"/>
              </w:numPr>
              <w:spacing w:line="270" w:lineRule="exact"/>
              <w:rPr>
                <w:rFonts w:ascii="Segoe UI" w:hAnsi="Segoe UI" w:cs="Segoe UI"/>
                <w:sz w:val="21"/>
                <w:szCs w:val="21"/>
              </w:rPr>
            </w:pPr>
            <w:r w:rsidRPr="0092004C">
              <w:rPr>
                <w:rFonts w:ascii="Segoe UI" w:hAnsi="Segoe UI"/>
                <w:sz w:val="21"/>
              </w:rPr>
              <w:t>Actualmente puede no estar cubierto por el seguro</w:t>
            </w:r>
          </w:p>
        </w:tc>
      </w:tr>
      <w:tr w:rsidR="00473EAD" w:rsidRPr="0092004C" w14:paraId="0C31B459" w14:textId="77777777" w:rsidTr="005858FB">
        <w:tc>
          <w:tcPr>
            <w:tcW w:w="1795" w:type="dxa"/>
            <w:shd w:val="clear" w:color="auto" w:fill="CAD9EC"/>
          </w:tcPr>
          <w:p w14:paraId="21E08E81" w14:textId="77777777" w:rsidR="00473EAD" w:rsidRPr="0092004C" w:rsidRDefault="00473EAD" w:rsidP="005858FB">
            <w:pPr>
              <w:spacing w:line="270" w:lineRule="exact"/>
              <w:rPr>
                <w:rFonts w:ascii="Segoe UI" w:hAnsi="Segoe UI" w:cs="Segoe UI"/>
                <w:b/>
                <w:sz w:val="21"/>
                <w:szCs w:val="21"/>
              </w:rPr>
            </w:pPr>
            <w:r w:rsidRPr="0092004C">
              <w:rPr>
                <w:rFonts w:ascii="Segoe UI" w:hAnsi="Segoe UI"/>
                <w:b/>
                <w:sz w:val="21"/>
              </w:rPr>
              <w:t xml:space="preserve">Consideraciones </w:t>
            </w:r>
            <w:r w:rsidRPr="0092004C">
              <w:rPr>
                <w:rFonts w:ascii="Segoe UI" w:hAnsi="Segoe UI"/>
                <w:b/>
                <w:sz w:val="21"/>
              </w:rPr>
              <w:lastRenderedPageBreak/>
              <w:t>regulatorias</w:t>
            </w:r>
          </w:p>
        </w:tc>
        <w:tc>
          <w:tcPr>
            <w:tcW w:w="8985" w:type="dxa"/>
            <w:gridSpan w:val="2"/>
          </w:tcPr>
          <w:p w14:paraId="3EC7A5D5" w14:textId="77777777" w:rsidR="00473EAD" w:rsidRPr="0092004C" w:rsidRDefault="00473EAD" w:rsidP="005858FB">
            <w:pPr>
              <w:spacing w:line="270" w:lineRule="exact"/>
              <w:rPr>
                <w:rFonts w:ascii="Segoe UI" w:hAnsi="Segoe UI" w:cs="Segoe UI"/>
                <w:sz w:val="21"/>
                <w:szCs w:val="21"/>
              </w:rPr>
            </w:pPr>
            <w:r w:rsidRPr="0092004C">
              <w:rPr>
                <w:rFonts w:ascii="Segoe UI" w:hAnsi="Segoe UI"/>
                <w:sz w:val="21"/>
              </w:rPr>
              <w:lastRenderedPageBreak/>
              <w:t>Ninguna</w:t>
            </w:r>
          </w:p>
        </w:tc>
      </w:tr>
    </w:tbl>
    <w:p w14:paraId="2FD6AB6F" w14:textId="77777777" w:rsidR="006A0977" w:rsidRDefault="006A0977"/>
    <w:sectPr w:rsidR="006A0977" w:rsidSect="00473EAD">
      <w:headerReference w:type="default" r:id="rId40"/>
      <w:foot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EF6C" w14:textId="77777777" w:rsidR="00473EAD" w:rsidRDefault="00473EAD" w:rsidP="00473EAD">
      <w:r>
        <w:separator/>
      </w:r>
    </w:p>
  </w:endnote>
  <w:endnote w:type="continuationSeparator" w:id="0">
    <w:p w14:paraId="1FC9DE92" w14:textId="77777777" w:rsidR="00473EAD" w:rsidRDefault="00473EAD" w:rsidP="00473EAD">
      <w:r>
        <w:continuationSeparator/>
      </w:r>
    </w:p>
  </w:endnote>
  <w:endnote w:id="1">
    <w:p w14:paraId="69E0773F"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U.S. Department of Health &amp; Human Services. </w:t>
      </w:r>
      <w:r w:rsidRPr="0092004C">
        <w:rPr>
          <w:rFonts w:ascii="Segoe UI" w:hAnsi="Segoe UI"/>
          <w:sz w:val="21"/>
        </w:rPr>
        <w:t>(</w:t>
      </w:r>
      <w:proofErr w:type="gramStart"/>
      <w:r w:rsidRPr="0092004C">
        <w:rPr>
          <w:rFonts w:ascii="Segoe UI" w:hAnsi="Segoe UI"/>
          <w:sz w:val="21"/>
        </w:rPr>
        <w:t>Junio</w:t>
      </w:r>
      <w:proofErr w:type="gramEnd"/>
      <w:r w:rsidRPr="0092004C">
        <w:rPr>
          <w:rFonts w:ascii="Segoe UI" w:hAnsi="Segoe UI"/>
          <w:sz w:val="21"/>
        </w:rPr>
        <w:t xml:space="preserve"> de 2019). Consejo 63: Medicamentos para el trastorno por consumo de opiáceos. SAMHSA. Extraído en octubre de 2019, de Consejo 63: </w:t>
      </w:r>
      <w:proofErr w:type="spellStart"/>
      <w:r w:rsidRPr="0092004C">
        <w:rPr>
          <w:rFonts w:ascii="Segoe UI" w:hAnsi="Segoe UI"/>
          <w:sz w:val="21"/>
        </w:rPr>
        <w:t>Medications</w:t>
      </w:r>
      <w:proofErr w:type="spellEnd"/>
      <w:r w:rsidRPr="0092004C">
        <w:rPr>
          <w:rFonts w:ascii="Segoe UI" w:hAnsi="Segoe UI"/>
          <w:sz w:val="21"/>
        </w:rPr>
        <w:t xml:space="preserve"> </w:t>
      </w:r>
      <w:proofErr w:type="spellStart"/>
      <w:r w:rsidRPr="0092004C">
        <w:rPr>
          <w:rFonts w:ascii="Segoe UI" w:hAnsi="Segoe UI"/>
          <w:sz w:val="21"/>
        </w:rPr>
        <w:t>for</w:t>
      </w:r>
      <w:proofErr w:type="spellEnd"/>
      <w:r w:rsidRPr="0092004C">
        <w:rPr>
          <w:rFonts w:ascii="Segoe UI" w:hAnsi="Segoe UI"/>
          <w:sz w:val="21"/>
        </w:rPr>
        <w:t xml:space="preserve"> </w:t>
      </w:r>
      <w:proofErr w:type="spellStart"/>
      <w:r w:rsidRPr="0092004C">
        <w:rPr>
          <w:rFonts w:ascii="Segoe UI" w:hAnsi="Segoe UI"/>
          <w:sz w:val="21"/>
        </w:rPr>
        <w:t>Opioid</w:t>
      </w:r>
      <w:proofErr w:type="spellEnd"/>
      <w:r w:rsidRPr="0092004C">
        <w:rPr>
          <w:rFonts w:ascii="Segoe UI" w:hAnsi="Segoe UI"/>
          <w:sz w:val="21"/>
        </w:rPr>
        <w:t xml:space="preserve"> Use </w:t>
      </w:r>
      <w:proofErr w:type="spellStart"/>
      <w:r w:rsidRPr="0092004C">
        <w:rPr>
          <w:rFonts w:ascii="Segoe UI" w:hAnsi="Segoe UI"/>
          <w:sz w:val="21"/>
        </w:rPr>
        <w:t>Disorder</w:t>
      </w:r>
      <w:proofErr w:type="spellEnd"/>
      <w:r w:rsidRPr="0092004C">
        <w:rPr>
          <w:rFonts w:ascii="Segoe UI" w:hAnsi="Segoe UI"/>
          <w:sz w:val="21"/>
        </w:rPr>
        <w:t xml:space="preserve">: </w:t>
      </w:r>
      <w:hyperlink r:id="rId1" w:history="1">
        <w:r w:rsidRPr="0092004C">
          <w:rPr>
            <w:rStyle w:val="Hyperlink"/>
            <w:rFonts w:ascii="Segoe UI" w:hAnsi="Segoe UI"/>
            <w:sz w:val="21"/>
          </w:rPr>
          <w:t>https://store.samhsa.gov/product/Consejo-63-Medications-for-Opioid-Use-Disorder-Full-Document-Including-Executive-Summary-and-Parts-1-5-/SMA19-5063FULLDOC</w:t>
        </w:r>
      </w:hyperlink>
      <w:r w:rsidRPr="0092004C">
        <w:rPr>
          <w:rFonts w:ascii="Segoe UI" w:hAnsi="Segoe UI"/>
          <w:sz w:val="21"/>
        </w:rPr>
        <w:t xml:space="preserve"> </w:t>
      </w:r>
    </w:p>
  </w:endnote>
  <w:endnote w:id="2">
    <w:p w14:paraId="634B9F93"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COVID-19 Dosificación de la medicación en los programas de tratamiento de opiáceos. Oficina Ejecutiva de Salud y Servicios Humanos - Departamento de Salud Pública, Estado de Massachusetts. 10 de junio de 2021. Extraído en junio de 2021. </w:t>
      </w:r>
      <w:hyperlink r:id="rId2" w:history="1">
        <w:r w:rsidRPr="0092004C">
          <w:rPr>
            <w:rStyle w:val="Hyperlink"/>
            <w:rFonts w:ascii="Segoe UI" w:hAnsi="Segoe UI"/>
            <w:sz w:val="21"/>
          </w:rPr>
          <w:t>https://search.mass.gov/?_ga=2.254905544.1385348170.1624814791-1677852464.1614185120&amp;page=1&amp;q=OTP%20SAMHSA%20blanket%20waiver</w:t>
        </w:r>
      </w:hyperlink>
      <w:r w:rsidRPr="0092004C">
        <w:rPr>
          <w:rFonts w:ascii="Segoe UI" w:hAnsi="Segoe UI"/>
          <w:sz w:val="21"/>
        </w:rPr>
        <w:t xml:space="preserve">  </w:t>
      </w:r>
    </w:p>
  </w:endnote>
  <w:endnote w:id="3">
    <w:p w14:paraId="6735B59F" w14:textId="77777777" w:rsidR="00473EAD" w:rsidRPr="0092004C" w:rsidRDefault="00473EAD" w:rsidP="00473EAD">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 Ibid.</w:t>
      </w:r>
    </w:p>
  </w:endnote>
  <w:endnote w:id="4">
    <w:p w14:paraId="12859232" w14:textId="77777777" w:rsidR="00473EAD" w:rsidRPr="00866073" w:rsidRDefault="00473EAD" w:rsidP="00473EAD">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lang w:val="en-US"/>
        </w:rPr>
        <w:t xml:space="preserve"> Federal Opioid Treatment Standards. </w:t>
      </w:r>
      <w:r w:rsidRPr="00866073">
        <w:rPr>
          <w:rFonts w:ascii="Segoe UI" w:hAnsi="Segoe UI"/>
          <w:sz w:val="21"/>
          <w:lang w:val="pt-BR"/>
        </w:rPr>
        <w:t xml:space="preserve">(18 de junio de 2015). 42 CFR §8.12(h)(4)(i). Tomado de </w:t>
      </w:r>
      <w:r>
        <w:fldChar w:fldCharType="begin"/>
      </w:r>
      <w:r>
        <w:instrText>HYPERLINK "https://www.ecfr.gov/cgi-bin/retrieveECFR?gp=4&amp;SID=fd009293990433d2961852b541ef0305&amp;ty=HTML&amp;h=L&amp;mc=true&amp;r=SECTION&amp;n=se42.1.8_112"</w:instrText>
      </w:r>
      <w:r>
        <w:fldChar w:fldCharType="separate"/>
      </w:r>
      <w:r w:rsidRPr="00866073">
        <w:rPr>
          <w:rStyle w:val="Hyperlink"/>
          <w:rFonts w:ascii="Segoe UI" w:hAnsi="Segoe UI"/>
          <w:sz w:val="21"/>
          <w:lang w:val="pt-BR"/>
        </w:rPr>
        <w:t>https://www.ecfr.gov/cgi-bin/retrieveECFR?gp=4&amp;SID=fd009293990433d2961852b541ef0305&amp;ty=HTML&amp;h=L&amp;mc=true&amp;r=SECTION&amp;n=se42.1.8_112</w:t>
      </w:r>
      <w:r>
        <w:rPr>
          <w:rStyle w:val="Hyperlink"/>
          <w:rFonts w:ascii="Segoe UI" w:hAnsi="Segoe UI"/>
          <w:sz w:val="21"/>
          <w:lang w:val="pt-BR"/>
        </w:rPr>
        <w:fldChar w:fldCharType="end"/>
      </w:r>
    </w:p>
  </w:endnote>
  <w:endnote w:id="5">
    <w:p w14:paraId="29463E30"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Departamento de Salud y Servicios Humanos de Estados Unidos. Directorio de programas de tratamiento de opiáceos. SAMHSA. Extraído en octubre de 2019, de </w:t>
      </w:r>
      <w:hyperlink r:id="rId3" w:history="1">
        <w:r w:rsidRPr="0092004C">
          <w:rPr>
            <w:rStyle w:val="Hyperlink"/>
            <w:rFonts w:ascii="Segoe UI" w:hAnsi="Segoe UI"/>
            <w:sz w:val="21"/>
          </w:rPr>
          <w:t>https://dpt2.samhsa.gov/treatment/directory.aspx</w:t>
        </w:r>
      </w:hyperlink>
      <w:r w:rsidRPr="0092004C">
        <w:rPr>
          <w:rFonts w:ascii="Segoe UI" w:hAnsi="Segoe UI"/>
          <w:sz w:val="21"/>
        </w:rPr>
        <w:t xml:space="preserve"> </w:t>
      </w:r>
    </w:p>
  </w:endnote>
  <w:endnote w:id="6">
    <w:p w14:paraId="06CC8FDB"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Administración o distribución de estupefacientes. (23 de junio de 2005). 21 CFR §1306.07. Tomado de </w:t>
      </w:r>
      <w:hyperlink r:id="rId4" w:history="1">
        <w:r w:rsidRPr="0092004C">
          <w:rPr>
            <w:rStyle w:val="Hyperlink"/>
            <w:rFonts w:ascii="Segoe UI" w:hAnsi="Segoe UI"/>
            <w:sz w:val="21"/>
          </w:rPr>
          <w:t>https://www.ecfr.gov/</w:t>
        </w:r>
      </w:hyperlink>
    </w:p>
  </w:endnote>
  <w:endnote w:id="7">
    <w:p w14:paraId="70B784EB" w14:textId="77777777" w:rsidR="00473EAD" w:rsidRPr="0092004C" w:rsidRDefault="00473EAD" w:rsidP="00473EAD">
      <w:pPr>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Departamento de Salud y Servicios Humanos de Estados Unidos. (</w:t>
      </w:r>
      <w:proofErr w:type="spellStart"/>
      <w:r w:rsidRPr="0092004C">
        <w:rPr>
          <w:rFonts w:ascii="Segoe UI" w:hAnsi="Segoe UI"/>
          <w:sz w:val="21"/>
        </w:rPr>
        <w:t>n.d</w:t>
      </w:r>
      <w:proofErr w:type="spellEnd"/>
      <w:r w:rsidRPr="0092004C">
        <w:rPr>
          <w:rFonts w:ascii="Segoe UI" w:hAnsi="Segoe UI"/>
          <w:sz w:val="21"/>
        </w:rPr>
        <w:t xml:space="preserve">.). Tratamiento con opiáceos en consultorio (OBOT). Servicios de Salud de la India. Extraído en octubre de 2019, de </w:t>
      </w:r>
      <w:hyperlink r:id="rId5" w:history="1">
        <w:r w:rsidRPr="0092004C">
          <w:rPr>
            <w:rStyle w:val="Hyperlink"/>
            <w:rFonts w:ascii="Segoe UI" w:hAnsi="Segoe UI"/>
            <w:sz w:val="21"/>
          </w:rPr>
          <w:t>https://www.ihs.gov/opioids/recovery/obot/</w:t>
        </w:r>
      </w:hyperlink>
    </w:p>
  </w:endnote>
  <w:endnote w:id="8">
    <w:p w14:paraId="4B732CB2" w14:textId="77777777" w:rsidR="00473EAD" w:rsidRPr="00866073" w:rsidRDefault="00473EAD" w:rsidP="00473EAD">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rPr>
        <w:t xml:space="preserve"> Departamento de Servicios Humanos y Salud de Estados Unidos (septiembre, 2019) Tratamiento asistido con medicamentos: Estatutos, Reglamentos y Lineamientos. </w:t>
      </w:r>
      <w:r w:rsidRPr="00866073">
        <w:rPr>
          <w:rFonts w:ascii="Segoe UI" w:hAnsi="Segoe UI"/>
          <w:sz w:val="21"/>
          <w:lang w:val="pt-BR"/>
        </w:rPr>
        <w:t xml:space="preserve">SAMHSA. Tomado de </w:t>
      </w:r>
      <w:r>
        <w:fldChar w:fldCharType="begin"/>
      </w:r>
      <w:r>
        <w:instrText>HYPERLINK "https://www.samhsa.gov/medication-assisted-treatment/statutes-regulations-guidelines"</w:instrText>
      </w:r>
      <w:r>
        <w:fldChar w:fldCharType="separate"/>
      </w:r>
      <w:r w:rsidRPr="00866073">
        <w:rPr>
          <w:rStyle w:val="Hyperlink"/>
          <w:rFonts w:ascii="Segoe UI" w:hAnsi="Segoe UI"/>
          <w:sz w:val="21"/>
          <w:lang w:val="pt-BR"/>
        </w:rPr>
        <w:t>https://www.samhsa.gov/medication-assisted-treatment/statutes-regulations-guidelines</w:t>
      </w:r>
      <w:r>
        <w:rPr>
          <w:rStyle w:val="Hyperlink"/>
          <w:rFonts w:ascii="Segoe UI" w:hAnsi="Segoe UI"/>
          <w:sz w:val="21"/>
          <w:lang w:val="pt-BR"/>
        </w:rPr>
        <w:fldChar w:fldCharType="end"/>
      </w:r>
    </w:p>
  </w:endnote>
  <w:endnote w:id="9">
    <w:p w14:paraId="1C869649"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Departamento de Salud y Servicios Humanos de Estados Unidos. (Actualizado diariamente). Datos de profesionales y programas. SAMHSA. Extraído en octubre de 2019 de </w:t>
      </w:r>
      <w:hyperlink r:id="rId6" w:history="1">
        <w:r w:rsidRPr="0092004C">
          <w:rPr>
            <w:rStyle w:val="Hyperlink"/>
            <w:rFonts w:ascii="Segoe UI" w:hAnsi="Segoe UI"/>
            <w:sz w:val="21"/>
          </w:rPr>
          <w:t>https://www.samhsa.gov/medication-assisted-treatment/training-materials-resources/practitioner-program-data</w:t>
        </w:r>
      </w:hyperlink>
    </w:p>
  </w:endnote>
  <w:endnote w:id="10">
    <w:p w14:paraId="72403E64"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Departamento de Salud y Servicios Humanos de Estados Unidos. (</w:t>
      </w:r>
      <w:proofErr w:type="spellStart"/>
      <w:r w:rsidRPr="0092004C">
        <w:rPr>
          <w:rFonts w:ascii="Segoe UI" w:hAnsi="Segoe UI"/>
          <w:sz w:val="21"/>
        </w:rPr>
        <w:t>n.d</w:t>
      </w:r>
      <w:proofErr w:type="spellEnd"/>
      <w:r w:rsidRPr="0092004C">
        <w:rPr>
          <w:rFonts w:ascii="Segoe UI" w:hAnsi="Segoe UI"/>
          <w:sz w:val="21"/>
        </w:rPr>
        <w:t xml:space="preserve">.). Búsqueda de farmacias de buprenorfina. SAMHSA. Extraído en octubre de 2019 de </w:t>
      </w:r>
      <w:hyperlink r:id="rId7" w:history="1">
        <w:r w:rsidRPr="0092004C">
          <w:rPr>
            <w:rStyle w:val="Hyperlink"/>
            <w:rFonts w:ascii="Segoe UI" w:hAnsi="Segoe UI"/>
            <w:sz w:val="21"/>
          </w:rPr>
          <w:t>https://www.samhsa.gov/bupe/lookup-form</w:t>
        </w:r>
      </w:hyperlink>
    </w:p>
  </w:endnote>
  <w:endnote w:id="11">
    <w:p w14:paraId="25A6744C"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Departamento de Salud y Servicios Humanos de Estados Unidos (actualizado de forma anual). Encuentra el tratamiento: Mapa de localización. SAMHSA. Extraído en octubre de 2019 de </w:t>
      </w:r>
      <w:hyperlink r:id="rId8" w:history="1">
        <w:r w:rsidRPr="0092004C">
          <w:rPr>
            <w:rStyle w:val="Hyperlink"/>
            <w:rFonts w:ascii="Segoe UI" w:hAnsi="Segoe UI"/>
            <w:sz w:val="21"/>
          </w:rPr>
          <w:t>https://findtreatment.samhsa.gov/locator</w:t>
        </w:r>
      </w:hyperlink>
    </w:p>
  </w:endnote>
  <w:endnote w:id="12">
    <w:p w14:paraId="7DC845B9"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Recursos sanitarios en acción. (2019). Tomado de </w:t>
      </w:r>
      <w:proofErr w:type="spellStart"/>
      <w:r w:rsidRPr="0092004C">
        <w:rPr>
          <w:rFonts w:ascii="Segoe UI" w:hAnsi="Segoe UI"/>
          <w:sz w:val="21"/>
        </w:rPr>
        <w:t>The</w:t>
      </w:r>
      <w:proofErr w:type="spellEnd"/>
      <w:r w:rsidRPr="0092004C">
        <w:rPr>
          <w:rFonts w:ascii="Segoe UI" w:hAnsi="Segoe UI"/>
          <w:sz w:val="21"/>
        </w:rPr>
        <w:t xml:space="preserve"> Massachusetts </w:t>
      </w:r>
      <w:proofErr w:type="spellStart"/>
      <w:r w:rsidRPr="0092004C">
        <w:rPr>
          <w:rFonts w:ascii="Segoe UI" w:hAnsi="Segoe UI"/>
          <w:sz w:val="21"/>
        </w:rPr>
        <w:t>Substance</w:t>
      </w:r>
      <w:proofErr w:type="spellEnd"/>
      <w:r w:rsidRPr="0092004C">
        <w:rPr>
          <w:rFonts w:ascii="Segoe UI" w:hAnsi="Segoe UI"/>
          <w:sz w:val="21"/>
        </w:rPr>
        <w:t xml:space="preserve"> Use </w:t>
      </w:r>
      <w:proofErr w:type="spellStart"/>
      <w:r w:rsidRPr="0092004C">
        <w:rPr>
          <w:rFonts w:ascii="Segoe UI" w:hAnsi="Segoe UI"/>
          <w:sz w:val="21"/>
        </w:rPr>
        <w:t>Helpline</w:t>
      </w:r>
      <w:proofErr w:type="spellEnd"/>
      <w:r w:rsidRPr="0092004C">
        <w:rPr>
          <w:rFonts w:ascii="Segoe UI" w:hAnsi="Segoe UI"/>
          <w:sz w:val="21"/>
        </w:rPr>
        <w:t xml:space="preserve">: </w:t>
      </w:r>
      <w:hyperlink r:id="rId9" w:history="1">
        <w:r w:rsidRPr="0092004C">
          <w:rPr>
            <w:rStyle w:val="Hyperlink"/>
            <w:rFonts w:ascii="Segoe UI" w:hAnsi="Segoe UI"/>
            <w:sz w:val="21"/>
          </w:rPr>
          <w:t>https://helplinema.org/</w:t>
        </w:r>
      </w:hyperlink>
      <w:r w:rsidRPr="0092004C">
        <w:rPr>
          <w:rFonts w:ascii="Segoe UI" w:hAnsi="Segoe UI"/>
          <w:sz w:val="21"/>
        </w:rPr>
        <w:t xml:space="preserve"> </w:t>
      </w:r>
    </w:p>
  </w:endnote>
  <w:endnote w:id="13">
    <w:p w14:paraId="0727BA4E"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Departamento de Servicios Humanos y Salud de Estados Unidos (2019, 05 de agosto). Línea de ayuda nacional de SAMHSA. SAMHSA. Extraído en octubre de 2019, de </w:t>
      </w:r>
      <w:hyperlink r:id="rId10" w:history="1">
        <w:r w:rsidRPr="0092004C">
          <w:rPr>
            <w:rStyle w:val="Hyperlink"/>
            <w:rFonts w:ascii="Segoe UI" w:hAnsi="Segoe UI"/>
            <w:sz w:val="21"/>
          </w:rPr>
          <w:t>https://www.samhsa.gov/find-help/national-helpline</w:t>
        </w:r>
      </w:hyperlink>
    </w:p>
  </w:endnote>
  <w:endnote w:id="14">
    <w:p w14:paraId="1A22EBA0"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Commonwealth of Massachusetts (</w:t>
      </w:r>
      <w:proofErr w:type="spellStart"/>
      <w:r w:rsidRPr="0092004C">
        <w:rPr>
          <w:rFonts w:ascii="Segoe UI" w:hAnsi="Segoe UI"/>
          <w:sz w:val="21"/>
          <w:lang w:val="en-US"/>
        </w:rPr>
        <w:t>enero</w:t>
      </w:r>
      <w:proofErr w:type="spellEnd"/>
      <w:r w:rsidRPr="0092004C">
        <w:rPr>
          <w:rFonts w:ascii="Segoe UI" w:hAnsi="Segoe UI"/>
          <w:sz w:val="21"/>
          <w:lang w:val="en-US"/>
        </w:rPr>
        <w:t xml:space="preserve"> de 2019) MassHealth All Provider Bulletin 281. </w:t>
      </w:r>
      <w:r w:rsidRPr="0092004C">
        <w:rPr>
          <w:rFonts w:ascii="Segoe UI" w:hAnsi="Segoe UI"/>
          <w:sz w:val="21"/>
        </w:rPr>
        <w:t xml:space="preserve">Extraído en octubre de 2019, de </w:t>
      </w:r>
      <w:hyperlink r:id="rId11" w:history="1">
        <w:r w:rsidRPr="0092004C">
          <w:rPr>
            <w:rStyle w:val="Hyperlink"/>
            <w:rFonts w:ascii="Segoe UI" w:hAnsi="Segoe UI"/>
            <w:sz w:val="21"/>
          </w:rPr>
          <w:t>https://www.mass.gov/files/documents/2019/01/23/all-provider-bulletin-281.pdf</w:t>
        </w:r>
      </w:hyperlink>
    </w:p>
  </w:endnote>
  <w:endnote w:id="15">
    <w:p w14:paraId="48B60FD3" w14:textId="77777777" w:rsidR="00473EAD" w:rsidRPr="005F35B7" w:rsidRDefault="00473EAD" w:rsidP="00473EAD">
      <w:pPr>
        <w:pStyle w:val="EndnoteText"/>
        <w:keepNext/>
        <w:keepLines/>
        <w:pageBreakBefore/>
        <w:spacing w:after="20"/>
        <w:ind w:left="274" w:hanging="274"/>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U.S. Department of Health &amp; Human Services. (2019, 16 de </w:t>
      </w:r>
      <w:proofErr w:type="spellStart"/>
      <w:r w:rsidRPr="0092004C">
        <w:rPr>
          <w:rFonts w:ascii="Segoe UI" w:hAnsi="Segoe UI"/>
          <w:sz w:val="21"/>
          <w:lang w:val="en-US"/>
        </w:rPr>
        <w:t>abril</w:t>
      </w:r>
      <w:proofErr w:type="spellEnd"/>
      <w:r w:rsidRPr="0092004C">
        <w:rPr>
          <w:rFonts w:ascii="Segoe UI" w:hAnsi="Segoe UI"/>
          <w:sz w:val="21"/>
          <w:lang w:val="en-US"/>
        </w:rPr>
        <w:t xml:space="preserve">). Medicare and Medicaid Programs; Policy and Technical Changes to the Medicare Advantage, Medicare Prescription Drug Benefit, Programs of All-Inclusive Care for the Elderly (PACE), Medicaid Fee-For-Service, and Medicaid Managed Care Programs for Years 2020 and 2021. </w:t>
      </w:r>
      <w:r w:rsidRPr="005F35B7">
        <w:rPr>
          <w:rFonts w:ascii="Segoe UI" w:hAnsi="Segoe UI"/>
          <w:sz w:val="21"/>
          <w:lang w:val="en-US"/>
        </w:rPr>
        <w:t xml:space="preserve">Centers for Medicare &amp; Medicaid Services. </w:t>
      </w:r>
      <w:proofErr w:type="spellStart"/>
      <w:r w:rsidRPr="005F35B7">
        <w:rPr>
          <w:rFonts w:ascii="Segoe UI" w:hAnsi="Segoe UI"/>
          <w:sz w:val="21"/>
          <w:lang w:val="en-US"/>
        </w:rPr>
        <w:t>Extraído</w:t>
      </w:r>
      <w:proofErr w:type="spellEnd"/>
      <w:r w:rsidRPr="005F35B7">
        <w:rPr>
          <w:rFonts w:ascii="Segoe UI" w:hAnsi="Segoe UI"/>
          <w:sz w:val="21"/>
          <w:lang w:val="en-US"/>
        </w:rPr>
        <w:t xml:space="preserve"> </w:t>
      </w:r>
      <w:proofErr w:type="spellStart"/>
      <w:r w:rsidRPr="005F35B7">
        <w:rPr>
          <w:rFonts w:ascii="Segoe UI" w:hAnsi="Segoe UI"/>
          <w:sz w:val="21"/>
          <w:lang w:val="en-US"/>
        </w:rPr>
        <w:t>en</w:t>
      </w:r>
      <w:proofErr w:type="spellEnd"/>
      <w:r w:rsidRPr="005F35B7">
        <w:rPr>
          <w:rFonts w:ascii="Segoe UI" w:hAnsi="Segoe UI"/>
          <w:sz w:val="21"/>
          <w:lang w:val="en-US"/>
        </w:rPr>
        <w:t xml:space="preserve"> </w:t>
      </w:r>
      <w:proofErr w:type="spellStart"/>
      <w:r w:rsidRPr="005F35B7">
        <w:rPr>
          <w:rFonts w:ascii="Segoe UI" w:hAnsi="Segoe UI"/>
          <w:sz w:val="21"/>
          <w:lang w:val="en-US"/>
        </w:rPr>
        <w:t>octubre</w:t>
      </w:r>
      <w:proofErr w:type="spellEnd"/>
      <w:r w:rsidRPr="005F35B7">
        <w:rPr>
          <w:rFonts w:ascii="Segoe UI" w:hAnsi="Segoe UI"/>
          <w:sz w:val="21"/>
          <w:lang w:val="en-US"/>
        </w:rPr>
        <w:t xml:space="preserve"> de 2019, de </w:t>
      </w:r>
      <w:hyperlink r:id="rId12" w:history="1">
        <w:r w:rsidRPr="005F35B7">
          <w:rPr>
            <w:rStyle w:val="Hyperlink"/>
            <w:rFonts w:ascii="Segoe UI" w:hAnsi="Segoe UI"/>
            <w:sz w:val="21"/>
            <w:lang w:val="en-US"/>
          </w:rPr>
          <w:t>https://s3.amazonaws.com/public-inspection.federalregister.gov/2019-06822.pdf</w:t>
        </w:r>
      </w:hyperlink>
      <w:r w:rsidRPr="005F35B7">
        <w:rPr>
          <w:rFonts w:ascii="Segoe UI" w:hAnsi="Segoe UI"/>
          <w:sz w:val="21"/>
          <w:lang w:val="en-US"/>
        </w:rPr>
        <w:t>.</w:t>
      </w:r>
    </w:p>
  </w:endnote>
  <w:endnote w:id="16">
    <w:p w14:paraId="0B89DC0F"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Substance Abuse and Mental Health Services Administration (2020, April) FAQs: Provision of methadone and buprenorphine for the treatment of Opioid Use Disorder in the COVID-19 emergency. </w:t>
      </w:r>
      <w:r w:rsidRPr="0092004C">
        <w:rPr>
          <w:rFonts w:ascii="Segoe UI" w:hAnsi="Segoe UI"/>
          <w:sz w:val="21"/>
        </w:rPr>
        <w:t xml:space="preserve">Extraído en junio de 2021, de </w:t>
      </w:r>
      <w:hyperlink r:id="rId13" w:history="1">
        <w:r w:rsidRPr="0092004C">
          <w:rPr>
            <w:rStyle w:val="Hyperlink"/>
            <w:rFonts w:ascii="Segoe UI" w:hAnsi="Segoe UI"/>
            <w:sz w:val="21"/>
          </w:rPr>
          <w:t>https://www.samhsa.gov/sites/default/files/faqs-for-oud-prescribing-and-dispensing.pdf</w:t>
        </w:r>
      </w:hyperlink>
      <w:r w:rsidRPr="0092004C">
        <w:rPr>
          <w:rFonts w:ascii="Segoe UI" w:hAnsi="Segoe UI"/>
          <w:sz w:val="21"/>
        </w:rPr>
        <w:t xml:space="preserve">  </w:t>
      </w:r>
    </w:p>
  </w:endnote>
  <w:endnote w:id="17">
    <w:p w14:paraId="42CBED16"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lang w:val="en-US"/>
        </w:rPr>
        <w:t xml:space="preserve"> </w:t>
      </w:r>
      <w:r w:rsidRPr="0092004C">
        <w:rPr>
          <w:rFonts w:ascii="Segoe UI" w:hAnsi="Segoe UI"/>
          <w:sz w:val="21"/>
          <w:lang w:val="en-US"/>
        </w:rPr>
        <w:t>U.S. Department of Justice. (</w:t>
      </w:r>
      <w:proofErr w:type="spellStart"/>
      <w:proofErr w:type="gramStart"/>
      <w:r w:rsidRPr="0092004C">
        <w:rPr>
          <w:rFonts w:ascii="Segoe UI" w:hAnsi="Segoe UI"/>
          <w:sz w:val="21"/>
          <w:lang w:val="en-US"/>
        </w:rPr>
        <w:t>septiembre</w:t>
      </w:r>
      <w:proofErr w:type="spellEnd"/>
      <w:proofErr w:type="gramEnd"/>
      <w:r w:rsidRPr="0092004C">
        <w:rPr>
          <w:rFonts w:ascii="Segoe UI" w:hAnsi="Segoe UI"/>
          <w:sz w:val="21"/>
          <w:lang w:val="en-US"/>
        </w:rPr>
        <w:t xml:space="preserve"> de 2018) Use of Telemedicine While Providing Medication-Assisted Treatment (MAT). </w:t>
      </w:r>
      <w:r w:rsidRPr="0092004C">
        <w:rPr>
          <w:rFonts w:ascii="Segoe UI" w:hAnsi="Segoe UI"/>
          <w:sz w:val="21"/>
        </w:rPr>
        <w:t xml:space="preserve">Extraído en octubre de 2019, de </w:t>
      </w:r>
      <w:hyperlink r:id="rId14" w:history="1">
        <w:r w:rsidRPr="0092004C">
          <w:rPr>
            <w:rStyle w:val="Hyperlink"/>
            <w:rFonts w:ascii="Segoe UI" w:hAnsi="Segoe UI"/>
            <w:sz w:val="21"/>
          </w:rPr>
          <w:t>https://www.hhs.gov/opioids/sites/default/files/2018-09/hhs-telemedicine-dea-final-508compliant.pdf</w:t>
        </w:r>
      </w:hyperlink>
    </w:p>
  </w:endnote>
  <w:endnote w:id="18">
    <w:p w14:paraId="24534354" w14:textId="77777777" w:rsidR="00473EAD" w:rsidRPr="0092004C" w:rsidRDefault="00473EAD" w:rsidP="00473EAD">
      <w:pPr>
        <w:pStyle w:val="EndnoteText"/>
        <w:spacing w:after="20"/>
        <w:ind w:left="270" w:hanging="270"/>
        <w:rPr>
          <w:rFonts w:ascii="Segoe UI" w:hAnsi="Segoe UI" w:cs="Segoe UI"/>
          <w:sz w:val="21"/>
          <w:szCs w:val="21"/>
        </w:rPr>
      </w:pPr>
    </w:p>
    <w:p w14:paraId="294ABB4B"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Wicklund</w:t>
      </w:r>
      <w:proofErr w:type="spellEnd"/>
      <w:r w:rsidRPr="0092004C">
        <w:rPr>
          <w:rFonts w:ascii="Segoe UI" w:hAnsi="Segoe UI"/>
          <w:sz w:val="21"/>
        </w:rPr>
        <w:t xml:space="preserve">, E. (11 de marzo de 2019). </w:t>
      </w:r>
      <w:r w:rsidRPr="0092004C">
        <w:rPr>
          <w:rFonts w:ascii="Segoe UI" w:hAnsi="Segoe UI"/>
          <w:sz w:val="21"/>
          <w:lang w:val="en-US"/>
        </w:rPr>
        <w:t xml:space="preserve">Telemedicine Helps SNFs Connect Patients to Mental Health Services. mHealth Intelligence. </w:t>
      </w:r>
      <w:r w:rsidRPr="0092004C">
        <w:rPr>
          <w:rFonts w:ascii="Segoe UI" w:hAnsi="Segoe UI"/>
          <w:sz w:val="21"/>
        </w:rPr>
        <w:t xml:space="preserve">Extraído en octubre de 2019, de </w:t>
      </w:r>
      <w:hyperlink r:id="rId15" w:history="1">
        <w:r w:rsidRPr="0092004C">
          <w:rPr>
            <w:rStyle w:val="Hyperlink"/>
            <w:rFonts w:ascii="Segoe UI" w:hAnsi="Segoe UI"/>
            <w:sz w:val="21"/>
          </w:rPr>
          <w:t>https://mhealthintelligence.com/news/telemedicine-helps-snfs-connect-patients-to-mental-health-services</w:t>
        </w:r>
      </w:hyperlink>
    </w:p>
  </w:endnote>
  <w:endnote w:id="19">
    <w:p w14:paraId="32FFF48E"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Wicklund</w:t>
      </w:r>
      <w:proofErr w:type="spellEnd"/>
      <w:r w:rsidRPr="0092004C">
        <w:rPr>
          <w:rFonts w:ascii="Segoe UI" w:hAnsi="Segoe UI"/>
          <w:sz w:val="21"/>
        </w:rPr>
        <w:t xml:space="preserve">, E. (11 de diciembre de 2018). </w:t>
      </w:r>
      <w:proofErr w:type="spellStart"/>
      <w:r w:rsidRPr="0092004C">
        <w:rPr>
          <w:rFonts w:ascii="Segoe UI" w:hAnsi="Segoe UI"/>
          <w:sz w:val="21"/>
        </w:rPr>
        <w:t>Reimbursement</w:t>
      </w:r>
      <w:proofErr w:type="spellEnd"/>
      <w:r w:rsidRPr="0092004C">
        <w:rPr>
          <w:rFonts w:ascii="Segoe UI" w:hAnsi="Segoe UI"/>
          <w:sz w:val="21"/>
        </w:rPr>
        <w:t xml:space="preserve"> </w:t>
      </w:r>
      <w:proofErr w:type="spellStart"/>
      <w:r w:rsidRPr="0092004C">
        <w:rPr>
          <w:rFonts w:ascii="Segoe UI" w:hAnsi="Segoe UI"/>
          <w:sz w:val="21"/>
        </w:rPr>
        <w:t>Barriers</w:t>
      </w:r>
      <w:proofErr w:type="spellEnd"/>
      <w:r w:rsidRPr="0092004C">
        <w:rPr>
          <w:rFonts w:ascii="Segoe UI" w:hAnsi="Segoe UI"/>
          <w:sz w:val="21"/>
        </w:rPr>
        <w:t xml:space="preserve"> </w:t>
      </w:r>
      <w:proofErr w:type="spellStart"/>
      <w:r w:rsidRPr="0092004C">
        <w:rPr>
          <w:rFonts w:ascii="Segoe UI" w:hAnsi="Segoe UI"/>
          <w:sz w:val="21"/>
        </w:rPr>
        <w:t>Still</w:t>
      </w:r>
      <w:proofErr w:type="spellEnd"/>
      <w:r w:rsidRPr="0092004C">
        <w:rPr>
          <w:rFonts w:ascii="Segoe UI" w:hAnsi="Segoe UI"/>
          <w:sz w:val="21"/>
        </w:rPr>
        <w:t xml:space="preserve"> Plague </w:t>
      </w:r>
      <w:proofErr w:type="spellStart"/>
      <w:r w:rsidRPr="0092004C">
        <w:rPr>
          <w:rFonts w:ascii="Segoe UI" w:hAnsi="Segoe UI"/>
          <w:sz w:val="21"/>
        </w:rPr>
        <w:t>Telemental</w:t>
      </w:r>
      <w:proofErr w:type="spellEnd"/>
      <w:r w:rsidRPr="0092004C">
        <w:rPr>
          <w:rFonts w:ascii="Segoe UI" w:hAnsi="Segoe UI"/>
          <w:sz w:val="21"/>
        </w:rPr>
        <w:t xml:space="preserve"> </w:t>
      </w:r>
      <w:proofErr w:type="spellStart"/>
      <w:r w:rsidRPr="0092004C">
        <w:rPr>
          <w:rFonts w:ascii="Segoe UI" w:hAnsi="Segoe UI"/>
          <w:sz w:val="21"/>
        </w:rPr>
        <w:t>Health</w:t>
      </w:r>
      <w:proofErr w:type="spellEnd"/>
      <w:r w:rsidRPr="0092004C">
        <w:rPr>
          <w:rFonts w:ascii="Segoe UI" w:hAnsi="Segoe UI"/>
          <w:sz w:val="21"/>
        </w:rPr>
        <w:t xml:space="preserve"> </w:t>
      </w:r>
      <w:proofErr w:type="spellStart"/>
      <w:r w:rsidRPr="0092004C">
        <w:rPr>
          <w:rFonts w:ascii="Segoe UI" w:hAnsi="Segoe UI"/>
          <w:sz w:val="21"/>
        </w:rPr>
        <w:t>Expansion</w:t>
      </w:r>
      <w:proofErr w:type="spellEnd"/>
      <w:r w:rsidRPr="0092004C">
        <w:rPr>
          <w:rFonts w:ascii="Segoe UI" w:hAnsi="Segoe UI"/>
          <w:sz w:val="21"/>
        </w:rPr>
        <w:t xml:space="preserve">. </w:t>
      </w:r>
      <w:proofErr w:type="spellStart"/>
      <w:r w:rsidRPr="0092004C">
        <w:rPr>
          <w:rFonts w:ascii="Segoe UI" w:hAnsi="Segoe UI"/>
          <w:sz w:val="21"/>
        </w:rPr>
        <w:t>mHealth</w:t>
      </w:r>
      <w:proofErr w:type="spellEnd"/>
      <w:r w:rsidRPr="0092004C">
        <w:rPr>
          <w:rFonts w:ascii="Segoe UI" w:hAnsi="Segoe UI"/>
          <w:sz w:val="21"/>
        </w:rPr>
        <w:t xml:space="preserve"> </w:t>
      </w:r>
      <w:proofErr w:type="spellStart"/>
      <w:r w:rsidRPr="0092004C">
        <w:rPr>
          <w:rFonts w:ascii="Segoe UI" w:hAnsi="Segoe UI"/>
          <w:sz w:val="21"/>
        </w:rPr>
        <w:t>Intelligence</w:t>
      </w:r>
      <w:proofErr w:type="spellEnd"/>
      <w:r w:rsidRPr="0092004C">
        <w:rPr>
          <w:rFonts w:ascii="Segoe UI" w:hAnsi="Segoe UI"/>
          <w:sz w:val="21"/>
        </w:rPr>
        <w:t xml:space="preserve"> Extraído en octubre de 2019, de </w:t>
      </w:r>
      <w:hyperlink r:id="rId16" w:history="1">
        <w:r w:rsidRPr="0092004C">
          <w:rPr>
            <w:rStyle w:val="Hyperlink"/>
            <w:rFonts w:ascii="Segoe UI" w:hAnsi="Segoe UI"/>
            <w:sz w:val="21"/>
          </w:rPr>
          <w:t>https://mhealthintelligence.com/news/reimbursement-barriers-still-plague-telemental-health-expansion</w:t>
        </w:r>
      </w:hyperlink>
    </w:p>
  </w:endnote>
  <w:endnote w:id="20">
    <w:p w14:paraId="2055A9EE"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Commonwealth of Massachusetts (</w:t>
      </w:r>
      <w:proofErr w:type="spellStart"/>
      <w:r w:rsidRPr="0092004C">
        <w:rPr>
          <w:rFonts w:ascii="Segoe UI" w:hAnsi="Segoe UI"/>
          <w:sz w:val="21"/>
          <w:lang w:val="en-US"/>
        </w:rPr>
        <w:t>enero</w:t>
      </w:r>
      <w:proofErr w:type="spellEnd"/>
      <w:r w:rsidRPr="0092004C">
        <w:rPr>
          <w:rFonts w:ascii="Segoe UI" w:hAnsi="Segoe UI"/>
          <w:sz w:val="21"/>
          <w:lang w:val="en-US"/>
        </w:rPr>
        <w:t xml:space="preserve"> de 2019) MassHealth All Provider Bulletin 281. </w:t>
      </w:r>
      <w:r w:rsidRPr="0092004C">
        <w:rPr>
          <w:rFonts w:ascii="Segoe UI" w:hAnsi="Segoe UI"/>
          <w:sz w:val="21"/>
        </w:rPr>
        <w:t xml:space="preserve">Extraído en octubre de 2019, de </w:t>
      </w:r>
      <w:hyperlink r:id="rId17" w:history="1">
        <w:r w:rsidRPr="0092004C">
          <w:rPr>
            <w:rStyle w:val="Hyperlink"/>
            <w:rFonts w:ascii="Segoe UI" w:hAnsi="Segoe UI"/>
            <w:sz w:val="21"/>
          </w:rPr>
          <w:t>https://www.mass.gov/files/documents/2019/01/23/all-provider-bulletin-281.pdf</w:t>
        </w:r>
      </w:hyperlink>
    </w:p>
  </w:endnote>
  <w:endnote w:id="21">
    <w:p w14:paraId="1164C7BC"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Commonwealth of Massachusetts (</w:t>
      </w:r>
      <w:proofErr w:type="spellStart"/>
      <w:r w:rsidRPr="0092004C">
        <w:rPr>
          <w:rFonts w:ascii="Segoe UI" w:hAnsi="Segoe UI"/>
          <w:sz w:val="21"/>
          <w:lang w:val="en-US"/>
        </w:rPr>
        <w:t>enero</w:t>
      </w:r>
      <w:proofErr w:type="spellEnd"/>
      <w:r w:rsidRPr="0092004C">
        <w:rPr>
          <w:rFonts w:ascii="Segoe UI" w:hAnsi="Segoe UI"/>
          <w:sz w:val="21"/>
          <w:lang w:val="en-US"/>
        </w:rPr>
        <w:t xml:space="preserve"> de 2019) MassHealth All Provider Bulletin 281. Executive Office of Health and Human Services Office of Medicaid. </w:t>
      </w:r>
      <w:r w:rsidRPr="0092004C">
        <w:rPr>
          <w:rFonts w:ascii="Segoe UI" w:hAnsi="Segoe UI"/>
          <w:sz w:val="21"/>
        </w:rPr>
        <w:t xml:space="preserve">Extraído en octubre de 2019, de </w:t>
      </w:r>
      <w:hyperlink r:id="rId18" w:history="1">
        <w:r w:rsidRPr="0092004C">
          <w:rPr>
            <w:rStyle w:val="Hyperlink"/>
            <w:rFonts w:ascii="Segoe UI" w:hAnsi="Segoe UI"/>
            <w:sz w:val="21"/>
          </w:rPr>
          <w:t>https://www.mass.gov/files/documents/2019/01/23/managed-care-entity-10.pdf</w:t>
        </w:r>
      </w:hyperlink>
    </w:p>
  </w:endnote>
  <w:endnote w:id="22">
    <w:p w14:paraId="624F3A95"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Massachusetts Health Policy Commission (2019, mayo) Integrating Telemedicine for Behavioral Health: Practical Lessons from the Field. </w:t>
      </w:r>
      <w:r w:rsidRPr="0092004C">
        <w:rPr>
          <w:rFonts w:ascii="Segoe UI" w:hAnsi="Segoe UI"/>
          <w:sz w:val="21"/>
        </w:rPr>
        <w:t xml:space="preserve">Extraído en octubre de 2019, de </w:t>
      </w:r>
      <w:hyperlink r:id="rId19" w:history="1">
        <w:r w:rsidRPr="0092004C">
          <w:rPr>
            <w:rStyle w:val="Hyperlink"/>
            <w:rFonts w:ascii="Segoe UI" w:hAnsi="Segoe UI"/>
            <w:sz w:val="21"/>
          </w:rPr>
          <w:t>https://www.mass.gov/files/documents/2019/05/28/TeleBH%20brief_final.pdf</w:t>
        </w:r>
      </w:hyperlink>
      <w:r w:rsidRPr="0092004C">
        <w:rPr>
          <w:rFonts w:ascii="Segoe UI" w:hAnsi="Segoe UI"/>
          <w:sz w:val="21"/>
        </w:rPr>
        <w:t xml:space="preserve"> </w:t>
      </w:r>
    </w:p>
  </w:endnote>
  <w:endnote w:id="23">
    <w:p w14:paraId="14874451"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University of New Mexico School of Medicine. </w:t>
      </w:r>
      <w:r w:rsidRPr="0092004C">
        <w:rPr>
          <w:rFonts w:ascii="Segoe UI" w:hAnsi="Segoe UI"/>
          <w:sz w:val="21"/>
        </w:rPr>
        <w:t>(</w:t>
      </w:r>
      <w:proofErr w:type="spellStart"/>
      <w:r w:rsidRPr="0092004C">
        <w:rPr>
          <w:rFonts w:ascii="Segoe UI" w:hAnsi="Segoe UI"/>
          <w:sz w:val="21"/>
        </w:rPr>
        <w:t>n.d</w:t>
      </w:r>
      <w:proofErr w:type="spellEnd"/>
      <w:r w:rsidRPr="0092004C">
        <w:rPr>
          <w:rFonts w:ascii="Segoe UI" w:hAnsi="Segoe UI"/>
          <w:sz w:val="21"/>
        </w:rPr>
        <w:t xml:space="preserve">.) </w:t>
      </w:r>
      <w:proofErr w:type="spellStart"/>
      <w:r w:rsidRPr="0092004C">
        <w:rPr>
          <w:rFonts w:ascii="Segoe UI" w:hAnsi="Segoe UI"/>
          <w:sz w:val="21"/>
        </w:rPr>
        <w:t>About</w:t>
      </w:r>
      <w:proofErr w:type="spellEnd"/>
      <w:r w:rsidRPr="0092004C">
        <w:rPr>
          <w:rFonts w:ascii="Segoe UI" w:hAnsi="Segoe UI"/>
          <w:sz w:val="21"/>
        </w:rPr>
        <w:t xml:space="preserve"> ECHO. Extraído en octubre de 2019, de </w:t>
      </w:r>
      <w:hyperlink r:id="rId20" w:history="1">
        <w:r w:rsidRPr="0092004C">
          <w:rPr>
            <w:rStyle w:val="Hyperlink"/>
            <w:rFonts w:ascii="Segoe UI" w:hAnsi="Segoe UI"/>
            <w:sz w:val="21"/>
          </w:rPr>
          <w:t>https://echo.unm.edu/</w:t>
        </w:r>
      </w:hyperlink>
      <w:r w:rsidRPr="0092004C">
        <w:rPr>
          <w:rFonts w:ascii="Segoe UI" w:hAnsi="Segoe UI"/>
          <w:sz w:val="21"/>
        </w:rPr>
        <w:t xml:space="preserve"> </w:t>
      </w:r>
    </w:p>
  </w:endnote>
  <w:endnote w:id="24">
    <w:p w14:paraId="24549744"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Providers Clinical Support System. (n.d.) PCSS Mentoring Program. </w:t>
      </w:r>
      <w:r w:rsidRPr="0092004C">
        <w:rPr>
          <w:rFonts w:ascii="Segoe UI" w:hAnsi="Segoe UI"/>
          <w:sz w:val="21"/>
        </w:rPr>
        <w:t xml:space="preserve">Extraído en octubre de 2019, de </w:t>
      </w:r>
      <w:hyperlink r:id="rId21" w:history="1">
        <w:r w:rsidRPr="0092004C">
          <w:rPr>
            <w:rStyle w:val="Hyperlink"/>
            <w:rFonts w:ascii="Segoe UI" w:hAnsi="Segoe UI"/>
            <w:sz w:val="21"/>
          </w:rPr>
          <w:t>https://pcssnow.org/mentoring/</w:t>
        </w:r>
      </w:hyperlink>
      <w:r w:rsidRPr="0092004C">
        <w:rPr>
          <w:rFonts w:ascii="Segoe UI" w:hAnsi="Segoe UI"/>
          <w:sz w:val="21"/>
        </w:rPr>
        <w:t xml:space="preserve"> </w:t>
      </w:r>
    </w:p>
  </w:endnote>
  <w:endnote w:id="25">
    <w:p w14:paraId="5C3BDC40"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Recursos sanitarios en acción. (2019). Línea telefónica de Massachusetts para ayuda relacionada con consumo de sustancias Extraído en octubre de 2019, de </w:t>
      </w:r>
      <w:hyperlink r:id="rId22" w:history="1">
        <w:r w:rsidRPr="0092004C">
          <w:rPr>
            <w:rStyle w:val="Hyperlink"/>
            <w:rFonts w:ascii="Segoe UI" w:hAnsi="Segoe UI"/>
            <w:sz w:val="21"/>
          </w:rPr>
          <w:t>https://helplinema.org/</w:t>
        </w:r>
      </w:hyperlink>
      <w:r w:rsidRPr="0092004C">
        <w:rPr>
          <w:rFonts w:ascii="Segoe UI" w:hAnsi="Segoe UI"/>
          <w:sz w:val="21"/>
        </w:rPr>
        <w:t xml:space="preserve"> </w:t>
      </w:r>
    </w:p>
  </w:endnote>
  <w:endnote w:id="26">
    <w:p w14:paraId="7F7D6733"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Departamento de Servicios Humanos y Salud de Estados Unidos (2019, 08 05). Línea de ayuda nacional de SAMHSA. SAMHSA. Extraído en octubre de 2019, de </w:t>
      </w:r>
      <w:hyperlink r:id="rId23" w:history="1">
        <w:r w:rsidRPr="0092004C">
          <w:rPr>
            <w:rStyle w:val="Hyperlink"/>
            <w:rFonts w:ascii="Segoe UI" w:hAnsi="Segoe UI"/>
            <w:sz w:val="21"/>
          </w:rPr>
          <w:t>https://www.samhsa.gov/find-help/national-helpline</w:t>
        </w:r>
      </w:hyperlink>
      <w:r w:rsidRPr="0092004C">
        <w:rPr>
          <w:rFonts w:ascii="Segoe UI" w:hAnsi="Segoe UI"/>
          <w:sz w:val="21"/>
        </w:rPr>
        <w:t xml:space="preserve"> </w:t>
      </w:r>
    </w:p>
  </w:endnote>
  <w:endnote w:id="27">
    <w:p w14:paraId="08ED1B92" w14:textId="77777777" w:rsidR="00473EAD" w:rsidRPr="0092004C" w:rsidRDefault="00473EAD" w:rsidP="00473EAD">
      <w:pPr>
        <w:pStyle w:val="EndnoteText"/>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West Tennessee Area of Narcotics Anonymous. </w:t>
      </w:r>
      <w:r w:rsidRPr="0092004C">
        <w:rPr>
          <w:rFonts w:ascii="Segoe UI" w:hAnsi="Segoe UI"/>
          <w:sz w:val="21"/>
        </w:rPr>
        <w:t>(</w:t>
      </w:r>
      <w:proofErr w:type="spellStart"/>
      <w:r w:rsidRPr="0092004C">
        <w:rPr>
          <w:rFonts w:ascii="Segoe UI" w:hAnsi="Segoe UI"/>
          <w:sz w:val="21"/>
        </w:rPr>
        <w:t>n.d</w:t>
      </w:r>
      <w:proofErr w:type="spellEnd"/>
      <w:r w:rsidRPr="0092004C">
        <w:rPr>
          <w:rFonts w:ascii="Segoe UI" w:hAnsi="Segoe UI"/>
          <w:sz w:val="21"/>
        </w:rPr>
        <w:t xml:space="preserve">.) </w:t>
      </w:r>
      <w:proofErr w:type="spellStart"/>
      <w:r w:rsidRPr="0092004C">
        <w:rPr>
          <w:rFonts w:ascii="Segoe UI" w:hAnsi="Segoe UI"/>
          <w:sz w:val="21"/>
        </w:rPr>
        <w:t>My</w:t>
      </w:r>
      <w:proofErr w:type="spellEnd"/>
      <w:r w:rsidRPr="0092004C">
        <w:rPr>
          <w:rFonts w:ascii="Segoe UI" w:hAnsi="Segoe UI"/>
          <w:sz w:val="21"/>
        </w:rPr>
        <w:t xml:space="preserve"> </w:t>
      </w:r>
      <w:proofErr w:type="spellStart"/>
      <w:r w:rsidRPr="0092004C">
        <w:rPr>
          <w:rFonts w:ascii="Segoe UI" w:hAnsi="Segoe UI"/>
          <w:sz w:val="21"/>
        </w:rPr>
        <w:t>Story</w:t>
      </w:r>
      <w:proofErr w:type="spellEnd"/>
      <w:r w:rsidRPr="0092004C">
        <w:rPr>
          <w:rFonts w:ascii="Segoe UI" w:hAnsi="Segoe UI"/>
          <w:sz w:val="21"/>
        </w:rPr>
        <w:t xml:space="preserve">. Extraído en octubre de 2019, </w:t>
      </w:r>
      <w:hyperlink r:id="rId24" w:history="1">
        <w:r w:rsidRPr="0092004C">
          <w:rPr>
            <w:rStyle w:val="Hyperlink"/>
            <w:rFonts w:ascii="Segoe UI" w:hAnsi="Segoe UI"/>
            <w:sz w:val="21"/>
          </w:rPr>
          <w:t>www.na-wt.org/blog/my-story</w:t>
        </w:r>
      </w:hyperlink>
      <w:r w:rsidRPr="0092004C">
        <w:rPr>
          <w:rFonts w:ascii="Segoe UI" w:hAnsi="Segoe UI"/>
          <w:sz w:val="21"/>
        </w:rPr>
        <w:t xml:space="preserve"> </w:t>
      </w:r>
    </w:p>
  </w:endnote>
  <w:endnote w:id="28">
    <w:p w14:paraId="0B477640"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New England Region of Narcotics Anonymous (2019). </w:t>
      </w:r>
      <w:r w:rsidRPr="0092004C">
        <w:rPr>
          <w:rFonts w:ascii="Segoe UI" w:hAnsi="Segoe UI"/>
          <w:sz w:val="21"/>
        </w:rPr>
        <w:t xml:space="preserve">Inicio Extraído en octubre de 2019, de </w:t>
      </w:r>
      <w:hyperlink r:id="rId25" w:history="1">
        <w:r w:rsidRPr="0092004C">
          <w:rPr>
            <w:rStyle w:val="Hyperlink"/>
            <w:rFonts w:ascii="Segoe UI" w:hAnsi="Segoe UI"/>
            <w:sz w:val="21"/>
          </w:rPr>
          <w:t>https://nerna.org/</w:t>
        </w:r>
      </w:hyperlink>
    </w:p>
  </w:endnote>
  <w:endnote w:id="29">
    <w:p w14:paraId="4F90304B"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Nar-Anon Family Groups (2019) Home. </w:t>
      </w:r>
      <w:r w:rsidRPr="0092004C">
        <w:rPr>
          <w:rFonts w:ascii="Segoe UI" w:hAnsi="Segoe UI"/>
          <w:sz w:val="21"/>
        </w:rPr>
        <w:t xml:space="preserve">Extraído en octubre de 2019, de </w:t>
      </w:r>
      <w:hyperlink r:id="rId26" w:history="1">
        <w:r w:rsidRPr="0092004C">
          <w:rPr>
            <w:rStyle w:val="Hyperlink"/>
            <w:rFonts w:ascii="Segoe UI" w:hAnsi="Segoe UI"/>
            <w:sz w:val="21"/>
          </w:rPr>
          <w:t>https://www.nar-anon.org/naranon/</w:t>
        </w:r>
      </w:hyperlink>
    </w:p>
  </w:endnote>
  <w:endnote w:id="30">
    <w:p w14:paraId="69998C2E"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SMART </w:t>
      </w:r>
      <w:proofErr w:type="spellStart"/>
      <w:r w:rsidRPr="0092004C">
        <w:rPr>
          <w:rFonts w:ascii="Segoe UI" w:hAnsi="Segoe UI"/>
          <w:sz w:val="21"/>
        </w:rPr>
        <w:t>Recovery</w:t>
      </w:r>
      <w:proofErr w:type="spellEnd"/>
      <w:r w:rsidRPr="0092004C">
        <w:rPr>
          <w:rFonts w:ascii="Segoe UI" w:hAnsi="Segoe UI"/>
          <w:sz w:val="21"/>
        </w:rPr>
        <w:t xml:space="preserve"> (2019). Inicio Extraído en octubre de 2019, de </w:t>
      </w:r>
      <w:hyperlink r:id="rId27" w:history="1">
        <w:r w:rsidRPr="0092004C">
          <w:rPr>
            <w:rStyle w:val="Hyperlink"/>
            <w:rFonts w:ascii="Segoe UI" w:hAnsi="Segoe UI"/>
            <w:sz w:val="21"/>
          </w:rPr>
          <w:t>https://www.smartrecovery.org/</w:t>
        </w:r>
      </w:hyperlink>
    </w:p>
  </w:endnote>
  <w:endnote w:id="31">
    <w:p w14:paraId="42A39FDF" w14:textId="77777777" w:rsidR="00473EAD" w:rsidRPr="0092004C" w:rsidRDefault="00473EAD" w:rsidP="00473EAD">
      <w:pPr>
        <w:pStyle w:val="EndnoteText"/>
        <w:keepNext/>
        <w:keepLines/>
        <w:pageBreakBefore/>
        <w:spacing w:after="20"/>
        <w:ind w:left="274" w:hanging="274"/>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Dual </w:t>
      </w:r>
      <w:proofErr w:type="spellStart"/>
      <w:r w:rsidRPr="0092004C">
        <w:rPr>
          <w:rFonts w:ascii="Segoe UI" w:hAnsi="Segoe UI"/>
          <w:sz w:val="21"/>
        </w:rPr>
        <w:t>Recovery</w:t>
      </w:r>
      <w:proofErr w:type="spellEnd"/>
      <w:r w:rsidRPr="0092004C">
        <w:rPr>
          <w:rFonts w:ascii="Segoe UI" w:hAnsi="Segoe UI"/>
          <w:sz w:val="21"/>
        </w:rPr>
        <w:t xml:space="preserve"> Anonymous. (2009). Bienvenido al Centro de Recursos en Línea de la DRA. Extraído en octubre de 2019, de </w:t>
      </w:r>
      <w:hyperlink r:id="rId28" w:history="1">
        <w:r w:rsidRPr="0092004C">
          <w:rPr>
            <w:rStyle w:val="Hyperlink"/>
            <w:rFonts w:ascii="Segoe UI" w:hAnsi="Segoe UI"/>
            <w:sz w:val="21"/>
          </w:rPr>
          <w:t>http://draonline.qwknetllc.com/index.html</w:t>
        </w:r>
      </w:hyperlink>
    </w:p>
  </w:endnote>
  <w:endnote w:id="32">
    <w:p w14:paraId="1A38FBB7"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Massachusetts Organization for Addiction Recovery. </w:t>
      </w:r>
      <w:r w:rsidRPr="0092004C">
        <w:rPr>
          <w:rFonts w:ascii="Segoe UI" w:hAnsi="Segoe UI"/>
          <w:sz w:val="21"/>
        </w:rPr>
        <w:t xml:space="preserve">(2020). Extraído en junio de 2021, de </w:t>
      </w:r>
      <w:hyperlink r:id="rId29" w:history="1">
        <w:r w:rsidRPr="0092004C">
          <w:rPr>
            <w:rStyle w:val="Hyperlink"/>
            <w:rFonts w:ascii="Segoe UI" w:hAnsi="Segoe UI"/>
            <w:sz w:val="21"/>
          </w:rPr>
          <w:t>https://www.moar-recovery.org/resources</w:t>
        </w:r>
      </w:hyperlink>
      <w:r w:rsidRPr="0092004C">
        <w:rPr>
          <w:rFonts w:ascii="Segoe UI" w:hAnsi="Segoe UI"/>
          <w:sz w:val="21"/>
        </w:rPr>
        <w:t xml:space="preserve"> </w:t>
      </w:r>
    </w:p>
  </w:endnote>
  <w:endnote w:id="33">
    <w:p w14:paraId="171D5CD2"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Carpeta de recuperación. (2020). Carpeta de recuperación – Centros de apoyo para la recuperación entre compañeros. Extraído en junio de 2021, de </w:t>
      </w:r>
      <w:hyperlink r:id="rId30" w:history="1">
        <w:r w:rsidRPr="0092004C">
          <w:rPr>
            <w:rStyle w:val="Hyperlink"/>
            <w:rFonts w:ascii="Segoe UI" w:hAnsi="Segoe UI"/>
            <w:sz w:val="21"/>
          </w:rPr>
          <w:t>https://www.recoverybinder.org/resources/recovery-support-centers</w:t>
        </w:r>
      </w:hyperlink>
      <w:r w:rsidRPr="0092004C">
        <w:rPr>
          <w:rFonts w:ascii="Segoe UI" w:hAnsi="Segoe UI"/>
          <w:sz w:val="21"/>
        </w:rPr>
        <w:t xml:space="preserve"> </w:t>
      </w:r>
    </w:p>
  </w:endnote>
  <w:endnote w:id="34">
    <w:p w14:paraId="5C7EA6C0"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The Phoenix. (2021). The Phoenix – Rise, Recover, Live. </w:t>
      </w:r>
      <w:r w:rsidRPr="0092004C">
        <w:rPr>
          <w:rFonts w:ascii="Segoe UI" w:hAnsi="Segoe UI"/>
          <w:sz w:val="21"/>
        </w:rPr>
        <w:t xml:space="preserve">Extraído en junio de 2021, de </w:t>
      </w:r>
      <w:hyperlink r:id="rId31" w:history="1">
        <w:r w:rsidRPr="0092004C">
          <w:rPr>
            <w:rStyle w:val="Hyperlink"/>
            <w:rFonts w:ascii="Segoe UI" w:hAnsi="Segoe UI"/>
            <w:sz w:val="21"/>
          </w:rPr>
          <w:t>https://thephoenix.org/about-us/</w:t>
        </w:r>
      </w:hyperlink>
      <w:r w:rsidRPr="0092004C">
        <w:rPr>
          <w:rFonts w:ascii="Segoe UI" w:hAnsi="Segoe UI"/>
          <w:sz w:val="21"/>
        </w:rPr>
        <w:t xml:space="preserve"> </w:t>
      </w:r>
    </w:p>
  </w:endnote>
  <w:endnote w:id="35">
    <w:p w14:paraId="01CFF204" w14:textId="77777777" w:rsidR="00473EAD" w:rsidRPr="00866073" w:rsidRDefault="00473EAD" w:rsidP="00473EAD">
      <w:pPr>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rPr>
        <w:t xml:space="preserve"> SAMHSA. (2017). Compañeros que apoyan la recuperación de los trastornos por consumo de sustancias. </w:t>
      </w:r>
      <w:r w:rsidRPr="00866073">
        <w:rPr>
          <w:rFonts w:ascii="Segoe UI" w:hAnsi="Segoe UI"/>
          <w:sz w:val="21"/>
          <w:lang w:val="pt-BR"/>
        </w:rPr>
        <w:t xml:space="preserve">Tomado de </w:t>
      </w:r>
      <w:r>
        <w:fldChar w:fldCharType="begin"/>
      </w:r>
      <w:r>
        <w:instrText>HYPERLINK "https://www.samhsa.gov/sites/default/files/programs_campaigns/brss_tacs/peers-supporting-recovery-substance-use-disorders-2017.pdf"</w:instrText>
      </w:r>
      <w:r>
        <w:fldChar w:fldCharType="separate"/>
      </w:r>
      <w:r w:rsidRPr="00866073">
        <w:rPr>
          <w:rStyle w:val="Hyperlink"/>
          <w:rFonts w:ascii="Segoe UI" w:hAnsi="Segoe UI"/>
          <w:sz w:val="21"/>
          <w:lang w:val="pt-BR"/>
        </w:rPr>
        <w:t>https://www.samhsa.gov/sites/default/files/programs_campaigns/brss_tacs/peers-supporting-recovery-substance-use-disorders-2017.pdf</w:t>
      </w:r>
      <w:r>
        <w:rPr>
          <w:rStyle w:val="Hyperlink"/>
          <w:rFonts w:ascii="Segoe UI" w:hAnsi="Segoe UI"/>
          <w:sz w:val="21"/>
          <w:lang w:val="pt-BR"/>
        </w:rPr>
        <w:fldChar w:fldCharType="end"/>
      </w:r>
    </w:p>
  </w:endnote>
  <w:endnote w:id="36">
    <w:p w14:paraId="218423E6" w14:textId="77777777" w:rsidR="00473EAD" w:rsidRPr="0092004C" w:rsidRDefault="00473EAD" w:rsidP="00473EAD">
      <w:pPr>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Natale-Pereira, A., </w:t>
      </w:r>
      <w:proofErr w:type="spellStart"/>
      <w:r w:rsidRPr="0092004C">
        <w:rPr>
          <w:rFonts w:ascii="Segoe UI" w:hAnsi="Segoe UI"/>
          <w:sz w:val="21"/>
        </w:rPr>
        <w:t>Enard</w:t>
      </w:r>
      <w:proofErr w:type="spellEnd"/>
      <w:r w:rsidRPr="0092004C">
        <w:rPr>
          <w:rFonts w:ascii="Segoe UI" w:hAnsi="Segoe UI"/>
          <w:sz w:val="21"/>
        </w:rPr>
        <w:t xml:space="preserve">. K., </w:t>
      </w:r>
      <w:proofErr w:type="spellStart"/>
      <w:r w:rsidRPr="0092004C">
        <w:rPr>
          <w:rFonts w:ascii="Segoe UI" w:hAnsi="Segoe UI"/>
          <w:sz w:val="21"/>
        </w:rPr>
        <w:t>Nevarez</w:t>
      </w:r>
      <w:proofErr w:type="spellEnd"/>
      <w:r w:rsidRPr="0092004C">
        <w:rPr>
          <w:rFonts w:ascii="Segoe UI" w:hAnsi="Segoe UI"/>
          <w:sz w:val="21"/>
        </w:rPr>
        <w:t xml:space="preserve">, L., y Jones, A. (2011, 20 de julio). La función de los navegadores de pacientes en la eliminación de las disparidades sanitarias. </w:t>
      </w:r>
      <w:proofErr w:type="spellStart"/>
      <w:r w:rsidRPr="0092004C">
        <w:rPr>
          <w:rFonts w:ascii="Segoe UI" w:hAnsi="Segoe UI"/>
          <w:sz w:val="21"/>
        </w:rPr>
        <w:t>Cancer</w:t>
      </w:r>
      <w:proofErr w:type="spellEnd"/>
      <w:r w:rsidRPr="0092004C">
        <w:rPr>
          <w:rFonts w:ascii="Segoe UI" w:hAnsi="Segoe UI"/>
          <w:sz w:val="21"/>
        </w:rPr>
        <w:t xml:space="preserve">, 117 (15 0), 3543-3552. Tomado de </w:t>
      </w:r>
      <w:hyperlink r:id="rId32" w:history="1">
        <w:r w:rsidRPr="0092004C">
          <w:rPr>
            <w:rStyle w:val="Hyperlink"/>
            <w:rFonts w:ascii="Segoe UI" w:hAnsi="Segoe UI"/>
            <w:sz w:val="21"/>
          </w:rPr>
          <w:t>https://www.ncbi.nlm.nih.gov/pmc/articles/PMC4121958/</w:t>
        </w:r>
      </w:hyperlink>
    </w:p>
  </w:endnote>
  <w:endnote w:id="37">
    <w:p w14:paraId="6561FAFB" w14:textId="77777777" w:rsidR="00473EAD" w:rsidRPr="0092004C" w:rsidRDefault="00473EAD" w:rsidP="00473EAD">
      <w:pPr>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University</w:t>
      </w:r>
      <w:proofErr w:type="spellEnd"/>
      <w:r w:rsidRPr="0092004C">
        <w:rPr>
          <w:rFonts w:ascii="Segoe UI" w:hAnsi="Segoe UI"/>
          <w:sz w:val="21"/>
        </w:rPr>
        <w:t xml:space="preserve"> </w:t>
      </w:r>
      <w:proofErr w:type="spellStart"/>
      <w:r w:rsidRPr="0092004C">
        <w:rPr>
          <w:rFonts w:ascii="Segoe UI" w:hAnsi="Segoe UI"/>
          <w:sz w:val="21"/>
        </w:rPr>
        <w:t>of</w:t>
      </w:r>
      <w:proofErr w:type="spellEnd"/>
      <w:r w:rsidRPr="0092004C">
        <w:rPr>
          <w:rFonts w:ascii="Segoe UI" w:hAnsi="Segoe UI"/>
          <w:sz w:val="21"/>
        </w:rPr>
        <w:t xml:space="preserve"> Colorado. (2008). Módulo 3: Funciones y responsabilidades del navegador de pacientes. Tomado de </w:t>
      </w:r>
      <w:proofErr w:type="spellStart"/>
      <w:r w:rsidRPr="0092004C">
        <w:rPr>
          <w:rFonts w:ascii="Segoe UI" w:hAnsi="Segoe UI"/>
          <w:sz w:val="21"/>
        </w:rPr>
        <w:t>Patient</w:t>
      </w:r>
      <w:proofErr w:type="spellEnd"/>
      <w:r w:rsidRPr="0092004C">
        <w:rPr>
          <w:rFonts w:ascii="Segoe UI" w:hAnsi="Segoe UI"/>
          <w:sz w:val="21"/>
        </w:rPr>
        <w:t xml:space="preserve"> </w:t>
      </w:r>
      <w:proofErr w:type="spellStart"/>
      <w:r w:rsidRPr="0092004C">
        <w:rPr>
          <w:rFonts w:ascii="Segoe UI" w:hAnsi="Segoe UI"/>
          <w:sz w:val="21"/>
        </w:rPr>
        <w:t>Navigator</w:t>
      </w:r>
      <w:proofErr w:type="spellEnd"/>
      <w:r w:rsidRPr="0092004C">
        <w:rPr>
          <w:rFonts w:ascii="Segoe UI" w:hAnsi="Segoe UI"/>
          <w:sz w:val="21"/>
        </w:rPr>
        <w:t xml:space="preserve"> Training: </w:t>
      </w:r>
      <w:hyperlink r:id="rId33" w:history="1">
        <w:r w:rsidRPr="0092004C">
          <w:rPr>
            <w:rStyle w:val="Hyperlink"/>
            <w:rFonts w:ascii="Segoe UI" w:hAnsi="Segoe UI"/>
            <w:sz w:val="21"/>
          </w:rPr>
          <w:t>http://www.patientnavigatortraining.org/course1/module3/roles.htm</w:t>
        </w:r>
      </w:hyperlink>
    </w:p>
  </w:endnote>
  <w:endnote w:id="38">
    <w:p w14:paraId="7AE66A83" w14:textId="77777777" w:rsidR="00473EAD" w:rsidRPr="00866073" w:rsidRDefault="00473EAD" w:rsidP="00473EAD">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Dardess</w:t>
      </w:r>
      <w:proofErr w:type="spellEnd"/>
      <w:r w:rsidRPr="0092004C">
        <w:rPr>
          <w:rFonts w:ascii="Segoe UI" w:hAnsi="Segoe UI"/>
          <w:sz w:val="21"/>
        </w:rPr>
        <w:t xml:space="preserve">, P., Dokken, D. L., Abraham, M. R., Johnson, B. H., Hoy, L., y Hoy, S. (2018). Asociarse con los pacientes y las familias para fortalecer las respuestas frente a la epidemia de consumo de opioides Bethesda, MD: </w:t>
      </w:r>
      <w:proofErr w:type="spellStart"/>
      <w:r w:rsidRPr="0092004C">
        <w:rPr>
          <w:rFonts w:ascii="Segoe UI" w:hAnsi="Segoe UI"/>
          <w:sz w:val="21"/>
        </w:rPr>
        <w:t>Institute</w:t>
      </w:r>
      <w:proofErr w:type="spellEnd"/>
      <w:r w:rsidRPr="0092004C">
        <w:rPr>
          <w:rFonts w:ascii="Segoe UI" w:hAnsi="Segoe UI"/>
          <w:sz w:val="21"/>
        </w:rPr>
        <w:t xml:space="preserve"> </w:t>
      </w:r>
      <w:proofErr w:type="spellStart"/>
      <w:r w:rsidRPr="0092004C">
        <w:rPr>
          <w:rFonts w:ascii="Segoe UI" w:hAnsi="Segoe UI"/>
          <w:sz w:val="21"/>
        </w:rPr>
        <w:t>for</w:t>
      </w:r>
      <w:proofErr w:type="spellEnd"/>
      <w:r w:rsidRPr="0092004C">
        <w:rPr>
          <w:rFonts w:ascii="Segoe UI" w:hAnsi="Segoe UI"/>
          <w:sz w:val="21"/>
        </w:rPr>
        <w:t xml:space="preserve"> </w:t>
      </w:r>
      <w:proofErr w:type="spellStart"/>
      <w:r w:rsidRPr="0092004C">
        <w:rPr>
          <w:rFonts w:ascii="Segoe UI" w:hAnsi="Segoe UI"/>
          <w:sz w:val="21"/>
        </w:rPr>
        <w:t>Patient</w:t>
      </w:r>
      <w:proofErr w:type="spellEnd"/>
      <w:r w:rsidRPr="0092004C">
        <w:rPr>
          <w:rFonts w:ascii="Segoe UI" w:hAnsi="Segoe UI"/>
          <w:sz w:val="21"/>
        </w:rPr>
        <w:t xml:space="preserve">- and </w:t>
      </w:r>
      <w:proofErr w:type="spellStart"/>
      <w:r w:rsidRPr="0092004C">
        <w:rPr>
          <w:rFonts w:ascii="Segoe UI" w:hAnsi="Segoe UI"/>
          <w:sz w:val="21"/>
        </w:rPr>
        <w:t>Family-Centered</w:t>
      </w:r>
      <w:proofErr w:type="spellEnd"/>
      <w:r w:rsidRPr="0092004C">
        <w:rPr>
          <w:rFonts w:ascii="Segoe UI" w:hAnsi="Segoe UI"/>
          <w:sz w:val="21"/>
        </w:rPr>
        <w:t xml:space="preserve"> Care. </w:t>
      </w:r>
      <w:r w:rsidRPr="00866073">
        <w:rPr>
          <w:rFonts w:ascii="Segoe UI" w:hAnsi="Segoe UI"/>
          <w:sz w:val="21"/>
          <w:lang w:val="pt-BR"/>
        </w:rPr>
        <w:t xml:space="preserve">Tomado de </w:t>
      </w:r>
      <w:r>
        <w:fldChar w:fldCharType="begin"/>
      </w:r>
      <w:r>
        <w:instrText>HYPERLINK "https://ipfcc.org/bestpractices/opioid-epidemic/IPFCC_Opioid_White_Paper.pdf"</w:instrText>
      </w:r>
      <w:r>
        <w:fldChar w:fldCharType="separate"/>
      </w:r>
      <w:r w:rsidRPr="00866073">
        <w:rPr>
          <w:rStyle w:val="Hyperlink"/>
          <w:rFonts w:ascii="Segoe UI" w:hAnsi="Segoe UI"/>
          <w:sz w:val="21"/>
          <w:lang w:val="pt-BR"/>
        </w:rPr>
        <w:t>https://ipfcc.org/bestpractices/opioid-epidemic/IPFCC_Opioid_White_Paper.pdf</w:t>
      </w:r>
      <w:r>
        <w:rPr>
          <w:rStyle w:val="Hyperlink"/>
          <w:rFonts w:ascii="Segoe UI" w:hAnsi="Segoe UI"/>
          <w:sz w:val="21"/>
          <w:lang w:val="pt-BR"/>
        </w:rPr>
        <w:fldChar w:fldCharType="end"/>
      </w:r>
    </w:p>
  </w:endnote>
  <w:endnote w:id="39">
    <w:p w14:paraId="7491230A" w14:textId="77777777" w:rsidR="00473EAD" w:rsidRPr="0092004C" w:rsidRDefault="00473EAD" w:rsidP="00473EAD">
      <w:pPr>
        <w:pStyle w:val="EndnoteText"/>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Instituto de atención centrada en el/la paciente y la familia Tomado de </w:t>
      </w:r>
      <w:hyperlink r:id="rId34" w:history="1">
        <w:r w:rsidRPr="0092004C">
          <w:rPr>
            <w:rStyle w:val="Hyperlink"/>
            <w:rFonts w:ascii="Segoe UI" w:hAnsi="Segoe UI"/>
            <w:sz w:val="21"/>
          </w:rPr>
          <w:t>https://ipfcc.org/bestpractices/opioid-epidemic/IPFCC_Opioid_White_Paper.pdf</w:t>
        </w:r>
      </w:hyperlink>
    </w:p>
  </w:endnote>
  <w:endnote w:id="40">
    <w:p w14:paraId="7EFA35C8"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Departamento de Salud y Servicios Humanos de Estados Unidos Institutos Nacionales de Salud (junio de 2014). Función de los trabajadores sanitarios de la comunidad. Tomado de </w:t>
      </w:r>
      <w:hyperlink r:id="rId35" w:history="1">
        <w:r w:rsidRPr="0092004C">
          <w:rPr>
            <w:rStyle w:val="Hyperlink"/>
            <w:rFonts w:ascii="Segoe UI" w:hAnsi="Segoe UI"/>
            <w:sz w:val="21"/>
          </w:rPr>
          <w:t>https://www.nhlbi.nih.gov/health/educational/healthdisp/role-of-community-health-workers.htm</w:t>
        </w:r>
      </w:hyperlink>
    </w:p>
  </w:endnote>
  <w:endnote w:id="41">
    <w:p w14:paraId="5FEE434C" w14:textId="77777777" w:rsidR="00473EAD" w:rsidRPr="0092004C" w:rsidRDefault="00473EAD" w:rsidP="00473EAD">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rPr>
        <w:t xml:space="preserve"> Departamento de Salud y Servicios Humanos de Estados Unidos Agencia para la Investigación y la Calidad de la Asistencia Sanitaria (diciembre de 2016). Informe técnico número 28: Modelos de tratamiento asistido con medicación para el trastorno por consumo de opiáceos en entornos de atención primaria. </w:t>
      </w:r>
      <w:proofErr w:type="spellStart"/>
      <w:r w:rsidRPr="0092004C">
        <w:rPr>
          <w:rFonts w:ascii="Segoe UI" w:hAnsi="Segoe UI"/>
          <w:sz w:val="21"/>
          <w:lang w:val="en-US"/>
        </w:rPr>
        <w:t>Tomado</w:t>
      </w:r>
      <w:proofErr w:type="spellEnd"/>
      <w:r w:rsidRPr="0092004C">
        <w:rPr>
          <w:rFonts w:ascii="Segoe UI" w:hAnsi="Segoe UI"/>
          <w:sz w:val="21"/>
          <w:lang w:val="en-US"/>
        </w:rPr>
        <w:t xml:space="preserve"> de National Institutes of Health </w:t>
      </w:r>
      <w:hyperlink r:id="rId36" w:history="1">
        <w:r w:rsidRPr="0092004C">
          <w:rPr>
            <w:rStyle w:val="Hyperlink"/>
            <w:rFonts w:ascii="Segoe UI" w:hAnsi="Segoe UI"/>
            <w:sz w:val="21"/>
            <w:lang w:val="en-US"/>
          </w:rPr>
          <w:t>https://www.ncbi.nlm.nih.gov/books/NBK402352/pdf/Bookshelf_NBK402352.pdf</w:t>
        </w:r>
      </w:hyperlink>
    </w:p>
  </w:endnote>
  <w:endnote w:id="42">
    <w:p w14:paraId="5298AE5F" w14:textId="77777777" w:rsidR="00473EAD" w:rsidRPr="00866073" w:rsidRDefault="00473EAD" w:rsidP="00473EAD">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rPr>
        <w:t xml:space="preserve"> Departamento de Salud y Servicios Humanos de Estados Unidos Administración de Recursos y Servicios de Salud Oficina de Profesiones de la Salud (marzo de 2007). Estudio sobre la fuerza de trabajo nacional de los trabajadores sanitarios de la comunidad: Una bibliografía comentada. </w:t>
      </w:r>
      <w:r w:rsidRPr="00866073">
        <w:rPr>
          <w:rFonts w:ascii="Segoe UI" w:hAnsi="Segoe UI"/>
          <w:sz w:val="21"/>
          <w:lang w:val="pt-BR"/>
        </w:rPr>
        <w:t xml:space="preserve">Tomado de </w:t>
      </w:r>
      <w:r>
        <w:fldChar w:fldCharType="begin"/>
      </w:r>
      <w:r>
        <w:instrText>HYPERLINK "https://bhw.hrsa.gov/sites/default/files/bhw/nchwa/projections/communityhealthworkforcebibliography.pdf"</w:instrText>
      </w:r>
      <w:r>
        <w:fldChar w:fldCharType="separate"/>
      </w:r>
      <w:r w:rsidRPr="00866073">
        <w:rPr>
          <w:rStyle w:val="Hyperlink"/>
          <w:rFonts w:ascii="Segoe UI" w:hAnsi="Segoe UI"/>
          <w:sz w:val="21"/>
          <w:lang w:val="pt-BR"/>
        </w:rPr>
        <w:t>https://bhw.hrsa.gov/sites/default/files/bhw/nchwa/projections/communityhealthworkforcebibliography.pdf</w:t>
      </w:r>
      <w:r>
        <w:rPr>
          <w:rStyle w:val="Hyperlink"/>
          <w:rFonts w:ascii="Segoe UI" w:hAnsi="Segoe UI"/>
          <w:sz w:val="21"/>
          <w:lang w:val="pt-BR"/>
        </w:rPr>
        <w:fldChar w:fldCharType="end"/>
      </w:r>
      <w:r w:rsidRPr="00866073">
        <w:rPr>
          <w:rFonts w:ascii="Segoe UI" w:hAnsi="Segoe UI"/>
          <w:sz w:val="21"/>
          <w:lang w:val="pt-BR"/>
        </w:rPr>
        <w:t xml:space="preserve"> </w:t>
      </w:r>
    </w:p>
  </w:endnote>
  <w:endnote w:id="43">
    <w:p w14:paraId="466664B4" w14:textId="77777777" w:rsidR="00473EAD" w:rsidRPr="00FC0CA5" w:rsidRDefault="00473EAD" w:rsidP="00473EAD">
      <w:pPr>
        <w:pStyle w:val="EndnoteText"/>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 Johns Hopkins Medicine (n.d.) </w:t>
      </w:r>
      <w:r w:rsidRPr="00FC0CA5">
        <w:rPr>
          <w:rFonts w:ascii="Segoe UI" w:hAnsi="Segoe UI"/>
          <w:sz w:val="21"/>
          <w:lang w:val="en-US"/>
        </w:rPr>
        <w:t xml:space="preserve">Community Health Partnership Success Stories </w:t>
      </w:r>
      <w:hyperlink r:id="rId37" w:history="1">
        <w:r w:rsidRPr="00FC0CA5">
          <w:rPr>
            <w:rStyle w:val="Hyperlink"/>
            <w:rFonts w:ascii="Segoe UI" w:hAnsi="Segoe UI"/>
            <w:sz w:val="21"/>
            <w:lang w:val="en-US"/>
          </w:rPr>
          <w:t>www.hopkinsmedicine.org/community_health_partnership/share_your_journey_stories.html</w:t>
        </w:r>
      </w:hyperlink>
      <w:r w:rsidRPr="00FC0CA5">
        <w:rPr>
          <w:rFonts w:ascii="Segoe UI" w:hAnsi="Segoe UI"/>
          <w:sz w:val="21"/>
          <w:lang w:val="en-US"/>
        </w:rPr>
        <w:t xml:space="preserve"> </w:t>
      </w:r>
    </w:p>
  </w:endnote>
  <w:endnote w:id="44">
    <w:p w14:paraId="61322056" w14:textId="77777777" w:rsidR="00473EAD" w:rsidRPr="00866073" w:rsidRDefault="00473EAD" w:rsidP="00473EAD">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866073">
        <w:rPr>
          <w:rFonts w:ascii="Segoe UI" w:hAnsi="Segoe UI"/>
          <w:sz w:val="21"/>
          <w:lang w:val="en-US"/>
        </w:rPr>
        <w:t xml:space="preserve"> </w:t>
      </w:r>
      <w:proofErr w:type="spellStart"/>
      <w:r w:rsidRPr="00866073">
        <w:rPr>
          <w:rFonts w:ascii="Segoe UI" w:hAnsi="Segoe UI"/>
          <w:sz w:val="21"/>
          <w:lang w:val="en-US"/>
        </w:rPr>
        <w:t>Consumo</w:t>
      </w:r>
      <w:proofErr w:type="spellEnd"/>
      <w:r w:rsidRPr="00866073">
        <w:rPr>
          <w:rFonts w:ascii="Segoe UI" w:hAnsi="Segoe UI"/>
          <w:sz w:val="21"/>
          <w:lang w:val="en-US"/>
        </w:rPr>
        <w:t xml:space="preserve"> de </w:t>
      </w:r>
      <w:proofErr w:type="spellStart"/>
      <w:r w:rsidRPr="00866073">
        <w:rPr>
          <w:rFonts w:ascii="Segoe UI" w:hAnsi="Segoe UI"/>
          <w:sz w:val="21"/>
          <w:lang w:val="en-US"/>
        </w:rPr>
        <w:t>sustancias</w:t>
      </w:r>
      <w:proofErr w:type="spellEnd"/>
      <w:r w:rsidRPr="00866073">
        <w:rPr>
          <w:rFonts w:ascii="Segoe UI" w:hAnsi="Segoe UI"/>
          <w:sz w:val="21"/>
          <w:lang w:val="en-US"/>
        </w:rPr>
        <w:t xml:space="preserve"> </w:t>
      </w:r>
      <w:proofErr w:type="spellStart"/>
      <w:r w:rsidRPr="00866073">
        <w:rPr>
          <w:rFonts w:ascii="Segoe UI" w:hAnsi="Segoe UI"/>
          <w:sz w:val="21"/>
          <w:lang w:val="en-US"/>
        </w:rPr>
        <w:t>en</w:t>
      </w:r>
      <w:proofErr w:type="spellEnd"/>
      <w:r w:rsidRPr="00866073">
        <w:rPr>
          <w:rFonts w:ascii="Segoe UI" w:hAnsi="Segoe UI"/>
          <w:sz w:val="21"/>
          <w:lang w:val="en-US"/>
        </w:rPr>
        <w:t xml:space="preserve"> Massachusetts (2019) </w:t>
      </w:r>
      <w:proofErr w:type="spellStart"/>
      <w:r w:rsidRPr="00866073">
        <w:rPr>
          <w:rFonts w:ascii="Segoe UI" w:hAnsi="Segoe UI"/>
          <w:sz w:val="21"/>
          <w:lang w:val="en-US"/>
        </w:rPr>
        <w:t>Tomado</w:t>
      </w:r>
      <w:proofErr w:type="spellEnd"/>
      <w:r w:rsidRPr="00866073">
        <w:rPr>
          <w:rFonts w:ascii="Segoe UI" w:hAnsi="Segoe UI"/>
          <w:sz w:val="21"/>
          <w:lang w:val="en-US"/>
        </w:rPr>
        <w:t xml:space="preserve"> de </w:t>
      </w:r>
      <w:proofErr w:type="gramStart"/>
      <w:r w:rsidRPr="00866073">
        <w:rPr>
          <w:rFonts w:ascii="Segoe UI" w:hAnsi="Segoe UI"/>
          <w:sz w:val="21"/>
          <w:lang w:val="en-US"/>
        </w:rPr>
        <w:t>Helpline :</w:t>
      </w:r>
      <w:proofErr w:type="gramEnd"/>
      <w:r>
        <w:fldChar w:fldCharType="begin"/>
      </w:r>
      <w:r>
        <w:instrText>HYPERLINK "https://helplinema.org/"</w:instrText>
      </w:r>
      <w:r>
        <w:fldChar w:fldCharType="separate"/>
      </w:r>
      <w:r w:rsidRPr="00866073">
        <w:rPr>
          <w:rStyle w:val="Hyperlink"/>
          <w:rFonts w:ascii="Segoe UI" w:hAnsi="Segoe UI"/>
          <w:sz w:val="21"/>
          <w:lang w:val="en-US"/>
        </w:rPr>
        <w:t>https://helplinema.org/</w:t>
      </w:r>
      <w:r>
        <w:rPr>
          <w:rStyle w:val="Hyperlink"/>
          <w:rFonts w:ascii="Segoe UI" w:hAnsi="Segoe UI"/>
          <w:sz w:val="21"/>
          <w:lang w:val="en-US"/>
        </w:rPr>
        <w:fldChar w:fldCharType="end"/>
      </w:r>
      <w:r w:rsidRPr="00866073">
        <w:rPr>
          <w:rFonts w:ascii="Segoe UI" w:hAnsi="Segoe UI"/>
          <w:sz w:val="21"/>
          <w:lang w:val="en-US"/>
        </w:rPr>
        <w:t xml:space="preserve"> </w:t>
      </w:r>
    </w:p>
  </w:endnote>
  <w:endnote w:id="45">
    <w:p w14:paraId="5B0F6001" w14:textId="77777777" w:rsidR="00473EAD" w:rsidRPr="00866073" w:rsidRDefault="00473EAD" w:rsidP="00473EAD">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proofErr w:type="spellStart"/>
      <w:r w:rsidRPr="00866073">
        <w:rPr>
          <w:rFonts w:ascii="Segoe UI" w:hAnsi="Segoe UI"/>
          <w:sz w:val="21"/>
          <w:lang w:val="en-US"/>
        </w:rPr>
        <w:t>Idiomas</w:t>
      </w:r>
      <w:proofErr w:type="spellEnd"/>
      <w:r w:rsidRPr="00866073">
        <w:rPr>
          <w:rFonts w:ascii="Segoe UI" w:hAnsi="Segoe UI"/>
          <w:sz w:val="21"/>
          <w:lang w:val="en-US"/>
        </w:rPr>
        <w:t xml:space="preserve"> </w:t>
      </w:r>
      <w:proofErr w:type="spellStart"/>
      <w:r w:rsidRPr="00866073">
        <w:rPr>
          <w:rFonts w:ascii="Segoe UI" w:hAnsi="Segoe UI"/>
          <w:sz w:val="21"/>
          <w:lang w:val="en-US"/>
        </w:rPr>
        <w:t>en</w:t>
      </w:r>
      <w:proofErr w:type="spellEnd"/>
      <w:r w:rsidRPr="00866073">
        <w:rPr>
          <w:rFonts w:ascii="Segoe UI" w:hAnsi="Segoe UI"/>
          <w:sz w:val="21"/>
          <w:lang w:val="en-US"/>
        </w:rPr>
        <w:t xml:space="preserve"> </w:t>
      </w:r>
      <w:proofErr w:type="spellStart"/>
      <w:r w:rsidRPr="00866073">
        <w:rPr>
          <w:rFonts w:ascii="Segoe UI" w:hAnsi="Segoe UI"/>
          <w:sz w:val="21"/>
          <w:lang w:val="en-US"/>
        </w:rPr>
        <w:t>Consumo</w:t>
      </w:r>
      <w:proofErr w:type="spellEnd"/>
      <w:r w:rsidRPr="00866073">
        <w:rPr>
          <w:rFonts w:ascii="Segoe UI" w:hAnsi="Segoe UI"/>
          <w:sz w:val="21"/>
          <w:lang w:val="en-US"/>
        </w:rPr>
        <w:t xml:space="preserve"> de </w:t>
      </w:r>
      <w:proofErr w:type="spellStart"/>
      <w:r w:rsidRPr="00866073">
        <w:rPr>
          <w:rFonts w:ascii="Segoe UI" w:hAnsi="Segoe UI"/>
          <w:sz w:val="21"/>
          <w:lang w:val="en-US"/>
        </w:rPr>
        <w:t>sustancias</w:t>
      </w:r>
      <w:proofErr w:type="spellEnd"/>
      <w:r w:rsidRPr="00866073">
        <w:rPr>
          <w:rFonts w:ascii="Segoe UI" w:hAnsi="Segoe UI"/>
          <w:sz w:val="21"/>
          <w:lang w:val="en-US"/>
        </w:rPr>
        <w:t xml:space="preserve"> </w:t>
      </w:r>
      <w:proofErr w:type="spellStart"/>
      <w:r w:rsidRPr="00866073">
        <w:rPr>
          <w:rFonts w:ascii="Segoe UI" w:hAnsi="Segoe UI"/>
          <w:sz w:val="21"/>
          <w:lang w:val="en-US"/>
        </w:rPr>
        <w:t>en</w:t>
      </w:r>
      <w:proofErr w:type="spellEnd"/>
      <w:r w:rsidRPr="00866073">
        <w:rPr>
          <w:rFonts w:ascii="Segoe UI" w:hAnsi="Segoe UI"/>
          <w:sz w:val="21"/>
          <w:lang w:val="en-US"/>
        </w:rPr>
        <w:t xml:space="preserve"> Massachusetts (2019) </w:t>
      </w:r>
      <w:proofErr w:type="spellStart"/>
      <w:r w:rsidRPr="00866073">
        <w:rPr>
          <w:rFonts w:ascii="Segoe UI" w:hAnsi="Segoe UI"/>
          <w:sz w:val="21"/>
          <w:lang w:val="en-US"/>
        </w:rPr>
        <w:t>Tomado</w:t>
      </w:r>
      <w:proofErr w:type="spellEnd"/>
      <w:r w:rsidRPr="00866073">
        <w:rPr>
          <w:rFonts w:ascii="Segoe UI" w:hAnsi="Segoe UI"/>
          <w:sz w:val="21"/>
          <w:lang w:val="en-US"/>
        </w:rPr>
        <w:t xml:space="preserve"> de </w:t>
      </w:r>
      <w:proofErr w:type="gramStart"/>
      <w:r w:rsidRPr="00866073">
        <w:rPr>
          <w:rFonts w:ascii="Segoe UI" w:hAnsi="Segoe UI"/>
          <w:sz w:val="21"/>
          <w:lang w:val="en-US"/>
        </w:rPr>
        <w:t>Helpline :</w:t>
      </w:r>
      <w:proofErr w:type="gramEnd"/>
      <w:hyperlink r:id="rId38" w:history="1">
        <w:r w:rsidRPr="00866073">
          <w:rPr>
            <w:rStyle w:val="Hyperlink"/>
            <w:rFonts w:ascii="Segoe UI" w:hAnsi="Segoe UI"/>
            <w:sz w:val="21"/>
            <w:lang w:val="en-US"/>
          </w:rPr>
          <w:t>https://helplinema.org/</w:t>
        </w:r>
      </w:hyperlink>
      <w:r w:rsidRPr="00866073">
        <w:rPr>
          <w:rFonts w:ascii="Segoe UI" w:hAnsi="Segoe UI"/>
          <w:sz w:val="21"/>
          <w:lang w:val="en-US"/>
        </w:rPr>
        <w:t xml:space="preserve"> </w:t>
      </w:r>
    </w:p>
  </w:endnote>
  <w:endnote w:id="46">
    <w:p w14:paraId="77E2DB41" w14:textId="77777777" w:rsidR="00473EAD" w:rsidRPr="0092004C" w:rsidRDefault="00473EAD" w:rsidP="00473EAD">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 SAMHSA. Federal Guidelines for Opioid Treatment Programs (2015) </w:t>
      </w:r>
      <w:hyperlink r:id="rId39" w:history="1">
        <w:r w:rsidRPr="0092004C">
          <w:rPr>
            <w:rStyle w:val="Hyperlink"/>
            <w:rFonts w:ascii="Segoe UI" w:hAnsi="Segoe UI"/>
            <w:sz w:val="21"/>
            <w:lang w:val="en-US"/>
          </w:rPr>
          <w:t>https://store.samhsa.gov/product/Federal-Guidelines-for-Opioid-Treatment-Programs/PEP15-FEDGUIDEOTP</w:t>
        </w:r>
      </w:hyperlink>
    </w:p>
  </w:endnote>
  <w:endnote w:id="47">
    <w:p w14:paraId="55024519" w14:textId="77777777" w:rsidR="00473EAD" w:rsidRPr="00866073" w:rsidRDefault="00473EAD" w:rsidP="00473EAD">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866073">
        <w:rPr>
          <w:rFonts w:ascii="Segoe UI" w:hAnsi="Segoe UI"/>
          <w:sz w:val="21"/>
          <w:lang w:val="en-US"/>
        </w:rPr>
        <w:t xml:space="preserve"> SAMHSA. Directorio de </w:t>
      </w:r>
      <w:proofErr w:type="spellStart"/>
      <w:r w:rsidRPr="00866073">
        <w:rPr>
          <w:rFonts w:ascii="Segoe UI" w:hAnsi="Segoe UI"/>
          <w:sz w:val="21"/>
          <w:lang w:val="en-US"/>
        </w:rPr>
        <w:t>programas</w:t>
      </w:r>
      <w:proofErr w:type="spellEnd"/>
      <w:r w:rsidRPr="00866073">
        <w:rPr>
          <w:rFonts w:ascii="Segoe UI" w:hAnsi="Segoe UI"/>
          <w:sz w:val="21"/>
          <w:lang w:val="en-US"/>
        </w:rPr>
        <w:t xml:space="preserve"> de </w:t>
      </w:r>
      <w:proofErr w:type="spellStart"/>
      <w:r w:rsidRPr="00866073">
        <w:rPr>
          <w:rFonts w:ascii="Segoe UI" w:hAnsi="Segoe UI"/>
          <w:sz w:val="21"/>
          <w:lang w:val="en-US"/>
        </w:rPr>
        <w:t>tratamiento</w:t>
      </w:r>
      <w:proofErr w:type="spellEnd"/>
      <w:r w:rsidRPr="00866073">
        <w:rPr>
          <w:rFonts w:ascii="Segoe UI" w:hAnsi="Segoe UI"/>
          <w:sz w:val="21"/>
          <w:lang w:val="en-US"/>
        </w:rPr>
        <w:t xml:space="preserve"> de </w:t>
      </w:r>
      <w:proofErr w:type="spellStart"/>
      <w:r w:rsidRPr="00866073">
        <w:rPr>
          <w:rFonts w:ascii="Segoe UI" w:hAnsi="Segoe UI"/>
          <w:sz w:val="21"/>
          <w:lang w:val="en-US"/>
        </w:rPr>
        <w:t>opiáceos</w:t>
      </w:r>
      <w:proofErr w:type="spellEnd"/>
      <w:r w:rsidRPr="00866073">
        <w:rPr>
          <w:rFonts w:ascii="Segoe UI" w:hAnsi="Segoe UI"/>
          <w:sz w:val="21"/>
          <w:lang w:val="en-US"/>
        </w:rPr>
        <w:t xml:space="preserve"> (2020) </w:t>
      </w:r>
      <w:hyperlink r:id="rId40" w:history="1">
        <w:r w:rsidRPr="00866073">
          <w:rPr>
            <w:rStyle w:val="Hyperlink"/>
            <w:rFonts w:ascii="Segoe UI" w:hAnsi="Segoe UI"/>
            <w:sz w:val="21"/>
            <w:lang w:val="en-US"/>
          </w:rPr>
          <w:t>https://dpt2.samhsa.gov/treatment/directory.aspx</w:t>
        </w:r>
      </w:hyperlink>
      <w:r w:rsidRPr="00866073">
        <w:rPr>
          <w:rFonts w:ascii="Segoe UI" w:hAnsi="Segoe UI"/>
          <w:sz w:val="21"/>
          <w:lang w:val="en-US"/>
        </w:rPr>
        <w:t xml:space="preserve"> </w:t>
      </w:r>
    </w:p>
  </w:endnote>
  <w:endnote w:id="48">
    <w:p w14:paraId="5321ACEB" w14:textId="77777777" w:rsidR="00473EAD" w:rsidRPr="0092004C" w:rsidRDefault="00473EAD" w:rsidP="00473EAD">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866073">
        <w:rPr>
          <w:rFonts w:ascii="Segoe UI" w:hAnsi="Segoe UI"/>
          <w:sz w:val="21"/>
          <w:lang w:val="en-US"/>
        </w:rPr>
        <w:t xml:space="preserve"> </w:t>
      </w:r>
      <w:proofErr w:type="spellStart"/>
      <w:r w:rsidRPr="00866073">
        <w:rPr>
          <w:rFonts w:ascii="Segoe UI" w:hAnsi="Segoe UI"/>
          <w:sz w:val="21"/>
          <w:lang w:val="en-US"/>
        </w:rPr>
        <w:t>Comisión</w:t>
      </w:r>
      <w:proofErr w:type="spellEnd"/>
      <w:r w:rsidRPr="00866073">
        <w:rPr>
          <w:rFonts w:ascii="Segoe UI" w:hAnsi="Segoe UI"/>
          <w:sz w:val="21"/>
          <w:lang w:val="en-US"/>
        </w:rPr>
        <w:t xml:space="preserve"> de Política Sanitaria de Massachusetts. </w:t>
      </w:r>
      <w:r w:rsidRPr="0092004C">
        <w:rPr>
          <w:rFonts w:ascii="Segoe UI" w:hAnsi="Segoe UI"/>
          <w:sz w:val="21"/>
          <w:lang w:val="en-US"/>
        </w:rPr>
        <w:t xml:space="preserve">Integrating Telemedicine for Behavioral Health (2019) </w:t>
      </w:r>
      <w:hyperlink r:id="rId41" w:history="1">
        <w:r w:rsidRPr="0092004C">
          <w:rPr>
            <w:rStyle w:val="Hyperlink"/>
            <w:rFonts w:ascii="Segoe UI" w:hAnsi="Segoe UI"/>
            <w:sz w:val="21"/>
            <w:lang w:val="en-US"/>
          </w:rPr>
          <w:t>https://www.mass.gov/files/documents/2019/05/28/TeleBH%20brief_final.pdf</w:t>
        </w:r>
      </w:hyperlink>
      <w:r w:rsidRPr="0092004C">
        <w:rPr>
          <w:rFonts w:ascii="Segoe UI" w:hAnsi="Segoe UI"/>
          <w:sz w:val="21"/>
          <w:lang w:val="en-US"/>
        </w:rPr>
        <w:t xml:space="preserve"> </w:t>
      </w:r>
    </w:p>
  </w:endnote>
  <w:endnote w:id="49">
    <w:p w14:paraId="4DF38F3C"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RIZE Massachusetts. Recursos para empleadores y empleados (2019) </w:t>
      </w:r>
      <w:hyperlink r:id="rId42" w:history="1">
        <w:r w:rsidRPr="0092004C">
          <w:rPr>
            <w:rStyle w:val="Hyperlink"/>
            <w:rFonts w:ascii="Segoe UI" w:hAnsi="Segoe UI"/>
            <w:sz w:val="21"/>
          </w:rPr>
          <w:t>https://rizema.org/resources/</w:t>
        </w:r>
      </w:hyperlink>
      <w:r w:rsidRPr="0092004C">
        <w:rPr>
          <w:rFonts w:ascii="Segoe UI" w:hAnsi="Segoe UI"/>
          <w:sz w:val="21"/>
        </w:rPr>
        <w:t xml:space="preserve"> </w:t>
      </w:r>
    </w:p>
  </w:endnote>
  <w:endnote w:id="50">
    <w:p w14:paraId="13CABECD"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SafeProject</w:t>
      </w:r>
      <w:proofErr w:type="spellEnd"/>
      <w:r w:rsidRPr="0092004C">
        <w:rPr>
          <w:rFonts w:ascii="Segoe UI" w:hAnsi="Segoe UI"/>
          <w:sz w:val="21"/>
        </w:rPr>
        <w:t xml:space="preserve">. Manual de la Comunidad Segura (2019) </w:t>
      </w:r>
      <w:hyperlink r:id="rId43" w:history="1">
        <w:r w:rsidRPr="0092004C">
          <w:rPr>
            <w:rStyle w:val="Hyperlink"/>
            <w:rFonts w:ascii="Segoe UI" w:hAnsi="Segoe UI"/>
            <w:sz w:val="21"/>
          </w:rPr>
          <w:t>https://www.safeproject.us/playbook/</w:t>
        </w:r>
      </w:hyperlink>
    </w:p>
  </w:endnote>
  <w:endnote w:id="51">
    <w:p w14:paraId="64067551"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Narcotics</w:t>
      </w:r>
      <w:proofErr w:type="spellEnd"/>
      <w:r w:rsidRPr="0092004C">
        <w:rPr>
          <w:rFonts w:ascii="Segoe UI" w:hAnsi="Segoe UI"/>
          <w:sz w:val="21"/>
        </w:rPr>
        <w:t xml:space="preserve"> Anonymous. Personas que reciben MAT (2016) </w:t>
      </w:r>
      <w:hyperlink r:id="rId44" w:history="1">
        <w:r w:rsidRPr="0092004C">
          <w:rPr>
            <w:rStyle w:val="Hyperlink"/>
            <w:rFonts w:ascii="Segoe UI" w:hAnsi="Segoe UI"/>
            <w:sz w:val="21"/>
          </w:rPr>
          <w:t>www.na.org/admin/include/spaw2/uploads/pdf/pr/2306_NA_PRMAT_1021.pdf</w:t>
        </w:r>
      </w:hyperlink>
      <w:r w:rsidRPr="0092004C">
        <w:rPr>
          <w:rFonts w:ascii="Segoe UI" w:hAnsi="Segoe UI"/>
          <w:sz w:val="21"/>
        </w:rPr>
        <w:t xml:space="preserve"> </w:t>
      </w:r>
    </w:p>
  </w:endnote>
  <w:endnote w:id="52">
    <w:p w14:paraId="66CFA321" w14:textId="77777777" w:rsidR="00473EAD" w:rsidRPr="0092004C" w:rsidRDefault="00473EAD" w:rsidP="00473EA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SAMHSA. Línea nacional de ayuda: </w:t>
      </w:r>
      <w:hyperlink r:id="rId45" w:history="1">
        <w:r w:rsidRPr="0092004C">
          <w:rPr>
            <w:rStyle w:val="Hyperlink"/>
            <w:rFonts w:ascii="Segoe UI" w:hAnsi="Segoe UI"/>
            <w:sz w:val="21"/>
          </w:rPr>
          <w:t>https://www.samhsa.gov/find-help/national-helpline</w:t>
        </w:r>
      </w:hyperlink>
      <w:r w:rsidRPr="0092004C">
        <w:rPr>
          <w:rFonts w:ascii="Segoe UI" w:hAnsi="Segoe UI"/>
          <w:sz w:val="21"/>
        </w:rPr>
        <w:t xml:space="preserve"> </w:t>
      </w:r>
    </w:p>
  </w:endnote>
  <w:endnote w:id="53">
    <w:p w14:paraId="46B208BF" w14:textId="77777777" w:rsidR="00473EAD" w:rsidRPr="0092004C" w:rsidRDefault="00473EAD" w:rsidP="00473EAD">
      <w:pPr>
        <w:pStyle w:val="EndnoteText"/>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 Gavin Foundation. (n.d.). Devine Recovery Center: </w:t>
      </w:r>
      <w:hyperlink r:id="rId46" w:history="1">
        <w:r w:rsidRPr="0092004C">
          <w:rPr>
            <w:rStyle w:val="Hyperlink"/>
            <w:rFonts w:ascii="Segoe UI" w:hAnsi="Segoe UI"/>
            <w:sz w:val="21"/>
            <w:lang w:val="en-US"/>
          </w:rPr>
          <w:t>http://www.gavinfoundation.org/programs/devine-recovery-center</w:t>
        </w:r>
      </w:hyperlink>
      <w:r w:rsidRPr="0092004C">
        <w:rPr>
          <w:rFonts w:ascii="Segoe UI" w:hAnsi="Segoe UI"/>
          <w:sz w:val="21"/>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9972" w14:textId="660F349F" w:rsidR="00473EAD" w:rsidRPr="00814FB0" w:rsidRDefault="00473EAD" w:rsidP="00473EAD">
    <w:pPr>
      <w:pStyle w:val="Footer"/>
      <w:jc w:val="right"/>
      <w:rPr>
        <w:rFonts w:ascii="Segoe UI" w:hAnsi="Segoe UI" w:cs="Segoe UI"/>
        <w:color w:val="000000" w:themeColor="text1"/>
        <w:sz w:val="18"/>
        <w:szCs w:val="20"/>
      </w:rPr>
    </w:pPr>
    <w:r>
      <w:rPr>
        <w:noProof/>
        <w:color w:val="FFFFFF" w:themeColor="background1"/>
      </w:rPr>
      <w:drawing>
        <wp:anchor distT="0" distB="0" distL="114300" distR="114300" simplePos="0" relativeHeight="251661312" behindDoc="0" locked="0" layoutInCell="1" allowOverlap="1" wp14:anchorId="1E010D8A" wp14:editId="64CC1E0A">
          <wp:simplePos x="0" y="0"/>
          <wp:positionH relativeFrom="column">
            <wp:posOffset>5031928</wp:posOffset>
          </wp:positionH>
          <wp:positionV relativeFrom="paragraph">
            <wp:posOffset>112439</wp:posOffset>
          </wp:positionV>
          <wp:extent cx="1463040" cy="504156"/>
          <wp:effectExtent l="0" t="0" r="3810" b="0"/>
          <wp:wrapNone/>
          <wp:docPr id="620" name="Picture 620" descr="Logo de M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Picture 620" descr="Logo de MOUD"/>
                  <pic:cNvPicPr/>
                </pic:nvPicPr>
                <pic:blipFill>
                  <a:blip r:embed="rId1" cstate="screen">
                    <a:extLst>
                      <a:ext uri="{28A0092B-C50C-407E-A947-70E740481C1C}">
                        <a14:useLocalDpi xmlns:a14="http://schemas.microsoft.com/office/drawing/2010/main"/>
                      </a:ext>
                    </a:extLst>
                  </a:blip>
                  <a:stretch>
                    <a:fillRect/>
                  </a:stretch>
                </pic:blipFill>
                <pic:spPr>
                  <a:xfrm>
                    <a:off x="0" y="0"/>
                    <a:ext cx="1463040" cy="504156"/>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olor w:val="44546A" w:themeColor="text2"/>
        <w:sz w:val="20"/>
        <w:szCs w:val="20"/>
      </w:rPr>
      <w:tab/>
    </w:r>
    <w:r>
      <w:rPr>
        <w:rFonts w:ascii="Segoe UI" w:hAnsi="Segoe UI"/>
        <w:color w:val="44546A" w:themeColor="text2"/>
        <w:sz w:val="20"/>
        <w:szCs w:val="20"/>
      </w:rPr>
      <w:tab/>
    </w:r>
    <w:r w:rsidRPr="00814FB0">
      <w:rPr>
        <w:rFonts w:ascii="Segoe UI" w:hAnsi="Segoe UI"/>
        <w:color w:val="000000" w:themeColor="text1"/>
        <w:sz w:val="20"/>
        <w:szCs w:val="20"/>
      </w:rPr>
      <w:tab/>
    </w:r>
    <w:r w:rsidRPr="00814FB0">
      <w:rPr>
        <w:rFonts w:ascii="Segoe UI" w:hAnsi="Segoe UI" w:cs="Segoe UI"/>
        <w:color w:val="000000" w:themeColor="text1"/>
        <w:sz w:val="18"/>
        <w:szCs w:val="20"/>
      </w:rPr>
      <w:fldChar w:fldCharType="begin"/>
    </w:r>
    <w:r w:rsidRPr="00814FB0">
      <w:rPr>
        <w:rFonts w:ascii="Segoe UI" w:hAnsi="Segoe UI" w:cs="Segoe UI"/>
        <w:color w:val="000000" w:themeColor="text1"/>
        <w:sz w:val="18"/>
        <w:szCs w:val="20"/>
      </w:rPr>
      <w:instrText xml:space="preserve"> PAGE   \* MERGEFORMAT </w:instrText>
    </w:r>
    <w:r w:rsidRPr="00814FB0">
      <w:rPr>
        <w:rFonts w:ascii="Segoe UI" w:hAnsi="Segoe UI" w:cs="Segoe UI"/>
        <w:color w:val="000000" w:themeColor="text1"/>
        <w:sz w:val="18"/>
        <w:szCs w:val="20"/>
      </w:rPr>
      <w:fldChar w:fldCharType="separate"/>
    </w:r>
    <w:r>
      <w:rPr>
        <w:rFonts w:ascii="Segoe UI" w:hAnsi="Segoe UI" w:cs="Segoe UI"/>
        <w:color w:val="000000" w:themeColor="text1"/>
        <w:sz w:val="18"/>
        <w:szCs w:val="20"/>
      </w:rPr>
      <w:t>55</w:t>
    </w:r>
    <w:r w:rsidRPr="00814FB0">
      <w:rPr>
        <w:rFonts w:ascii="Segoe UI" w:hAnsi="Segoe UI" w:cs="Segoe UI"/>
        <w:color w:val="000000" w:themeColor="text1"/>
        <w:sz w:val="18"/>
        <w:szCs w:val="20"/>
      </w:rPr>
      <w:fldChar w:fldCharType="end"/>
    </w:r>
    <w:r w:rsidRPr="00814FB0">
      <w:rPr>
        <w:rFonts w:ascii="Segoe UI" w:hAnsi="Segoe UI"/>
        <w:noProof/>
        <w:color w:val="000000" w:themeColor="text1"/>
        <w:sz w:val="18"/>
        <w:szCs w:val="20"/>
      </w:rPr>
      <w:drawing>
        <wp:anchor distT="0" distB="0" distL="114300" distR="114300" simplePos="0" relativeHeight="251660288" behindDoc="0" locked="1" layoutInCell="1" allowOverlap="1" wp14:anchorId="74E28FA6" wp14:editId="54E84510">
          <wp:simplePos x="0" y="0"/>
          <wp:positionH relativeFrom="margin">
            <wp:posOffset>84455</wp:posOffset>
          </wp:positionH>
          <wp:positionV relativeFrom="page">
            <wp:posOffset>9335135</wp:posOffset>
          </wp:positionV>
          <wp:extent cx="640080" cy="640080"/>
          <wp:effectExtent l="0" t="0" r="7620" b="7620"/>
          <wp:wrapSquare wrapText="bothSides"/>
          <wp:docPr id="621" name="Picture 621" descr="Logo de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Picture 621" descr="Logo de DPH"/>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D2FE43" w14:textId="70629B57" w:rsidR="00473EAD" w:rsidRDefault="00473EAD">
    <w:pPr>
      <w:pStyle w:val="Footer"/>
    </w:pPr>
    <w:r>
      <w:rPr>
        <w:rFonts w:ascii="Segoe UI" w:hAnsi="Segoe UI"/>
        <w:noProof/>
        <w:color w:val="44546A" w:themeColor="text2"/>
        <w:sz w:val="20"/>
        <w:szCs w:val="20"/>
      </w:rPr>
      <w:drawing>
        <wp:anchor distT="0" distB="0" distL="114300" distR="114300" simplePos="0" relativeHeight="251659264" behindDoc="0" locked="0" layoutInCell="1" allowOverlap="1" wp14:anchorId="65869170" wp14:editId="19E5D994">
          <wp:simplePos x="0" y="0"/>
          <wp:positionH relativeFrom="margin">
            <wp:posOffset>937524</wp:posOffset>
          </wp:positionH>
          <wp:positionV relativeFrom="paragraph">
            <wp:posOffset>23333</wp:posOffset>
          </wp:positionV>
          <wp:extent cx="1362710" cy="365125"/>
          <wp:effectExtent l="0" t="0" r="8890" b="0"/>
          <wp:wrapSquare wrapText="bothSides"/>
          <wp:docPr id="619" name="Picture 619" descr="Logo de SAM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Picture 619" descr="Logo de SAMHSA"/>
                  <pic:cNvPicPr/>
                </pic:nvPicPr>
                <pic:blipFill>
                  <a:blip r:embed="rId3" cstate="screen">
                    <a:extLst>
                      <a:ext uri="{28A0092B-C50C-407E-A947-70E740481C1C}">
                        <a14:useLocalDpi xmlns:a14="http://schemas.microsoft.com/office/drawing/2010/main"/>
                      </a:ext>
                    </a:extLst>
                  </a:blip>
                  <a:stretch>
                    <a:fillRect/>
                  </a:stretch>
                </pic:blipFill>
                <pic:spPr>
                  <a:xfrm>
                    <a:off x="0" y="0"/>
                    <a:ext cx="1362710" cy="365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1A7E" w14:textId="77777777" w:rsidR="00473EAD" w:rsidRDefault="00473EAD" w:rsidP="00473EAD">
      <w:r>
        <w:separator/>
      </w:r>
    </w:p>
  </w:footnote>
  <w:footnote w:type="continuationSeparator" w:id="0">
    <w:p w14:paraId="6DDAAA64" w14:textId="77777777" w:rsidR="00473EAD" w:rsidRDefault="00473EAD" w:rsidP="0047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0"/>
    </w:tblGrid>
    <w:tr w:rsidR="00473EAD" w14:paraId="12FC8E9F" w14:textId="77777777" w:rsidTr="005858FB">
      <w:trPr>
        <w:trHeight w:val="1008"/>
      </w:trPr>
      <w:tc>
        <w:tcPr>
          <w:tcW w:w="7200" w:type="dxa"/>
          <w:tcBorders>
            <w:right w:val="single" w:sz="18" w:space="0" w:color="FFFFFF" w:themeColor="background1"/>
          </w:tcBorders>
          <w:shd w:val="clear" w:color="auto" w:fill="1F497D"/>
          <w:vAlign w:val="center"/>
        </w:tcPr>
        <w:p w14:paraId="11665761" w14:textId="77777777" w:rsidR="00473EAD" w:rsidRPr="004F5D7A" w:rsidRDefault="00473EAD" w:rsidP="00473EAD">
          <w:pPr>
            <w:rPr>
              <w:rFonts w:ascii="Segoe UI" w:hAnsi="Segoe UI" w:cs="Segoe UI"/>
              <w:b/>
              <w:color w:val="FFFFFF" w:themeColor="background1"/>
              <w:sz w:val="30"/>
              <w:szCs w:val="30"/>
            </w:rPr>
          </w:pPr>
          <w:r>
            <w:rPr>
              <w:rFonts w:ascii="Segoe UI" w:hAnsi="Segoe UI"/>
              <w:b/>
              <w:color w:val="FFFFFF" w:themeColor="background1"/>
              <w:sz w:val="30"/>
            </w:rPr>
            <w:t>Atención de residentes con trastornos por consumo de opioides y estimulantes en contextos de atención a largo plazo</w:t>
          </w:r>
        </w:p>
      </w:tc>
      <w:tc>
        <w:tcPr>
          <w:tcW w:w="3590" w:type="dxa"/>
          <w:tcBorders>
            <w:left w:val="single" w:sz="18" w:space="0" w:color="FFFFFF" w:themeColor="background1"/>
          </w:tcBorders>
          <w:shd w:val="clear" w:color="auto" w:fill="558ED5"/>
          <w:vAlign w:val="center"/>
        </w:tcPr>
        <w:p w14:paraId="1E32F1B7" w14:textId="77777777" w:rsidR="00473EAD" w:rsidRPr="00525F8C" w:rsidRDefault="00473EAD" w:rsidP="00473EAD">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236FCC47" w14:textId="77777777" w:rsidR="00473EAD" w:rsidRPr="004F5D7A" w:rsidRDefault="00473EAD" w:rsidP="00473EAD">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tbl>
  <w:p w14:paraId="118C1CAC" w14:textId="77777777" w:rsidR="00473EAD" w:rsidRDefault="00473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3806"/>
    <w:multiLevelType w:val="hybridMultilevel"/>
    <w:tmpl w:val="775E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63FC4"/>
    <w:multiLevelType w:val="hybridMultilevel"/>
    <w:tmpl w:val="11880A8E"/>
    <w:lvl w:ilvl="0" w:tplc="9D5C5C5C">
      <w:start w:val="1"/>
      <w:numFmt w:val="bullet"/>
      <w:pStyle w:val="MDPH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3B4E"/>
    <w:multiLevelType w:val="hybridMultilevel"/>
    <w:tmpl w:val="DFC65EBA"/>
    <w:lvl w:ilvl="0" w:tplc="04090001">
      <w:start w:val="1"/>
      <w:numFmt w:val="bullet"/>
      <w:lvlText w:val=""/>
      <w:lvlJc w:val="left"/>
      <w:pPr>
        <w:ind w:left="360" w:hanging="360"/>
      </w:pPr>
      <w:rPr>
        <w:rFonts w:ascii="Symbol" w:hAnsi="Symbol" w:hint="default"/>
      </w:rPr>
    </w:lvl>
    <w:lvl w:ilvl="1" w:tplc="987AF752">
      <w:start w:val="1"/>
      <w:numFmt w:val="bullet"/>
      <w:lvlText w:val=""/>
      <w:lvlJc w:val="left"/>
      <w:pPr>
        <w:ind w:left="360" w:hanging="360"/>
      </w:pPr>
      <w:rPr>
        <w:rFonts w:ascii="Symbol" w:hAnsi="Symbol" w:hint="default"/>
        <w:color w:val="auto"/>
      </w:rPr>
    </w:lvl>
    <w:lvl w:ilvl="2" w:tplc="085C28EA">
      <w:start w:val="1"/>
      <w:numFmt w:val="bullet"/>
      <w:lvlText w:val="o"/>
      <w:lvlJc w:val="left"/>
      <w:pPr>
        <w:ind w:left="990" w:hanging="360"/>
      </w:pPr>
      <w:rPr>
        <w:rFonts w:ascii="Courier New" w:hAnsi="Courier New" w:hint="default"/>
        <w:color w:val="000000" w:themeColor="text1"/>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B75122"/>
    <w:multiLevelType w:val="hybridMultilevel"/>
    <w:tmpl w:val="95D46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3424F0"/>
    <w:multiLevelType w:val="hybridMultilevel"/>
    <w:tmpl w:val="76A06856"/>
    <w:lvl w:ilvl="0" w:tplc="B19C635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E382E"/>
    <w:multiLevelType w:val="hybridMultilevel"/>
    <w:tmpl w:val="92E4C610"/>
    <w:lvl w:ilvl="0" w:tplc="520ADE90">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D2694"/>
    <w:multiLevelType w:val="hybridMultilevel"/>
    <w:tmpl w:val="9F56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84135"/>
    <w:multiLevelType w:val="hybridMultilevel"/>
    <w:tmpl w:val="F3F6A5C0"/>
    <w:lvl w:ilvl="0" w:tplc="04090001">
      <w:start w:val="1"/>
      <w:numFmt w:val="bullet"/>
      <w:lvlText w:val=""/>
      <w:lvlJc w:val="left"/>
      <w:pPr>
        <w:ind w:left="360" w:hanging="360"/>
      </w:pPr>
      <w:rPr>
        <w:rFonts w:ascii="Symbol" w:hAnsi="Symbol" w:hint="default"/>
      </w:rPr>
    </w:lvl>
    <w:lvl w:ilvl="1" w:tplc="987AF752">
      <w:start w:val="1"/>
      <w:numFmt w:val="bullet"/>
      <w:lvlText w:val=""/>
      <w:lvlJc w:val="left"/>
      <w:pPr>
        <w:ind w:left="360" w:hanging="360"/>
      </w:pPr>
      <w:rPr>
        <w:rFonts w:ascii="Symbol" w:hAnsi="Symbol" w:hint="default"/>
        <w:color w:val="auto"/>
      </w:rPr>
    </w:lvl>
    <w:lvl w:ilvl="2" w:tplc="28ACB7CC">
      <w:start w:val="1"/>
      <w:numFmt w:val="bullet"/>
      <w:lvlText w:val=""/>
      <w:lvlJc w:val="left"/>
      <w:pPr>
        <w:ind w:left="990" w:hanging="360"/>
      </w:pPr>
      <w:rPr>
        <w:rFonts w:ascii="Wingdings" w:hAnsi="Wingdings" w:hint="default"/>
        <w:color w:val="auto"/>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A21EDF"/>
    <w:multiLevelType w:val="hybridMultilevel"/>
    <w:tmpl w:val="F59E6CC4"/>
    <w:lvl w:ilvl="0" w:tplc="B0C6479E">
      <w:start w:val="1"/>
      <w:numFmt w:val="bullet"/>
      <w:lvlText w:val=""/>
      <w:lvlJc w:val="left"/>
      <w:pPr>
        <w:ind w:left="360" w:hanging="360"/>
      </w:pPr>
      <w:rPr>
        <w:rFonts w:ascii="Wingdings" w:hAnsi="Wingdings" w:hint="default"/>
        <w:color w:val="auto"/>
      </w:rPr>
    </w:lvl>
    <w:lvl w:ilvl="1" w:tplc="3DC656D4">
      <w:start w:val="1"/>
      <w:numFmt w:val="bullet"/>
      <w:lvlText w:val=""/>
      <w:lvlJc w:val="left"/>
      <w:pPr>
        <w:ind w:left="1080" w:hanging="360"/>
      </w:pPr>
      <w:rPr>
        <w:rFonts w:ascii="Wingdings" w:hAnsi="Wingding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B76F5"/>
    <w:multiLevelType w:val="hybridMultilevel"/>
    <w:tmpl w:val="FABA48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6477E1C"/>
    <w:multiLevelType w:val="hybridMultilevel"/>
    <w:tmpl w:val="7EB42506"/>
    <w:lvl w:ilvl="0" w:tplc="B00A160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2900E8"/>
    <w:multiLevelType w:val="hybridMultilevel"/>
    <w:tmpl w:val="DB723E38"/>
    <w:lvl w:ilvl="0" w:tplc="84F4065C">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3077525">
    <w:abstractNumId w:val="7"/>
  </w:num>
  <w:num w:numId="2" w16cid:durableId="321201902">
    <w:abstractNumId w:val="8"/>
  </w:num>
  <w:num w:numId="3" w16cid:durableId="568465676">
    <w:abstractNumId w:val="3"/>
  </w:num>
  <w:num w:numId="4" w16cid:durableId="490685119">
    <w:abstractNumId w:val="11"/>
  </w:num>
  <w:num w:numId="5" w16cid:durableId="1738942221">
    <w:abstractNumId w:val="9"/>
  </w:num>
  <w:num w:numId="6" w16cid:durableId="1694769524">
    <w:abstractNumId w:val="0"/>
  </w:num>
  <w:num w:numId="7" w16cid:durableId="90904263">
    <w:abstractNumId w:val="2"/>
  </w:num>
  <w:num w:numId="8" w16cid:durableId="2012678278">
    <w:abstractNumId w:val="10"/>
  </w:num>
  <w:num w:numId="9" w16cid:durableId="603421024">
    <w:abstractNumId w:val="4"/>
  </w:num>
  <w:num w:numId="10" w16cid:durableId="549076338">
    <w:abstractNumId w:val="1"/>
  </w:num>
  <w:num w:numId="11" w16cid:durableId="1823504921">
    <w:abstractNumId w:val="6"/>
  </w:num>
  <w:num w:numId="12" w16cid:durableId="2030400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AD"/>
    <w:rsid w:val="00473EAD"/>
    <w:rsid w:val="006A0977"/>
    <w:rsid w:val="00A96636"/>
    <w:rsid w:val="00BD51FD"/>
    <w:rsid w:val="00C5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9A8A"/>
  <w15:chartTrackingRefBased/>
  <w15:docId w15:val="{68DDFE51-B071-49EF-88B1-D7A5FD56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3EAD"/>
    <w:pPr>
      <w:widowControl w:val="0"/>
      <w:spacing w:after="0" w:line="240" w:lineRule="auto"/>
    </w:pPr>
    <w:rPr>
      <w:lang w:val="es-419"/>
    </w:rPr>
  </w:style>
  <w:style w:type="paragraph" w:styleId="Heading1">
    <w:name w:val="heading 1"/>
    <w:basedOn w:val="Normal"/>
    <w:link w:val="Heading1Char"/>
    <w:uiPriority w:val="1"/>
    <w:qFormat/>
    <w:rsid w:val="00473EAD"/>
    <w:pPr>
      <w:pBdr>
        <w:bottom w:val="single" w:sz="8" w:space="1" w:color="44546A" w:themeColor="text2"/>
      </w:pBdr>
      <w:spacing w:after="160"/>
      <w:outlineLvl w:val="0"/>
    </w:pPr>
    <w:rPr>
      <w:rFonts w:ascii="Segoe UI" w:eastAsia="Arial" w:hAnsi="Segoe UI" w:cs="Segoe UI"/>
      <w:b/>
      <w:bCs/>
      <w:color w:val="034D6F"/>
      <w:sz w:val="30"/>
      <w:szCs w:val="30"/>
    </w:rPr>
  </w:style>
  <w:style w:type="paragraph" w:styleId="Heading2">
    <w:name w:val="heading 2"/>
    <w:aliases w:val="MDPH Heading 2"/>
    <w:basedOn w:val="Normal"/>
    <w:next w:val="Normal"/>
    <w:link w:val="Heading2Char"/>
    <w:uiPriority w:val="9"/>
    <w:unhideWhenUsed/>
    <w:qFormat/>
    <w:rsid w:val="00473EAD"/>
    <w:pPr>
      <w:keepNext/>
      <w:keepLines/>
      <w:spacing w:before="160" w:after="80"/>
      <w:outlineLvl w:val="1"/>
    </w:pPr>
    <w:rPr>
      <w:rFonts w:ascii="Segoe UI" w:eastAsiaTheme="majorEastAsia" w:hAnsi="Segoe UI" w:cs="Segoe UI"/>
      <w:b/>
      <w:bCs/>
      <w:color w:val="4472C4" w:themeColor="accent1"/>
      <w:sz w:val="26"/>
      <w:szCs w:val="26"/>
    </w:rPr>
  </w:style>
  <w:style w:type="paragraph" w:styleId="Heading3">
    <w:name w:val="heading 3"/>
    <w:aliases w:val="MDPH Heading 3"/>
    <w:basedOn w:val="Normal"/>
    <w:next w:val="Normal"/>
    <w:link w:val="Heading3Char"/>
    <w:uiPriority w:val="9"/>
    <w:unhideWhenUsed/>
    <w:qFormat/>
    <w:rsid w:val="00473EAD"/>
    <w:pPr>
      <w:keepNext/>
      <w:keepLines/>
      <w:spacing w:before="120"/>
      <w:outlineLvl w:val="2"/>
    </w:pPr>
    <w:rPr>
      <w:rFonts w:ascii="Segoe UI" w:eastAsia="Times New Roman" w:hAnsi="Segoe UI" w:cs="Segoe UI"/>
      <w:b/>
      <w:bCs/>
      <w:color w:val="2F5496" w:themeColor="accent1" w:themeShade="BF"/>
      <w:sz w:val="24"/>
    </w:rPr>
  </w:style>
  <w:style w:type="paragraph" w:styleId="Heading4">
    <w:name w:val="heading 4"/>
    <w:aliases w:val="MDPH Heading 4"/>
    <w:basedOn w:val="Normal"/>
    <w:next w:val="Normal"/>
    <w:link w:val="Heading4Char"/>
    <w:uiPriority w:val="9"/>
    <w:unhideWhenUsed/>
    <w:qFormat/>
    <w:rsid w:val="00473EAD"/>
    <w:pPr>
      <w:keepNext/>
      <w:keepLines/>
      <w:spacing w:before="120"/>
      <w:outlineLvl w:val="3"/>
    </w:pPr>
    <w:rPr>
      <w:rFonts w:ascii="Segoe UI" w:eastAsiaTheme="majorEastAsia" w:hAnsi="Segoe U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3EAD"/>
    <w:rPr>
      <w:rFonts w:ascii="Segoe UI" w:eastAsia="Arial" w:hAnsi="Segoe UI" w:cs="Segoe UI"/>
      <w:b/>
      <w:bCs/>
      <w:color w:val="034D6F"/>
      <w:sz w:val="30"/>
      <w:szCs w:val="30"/>
      <w:lang w:val="es-419"/>
    </w:rPr>
  </w:style>
  <w:style w:type="character" w:customStyle="1" w:styleId="Heading2Char">
    <w:name w:val="Heading 2 Char"/>
    <w:aliases w:val="MDPH Heading 2 Char"/>
    <w:basedOn w:val="DefaultParagraphFont"/>
    <w:link w:val="Heading2"/>
    <w:uiPriority w:val="9"/>
    <w:rsid w:val="00473EAD"/>
    <w:rPr>
      <w:rFonts w:ascii="Segoe UI" w:eastAsiaTheme="majorEastAsia" w:hAnsi="Segoe UI" w:cs="Segoe UI"/>
      <w:b/>
      <w:bCs/>
      <w:color w:val="4472C4" w:themeColor="accent1"/>
      <w:sz w:val="26"/>
      <w:szCs w:val="26"/>
      <w:lang w:val="es-419"/>
    </w:rPr>
  </w:style>
  <w:style w:type="character" w:customStyle="1" w:styleId="Heading3Char">
    <w:name w:val="Heading 3 Char"/>
    <w:aliases w:val="MDPH Heading 3 Char"/>
    <w:basedOn w:val="DefaultParagraphFont"/>
    <w:link w:val="Heading3"/>
    <w:uiPriority w:val="9"/>
    <w:rsid w:val="00473EAD"/>
    <w:rPr>
      <w:rFonts w:ascii="Segoe UI" w:eastAsia="Times New Roman" w:hAnsi="Segoe UI" w:cs="Segoe UI"/>
      <w:b/>
      <w:bCs/>
      <w:color w:val="2F5496" w:themeColor="accent1" w:themeShade="BF"/>
      <w:sz w:val="24"/>
      <w:lang w:val="es-419"/>
    </w:rPr>
  </w:style>
  <w:style w:type="character" w:customStyle="1" w:styleId="Heading4Char">
    <w:name w:val="Heading 4 Char"/>
    <w:aliases w:val="MDPH Heading 4 Char"/>
    <w:basedOn w:val="DefaultParagraphFont"/>
    <w:link w:val="Heading4"/>
    <w:uiPriority w:val="9"/>
    <w:rsid w:val="00473EAD"/>
    <w:rPr>
      <w:rFonts w:ascii="Segoe UI" w:eastAsiaTheme="majorEastAsia" w:hAnsi="Segoe UI" w:cstheme="majorBidi"/>
      <w:b/>
      <w:i/>
      <w:iCs/>
      <w:color w:val="000000" w:themeColor="text1"/>
      <w:lang w:val="es-419"/>
    </w:rPr>
  </w:style>
  <w:style w:type="paragraph" w:styleId="ListParagraph">
    <w:name w:val="List Paragraph"/>
    <w:basedOn w:val="Normal"/>
    <w:link w:val="ListParagraphChar"/>
    <w:uiPriority w:val="34"/>
    <w:qFormat/>
    <w:rsid w:val="00473EAD"/>
  </w:style>
  <w:style w:type="character" w:styleId="Hyperlink">
    <w:name w:val="Hyperlink"/>
    <w:basedOn w:val="DefaultParagraphFont"/>
    <w:uiPriority w:val="99"/>
    <w:unhideWhenUsed/>
    <w:rsid w:val="00473EAD"/>
    <w:rPr>
      <w:color w:val="0563C1" w:themeColor="hyperlink"/>
      <w:u w:val="single"/>
    </w:rPr>
  </w:style>
  <w:style w:type="paragraph" w:customStyle="1" w:styleId="MDPHParagraph">
    <w:name w:val="MDPH Paragraph"/>
    <w:basedOn w:val="Normal"/>
    <w:link w:val="MDPHParagraphChar"/>
    <w:uiPriority w:val="1"/>
    <w:qFormat/>
    <w:rsid w:val="00473EAD"/>
    <w:pPr>
      <w:spacing w:before="120" w:after="120"/>
      <w:ind w:right="-86"/>
    </w:pPr>
    <w:rPr>
      <w:rFonts w:ascii="Segoe UI" w:eastAsia="Arial" w:hAnsi="Segoe UI" w:cs="Segoe UI"/>
    </w:rPr>
  </w:style>
  <w:style w:type="paragraph" w:customStyle="1" w:styleId="MDPHBullet">
    <w:name w:val="MDPH Bullet"/>
    <w:basedOn w:val="ListParagraph"/>
    <w:link w:val="MDPHBulletChar"/>
    <w:uiPriority w:val="1"/>
    <w:qFormat/>
    <w:rsid w:val="00473EAD"/>
    <w:pPr>
      <w:numPr>
        <w:numId w:val="10"/>
      </w:numPr>
      <w:ind w:right="-90"/>
    </w:pPr>
    <w:rPr>
      <w:rFonts w:ascii="Segoe UI" w:eastAsia="Arial" w:hAnsi="Segoe UI" w:cs="Segoe UI"/>
    </w:rPr>
  </w:style>
  <w:style w:type="character" w:customStyle="1" w:styleId="MDPHParagraphChar">
    <w:name w:val="MDPH Paragraph Char"/>
    <w:basedOn w:val="DefaultParagraphFont"/>
    <w:link w:val="MDPHParagraph"/>
    <w:uiPriority w:val="1"/>
    <w:rsid w:val="00473EAD"/>
    <w:rPr>
      <w:rFonts w:ascii="Segoe UI" w:eastAsia="Arial" w:hAnsi="Segoe UI" w:cs="Segoe UI"/>
      <w:lang w:val="es-419"/>
    </w:rPr>
  </w:style>
  <w:style w:type="character" w:customStyle="1" w:styleId="ListParagraphChar">
    <w:name w:val="List Paragraph Char"/>
    <w:basedOn w:val="DefaultParagraphFont"/>
    <w:link w:val="ListParagraph"/>
    <w:uiPriority w:val="34"/>
    <w:rsid w:val="00473EAD"/>
    <w:rPr>
      <w:lang w:val="es-419"/>
    </w:rPr>
  </w:style>
  <w:style w:type="character" w:customStyle="1" w:styleId="MDPHBulletChar">
    <w:name w:val="MDPH Bullet Char"/>
    <w:basedOn w:val="ListParagraphChar"/>
    <w:link w:val="MDPHBullet"/>
    <w:uiPriority w:val="1"/>
    <w:rsid w:val="00473EAD"/>
    <w:rPr>
      <w:rFonts w:ascii="Segoe UI" w:eastAsia="Arial" w:hAnsi="Segoe UI" w:cs="Segoe UI"/>
      <w:lang w:val="es-419"/>
    </w:rPr>
  </w:style>
  <w:style w:type="paragraph" w:styleId="EndnoteText">
    <w:name w:val="endnote text"/>
    <w:basedOn w:val="Normal"/>
    <w:link w:val="EndnoteTextChar"/>
    <w:uiPriority w:val="99"/>
    <w:unhideWhenUsed/>
    <w:rsid w:val="00473EAD"/>
    <w:rPr>
      <w:sz w:val="20"/>
      <w:szCs w:val="20"/>
    </w:rPr>
  </w:style>
  <w:style w:type="character" w:customStyle="1" w:styleId="EndnoteTextChar">
    <w:name w:val="Endnote Text Char"/>
    <w:basedOn w:val="DefaultParagraphFont"/>
    <w:link w:val="EndnoteText"/>
    <w:uiPriority w:val="99"/>
    <w:rsid w:val="00473EAD"/>
    <w:rPr>
      <w:sz w:val="20"/>
      <w:szCs w:val="20"/>
      <w:lang w:val="es-419"/>
    </w:rPr>
  </w:style>
  <w:style w:type="character" w:styleId="EndnoteReference">
    <w:name w:val="endnote reference"/>
    <w:basedOn w:val="DefaultParagraphFont"/>
    <w:uiPriority w:val="99"/>
    <w:semiHidden/>
    <w:unhideWhenUsed/>
    <w:rsid w:val="00473EAD"/>
    <w:rPr>
      <w:vertAlign w:val="superscript"/>
    </w:rPr>
  </w:style>
  <w:style w:type="paragraph" w:styleId="Header">
    <w:name w:val="header"/>
    <w:basedOn w:val="Normal"/>
    <w:link w:val="HeaderChar"/>
    <w:uiPriority w:val="99"/>
    <w:unhideWhenUsed/>
    <w:rsid w:val="00473EAD"/>
    <w:pPr>
      <w:tabs>
        <w:tab w:val="center" w:pos="4680"/>
        <w:tab w:val="right" w:pos="9360"/>
      </w:tabs>
    </w:pPr>
  </w:style>
  <w:style w:type="character" w:customStyle="1" w:styleId="HeaderChar">
    <w:name w:val="Header Char"/>
    <w:basedOn w:val="DefaultParagraphFont"/>
    <w:link w:val="Header"/>
    <w:uiPriority w:val="99"/>
    <w:rsid w:val="00473EAD"/>
    <w:rPr>
      <w:lang w:val="es-419"/>
    </w:rPr>
  </w:style>
  <w:style w:type="paragraph" w:styleId="Footer">
    <w:name w:val="footer"/>
    <w:basedOn w:val="Normal"/>
    <w:link w:val="FooterChar"/>
    <w:uiPriority w:val="99"/>
    <w:unhideWhenUsed/>
    <w:rsid w:val="00473EAD"/>
    <w:pPr>
      <w:tabs>
        <w:tab w:val="center" w:pos="4680"/>
        <w:tab w:val="right" w:pos="9360"/>
      </w:tabs>
    </w:pPr>
  </w:style>
  <w:style w:type="character" w:customStyle="1" w:styleId="FooterChar">
    <w:name w:val="Footer Char"/>
    <w:basedOn w:val="DefaultParagraphFont"/>
    <w:link w:val="Footer"/>
    <w:uiPriority w:val="99"/>
    <w:rsid w:val="00473EAD"/>
    <w:rPr>
      <w:lang w:val="es-419"/>
    </w:rPr>
  </w:style>
  <w:style w:type="table" w:styleId="TableGrid">
    <w:name w:val="Table Grid"/>
    <w:basedOn w:val="TableNormal"/>
    <w:uiPriority w:val="59"/>
    <w:unhideWhenUsed/>
    <w:rsid w:val="00473EAD"/>
    <w:pPr>
      <w:widowControl w:val="0"/>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cssnow.org/mentoring/" TargetMode="External"/><Relationship Id="rId18" Type="http://schemas.openxmlformats.org/officeDocument/2006/relationships/hyperlink" Target="http://www.smartrecovery.org/" TargetMode="External"/><Relationship Id="rId26" Type="http://schemas.openxmlformats.org/officeDocument/2006/relationships/hyperlink" Target="https://dpt2.samhsa.gov/treatment/directory.aspx" TargetMode="External"/><Relationship Id="rId39" Type="http://schemas.openxmlformats.org/officeDocument/2006/relationships/hyperlink" Target="https://www.mass.gov/info-details/peer-recovery-support-centers" TargetMode="External"/><Relationship Id="rId21" Type="http://schemas.openxmlformats.org/officeDocument/2006/relationships/hyperlink" Target="https://www.recoverybinder.org/resources/recovery-support-centers" TargetMode="External"/><Relationship Id="rId34" Type="http://schemas.openxmlformats.org/officeDocument/2006/relationships/hyperlink" Target="https://findtreatment.samhsa.gov/locator" TargetMode="External"/><Relationship Id="rId42" Type="http://schemas.openxmlformats.org/officeDocument/2006/relationships/fontTable" Target="fontTable.xml"/><Relationship Id="rId7" Type="http://schemas.openxmlformats.org/officeDocument/2006/relationships/hyperlink" Target="https://dpt2.samhsa.gov/treatment/directory.aspx" TargetMode="External"/><Relationship Id="rId2" Type="http://schemas.openxmlformats.org/officeDocument/2006/relationships/styles" Target="styles.xml"/><Relationship Id="rId16" Type="http://schemas.openxmlformats.org/officeDocument/2006/relationships/hyperlink" Target="https://nerna.org/" TargetMode="External"/><Relationship Id="rId20" Type="http://schemas.openxmlformats.org/officeDocument/2006/relationships/hyperlink" Target="https://www.moar-recovery.org/join-moar" TargetMode="External"/><Relationship Id="rId29" Type="http://schemas.openxmlformats.org/officeDocument/2006/relationships/hyperlink" Target="https://www.safeproject.us/playbook/"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linema.org/" TargetMode="External"/><Relationship Id="rId24" Type="http://schemas.openxmlformats.org/officeDocument/2006/relationships/hyperlink" Target="https://helplinema.org/?lang=es" TargetMode="External"/><Relationship Id="rId32" Type="http://schemas.openxmlformats.org/officeDocument/2006/relationships/hyperlink" Target="http://www.gavinfoundation.org/programs/devine-recovery-center" TargetMode="External"/><Relationship Id="rId37" Type="http://schemas.openxmlformats.org/officeDocument/2006/relationships/hyperlink" Target="https://www.smartrecovery.or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hhs.gov/opioids/sites/default/files/2018-09/hhs-telemedicine-dea-final-508compliant.pdf" TargetMode="External"/><Relationship Id="rId23" Type="http://schemas.openxmlformats.org/officeDocument/2006/relationships/hyperlink" Target="https://helplinema.org/" TargetMode="External"/><Relationship Id="rId28" Type="http://schemas.openxmlformats.org/officeDocument/2006/relationships/hyperlink" Target="https://rizema.org/resources/" TargetMode="External"/><Relationship Id="rId36" Type="http://schemas.openxmlformats.org/officeDocument/2006/relationships/hyperlink" Target="https://www.nar-anon.org/find-a-meeting" TargetMode="External"/><Relationship Id="rId10" Type="http://schemas.openxmlformats.org/officeDocument/2006/relationships/hyperlink" Target="https://findtreatment.samhsa.gov/locator" TargetMode="External"/><Relationship Id="rId19" Type="http://schemas.openxmlformats.org/officeDocument/2006/relationships/hyperlink" Target="http://draonline.qwknetllc.com/index.html" TargetMode="External"/><Relationship Id="rId31" Type="http://schemas.openxmlformats.org/officeDocument/2006/relationships/hyperlink" Target="https://www.samhsa.gov/find-help/national-helpline" TargetMode="External"/><Relationship Id="rId4" Type="http://schemas.openxmlformats.org/officeDocument/2006/relationships/webSettings" Target="webSettings.xml"/><Relationship Id="rId9" Type="http://schemas.openxmlformats.org/officeDocument/2006/relationships/hyperlink" Target="https://pcssnow.org/medications-for-opioid-use-disorder/waiver-training-for-physicians/" TargetMode="External"/><Relationship Id="rId14" Type="http://schemas.openxmlformats.org/officeDocument/2006/relationships/hyperlink" Target="https://www.hhs.gov/opioids/sites/default/files/2018-09/hhs-telemedicine-hhs-statement-final-508compliant.pdf" TargetMode="External"/><Relationship Id="rId22" Type="http://schemas.openxmlformats.org/officeDocument/2006/relationships/hyperlink" Target="https://thephoenix.org/about-us/" TargetMode="External"/><Relationship Id="rId27" Type="http://schemas.openxmlformats.org/officeDocument/2006/relationships/hyperlink" Target="https://www.mass.gov/files/documents/2019/05/28/TeleBH%20brief_final.pdf" TargetMode="External"/><Relationship Id="rId30" Type="http://schemas.openxmlformats.org/officeDocument/2006/relationships/hyperlink" Target="http://www.na.org/admin/include/spaw2/uploads/pdf/pr/2306_NA_PRMAT_1021.pdf" TargetMode="External"/><Relationship Id="rId35" Type="http://schemas.openxmlformats.org/officeDocument/2006/relationships/hyperlink" Target="https://nerna.org/" TargetMode="External"/><Relationship Id="rId43" Type="http://schemas.openxmlformats.org/officeDocument/2006/relationships/theme" Target="theme/theme1.xml"/><Relationship Id="rId8" Type="http://schemas.openxmlformats.org/officeDocument/2006/relationships/hyperlink" Target="https://www.bmcobat.org/training/register/" TargetMode="External"/><Relationship Id="rId3" Type="http://schemas.openxmlformats.org/officeDocument/2006/relationships/settings" Target="settings.xml"/><Relationship Id="rId12" Type="http://schemas.openxmlformats.org/officeDocument/2006/relationships/hyperlink" Target="https://echo.unm.edu/" TargetMode="External"/><Relationship Id="rId17" Type="http://schemas.openxmlformats.org/officeDocument/2006/relationships/hyperlink" Target="https://www.nar-anon.org/find-a-group" TargetMode="External"/><Relationship Id="rId25" Type="http://schemas.openxmlformats.org/officeDocument/2006/relationships/hyperlink" Target="https://store.samhsa.gov/product/Federal-Guidelines-for-Opioid-Treatment-Programs/PEP15-FEDGUIDEOTP" TargetMode="External"/><Relationship Id="rId33" Type="http://schemas.openxmlformats.org/officeDocument/2006/relationships/hyperlink" Target="https://dpt2.samhsa.gov/treatment/directory.aspx" TargetMode="External"/><Relationship Id="rId38" Type="http://schemas.openxmlformats.org/officeDocument/2006/relationships/hyperlink" Target="http://draonline.qwknetllc.com/l"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samhsa.gov/sites/default/files/faqs-for-oud-prescribing-and-dispensing.pdf" TargetMode="External"/><Relationship Id="rId18" Type="http://schemas.openxmlformats.org/officeDocument/2006/relationships/hyperlink" Target="https://www.mass.gov/files/documents/2019/01/23/managed-care-entity-10.pdf" TargetMode="External"/><Relationship Id="rId26" Type="http://schemas.openxmlformats.org/officeDocument/2006/relationships/hyperlink" Target="https://www.nar-anon.org/naranon/" TargetMode="External"/><Relationship Id="rId39" Type="http://schemas.openxmlformats.org/officeDocument/2006/relationships/hyperlink" Target="https://store.samhsa.gov/product/Federal-Guidelines-for-Opioid-Treatment-Programs/PEP15-FEDGUIDEOTP" TargetMode="External"/><Relationship Id="rId21" Type="http://schemas.openxmlformats.org/officeDocument/2006/relationships/hyperlink" Target="https://pcssnow.org/mentoring/" TargetMode="External"/><Relationship Id="rId34" Type="http://schemas.openxmlformats.org/officeDocument/2006/relationships/hyperlink" Target="https://ipfcc.org/bestpractices/opioid-epidemic/IPFCC_Opioid_White_Paper.pdf" TargetMode="External"/><Relationship Id="rId42" Type="http://schemas.openxmlformats.org/officeDocument/2006/relationships/hyperlink" Target="https://rizema.org/resources/" TargetMode="External"/><Relationship Id="rId7" Type="http://schemas.openxmlformats.org/officeDocument/2006/relationships/hyperlink" Target="https://www.samhsa.gov/bupe/lookup-form" TargetMode="External"/><Relationship Id="rId2" Type="http://schemas.openxmlformats.org/officeDocument/2006/relationships/hyperlink" Target="https://search.mass.gov/?_ga=2.254905544.1385348170.1624814791-1677852464.1614185120&amp;page=1&amp;q=OTP%20SAMHSA%20blanket%20waiver" TargetMode="External"/><Relationship Id="rId16" Type="http://schemas.openxmlformats.org/officeDocument/2006/relationships/hyperlink" Target="https://mhealthintelligence.com/news/reimbursement-barriers-still-plague-telemental-health-expansion" TargetMode="External"/><Relationship Id="rId29" Type="http://schemas.openxmlformats.org/officeDocument/2006/relationships/hyperlink" Target="https://www.moar-recovery.org/resources" TargetMode="External"/><Relationship Id="rId1" Type="http://schemas.openxmlformats.org/officeDocument/2006/relationships/hyperlink" Target="https://store.samhsa.gov/product/TIP-63-Medications-for-Opioid-Use-Disorder-Full-Document-Including-Executive-Summary-and-Parts-1-5-/SMA19-5063FULLDOC" TargetMode="External"/><Relationship Id="rId6" Type="http://schemas.openxmlformats.org/officeDocument/2006/relationships/hyperlink" Target="https://www.samhsa.gov/medication-assisted-treatment/training-materials-resources/practitioner-program-data" TargetMode="External"/><Relationship Id="rId11" Type="http://schemas.openxmlformats.org/officeDocument/2006/relationships/hyperlink" Target="https://www.mass.gov/files/documents/2019/01/23/all-provider-bulletin-281.pdf" TargetMode="External"/><Relationship Id="rId24" Type="http://schemas.openxmlformats.org/officeDocument/2006/relationships/hyperlink" Target="http://www.na-wt.org/blog/my-story" TargetMode="External"/><Relationship Id="rId32" Type="http://schemas.openxmlformats.org/officeDocument/2006/relationships/hyperlink" Target="https://www.ncbi.nlm.nih.gov/pmc/articles/PMC4121958/" TargetMode="External"/><Relationship Id="rId37" Type="http://schemas.openxmlformats.org/officeDocument/2006/relationships/hyperlink" Target="http://www.hopkinsmedicine.org/community_health_partnership/share_your_journey_stories.html" TargetMode="External"/><Relationship Id="rId40" Type="http://schemas.openxmlformats.org/officeDocument/2006/relationships/hyperlink" Target="https://dpt2.samhsa.gov/treatment/directory.aspx" TargetMode="External"/><Relationship Id="rId45" Type="http://schemas.openxmlformats.org/officeDocument/2006/relationships/hyperlink" Target="https://www.samhsa.gov/find-help/national-helpline" TargetMode="External"/><Relationship Id="rId5" Type="http://schemas.openxmlformats.org/officeDocument/2006/relationships/hyperlink" Target="https://www.ihs.gov/opioids/recovery/obot/" TargetMode="External"/><Relationship Id="rId15" Type="http://schemas.openxmlformats.org/officeDocument/2006/relationships/hyperlink" Target="https://mhealthintelligence.com/news/telemedicine-helps-snfs-connect-patients-to-mental-health-services" TargetMode="External"/><Relationship Id="rId23" Type="http://schemas.openxmlformats.org/officeDocument/2006/relationships/hyperlink" Target="https://www.samhsa.gov/find-help/national-helpline" TargetMode="External"/><Relationship Id="rId28" Type="http://schemas.openxmlformats.org/officeDocument/2006/relationships/hyperlink" Target="http://draonline.qwknetllc.com/index.html" TargetMode="External"/><Relationship Id="rId36" Type="http://schemas.openxmlformats.org/officeDocument/2006/relationships/hyperlink" Target="https://www.ncbi.nlm.nih.gov/books/NBK402352/pdf/Bookshelf_NBK402352.pdf" TargetMode="External"/><Relationship Id="rId10" Type="http://schemas.openxmlformats.org/officeDocument/2006/relationships/hyperlink" Target="https://www.samhsa.gov/find-help/national-helpline" TargetMode="External"/><Relationship Id="rId19" Type="http://schemas.openxmlformats.org/officeDocument/2006/relationships/hyperlink" Target="https://www.mass.gov/files/documents/2019/05/28/TeleBH%20brief_final.pdf" TargetMode="External"/><Relationship Id="rId31" Type="http://schemas.openxmlformats.org/officeDocument/2006/relationships/hyperlink" Target="https://thephoenix.org/about-us/" TargetMode="External"/><Relationship Id="rId44" Type="http://schemas.openxmlformats.org/officeDocument/2006/relationships/hyperlink" Target="http://www.na.org/admin/include/spaw2/uploads/pdf/pr/2306_NA_PRMAT_1021.pdf" TargetMode="External"/><Relationship Id="rId4" Type="http://schemas.openxmlformats.org/officeDocument/2006/relationships/hyperlink" Target="https://www.ecfr.gov/" TargetMode="External"/><Relationship Id="rId9" Type="http://schemas.openxmlformats.org/officeDocument/2006/relationships/hyperlink" Target="https://helplinema.org/" TargetMode="External"/><Relationship Id="rId14" Type="http://schemas.openxmlformats.org/officeDocument/2006/relationships/hyperlink" Target="https://www.hhs.gov/opioids/sites/default/files/2018-09/hhs-telemedicine-dea-final-508compliant.pdf" TargetMode="External"/><Relationship Id="rId22" Type="http://schemas.openxmlformats.org/officeDocument/2006/relationships/hyperlink" Target="https://helplinema.org/" TargetMode="External"/><Relationship Id="rId27" Type="http://schemas.openxmlformats.org/officeDocument/2006/relationships/hyperlink" Target="https://www.smartrecovery.org/" TargetMode="External"/><Relationship Id="rId30" Type="http://schemas.openxmlformats.org/officeDocument/2006/relationships/hyperlink" Target="https://www.recoverybinder.org/resources/recovery-support-centers" TargetMode="External"/><Relationship Id="rId35" Type="http://schemas.openxmlformats.org/officeDocument/2006/relationships/hyperlink" Target="https://www.nhlbi.nih.gov/health/educational/healthdisp/role-of-community-health-workers.htm" TargetMode="External"/><Relationship Id="rId43" Type="http://schemas.openxmlformats.org/officeDocument/2006/relationships/hyperlink" Target="https://www.safeproject.us/playbook/" TargetMode="External"/><Relationship Id="rId8" Type="http://schemas.openxmlformats.org/officeDocument/2006/relationships/hyperlink" Target="https://findtreatment.samhsa.gov/locator" TargetMode="External"/><Relationship Id="rId3" Type="http://schemas.openxmlformats.org/officeDocument/2006/relationships/hyperlink" Target="https://dpt2.samhsa.gov/treatment/directory.aspx" TargetMode="External"/><Relationship Id="rId12" Type="http://schemas.openxmlformats.org/officeDocument/2006/relationships/hyperlink" Target="https://s3.amazonaws.com/public-inspection.federalregister.gov/2019-06822.pdf" TargetMode="External"/><Relationship Id="rId17" Type="http://schemas.openxmlformats.org/officeDocument/2006/relationships/hyperlink" Target="https://www.mass.gov/files/documents/2019/01/23/all-provider-bulletin-281.pdf" TargetMode="External"/><Relationship Id="rId25" Type="http://schemas.openxmlformats.org/officeDocument/2006/relationships/hyperlink" Target="https://nerna.org/" TargetMode="External"/><Relationship Id="rId33" Type="http://schemas.openxmlformats.org/officeDocument/2006/relationships/hyperlink" Target="http://www.patientnavigatortraining.org/course1/module3/roles.htm" TargetMode="External"/><Relationship Id="rId38" Type="http://schemas.openxmlformats.org/officeDocument/2006/relationships/hyperlink" Target="https://helplinema.org/?lang=es" TargetMode="External"/><Relationship Id="rId46" Type="http://schemas.openxmlformats.org/officeDocument/2006/relationships/hyperlink" Target="http://www.gavinfoundation.org/programs/devine-recovery-center" TargetMode="External"/><Relationship Id="rId20" Type="http://schemas.openxmlformats.org/officeDocument/2006/relationships/hyperlink" Target="https://echo.unm.edu/" TargetMode="External"/><Relationship Id="rId41" Type="http://schemas.openxmlformats.org/officeDocument/2006/relationships/hyperlink" Target="https://www.mass.gov/files/documents/2019/05/28/TeleBH%20brief_final.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3484</Words>
  <Characters>19863</Characters>
  <Application>Microsoft Office Word</Application>
  <DocSecurity>0</DocSecurity>
  <Lines>165</Lines>
  <Paragraphs>46</Paragraphs>
  <ScaleCrop>false</ScaleCrop>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 Adriana (DPH)</dc:creator>
  <cp:keywords/>
  <dc:description/>
  <cp:lastModifiedBy>Tejada, Adriana (DPH)</cp:lastModifiedBy>
  <cp:revision>1</cp:revision>
  <dcterms:created xsi:type="dcterms:W3CDTF">2023-05-01T16:56:00Z</dcterms:created>
  <dcterms:modified xsi:type="dcterms:W3CDTF">2023-05-01T16:59:00Z</dcterms:modified>
</cp:coreProperties>
</file>