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A6EA" w14:textId="77777777" w:rsidR="007828DD" w:rsidRDefault="00B13EA6">
      <w:pPr>
        <w:spacing w:before="79"/>
        <w:ind w:left="7193" w:right="114" w:hanging="802"/>
        <w:jc w:val="both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C3A714" wp14:editId="73C3A715">
            <wp:simplePos x="0" y="0"/>
            <wp:positionH relativeFrom="page">
              <wp:posOffset>685800</wp:posOffset>
            </wp:positionH>
            <wp:positionV relativeFrom="paragraph">
              <wp:posOffset>50319</wp:posOffset>
            </wp:positionV>
            <wp:extent cx="1721485" cy="775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2D3092"/>
        </w:rPr>
        <w:t>The</w:t>
      </w:r>
      <w:r>
        <w:rPr>
          <w:rFonts w:ascii="Cambria"/>
          <w:b/>
          <w:color w:val="2D3092"/>
          <w:spacing w:val="-13"/>
        </w:rPr>
        <w:t xml:space="preserve"> </w:t>
      </w:r>
      <w:r>
        <w:rPr>
          <w:rFonts w:ascii="Cambria"/>
          <w:b/>
          <w:color w:val="2D3092"/>
        </w:rPr>
        <w:t>Commonwealth</w:t>
      </w:r>
      <w:r>
        <w:rPr>
          <w:rFonts w:ascii="Cambria"/>
          <w:b/>
          <w:color w:val="2D3092"/>
          <w:spacing w:val="-11"/>
        </w:rPr>
        <w:t xml:space="preserve"> </w:t>
      </w:r>
      <w:r>
        <w:rPr>
          <w:rFonts w:ascii="Cambria"/>
          <w:b/>
          <w:color w:val="2D3092"/>
        </w:rPr>
        <w:t>of</w:t>
      </w:r>
      <w:r>
        <w:rPr>
          <w:rFonts w:ascii="Cambria"/>
          <w:b/>
          <w:color w:val="2D3092"/>
          <w:spacing w:val="-12"/>
        </w:rPr>
        <w:t xml:space="preserve"> </w:t>
      </w:r>
      <w:r>
        <w:rPr>
          <w:rFonts w:ascii="Cambria"/>
          <w:b/>
          <w:color w:val="2D3092"/>
        </w:rPr>
        <w:t>Massachusetts Operational</w:t>
      </w:r>
      <w:r>
        <w:rPr>
          <w:rFonts w:ascii="Cambria"/>
          <w:b/>
          <w:color w:val="2D3092"/>
          <w:spacing w:val="-13"/>
        </w:rPr>
        <w:t xml:space="preserve"> </w:t>
      </w:r>
      <w:r>
        <w:rPr>
          <w:rFonts w:ascii="Cambria"/>
          <w:b/>
          <w:color w:val="2D3092"/>
        </w:rPr>
        <w:t>Services</w:t>
      </w:r>
      <w:r>
        <w:rPr>
          <w:rFonts w:ascii="Cambria"/>
          <w:b/>
          <w:color w:val="2D3092"/>
          <w:spacing w:val="-12"/>
        </w:rPr>
        <w:t xml:space="preserve"> </w:t>
      </w:r>
      <w:r>
        <w:rPr>
          <w:rFonts w:ascii="Cambria"/>
          <w:b/>
          <w:color w:val="2D3092"/>
        </w:rPr>
        <w:t>Division Office</w:t>
      </w:r>
      <w:r>
        <w:rPr>
          <w:rFonts w:ascii="Cambria"/>
          <w:b/>
          <w:color w:val="2D3092"/>
          <w:spacing w:val="-4"/>
        </w:rPr>
        <w:t xml:space="preserve"> </w:t>
      </w:r>
      <w:r>
        <w:rPr>
          <w:rFonts w:ascii="Cambria"/>
          <w:b/>
          <w:color w:val="2D3092"/>
        </w:rPr>
        <w:t>of</w:t>
      </w:r>
      <w:r>
        <w:rPr>
          <w:rFonts w:ascii="Cambria"/>
          <w:b/>
          <w:color w:val="2D3092"/>
          <w:spacing w:val="-3"/>
        </w:rPr>
        <w:t xml:space="preserve"> </w:t>
      </w:r>
      <w:r>
        <w:rPr>
          <w:rFonts w:ascii="Cambria"/>
          <w:b/>
          <w:color w:val="2D3092"/>
        </w:rPr>
        <w:t>Vehicle</w:t>
      </w:r>
      <w:r>
        <w:rPr>
          <w:rFonts w:ascii="Cambria"/>
          <w:b/>
          <w:color w:val="2D3092"/>
          <w:spacing w:val="-6"/>
        </w:rPr>
        <w:t xml:space="preserve"> </w:t>
      </w:r>
      <w:r>
        <w:rPr>
          <w:rFonts w:ascii="Cambria"/>
          <w:b/>
          <w:color w:val="2D3092"/>
          <w:spacing w:val="-2"/>
        </w:rPr>
        <w:t>Management</w:t>
      </w:r>
    </w:p>
    <w:p w14:paraId="73C3A6EB" w14:textId="74A7C766" w:rsidR="007828DD" w:rsidRDefault="00B13EA6">
      <w:pPr>
        <w:pStyle w:val="Title"/>
      </w:pPr>
      <w:r>
        <w:t>Tires</w:t>
      </w:r>
      <w:r>
        <w:rPr>
          <w:spacing w:val="-1"/>
        </w:rPr>
        <w:t xml:space="preserve"> </w:t>
      </w:r>
      <w:r>
        <w:rPr>
          <w:spacing w:val="-2"/>
        </w:rPr>
        <w:t>Overview</w:t>
      </w:r>
    </w:p>
    <w:p w14:paraId="73C3A6EC" w14:textId="77777777" w:rsidR="007828DD" w:rsidRDefault="007828DD">
      <w:pPr>
        <w:pStyle w:val="BodyText"/>
        <w:rPr>
          <w:rFonts w:ascii="Cambria"/>
          <w:b/>
          <w:sz w:val="20"/>
        </w:rPr>
      </w:pPr>
    </w:p>
    <w:p w14:paraId="73C3A6ED" w14:textId="77777777" w:rsidR="007828DD" w:rsidRDefault="007828DD">
      <w:pPr>
        <w:pStyle w:val="BodyText"/>
        <w:spacing w:before="2"/>
        <w:rPr>
          <w:rFonts w:ascii="Cambria"/>
          <w:b/>
          <w:sz w:val="25"/>
        </w:rPr>
      </w:pPr>
    </w:p>
    <w:p w14:paraId="22A60A51" w14:textId="56E67CDF" w:rsidR="00E42E9A" w:rsidRDefault="00E42E9A">
      <w:pPr>
        <w:pStyle w:val="BodyText"/>
        <w:spacing w:before="4"/>
        <w:rPr>
          <w:sz w:val="25"/>
        </w:rPr>
      </w:pPr>
    </w:p>
    <w:p w14:paraId="635160BC" w14:textId="77777777" w:rsidR="00E42E9A" w:rsidRDefault="00E42E9A">
      <w:pPr>
        <w:pStyle w:val="BodyText"/>
        <w:spacing w:before="4"/>
        <w:rPr>
          <w:sz w:val="25"/>
        </w:rPr>
      </w:pPr>
    </w:p>
    <w:p w14:paraId="73C3A700" w14:textId="2DEC2785" w:rsidR="007828DD" w:rsidRDefault="00B13EA6">
      <w:pPr>
        <w:pStyle w:val="BodyText"/>
        <w:spacing w:line="276" w:lineRule="auto"/>
        <w:ind w:left="100" w:right="205"/>
      </w:pPr>
      <w:r>
        <w:rPr>
          <w:b/>
        </w:rPr>
        <w:t>Tires:</w:t>
      </w:r>
      <w:r>
        <w:rPr>
          <w:b/>
          <w:spacing w:val="40"/>
        </w:rPr>
        <w:t xml:space="preserve"> </w:t>
      </w:r>
      <w:r>
        <w:t>Tire repair and replacement is handled by vendors on Statewide Contract VEH109 Tires, Tubes and Services (currently Goodyear and</w:t>
      </w:r>
      <w:r>
        <w:rPr>
          <w:spacing w:val="-2"/>
        </w:rPr>
        <w:t xml:space="preserve"> </w:t>
      </w:r>
      <w:r>
        <w:t>Bridgestone</w:t>
      </w:r>
      <w:r w:rsidR="006B443E">
        <w:t>/Firestone</w:t>
      </w:r>
      <w:r>
        <w:t>).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tires,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dealer.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dealers</w:t>
      </w:r>
      <w:r>
        <w:rPr>
          <w:spacing w:val="-6"/>
        </w:rPr>
        <w:t xml:space="preserve"> </w:t>
      </w:r>
      <w:r>
        <w:t>may be found within the corresponding MBPO:</w:t>
      </w:r>
    </w:p>
    <w:p w14:paraId="73C3A701" w14:textId="77777777" w:rsidR="007828DD" w:rsidRDefault="007828DD">
      <w:pPr>
        <w:pStyle w:val="BodyText"/>
        <w:spacing w:before="2"/>
        <w:rPr>
          <w:sz w:val="25"/>
        </w:rPr>
      </w:pPr>
    </w:p>
    <w:p w14:paraId="73C3A702" w14:textId="77777777" w:rsidR="007828DD" w:rsidRDefault="00B13EA6">
      <w:pPr>
        <w:pStyle w:val="BodyText"/>
        <w:spacing w:after="2" w:line="276" w:lineRule="auto"/>
        <w:ind w:left="100" w:right="205"/>
      </w:pP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VEH109</w:t>
      </w:r>
      <w:r>
        <w:rPr>
          <w:spacing w:val="-3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Blanket</w:t>
      </w:r>
      <w:r>
        <w:rPr>
          <w:spacing w:val="-4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(MBPO)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Guide (CUG) within COMMBUYS: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203"/>
        <w:gridCol w:w="3025"/>
        <w:gridCol w:w="2286"/>
      </w:tblGrid>
      <w:tr w:rsidR="007828DD" w14:paraId="73C3A707" w14:textId="77777777">
        <w:trPr>
          <w:trHeight w:val="338"/>
        </w:trPr>
        <w:tc>
          <w:tcPr>
            <w:tcW w:w="1579" w:type="dxa"/>
            <w:shd w:val="clear" w:color="auto" w:fill="9E3938"/>
          </w:tcPr>
          <w:p w14:paraId="73C3A703" w14:textId="77777777" w:rsidR="007828DD" w:rsidRDefault="00B13EA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Contract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ID#</w:t>
            </w:r>
          </w:p>
        </w:tc>
        <w:tc>
          <w:tcPr>
            <w:tcW w:w="2203" w:type="dxa"/>
            <w:shd w:val="clear" w:color="auto" w:fill="9E3938"/>
          </w:tcPr>
          <w:p w14:paraId="73C3A704" w14:textId="77777777" w:rsidR="007828DD" w:rsidRDefault="00B13EA6">
            <w:pPr>
              <w:pStyle w:val="TableParagraph"/>
              <w:ind w:left="32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025" w:type="dxa"/>
            <w:shd w:val="clear" w:color="auto" w:fill="9E3938"/>
          </w:tcPr>
          <w:p w14:paraId="73C3A705" w14:textId="77777777" w:rsidR="007828DD" w:rsidRDefault="00B13EA6">
            <w:pPr>
              <w:pStyle w:val="TableParagraph"/>
              <w:ind w:left="826"/>
              <w:rPr>
                <w:b/>
              </w:rPr>
            </w:pPr>
            <w:r>
              <w:rPr>
                <w:b/>
                <w:color w:val="FFFFFF"/>
              </w:rPr>
              <w:t>MBPO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Links</w:t>
            </w:r>
          </w:p>
        </w:tc>
        <w:tc>
          <w:tcPr>
            <w:tcW w:w="2286" w:type="dxa"/>
            <w:shd w:val="clear" w:color="auto" w:fill="9E3938"/>
          </w:tcPr>
          <w:p w14:paraId="73C3A706" w14:textId="77777777" w:rsidR="007828DD" w:rsidRDefault="00B13EA6">
            <w:pPr>
              <w:pStyle w:val="TableParagraph"/>
              <w:ind w:left="501"/>
              <w:rPr>
                <w:b/>
              </w:rPr>
            </w:pPr>
            <w:r>
              <w:rPr>
                <w:b/>
                <w:color w:val="FFFFFF"/>
              </w:rPr>
              <w:t>CUG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Link</w:t>
            </w:r>
          </w:p>
        </w:tc>
      </w:tr>
      <w:tr w:rsidR="007828DD" w14:paraId="73C3A70D" w14:textId="77777777">
        <w:trPr>
          <w:trHeight w:val="537"/>
        </w:trPr>
        <w:tc>
          <w:tcPr>
            <w:tcW w:w="1579" w:type="dxa"/>
            <w:shd w:val="clear" w:color="auto" w:fill="DBE4F0"/>
          </w:tcPr>
          <w:p w14:paraId="73C3A708" w14:textId="77777777" w:rsidR="007828DD" w:rsidRDefault="00B13EA6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VEH109</w:t>
            </w:r>
          </w:p>
        </w:tc>
        <w:tc>
          <w:tcPr>
            <w:tcW w:w="2203" w:type="dxa"/>
            <w:shd w:val="clear" w:color="auto" w:fill="DBE4F0"/>
          </w:tcPr>
          <w:p w14:paraId="73C3A709" w14:textId="77777777" w:rsidR="007828DD" w:rsidRDefault="00B13EA6">
            <w:pPr>
              <w:pStyle w:val="TableParagraph"/>
              <w:ind w:left="328"/>
            </w:pPr>
            <w:r>
              <w:rPr>
                <w:spacing w:val="-2"/>
              </w:rPr>
              <w:t>Tires</w:t>
            </w:r>
          </w:p>
        </w:tc>
        <w:tc>
          <w:tcPr>
            <w:tcW w:w="3025" w:type="dxa"/>
            <w:shd w:val="clear" w:color="auto" w:fill="DBE4F0"/>
          </w:tcPr>
          <w:p w14:paraId="73C3A70A" w14:textId="77777777" w:rsidR="007828DD" w:rsidRDefault="00A0384E">
            <w:pPr>
              <w:pStyle w:val="TableParagraph"/>
              <w:ind w:left="826"/>
            </w:pPr>
            <w:hyperlink r:id="rId6">
              <w:r w:rsidR="00B13EA6">
                <w:rPr>
                  <w:color w:val="0000FF"/>
                  <w:u w:val="single" w:color="0000FF"/>
                </w:rPr>
                <w:t>Bridgestone</w:t>
              </w:r>
              <w:r w:rsidR="00B13EA6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 w:rsidR="00B13EA6">
                <w:rPr>
                  <w:color w:val="0000FF"/>
                  <w:spacing w:val="-4"/>
                  <w:u w:val="single" w:color="0000FF"/>
                </w:rPr>
                <w:t>MBPO</w:t>
              </w:r>
            </w:hyperlink>
          </w:p>
          <w:p w14:paraId="73C3A70B" w14:textId="77777777" w:rsidR="007828DD" w:rsidRDefault="00A0384E">
            <w:pPr>
              <w:pStyle w:val="TableParagraph"/>
              <w:spacing w:line="249" w:lineRule="exact"/>
              <w:ind w:left="826"/>
            </w:pPr>
            <w:hyperlink r:id="rId7">
              <w:r w:rsidR="00B13EA6">
                <w:rPr>
                  <w:color w:val="0000FF"/>
                  <w:u w:val="single" w:color="0000FF"/>
                </w:rPr>
                <w:t>Goodyear</w:t>
              </w:r>
              <w:r w:rsidR="00B13EA6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B13EA6">
                <w:rPr>
                  <w:color w:val="0000FF"/>
                  <w:spacing w:val="-4"/>
                  <w:u w:val="single" w:color="0000FF"/>
                </w:rPr>
                <w:t>MBPO</w:t>
              </w:r>
            </w:hyperlink>
          </w:p>
        </w:tc>
        <w:tc>
          <w:tcPr>
            <w:tcW w:w="2286" w:type="dxa"/>
            <w:shd w:val="clear" w:color="auto" w:fill="DBE4F0"/>
          </w:tcPr>
          <w:p w14:paraId="73C3A70C" w14:textId="77777777" w:rsidR="007828DD" w:rsidRDefault="00A0384E">
            <w:pPr>
              <w:pStyle w:val="TableParagraph"/>
              <w:ind w:left="501"/>
            </w:pPr>
            <w:hyperlink r:id="rId8">
              <w:r w:rsidR="00B13EA6">
                <w:rPr>
                  <w:color w:val="0000FF"/>
                  <w:u w:val="single" w:color="0000FF"/>
                </w:rPr>
                <w:t>VEH109</w:t>
              </w:r>
              <w:r w:rsidR="00B13EA6">
                <w:rPr>
                  <w:color w:val="0000FF"/>
                  <w:spacing w:val="-5"/>
                  <w:u w:val="single" w:color="0000FF"/>
                </w:rPr>
                <w:t xml:space="preserve"> CUG</w:t>
              </w:r>
            </w:hyperlink>
          </w:p>
        </w:tc>
      </w:tr>
    </w:tbl>
    <w:p w14:paraId="73C3A70E" w14:textId="77777777" w:rsidR="007828DD" w:rsidRDefault="007828DD">
      <w:pPr>
        <w:pStyle w:val="BodyText"/>
        <w:spacing w:before="5"/>
        <w:rPr>
          <w:sz w:val="25"/>
        </w:rPr>
      </w:pPr>
    </w:p>
    <w:p w14:paraId="73C3A70F" w14:textId="403DBAC7" w:rsidR="007828DD" w:rsidRDefault="00B13EA6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210"/>
        <w:jc w:val="both"/>
      </w:pPr>
      <w:r>
        <w:t>Drivers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Department-owned</w:t>
      </w:r>
      <w:r>
        <w:rPr>
          <w:b/>
          <w:spacing w:val="-3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department’s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 order number and billing address to the</w:t>
      </w:r>
      <w:r>
        <w:rPr>
          <w:spacing w:val="-1"/>
        </w:rPr>
        <w:t xml:space="preserve"> </w:t>
      </w:r>
      <w:r>
        <w:t>vendor at time of service.</w:t>
      </w:r>
      <w:r>
        <w:rPr>
          <w:spacing w:val="-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should be billed directly</w:t>
      </w:r>
      <w:r>
        <w:rPr>
          <w:spacing w:val="-1"/>
        </w:rPr>
        <w:t xml:space="preserve"> </w:t>
      </w:r>
      <w:r>
        <w:t>by the vendor and are responsible for any payment or follow up required to complete the transaction.</w:t>
      </w:r>
    </w:p>
    <w:p w14:paraId="1B334B79" w14:textId="77777777" w:rsidR="00FC38EB" w:rsidRDefault="00FC38EB" w:rsidP="00FC38EB">
      <w:pPr>
        <w:pStyle w:val="ListParagraph"/>
        <w:tabs>
          <w:tab w:val="left" w:pos="461"/>
        </w:tabs>
        <w:spacing w:line="276" w:lineRule="auto"/>
        <w:ind w:right="210" w:firstLine="0"/>
        <w:jc w:val="both"/>
      </w:pPr>
    </w:p>
    <w:p w14:paraId="73C3A710" w14:textId="1DA9B993" w:rsidR="007828DD" w:rsidRDefault="00B13EA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44"/>
        <w:rPr>
          <w:i/>
        </w:rPr>
      </w:pPr>
      <w:r>
        <w:t xml:space="preserve">If a vehicle is enrolled in the </w:t>
      </w:r>
      <w:r>
        <w:rPr>
          <w:b/>
        </w:rPr>
        <w:t xml:space="preserve">OVM Lease Program </w:t>
      </w:r>
      <w:r>
        <w:t>tire replacement is covered for the length of the lease. Drivers should visit the most appropriate VEH109 authorized dealer and instruct them to contact OVM at (617)</w:t>
      </w:r>
      <w:r>
        <w:rPr>
          <w:spacing w:val="-4"/>
        </w:rPr>
        <w:t xml:space="preserve"> </w:t>
      </w:r>
      <w:r>
        <w:t>720-31</w:t>
      </w:r>
      <w:r w:rsidR="0004131C">
        <w:t>54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OVM</w:t>
      </w:r>
      <w:r>
        <w:rPr>
          <w:spacing w:val="-2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repairs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 a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payment.</w:t>
      </w:r>
      <w:r>
        <w:rPr>
          <w:spacing w:val="-2"/>
        </w:rPr>
        <w:t xml:space="preserve"> </w:t>
      </w:r>
      <w:r>
        <w:rPr>
          <w:i/>
        </w:rPr>
        <w:t>Note:</w:t>
      </w:r>
      <w:r>
        <w:rPr>
          <w:i/>
          <w:spacing w:val="-2"/>
        </w:rPr>
        <w:t xml:space="preserve"> </w:t>
      </w:r>
      <w:r>
        <w:rPr>
          <w:i/>
        </w:rPr>
        <w:t>Tires</w:t>
      </w:r>
      <w:r>
        <w:rPr>
          <w:i/>
          <w:spacing w:val="-1"/>
        </w:rPr>
        <w:t xml:space="preserve"> </w:t>
      </w:r>
      <w:r>
        <w:rPr>
          <w:i/>
        </w:rPr>
        <w:t>damaged</w:t>
      </w:r>
      <w:r>
        <w:rPr>
          <w:i/>
          <w:spacing w:val="-2"/>
        </w:rPr>
        <w:t xml:space="preserve"> </w:t>
      </w:r>
      <w:r>
        <w:rPr>
          <w:i/>
        </w:rPr>
        <w:t>due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negligence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neglect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responsibility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 leasing agency.</w:t>
      </w:r>
    </w:p>
    <w:p w14:paraId="73C3A711" w14:textId="77777777" w:rsidR="007828DD" w:rsidRDefault="007828DD">
      <w:pPr>
        <w:pStyle w:val="BodyText"/>
        <w:spacing w:before="1"/>
        <w:rPr>
          <w:i/>
          <w:sz w:val="29"/>
        </w:rPr>
      </w:pPr>
    </w:p>
    <w:p w14:paraId="73C3A712" w14:textId="77777777" w:rsidR="007828DD" w:rsidRDefault="00B13EA6">
      <w:pPr>
        <w:spacing w:before="59"/>
        <w:ind w:left="100"/>
        <w:rPr>
          <w:i/>
          <w:sz w:val="20"/>
        </w:rPr>
      </w:pPr>
      <w:r>
        <w:rPr>
          <w:i/>
          <w:color w:val="2D3092"/>
          <w:sz w:val="20"/>
        </w:rPr>
        <w:t>Individual</w:t>
      </w:r>
      <w:r>
        <w:rPr>
          <w:i/>
          <w:color w:val="2D3092"/>
          <w:spacing w:val="-6"/>
          <w:sz w:val="20"/>
        </w:rPr>
        <w:t xml:space="preserve"> </w:t>
      </w:r>
      <w:r>
        <w:rPr>
          <w:i/>
          <w:color w:val="2D3092"/>
          <w:sz w:val="20"/>
        </w:rPr>
        <w:t>Agencies/Departments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may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have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additional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processes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to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follow.</w:t>
      </w:r>
      <w:r>
        <w:rPr>
          <w:i/>
          <w:color w:val="2D3092"/>
          <w:spacing w:val="-4"/>
          <w:sz w:val="20"/>
        </w:rPr>
        <w:t xml:space="preserve"> </w:t>
      </w:r>
      <w:r>
        <w:rPr>
          <w:i/>
          <w:color w:val="2D3092"/>
          <w:sz w:val="20"/>
        </w:rPr>
        <w:t>Check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with</w:t>
      </w:r>
      <w:r>
        <w:rPr>
          <w:i/>
          <w:color w:val="2D3092"/>
          <w:spacing w:val="-1"/>
          <w:sz w:val="20"/>
        </w:rPr>
        <w:t xml:space="preserve"> </w:t>
      </w:r>
      <w:r>
        <w:rPr>
          <w:i/>
          <w:color w:val="2D3092"/>
          <w:sz w:val="20"/>
        </w:rPr>
        <w:t>your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Agency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Fleet</w:t>
      </w:r>
      <w:r>
        <w:rPr>
          <w:i/>
          <w:color w:val="2D3092"/>
          <w:spacing w:val="-6"/>
          <w:sz w:val="20"/>
        </w:rPr>
        <w:t xml:space="preserve"> </w:t>
      </w:r>
      <w:r>
        <w:rPr>
          <w:i/>
          <w:color w:val="2D3092"/>
          <w:spacing w:val="-2"/>
          <w:sz w:val="20"/>
        </w:rPr>
        <w:t>Manager.</w:t>
      </w:r>
    </w:p>
    <w:p w14:paraId="6A6A34ED" w14:textId="77777777" w:rsidR="00CC143F" w:rsidRDefault="00CC143F">
      <w:pPr>
        <w:tabs>
          <w:tab w:val="right" w:pos="10182"/>
        </w:tabs>
        <w:spacing w:before="1"/>
        <w:ind w:left="100"/>
        <w:rPr>
          <w:color w:val="2D3092"/>
          <w:sz w:val="20"/>
        </w:rPr>
      </w:pPr>
    </w:p>
    <w:p w14:paraId="73C3A713" w14:textId="64E869E9" w:rsidR="007828DD" w:rsidRDefault="00B13EA6">
      <w:pPr>
        <w:tabs>
          <w:tab w:val="right" w:pos="10182"/>
        </w:tabs>
        <w:spacing w:before="1"/>
        <w:ind w:left="100"/>
        <w:rPr>
          <w:sz w:val="20"/>
        </w:rPr>
      </w:pPr>
      <w:r>
        <w:rPr>
          <w:color w:val="2D3092"/>
          <w:sz w:val="20"/>
        </w:rPr>
        <w:t>Last</w:t>
      </w:r>
      <w:r>
        <w:rPr>
          <w:color w:val="2D3092"/>
          <w:spacing w:val="-8"/>
          <w:sz w:val="20"/>
        </w:rPr>
        <w:t xml:space="preserve"> </w:t>
      </w:r>
      <w:r>
        <w:rPr>
          <w:color w:val="2D3092"/>
          <w:sz w:val="20"/>
        </w:rPr>
        <w:t>Updated</w:t>
      </w:r>
      <w:r>
        <w:rPr>
          <w:color w:val="2D3092"/>
          <w:spacing w:val="-7"/>
          <w:sz w:val="20"/>
        </w:rPr>
        <w:t xml:space="preserve"> </w:t>
      </w:r>
      <w:r>
        <w:rPr>
          <w:color w:val="2D3092"/>
          <w:sz w:val="20"/>
        </w:rPr>
        <w:t>0</w:t>
      </w:r>
      <w:r w:rsidR="00A0384E">
        <w:rPr>
          <w:color w:val="2D3092"/>
          <w:sz w:val="20"/>
        </w:rPr>
        <w:t>6</w:t>
      </w:r>
      <w:r w:rsidR="00CD62B0">
        <w:rPr>
          <w:color w:val="2D3092"/>
          <w:sz w:val="20"/>
        </w:rPr>
        <w:t>-2022</w:t>
      </w:r>
      <w:r>
        <w:rPr>
          <w:color w:val="2D3092"/>
          <w:sz w:val="20"/>
        </w:rPr>
        <w:tab/>
      </w:r>
    </w:p>
    <w:sectPr w:rsidR="007828DD">
      <w:type w:val="continuous"/>
      <w:pgSz w:w="12240" w:h="15840"/>
      <w:pgMar w:top="100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4CF"/>
    <w:multiLevelType w:val="hybridMultilevel"/>
    <w:tmpl w:val="65500F38"/>
    <w:lvl w:ilvl="0" w:tplc="55EE23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E0BE6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0612207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8E08654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E7B0CF18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62A494D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802479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31AAC3B8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F5487772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E64E36"/>
    <w:multiLevelType w:val="hybridMultilevel"/>
    <w:tmpl w:val="45100A88"/>
    <w:lvl w:ilvl="0" w:tplc="3EA46E0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225082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11FE7A2C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7ADCB618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5AAAB0BC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C31CC00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F4D2E414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6504C8B8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EAD0DE9A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8DD"/>
    <w:rsid w:val="0004131C"/>
    <w:rsid w:val="00251687"/>
    <w:rsid w:val="00463DD0"/>
    <w:rsid w:val="006B443E"/>
    <w:rsid w:val="007828DD"/>
    <w:rsid w:val="00A0384E"/>
    <w:rsid w:val="00B13EA6"/>
    <w:rsid w:val="00C6184F"/>
    <w:rsid w:val="00CC143F"/>
    <w:rsid w:val="00CD62B0"/>
    <w:rsid w:val="00E42E9A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A6EA"/>
  <w15:docId w15:val="{FF4B2615-3EB6-403F-BF56-CD26598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8"/>
      <w:ind w:right="116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veh109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buys.com/bso/external/purchaseorder/poSummary.sdo?docId=PO-19-1080-OSD03-SRC01-15790&amp;releaseNbr=0&amp;parentUrl=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buys.com/bso/external/purchaseorder/poSummary.sdo?docId=PO-19-1080-OSD03-SRC01-15789&amp;releaseNbr=0&amp;parentUrl=contrac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Micozzi, Vincent (OSD)</dc:creator>
  <cp:lastModifiedBy>Cushman, Cheryl (OSD)</cp:lastModifiedBy>
  <cp:revision>12</cp:revision>
  <dcterms:created xsi:type="dcterms:W3CDTF">2022-05-10T19:10:00Z</dcterms:created>
  <dcterms:modified xsi:type="dcterms:W3CDTF">2022-06-09T11:52:00Z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2022-05-10T00:00:00Z</vt:filetime>
  </property>
</Properties>
</file>