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12C3" w:rsidR="00DC6F55" w:rsidP="00DC6F55" w:rsidRDefault="00AF60AD" w14:paraId="7882C4DE" w14:noSpellErr="1" w14:textId="04CCA59E">
      <w:pPr>
        <w:pStyle w:val="Title"/>
        <w:jc w:val="center"/>
        <w:rPr>
          <w:rStyle w:val="Strong"/>
          <w:rFonts w:ascii="Arial" w:hAnsi="Arial" w:eastAsia="Arial" w:cs="Arial"/>
          <w:b w:val="0"/>
          <w:bCs w:val="0"/>
        </w:rPr>
      </w:pPr>
      <w:r w:rsidRPr="608ADFC9" w:rsidR="00AF60AD">
        <w:rPr>
          <w:rStyle w:val="Strong"/>
          <w:rFonts w:ascii="Arial" w:hAnsi="Arial" w:eastAsia="Arial" w:cs="Arial"/>
          <w:b w:val="0"/>
          <w:bCs w:val="0"/>
        </w:rPr>
        <w:t>Tobacco Use Prevention</w:t>
      </w:r>
    </w:p>
    <w:p w:rsidR="26DBCBC9" w:rsidP="608ADFC9" w:rsidRDefault="26DBCBC9" w14:paraId="3874BDBE" w14:textId="4C87A67C">
      <w:pPr>
        <w:jc w:val="center"/>
        <w:rPr>
          <w:rFonts w:ascii="Arial" w:hAnsi="Arial" w:eastAsia="Arial" w:cs="Arial"/>
          <w:b w:val="0"/>
          <w:bCs w:val="0"/>
          <w:i w:val="0"/>
          <w:iCs w:val="0"/>
          <w:caps w:val="0"/>
          <w:smallCaps w:val="0"/>
          <w:noProof w:val="0"/>
          <w:color w:val="595959" w:themeColor="text1" w:themeTint="A6" w:themeShade="FF"/>
          <w:sz w:val="28"/>
          <w:szCs w:val="28"/>
          <w:lang w:val="en-US"/>
        </w:rPr>
      </w:pPr>
      <w:r w:rsidRPr="608ADFC9" w:rsidR="26DBCBC9">
        <w:rPr>
          <w:rStyle w:val="Strong"/>
          <w:rFonts w:ascii="Arial" w:hAnsi="Arial" w:eastAsia="Arial" w:cs="Arial"/>
          <w:b w:val="0"/>
          <w:bCs w:val="0"/>
          <w:i w:val="0"/>
          <w:iCs w:val="0"/>
          <w:caps w:val="0"/>
          <w:smallCaps w:val="0"/>
          <w:noProof w:val="0"/>
          <w:color w:val="595959" w:themeColor="text1" w:themeTint="A6" w:themeShade="FF"/>
          <w:sz w:val="28"/>
          <w:szCs w:val="28"/>
          <w:lang w:val="en-US"/>
        </w:rPr>
        <w:t>Capacity Assessment Review Findings</w:t>
      </w:r>
    </w:p>
    <w:p w:rsidR="26DBCBC9" w:rsidP="608ADFC9" w:rsidRDefault="26DBCBC9" w14:paraId="70577ABF" w14:textId="10520AB1">
      <w:pPr>
        <w:rPr>
          <w:rFonts w:ascii="Arial" w:hAnsi="Arial" w:eastAsia="Arial" w:cs="Arial"/>
          <w:b w:val="0"/>
          <w:bCs w:val="0"/>
          <w:i w:val="0"/>
          <w:iCs w:val="0"/>
          <w:caps w:val="0"/>
          <w:smallCaps w:val="0"/>
          <w:noProof w:val="0"/>
          <w:color w:val="000000" w:themeColor="text1" w:themeTint="FF" w:themeShade="FF"/>
          <w:sz w:val="24"/>
          <w:szCs w:val="24"/>
          <w:lang w:val="en-US"/>
        </w:rPr>
      </w:pPr>
      <w:r w:rsidRPr="608ADFC9" w:rsidR="26DBCBC9">
        <w:rPr>
          <w:rFonts w:ascii="Arial" w:hAnsi="Arial" w:eastAsia="Arial" w:cs="Arial"/>
          <w:b w:val="0"/>
          <w:bCs w:val="0"/>
          <w:i w:val="0"/>
          <w:iCs w:val="0"/>
          <w:caps w:val="0"/>
          <w:smallCaps w:val="0"/>
          <w:noProof w:val="0"/>
          <w:color w:val="000000" w:themeColor="text1" w:themeTint="FF" w:themeShade="FF"/>
          <w:sz w:val="24"/>
          <w:szCs w:val="24"/>
          <w:lang w:val="en-US"/>
        </w:rPr>
        <w:t>In the fall of 2022, the Office of Local and Regional Health conducted a Capacity Assessment of local health departments in Massachusetts to evaluate local public health's current ability to provide basic public health services based on their available resources, including staffing levels, funding, and training. The first-ever Massachusetts Local Public Health Performance Standards, which defined basic levels of services and workforce credentials and training, framed the assessment. As part of this assessment, a qualitative review of documentation submitted by municipalities was conducted, focusing on various subject areas to evaluate the implementation of crucial public health services.</w:t>
      </w:r>
    </w:p>
    <w:p w:rsidR="00AF60AD" w:rsidP="00DC6F55" w:rsidRDefault="00AF60AD" w14:paraId="23719558" w14:textId="3CE42555">
      <w:pPr>
        <w:rPr>
          <w:rFonts w:ascii="Arial" w:hAnsi="Arial" w:cs="Arial"/>
        </w:rPr>
      </w:pPr>
      <w:r w:rsidRPr="00AF60AD">
        <w:rPr>
          <w:rFonts w:ascii="Arial" w:hAnsi="Arial" w:cs="Arial"/>
        </w:rPr>
        <w:t>The Tobacco Use Prevention documents included 2018, 2019, and 2021 inspection reports and associated follow-up for two tobacco establishments.</w:t>
      </w:r>
    </w:p>
    <w:p w:rsidRPr="00F46FC8" w:rsidR="00DC6F55" w:rsidP="00DC6F55" w:rsidRDefault="00DC6F55" w14:paraId="49B69F89" w14:textId="77777777">
      <w:pPr>
        <w:pStyle w:val="Heading1"/>
        <w:rPr>
          <w:rFonts w:ascii="Arial" w:hAnsi="Arial" w:eastAsia="Arial" w:cs="Arial"/>
        </w:rPr>
      </w:pPr>
      <w:r w:rsidRPr="00F46FC8">
        <w:rPr>
          <w:rFonts w:ascii="Arial" w:hAnsi="Arial" w:eastAsia="Arial" w:cs="Arial"/>
        </w:rPr>
        <w:t>Capacity Assessment Key Findings</w:t>
      </w:r>
    </w:p>
    <w:p w:rsidRPr="00B112C3" w:rsidR="00DC6F55" w:rsidP="00DC6F55" w:rsidRDefault="00DC6F55" w14:paraId="7E1333F7" w14:textId="4F1923B0">
      <w:pPr>
        <w:pStyle w:val="Heading2"/>
        <w:rPr>
          <w:rStyle w:val="Strong"/>
          <w:rFonts w:ascii="Arial" w:hAnsi="Arial" w:cs="Arial"/>
          <w:b w:val="0"/>
          <w:bCs w:val="0"/>
        </w:rPr>
      </w:pPr>
      <w:r w:rsidRPr="00B112C3">
        <w:rPr>
          <w:rStyle w:val="Strong"/>
          <w:rFonts w:ascii="Arial" w:hAnsi="Arial" w:cs="Arial"/>
          <w:b w:val="0"/>
          <w:bCs w:val="0"/>
        </w:rPr>
        <w:t xml:space="preserve">1. </w:t>
      </w:r>
      <w:r w:rsidR="00AF60AD">
        <w:rPr>
          <w:rStyle w:val="Strong"/>
          <w:rFonts w:ascii="Arial" w:hAnsi="Arial" w:cs="Arial"/>
          <w:b w:val="0"/>
          <w:bCs w:val="0"/>
        </w:rPr>
        <w:t>Missing Explanations for Non-Compliance</w:t>
      </w:r>
      <w:r>
        <w:rPr>
          <w:rStyle w:val="Strong"/>
          <w:rFonts w:ascii="Arial" w:hAnsi="Arial" w:cs="Arial"/>
          <w:b w:val="0"/>
          <w:bCs w:val="0"/>
        </w:rPr>
        <w:t xml:space="preserve"> </w:t>
      </w:r>
    </w:p>
    <w:p w:rsidR="00AF60AD" w:rsidP="00AF60AD" w:rsidRDefault="00AF60AD" w14:paraId="7A0D9AA7" w14:textId="77777777">
      <w:pPr>
        <w:rPr>
          <w:rFonts w:ascii="Arial" w:hAnsi="Arial" w:cs="Arial"/>
        </w:rPr>
      </w:pPr>
      <w:r w:rsidRPr="00AF60AD">
        <w:rPr>
          <w:rFonts w:ascii="Arial" w:hAnsi="Arial" w:cs="Arial"/>
        </w:rPr>
        <w:t xml:space="preserve">Inspection reports occasionally indicated that a tobacco retailer failed to meet the required criteria. However, these criteria were rarely documented or explained in detail. </w:t>
      </w:r>
    </w:p>
    <w:p w:rsidRPr="00AF60AD" w:rsidR="00AF60AD" w:rsidP="00AF60AD" w:rsidRDefault="00AF60AD" w14:paraId="2F5C20E0" w14:textId="23D33E66">
      <w:pPr>
        <w:pStyle w:val="ListParagraph"/>
        <w:numPr>
          <w:ilvl w:val="0"/>
          <w:numId w:val="8"/>
        </w:numPr>
        <w:rPr>
          <w:rFonts w:ascii="Arial" w:hAnsi="Arial" w:cs="Arial"/>
        </w:rPr>
      </w:pPr>
      <w:r w:rsidRPr="00AF60AD">
        <w:rPr>
          <w:rFonts w:ascii="Arial" w:hAnsi="Arial" w:cs="Arial"/>
        </w:rPr>
        <w:t>Clearly communicating violations and areas for improvement is crucial for the retailers’ knowledge and ensuring that these issues are addressed when conducting a reinspection.</w:t>
      </w:r>
    </w:p>
    <w:p w:rsidRPr="001C0C1E" w:rsidR="00DC6F55" w:rsidP="00DC6F55" w:rsidRDefault="00DC6F55" w14:paraId="61D9EC15" w14:textId="0D280AF5">
      <w:pPr>
        <w:pStyle w:val="Heading2"/>
        <w:rPr>
          <w:rStyle w:val="Strong"/>
          <w:rFonts w:ascii="Arial" w:hAnsi="Arial" w:cs="Arial"/>
          <w:b w:val="0"/>
          <w:bCs w:val="0"/>
        </w:rPr>
      </w:pPr>
      <w:r w:rsidRPr="001C0C1E">
        <w:rPr>
          <w:rStyle w:val="Strong"/>
          <w:rFonts w:ascii="Arial" w:hAnsi="Arial" w:cs="Arial"/>
          <w:b w:val="0"/>
          <w:bCs w:val="0"/>
        </w:rPr>
        <w:t xml:space="preserve">2. </w:t>
      </w:r>
      <w:r w:rsidR="00AF60AD">
        <w:rPr>
          <w:rStyle w:val="Strong"/>
          <w:rFonts w:ascii="Arial" w:hAnsi="Arial" w:cs="Arial"/>
          <w:b w:val="0"/>
          <w:bCs w:val="0"/>
        </w:rPr>
        <w:t>Clear Communication and Documentation of Follow-Up</w:t>
      </w:r>
    </w:p>
    <w:p w:rsidRPr="00AF60AD" w:rsidR="00AF60AD" w:rsidP="00AF60AD" w:rsidRDefault="00AF60AD" w14:paraId="4043D713" w14:textId="77777777">
      <w:pPr>
        <w:rPr>
          <w:rFonts w:ascii="Arial" w:hAnsi="Arial" w:cs="Arial"/>
        </w:rPr>
      </w:pPr>
      <w:r w:rsidRPr="00AF60AD">
        <w:rPr>
          <w:rFonts w:ascii="Arial" w:hAnsi="Arial" w:cs="Arial"/>
        </w:rPr>
        <w:t>There needs to be clear communication between the inspector, retailer, and the Board of Health when following up on violations from a tobacco establishment inspection.</w:t>
      </w:r>
    </w:p>
    <w:p w:rsidR="00AF60AD" w:rsidP="00AF60AD" w:rsidRDefault="00AF60AD" w14:paraId="7686D2CE" w14:textId="77777777">
      <w:pPr>
        <w:pStyle w:val="ListParagraph"/>
        <w:numPr>
          <w:ilvl w:val="0"/>
          <w:numId w:val="8"/>
        </w:numPr>
        <w:rPr>
          <w:rFonts w:ascii="Arial" w:hAnsi="Arial" w:cs="Arial"/>
        </w:rPr>
      </w:pPr>
      <w:r w:rsidRPr="00AF60AD">
        <w:rPr>
          <w:rFonts w:ascii="Arial" w:hAnsi="Arial" w:cs="Arial"/>
        </w:rPr>
        <w:t xml:space="preserve">Include a letter to the retailer outlining what violations were found, timeline for correction, and action steps as needed including details of Board of Health hearing. </w:t>
      </w:r>
    </w:p>
    <w:p w:rsidR="00085992" w:rsidP="00085992" w:rsidRDefault="00AF60AD" w14:paraId="6F7175EE" w14:textId="77777777">
      <w:pPr>
        <w:pStyle w:val="ListParagraph"/>
        <w:numPr>
          <w:ilvl w:val="0"/>
          <w:numId w:val="8"/>
        </w:numPr>
        <w:rPr>
          <w:rFonts w:ascii="Arial" w:hAnsi="Arial" w:cs="Arial"/>
        </w:rPr>
      </w:pPr>
      <w:r w:rsidRPr="00AF60AD">
        <w:rPr>
          <w:rFonts w:ascii="Arial" w:hAnsi="Arial" w:cs="Arial"/>
        </w:rPr>
        <w:t xml:space="preserve">Follow up with the retailer informing them of enforcement actions taken by the Board of Health (i.e., suspension). </w:t>
      </w:r>
    </w:p>
    <w:p w:rsidRPr="00085992" w:rsidR="00AF60AD" w:rsidP="00085992" w:rsidRDefault="00AF60AD" w14:paraId="059EC188" w14:textId="0E47B182">
      <w:pPr>
        <w:pStyle w:val="ListParagraph"/>
        <w:numPr>
          <w:ilvl w:val="0"/>
          <w:numId w:val="8"/>
        </w:numPr>
        <w:rPr>
          <w:rFonts w:ascii="Arial" w:hAnsi="Arial" w:cs="Arial"/>
        </w:rPr>
      </w:pPr>
      <w:r w:rsidRPr="00AF60AD">
        <w:rPr>
          <w:rFonts w:ascii="Arial" w:hAnsi="Arial" w:cs="Arial"/>
        </w:rPr>
        <w:t xml:space="preserve">All </w:t>
      </w:r>
      <w:proofErr w:type="spellStart"/>
      <w:r w:rsidRPr="00AF60AD">
        <w:rPr>
          <w:rFonts w:ascii="Arial" w:hAnsi="Arial" w:cs="Arial"/>
        </w:rPr>
        <w:t>reinspections</w:t>
      </w:r>
      <w:proofErr w:type="spellEnd"/>
      <w:r w:rsidRPr="00AF60AD">
        <w:rPr>
          <w:rFonts w:ascii="Arial" w:hAnsi="Arial" w:cs="Arial"/>
        </w:rPr>
        <w:t xml:space="preserve"> should also be sufficiently documented to ensure </w:t>
      </w:r>
      <w:r>
        <w:rPr>
          <w:rFonts w:ascii="Arial" w:hAnsi="Arial" w:cs="Arial"/>
        </w:rPr>
        <w:t>violatio</w:t>
      </w:r>
      <w:r w:rsidRPr="00085992">
        <w:rPr>
          <w:rFonts w:ascii="Arial" w:hAnsi="Arial" w:cs="Arial"/>
        </w:rPr>
        <w:t>ns have been corrected rather than persist from year to year.</w:t>
      </w:r>
    </w:p>
    <w:p w:rsidRPr="00B112C3" w:rsidR="00DC6F55" w:rsidP="00DC6F55" w:rsidRDefault="00DC6F55" w14:paraId="47C21CBB" w14:textId="386FBCF9">
      <w:pPr>
        <w:pStyle w:val="Heading2"/>
        <w:rPr>
          <w:rStyle w:val="Strong"/>
          <w:rFonts w:ascii="Arial" w:hAnsi="Arial" w:cs="Arial"/>
          <w:b w:val="0"/>
          <w:bCs w:val="0"/>
        </w:rPr>
      </w:pPr>
      <w:r w:rsidRPr="00B112C3">
        <w:rPr>
          <w:rStyle w:val="Strong"/>
          <w:rFonts w:ascii="Arial" w:hAnsi="Arial" w:cs="Arial"/>
          <w:b w:val="0"/>
          <w:bCs w:val="0"/>
        </w:rPr>
        <w:t xml:space="preserve">3. </w:t>
      </w:r>
      <w:r w:rsidR="00AF60AD">
        <w:rPr>
          <w:rStyle w:val="Strong"/>
          <w:rFonts w:ascii="Arial" w:hAnsi="Arial" w:cs="Arial"/>
          <w:b w:val="0"/>
          <w:bCs w:val="0"/>
        </w:rPr>
        <w:t>Opportunity for Additional Technical Training</w:t>
      </w:r>
    </w:p>
    <w:p w:rsidR="00AF60AD" w:rsidP="00DC6F55" w:rsidRDefault="00AF60AD" w14:paraId="6F1DB740" w14:textId="77777777">
      <w:pPr>
        <w:rPr>
          <w:rFonts w:ascii="Arial" w:hAnsi="Arial" w:cs="Arial"/>
        </w:rPr>
      </w:pPr>
      <w:r w:rsidRPr="00AF60AD">
        <w:rPr>
          <w:rFonts w:ascii="Arial" w:hAnsi="Arial" w:cs="Arial"/>
        </w:rPr>
        <w:t xml:space="preserve">There is the potential for improvement of inspectors’ technical skills to enhance the thoroughness and quality of inspections. </w:t>
      </w:r>
    </w:p>
    <w:p w:rsidR="00AF60AD" w:rsidP="00AF60AD" w:rsidRDefault="00AF60AD" w14:paraId="0819BE28" w14:textId="77777777">
      <w:pPr>
        <w:pStyle w:val="ListParagraph"/>
        <w:numPr>
          <w:ilvl w:val="0"/>
          <w:numId w:val="14"/>
        </w:numPr>
        <w:rPr>
          <w:rFonts w:ascii="Arial" w:hAnsi="Arial" w:cs="Arial"/>
        </w:rPr>
      </w:pPr>
      <w:r w:rsidRPr="00AF60AD">
        <w:rPr>
          <w:rFonts w:ascii="Arial" w:hAnsi="Arial" w:cs="Arial"/>
        </w:rPr>
        <w:lastRenderedPageBreak/>
        <w:t xml:space="preserve">Includes ensuring clear and consistent documentation as well as conducting thorough inspections. </w:t>
      </w:r>
    </w:p>
    <w:p w:rsidR="00AF60AD" w:rsidP="608ADFC9" w:rsidRDefault="00AF60AD" w14:paraId="00702626" w14:textId="009C529B" w14:noSpellErr="1">
      <w:pPr>
        <w:pStyle w:val="ListParagraph"/>
        <w:numPr>
          <w:ilvl w:val="0"/>
          <w:numId w:val="14"/>
        </w:numPr>
        <w:spacing w:before="240" w:beforeAutospacing="off"/>
        <w:rPr>
          <w:rFonts w:ascii="Arial" w:hAnsi="Arial" w:cs="Arial"/>
        </w:rPr>
      </w:pPr>
      <w:r w:rsidRPr="608ADFC9" w:rsidR="00AF60AD">
        <w:rPr>
          <w:rFonts w:ascii="Arial" w:hAnsi="Arial" w:cs="Arial"/>
        </w:rPr>
        <w:t xml:space="preserve">Includes providing ongoing training sessions to keep inspectors updated on changes or updates in regulations, ensuring that they </w:t>
      </w:r>
      <w:r w:rsidRPr="608ADFC9" w:rsidR="00AF60AD">
        <w:rPr>
          <w:rFonts w:ascii="Arial" w:hAnsi="Arial" w:cs="Arial"/>
        </w:rPr>
        <w:t>remain</w:t>
      </w:r>
      <w:r w:rsidRPr="608ADFC9" w:rsidR="00AF60AD">
        <w:rPr>
          <w:rFonts w:ascii="Arial" w:hAnsi="Arial" w:cs="Arial"/>
        </w:rPr>
        <w:t xml:space="preserve"> well-informed about the latest compliance requirements.</w:t>
      </w:r>
    </w:p>
    <w:p w:rsidRPr="00AF60AD" w:rsidR="00AF60AD" w:rsidP="608ADFC9" w:rsidRDefault="00AF60AD" w14:paraId="6AB52041" w14:textId="0ECEFEB0" w14:noSpellErr="1">
      <w:pPr>
        <w:spacing w:before="240" w:beforeAutospacing="off"/>
        <w:rPr>
          <w:rFonts w:ascii="Arial" w:hAnsi="Arial" w:cs="Arial"/>
        </w:rPr>
      </w:pPr>
      <w:r w:rsidRPr="608ADFC9" w:rsidR="00AF60AD">
        <w:rPr>
          <w:rFonts w:ascii="Arial" w:hAnsi="Arial" w:cs="Arial"/>
        </w:rPr>
        <w:t xml:space="preserve">Effective Tobacco Use Prevention documentation involves standardized forms that are thoroughly completed. These forms should include clear, written reports and be aligned appropriately with communication to the Board of Health. </w:t>
      </w:r>
      <w:r w:rsidRPr="608ADFC9" w:rsidR="00AF60AD">
        <w:rPr>
          <w:rFonts w:ascii="Arial" w:hAnsi="Arial" w:cs="Arial"/>
        </w:rPr>
        <w:t>It's</w:t>
      </w:r>
      <w:r w:rsidRPr="608ADFC9" w:rsidR="00AF60AD">
        <w:rPr>
          <w:rFonts w:ascii="Arial" w:hAnsi="Arial" w:cs="Arial"/>
        </w:rPr>
        <w:t xml:space="preserve"> important that the documentation distinguishes between age-compliant checks and comprehensive enforcement inspections, and that relevant enforcement letters are uploaded as part of this documentation process.</w:t>
      </w:r>
    </w:p>
    <w:p w:rsidR="00DC6F55" w:rsidP="00DC6F55" w:rsidRDefault="00DC6F55" w14:paraId="71100FDC" w14:textId="77777777">
      <w:pPr>
        <w:pStyle w:val="Heading1"/>
        <w:rPr>
          <w:rFonts w:ascii="Arial" w:hAnsi="Arial" w:eastAsia="Arial" w:cs="Arial"/>
        </w:rPr>
      </w:pPr>
      <w:r w:rsidRPr="5C6C04F0">
        <w:rPr>
          <w:rFonts w:ascii="Arial" w:hAnsi="Arial" w:eastAsia="Arial" w:cs="Arial"/>
        </w:rPr>
        <w:t>Qualitative Findings</w:t>
      </w:r>
    </w:p>
    <w:p w:rsidR="00DC6F55" w:rsidP="00DC6F55" w:rsidRDefault="00AF60AD" w14:paraId="0CA1A1E0" w14:textId="74F5F8C2">
      <w:pPr>
        <w:rPr>
          <w:rFonts w:ascii="Arial" w:hAnsi="Arial" w:eastAsia="Arial" w:cs="Arial"/>
        </w:rPr>
      </w:pPr>
      <w:r w:rsidRPr="15617674" w:rsidR="00AF60AD">
        <w:rPr>
          <w:rFonts w:ascii="Arial" w:hAnsi="Arial" w:eastAsia="Arial" w:cs="Arial"/>
        </w:rPr>
        <w:t xml:space="preserve">The </w:t>
      </w:r>
      <w:r w:rsidRPr="15617674" w:rsidR="00AF60AD">
        <w:rPr>
          <w:rFonts w:ascii="Arial" w:hAnsi="Arial" w:eastAsia="Arial" w:cs="Arial"/>
        </w:rPr>
        <w:t>list</w:t>
      </w:r>
      <w:r w:rsidRPr="15617674" w:rsidR="00AF60AD">
        <w:rPr>
          <w:rFonts w:ascii="Arial" w:hAnsi="Arial" w:eastAsia="Arial" w:cs="Arial"/>
        </w:rPr>
        <w:t xml:space="preserve"> below outline</w:t>
      </w:r>
      <w:r w:rsidRPr="15617674" w:rsidR="00AF60AD">
        <w:rPr>
          <w:rFonts w:ascii="Arial" w:hAnsi="Arial" w:eastAsia="Arial" w:cs="Arial"/>
        </w:rPr>
        <w:t>s</w:t>
      </w:r>
      <w:r w:rsidRPr="15617674" w:rsidR="00AF60AD">
        <w:rPr>
          <w:rFonts w:ascii="Arial" w:hAnsi="Arial" w:eastAsia="Arial" w:cs="Arial"/>
        </w:rPr>
        <w:t xml:space="preserve"> the reasons each type of Tobacco Use Prevention document did not meet the </w:t>
      </w:r>
      <w:r w:rsidRPr="15617674" w:rsidR="00AF60AD">
        <w:rPr>
          <w:rFonts w:ascii="Arial" w:hAnsi="Arial" w:eastAsia="Arial" w:cs="Arial"/>
        </w:rPr>
        <w:t>proficiency</w:t>
      </w:r>
      <w:r w:rsidRPr="15617674" w:rsidR="00AF60AD">
        <w:rPr>
          <w:rFonts w:ascii="Arial" w:hAnsi="Arial" w:eastAsia="Arial" w:cs="Arial"/>
        </w:rPr>
        <w:t xml:space="preserve"> standard. The most </w:t>
      </w:r>
      <w:r w:rsidRPr="15617674" w:rsidR="00AF60AD">
        <w:rPr>
          <w:rFonts w:ascii="Arial" w:hAnsi="Arial" w:eastAsia="Arial" w:cs="Arial"/>
        </w:rPr>
        <w:t>frequently</w:t>
      </w:r>
      <w:r w:rsidRPr="15617674" w:rsidR="00AF60AD">
        <w:rPr>
          <w:rFonts w:ascii="Arial" w:hAnsi="Arial" w:eastAsia="Arial" w:cs="Arial"/>
        </w:rPr>
        <w:t xml:space="preserve"> selected determinations are bolded </w:t>
      </w:r>
      <w:r w:rsidRPr="15617674" w:rsidR="00AF60AD">
        <w:rPr>
          <w:rFonts w:ascii="Arial" w:hAnsi="Arial" w:eastAsia="Arial" w:cs="Arial"/>
        </w:rPr>
        <w:t>and ordered by frequency from greatest to least.</w:t>
      </w:r>
      <w:r w:rsidRPr="15617674" w:rsidR="00AF60AD">
        <w:rPr>
          <w:rFonts w:ascii="Arial" w:hAnsi="Arial" w:eastAsia="Arial" w:cs="Arial"/>
        </w:rPr>
        <w:t xml:space="preserve"> </w:t>
      </w:r>
      <w:r w:rsidRPr="15617674" w:rsidR="00AF60AD">
        <w:rPr>
          <w:rFonts w:ascii="Arial" w:hAnsi="Arial" w:eastAsia="Arial" w:cs="Arial"/>
          <w:b w:val="1"/>
          <w:bCs w:val="1"/>
        </w:rPr>
        <w:t>The most significant issue for the Tobacco Use Prevention category overall was that follow-up actions were not completed or documented.</w:t>
      </w:r>
    </w:p>
    <w:p w:rsidR="00DC6F55" w:rsidP="00DC6F55" w:rsidRDefault="00DC6F55" w14:paraId="2FCBCA18" w14:textId="77777777">
      <w:pPr>
        <w:pStyle w:val="Heading2"/>
        <w:rPr>
          <w:rFonts w:ascii="Arial" w:hAnsi="Arial" w:eastAsia="Arial" w:cs="Arial"/>
        </w:rPr>
      </w:pPr>
      <w:r w:rsidRPr="5C6C04F0">
        <w:rPr>
          <w:rFonts w:ascii="Arial" w:hAnsi="Arial" w:eastAsia="Arial" w:cs="Arial"/>
        </w:rPr>
        <w:t>Backup Documentation Results</w:t>
      </w:r>
    </w:p>
    <w:p w:rsidRPr="0083068A" w:rsidR="00DC6F55" w:rsidP="00AF60AD" w:rsidRDefault="00DC6F55" w14:paraId="77774388" w14:textId="714A19A2">
      <w:pPr>
        <w:rPr>
          <w:rFonts w:ascii="Arial" w:hAnsi="Arial" w:eastAsia="Arial" w:cs="Arial"/>
        </w:rPr>
      </w:pPr>
      <w:r w:rsidRPr="5C6C04F0">
        <w:rPr>
          <w:rFonts w:ascii="Arial" w:hAnsi="Arial" w:eastAsia="Arial" w:cs="Arial"/>
        </w:rPr>
        <w:t xml:space="preserve">For </w:t>
      </w:r>
      <w:r w:rsidR="00AF60AD">
        <w:rPr>
          <w:rFonts w:ascii="Arial" w:hAnsi="Arial" w:eastAsia="Arial" w:cs="Arial"/>
        </w:rPr>
        <w:t>tobacco establishments, 855 documents were requested. Of those, 408 (48%) were submitted, and of those submitted, 283 (69%) were deemed proficient.</w:t>
      </w:r>
    </w:p>
    <w:p w:rsidRPr="00114078" w:rsidR="00DC6F55" w:rsidP="00DC6F55" w:rsidRDefault="00AF60AD" w14:paraId="3566A787" w14:textId="71E41846">
      <w:pPr>
        <w:pStyle w:val="Heading2"/>
        <w:rPr>
          <w:rFonts w:ascii="Arial" w:hAnsi="Arial" w:eastAsia="Arial" w:cs="Arial"/>
        </w:rPr>
      </w:pPr>
      <w:r>
        <w:rPr>
          <w:rFonts w:ascii="Arial" w:hAnsi="Arial" w:eastAsia="Arial" w:cs="Arial"/>
        </w:rPr>
        <w:t>Tobacco Establishment 2018/19/21 Documents</w:t>
      </w:r>
      <w:r w:rsidRPr="5C6C04F0" w:rsidR="00DC6F55">
        <w:rPr>
          <w:rFonts w:ascii="Arial" w:hAnsi="Arial" w:eastAsia="Arial" w:cs="Arial"/>
        </w:rPr>
        <w:t xml:space="preserve"> Evaluation Criteria</w:t>
      </w:r>
    </w:p>
    <w:p w:rsidRPr="00085992" w:rsidR="00DC6F55" w:rsidP="00DC6F55" w:rsidRDefault="00AF60AD" w14:paraId="3E35A7E8" w14:textId="01E7BF64">
      <w:pPr>
        <w:numPr>
          <w:ilvl w:val="0"/>
          <w:numId w:val="5"/>
        </w:numPr>
        <w:rPr>
          <w:rFonts w:ascii="Arial" w:hAnsi="Arial" w:eastAsia="Arial" w:cs="Arial"/>
          <w:b/>
          <w:bCs/>
        </w:rPr>
      </w:pPr>
      <w:r w:rsidRPr="00085992">
        <w:rPr>
          <w:rFonts w:ascii="Arial" w:hAnsi="Arial" w:eastAsia="Arial" w:cs="Arial"/>
          <w:b/>
          <w:bCs/>
        </w:rPr>
        <w:t>Follow-up action not completed or documented</w:t>
      </w:r>
    </w:p>
    <w:p w:rsidRPr="00085992" w:rsidR="00DC6F55" w:rsidP="00DC6F55" w:rsidRDefault="00AF60AD" w14:paraId="2B773C29" w14:textId="58F10BC2">
      <w:pPr>
        <w:numPr>
          <w:ilvl w:val="0"/>
          <w:numId w:val="5"/>
        </w:numPr>
        <w:rPr>
          <w:rFonts w:ascii="Arial" w:hAnsi="Arial" w:eastAsia="Arial" w:cs="Arial"/>
          <w:b/>
          <w:bCs/>
        </w:rPr>
      </w:pPr>
      <w:r w:rsidRPr="00085992">
        <w:rPr>
          <w:rFonts w:ascii="Arial" w:hAnsi="Arial" w:eastAsia="Arial" w:cs="Arial"/>
          <w:b/>
          <w:bCs/>
        </w:rPr>
        <w:t>Violations identified without documented follow-up action</w:t>
      </w:r>
    </w:p>
    <w:p w:rsidRPr="00AF60AD" w:rsidR="008C57D9" w:rsidP="00AF60AD" w:rsidRDefault="00AF60AD" w14:paraId="01CA9F36" w14:textId="1509479D">
      <w:pPr>
        <w:numPr>
          <w:ilvl w:val="0"/>
          <w:numId w:val="5"/>
        </w:numPr>
      </w:pPr>
      <w:r>
        <w:rPr>
          <w:rFonts w:ascii="Arial" w:hAnsi="Arial" w:eastAsia="Arial" w:cs="Arial"/>
        </w:rPr>
        <w:t>Reinspection not completed or documented</w:t>
      </w:r>
    </w:p>
    <w:p w:rsidRPr="00AF60AD" w:rsidR="00AF60AD" w:rsidP="00AF60AD" w:rsidRDefault="00AF60AD" w14:paraId="2E686676" w14:textId="23AC291B">
      <w:pPr>
        <w:numPr>
          <w:ilvl w:val="0"/>
          <w:numId w:val="5"/>
        </w:numPr>
      </w:pPr>
      <w:r>
        <w:rPr>
          <w:rFonts w:ascii="Arial" w:hAnsi="Arial" w:eastAsia="Arial" w:cs="Arial"/>
        </w:rPr>
        <w:t>Form insufficient or not approved</w:t>
      </w:r>
    </w:p>
    <w:p w:rsidRPr="00AF60AD" w:rsidR="00AF60AD" w:rsidP="00AF60AD" w:rsidRDefault="00AF60AD" w14:paraId="2211DE02" w14:textId="3DFA35FB">
      <w:pPr>
        <w:numPr>
          <w:ilvl w:val="0"/>
          <w:numId w:val="5"/>
        </w:numPr>
      </w:pPr>
      <w:r>
        <w:rPr>
          <w:rFonts w:ascii="Arial" w:hAnsi="Arial" w:eastAsia="Arial" w:cs="Arial"/>
        </w:rPr>
        <w:t>Critical fields not completed (e.g., signature)</w:t>
      </w:r>
    </w:p>
    <w:p w:rsidR="00AF60AD" w:rsidP="00AF60AD" w:rsidRDefault="00AF60AD" w14:paraId="658AE7E7" w14:textId="6F573022">
      <w:pPr>
        <w:numPr>
          <w:ilvl w:val="0"/>
          <w:numId w:val="5"/>
        </w:numPr>
      </w:pPr>
      <w:r>
        <w:rPr>
          <w:rFonts w:ascii="Arial" w:hAnsi="Arial" w:eastAsia="Arial" w:cs="Arial"/>
        </w:rPr>
        <w:t>Follow-up enforcement action does not follow those laid out in 105 CMR 665 (only for 2019 and 2021)</w:t>
      </w:r>
    </w:p>
    <w:sectPr w:rsidR="00AF60AD" w:rsidSect="00DC6F5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9E0"/>
    <w:multiLevelType w:val="hybridMultilevel"/>
    <w:tmpl w:val="CCAC63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A4329FC"/>
    <w:multiLevelType w:val="hybridMultilevel"/>
    <w:tmpl w:val="C7D613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407B61"/>
    <w:multiLevelType w:val="hybridMultilevel"/>
    <w:tmpl w:val="65CA64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5F4D82"/>
    <w:multiLevelType w:val="hybridMultilevel"/>
    <w:tmpl w:val="95067E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F969C7"/>
    <w:multiLevelType w:val="multilevel"/>
    <w:tmpl w:val="88C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1D2B56"/>
    <w:multiLevelType w:val="hybridMultilevel"/>
    <w:tmpl w:val="9528B2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379291F"/>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60260F"/>
    <w:multiLevelType w:val="hybridMultilevel"/>
    <w:tmpl w:val="762A93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B04298A"/>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7E5388"/>
    <w:multiLevelType w:val="hybridMultilevel"/>
    <w:tmpl w:val="7D50DA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B911C57"/>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B6482D"/>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195860"/>
    <w:multiLevelType w:val="hybridMultilevel"/>
    <w:tmpl w:val="47BE96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8522FFF"/>
    <w:multiLevelType w:val="hybridMultilevel"/>
    <w:tmpl w:val="2CEA55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09874735">
    <w:abstractNumId w:val="5"/>
  </w:num>
  <w:num w:numId="2" w16cid:durableId="2069527328">
    <w:abstractNumId w:val="7"/>
  </w:num>
  <w:num w:numId="3" w16cid:durableId="1368094103">
    <w:abstractNumId w:val="13"/>
  </w:num>
  <w:num w:numId="4" w16cid:durableId="330302797">
    <w:abstractNumId w:val="1"/>
  </w:num>
  <w:num w:numId="5" w16cid:durableId="235555809">
    <w:abstractNumId w:val="4"/>
  </w:num>
  <w:num w:numId="6" w16cid:durableId="1880238082">
    <w:abstractNumId w:val="8"/>
  </w:num>
  <w:num w:numId="7" w16cid:durableId="805663672">
    <w:abstractNumId w:val="2"/>
  </w:num>
  <w:num w:numId="8" w16cid:durableId="476610292">
    <w:abstractNumId w:val="3"/>
  </w:num>
  <w:num w:numId="9" w16cid:durableId="724455628">
    <w:abstractNumId w:val="12"/>
  </w:num>
  <w:num w:numId="10" w16cid:durableId="1742211262">
    <w:abstractNumId w:val="0"/>
  </w:num>
  <w:num w:numId="11" w16cid:durableId="1696300083">
    <w:abstractNumId w:val="10"/>
  </w:num>
  <w:num w:numId="12" w16cid:durableId="1163740101">
    <w:abstractNumId w:val="6"/>
  </w:num>
  <w:num w:numId="13" w16cid:durableId="1019889600">
    <w:abstractNumId w:val="11"/>
  </w:num>
  <w:num w:numId="14" w16cid:durableId="1210341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55"/>
    <w:rsid w:val="00085992"/>
    <w:rsid w:val="008C57D9"/>
    <w:rsid w:val="0098289F"/>
    <w:rsid w:val="00AF60AD"/>
    <w:rsid w:val="00CF5E42"/>
    <w:rsid w:val="00D2623B"/>
    <w:rsid w:val="00DC6F55"/>
    <w:rsid w:val="00FD376A"/>
    <w:rsid w:val="15617674"/>
    <w:rsid w:val="26DBCBC9"/>
    <w:rsid w:val="400DBB7E"/>
    <w:rsid w:val="608AD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D350CF"/>
  <w15:chartTrackingRefBased/>
  <w15:docId w15:val="{B3F75C7C-7B00-4A40-8D48-F628A1B9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6F55"/>
    <w:pPr>
      <w:spacing w:after="160" w:line="259" w:lineRule="auto"/>
    </w:pPr>
    <w:rPr>
      <w:szCs w:val="22"/>
    </w:rPr>
  </w:style>
  <w:style w:type="paragraph" w:styleId="Heading1">
    <w:name w:val="heading 1"/>
    <w:basedOn w:val="Normal"/>
    <w:next w:val="Normal"/>
    <w:link w:val="Heading1Char"/>
    <w:uiPriority w:val="9"/>
    <w:qFormat/>
    <w:rsid w:val="00DC6F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6F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F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F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F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F5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C6F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C6F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C6F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C6F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C6F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C6F5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C6F5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C6F5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C6F55"/>
    <w:rPr>
      <w:rFonts w:eastAsiaTheme="majorEastAsia" w:cstheme="majorBidi"/>
      <w:color w:val="272727" w:themeColor="text1" w:themeTint="D8"/>
    </w:rPr>
  </w:style>
  <w:style w:type="paragraph" w:styleId="Title">
    <w:name w:val="Title"/>
    <w:basedOn w:val="Normal"/>
    <w:next w:val="Normal"/>
    <w:link w:val="TitleChar"/>
    <w:uiPriority w:val="10"/>
    <w:qFormat/>
    <w:rsid w:val="00DC6F5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C6F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C6F5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C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F55"/>
    <w:pPr>
      <w:spacing w:before="160"/>
      <w:jc w:val="center"/>
    </w:pPr>
    <w:rPr>
      <w:i/>
      <w:iCs/>
      <w:color w:val="404040" w:themeColor="text1" w:themeTint="BF"/>
    </w:rPr>
  </w:style>
  <w:style w:type="character" w:styleId="QuoteChar" w:customStyle="1">
    <w:name w:val="Quote Char"/>
    <w:basedOn w:val="DefaultParagraphFont"/>
    <w:link w:val="Quote"/>
    <w:uiPriority w:val="29"/>
    <w:rsid w:val="00DC6F55"/>
    <w:rPr>
      <w:i/>
      <w:iCs/>
      <w:color w:val="404040" w:themeColor="text1" w:themeTint="BF"/>
    </w:rPr>
  </w:style>
  <w:style w:type="paragraph" w:styleId="ListParagraph">
    <w:name w:val="List Paragraph"/>
    <w:basedOn w:val="Normal"/>
    <w:uiPriority w:val="34"/>
    <w:qFormat/>
    <w:rsid w:val="00DC6F55"/>
    <w:pPr>
      <w:ind w:left="720"/>
      <w:contextualSpacing/>
    </w:pPr>
  </w:style>
  <w:style w:type="character" w:styleId="IntenseEmphasis">
    <w:name w:val="Intense Emphasis"/>
    <w:basedOn w:val="DefaultParagraphFont"/>
    <w:uiPriority w:val="21"/>
    <w:qFormat/>
    <w:rsid w:val="00DC6F55"/>
    <w:rPr>
      <w:i/>
      <w:iCs/>
      <w:color w:val="0F4761" w:themeColor="accent1" w:themeShade="BF"/>
    </w:rPr>
  </w:style>
  <w:style w:type="paragraph" w:styleId="IntenseQuote">
    <w:name w:val="Intense Quote"/>
    <w:basedOn w:val="Normal"/>
    <w:next w:val="Normal"/>
    <w:link w:val="IntenseQuoteChar"/>
    <w:uiPriority w:val="30"/>
    <w:qFormat/>
    <w:rsid w:val="00DC6F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C6F55"/>
    <w:rPr>
      <w:i/>
      <w:iCs/>
      <w:color w:val="0F4761" w:themeColor="accent1" w:themeShade="BF"/>
    </w:rPr>
  </w:style>
  <w:style w:type="character" w:styleId="IntenseReference">
    <w:name w:val="Intense Reference"/>
    <w:basedOn w:val="DefaultParagraphFont"/>
    <w:uiPriority w:val="32"/>
    <w:qFormat/>
    <w:rsid w:val="00DC6F55"/>
    <w:rPr>
      <w:b/>
      <w:bCs/>
      <w:smallCaps/>
      <w:color w:val="0F4761" w:themeColor="accent1" w:themeShade="BF"/>
      <w:spacing w:val="5"/>
    </w:rPr>
  </w:style>
  <w:style w:type="character" w:styleId="Strong">
    <w:name w:val="Strong"/>
    <w:basedOn w:val="DefaultParagraphFont"/>
    <w:uiPriority w:val="22"/>
    <w:qFormat/>
    <w:rsid w:val="00DC6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94711">
      <w:bodyDiv w:val="1"/>
      <w:marLeft w:val="0"/>
      <w:marRight w:val="0"/>
      <w:marTop w:val="0"/>
      <w:marBottom w:val="0"/>
      <w:divBdr>
        <w:top w:val="none" w:sz="0" w:space="0" w:color="auto"/>
        <w:left w:val="none" w:sz="0" w:space="0" w:color="auto"/>
        <w:bottom w:val="none" w:sz="0" w:space="0" w:color="auto"/>
        <w:right w:val="none" w:sz="0" w:space="0" w:color="auto"/>
      </w:divBdr>
    </w:div>
    <w:div w:id="858391838">
      <w:bodyDiv w:val="1"/>
      <w:marLeft w:val="0"/>
      <w:marRight w:val="0"/>
      <w:marTop w:val="0"/>
      <w:marBottom w:val="0"/>
      <w:divBdr>
        <w:top w:val="none" w:sz="0" w:space="0" w:color="auto"/>
        <w:left w:val="none" w:sz="0" w:space="0" w:color="auto"/>
        <w:bottom w:val="none" w:sz="0" w:space="0" w:color="auto"/>
        <w:right w:val="none" w:sz="0" w:space="0" w:color="auto"/>
      </w:divBdr>
    </w:div>
    <w:div w:id="1384134885">
      <w:bodyDiv w:val="1"/>
      <w:marLeft w:val="0"/>
      <w:marRight w:val="0"/>
      <w:marTop w:val="0"/>
      <w:marBottom w:val="0"/>
      <w:divBdr>
        <w:top w:val="none" w:sz="0" w:space="0" w:color="auto"/>
        <w:left w:val="none" w:sz="0" w:space="0" w:color="auto"/>
        <w:bottom w:val="none" w:sz="0" w:space="0" w:color="auto"/>
        <w:right w:val="none" w:sz="0" w:space="0" w:color="auto"/>
      </w:divBdr>
    </w:div>
    <w:div w:id="155021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7" ma:contentTypeDescription="Create a new document." ma:contentTypeScope="" ma:versionID="c27e45b51ed16fa060b3d8b299f71bf0">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bc34618edd0e15ac962c2c0b55dc41dc"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Props1.xml><?xml version="1.0" encoding="utf-8"?>
<ds:datastoreItem xmlns:ds="http://schemas.openxmlformats.org/officeDocument/2006/customXml" ds:itemID="{BD27C702-30DA-4370-97EF-FCB2E4F2FBA0}"/>
</file>

<file path=customXml/itemProps2.xml><?xml version="1.0" encoding="utf-8"?>
<ds:datastoreItem xmlns:ds="http://schemas.openxmlformats.org/officeDocument/2006/customXml" ds:itemID="{50427AC6-EEE0-4B1E-BF2A-233AF627C348}"/>
</file>

<file path=customXml/itemProps3.xml><?xml version="1.0" encoding="utf-8"?>
<ds:datastoreItem xmlns:ds="http://schemas.openxmlformats.org/officeDocument/2006/customXml" ds:itemID="{2B5A5850-7BEF-42AA-BA0C-65FCF6D05F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Schultz, Haleigh</dc:creator>
  <keywords/>
  <dc:description/>
  <lastModifiedBy>Loskill, Alyssa (DPH)</lastModifiedBy>
  <revision>5</revision>
  <dcterms:created xsi:type="dcterms:W3CDTF">2024-07-24T14:44:00.0000000Z</dcterms:created>
  <dcterms:modified xsi:type="dcterms:W3CDTF">2024-07-25T16:36:05.8190901Z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y fmtid="{D5CDD505-2E9C-101B-9397-08002B2CF9AE}" pid="3" name="MediaServiceImageTags">
    <vt:lpwstr/>
  </property>
</Properties>
</file>