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C5E1" w14:textId="41425A23" w:rsidR="00863BF4" w:rsidRPr="00741651" w:rsidRDefault="00AE7072" w:rsidP="00484303">
      <w:pPr>
        <w:pStyle w:val="Title"/>
        <w:spacing w:after="0" w:line="240" w:lineRule="auto"/>
        <w:ind w:right="0"/>
        <w:rPr>
          <w:rFonts w:ascii="Palatino Linotype" w:hAnsi="Palatino Linotype"/>
          <w:b/>
          <w:i/>
          <w:color w:val="002060"/>
          <w:sz w:val="36"/>
          <w:szCs w:val="36"/>
        </w:rPr>
      </w:pPr>
      <w:r w:rsidRPr="00741651">
        <w:rPr>
          <w:rFonts w:ascii="Palatino Linotype" w:hAnsi="Palatino Linotype"/>
          <w:b/>
          <w:i/>
          <w:color w:val="002060"/>
          <w:sz w:val="36"/>
          <w:szCs w:val="36"/>
        </w:rPr>
        <w:drawing>
          <wp:inline distT="0" distB="0" distL="0" distR="0" wp14:anchorId="52DD29B5" wp14:editId="6E2C334C">
            <wp:extent cx="6858000" cy="669924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3539" cy="69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651">
        <w:rPr>
          <w:rFonts w:ascii="Palatino Linotype" w:hAnsi="Palatino Linotype"/>
          <w:b/>
          <w:i/>
          <w:color w:val="002060"/>
          <w:sz w:val="36"/>
          <w:szCs w:val="36"/>
        </w:rPr>
        <w:t xml:space="preserve"> </w:t>
      </w:r>
      <w:r w:rsidR="00FF2023" w:rsidRPr="00741651">
        <w:rPr>
          <w:rFonts w:ascii="Palatino Linotype" w:hAnsi="Palatino Linotype"/>
          <w:b/>
          <w:i/>
          <w:color w:val="002060"/>
          <w:sz w:val="36"/>
          <w:szCs w:val="36"/>
        </w:rPr>
        <w:t xml:space="preserve">Top 5 Things </w:t>
      </w:r>
      <w:r w:rsidR="00B4106F">
        <w:rPr>
          <w:rFonts w:ascii="Palatino Linotype" w:hAnsi="Palatino Linotype"/>
          <w:b/>
          <w:i/>
          <w:color w:val="002060"/>
          <w:sz w:val="36"/>
          <w:szCs w:val="36"/>
        </w:rPr>
        <w:t xml:space="preserve">School-Based </w:t>
      </w:r>
      <w:r w:rsidR="00433BAF" w:rsidRPr="00741651">
        <w:rPr>
          <w:rFonts w:ascii="Palatino Linotype" w:hAnsi="Palatino Linotype"/>
          <w:b/>
          <w:i/>
          <w:color w:val="002060"/>
          <w:sz w:val="36"/>
          <w:szCs w:val="36"/>
        </w:rPr>
        <w:t xml:space="preserve">Providers </w:t>
      </w:r>
      <w:r w:rsidR="00B4106F">
        <w:rPr>
          <w:rFonts w:ascii="Palatino Linotype" w:hAnsi="Palatino Linotype"/>
          <w:b/>
          <w:i/>
          <w:color w:val="002060"/>
          <w:sz w:val="36"/>
          <w:szCs w:val="36"/>
        </w:rPr>
        <w:t>Should</w:t>
      </w:r>
      <w:r w:rsidR="00FF2023" w:rsidRPr="00741651">
        <w:rPr>
          <w:rFonts w:ascii="Palatino Linotype" w:hAnsi="Palatino Linotype"/>
          <w:b/>
          <w:i/>
          <w:color w:val="002060"/>
          <w:sz w:val="36"/>
          <w:szCs w:val="36"/>
        </w:rPr>
        <w:t xml:space="preserve"> Know</w:t>
      </w:r>
      <w:r w:rsidR="00502DDA" w:rsidRPr="00741651">
        <w:rPr>
          <w:rFonts w:ascii="Palatino Linotype" w:hAnsi="Palatino Linotype"/>
          <w:b/>
          <w:i/>
          <w:color w:val="002060"/>
          <w:sz w:val="36"/>
          <w:szCs w:val="36"/>
        </w:rPr>
        <w:t xml:space="preserve"> </w:t>
      </w:r>
    </w:p>
    <w:p w14:paraId="2CBF8AF4" w14:textId="77777777" w:rsidR="00AE7072" w:rsidRPr="00CF6974" w:rsidRDefault="00AE7072" w:rsidP="00AE7072">
      <w:pPr>
        <w:spacing w:line="240" w:lineRule="auto"/>
        <w:rPr>
          <w:sz w:val="10"/>
          <w:szCs w:val="10"/>
        </w:rPr>
      </w:pPr>
    </w:p>
    <w:p w14:paraId="538C9778" w14:textId="4C72460D" w:rsidR="00AE7072" w:rsidRPr="00741651" w:rsidRDefault="00AE7072" w:rsidP="00484303">
      <w:pPr>
        <w:spacing w:line="240" w:lineRule="auto"/>
        <w:rPr>
          <w:sz w:val="22"/>
          <w:szCs w:val="22"/>
        </w:rPr>
      </w:pPr>
      <w:r w:rsidRPr="00741651">
        <w:rPr>
          <w:sz w:val="22"/>
          <w:szCs w:val="22"/>
        </w:rPr>
        <w:t>In addition to reviewing this sheet, providers should re</w:t>
      </w:r>
      <w:r w:rsidR="002C7DCB">
        <w:rPr>
          <w:sz w:val="22"/>
          <w:szCs w:val="22"/>
        </w:rPr>
        <w:t>view</w:t>
      </w:r>
      <w:r w:rsidRPr="00741651">
        <w:rPr>
          <w:sz w:val="22"/>
          <w:szCs w:val="22"/>
        </w:rPr>
        <w:t xml:space="preserve"> the </w:t>
      </w:r>
      <w:hyperlink r:id="rId11" w:history="1">
        <w:r w:rsidRPr="00741651">
          <w:rPr>
            <w:rStyle w:val="Hyperlink"/>
            <w:sz w:val="22"/>
            <w:szCs w:val="22"/>
          </w:rPr>
          <w:t>Direct Service Claiming (DSC) Guide</w:t>
        </w:r>
      </w:hyperlink>
      <w:r w:rsidRPr="00741651">
        <w:rPr>
          <w:sz w:val="22"/>
          <w:szCs w:val="22"/>
        </w:rPr>
        <w:t>, updated August 2020, to fully understand the DSC part of the School</w:t>
      </w:r>
      <w:r w:rsidR="002C7DCB">
        <w:rPr>
          <w:sz w:val="22"/>
          <w:szCs w:val="22"/>
        </w:rPr>
        <w:t>-</w:t>
      </w:r>
      <w:r w:rsidRPr="00741651">
        <w:rPr>
          <w:sz w:val="22"/>
          <w:szCs w:val="22"/>
        </w:rPr>
        <w:t>Based Medicaid Program.</w:t>
      </w:r>
    </w:p>
    <w:p w14:paraId="249BF626" w14:textId="65684026" w:rsidR="00863BF4" w:rsidRPr="00CF6974" w:rsidRDefault="00830117" w:rsidP="00484303">
      <w:pPr>
        <w:pStyle w:val="Heading1"/>
        <w:spacing w:after="0"/>
        <w:rPr>
          <w:color w:val="002060"/>
          <w:sz w:val="28"/>
          <w:szCs w:val="28"/>
        </w:rPr>
      </w:pPr>
      <w:r w:rsidRPr="00CF6974">
        <w:rPr>
          <w:color w:val="002060"/>
          <w:sz w:val="28"/>
          <w:szCs w:val="28"/>
        </w:rPr>
        <w:t xml:space="preserve">1. </w:t>
      </w:r>
      <w:r w:rsidR="006219F8" w:rsidRPr="00CF6974">
        <w:rPr>
          <w:color w:val="002060"/>
          <w:sz w:val="28"/>
          <w:szCs w:val="28"/>
        </w:rPr>
        <w:t xml:space="preserve">Diagnosis Codes </w:t>
      </w:r>
      <w:proofErr w:type="gramStart"/>
      <w:r w:rsidR="006219F8" w:rsidRPr="00CF6974">
        <w:rPr>
          <w:color w:val="002060"/>
          <w:sz w:val="28"/>
          <w:szCs w:val="28"/>
        </w:rPr>
        <w:t>don’t</w:t>
      </w:r>
      <w:proofErr w:type="gramEnd"/>
      <w:r w:rsidR="006219F8" w:rsidRPr="00CF6974">
        <w:rPr>
          <w:color w:val="002060"/>
          <w:sz w:val="28"/>
          <w:szCs w:val="28"/>
        </w:rPr>
        <w:t xml:space="preserve"> </w:t>
      </w:r>
      <w:r w:rsidR="00433BAF" w:rsidRPr="00CF6974">
        <w:rPr>
          <w:color w:val="002060"/>
          <w:sz w:val="28"/>
          <w:szCs w:val="28"/>
        </w:rPr>
        <w:t xml:space="preserve">necessarily </w:t>
      </w:r>
      <w:r w:rsidR="006219F8" w:rsidRPr="00CF6974">
        <w:rPr>
          <w:color w:val="002060"/>
          <w:sz w:val="28"/>
          <w:szCs w:val="28"/>
        </w:rPr>
        <w:t>mean you made a</w:t>
      </w:r>
      <w:r w:rsidR="000940B9" w:rsidRPr="00CF6974">
        <w:rPr>
          <w:color w:val="002060"/>
          <w:sz w:val="28"/>
          <w:szCs w:val="28"/>
        </w:rPr>
        <w:t xml:space="preserve"> formal</w:t>
      </w:r>
      <w:r w:rsidR="006219F8" w:rsidRPr="00CF6974">
        <w:rPr>
          <w:color w:val="002060"/>
          <w:sz w:val="28"/>
          <w:szCs w:val="28"/>
        </w:rPr>
        <w:t xml:space="preserve"> diagnosis</w:t>
      </w:r>
    </w:p>
    <w:p w14:paraId="0E3EC622" w14:textId="56F63970" w:rsidR="00863BF4" w:rsidRPr="00741651" w:rsidRDefault="006219F8" w:rsidP="000940B9">
      <w:pPr>
        <w:pStyle w:val="checkboxindent"/>
        <w:numPr>
          <w:ilvl w:val="0"/>
          <w:numId w:val="22"/>
        </w:numPr>
      </w:pPr>
      <w:r w:rsidRPr="00741651">
        <w:t xml:space="preserve">The ICD </w:t>
      </w:r>
      <w:r w:rsidR="009D0F56" w:rsidRPr="00741651">
        <w:t>D</w:t>
      </w:r>
      <w:r w:rsidRPr="00741651">
        <w:t>iagnosis</w:t>
      </w:r>
      <w:r w:rsidR="009D0F56" w:rsidRPr="00741651">
        <w:t xml:space="preserve"> C</w:t>
      </w:r>
      <w:r w:rsidRPr="00741651">
        <w:t xml:space="preserve">ode identifies </w:t>
      </w:r>
      <w:r w:rsidR="00433BAF" w:rsidRPr="00741651">
        <w:t>WHY</w:t>
      </w:r>
      <w:r w:rsidRPr="00741651">
        <w:t xml:space="preserve"> </w:t>
      </w:r>
      <w:r w:rsidR="000940B9" w:rsidRPr="00741651">
        <w:t>the</w:t>
      </w:r>
      <w:r w:rsidRPr="00741651">
        <w:t xml:space="preserve"> service </w:t>
      </w:r>
      <w:r w:rsidR="004201A1">
        <w:t>i</w:t>
      </w:r>
      <w:r w:rsidR="000940B9" w:rsidRPr="00741651">
        <w:t>s needed</w:t>
      </w:r>
      <w:r w:rsidR="008B5054" w:rsidRPr="00741651">
        <w:t>.</w:t>
      </w:r>
    </w:p>
    <w:p w14:paraId="1943ADEB" w14:textId="325ACCCF" w:rsidR="00863BF4" w:rsidRPr="00741651" w:rsidRDefault="006219F8" w:rsidP="000940B9">
      <w:pPr>
        <w:pStyle w:val="checkboxindent"/>
        <w:numPr>
          <w:ilvl w:val="0"/>
          <w:numId w:val="22"/>
        </w:numPr>
      </w:pPr>
      <w:r w:rsidRPr="00741651">
        <w:t xml:space="preserve">Many </w:t>
      </w:r>
      <w:r w:rsidR="009D0F56" w:rsidRPr="00741651">
        <w:t>ICD D</w:t>
      </w:r>
      <w:r w:rsidRPr="00741651">
        <w:t xml:space="preserve">iagnosis </w:t>
      </w:r>
      <w:r w:rsidR="009D0F56" w:rsidRPr="00741651">
        <w:t>C</w:t>
      </w:r>
      <w:r w:rsidRPr="00741651">
        <w:t xml:space="preserve">odes identify presenting signs </w:t>
      </w:r>
      <w:r w:rsidR="00433BAF" w:rsidRPr="00741651">
        <w:t>and</w:t>
      </w:r>
      <w:r w:rsidRPr="00741651">
        <w:t xml:space="preserve"> symptoms</w:t>
      </w:r>
      <w:r w:rsidR="008B5054" w:rsidRPr="00741651">
        <w:t>.</w:t>
      </w:r>
    </w:p>
    <w:p w14:paraId="5473C040" w14:textId="4ECF169A" w:rsidR="00863BF4" w:rsidRPr="00741651" w:rsidRDefault="000940B9" w:rsidP="000940B9">
      <w:pPr>
        <w:pStyle w:val="checkboxindent"/>
        <w:numPr>
          <w:ilvl w:val="0"/>
          <w:numId w:val="22"/>
        </w:numPr>
      </w:pPr>
      <w:r w:rsidRPr="00741651">
        <w:t>P</w:t>
      </w:r>
      <w:r w:rsidR="006219F8" w:rsidRPr="00741651">
        <w:t xml:space="preserve">ractitioners should identify an ICD </w:t>
      </w:r>
      <w:r w:rsidR="009D0F56" w:rsidRPr="00741651">
        <w:t>C</w:t>
      </w:r>
      <w:r w:rsidR="006219F8" w:rsidRPr="00741651">
        <w:t>ode that best explains the need for services</w:t>
      </w:r>
      <w:r w:rsidR="008B5054" w:rsidRPr="00741651">
        <w:t>.</w:t>
      </w:r>
    </w:p>
    <w:p w14:paraId="77A333B5" w14:textId="32278B35" w:rsidR="00863BF4" w:rsidRPr="00CF6974" w:rsidRDefault="00830117" w:rsidP="00484303">
      <w:pPr>
        <w:pStyle w:val="Heading1"/>
        <w:spacing w:after="0"/>
        <w:rPr>
          <w:color w:val="002060"/>
          <w:sz w:val="28"/>
          <w:szCs w:val="28"/>
        </w:rPr>
      </w:pPr>
      <w:r w:rsidRPr="00CF6974">
        <w:rPr>
          <w:color w:val="002060"/>
          <w:sz w:val="28"/>
          <w:szCs w:val="28"/>
        </w:rPr>
        <w:t xml:space="preserve">2. </w:t>
      </w:r>
      <w:r w:rsidR="00B05670" w:rsidRPr="00CF6974">
        <w:rPr>
          <w:color w:val="002060"/>
          <w:sz w:val="28"/>
          <w:szCs w:val="28"/>
        </w:rPr>
        <w:t>Medical Necessity &amp; Educational Ne</w:t>
      </w:r>
      <w:r w:rsidR="00223D71" w:rsidRPr="00CF6974">
        <w:rPr>
          <w:color w:val="002060"/>
          <w:sz w:val="28"/>
          <w:szCs w:val="28"/>
        </w:rPr>
        <w:t>eds</w:t>
      </w:r>
      <w:r w:rsidR="00B05670" w:rsidRPr="00CF6974">
        <w:rPr>
          <w:color w:val="002060"/>
          <w:sz w:val="28"/>
          <w:szCs w:val="28"/>
        </w:rPr>
        <w:t xml:space="preserve"> can and </w:t>
      </w:r>
      <w:r w:rsidR="00C45B32" w:rsidRPr="00CF6974">
        <w:rPr>
          <w:color w:val="002060"/>
          <w:sz w:val="28"/>
          <w:szCs w:val="28"/>
        </w:rPr>
        <w:t xml:space="preserve">sometimes </w:t>
      </w:r>
      <w:r w:rsidR="00B05670" w:rsidRPr="00CF6974">
        <w:rPr>
          <w:color w:val="002060"/>
          <w:sz w:val="28"/>
          <w:szCs w:val="28"/>
        </w:rPr>
        <w:t>do overlap</w:t>
      </w:r>
    </w:p>
    <w:p w14:paraId="4B03AC80" w14:textId="79E4118D" w:rsidR="00863BF4" w:rsidRPr="00741651" w:rsidRDefault="009D0F56" w:rsidP="000940B9">
      <w:pPr>
        <w:pStyle w:val="checkboxindent"/>
        <w:numPr>
          <w:ilvl w:val="0"/>
          <w:numId w:val="21"/>
        </w:numPr>
      </w:pPr>
      <w:r w:rsidRPr="00741651">
        <w:t xml:space="preserve">Medically </w:t>
      </w:r>
      <w:r w:rsidR="00A54A8C" w:rsidRPr="00741651">
        <w:t>n</w:t>
      </w:r>
      <w:r w:rsidR="00223D71" w:rsidRPr="00741651">
        <w:t xml:space="preserve">ecessary services have a clinical </w:t>
      </w:r>
      <w:r w:rsidR="00205A6C" w:rsidRPr="00741651">
        <w:t xml:space="preserve">basis </w:t>
      </w:r>
      <w:r w:rsidR="00AE7072" w:rsidRPr="00741651">
        <w:t xml:space="preserve">and </w:t>
      </w:r>
      <w:r w:rsidR="008D75CE" w:rsidRPr="00741651">
        <w:t xml:space="preserve">may </w:t>
      </w:r>
      <w:r w:rsidR="00223D71" w:rsidRPr="00741651">
        <w:t xml:space="preserve">also help students </w:t>
      </w:r>
      <w:r w:rsidR="00CE4D26" w:rsidRPr="00741651">
        <w:t>achieve</w:t>
      </w:r>
      <w:r w:rsidR="00223D71" w:rsidRPr="00741651">
        <w:t xml:space="preserve"> educational goals</w:t>
      </w:r>
      <w:r w:rsidR="00121D00" w:rsidRPr="00741651">
        <w:t xml:space="preserve"> and access the curriculum</w:t>
      </w:r>
      <w:r w:rsidR="008B5054" w:rsidRPr="00741651">
        <w:t>.</w:t>
      </w:r>
    </w:p>
    <w:p w14:paraId="66FD8D2E" w14:textId="2F9EE0B0" w:rsidR="00863BF4" w:rsidRPr="00741651" w:rsidRDefault="00231928" w:rsidP="000940B9">
      <w:pPr>
        <w:pStyle w:val="checkboxindent"/>
        <w:numPr>
          <w:ilvl w:val="0"/>
          <w:numId w:val="21"/>
        </w:numPr>
      </w:pPr>
      <w:r w:rsidRPr="00741651">
        <w:t xml:space="preserve">The amount, frequency, and duration of services </w:t>
      </w:r>
      <w:r w:rsidR="004201A1">
        <w:t xml:space="preserve">provided </w:t>
      </w:r>
      <w:r w:rsidR="00AE7072" w:rsidRPr="00741651">
        <w:t xml:space="preserve">must be </w:t>
      </w:r>
      <w:r w:rsidR="000940B9" w:rsidRPr="00741651">
        <w:t>consistent with</w:t>
      </w:r>
      <w:r w:rsidRPr="00741651">
        <w:t xml:space="preserve"> professionally recognized standards of practice for the clinical service specialty</w:t>
      </w:r>
      <w:r w:rsidR="008B5054" w:rsidRPr="00741651">
        <w:t>.</w:t>
      </w:r>
    </w:p>
    <w:p w14:paraId="6B729B4F" w14:textId="25D1B052" w:rsidR="00AE7072" w:rsidRPr="00741651" w:rsidRDefault="00484303" w:rsidP="000940B9">
      <w:pPr>
        <w:pStyle w:val="checkboxindent"/>
        <w:numPr>
          <w:ilvl w:val="0"/>
          <w:numId w:val="21"/>
        </w:numPr>
      </w:pPr>
      <w:r w:rsidRPr="00741651">
        <w:t xml:space="preserve">The DSC guide includes </w:t>
      </w:r>
      <w:r w:rsidR="00AE7072" w:rsidRPr="00741651">
        <w:t xml:space="preserve">clarifications </w:t>
      </w:r>
      <w:r w:rsidRPr="00741651">
        <w:t>in the</w:t>
      </w:r>
      <w:r w:rsidR="00AE7072" w:rsidRPr="00741651">
        <w:t xml:space="preserve"> Medical Necessity</w:t>
      </w:r>
      <w:r w:rsidRPr="00741651">
        <w:t xml:space="preserve"> section to assist providers </w:t>
      </w:r>
      <w:r w:rsidR="00F9787D" w:rsidRPr="00741651">
        <w:t xml:space="preserve">to </w:t>
      </w:r>
      <w:r w:rsidR="00AE7072" w:rsidRPr="00741651">
        <w:t>understand and implement requirements</w:t>
      </w:r>
      <w:r w:rsidR="008B5054" w:rsidRPr="00741651">
        <w:t>.</w:t>
      </w:r>
    </w:p>
    <w:p w14:paraId="281E0005" w14:textId="7C019DEC" w:rsidR="00863BF4" w:rsidRPr="00CF6974" w:rsidRDefault="00830117" w:rsidP="00484303">
      <w:pPr>
        <w:pStyle w:val="Heading1"/>
        <w:spacing w:after="0"/>
        <w:rPr>
          <w:color w:val="002060"/>
          <w:sz w:val="28"/>
          <w:szCs w:val="28"/>
        </w:rPr>
      </w:pPr>
      <w:r w:rsidRPr="00CF6974">
        <w:rPr>
          <w:color w:val="002060"/>
          <w:sz w:val="28"/>
          <w:szCs w:val="28"/>
        </w:rPr>
        <w:t xml:space="preserve">3. </w:t>
      </w:r>
      <w:r w:rsidR="001D1A96" w:rsidRPr="00CF6974">
        <w:rPr>
          <w:color w:val="002060"/>
          <w:sz w:val="28"/>
          <w:szCs w:val="28"/>
        </w:rPr>
        <w:t xml:space="preserve">Service Authorization is </w:t>
      </w:r>
      <w:r w:rsidR="00433BAF" w:rsidRPr="00CF6974">
        <w:rPr>
          <w:color w:val="002060"/>
          <w:sz w:val="28"/>
          <w:szCs w:val="28"/>
        </w:rPr>
        <w:t>often the</w:t>
      </w:r>
      <w:r w:rsidR="001D1A96" w:rsidRPr="00CF6974">
        <w:rPr>
          <w:color w:val="002060"/>
          <w:sz w:val="28"/>
          <w:szCs w:val="28"/>
        </w:rPr>
        <w:t xml:space="preserve"> Plan of Care or Treatment Plan </w:t>
      </w:r>
    </w:p>
    <w:p w14:paraId="21F37F48" w14:textId="1D2887D3" w:rsidR="00CD5D87" w:rsidRPr="00741651" w:rsidRDefault="001D1A96" w:rsidP="000940B9">
      <w:pPr>
        <w:pStyle w:val="checkboxindent"/>
        <w:numPr>
          <w:ilvl w:val="0"/>
          <w:numId w:val="20"/>
        </w:numPr>
      </w:pPr>
      <w:r w:rsidRPr="00741651">
        <w:t xml:space="preserve">Authorization is documentation </w:t>
      </w:r>
      <w:r w:rsidR="009D0F56" w:rsidRPr="00741651">
        <w:t xml:space="preserve">by </w:t>
      </w:r>
      <w:r w:rsidRPr="00741651">
        <w:t xml:space="preserve">a qualified practitioner </w:t>
      </w:r>
      <w:r w:rsidR="009D0F56" w:rsidRPr="00741651">
        <w:t xml:space="preserve">demonstrating that </w:t>
      </w:r>
      <w:r w:rsidRPr="00741651">
        <w:t xml:space="preserve">the service is </w:t>
      </w:r>
      <w:r w:rsidR="008B5054" w:rsidRPr="00741651">
        <w:t>m</w:t>
      </w:r>
      <w:r w:rsidRPr="00741651">
        <w:t xml:space="preserve">edically </w:t>
      </w:r>
      <w:r w:rsidR="008B5054" w:rsidRPr="00741651">
        <w:t>n</w:t>
      </w:r>
      <w:r w:rsidRPr="00741651">
        <w:t>ecessary</w:t>
      </w:r>
      <w:r w:rsidR="00433BAF" w:rsidRPr="00741651">
        <w:t xml:space="preserve"> </w:t>
      </w:r>
      <w:r w:rsidR="009D0F56" w:rsidRPr="00741651">
        <w:t xml:space="preserve">and </w:t>
      </w:r>
      <w:r w:rsidR="00433BAF" w:rsidRPr="00741651">
        <w:t>consistent with standards of practice</w:t>
      </w:r>
      <w:r w:rsidR="008B5054" w:rsidRPr="00741651">
        <w:t>.</w:t>
      </w:r>
    </w:p>
    <w:p w14:paraId="3D329773" w14:textId="2917857C" w:rsidR="009D0F56" w:rsidRPr="00741651" w:rsidRDefault="001D1A96" w:rsidP="000940B9">
      <w:pPr>
        <w:pStyle w:val="checkboxindent"/>
        <w:numPr>
          <w:ilvl w:val="0"/>
          <w:numId w:val="20"/>
        </w:numPr>
      </w:pPr>
      <w:r w:rsidRPr="00741651">
        <w:t xml:space="preserve">IEPs </w:t>
      </w:r>
      <w:r w:rsidR="00502DDA" w:rsidRPr="00741651">
        <w:t xml:space="preserve">themselves </w:t>
      </w:r>
      <w:r w:rsidRPr="00741651">
        <w:t xml:space="preserve">do not </w:t>
      </w:r>
      <w:r w:rsidR="009D0F56" w:rsidRPr="00741651">
        <w:t xml:space="preserve">constitute a </w:t>
      </w:r>
      <w:r w:rsidR="00A54A8C" w:rsidRPr="00741651">
        <w:t>s</w:t>
      </w:r>
      <w:r w:rsidR="009D0F56" w:rsidRPr="00741651">
        <w:t xml:space="preserve">ervice </w:t>
      </w:r>
      <w:r w:rsidR="00A54A8C" w:rsidRPr="00741651">
        <w:t>a</w:t>
      </w:r>
      <w:r w:rsidRPr="00741651">
        <w:t>uthoriz</w:t>
      </w:r>
      <w:r w:rsidR="00BB15D2" w:rsidRPr="00741651">
        <w:t>ation</w:t>
      </w:r>
      <w:r w:rsidR="008B5054" w:rsidRPr="00741651">
        <w:t>.</w:t>
      </w:r>
    </w:p>
    <w:p w14:paraId="1566C13B" w14:textId="0773FB84" w:rsidR="001D1A96" w:rsidRPr="00741651" w:rsidRDefault="00AE7072" w:rsidP="000940B9">
      <w:pPr>
        <w:pStyle w:val="checkboxindent"/>
        <w:numPr>
          <w:ilvl w:val="0"/>
          <w:numId w:val="20"/>
        </w:numPr>
      </w:pPr>
      <w:r w:rsidRPr="00741651">
        <w:t xml:space="preserve">If an </w:t>
      </w:r>
      <w:r w:rsidR="001D1A96" w:rsidRPr="00741651">
        <w:t xml:space="preserve">evaluation and treatment plan </w:t>
      </w:r>
      <w:r w:rsidRPr="00741651">
        <w:t xml:space="preserve">was </w:t>
      </w:r>
      <w:r w:rsidR="001D1A96" w:rsidRPr="00741651">
        <w:t>written by a qualified practitioner</w:t>
      </w:r>
      <w:r w:rsidRPr="00741651">
        <w:t>, then it</w:t>
      </w:r>
      <w:r w:rsidR="008D75CE" w:rsidRPr="00741651">
        <w:t xml:space="preserve"> </w:t>
      </w:r>
      <w:r w:rsidR="00C73ED7" w:rsidRPr="00741651">
        <w:t xml:space="preserve">may </w:t>
      </w:r>
      <w:r w:rsidR="009D0F56" w:rsidRPr="00741651">
        <w:t xml:space="preserve">constitute a </w:t>
      </w:r>
      <w:r w:rsidR="00A54A8C" w:rsidRPr="00741651">
        <w:t>s</w:t>
      </w:r>
      <w:r w:rsidR="009D0F56" w:rsidRPr="00741651">
        <w:t xml:space="preserve">ervice </w:t>
      </w:r>
      <w:r w:rsidR="00A54A8C" w:rsidRPr="00741651">
        <w:t>a</w:t>
      </w:r>
      <w:r w:rsidR="001D1A96" w:rsidRPr="00741651">
        <w:t>uthoriz</w:t>
      </w:r>
      <w:r w:rsidR="00BB15D2" w:rsidRPr="00741651">
        <w:t>ation</w:t>
      </w:r>
      <w:r w:rsidR="00A54A8C" w:rsidRPr="00741651">
        <w:t>.</w:t>
      </w:r>
    </w:p>
    <w:p w14:paraId="220FA045" w14:textId="6B71D169" w:rsidR="004211C9" w:rsidRPr="00CF6974" w:rsidRDefault="00830117" w:rsidP="00484303">
      <w:pPr>
        <w:pStyle w:val="Heading1"/>
        <w:spacing w:after="0"/>
        <w:rPr>
          <w:color w:val="002060"/>
          <w:sz w:val="28"/>
          <w:szCs w:val="28"/>
        </w:rPr>
      </w:pPr>
      <w:r w:rsidRPr="00CF6974">
        <w:rPr>
          <w:color w:val="002060"/>
          <w:sz w:val="28"/>
          <w:szCs w:val="28"/>
        </w:rPr>
        <w:t xml:space="preserve">4. </w:t>
      </w:r>
      <w:r w:rsidR="004211C9" w:rsidRPr="00CF6974">
        <w:rPr>
          <w:color w:val="002060"/>
          <w:sz w:val="28"/>
          <w:szCs w:val="28"/>
        </w:rPr>
        <w:t xml:space="preserve">Service Documentation is not </w:t>
      </w:r>
      <w:r w:rsidR="00231928" w:rsidRPr="00CF6974">
        <w:rPr>
          <w:color w:val="002060"/>
          <w:sz w:val="28"/>
          <w:szCs w:val="28"/>
        </w:rPr>
        <w:t xml:space="preserve">a </w:t>
      </w:r>
      <w:r w:rsidR="004211C9" w:rsidRPr="00CF6974">
        <w:rPr>
          <w:color w:val="002060"/>
          <w:sz w:val="28"/>
          <w:szCs w:val="28"/>
        </w:rPr>
        <w:t>“billing form”</w:t>
      </w:r>
    </w:p>
    <w:p w14:paraId="4C843482" w14:textId="4D2D42E4" w:rsidR="001D1A96" w:rsidRPr="00741651" w:rsidRDefault="00433BAF" w:rsidP="000940B9">
      <w:pPr>
        <w:pStyle w:val="checkboxindent"/>
        <w:numPr>
          <w:ilvl w:val="0"/>
          <w:numId w:val="24"/>
        </w:numPr>
      </w:pPr>
      <w:r w:rsidRPr="00741651">
        <w:t xml:space="preserve">MassHealth </w:t>
      </w:r>
      <w:r w:rsidR="00C73ED7" w:rsidRPr="00741651">
        <w:t xml:space="preserve">considers </w:t>
      </w:r>
      <w:r w:rsidR="00A54A8C" w:rsidRPr="00741651">
        <w:t>S</w:t>
      </w:r>
      <w:r w:rsidR="00C73ED7" w:rsidRPr="00741651">
        <w:t xml:space="preserve">ervice </w:t>
      </w:r>
      <w:r w:rsidR="00A54A8C" w:rsidRPr="00741651">
        <w:t>D</w:t>
      </w:r>
      <w:r w:rsidR="00C73ED7" w:rsidRPr="00741651">
        <w:t>ocumentation to be the</w:t>
      </w:r>
      <w:r w:rsidR="004211C9" w:rsidRPr="00741651">
        <w:t xml:space="preserve"> practitioner’s clinical service delivery treatment notes</w:t>
      </w:r>
      <w:r w:rsidR="00BB15D2" w:rsidRPr="00741651">
        <w:t xml:space="preserve">. </w:t>
      </w:r>
      <w:r w:rsidR="00F9787D" w:rsidRPr="00741651">
        <w:t>The b</w:t>
      </w:r>
      <w:r w:rsidRPr="00741651">
        <w:t xml:space="preserve">illing forms </w:t>
      </w:r>
      <w:r w:rsidR="00F9787D" w:rsidRPr="00741651">
        <w:t xml:space="preserve">or software </w:t>
      </w:r>
      <w:r w:rsidR="008B5054" w:rsidRPr="00741651">
        <w:t xml:space="preserve">that </w:t>
      </w:r>
      <w:r w:rsidR="00F9787D" w:rsidRPr="00741651">
        <w:t xml:space="preserve">many LEAs use </w:t>
      </w:r>
      <w:r w:rsidRPr="00741651">
        <w:t>to generate a claim are</w:t>
      </w:r>
      <w:r w:rsidR="00607A51" w:rsidRPr="00741651">
        <w:t xml:space="preserve"> separate and</w:t>
      </w:r>
      <w:r w:rsidRPr="00741651">
        <w:t xml:space="preserve"> </w:t>
      </w:r>
      <w:r w:rsidR="00607A51" w:rsidRPr="00741651">
        <w:t xml:space="preserve">not considered </w:t>
      </w:r>
      <w:r w:rsidR="00A54A8C" w:rsidRPr="00741651">
        <w:t>Service Documentation</w:t>
      </w:r>
      <w:r w:rsidR="008B5054" w:rsidRPr="00741651">
        <w:t>.</w:t>
      </w:r>
      <w:r w:rsidR="009D0F56" w:rsidRPr="00741651">
        <w:t xml:space="preserve"> </w:t>
      </w:r>
    </w:p>
    <w:p w14:paraId="06DF36F9" w14:textId="2D5F814B" w:rsidR="004211C9" w:rsidRPr="00741651" w:rsidRDefault="00A54A8C" w:rsidP="000940B9">
      <w:pPr>
        <w:pStyle w:val="checkboxindent"/>
        <w:numPr>
          <w:ilvl w:val="0"/>
          <w:numId w:val="24"/>
        </w:numPr>
      </w:pPr>
      <w:r w:rsidRPr="00741651">
        <w:t xml:space="preserve">Service Documentation </w:t>
      </w:r>
      <w:r w:rsidR="004211C9" w:rsidRPr="00741651">
        <w:t xml:space="preserve">must meet </w:t>
      </w:r>
      <w:r w:rsidR="00C45B32" w:rsidRPr="00741651">
        <w:t xml:space="preserve">MassHealth’s </w:t>
      </w:r>
      <w:r w:rsidR="004211C9" w:rsidRPr="00741651">
        <w:t xml:space="preserve">minimum standards as outlined in the </w:t>
      </w:r>
      <w:r w:rsidRPr="00741651">
        <w:t xml:space="preserve"> </w:t>
      </w:r>
      <w:r w:rsidR="004211C9" w:rsidRPr="00741651">
        <w:t xml:space="preserve">DSC Guide, and also must comply with standards of clinical practice for the practitioner’s </w:t>
      </w:r>
      <w:r w:rsidR="00595923" w:rsidRPr="00741651">
        <w:t xml:space="preserve">clinical </w:t>
      </w:r>
      <w:r w:rsidR="004211C9" w:rsidRPr="00741651">
        <w:t>licensing board and professional practice organization</w:t>
      </w:r>
      <w:r w:rsidR="00E03D45" w:rsidRPr="00741651">
        <w:t>.</w:t>
      </w:r>
    </w:p>
    <w:p w14:paraId="3C4C9678" w14:textId="4A94AC3D" w:rsidR="001D1A96" w:rsidRPr="00CF6974" w:rsidRDefault="00830117" w:rsidP="00484303">
      <w:pPr>
        <w:pStyle w:val="Heading1"/>
        <w:spacing w:after="0"/>
        <w:rPr>
          <w:color w:val="002060"/>
          <w:sz w:val="28"/>
          <w:szCs w:val="28"/>
        </w:rPr>
      </w:pPr>
      <w:r w:rsidRPr="00CF6974">
        <w:rPr>
          <w:color w:val="002060"/>
          <w:sz w:val="28"/>
          <w:szCs w:val="28"/>
        </w:rPr>
        <w:t xml:space="preserve">5. </w:t>
      </w:r>
      <w:r w:rsidR="00B4106F" w:rsidRPr="00CF6974">
        <w:rPr>
          <w:color w:val="002060"/>
          <w:sz w:val="28"/>
          <w:szCs w:val="28"/>
        </w:rPr>
        <w:t>Health care services that are unrelated to special education (not pursuant to an IEP) can be covered</w:t>
      </w:r>
    </w:p>
    <w:p w14:paraId="73EF5D37" w14:textId="087BA0A9" w:rsidR="00C73ED7" w:rsidRPr="00741651" w:rsidRDefault="00B4106F" w:rsidP="000940B9">
      <w:pPr>
        <w:pStyle w:val="ListParagraph"/>
        <w:numPr>
          <w:ilvl w:val="0"/>
          <w:numId w:val="23"/>
        </w:numPr>
      </w:pPr>
      <w:r>
        <w:t>When a qualified practitioner provides a medically necessary service</w:t>
      </w:r>
      <w:r w:rsidR="00BF45A5">
        <w:t>, even if unplanned or unrelated to an IEP, the service is reimbursable when all requirements for reimbursement are met</w:t>
      </w:r>
      <w:r w:rsidR="00E03D45" w:rsidRPr="00741651">
        <w:t>.</w:t>
      </w:r>
    </w:p>
    <w:p w14:paraId="574AF45D" w14:textId="17FE5743" w:rsidR="001D1A96" w:rsidRPr="00741651" w:rsidRDefault="00BF45A5" w:rsidP="000262C7">
      <w:pPr>
        <w:pStyle w:val="ListParagraph"/>
        <w:numPr>
          <w:ilvl w:val="0"/>
          <w:numId w:val="23"/>
        </w:numPr>
      </w:pPr>
      <w:r>
        <w:t xml:space="preserve">Covered services include </w:t>
      </w:r>
      <w:r w:rsidR="00CF6974">
        <w:t xml:space="preserve">planned or </w:t>
      </w:r>
      <w:r>
        <w:t xml:space="preserve">unplanned nursing services, </w:t>
      </w:r>
      <w:r w:rsidR="00CF6974">
        <w:t xml:space="preserve">planned or </w:t>
      </w:r>
      <w:r>
        <w:t xml:space="preserve">unplanned behavioral health interventions, EPSDT health screenings and initial evaluations to determine whether </w:t>
      </w:r>
      <w:r w:rsidR="002828F8">
        <w:t xml:space="preserve">covered </w:t>
      </w:r>
      <w:r>
        <w:t>services are necessary.</w:t>
      </w:r>
    </w:p>
    <w:sectPr w:rsidR="001D1A96" w:rsidRPr="00741651" w:rsidSect="00231928">
      <w:footerReference w:type="first" r:id="rId12"/>
      <w:type w:val="continuous"/>
      <w:pgSz w:w="12240" w:h="15840"/>
      <w:pgMar w:top="936" w:right="720" w:bottom="450" w:left="72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F748" w14:textId="77777777" w:rsidR="005F70D9" w:rsidRDefault="005F70D9" w:rsidP="00863BF4">
      <w:r>
        <w:separator/>
      </w:r>
    </w:p>
  </w:endnote>
  <w:endnote w:type="continuationSeparator" w:id="0">
    <w:p w14:paraId="08EE1464" w14:textId="77777777" w:rsidR="005F70D9" w:rsidRDefault="005F70D9" w:rsidP="0086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45A8" w14:textId="5865DC13" w:rsidR="009C584C" w:rsidRPr="009C584C" w:rsidRDefault="00CF6974">
    <w:pPr>
      <w:pStyle w:val="Footer"/>
      <w:rPr>
        <w:sz w:val="20"/>
        <w:szCs w:val="20"/>
      </w:rPr>
    </w:pPr>
    <w:r>
      <w:rPr>
        <w:sz w:val="20"/>
        <w:szCs w:val="20"/>
      </w:rPr>
      <w:t>7</w:t>
    </w:r>
    <w:r w:rsidR="009C584C" w:rsidRPr="00741651">
      <w:rPr>
        <w:sz w:val="20"/>
        <w:szCs w:val="20"/>
      </w:rPr>
      <w:t>/</w:t>
    </w:r>
    <w:r w:rsidR="006C192E" w:rsidRPr="00741651">
      <w:rPr>
        <w:sz w:val="20"/>
        <w:szCs w:val="20"/>
      </w:rPr>
      <w:t>01</w:t>
    </w:r>
    <w:r w:rsidR="009C584C" w:rsidRPr="00741651">
      <w:rPr>
        <w:sz w:val="20"/>
        <w:szCs w:val="20"/>
      </w:rPr>
      <w:t>/2</w:t>
    </w: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5D77" w14:textId="77777777" w:rsidR="005F70D9" w:rsidRDefault="005F70D9" w:rsidP="00863BF4">
      <w:r>
        <w:separator/>
      </w:r>
    </w:p>
  </w:footnote>
  <w:footnote w:type="continuationSeparator" w:id="0">
    <w:p w14:paraId="2472D90A" w14:textId="77777777" w:rsidR="005F70D9" w:rsidRDefault="005F70D9" w:rsidP="0086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E87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295E6F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E868AC"/>
    <w:multiLevelType w:val="multilevel"/>
    <w:tmpl w:val="AEAC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74727A"/>
    <w:multiLevelType w:val="hybridMultilevel"/>
    <w:tmpl w:val="206E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B4043"/>
    <w:multiLevelType w:val="hybridMultilevel"/>
    <w:tmpl w:val="1F72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54E1"/>
    <w:multiLevelType w:val="multilevel"/>
    <w:tmpl w:val="23DAE9A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63591"/>
    <w:multiLevelType w:val="multilevel"/>
    <w:tmpl w:val="611C0D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E428EA"/>
    <w:multiLevelType w:val="multilevel"/>
    <w:tmpl w:val="D5B8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C398A"/>
    <w:multiLevelType w:val="multilevel"/>
    <w:tmpl w:val="3D60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17C8F"/>
    <w:multiLevelType w:val="multilevel"/>
    <w:tmpl w:val="BFAC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352B8"/>
    <w:multiLevelType w:val="hybridMultilevel"/>
    <w:tmpl w:val="46A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8661F"/>
    <w:multiLevelType w:val="multilevel"/>
    <w:tmpl w:val="15ACBD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1E5BBF"/>
    <w:multiLevelType w:val="hybridMultilevel"/>
    <w:tmpl w:val="F6AA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C5D0F"/>
    <w:multiLevelType w:val="multilevel"/>
    <w:tmpl w:val="B148C7F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D7F3F"/>
    <w:multiLevelType w:val="multilevel"/>
    <w:tmpl w:val="15ACBD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31E21A0"/>
    <w:multiLevelType w:val="multilevel"/>
    <w:tmpl w:val="47B6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639D3"/>
    <w:multiLevelType w:val="hybridMultilevel"/>
    <w:tmpl w:val="C018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6851"/>
    <w:multiLevelType w:val="multilevel"/>
    <w:tmpl w:val="5B24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A1546"/>
    <w:multiLevelType w:val="multilevel"/>
    <w:tmpl w:val="B148C7F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FF3C9C"/>
    <w:multiLevelType w:val="hybridMultilevel"/>
    <w:tmpl w:val="F50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63D59"/>
    <w:multiLevelType w:val="hybridMultilevel"/>
    <w:tmpl w:val="6EB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85292">
    <w:abstractNumId w:val="8"/>
  </w:num>
  <w:num w:numId="2" w16cid:durableId="1302687502">
    <w:abstractNumId w:val="9"/>
  </w:num>
  <w:num w:numId="3" w16cid:durableId="928345240">
    <w:abstractNumId w:val="18"/>
  </w:num>
  <w:num w:numId="4" w16cid:durableId="618416094">
    <w:abstractNumId w:val="7"/>
  </w:num>
  <w:num w:numId="5" w16cid:durableId="1356931103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 w16cid:durableId="2009288187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 w16cid:durableId="791748596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rPr>
          <w:rFonts w:ascii="Arial" w:eastAsia="Times New Roman" w:hAnsi="Arial" w:cs="Courier New"/>
        </w:rPr>
      </w:lvl>
    </w:lvlOverride>
  </w:num>
  <w:num w:numId="8" w16cid:durableId="1519152330">
    <w:abstractNumId w:val="12"/>
  </w:num>
  <w:num w:numId="9" w16cid:durableId="1059324911">
    <w:abstractNumId w:val="3"/>
  </w:num>
  <w:num w:numId="10" w16cid:durableId="928079031">
    <w:abstractNumId w:val="17"/>
  </w:num>
  <w:num w:numId="11" w16cid:durableId="266422988">
    <w:abstractNumId w:val="2"/>
  </w:num>
  <w:num w:numId="12" w16cid:durableId="1997219992">
    <w:abstractNumId w:val="15"/>
  </w:num>
  <w:num w:numId="13" w16cid:durableId="155614814">
    <w:abstractNumId w:val="14"/>
  </w:num>
  <w:num w:numId="14" w16cid:durableId="1968391012">
    <w:abstractNumId w:val="6"/>
  </w:num>
  <w:num w:numId="15" w16cid:durableId="1513300842">
    <w:abstractNumId w:val="11"/>
  </w:num>
  <w:num w:numId="16" w16cid:durableId="1324897694">
    <w:abstractNumId w:val="13"/>
  </w:num>
  <w:num w:numId="17" w16cid:durableId="716440100">
    <w:abstractNumId w:val="5"/>
  </w:num>
  <w:num w:numId="18" w16cid:durableId="418211105">
    <w:abstractNumId w:val="1"/>
  </w:num>
  <w:num w:numId="19" w16cid:durableId="1925408890">
    <w:abstractNumId w:val="0"/>
  </w:num>
  <w:num w:numId="20" w16cid:durableId="1877039450">
    <w:abstractNumId w:val="19"/>
  </w:num>
  <w:num w:numId="21" w16cid:durableId="827282269">
    <w:abstractNumId w:val="16"/>
  </w:num>
  <w:num w:numId="22" w16cid:durableId="1350061976">
    <w:abstractNumId w:val="4"/>
  </w:num>
  <w:num w:numId="23" w16cid:durableId="1582787241">
    <w:abstractNumId w:val="10"/>
  </w:num>
  <w:num w:numId="24" w16cid:durableId="568728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23"/>
    <w:rsid w:val="00017725"/>
    <w:rsid w:val="00073EB8"/>
    <w:rsid w:val="00077E72"/>
    <w:rsid w:val="00080478"/>
    <w:rsid w:val="000940B9"/>
    <w:rsid w:val="000A796B"/>
    <w:rsid w:val="000C5B0D"/>
    <w:rsid w:val="001052A4"/>
    <w:rsid w:val="00121D00"/>
    <w:rsid w:val="00137B7E"/>
    <w:rsid w:val="0015530C"/>
    <w:rsid w:val="001627C2"/>
    <w:rsid w:val="001A4D42"/>
    <w:rsid w:val="001D1A96"/>
    <w:rsid w:val="001D3E79"/>
    <w:rsid w:val="001E2E8A"/>
    <w:rsid w:val="00200343"/>
    <w:rsid w:val="00205A6C"/>
    <w:rsid w:val="002203D1"/>
    <w:rsid w:val="00223D71"/>
    <w:rsid w:val="00231928"/>
    <w:rsid w:val="00242E5F"/>
    <w:rsid w:val="00253434"/>
    <w:rsid w:val="00265418"/>
    <w:rsid w:val="002828F8"/>
    <w:rsid w:val="002A252E"/>
    <w:rsid w:val="002C7DCB"/>
    <w:rsid w:val="002D23EE"/>
    <w:rsid w:val="002E5918"/>
    <w:rsid w:val="002F6F0A"/>
    <w:rsid w:val="00340699"/>
    <w:rsid w:val="0034069C"/>
    <w:rsid w:val="003607A0"/>
    <w:rsid w:val="00361CED"/>
    <w:rsid w:val="003647BB"/>
    <w:rsid w:val="00381A66"/>
    <w:rsid w:val="003F15C0"/>
    <w:rsid w:val="00414092"/>
    <w:rsid w:val="004201A1"/>
    <w:rsid w:val="004211C9"/>
    <w:rsid w:val="0042448C"/>
    <w:rsid w:val="00424E4F"/>
    <w:rsid w:val="0042726A"/>
    <w:rsid w:val="00433BAF"/>
    <w:rsid w:val="00475BFB"/>
    <w:rsid w:val="00484303"/>
    <w:rsid w:val="004B7EB0"/>
    <w:rsid w:val="004C74F5"/>
    <w:rsid w:val="004D4F7B"/>
    <w:rsid w:val="004E6F3C"/>
    <w:rsid w:val="004F4F58"/>
    <w:rsid w:val="004F6EE4"/>
    <w:rsid w:val="00502DDA"/>
    <w:rsid w:val="0050743B"/>
    <w:rsid w:val="005325F0"/>
    <w:rsid w:val="00546FB2"/>
    <w:rsid w:val="00595923"/>
    <w:rsid w:val="005C6B0D"/>
    <w:rsid w:val="005D4F4B"/>
    <w:rsid w:val="005F70D9"/>
    <w:rsid w:val="00607A51"/>
    <w:rsid w:val="006219F8"/>
    <w:rsid w:val="006459E5"/>
    <w:rsid w:val="006C192E"/>
    <w:rsid w:val="006F1C25"/>
    <w:rsid w:val="00710724"/>
    <w:rsid w:val="00741651"/>
    <w:rsid w:val="007441DA"/>
    <w:rsid w:val="007515D7"/>
    <w:rsid w:val="00792D39"/>
    <w:rsid w:val="00793DF5"/>
    <w:rsid w:val="007C1F6F"/>
    <w:rsid w:val="007D0BC9"/>
    <w:rsid w:val="00815E5A"/>
    <w:rsid w:val="00817B4E"/>
    <w:rsid w:val="00830117"/>
    <w:rsid w:val="00833D48"/>
    <w:rsid w:val="00834159"/>
    <w:rsid w:val="00834C6A"/>
    <w:rsid w:val="00863BF4"/>
    <w:rsid w:val="00871502"/>
    <w:rsid w:val="008A7BCF"/>
    <w:rsid w:val="008B5054"/>
    <w:rsid w:val="008B6A93"/>
    <w:rsid w:val="008D1CFB"/>
    <w:rsid w:val="008D75CE"/>
    <w:rsid w:val="00932501"/>
    <w:rsid w:val="00957FA9"/>
    <w:rsid w:val="00965D7C"/>
    <w:rsid w:val="009957BA"/>
    <w:rsid w:val="009C584C"/>
    <w:rsid w:val="009D0F56"/>
    <w:rsid w:val="009F37B8"/>
    <w:rsid w:val="00A54A8C"/>
    <w:rsid w:val="00A662B8"/>
    <w:rsid w:val="00AA6EAC"/>
    <w:rsid w:val="00AE1915"/>
    <w:rsid w:val="00AE7072"/>
    <w:rsid w:val="00AE7073"/>
    <w:rsid w:val="00AF6B90"/>
    <w:rsid w:val="00B05670"/>
    <w:rsid w:val="00B07394"/>
    <w:rsid w:val="00B27F8A"/>
    <w:rsid w:val="00B4106F"/>
    <w:rsid w:val="00B50506"/>
    <w:rsid w:val="00B718E7"/>
    <w:rsid w:val="00B7225A"/>
    <w:rsid w:val="00BB15D2"/>
    <w:rsid w:val="00BB28B5"/>
    <w:rsid w:val="00BC5CFC"/>
    <w:rsid w:val="00BF1BA9"/>
    <w:rsid w:val="00BF45A5"/>
    <w:rsid w:val="00C065C6"/>
    <w:rsid w:val="00C16371"/>
    <w:rsid w:val="00C24433"/>
    <w:rsid w:val="00C45B32"/>
    <w:rsid w:val="00C54604"/>
    <w:rsid w:val="00C73ED7"/>
    <w:rsid w:val="00CB5A87"/>
    <w:rsid w:val="00CC7D53"/>
    <w:rsid w:val="00CD5D87"/>
    <w:rsid w:val="00CE4D26"/>
    <w:rsid w:val="00CE6639"/>
    <w:rsid w:val="00CF6974"/>
    <w:rsid w:val="00D11187"/>
    <w:rsid w:val="00D26B28"/>
    <w:rsid w:val="00D762F0"/>
    <w:rsid w:val="00E03D45"/>
    <w:rsid w:val="00E53835"/>
    <w:rsid w:val="00E947FD"/>
    <w:rsid w:val="00EF50BB"/>
    <w:rsid w:val="00F035A0"/>
    <w:rsid w:val="00F17C13"/>
    <w:rsid w:val="00F70EC9"/>
    <w:rsid w:val="00F9787D"/>
    <w:rsid w:val="00FC2473"/>
    <w:rsid w:val="00FF2023"/>
    <w:rsid w:val="00FF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28F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43B"/>
    <w:pPr>
      <w:spacing w:line="259" w:lineRule="auto"/>
    </w:pPr>
    <w:rPr>
      <w:color w:val="26355C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1"/>
    <w:pPr>
      <w:keepNext/>
      <w:keepLines/>
      <w:pBdr>
        <w:top w:val="single" w:sz="18" w:space="1" w:color="EFD400" w:themeColor="accent3"/>
        <w:left w:val="single" w:sz="18" w:space="4" w:color="EFD400" w:themeColor="accent3"/>
      </w:pBdr>
      <w:spacing w:before="300" w:after="60"/>
      <w:outlineLvl w:val="0"/>
    </w:pPr>
    <w:rPr>
      <w:rFonts w:asciiTheme="majorHAnsi" w:eastAsiaTheme="majorEastAsia" w:hAnsiTheme="majorHAnsi" w:cstheme="majorBidi"/>
      <w:bCs/>
      <w:color w:val="3F7700" w:themeColor="accent1" w:themeShade="B5"/>
      <w:spacing w:val="-5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6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rsid w:val="0034069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D4F7B"/>
    <w:pPr>
      <w:spacing w:after="1280"/>
      <w:ind w:right="3780"/>
      <w:contextualSpacing/>
    </w:pPr>
    <w:rPr>
      <w:rFonts w:asciiTheme="majorHAnsi" w:eastAsiaTheme="majorEastAsia" w:hAnsiTheme="majorHAnsi" w:cstheme="majorBidi"/>
      <w:noProof/>
      <w:color w:val="FFFFFF" w:themeColor="background1"/>
      <w:spacing w:val="-6"/>
      <w:kern w:val="28"/>
      <w:sz w:val="41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D4F7B"/>
    <w:rPr>
      <w:rFonts w:asciiTheme="majorHAnsi" w:eastAsiaTheme="majorEastAsia" w:hAnsiTheme="majorHAnsi" w:cstheme="majorBidi"/>
      <w:noProof/>
      <w:color w:val="FFFFFF" w:themeColor="background1"/>
      <w:spacing w:val="-6"/>
      <w:kern w:val="28"/>
      <w:sz w:val="41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32501"/>
    <w:rPr>
      <w:rFonts w:asciiTheme="majorHAnsi" w:eastAsiaTheme="majorEastAsia" w:hAnsiTheme="majorHAnsi" w:cstheme="majorBidi"/>
      <w:bCs/>
      <w:color w:val="3F7700" w:themeColor="accent1" w:themeShade="B5"/>
      <w:spacing w:val="-5"/>
      <w:sz w:val="30"/>
      <w:szCs w:val="32"/>
      <w:lang w:val="en-US"/>
    </w:rPr>
  </w:style>
  <w:style w:type="paragraph" w:customStyle="1" w:styleId="tagline">
    <w:name w:val="tagline"/>
    <w:rsid w:val="00017725"/>
    <w:pPr>
      <w:spacing w:after="1000"/>
      <w:ind w:right="3780"/>
    </w:pPr>
    <w:rPr>
      <w:rFonts w:asciiTheme="majorHAnsi" w:eastAsiaTheme="majorEastAsia" w:hAnsiTheme="majorHAnsi" w:cstheme="majorBidi"/>
      <w:bCs/>
      <w:i/>
      <w:color w:val="FFFFFF" w:themeColor="background1"/>
      <w:sz w:val="36"/>
      <w:szCs w:val="32"/>
      <w:lang w:val="en-US"/>
    </w:rPr>
  </w:style>
  <w:style w:type="paragraph" w:customStyle="1" w:styleId="checkboxindent">
    <w:name w:val="checkbox indent"/>
    <w:basedOn w:val="Normal"/>
    <w:qFormat/>
    <w:rsid w:val="004F4F58"/>
    <w:pPr>
      <w:spacing w:line="250" w:lineRule="auto"/>
      <w:ind w:left="357" w:hanging="357"/>
    </w:pPr>
  </w:style>
  <w:style w:type="paragraph" w:styleId="Header">
    <w:name w:val="header"/>
    <w:basedOn w:val="Normal"/>
    <w:link w:val="HeaderChar"/>
    <w:unhideWhenUsed/>
    <w:rsid w:val="00834C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34C6A"/>
    <w:rPr>
      <w:color w:val="26355C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C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C6A"/>
    <w:rPr>
      <w:color w:val="26355C" w:themeColor="text1"/>
      <w:lang w:val="en-US"/>
    </w:rPr>
  </w:style>
  <w:style w:type="character" w:styleId="Hyperlink">
    <w:name w:val="Hyperlink"/>
    <w:basedOn w:val="DefaultParagraphFont"/>
    <w:rsid w:val="00231928"/>
    <w:rPr>
      <w:color w:val="3851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9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33B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3B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3BAF"/>
    <w:rPr>
      <w:color w:val="26355C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3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3BAF"/>
    <w:rPr>
      <w:b/>
      <w:bCs/>
      <w:color w:val="26355C" w:themeColor="text1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433BA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BAF"/>
    <w:rPr>
      <w:rFonts w:ascii="Times New Roman" w:hAnsi="Times New Roman" w:cs="Times New Roman"/>
      <w:color w:val="26355C" w:themeColor="text1"/>
      <w:sz w:val="18"/>
      <w:szCs w:val="18"/>
      <w:lang w:val="en-US"/>
    </w:rPr>
  </w:style>
  <w:style w:type="paragraph" w:styleId="Revision">
    <w:name w:val="Revision"/>
    <w:hidden/>
    <w:semiHidden/>
    <w:rsid w:val="00BB15D2"/>
    <w:rPr>
      <w:color w:val="26355C" w:themeColor="text1"/>
      <w:lang w:val="en-US"/>
    </w:rPr>
  </w:style>
  <w:style w:type="character" w:styleId="Strong">
    <w:name w:val="Strong"/>
    <w:basedOn w:val="DefaultParagraphFont"/>
    <w:uiPriority w:val="22"/>
    <w:qFormat/>
    <w:rsid w:val="00094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sbmp-direct-service-claiming-dsc-guide-updated-aug-20/downloa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etteE\Downloads\tf11527417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4">
      <a:dk1>
        <a:srgbClr val="26355C"/>
      </a:dk1>
      <a:lt1>
        <a:sysClr val="window" lastClr="FFFFFF"/>
      </a:lt1>
      <a:dk2>
        <a:srgbClr val="26355C"/>
      </a:dk2>
      <a:lt2>
        <a:srgbClr val="EBEBEB"/>
      </a:lt2>
      <a:accent1>
        <a:srgbClr val="5AA900"/>
      </a:accent1>
      <a:accent2>
        <a:srgbClr val="F03C01"/>
      </a:accent2>
      <a:accent3>
        <a:srgbClr val="EFD400"/>
      </a:accent3>
      <a:accent4>
        <a:srgbClr val="086200"/>
      </a:accent4>
      <a:accent5>
        <a:srgbClr val="452F84"/>
      </a:accent5>
      <a:accent6>
        <a:srgbClr val="FD8024"/>
      </a:accent6>
      <a:hlink>
        <a:srgbClr val="385191"/>
      </a:hlink>
      <a:folHlink>
        <a:srgbClr val="385191"/>
      </a:folHlink>
    </a:clrScheme>
    <a:fontScheme name="Sky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D36-95CA-4521-9949-4689D58530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456714-9BD1-4493-B49A-32359A0E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74DBC-91B0-4131-981E-AF1AD2A5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tf11527417_win32.dotx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2022-07-11T15:01:00Z</dcterms:created>
  <dcterms:modified xsi:type="dcterms:W3CDTF">2022-07-11T15:01:00Z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