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AE0" w:rsidRPr="004E7CD4" w:rsidRDefault="007677A0" w:rsidP="008754B0">
      <w:pPr>
        <w:keepLines/>
        <w:pBdr>
          <w:bottom w:val="single" w:sz="18" w:space="1" w:color="BFBFBF"/>
        </w:pBdr>
        <w:spacing w:before="360"/>
        <w:ind w:right="-360" w:hanging="360"/>
        <w:rPr>
          <w:rFonts w:ascii="Arial" w:hAnsi="Arial" w:cs="Arial"/>
          <w:b/>
          <w:bCs/>
          <w:color w:val="17365D"/>
          <w:sz w:val="28"/>
          <w:szCs w:val="28"/>
        </w:rPr>
      </w:pPr>
      <w:r>
        <w:rPr>
          <w:noProof/>
        </w:rPr>
        <mc:AlternateContent>
          <mc:Choice Requires="wps">
            <w:drawing>
              <wp:anchor distT="0" distB="0" distL="114300" distR="114300" simplePos="0" relativeHeight="251658240" behindDoc="0" locked="0" layoutInCell="1" allowOverlap="1" wp14:anchorId="65104D3D" wp14:editId="3D701C3D">
                <wp:simplePos x="0" y="0"/>
                <wp:positionH relativeFrom="page">
                  <wp:posOffset>286385</wp:posOffset>
                </wp:positionH>
                <wp:positionV relativeFrom="paragraph">
                  <wp:posOffset>-1059180</wp:posOffset>
                </wp:positionV>
                <wp:extent cx="7000875" cy="753110"/>
                <wp:effectExtent l="63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8F247D" w:rsidP="00471A6E">
                            <w:pPr>
                              <w:pStyle w:val="BIDPUBHEALTHFACTSHEET"/>
                            </w:pPr>
                            <w:r>
                              <w:t xml:space="preserve">MASSACHUSETTS DEPARTMENT OF PUBLIC HEALTH </w:t>
                            </w:r>
                            <w:r w:rsidR="00042AE0">
                              <w:t>GUIDE TO SURVEILLANCE</w:t>
                            </w:r>
                            <w:r w:rsidR="003423DF">
                              <w:t>, REPORTING</w:t>
                            </w:r>
                            <w:r>
                              <w:t>,</w:t>
                            </w:r>
                            <w:r w:rsidR="003423DF">
                              <w:t xml:space="preserve"> AND CONTROL</w:t>
                            </w:r>
                          </w:p>
                          <w:p w:rsidR="00884FF4" w:rsidRPr="001A0372" w:rsidRDefault="0012562E" w:rsidP="000250CA">
                            <w:pPr>
                              <w:pStyle w:val="BIDTitle"/>
                            </w:pPr>
                            <w:r>
                              <w:t>Toxic Shock Syndrome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83.4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" filled="f" stroked="f">
                <v:textbox inset=",7.2pt,,7.2pt">
                  <w:txbxContent>
                    <w:p w:rsidR="00884FF4" w:rsidRPr="00E16847" w:rsidRDefault="008F247D" w:rsidP="00471A6E">
                      <w:pPr>
                        <w:pStyle w:val="BIDPUBHEALTHFACTSHEET"/>
                      </w:pPr>
                      <w:r>
                        <w:t xml:space="preserve">MASSACHUSETTS DEPARTMENT OF PUBLIC HEALTH </w:t>
                      </w:r>
                      <w:r w:rsidR="00042AE0">
                        <w:t>GUIDE TO SURVEILLANCE</w:t>
                      </w:r>
                      <w:r w:rsidR="003423DF">
                        <w:t>, REPORTING</w:t>
                      </w:r>
                      <w:r>
                        <w:t>,</w:t>
                      </w:r>
                      <w:r w:rsidR="003423DF">
                        <w:t xml:space="preserve"> AND CONTROL</w:t>
                      </w:r>
                    </w:p>
                    <w:p w:rsidR="00884FF4" w:rsidRPr="001A0372" w:rsidRDefault="0012562E" w:rsidP="000250CA">
                      <w:pPr>
                        <w:pStyle w:val="BIDTitle"/>
                      </w:pPr>
                      <w:r>
                        <w:t>Toxic Shock Syndrome</w:t>
                      </w:r>
                    </w:p>
                  </w:txbxContent>
                </v:textbox>
                <w10:wrap anchorx="page"/>
              </v:shape>
            </w:pict>
          </mc:Fallback>
        </mc:AlternateContent>
      </w:r>
      <w:r>
        <w:rPr>
          <w:noProof/>
        </w:rPr>
        <mc:AlternateContent>
          <mc:Choice Requires="wps">
            <w:drawing>
              <wp:anchor distT="0" distB="0" distL="114300" distR="114300" simplePos="0" relativeHeight="251657216" behindDoc="1" locked="0" layoutInCell="1" allowOverlap="1" wp14:anchorId="10F82C66" wp14:editId="1BCC0F89">
                <wp:simplePos x="0" y="0"/>
                <wp:positionH relativeFrom="page">
                  <wp:posOffset>0</wp:posOffset>
                </wp:positionH>
                <wp:positionV relativeFrom="page">
                  <wp:posOffset>0</wp:posOffset>
                </wp:positionV>
                <wp:extent cx="7772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I8Y6hk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00042AE0" w:rsidRPr="004E7CD4">
        <w:rPr>
          <w:rFonts w:ascii="Arial" w:hAnsi="Arial" w:cs="Arial"/>
          <w:b/>
          <w:color w:val="17365D"/>
        </w:rPr>
        <w:t>Section 1</w:t>
      </w:r>
      <w:r w:rsidR="00042AE0" w:rsidRPr="004E7CD4">
        <w:rPr>
          <w:rFonts w:ascii="Arial" w:hAnsi="Arial" w:cs="Arial"/>
          <w:b/>
          <w:bCs/>
          <w:color w:val="17365D"/>
          <w:sz w:val="28"/>
          <w:szCs w:val="28"/>
        </w:rPr>
        <w:t xml:space="preserve"> </w:t>
      </w:r>
    </w:p>
    <w:p w:rsidR="00042AE0" w:rsidRDefault="00042AE0" w:rsidP="00042AE0">
      <w:pPr>
        <w:autoSpaceDE w:val="0"/>
        <w:autoSpaceDN w:val="0"/>
        <w:adjustRightInd w:val="0"/>
        <w:rPr>
          <w:rFonts w:ascii="Arial" w:hAnsi="Arial" w:cs="Arial"/>
          <w:b/>
          <w:bCs/>
          <w:color w:val="4F81BD"/>
          <w:sz w:val="28"/>
          <w:szCs w:val="28"/>
        </w:rPr>
      </w:pPr>
      <w:r w:rsidRPr="00042AE0">
        <w:rPr>
          <w:rFonts w:ascii="Arial" w:hAnsi="Arial" w:cs="Arial"/>
          <w:b/>
          <w:bCs/>
          <w:color w:val="4F81BD"/>
          <w:sz w:val="28"/>
          <w:szCs w:val="28"/>
        </w:rPr>
        <w:t>ABOUT THE DISEASE</w:t>
      </w:r>
    </w:p>
    <w:p w:rsidR="00AF43D2" w:rsidRDefault="00AF43D2" w:rsidP="00AF43D2">
      <w:pPr>
        <w:autoSpaceDE w:val="0"/>
        <w:autoSpaceDN w:val="0"/>
        <w:adjustRightInd w:val="0"/>
        <w:rPr>
          <w:rFonts w:ascii="Arial" w:hAnsi="Arial" w:cs="Arial"/>
          <w:b/>
          <w:bCs/>
          <w:sz w:val="22"/>
          <w:szCs w:val="22"/>
        </w:rPr>
      </w:pPr>
    </w:p>
    <w:p w:rsidR="00AF43D2" w:rsidRPr="00AF43D2" w:rsidRDefault="00AF43D2" w:rsidP="00AF43D2">
      <w:pPr>
        <w:autoSpaceDE w:val="0"/>
        <w:autoSpaceDN w:val="0"/>
        <w:adjustRightInd w:val="0"/>
        <w:rPr>
          <w:rFonts w:ascii="Arial" w:hAnsi="Arial" w:cs="Arial"/>
          <w:b/>
          <w:bCs/>
          <w:sz w:val="22"/>
          <w:szCs w:val="22"/>
        </w:rPr>
      </w:pPr>
      <w:r w:rsidRPr="00AF43D2">
        <w:rPr>
          <w:rFonts w:ascii="Arial" w:hAnsi="Arial" w:cs="Arial"/>
          <w:b/>
          <w:bCs/>
          <w:sz w:val="22"/>
          <w:szCs w:val="22"/>
        </w:rPr>
        <w:t>A. Etiologic Agent</w:t>
      </w:r>
    </w:p>
    <w:p w:rsidR="00AF43D2" w:rsidRPr="00AF43D2" w:rsidRDefault="00AF43D2" w:rsidP="00AF43D2">
      <w:pPr>
        <w:autoSpaceDE w:val="0"/>
        <w:autoSpaceDN w:val="0"/>
        <w:adjustRightInd w:val="0"/>
        <w:rPr>
          <w:rFonts w:ascii="Garamond-BookCondensed" w:hAnsi="Garamond-BookCondensed" w:cs="Garamond-BookCondensed"/>
          <w:i/>
          <w:sz w:val="20"/>
          <w:szCs w:val="20"/>
        </w:rPr>
      </w:pPr>
    </w:p>
    <w:p w:rsidR="0012562E" w:rsidRPr="007677A0" w:rsidRDefault="0012562E" w:rsidP="0012562E">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Toxic shock syndrome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is a serious complication of infection with strains of </w:t>
      </w:r>
      <w:r w:rsidRPr="007677A0">
        <w:rPr>
          <w:rFonts w:asciiTheme="majorHAnsi" w:hAnsiTheme="majorHAnsi" w:cs="ArialMT"/>
          <w:i/>
          <w:iCs/>
          <w:sz w:val="22"/>
          <w:szCs w:val="22"/>
        </w:rPr>
        <w:t xml:space="preserve">Staphylococcus </w:t>
      </w:r>
      <w:proofErr w:type="spellStart"/>
      <w:r w:rsidRPr="007677A0">
        <w:rPr>
          <w:rFonts w:asciiTheme="majorHAnsi" w:hAnsiTheme="majorHAnsi" w:cs="ArialMT"/>
          <w:i/>
          <w:iCs/>
          <w:sz w:val="22"/>
          <w:szCs w:val="22"/>
        </w:rPr>
        <w:t>aureus</w:t>
      </w:r>
      <w:proofErr w:type="spellEnd"/>
      <w:r w:rsidRPr="007677A0">
        <w:rPr>
          <w:rFonts w:asciiTheme="majorHAnsi" w:hAnsiTheme="majorHAnsi" w:cs="ArialMT"/>
          <w:i/>
          <w:iCs/>
          <w:sz w:val="22"/>
          <w:szCs w:val="22"/>
        </w:rPr>
        <w:t xml:space="preserve"> </w:t>
      </w:r>
      <w:r w:rsidRPr="007677A0">
        <w:rPr>
          <w:rFonts w:asciiTheme="majorHAnsi" w:hAnsiTheme="majorHAnsi" w:cs="ArialMT"/>
          <w:sz w:val="22"/>
          <w:szCs w:val="22"/>
        </w:rPr>
        <w:t xml:space="preserve">and </w:t>
      </w:r>
      <w:r w:rsidRPr="007677A0">
        <w:rPr>
          <w:rFonts w:asciiTheme="majorHAnsi" w:hAnsiTheme="majorHAnsi" w:cs="ArialMT"/>
          <w:i/>
          <w:iCs/>
          <w:sz w:val="22"/>
          <w:szCs w:val="22"/>
        </w:rPr>
        <w:t xml:space="preserve">Streptococcus </w:t>
      </w:r>
      <w:proofErr w:type="spellStart"/>
      <w:r w:rsidRPr="007677A0">
        <w:rPr>
          <w:rFonts w:asciiTheme="majorHAnsi" w:hAnsiTheme="majorHAnsi" w:cs="ArialMT"/>
          <w:i/>
          <w:iCs/>
          <w:sz w:val="22"/>
          <w:szCs w:val="22"/>
        </w:rPr>
        <w:t>pyogenes</w:t>
      </w:r>
      <w:proofErr w:type="spellEnd"/>
      <w:r w:rsidRPr="007677A0">
        <w:rPr>
          <w:rFonts w:asciiTheme="majorHAnsi" w:hAnsiTheme="majorHAnsi" w:cs="ArialMT"/>
          <w:i/>
          <w:iCs/>
          <w:sz w:val="22"/>
          <w:szCs w:val="22"/>
        </w:rPr>
        <w:t xml:space="preserve"> </w:t>
      </w:r>
      <w:r w:rsidRPr="007677A0">
        <w:rPr>
          <w:rFonts w:asciiTheme="majorHAnsi" w:hAnsiTheme="majorHAnsi" w:cs="ArialMT"/>
          <w:sz w:val="22"/>
          <w:szCs w:val="22"/>
        </w:rPr>
        <w:t>(</w:t>
      </w:r>
      <w:r w:rsidR="00E3553E">
        <w:rPr>
          <w:rFonts w:asciiTheme="majorHAnsi" w:hAnsiTheme="majorHAnsi" w:cs="ArialMT"/>
          <w:sz w:val="22"/>
          <w:szCs w:val="22"/>
        </w:rPr>
        <w:t>g</w:t>
      </w:r>
      <w:r w:rsidRPr="007677A0">
        <w:rPr>
          <w:rFonts w:asciiTheme="majorHAnsi" w:hAnsiTheme="majorHAnsi" w:cs="ArialMT"/>
          <w:sz w:val="22"/>
          <w:szCs w:val="22"/>
        </w:rPr>
        <w:t xml:space="preserve">roup A </w:t>
      </w:r>
      <w:r w:rsidRPr="007677A0">
        <w:rPr>
          <w:rFonts w:asciiTheme="majorHAnsi" w:hAnsiTheme="majorHAnsi" w:cs="ArialMT"/>
          <w:i/>
          <w:iCs/>
          <w:sz w:val="22"/>
          <w:szCs w:val="22"/>
        </w:rPr>
        <w:t>Streptococcus</w:t>
      </w:r>
      <w:r w:rsidRPr="007677A0">
        <w:rPr>
          <w:rFonts w:asciiTheme="majorHAnsi" w:hAnsiTheme="majorHAnsi" w:cs="ArialMT"/>
          <w:sz w:val="22"/>
          <w:szCs w:val="22"/>
        </w:rPr>
        <w:t xml:space="preserve"> or GAS) that produce certain toxins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toxin 1 for </w:t>
      </w:r>
      <w:r w:rsidRPr="007677A0">
        <w:rPr>
          <w:rFonts w:asciiTheme="majorHAnsi" w:hAnsiTheme="majorHAnsi" w:cs="ArialMT"/>
          <w:i/>
          <w:iCs/>
          <w:sz w:val="22"/>
          <w:szCs w:val="22"/>
        </w:rPr>
        <w:t xml:space="preserve">S. </w:t>
      </w:r>
      <w:proofErr w:type="spellStart"/>
      <w:r w:rsidRPr="007677A0">
        <w:rPr>
          <w:rFonts w:asciiTheme="majorHAnsi" w:hAnsiTheme="majorHAnsi" w:cs="ArialMT"/>
          <w:i/>
          <w:iCs/>
          <w:sz w:val="22"/>
          <w:szCs w:val="22"/>
        </w:rPr>
        <w:t>aureus</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pyrogenic</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exotoxin</w:t>
      </w:r>
      <w:proofErr w:type="spellEnd"/>
      <w:r w:rsidRPr="007677A0">
        <w:rPr>
          <w:rFonts w:asciiTheme="majorHAnsi" w:hAnsiTheme="majorHAnsi" w:cs="ArialMT"/>
          <w:sz w:val="22"/>
          <w:szCs w:val="22"/>
        </w:rPr>
        <w:t xml:space="preserve"> A for GAS).</w:t>
      </w:r>
    </w:p>
    <w:p w:rsidR="00AF43D2" w:rsidRPr="00AF43D2" w:rsidRDefault="00AF43D2" w:rsidP="00AF43D2">
      <w:pPr>
        <w:autoSpaceDE w:val="0"/>
        <w:autoSpaceDN w:val="0"/>
        <w:adjustRightInd w:val="0"/>
        <w:rPr>
          <w:rFonts w:ascii="Garamond-BookCondensed" w:hAnsi="Garamond-BookCondensed" w:cs="Garamond-BookCondensed"/>
        </w:rPr>
      </w:pPr>
    </w:p>
    <w:p w:rsidR="00AF43D2" w:rsidRPr="00AF43D2" w:rsidRDefault="00AF43D2" w:rsidP="00AF43D2">
      <w:pPr>
        <w:autoSpaceDE w:val="0"/>
        <w:autoSpaceDN w:val="0"/>
        <w:adjustRightInd w:val="0"/>
        <w:rPr>
          <w:rFonts w:ascii="Arial" w:hAnsi="Arial" w:cs="Arial"/>
          <w:b/>
          <w:bCs/>
          <w:sz w:val="22"/>
          <w:szCs w:val="22"/>
        </w:rPr>
      </w:pPr>
      <w:r w:rsidRPr="00AF43D2">
        <w:rPr>
          <w:rFonts w:ascii="Arial" w:hAnsi="Arial" w:cs="Arial"/>
          <w:b/>
          <w:bCs/>
          <w:sz w:val="22"/>
          <w:szCs w:val="22"/>
        </w:rPr>
        <w:t>B. Clinical Description</w:t>
      </w:r>
    </w:p>
    <w:p w:rsidR="00AF43D2" w:rsidRPr="00AF43D2" w:rsidRDefault="00AF43D2" w:rsidP="00AF43D2">
      <w:pPr>
        <w:autoSpaceDE w:val="0"/>
        <w:autoSpaceDN w:val="0"/>
        <w:adjustRightInd w:val="0"/>
        <w:rPr>
          <w:rFonts w:ascii="Garamond-BookCondensed" w:hAnsi="Garamond-BookCondensed" w:cs="Garamond-BookCondensed"/>
          <w:sz w:val="20"/>
          <w:szCs w:val="20"/>
        </w:rPr>
      </w:pPr>
    </w:p>
    <w:p w:rsidR="0012562E" w:rsidRPr="0012562E" w:rsidRDefault="0012562E" w:rsidP="0012562E">
      <w:pPr>
        <w:widowControl w:val="0"/>
        <w:autoSpaceDE w:val="0"/>
        <w:autoSpaceDN w:val="0"/>
        <w:adjustRightInd w:val="0"/>
        <w:rPr>
          <w:rFonts w:eastAsia="Times New Roman" w:cs="ArialMT"/>
          <w:sz w:val="22"/>
          <w:szCs w:val="22"/>
        </w:rPr>
      </w:pPr>
      <w:proofErr w:type="spellStart"/>
      <w:r w:rsidRPr="0012562E">
        <w:rPr>
          <w:rFonts w:eastAsia="Times New Roman" w:cs="ArialMT"/>
          <w:sz w:val="22"/>
          <w:szCs w:val="22"/>
        </w:rPr>
        <w:t>TSS</w:t>
      </w:r>
      <w:proofErr w:type="spellEnd"/>
      <w:r w:rsidRPr="0012562E">
        <w:rPr>
          <w:rFonts w:eastAsia="Times New Roman" w:cs="ArialMT"/>
          <w:sz w:val="22"/>
          <w:szCs w:val="22"/>
        </w:rPr>
        <w:t xml:space="preserve"> is a severe, toxin-mediated illness characterized by sudden onset of high fever, vomiting, profuse watery diarrhea and </w:t>
      </w:r>
      <w:proofErr w:type="spellStart"/>
      <w:r w:rsidRPr="0012562E">
        <w:rPr>
          <w:rFonts w:eastAsia="Times New Roman" w:cs="ArialMT"/>
          <w:sz w:val="22"/>
          <w:szCs w:val="22"/>
        </w:rPr>
        <w:t>myalgia</w:t>
      </w:r>
      <w:proofErr w:type="spellEnd"/>
      <w:r w:rsidRPr="0012562E">
        <w:rPr>
          <w:rFonts w:eastAsia="Times New Roman" w:cs="ArialMT"/>
          <w:sz w:val="22"/>
          <w:szCs w:val="22"/>
        </w:rPr>
        <w:t xml:space="preserve">, followed by hypotension and multi-system organ involvement. The systems affected may include the gastrointestinal, muscular, </w:t>
      </w:r>
      <w:proofErr w:type="spellStart"/>
      <w:r w:rsidRPr="0012562E">
        <w:rPr>
          <w:rFonts w:eastAsia="Times New Roman" w:cs="ArialMT"/>
          <w:sz w:val="22"/>
          <w:szCs w:val="22"/>
        </w:rPr>
        <w:t>mucocutaneous</w:t>
      </w:r>
      <w:proofErr w:type="spellEnd"/>
      <w:r w:rsidRPr="0012562E">
        <w:rPr>
          <w:rFonts w:eastAsia="Times New Roman" w:cs="ArialMT"/>
          <w:sz w:val="22"/>
          <w:szCs w:val="22"/>
        </w:rPr>
        <w:t xml:space="preserve"> (including vagina, pharynx, and conjunctivae), renal, hepatic, respiratory, </w:t>
      </w:r>
      <w:proofErr w:type="spellStart"/>
      <w:r w:rsidRPr="0012562E">
        <w:rPr>
          <w:rFonts w:eastAsia="Times New Roman" w:cs="ArialMT"/>
          <w:sz w:val="22"/>
          <w:szCs w:val="22"/>
        </w:rPr>
        <w:t>hematologic</w:t>
      </w:r>
      <w:proofErr w:type="spellEnd"/>
      <w:r w:rsidRPr="0012562E">
        <w:rPr>
          <w:rFonts w:eastAsia="Times New Roman" w:cs="ArialMT"/>
          <w:sz w:val="22"/>
          <w:szCs w:val="22"/>
        </w:rPr>
        <w:t xml:space="preserve">, and central nervous systems. Severe cases may result in shock and death. A “sunburn like” rash is often present during the acute phase of the illness, with desquamation—especially on the soles and palms—typically occurring 1–2 weeks later. The gastrointestinal symptoms and </w:t>
      </w:r>
      <w:proofErr w:type="spellStart"/>
      <w:r w:rsidRPr="0012562E">
        <w:rPr>
          <w:rFonts w:eastAsia="Times New Roman" w:cs="ArialMT"/>
          <w:sz w:val="22"/>
          <w:szCs w:val="22"/>
        </w:rPr>
        <w:t>cutaneous</w:t>
      </w:r>
      <w:proofErr w:type="spellEnd"/>
      <w:r w:rsidRPr="0012562E">
        <w:rPr>
          <w:rFonts w:eastAsia="Times New Roman" w:cs="ArialMT"/>
          <w:sz w:val="22"/>
          <w:szCs w:val="22"/>
        </w:rPr>
        <w:t xml:space="preserve"> desquamation are more commonly present with </w:t>
      </w:r>
      <w:r w:rsidRPr="0012562E">
        <w:rPr>
          <w:rFonts w:eastAsia="Times New Roman" w:cs="ArialMT"/>
          <w:i/>
          <w:iCs/>
          <w:sz w:val="22"/>
          <w:szCs w:val="22"/>
        </w:rPr>
        <w:t xml:space="preserve">S. </w:t>
      </w:r>
      <w:proofErr w:type="spellStart"/>
      <w:r w:rsidRPr="0012562E">
        <w:rPr>
          <w:rFonts w:eastAsia="Times New Roman" w:cs="ArialMT"/>
          <w:i/>
          <w:iCs/>
          <w:sz w:val="22"/>
          <w:szCs w:val="22"/>
        </w:rPr>
        <w:t>aureus</w:t>
      </w:r>
      <w:proofErr w:type="spellEnd"/>
      <w:r w:rsidRPr="0012562E">
        <w:rPr>
          <w:rFonts w:eastAsia="Times New Roman" w:cs="ArialMT"/>
          <w:sz w:val="22"/>
          <w:szCs w:val="22"/>
        </w:rPr>
        <w:t xml:space="preserve">-mediated </w:t>
      </w:r>
      <w:proofErr w:type="spellStart"/>
      <w:r w:rsidRPr="0012562E">
        <w:rPr>
          <w:rFonts w:eastAsia="Times New Roman" w:cs="ArialMT"/>
          <w:sz w:val="22"/>
          <w:szCs w:val="22"/>
        </w:rPr>
        <w:t>TSS</w:t>
      </w:r>
      <w:proofErr w:type="spellEnd"/>
      <w:r w:rsidRPr="0012562E">
        <w:rPr>
          <w:rFonts w:eastAsia="Times New Roman" w:cs="ArialMT"/>
          <w:sz w:val="22"/>
          <w:szCs w:val="22"/>
        </w:rPr>
        <w:t xml:space="preserve"> than </w:t>
      </w:r>
      <w:r w:rsidR="00E3553E">
        <w:rPr>
          <w:rFonts w:eastAsia="Times New Roman" w:cs="ArialMT"/>
          <w:sz w:val="22"/>
          <w:szCs w:val="22"/>
        </w:rPr>
        <w:t xml:space="preserve">with </w:t>
      </w:r>
      <w:r w:rsidRPr="0012562E">
        <w:rPr>
          <w:rFonts w:eastAsia="Times New Roman" w:cs="ArialMT"/>
          <w:sz w:val="22"/>
          <w:szCs w:val="22"/>
        </w:rPr>
        <w:t xml:space="preserve">GAS-mediated </w:t>
      </w:r>
      <w:proofErr w:type="spellStart"/>
      <w:r w:rsidRPr="0012562E">
        <w:rPr>
          <w:rFonts w:eastAsia="Times New Roman" w:cs="ArialMT"/>
          <w:sz w:val="22"/>
          <w:szCs w:val="22"/>
        </w:rPr>
        <w:t>TSS</w:t>
      </w:r>
      <w:proofErr w:type="spellEnd"/>
      <w:r w:rsidRPr="0012562E">
        <w:rPr>
          <w:rFonts w:eastAsia="Times New Roman" w:cs="ArialMT"/>
          <w:sz w:val="22"/>
          <w:szCs w:val="22"/>
        </w:rPr>
        <w:t xml:space="preserve">. Pain is a common initial symptom of GAS-mediated </w:t>
      </w:r>
      <w:proofErr w:type="spellStart"/>
      <w:r w:rsidRPr="0012562E">
        <w:rPr>
          <w:rFonts w:eastAsia="Times New Roman" w:cs="ArialMT"/>
          <w:sz w:val="22"/>
          <w:szCs w:val="22"/>
        </w:rPr>
        <w:t>TSS</w:t>
      </w:r>
      <w:proofErr w:type="spellEnd"/>
      <w:r w:rsidRPr="0012562E">
        <w:rPr>
          <w:rFonts w:eastAsia="Times New Roman" w:cs="ArialMT"/>
          <w:sz w:val="22"/>
          <w:szCs w:val="22"/>
        </w:rPr>
        <w:t xml:space="preserve">, with 80% of patients having clinical signs of soft tissue infection, such as localized swelling and </w:t>
      </w:r>
      <w:proofErr w:type="spellStart"/>
      <w:r w:rsidRPr="0012562E">
        <w:rPr>
          <w:rFonts w:eastAsia="Times New Roman" w:cs="ArialMT"/>
          <w:sz w:val="22"/>
          <w:szCs w:val="22"/>
        </w:rPr>
        <w:t>erythema</w:t>
      </w:r>
      <w:proofErr w:type="spellEnd"/>
      <w:r w:rsidRPr="0012562E">
        <w:rPr>
          <w:rFonts w:eastAsia="Times New Roman" w:cs="ArialMT"/>
          <w:sz w:val="22"/>
          <w:szCs w:val="22"/>
        </w:rPr>
        <w:t xml:space="preserve">. Both forms of </w:t>
      </w:r>
      <w:proofErr w:type="spellStart"/>
      <w:r w:rsidRPr="0012562E">
        <w:rPr>
          <w:rFonts w:eastAsia="Times New Roman" w:cs="ArialMT"/>
          <w:sz w:val="22"/>
          <w:szCs w:val="22"/>
        </w:rPr>
        <w:t>TSS</w:t>
      </w:r>
      <w:proofErr w:type="spellEnd"/>
      <w:r w:rsidRPr="0012562E">
        <w:rPr>
          <w:rFonts w:eastAsia="Times New Roman" w:cs="ArialMT"/>
          <w:sz w:val="22"/>
          <w:szCs w:val="22"/>
        </w:rPr>
        <w:t xml:space="preserve"> may be associated with invasive infections and can be fatal. </w:t>
      </w:r>
      <w:proofErr w:type="spellStart"/>
      <w:r w:rsidRPr="0012562E">
        <w:rPr>
          <w:rFonts w:eastAsia="Times New Roman" w:cs="ArialMT"/>
          <w:sz w:val="22"/>
          <w:szCs w:val="22"/>
        </w:rPr>
        <w:t>TSS</w:t>
      </w:r>
      <w:proofErr w:type="spellEnd"/>
      <w:r w:rsidRPr="0012562E">
        <w:rPr>
          <w:rFonts w:eastAsia="Times New Roman" w:cs="ArialMT"/>
          <w:sz w:val="22"/>
          <w:szCs w:val="22"/>
        </w:rPr>
        <w:t xml:space="preserve"> may also occur without an identifiable focus of infection. Since </w:t>
      </w:r>
      <w:proofErr w:type="spellStart"/>
      <w:r w:rsidRPr="0012562E">
        <w:rPr>
          <w:rFonts w:eastAsia="Times New Roman" w:cs="ArialMT"/>
          <w:sz w:val="22"/>
          <w:szCs w:val="22"/>
        </w:rPr>
        <w:t>TSS</w:t>
      </w:r>
      <w:proofErr w:type="spellEnd"/>
      <w:r w:rsidRPr="0012562E">
        <w:rPr>
          <w:rFonts w:eastAsia="Times New Roman" w:cs="ArialMT"/>
          <w:sz w:val="22"/>
          <w:szCs w:val="22"/>
        </w:rPr>
        <w:t xml:space="preserve"> can be confused with many infectious and non-infectious causes of fever with </w:t>
      </w:r>
      <w:proofErr w:type="spellStart"/>
      <w:r w:rsidRPr="0012562E">
        <w:rPr>
          <w:rFonts w:eastAsia="Times New Roman" w:cs="ArialMT"/>
          <w:sz w:val="22"/>
          <w:szCs w:val="22"/>
        </w:rPr>
        <w:t>mucocutaneous</w:t>
      </w:r>
      <w:proofErr w:type="spellEnd"/>
      <w:r w:rsidRPr="0012562E">
        <w:rPr>
          <w:rFonts w:eastAsia="Times New Roman" w:cs="ArialMT"/>
          <w:sz w:val="22"/>
          <w:szCs w:val="22"/>
        </w:rPr>
        <w:t xml:space="preserve"> manifestations, diseases such as Rocky Mountain spotted fever, </w:t>
      </w:r>
      <w:proofErr w:type="spellStart"/>
      <w:r w:rsidRPr="0012562E">
        <w:rPr>
          <w:rFonts w:eastAsia="Times New Roman" w:cs="ArialMT"/>
          <w:sz w:val="22"/>
          <w:szCs w:val="22"/>
        </w:rPr>
        <w:t>leptospirosis</w:t>
      </w:r>
      <w:proofErr w:type="spellEnd"/>
      <w:r w:rsidRPr="0012562E">
        <w:rPr>
          <w:rFonts w:eastAsia="Times New Roman" w:cs="ArialMT"/>
          <w:sz w:val="22"/>
          <w:szCs w:val="22"/>
        </w:rPr>
        <w:t xml:space="preserve">, and measles should be ruled out. </w:t>
      </w:r>
    </w:p>
    <w:p w:rsidR="00AF43D2" w:rsidRPr="00AF43D2" w:rsidRDefault="00AF43D2" w:rsidP="00AF43D2">
      <w:pPr>
        <w:autoSpaceDE w:val="0"/>
        <w:autoSpaceDN w:val="0"/>
        <w:adjustRightInd w:val="0"/>
        <w:rPr>
          <w:rFonts w:ascii="Garamond-BookCondensed" w:hAnsi="Garamond-BookCondensed" w:cs="Garamond-BookCondensed"/>
        </w:rPr>
      </w:pPr>
    </w:p>
    <w:p w:rsidR="00AF43D2" w:rsidRPr="00AF43D2" w:rsidRDefault="00AF43D2" w:rsidP="00AF43D2">
      <w:pPr>
        <w:autoSpaceDE w:val="0"/>
        <w:autoSpaceDN w:val="0"/>
        <w:adjustRightInd w:val="0"/>
        <w:rPr>
          <w:rFonts w:ascii="Arial" w:hAnsi="Arial" w:cs="Arial"/>
          <w:b/>
          <w:bCs/>
          <w:sz w:val="22"/>
          <w:szCs w:val="22"/>
        </w:rPr>
      </w:pPr>
      <w:r w:rsidRPr="00AF43D2">
        <w:rPr>
          <w:rFonts w:ascii="Arial" w:hAnsi="Arial" w:cs="Arial"/>
          <w:b/>
          <w:bCs/>
          <w:sz w:val="22"/>
          <w:szCs w:val="22"/>
        </w:rPr>
        <w:t>C. Vectors and Reservoirs</w:t>
      </w:r>
    </w:p>
    <w:p w:rsidR="00AF43D2" w:rsidRPr="00AF43D2" w:rsidRDefault="00AF43D2" w:rsidP="00AF43D2">
      <w:pPr>
        <w:autoSpaceDE w:val="0"/>
        <w:autoSpaceDN w:val="0"/>
        <w:adjustRightInd w:val="0"/>
        <w:rPr>
          <w:rFonts w:ascii="Garamond-BookCondensed" w:hAnsi="Garamond-BookCondensed" w:cs="Garamond-BookCondensed"/>
          <w:sz w:val="22"/>
          <w:szCs w:val="22"/>
        </w:rPr>
      </w:pPr>
    </w:p>
    <w:p w:rsidR="0033247A" w:rsidRPr="0033247A" w:rsidRDefault="0033247A" w:rsidP="0033247A">
      <w:pPr>
        <w:widowControl w:val="0"/>
        <w:autoSpaceDE w:val="0"/>
        <w:autoSpaceDN w:val="0"/>
        <w:adjustRightInd w:val="0"/>
        <w:rPr>
          <w:rFonts w:eastAsia="Times New Roman" w:cs="ArialMT"/>
          <w:sz w:val="22"/>
          <w:szCs w:val="22"/>
        </w:rPr>
      </w:pPr>
      <w:r w:rsidRPr="0033247A">
        <w:rPr>
          <w:rFonts w:eastAsia="Times New Roman" w:cs="ArialMT"/>
          <w:sz w:val="22"/>
          <w:szCs w:val="22"/>
        </w:rPr>
        <w:t xml:space="preserve">Humans are the primary reservoir for both </w:t>
      </w:r>
      <w:r w:rsidRPr="0033247A">
        <w:rPr>
          <w:rFonts w:eastAsia="Times New Roman" w:cs="ArialMT"/>
          <w:i/>
          <w:iCs/>
          <w:sz w:val="22"/>
          <w:szCs w:val="22"/>
        </w:rPr>
        <w:t xml:space="preserve">S. </w:t>
      </w:r>
      <w:proofErr w:type="spellStart"/>
      <w:r w:rsidRPr="0033247A">
        <w:rPr>
          <w:rFonts w:eastAsia="Times New Roman" w:cs="ArialMT"/>
          <w:i/>
          <w:iCs/>
          <w:sz w:val="22"/>
          <w:szCs w:val="22"/>
        </w:rPr>
        <w:t>aureus</w:t>
      </w:r>
      <w:proofErr w:type="spellEnd"/>
      <w:r w:rsidRPr="0033247A">
        <w:rPr>
          <w:rFonts w:eastAsia="Times New Roman" w:cs="ArialMT"/>
          <w:i/>
          <w:iCs/>
          <w:sz w:val="22"/>
          <w:szCs w:val="22"/>
        </w:rPr>
        <w:t xml:space="preserve"> </w:t>
      </w:r>
      <w:r w:rsidRPr="0033247A">
        <w:rPr>
          <w:rFonts w:eastAsia="Times New Roman" w:cs="ArialMT"/>
          <w:sz w:val="22"/>
          <w:szCs w:val="22"/>
        </w:rPr>
        <w:t>and GAS.</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ascii="ArialMT" w:hAnsi="ArialMT" w:cs="ArialMT"/>
          <w:b/>
          <w:bCs/>
          <w:sz w:val="22"/>
          <w:szCs w:val="22"/>
        </w:rPr>
      </w:pPr>
      <w:r w:rsidRPr="0033247A">
        <w:rPr>
          <w:rFonts w:ascii="ArialMT" w:hAnsi="ArialMT" w:cs="ArialMT"/>
          <w:b/>
          <w:bCs/>
          <w:sz w:val="22"/>
          <w:szCs w:val="22"/>
        </w:rPr>
        <w:t>D. Modes of Transmission</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ascii="ArialMT" w:hAnsi="ArialMT" w:cs="ArialMT"/>
          <w:sz w:val="22"/>
          <w:szCs w:val="22"/>
        </w:rPr>
      </w:pPr>
      <w:r w:rsidRPr="0033247A">
        <w:rPr>
          <w:rFonts w:eastAsia="Times New Roman" w:cs="ArialMT"/>
          <w:sz w:val="22"/>
          <w:szCs w:val="22"/>
        </w:rPr>
        <w:t xml:space="preserve">While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itself is not communicable from person</w:t>
      </w:r>
      <w:r w:rsidR="00E3553E">
        <w:rPr>
          <w:rFonts w:eastAsia="Times New Roman" w:cs="ArialMT"/>
          <w:sz w:val="22"/>
          <w:szCs w:val="22"/>
        </w:rPr>
        <w:t>-</w:t>
      </w:r>
      <w:r w:rsidRPr="0033247A">
        <w:rPr>
          <w:rFonts w:eastAsia="Times New Roman" w:cs="ArialMT"/>
          <w:sz w:val="22"/>
          <w:szCs w:val="22"/>
        </w:rPr>
        <w:t>to</w:t>
      </w:r>
      <w:r w:rsidR="00E3553E">
        <w:rPr>
          <w:rFonts w:eastAsia="Times New Roman" w:cs="ArialMT"/>
          <w:sz w:val="22"/>
          <w:szCs w:val="22"/>
        </w:rPr>
        <w:t>-</w:t>
      </w:r>
      <w:r w:rsidRPr="0033247A">
        <w:rPr>
          <w:rFonts w:eastAsia="Times New Roman" w:cs="ArialMT"/>
          <w:sz w:val="22"/>
          <w:szCs w:val="22"/>
        </w:rPr>
        <w:t xml:space="preserve">person, the organisms that cause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are transmissible. Both </w:t>
      </w:r>
      <w:r w:rsidRPr="0033247A">
        <w:rPr>
          <w:rFonts w:eastAsia="Times New Roman" w:cs="ArialMT"/>
          <w:i/>
          <w:iCs/>
          <w:sz w:val="22"/>
          <w:szCs w:val="22"/>
        </w:rPr>
        <w:t xml:space="preserve">S. </w:t>
      </w:r>
      <w:proofErr w:type="spellStart"/>
      <w:r w:rsidRPr="0033247A">
        <w:rPr>
          <w:rFonts w:eastAsia="Times New Roman" w:cs="ArialMT"/>
          <w:i/>
          <w:iCs/>
          <w:sz w:val="22"/>
          <w:szCs w:val="22"/>
        </w:rPr>
        <w:t>aureus</w:t>
      </w:r>
      <w:proofErr w:type="spellEnd"/>
      <w:r w:rsidRPr="0033247A">
        <w:rPr>
          <w:rFonts w:eastAsia="Times New Roman" w:cs="ArialMT"/>
          <w:i/>
          <w:iCs/>
          <w:sz w:val="22"/>
          <w:szCs w:val="22"/>
        </w:rPr>
        <w:t xml:space="preserve"> </w:t>
      </w:r>
      <w:r w:rsidRPr="0033247A">
        <w:rPr>
          <w:rFonts w:eastAsia="Times New Roman" w:cs="ArialMT"/>
          <w:sz w:val="22"/>
          <w:szCs w:val="22"/>
        </w:rPr>
        <w:t xml:space="preserve">and GAS are transmitted through direct contact with </w:t>
      </w:r>
      <w:r w:rsidR="00E3553E">
        <w:rPr>
          <w:rFonts w:eastAsia="Times New Roman" w:cs="ArialMT"/>
          <w:sz w:val="22"/>
          <w:szCs w:val="22"/>
        </w:rPr>
        <w:t xml:space="preserve">infected </w:t>
      </w:r>
      <w:r w:rsidRPr="0033247A">
        <w:rPr>
          <w:rFonts w:eastAsia="Times New Roman" w:cs="ArialMT"/>
          <w:sz w:val="22"/>
          <w:szCs w:val="22"/>
        </w:rPr>
        <w:t xml:space="preserve">lesions or contaminated respiratory secretions, including droplets. </w:t>
      </w:r>
      <w:r w:rsidR="00E3553E">
        <w:rPr>
          <w:rFonts w:eastAsia="Times New Roman" w:cs="ArialMT"/>
          <w:sz w:val="22"/>
          <w:szCs w:val="22"/>
        </w:rPr>
        <w:t>Both</w:t>
      </w:r>
      <w:r w:rsidRPr="0033247A">
        <w:rPr>
          <w:rFonts w:eastAsia="Times New Roman" w:cs="ArialMT"/>
          <w:sz w:val="22"/>
          <w:szCs w:val="22"/>
        </w:rPr>
        <w:t xml:space="preserve"> </w:t>
      </w:r>
      <w:r w:rsidRPr="0033247A">
        <w:rPr>
          <w:rFonts w:eastAsia="Times New Roman" w:cs="ArialMT"/>
          <w:i/>
          <w:iCs/>
          <w:sz w:val="22"/>
          <w:szCs w:val="22"/>
        </w:rPr>
        <w:t xml:space="preserve">S. </w:t>
      </w:r>
      <w:proofErr w:type="spellStart"/>
      <w:r w:rsidRPr="0033247A">
        <w:rPr>
          <w:rFonts w:eastAsia="Times New Roman" w:cs="ArialMT"/>
          <w:i/>
          <w:iCs/>
          <w:sz w:val="22"/>
          <w:szCs w:val="22"/>
        </w:rPr>
        <w:t>aureus</w:t>
      </w:r>
      <w:proofErr w:type="spellEnd"/>
      <w:r w:rsidRPr="0033247A">
        <w:rPr>
          <w:rFonts w:eastAsia="Times New Roman" w:cs="ArialMT"/>
          <w:i/>
          <w:iCs/>
          <w:sz w:val="22"/>
          <w:szCs w:val="22"/>
        </w:rPr>
        <w:t xml:space="preserve"> </w:t>
      </w:r>
      <w:r w:rsidR="00E3553E">
        <w:rPr>
          <w:rFonts w:eastAsia="Times New Roman" w:cs="ArialMT"/>
          <w:sz w:val="22"/>
          <w:szCs w:val="22"/>
        </w:rPr>
        <w:t xml:space="preserve">and GAS may also be transmitted by </w:t>
      </w:r>
      <w:r w:rsidRPr="0033247A">
        <w:rPr>
          <w:rFonts w:eastAsia="Times New Roman" w:cs="ArialMT"/>
          <w:sz w:val="22"/>
          <w:szCs w:val="22"/>
        </w:rPr>
        <w:t xml:space="preserve">indirect contact through </w:t>
      </w:r>
      <w:r w:rsidR="00E3553E">
        <w:rPr>
          <w:rFonts w:eastAsia="Times New Roman" w:cs="ArialMT"/>
          <w:sz w:val="22"/>
          <w:szCs w:val="22"/>
        </w:rPr>
        <w:t xml:space="preserve">contaminated </w:t>
      </w:r>
      <w:r w:rsidRPr="0033247A">
        <w:rPr>
          <w:rFonts w:eastAsia="Times New Roman" w:cs="ArialMT"/>
          <w:sz w:val="22"/>
          <w:szCs w:val="22"/>
        </w:rPr>
        <w:t xml:space="preserve">objects </w:t>
      </w:r>
      <w:r w:rsidR="00E3553E">
        <w:rPr>
          <w:rFonts w:eastAsia="Times New Roman" w:cs="ArialMT"/>
          <w:sz w:val="22"/>
          <w:szCs w:val="22"/>
        </w:rPr>
        <w:t xml:space="preserve">as </w:t>
      </w:r>
      <w:r w:rsidRPr="0033247A">
        <w:rPr>
          <w:rFonts w:eastAsia="Times New Roman" w:cs="ArialMT"/>
          <w:sz w:val="22"/>
          <w:szCs w:val="22"/>
        </w:rPr>
        <w:t>has occurred in schools (contaminated wrestling mats) and in daycare centers (through play food and shared toys). Nose, throat, skin, anal, and vaginal carriers can all serve as sources of GAS infection</w:t>
      </w:r>
      <w:r w:rsidRPr="0033247A">
        <w:rPr>
          <w:rFonts w:ascii="ArialMT" w:hAnsi="ArialMT" w:cs="ArialMT"/>
          <w:sz w:val="22"/>
          <w:szCs w:val="22"/>
        </w:rPr>
        <w:t>.</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ascii="ArialMT" w:hAnsi="ArialMT" w:cs="ArialMT"/>
          <w:b/>
          <w:bCs/>
          <w:sz w:val="22"/>
          <w:szCs w:val="22"/>
        </w:rPr>
      </w:pPr>
      <w:r w:rsidRPr="0033247A">
        <w:rPr>
          <w:rFonts w:ascii="ArialMT" w:hAnsi="ArialMT" w:cs="ArialMT"/>
          <w:b/>
          <w:bCs/>
          <w:sz w:val="22"/>
          <w:szCs w:val="22"/>
        </w:rPr>
        <w:t>E. Incubation Period</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eastAsia="Times New Roman" w:cs="ArialMT"/>
          <w:sz w:val="22"/>
          <w:szCs w:val="22"/>
        </w:rPr>
      </w:pPr>
      <w:r w:rsidRPr="0033247A">
        <w:rPr>
          <w:rFonts w:eastAsia="Times New Roman" w:cs="ArialMT"/>
          <w:sz w:val="22"/>
          <w:szCs w:val="22"/>
        </w:rPr>
        <w:t xml:space="preserve">The incubation periods for both </w:t>
      </w:r>
      <w:r w:rsidRPr="0033247A">
        <w:rPr>
          <w:rFonts w:eastAsia="Times New Roman" w:cs="ArialMT"/>
          <w:i/>
          <w:iCs/>
          <w:sz w:val="22"/>
          <w:szCs w:val="22"/>
        </w:rPr>
        <w:t xml:space="preserve">S. </w:t>
      </w:r>
      <w:proofErr w:type="spellStart"/>
      <w:r w:rsidRPr="0033247A">
        <w:rPr>
          <w:rFonts w:eastAsia="Times New Roman" w:cs="ArialMT"/>
          <w:i/>
          <w:iCs/>
          <w:sz w:val="22"/>
          <w:szCs w:val="22"/>
        </w:rPr>
        <w:t>aureus</w:t>
      </w:r>
      <w:proofErr w:type="spellEnd"/>
      <w:r w:rsidRPr="0033247A">
        <w:rPr>
          <w:rFonts w:eastAsia="Times New Roman" w:cs="ArialMT"/>
          <w:sz w:val="22"/>
          <w:szCs w:val="22"/>
        </w:rPr>
        <w:t xml:space="preserve">-mediated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and GAS-mediated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vary from hours to days, depending on the source and the route of infection. For post-operative </w:t>
      </w:r>
      <w:r w:rsidRPr="0033247A">
        <w:rPr>
          <w:rFonts w:eastAsia="Times New Roman" w:cs="ArialMT"/>
          <w:i/>
          <w:iCs/>
          <w:sz w:val="22"/>
          <w:szCs w:val="22"/>
        </w:rPr>
        <w:t xml:space="preserve">S. </w:t>
      </w:r>
      <w:proofErr w:type="spellStart"/>
      <w:r w:rsidRPr="0033247A">
        <w:rPr>
          <w:rFonts w:eastAsia="Times New Roman" w:cs="ArialMT"/>
          <w:i/>
          <w:iCs/>
          <w:sz w:val="22"/>
          <w:szCs w:val="22"/>
        </w:rPr>
        <w:t>aureus</w:t>
      </w:r>
      <w:proofErr w:type="spellEnd"/>
      <w:r w:rsidRPr="0033247A">
        <w:rPr>
          <w:rFonts w:eastAsia="Times New Roman" w:cs="ArialMT"/>
          <w:sz w:val="22"/>
          <w:szCs w:val="22"/>
        </w:rPr>
        <w:t xml:space="preserve">-mediated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the incubation period can be as short as 12 hours. For GAS-mediated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the incubation period can </w:t>
      </w:r>
      <w:r w:rsidR="00E3553E">
        <w:rPr>
          <w:rFonts w:eastAsia="Times New Roman" w:cs="ArialMT"/>
          <w:sz w:val="22"/>
          <w:szCs w:val="22"/>
        </w:rPr>
        <w:t xml:space="preserve">also </w:t>
      </w:r>
      <w:r w:rsidRPr="0033247A">
        <w:rPr>
          <w:rFonts w:eastAsia="Times New Roman" w:cs="ArialMT"/>
          <w:sz w:val="22"/>
          <w:szCs w:val="22"/>
        </w:rPr>
        <w:t xml:space="preserve">be as </w:t>
      </w:r>
      <w:r w:rsidRPr="0033247A">
        <w:rPr>
          <w:rFonts w:eastAsia="Times New Roman" w:cs="ArialMT"/>
          <w:sz w:val="22"/>
          <w:szCs w:val="22"/>
        </w:rPr>
        <w:lastRenderedPageBreak/>
        <w:t>short as 1</w:t>
      </w:r>
      <w:r w:rsidR="00E3553E">
        <w:rPr>
          <w:rFonts w:eastAsia="Times New Roman" w:cs="ArialMT"/>
          <w:sz w:val="22"/>
          <w:szCs w:val="22"/>
        </w:rPr>
        <w:t>2</w:t>
      </w:r>
      <w:r w:rsidRPr="0033247A">
        <w:rPr>
          <w:rFonts w:eastAsia="Times New Roman" w:cs="ArialMT"/>
          <w:sz w:val="22"/>
          <w:szCs w:val="22"/>
        </w:rPr>
        <w:t xml:space="preserve"> hours after the subcutaneous inoculation of GAS, such as might occur during childbirth or </w:t>
      </w:r>
      <w:r w:rsidR="00E3553E">
        <w:rPr>
          <w:rFonts w:eastAsia="Times New Roman" w:cs="ArialMT"/>
          <w:sz w:val="22"/>
          <w:szCs w:val="22"/>
        </w:rPr>
        <w:t xml:space="preserve">after </w:t>
      </w:r>
      <w:r w:rsidRPr="0033247A">
        <w:rPr>
          <w:rFonts w:eastAsia="Times New Roman" w:cs="ArialMT"/>
          <w:sz w:val="22"/>
          <w:szCs w:val="22"/>
        </w:rPr>
        <w:t>injury.</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ascii="ArialMT" w:hAnsi="ArialMT" w:cs="ArialMT"/>
          <w:b/>
          <w:bCs/>
          <w:sz w:val="22"/>
          <w:szCs w:val="22"/>
        </w:rPr>
      </w:pPr>
      <w:r w:rsidRPr="0033247A">
        <w:rPr>
          <w:rFonts w:ascii="ArialMT" w:hAnsi="ArialMT" w:cs="ArialMT"/>
          <w:b/>
          <w:bCs/>
          <w:sz w:val="22"/>
          <w:szCs w:val="22"/>
        </w:rPr>
        <w:t>F. Period of Communicability or Infectious Period</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eastAsia="Times New Roman" w:cs="ArialMT"/>
          <w:sz w:val="22"/>
          <w:szCs w:val="22"/>
        </w:rPr>
      </w:pPr>
      <w:proofErr w:type="spellStart"/>
      <w:r w:rsidRPr="0033247A">
        <w:rPr>
          <w:rFonts w:eastAsia="Times New Roman" w:cs="ArialMT"/>
          <w:sz w:val="22"/>
          <w:szCs w:val="22"/>
        </w:rPr>
        <w:t>TSS</w:t>
      </w:r>
      <w:proofErr w:type="spellEnd"/>
      <w:r w:rsidRPr="0033247A">
        <w:rPr>
          <w:rFonts w:eastAsia="Times New Roman" w:cs="ArialMT"/>
          <w:sz w:val="22"/>
          <w:szCs w:val="22"/>
        </w:rPr>
        <w:t xml:space="preserve"> itself is not communicable from person</w:t>
      </w:r>
      <w:r w:rsidR="00E3553E">
        <w:rPr>
          <w:rFonts w:eastAsia="Times New Roman" w:cs="ArialMT"/>
          <w:sz w:val="22"/>
          <w:szCs w:val="22"/>
        </w:rPr>
        <w:t>-</w:t>
      </w:r>
      <w:r w:rsidRPr="0033247A">
        <w:rPr>
          <w:rFonts w:eastAsia="Times New Roman" w:cs="ArialMT"/>
          <w:sz w:val="22"/>
          <w:szCs w:val="22"/>
        </w:rPr>
        <w:t>to</w:t>
      </w:r>
      <w:r w:rsidR="00E3553E">
        <w:rPr>
          <w:rFonts w:eastAsia="Times New Roman" w:cs="ArialMT"/>
          <w:sz w:val="22"/>
          <w:szCs w:val="22"/>
        </w:rPr>
        <w:t>-</w:t>
      </w:r>
      <w:r w:rsidRPr="0033247A">
        <w:rPr>
          <w:rFonts w:eastAsia="Times New Roman" w:cs="ArialMT"/>
          <w:sz w:val="22"/>
          <w:szCs w:val="22"/>
        </w:rPr>
        <w:t xml:space="preserve">person, but the bacteria that cause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are transmissible. With </w:t>
      </w:r>
      <w:r w:rsidRPr="0033247A">
        <w:rPr>
          <w:rFonts w:eastAsia="Times New Roman" w:cs="ArialMT"/>
          <w:i/>
          <w:iCs/>
          <w:sz w:val="22"/>
          <w:szCs w:val="22"/>
        </w:rPr>
        <w:t xml:space="preserve">S. </w:t>
      </w:r>
      <w:proofErr w:type="spellStart"/>
      <w:r w:rsidRPr="0033247A">
        <w:rPr>
          <w:rFonts w:eastAsia="Times New Roman" w:cs="ArialMT"/>
          <w:i/>
          <w:iCs/>
          <w:sz w:val="22"/>
          <w:szCs w:val="22"/>
        </w:rPr>
        <w:t>aureus</w:t>
      </w:r>
      <w:proofErr w:type="spellEnd"/>
      <w:r w:rsidRPr="0033247A">
        <w:rPr>
          <w:rFonts w:eastAsia="Times New Roman" w:cs="ArialMT"/>
          <w:i/>
          <w:iCs/>
          <w:sz w:val="22"/>
          <w:szCs w:val="22"/>
        </w:rPr>
        <w:t xml:space="preserve">, </w:t>
      </w:r>
      <w:r w:rsidRPr="0033247A">
        <w:rPr>
          <w:rFonts w:eastAsia="Times New Roman" w:cs="ArialMT"/>
          <w:sz w:val="22"/>
          <w:szCs w:val="22"/>
        </w:rPr>
        <w:t xml:space="preserve">the infectious period lasts as long as lesions drain or the carrier state exists. In untreated, uncomplicated GAS cases, the infectious period may be 10–21 days; if purulent discharge is present, the infectious period may be extended to weeks or months. Persons with untreated GAS </w:t>
      </w:r>
      <w:proofErr w:type="spellStart"/>
      <w:r w:rsidRPr="0033247A">
        <w:rPr>
          <w:rFonts w:eastAsia="Times New Roman" w:cs="ArialMT"/>
          <w:sz w:val="22"/>
          <w:szCs w:val="22"/>
        </w:rPr>
        <w:t>pharyngitis</w:t>
      </w:r>
      <w:proofErr w:type="spellEnd"/>
      <w:r w:rsidRPr="0033247A">
        <w:rPr>
          <w:rFonts w:eastAsia="Times New Roman" w:cs="ArialMT"/>
          <w:sz w:val="22"/>
          <w:szCs w:val="22"/>
        </w:rPr>
        <w:t xml:space="preserve"> may carry and transmit the bacteria for weeks or months, with decreasing contagiousness 2–3 weeks after illness onset.</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ascii="ArialMT" w:hAnsi="ArialMT" w:cs="ArialMT"/>
          <w:b/>
          <w:bCs/>
          <w:sz w:val="22"/>
          <w:szCs w:val="22"/>
        </w:rPr>
      </w:pPr>
      <w:r w:rsidRPr="0033247A">
        <w:rPr>
          <w:rFonts w:ascii="ArialMT" w:hAnsi="ArialMT" w:cs="ArialMT"/>
          <w:b/>
          <w:bCs/>
          <w:sz w:val="22"/>
          <w:szCs w:val="22"/>
        </w:rPr>
        <w:t>G. Epidemiology</w:t>
      </w:r>
    </w:p>
    <w:p w:rsidR="0033247A" w:rsidRPr="0033247A" w:rsidRDefault="0033247A" w:rsidP="0033247A">
      <w:pPr>
        <w:widowControl w:val="0"/>
        <w:autoSpaceDE w:val="0"/>
        <w:autoSpaceDN w:val="0"/>
        <w:adjustRightInd w:val="0"/>
        <w:rPr>
          <w:rFonts w:ascii="ArialMT" w:hAnsi="ArialMT" w:cs="ArialMT"/>
          <w:sz w:val="22"/>
          <w:szCs w:val="22"/>
        </w:rPr>
      </w:pPr>
      <w:r w:rsidRPr="0033247A">
        <w:rPr>
          <w:rFonts w:ascii="ArialMT" w:hAnsi="ArialMT" w:cs="ArialMT"/>
          <w:sz w:val="22"/>
          <w:szCs w:val="22"/>
        </w:rPr>
        <w:t xml:space="preserve"> </w:t>
      </w:r>
    </w:p>
    <w:p w:rsidR="0033247A" w:rsidRPr="0033247A" w:rsidRDefault="0033247A" w:rsidP="0033247A">
      <w:pPr>
        <w:widowControl w:val="0"/>
        <w:autoSpaceDE w:val="0"/>
        <w:autoSpaceDN w:val="0"/>
        <w:adjustRightInd w:val="0"/>
        <w:rPr>
          <w:rFonts w:eastAsia="Times New Roman" w:cs="ArialMT"/>
          <w:sz w:val="22"/>
          <w:szCs w:val="22"/>
        </w:rPr>
      </w:pPr>
      <w:r w:rsidRPr="0033247A">
        <w:rPr>
          <w:rFonts w:eastAsia="Times New Roman" w:cs="ArialMT"/>
          <w:sz w:val="22"/>
          <w:szCs w:val="22"/>
        </w:rPr>
        <w:t xml:space="preserve">In 1980,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became widely recognized when an association between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and the use of tampons was established. Since that time, the proportion of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cases associated with menstruation has decreased. Cases of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have been associated with childbirth, abortion, vaginal infection, surgical wound infection, focal lesions of the bone or respiratory tract, and </w:t>
      </w:r>
      <w:proofErr w:type="spellStart"/>
      <w:r w:rsidRPr="0033247A">
        <w:rPr>
          <w:rFonts w:eastAsia="Times New Roman" w:cs="ArialMT"/>
          <w:sz w:val="22"/>
          <w:szCs w:val="22"/>
        </w:rPr>
        <w:t>cutaneous</w:t>
      </w:r>
      <w:proofErr w:type="spellEnd"/>
      <w:r w:rsidRPr="0033247A">
        <w:rPr>
          <w:rFonts w:eastAsia="Times New Roman" w:cs="ArialMT"/>
          <w:sz w:val="22"/>
          <w:szCs w:val="22"/>
        </w:rPr>
        <w:t xml:space="preserve"> or subcutaneous lesions. The source of infection is unknown in up to one-third of cases. Cases </w:t>
      </w:r>
      <w:r w:rsidR="00E3553E">
        <w:rPr>
          <w:rFonts w:eastAsia="Times New Roman" w:cs="ArialMT"/>
          <w:sz w:val="22"/>
          <w:szCs w:val="22"/>
        </w:rPr>
        <w:t>occur</w:t>
      </w:r>
      <w:r w:rsidRPr="0033247A">
        <w:rPr>
          <w:rFonts w:eastAsia="Times New Roman" w:cs="ArialMT"/>
          <w:sz w:val="22"/>
          <w:szCs w:val="22"/>
        </w:rPr>
        <w:t xml:space="preserve"> in both males and females. Persons considered </w:t>
      </w:r>
      <w:proofErr w:type="gramStart"/>
      <w:r w:rsidRPr="0033247A">
        <w:rPr>
          <w:rFonts w:eastAsia="Times New Roman" w:cs="ArialMT"/>
          <w:sz w:val="22"/>
          <w:szCs w:val="22"/>
        </w:rPr>
        <w:t>to be</w:t>
      </w:r>
      <w:proofErr w:type="gramEnd"/>
      <w:r w:rsidRPr="0033247A">
        <w:rPr>
          <w:rFonts w:eastAsia="Times New Roman" w:cs="ArialMT"/>
          <w:sz w:val="22"/>
          <w:szCs w:val="22"/>
        </w:rPr>
        <w:t xml:space="preserve"> at higher risk for </w:t>
      </w:r>
      <w:r w:rsidRPr="0033247A">
        <w:rPr>
          <w:rFonts w:eastAsia="Times New Roman" w:cs="ArialMT"/>
          <w:i/>
          <w:iCs/>
          <w:sz w:val="22"/>
          <w:szCs w:val="22"/>
        </w:rPr>
        <w:t xml:space="preserve">S. </w:t>
      </w:r>
      <w:proofErr w:type="spellStart"/>
      <w:r w:rsidRPr="0033247A">
        <w:rPr>
          <w:rFonts w:eastAsia="Times New Roman" w:cs="ArialMT"/>
          <w:i/>
          <w:iCs/>
          <w:sz w:val="22"/>
          <w:szCs w:val="22"/>
        </w:rPr>
        <w:t>aureus</w:t>
      </w:r>
      <w:proofErr w:type="spellEnd"/>
      <w:r w:rsidRPr="0033247A">
        <w:rPr>
          <w:rFonts w:eastAsia="Times New Roman" w:cs="ArialMT"/>
          <w:sz w:val="22"/>
          <w:szCs w:val="22"/>
        </w:rPr>
        <w:t xml:space="preserve">-mediated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include: 1) menstruating women using tampons or other inserted vaginal devices (such as diaphragms or contraceptive sponges); 2) persons who have undergone nasal surgery; and 3) persons with post-operative staphylococcal wound infections. People who have chronic cardiac or pulmonary disease, diabetes mellitus, or HIV </w:t>
      </w:r>
      <w:proofErr w:type="gramStart"/>
      <w:r w:rsidRPr="0033247A">
        <w:rPr>
          <w:rFonts w:eastAsia="Times New Roman" w:cs="ArialMT"/>
          <w:sz w:val="22"/>
          <w:szCs w:val="22"/>
        </w:rPr>
        <w:t>infection,</w:t>
      </w:r>
      <w:proofErr w:type="gramEnd"/>
      <w:r w:rsidRPr="0033247A">
        <w:rPr>
          <w:rFonts w:eastAsia="Times New Roman" w:cs="ArialMT"/>
          <w:sz w:val="22"/>
          <w:szCs w:val="22"/>
        </w:rPr>
        <w:t xml:space="preserve"> or persons who inject drugs or abuse alcohol are believed to be at higher risk for GAS-mediated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The incidence of GAS-mediated </w:t>
      </w:r>
      <w:proofErr w:type="spellStart"/>
      <w:r w:rsidRPr="0033247A">
        <w:rPr>
          <w:rFonts w:eastAsia="Times New Roman" w:cs="ArialMT"/>
          <w:sz w:val="22"/>
          <w:szCs w:val="22"/>
        </w:rPr>
        <w:t>TSS</w:t>
      </w:r>
      <w:proofErr w:type="spellEnd"/>
      <w:r w:rsidRPr="0033247A">
        <w:rPr>
          <w:rFonts w:eastAsia="Times New Roman" w:cs="ArialMT"/>
          <w:sz w:val="22"/>
          <w:szCs w:val="22"/>
        </w:rPr>
        <w:t xml:space="preserve"> is also higher in the elderly and in young children, especially those with concomitant </w:t>
      </w:r>
      <w:proofErr w:type="spellStart"/>
      <w:r w:rsidRPr="0033247A">
        <w:rPr>
          <w:rFonts w:eastAsia="Times New Roman" w:cs="ArialMT"/>
          <w:sz w:val="22"/>
          <w:szCs w:val="22"/>
        </w:rPr>
        <w:t>varicella</w:t>
      </w:r>
      <w:proofErr w:type="spellEnd"/>
      <w:r w:rsidRPr="0033247A">
        <w:rPr>
          <w:rFonts w:eastAsia="Times New Roman" w:cs="ArialMT"/>
          <w:sz w:val="22"/>
          <w:szCs w:val="22"/>
        </w:rPr>
        <w:t xml:space="preserve"> infection. </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ascii="ArialMT" w:hAnsi="ArialMT" w:cs="ArialMT"/>
          <w:b/>
          <w:bCs/>
          <w:sz w:val="22"/>
          <w:szCs w:val="22"/>
        </w:rPr>
      </w:pPr>
      <w:r w:rsidRPr="0033247A">
        <w:rPr>
          <w:rFonts w:ascii="ArialMT" w:hAnsi="ArialMT" w:cs="ArialMT"/>
          <w:b/>
          <w:bCs/>
          <w:sz w:val="22"/>
          <w:szCs w:val="22"/>
        </w:rPr>
        <w:t>H. Bioterrorist Potential</w:t>
      </w:r>
    </w:p>
    <w:p w:rsidR="0033247A" w:rsidRPr="0033247A" w:rsidRDefault="0033247A" w:rsidP="0033247A">
      <w:pPr>
        <w:widowControl w:val="0"/>
        <w:autoSpaceDE w:val="0"/>
        <w:autoSpaceDN w:val="0"/>
        <w:adjustRightInd w:val="0"/>
        <w:rPr>
          <w:rFonts w:ascii="ArialMT" w:hAnsi="ArialMT" w:cs="ArialMT"/>
          <w:sz w:val="22"/>
          <w:szCs w:val="22"/>
        </w:rPr>
      </w:pPr>
    </w:p>
    <w:p w:rsidR="0033247A" w:rsidRPr="0033247A" w:rsidRDefault="0033247A" w:rsidP="0033247A">
      <w:pPr>
        <w:widowControl w:val="0"/>
        <w:autoSpaceDE w:val="0"/>
        <w:autoSpaceDN w:val="0"/>
        <w:adjustRightInd w:val="0"/>
        <w:rPr>
          <w:rFonts w:eastAsia="Times New Roman" w:cs="ArialMT"/>
          <w:sz w:val="20"/>
          <w:szCs w:val="20"/>
        </w:rPr>
      </w:pPr>
      <w:r w:rsidRPr="0033247A">
        <w:rPr>
          <w:rFonts w:eastAsia="Times New Roman" w:cs="ArialMT"/>
          <w:sz w:val="22"/>
          <w:szCs w:val="22"/>
        </w:rPr>
        <w:t>These pathogens are not considered to be of risk for use in bioterrorism.</w:t>
      </w:r>
    </w:p>
    <w:p w:rsidR="00AF43D2" w:rsidRPr="00AF43D2" w:rsidRDefault="00AF43D2" w:rsidP="00AF43D2">
      <w:pPr>
        <w:autoSpaceDE w:val="0"/>
        <w:autoSpaceDN w:val="0"/>
        <w:adjustRightInd w:val="0"/>
        <w:rPr>
          <w:rFonts w:ascii="Garamond-BookCondensed" w:hAnsi="Garamond-BookCondensed" w:cs="Garamond-BookCondensed"/>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2</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REPORTING CRITERIA AND LABORATORY TESTING</w:t>
      </w:r>
    </w:p>
    <w:p w:rsidR="00622F42" w:rsidRPr="00622F42" w:rsidRDefault="00622F42" w:rsidP="00622F42">
      <w:pPr>
        <w:autoSpaceDE w:val="0"/>
        <w:autoSpaceDN w:val="0"/>
        <w:adjustRightInd w:val="0"/>
        <w:rPr>
          <w:rFonts w:ascii="TradeGothic-BoldCondTwenty" w:hAnsi="TradeGothic-BoldCondTwenty"/>
          <w:b/>
          <w:bCs/>
          <w:sz w:val="22"/>
          <w:szCs w:val="26"/>
        </w:rPr>
      </w:pPr>
    </w:p>
    <w:p w:rsidR="00622F42" w:rsidRPr="00622F42" w:rsidRDefault="00622F42" w:rsidP="00622F42">
      <w:pPr>
        <w:autoSpaceDE w:val="0"/>
        <w:autoSpaceDN w:val="0"/>
        <w:adjustRightInd w:val="0"/>
        <w:rPr>
          <w:rFonts w:ascii="Arial" w:hAnsi="Arial" w:cs="Arial"/>
          <w:b/>
          <w:bCs/>
          <w:sz w:val="22"/>
          <w:szCs w:val="22"/>
        </w:rPr>
      </w:pPr>
      <w:r w:rsidRPr="00622F42">
        <w:rPr>
          <w:rFonts w:ascii="Arial" w:hAnsi="Arial" w:cs="Arial"/>
          <w:b/>
          <w:bCs/>
          <w:sz w:val="22"/>
          <w:szCs w:val="22"/>
        </w:rPr>
        <w:t>A. What to Report to the Massachusetts Department of Public Health (</w:t>
      </w:r>
      <w:proofErr w:type="spellStart"/>
      <w:r w:rsidRPr="00622F42">
        <w:rPr>
          <w:rFonts w:ascii="Arial" w:hAnsi="Arial" w:cs="Arial"/>
          <w:b/>
          <w:bCs/>
          <w:sz w:val="22"/>
          <w:szCs w:val="22"/>
        </w:rPr>
        <w:t>MDPH</w:t>
      </w:r>
      <w:proofErr w:type="spellEnd"/>
      <w:r w:rsidRPr="00622F42">
        <w:rPr>
          <w:rFonts w:ascii="Arial" w:hAnsi="Arial" w:cs="Arial"/>
          <w:b/>
          <w:bCs/>
          <w:sz w:val="22"/>
          <w:szCs w:val="22"/>
        </w:rPr>
        <w:t>)</w:t>
      </w:r>
    </w:p>
    <w:p w:rsidR="00622F42" w:rsidRPr="00622F42" w:rsidRDefault="00622F42" w:rsidP="00622F42">
      <w:pPr>
        <w:autoSpaceDE w:val="0"/>
        <w:autoSpaceDN w:val="0"/>
        <w:adjustRightInd w:val="0"/>
        <w:rPr>
          <w:rFonts w:ascii="Garamond-BookCondensed" w:hAnsi="Garamond-BookCondensed"/>
          <w:sz w:val="20"/>
        </w:rPr>
      </w:pPr>
    </w:p>
    <w:p w:rsidR="00342164" w:rsidRPr="007677A0" w:rsidRDefault="00342164" w:rsidP="00342164">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Report a clinically diagnosed case of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as reported by a health care provider.</w:t>
      </w:r>
    </w:p>
    <w:p w:rsidR="00342164" w:rsidRPr="00342164" w:rsidRDefault="00342164" w:rsidP="00342164">
      <w:pPr>
        <w:widowControl w:val="0"/>
        <w:autoSpaceDE w:val="0"/>
        <w:autoSpaceDN w:val="0"/>
        <w:adjustRightInd w:val="0"/>
        <w:rPr>
          <w:rFonts w:ascii="ArialMT" w:hAnsi="ArialMT" w:cs="ArialMT"/>
          <w:sz w:val="22"/>
          <w:szCs w:val="22"/>
        </w:rPr>
      </w:pPr>
    </w:p>
    <w:p w:rsidR="00342164" w:rsidRPr="00342164" w:rsidRDefault="00342164" w:rsidP="00342164">
      <w:pPr>
        <w:widowControl w:val="0"/>
        <w:autoSpaceDE w:val="0"/>
        <w:autoSpaceDN w:val="0"/>
        <w:adjustRightInd w:val="0"/>
        <w:rPr>
          <w:rFonts w:ascii="ArialMT" w:hAnsi="ArialMT" w:cs="ArialMT"/>
          <w:b/>
          <w:bCs/>
          <w:sz w:val="22"/>
          <w:szCs w:val="22"/>
        </w:rPr>
      </w:pPr>
      <w:r w:rsidRPr="00342164">
        <w:rPr>
          <w:rFonts w:ascii="ArialMT" w:hAnsi="ArialMT" w:cs="ArialMT"/>
          <w:b/>
          <w:bCs/>
          <w:sz w:val="22"/>
          <w:szCs w:val="22"/>
        </w:rPr>
        <w:t>B. Laboratory Testing Services Available</w:t>
      </w:r>
    </w:p>
    <w:p w:rsidR="00342164" w:rsidRPr="00342164" w:rsidRDefault="00342164" w:rsidP="00342164">
      <w:pPr>
        <w:widowControl w:val="0"/>
        <w:autoSpaceDE w:val="0"/>
        <w:autoSpaceDN w:val="0"/>
        <w:adjustRightInd w:val="0"/>
        <w:rPr>
          <w:rFonts w:ascii="ArialMT" w:hAnsi="ArialMT" w:cs="ArialMT"/>
          <w:sz w:val="22"/>
          <w:szCs w:val="22"/>
        </w:rPr>
      </w:pPr>
    </w:p>
    <w:p w:rsidR="00342164" w:rsidRPr="007677A0" w:rsidRDefault="00342164" w:rsidP="00342164">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The Massachusetts State Public Health Laboratory (</w:t>
      </w:r>
      <w:r w:rsidR="006C5F95">
        <w:rPr>
          <w:rFonts w:asciiTheme="majorHAnsi" w:hAnsiTheme="majorHAnsi" w:cs="ArialMT"/>
          <w:sz w:val="22"/>
          <w:szCs w:val="22"/>
        </w:rPr>
        <w:t xml:space="preserve">MA </w:t>
      </w:r>
      <w:proofErr w:type="spellStart"/>
      <w:r w:rsidRPr="007677A0">
        <w:rPr>
          <w:rFonts w:asciiTheme="majorHAnsi" w:hAnsiTheme="majorHAnsi" w:cs="ArialMT"/>
          <w:sz w:val="22"/>
          <w:szCs w:val="22"/>
        </w:rPr>
        <w:t>SPHL</w:t>
      </w:r>
      <w:proofErr w:type="spellEnd"/>
      <w:r w:rsidRPr="007677A0">
        <w:rPr>
          <w:rFonts w:asciiTheme="majorHAnsi" w:hAnsiTheme="majorHAnsi" w:cs="ArialMT"/>
          <w:sz w:val="22"/>
          <w:szCs w:val="22"/>
        </w:rPr>
        <w:t xml:space="preserve">) does not provide diagnostic testing for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In some outbreak circumstances, isolates may be sent to the Centers for Disease Control and Prevention (CDC) for toxin testing. For more information about testing, contact MA </w:t>
      </w:r>
      <w:proofErr w:type="spellStart"/>
      <w:r w:rsidRPr="007677A0">
        <w:rPr>
          <w:rFonts w:asciiTheme="majorHAnsi" w:hAnsiTheme="majorHAnsi" w:cs="ArialMT"/>
          <w:sz w:val="22"/>
          <w:szCs w:val="22"/>
        </w:rPr>
        <w:t>SPHL</w:t>
      </w:r>
      <w:proofErr w:type="spellEnd"/>
      <w:r w:rsidRPr="007677A0">
        <w:rPr>
          <w:rFonts w:asciiTheme="majorHAnsi" w:hAnsiTheme="majorHAnsi" w:cs="ArialMT"/>
          <w:sz w:val="22"/>
          <w:szCs w:val="22"/>
        </w:rPr>
        <w:t xml:space="preserve"> at (617) 983-6607.</w:t>
      </w:r>
    </w:p>
    <w:p w:rsidR="00342164" w:rsidRPr="00342164" w:rsidRDefault="00342164" w:rsidP="00342164">
      <w:pPr>
        <w:widowControl w:val="0"/>
        <w:autoSpaceDE w:val="0"/>
        <w:autoSpaceDN w:val="0"/>
        <w:adjustRightInd w:val="0"/>
        <w:rPr>
          <w:rFonts w:ascii="ArialMT" w:hAnsi="ArialMT" w:cs="ArialMT"/>
          <w:sz w:val="20"/>
          <w:szCs w:val="20"/>
        </w:rPr>
      </w:pPr>
    </w:p>
    <w:p w:rsidR="00342164" w:rsidRPr="00342164" w:rsidRDefault="00342164" w:rsidP="00342164">
      <w:pPr>
        <w:widowControl w:val="0"/>
        <w:autoSpaceDE w:val="0"/>
        <w:autoSpaceDN w:val="0"/>
        <w:adjustRightInd w:val="0"/>
        <w:ind w:right="-720"/>
        <w:rPr>
          <w:rFonts w:ascii="ArialMT" w:hAnsi="ArialMT" w:cs="ArialMT"/>
          <w:b/>
          <w:bCs/>
          <w:color w:val="1F497D"/>
        </w:rPr>
      </w:pPr>
      <w:r w:rsidRPr="00342164">
        <w:rPr>
          <w:rFonts w:ascii="ArialMT" w:hAnsi="ArialMT" w:cs="ArialMT"/>
          <w:b/>
          <w:bCs/>
          <w:color w:val="1F497D"/>
        </w:rPr>
        <w:t>Section 3</w:t>
      </w:r>
    </w:p>
    <w:p w:rsidR="00342164" w:rsidRPr="00342164" w:rsidRDefault="00342164" w:rsidP="00342164">
      <w:pPr>
        <w:widowControl w:val="0"/>
        <w:autoSpaceDE w:val="0"/>
        <w:autoSpaceDN w:val="0"/>
        <w:adjustRightInd w:val="0"/>
        <w:ind w:right="-720"/>
        <w:rPr>
          <w:rFonts w:ascii="ArialMT" w:hAnsi="ArialMT" w:cs="ArialMT"/>
          <w:b/>
          <w:bCs/>
          <w:sz w:val="28"/>
          <w:szCs w:val="28"/>
        </w:rPr>
      </w:pPr>
      <w:r w:rsidRPr="00342164">
        <w:rPr>
          <w:rFonts w:ascii="ArialMT" w:hAnsi="ArialMT" w:cs="ArialMT"/>
          <w:b/>
          <w:bCs/>
          <w:color w:val="4F81BD"/>
          <w:sz w:val="28"/>
          <w:szCs w:val="28"/>
        </w:rPr>
        <w:t>REPORTING RESPONSIBILITIES AND CASE INVESTIGATION</w:t>
      </w:r>
    </w:p>
    <w:p w:rsidR="00342164" w:rsidRPr="00342164" w:rsidRDefault="00342164" w:rsidP="00342164">
      <w:pPr>
        <w:widowControl w:val="0"/>
        <w:autoSpaceDE w:val="0"/>
        <w:autoSpaceDN w:val="0"/>
        <w:adjustRightInd w:val="0"/>
        <w:rPr>
          <w:rFonts w:ascii="ArialMT" w:hAnsi="ArialMT" w:cs="ArialMT"/>
          <w:b/>
          <w:bCs/>
          <w:sz w:val="22"/>
          <w:szCs w:val="22"/>
        </w:rPr>
      </w:pPr>
    </w:p>
    <w:p w:rsidR="00342164" w:rsidRPr="00342164" w:rsidRDefault="00342164" w:rsidP="00342164">
      <w:pPr>
        <w:widowControl w:val="0"/>
        <w:autoSpaceDE w:val="0"/>
        <w:autoSpaceDN w:val="0"/>
        <w:adjustRightInd w:val="0"/>
        <w:rPr>
          <w:rFonts w:ascii="ArialMT" w:hAnsi="ArialMT" w:cs="ArialMT"/>
          <w:b/>
          <w:bCs/>
          <w:sz w:val="22"/>
          <w:szCs w:val="22"/>
        </w:rPr>
      </w:pPr>
      <w:r w:rsidRPr="00342164">
        <w:rPr>
          <w:rFonts w:ascii="ArialMT" w:hAnsi="ArialMT" w:cs="ArialMT"/>
          <w:b/>
          <w:bCs/>
          <w:sz w:val="22"/>
          <w:szCs w:val="22"/>
        </w:rPr>
        <w:t>A. Purpose of Surveillance and Reporting</w:t>
      </w:r>
    </w:p>
    <w:p w:rsidR="00342164" w:rsidRPr="00342164" w:rsidRDefault="00342164" w:rsidP="00342164">
      <w:pPr>
        <w:widowControl w:val="0"/>
        <w:autoSpaceDE w:val="0"/>
        <w:autoSpaceDN w:val="0"/>
        <w:adjustRightInd w:val="0"/>
        <w:rPr>
          <w:rFonts w:ascii="ArialMT" w:hAnsi="ArialMT" w:cs="ArialMT"/>
          <w:sz w:val="22"/>
          <w:szCs w:val="22"/>
        </w:rPr>
      </w:pPr>
    </w:p>
    <w:p w:rsidR="00342164" w:rsidRPr="007677A0" w:rsidRDefault="00342164" w:rsidP="007677A0">
      <w:pPr>
        <w:widowControl w:val="0"/>
        <w:numPr>
          <w:ilvl w:val="0"/>
          <w:numId w:val="37"/>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To identify household and other close contacts for possible microbiologic cultures and t</w:t>
      </w:r>
      <w:r w:rsidR="00E3553E" w:rsidRPr="007677A0">
        <w:rPr>
          <w:rFonts w:asciiTheme="majorHAnsi" w:hAnsiTheme="majorHAnsi" w:cs="ArialMT"/>
          <w:sz w:val="22"/>
          <w:szCs w:val="22"/>
        </w:rPr>
        <w:t>reatment of bacterial infection</w:t>
      </w:r>
      <w:r w:rsidR="00E3553E">
        <w:rPr>
          <w:rFonts w:asciiTheme="majorHAnsi" w:hAnsiTheme="majorHAnsi" w:cs="ArialMT"/>
          <w:sz w:val="22"/>
          <w:szCs w:val="22"/>
        </w:rPr>
        <w:t xml:space="preserve"> or carriage.</w:t>
      </w:r>
    </w:p>
    <w:p w:rsidR="00342164" w:rsidRPr="007677A0" w:rsidRDefault="00342164" w:rsidP="007677A0">
      <w:pPr>
        <w:widowControl w:val="0"/>
        <w:numPr>
          <w:ilvl w:val="0"/>
          <w:numId w:val="38"/>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 xml:space="preserve">To initiate surveillance for concurrent cases of </w:t>
      </w:r>
      <w:proofErr w:type="spellStart"/>
      <w:r w:rsidRPr="007677A0">
        <w:rPr>
          <w:rFonts w:asciiTheme="majorHAnsi" w:hAnsiTheme="majorHAnsi" w:cs="ArialMT"/>
          <w:sz w:val="22"/>
          <w:szCs w:val="22"/>
        </w:rPr>
        <w:t>varicella</w:t>
      </w:r>
      <w:proofErr w:type="spellEnd"/>
      <w:r w:rsidRPr="007677A0">
        <w:rPr>
          <w:rFonts w:asciiTheme="majorHAnsi" w:hAnsiTheme="majorHAnsi" w:cs="ArialMT"/>
          <w:sz w:val="22"/>
          <w:szCs w:val="22"/>
        </w:rPr>
        <w:t xml:space="preserve"> in a daycare (for cases of GAS-mediated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w:t>
      </w:r>
    </w:p>
    <w:p w:rsidR="00342164" w:rsidRPr="007677A0" w:rsidRDefault="00342164" w:rsidP="007677A0">
      <w:pPr>
        <w:widowControl w:val="0"/>
        <w:numPr>
          <w:ilvl w:val="0"/>
          <w:numId w:val="39"/>
        </w:numPr>
        <w:tabs>
          <w:tab w:val="left" w:pos="720"/>
        </w:tabs>
        <w:autoSpaceDE w:val="0"/>
        <w:autoSpaceDN w:val="0"/>
        <w:adjustRightInd w:val="0"/>
        <w:spacing w:after="200" w:line="276" w:lineRule="auto"/>
        <w:rPr>
          <w:rFonts w:ascii="ArialMT" w:hAnsi="ArialMT" w:cs="ArialMT"/>
          <w:sz w:val="22"/>
          <w:szCs w:val="22"/>
        </w:rPr>
      </w:pPr>
      <w:r w:rsidRPr="007677A0">
        <w:rPr>
          <w:rFonts w:asciiTheme="majorHAnsi" w:hAnsiTheme="majorHAnsi" w:cs="ArialMT"/>
          <w:sz w:val="22"/>
          <w:szCs w:val="22"/>
        </w:rPr>
        <w:t>To identify transmission sources of public health concern (e.g., a health care worker who is a GAS carrier), and to stop transmission from such sources.</w:t>
      </w:r>
    </w:p>
    <w:p w:rsidR="00342164" w:rsidRPr="00342164" w:rsidRDefault="00342164" w:rsidP="00342164">
      <w:pPr>
        <w:widowControl w:val="0"/>
        <w:autoSpaceDE w:val="0"/>
        <w:autoSpaceDN w:val="0"/>
        <w:adjustRightInd w:val="0"/>
        <w:rPr>
          <w:rFonts w:ascii="ArialMT" w:hAnsi="ArialMT" w:cs="ArialMT"/>
          <w:b/>
          <w:bCs/>
          <w:sz w:val="22"/>
          <w:szCs w:val="22"/>
        </w:rPr>
      </w:pPr>
      <w:r w:rsidRPr="00342164">
        <w:rPr>
          <w:rFonts w:ascii="ArialMT" w:hAnsi="ArialMT" w:cs="ArialMT"/>
          <w:b/>
          <w:bCs/>
          <w:sz w:val="22"/>
          <w:szCs w:val="22"/>
        </w:rPr>
        <w:t>B. Laboratory and Health Care Provider Reporting Requirements</w:t>
      </w:r>
    </w:p>
    <w:p w:rsidR="00342164" w:rsidRPr="00342164" w:rsidRDefault="00342164" w:rsidP="00342164">
      <w:pPr>
        <w:widowControl w:val="0"/>
        <w:autoSpaceDE w:val="0"/>
        <w:autoSpaceDN w:val="0"/>
        <w:adjustRightInd w:val="0"/>
        <w:rPr>
          <w:rFonts w:ascii="ArialMT" w:hAnsi="ArialMT" w:cs="ArialMT"/>
          <w:sz w:val="22"/>
          <w:szCs w:val="22"/>
        </w:rPr>
      </w:pPr>
    </w:p>
    <w:p w:rsidR="00342164" w:rsidRPr="007677A0" w:rsidRDefault="00342164" w:rsidP="00342164">
      <w:pPr>
        <w:widowControl w:val="0"/>
        <w:autoSpaceDE w:val="0"/>
        <w:autoSpaceDN w:val="0"/>
        <w:adjustRightInd w:val="0"/>
        <w:rPr>
          <w:rFonts w:asciiTheme="majorHAnsi" w:hAnsiTheme="majorHAnsi" w:cs="ArialMT"/>
          <w:sz w:val="22"/>
          <w:szCs w:val="22"/>
        </w:rPr>
      </w:pP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is reportable to the local board of health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requests that health care providers immediately report to the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in the community where the case is diagnosed, all confirmed or suspect cases of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as defined by the reporting criteria in Section 2A.</w:t>
      </w:r>
    </w:p>
    <w:p w:rsidR="00342164" w:rsidRPr="007677A0" w:rsidRDefault="00342164" w:rsidP="00342164">
      <w:pPr>
        <w:widowControl w:val="0"/>
        <w:autoSpaceDE w:val="0"/>
        <w:autoSpaceDN w:val="0"/>
        <w:adjustRightInd w:val="0"/>
        <w:rPr>
          <w:rFonts w:asciiTheme="majorHAnsi" w:hAnsiTheme="majorHAnsi" w:cs="ArialMT"/>
          <w:sz w:val="22"/>
          <w:szCs w:val="22"/>
        </w:rPr>
      </w:pPr>
    </w:p>
    <w:p w:rsidR="00342164" w:rsidRPr="007677A0" w:rsidRDefault="00342164" w:rsidP="00342164">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Laboratories performing examinations on any specimens derived from Massachusetts residents that yield evidence of GAS infection </w:t>
      </w:r>
      <w:r w:rsidR="00E3553E">
        <w:rPr>
          <w:rFonts w:asciiTheme="majorHAnsi" w:hAnsiTheme="majorHAnsi" w:cs="ArialMT"/>
          <w:sz w:val="22"/>
          <w:szCs w:val="22"/>
        </w:rPr>
        <w:t xml:space="preserve">in a </w:t>
      </w:r>
      <w:r w:rsidRPr="007677A0">
        <w:rPr>
          <w:rFonts w:asciiTheme="majorHAnsi" w:hAnsiTheme="majorHAnsi" w:cs="ArialMT"/>
          <w:sz w:val="22"/>
          <w:szCs w:val="22"/>
        </w:rPr>
        <w:t xml:space="preserve">normally sterile site or </w:t>
      </w:r>
      <w:r w:rsidRPr="007677A0">
        <w:rPr>
          <w:rFonts w:asciiTheme="majorHAnsi" w:hAnsiTheme="majorHAnsi" w:cs="ArialMT"/>
          <w:i/>
          <w:sz w:val="22"/>
          <w:szCs w:val="22"/>
        </w:rPr>
        <w:t xml:space="preserve">S. </w:t>
      </w:r>
      <w:proofErr w:type="spellStart"/>
      <w:r w:rsidRPr="007677A0">
        <w:rPr>
          <w:rFonts w:asciiTheme="majorHAnsi" w:hAnsiTheme="majorHAnsi" w:cs="ArialMT"/>
          <w:i/>
          <w:sz w:val="22"/>
          <w:szCs w:val="22"/>
        </w:rPr>
        <w:t>aureus</w:t>
      </w:r>
      <w:proofErr w:type="spellEnd"/>
      <w:r w:rsidRPr="007677A0">
        <w:rPr>
          <w:rFonts w:asciiTheme="majorHAnsi" w:hAnsiTheme="majorHAnsi" w:cs="ArialMT"/>
          <w:i/>
          <w:sz w:val="22"/>
          <w:szCs w:val="22"/>
        </w:rPr>
        <w:t xml:space="preserve"> </w:t>
      </w:r>
      <w:r w:rsidRPr="007677A0">
        <w:rPr>
          <w:rFonts w:asciiTheme="majorHAnsi" w:hAnsiTheme="majorHAnsi" w:cs="ArialMT"/>
          <w:sz w:val="22"/>
          <w:szCs w:val="22"/>
        </w:rPr>
        <w:t xml:space="preserve">with additional clinical evidence of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shall </w:t>
      </w:r>
      <w:r w:rsidR="00E3553E">
        <w:rPr>
          <w:rFonts w:asciiTheme="majorHAnsi" w:hAnsiTheme="majorHAnsi" w:cs="ArialMT"/>
          <w:sz w:val="22"/>
          <w:szCs w:val="22"/>
        </w:rPr>
        <w:t>report such</w:t>
      </w:r>
      <w:r w:rsidRPr="007677A0">
        <w:rPr>
          <w:rFonts w:asciiTheme="majorHAnsi" w:hAnsiTheme="majorHAnsi" w:cs="ArialMT"/>
          <w:sz w:val="22"/>
          <w:szCs w:val="22"/>
        </w:rPr>
        <w:t xml:space="preserve"> directly to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within 24 hours.</w:t>
      </w:r>
    </w:p>
    <w:p w:rsidR="00342164" w:rsidRPr="00342164" w:rsidRDefault="00342164" w:rsidP="00342164">
      <w:pPr>
        <w:widowControl w:val="0"/>
        <w:autoSpaceDE w:val="0"/>
        <w:autoSpaceDN w:val="0"/>
        <w:adjustRightInd w:val="0"/>
        <w:rPr>
          <w:rFonts w:ascii="ArialMT" w:hAnsi="ArialMT" w:cs="ArialMT"/>
          <w:sz w:val="22"/>
          <w:szCs w:val="22"/>
        </w:rPr>
      </w:pPr>
    </w:p>
    <w:p w:rsidR="00342164" w:rsidRPr="00342164" w:rsidRDefault="00342164" w:rsidP="00342164">
      <w:pPr>
        <w:widowControl w:val="0"/>
        <w:autoSpaceDE w:val="0"/>
        <w:autoSpaceDN w:val="0"/>
        <w:adjustRightInd w:val="0"/>
        <w:rPr>
          <w:rFonts w:ascii="ArialMT" w:hAnsi="ArialMT" w:cs="ArialMT"/>
          <w:b/>
          <w:bCs/>
          <w:sz w:val="22"/>
          <w:szCs w:val="22"/>
        </w:rPr>
      </w:pPr>
      <w:r w:rsidRPr="00342164">
        <w:rPr>
          <w:rFonts w:ascii="ArialMT" w:hAnsi="ArialMT" w:cs="ArialMT"/>
          <w:b/>
          <w:bCs/>
          <w:sz w:val="22"/>
          <w:szCs w:val="22"/>
        </w:rPr>
        <w:t>C. Local Board of Health (</w:t>
      </w:r>
      <w:proofErr w:type="spellStart"/>
      <w:r w:rsidRPr="00342164">
        <w:rPr>
          <w:rFonts w:ascii="ArialMT" w:hAnsi="ArialMT" w:cs="ArialMT"/>
          <w:b/>
          <w:bCs/>
          <w:sz w:val="22"/>
          <w:szCs w:val="22"/>
        </w:rPr>
        <w:t>LBOH</w:t>
      </w:r>
      <w:proofErr w:type="spellEnd"/>
      <w:r w:rsidRPr="00342164">
        <w:rPr>
          <w:rFonts w:ascii="ArialMT" w:hAnsi="ArialMT" w:cs="ArialMT"/>
          <w:b/>
          <w:bCs/>
          <w:sz w:val="22"/>
          <w:szCs w:val="22"/>
        </w:rPr>
        <w:t>) Reporting and Follow-Up Responsibilities</w:t>
      </w:r>
    </w:p>
    <w:p w:rsidR="00342164" w:rsidRPr="00342164" w:rsidRDefault="00342164" w:rsidP="00342164">
      <w:pPr>
        <w:widowControl w:val="0"/>
        <w:autoSpaceDE w:val="0"/>
        <w:autoSpaceDN w:val="0"/>
        <w:adjustRightInd w:val="0"/>
        <w:rPr>
          <w:rFonts w:ascii="ArialMT" w:hAnsi="ArialMT" w:cs="ArialMT"/>
          <w:i/>
          <w:iCs/>
          <w:sz w:val="22"/>
          <w:szCs w:val="22"/>
        </w:rPr>
      </w:pPr>
    </w:p>
    <w:p w:rsidR="00342164" w:rsidRPr="007677A0" w:rsidRDefault="00342164" w:rsidP="00342164">
      <w:pPr>
        <w:widowControl w:val="0"/>
        <w:autoSpaceDE w:val="0"/>
        <w:autoSpaceDN w:val="0"/>
        <w:adjustRightInd w:val="0"/>
        <w:rPr>
          <w:rFonts w:asciiTheme="majorHAnsi" w:hAnsiTheme="majorHAnsi" w:cs="ArialMT"/>
          <w:i/>
          <w:iCs/>
          <w:sz w:val="22"/>
          <w:szCs w:val="22"/>
        </w:rPr>
      </w:pPr>
      <w:r w:rsidRPr="007677A0">
        <w:rPr>
          <w:rFonts w:asciiTheme="majorHAnsi" w:hAnsiTheme="majorHAnsi" w:cs="ArialMT"/>
          <w:i/>
          <w:iCs/>
          <w:sz w:val="22"/>
          <w:szCs w:val="22"/>
        </w:rPr>
        <w:t>Reporting Requirements</w:t>
      </w:r>
    </w:p>
    <w:p w:rsidR="00342164" w:rsidRPr="007677A0" w:rsidRDefault="00342164" w:rsidP="00342164">
      <w:pPr>
        <w:widowControl w:val="0"/>
        <w:autoSpaceDE w:val="0"/>
        <w:autoSpaceDN w:val="0"/>
        <w:adjustRightInd w:val="0"/>
        <w:rPr>
          <w:rFonts w:asciiTheme="majorHAnsi" w:hAnsiTheme="majorHAnsi" w:cs="ArialMT"/>
          <w:i/>
          <w:iCs/>
          <w:sz w:val="22"/>
          <w:szCs w:val="22"/>
        </w:rPr>
      </w:pPr>
    </w:p>
    <w:p w:rsidR="00342164" w:rsidRPr="007677A0" w:rsidRDefault="00342164" w:rsidP="00342164">
      <w:pPr>
        <w:widowControl w:val="0"/>
        <w:autoSpaceDE w:val="0"/>
        <w:autoSpaceDN w:val="0"/>
        <w:adjustRightInd w:val="0"/>
        <w:spacing w:after="120"/>
        <w:ind w:right="-720"/>
        <w:rPr>
          <w:rFonts w:asciiTheme="majorHAnsi" w:hAnsiTheme="majorHAnsi" w:cs="ArialMT"/>
          <w:sz w:val="22"/>
          <w:szCs w:val="22"/>
        </w:rPr>
      </w:pP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regulations (105 </w:t>
      </w:r>
      <w:proofErr w:type="spellStart"/>
      <w:r w:rsidRPr="007677A0">
        <w:rPr>
          <w:rFonts w:asciiTheme="majorHAnsi" w:hAnsiTheme="majorHAnsi" w:cs="ArialMT"/>
          <w:sz w:val="22"/>
          <w:szCs w:val="22"/>
        </w:rPr>
        <w:t>CMR</w:t>
      </w:r>
      <w:proofErr w:type="spellEnd"/>
      <w:r w:rsidRPr="007677A0">
        <w:rPr>
          <w:rFonts w:asciiTheme="majorHAnsi" w:hAnsiTheme="majorHAnsi" w:cs="ArialMT"/>
          <w:sz w:val="22"/>
          <w:szCs w:val="22"/>
        </w:rPr>
        <w:t xml:space="preserve"> 300.000) stipulate that </w:t>
      </w:r>
      <w:proofErr w:type="spellStart"/>
      <w:r w:rsidR="006C5F95">
        <w:rPr>
          <w:rFonts w:asciiTheme="majorHAnsi" w:hAnsiTheme="majorHAnsi" w:cs="ArialMT"/>
          <w:sz w:val="22"/>
          <w:szCs w:val="22"/>
        </w:rPr>
        <w:t>TSS</w:t>
      </w:r>
      <w:proofErr w:type="spellEnd"/>
      <w:r w:rsidRPr="007677A0">
        <w:rPr>
          <w:rFonts w:asciiTheme="majorHAnsi" w:hAnsiTheme="majorHAnsi" w:cs="ArialMT"/>
          <w:sz w:val="22"/>
          <w:szCs w:val="22"/>
        </w:rPr>
        <w:t xml:space="preserve"> is reportable to the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and that each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must report any case of </w:t>
      </w:r>
      <w:proofErr w:type="spellStart"/>
      <w:r w:rsidR="006C5F95">
        <w:rPr>
          <w:rFonts w:asciiTheme="majorHAnsi" w:hAnsiTheme="majorHAnsi" w:cs="ArialMT"/>
          <w:sz w:val="22"/>
          <w:szCs w:val="22"/>
        </w:rPr>
        <w:t>TSS</w:t>
      </w:r>
      <w:proofErr w:type="spellEnd"/>
      <w:r w:rsidRPr="007677A0">
        <w:rPr>
          <w:rFonts w:asciiTheme="majorHAnsi" w:hAnsiTheme="majorHAnsi" w:cs="ArialMT"/>
          <w:sz w:val="22"/>
          <w:szCs w:val="22"/>
        </w:rPr>
        <w:t xml:space="preserve"> or suspect case of </w:t>
      </w:r>
      <w:proofErr w:type="spellStart"/>
      <w:r w:rsidR="007B4915">
        <w:rPr>
          <w:rFonts w:asciiTheme="majorHAnsi" w:hAnsiTheme="majorHAnsi" w:cs="ArialMT"/>
          <w:sz w:val="22"/>
          <w:szCs w:val="22"/>
        </w:rPr>
        <w:t>TSS</w:t>
      </w:r>
      <w:proofErr w:type="spellEnd"/>
      <w:r w:rsidRPr="007677A0">
        <w:rPr>
          <w:rFonts w:asciiTheme="majorHAnsi" w:hAnsiTheme="majorHAnsi" w:cs="ArialMT"/>
          <w:sz w:val="22"/>
          <w:szCs w:val="22"/>
        </w:rPr>
        <w:t xml:space="preserve">, as defined by the reporting criteria in Section 2A. Cases should be reported to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Bureau of Infectious Disease and Laboratory Sciences, Epidemiology Program at 617-983-6800. Cases will be captured in the Massachusetts Virtual Epidemiologic Network (MAVEN), usually through electronic laboratory reporting.</w:t>
      </w:r>
    </w:p>
    <w:p w:rsidR="00342164" w:rsidRPr="007677A0" w:rsidRDefault="00342164" w:rsidP="00342164">
      <w:pPr>
        <w:widowControl w:val="0"/>
        <w:autoSpaceDE w:val="0"/>
        <w:autoSpaceDN w:val="0"/>
        <w:adjustRightInd w:val="0"/>
        <w:spacing w:after="120"/>
        <w:ind w:right="-720"/>
        <w:rPr>
          <w:rFonts w:asciiTheme="majorHAnsi" w:hAnsiTheme="majorHAnsi" w:cs="ArialMT"/>
          <w:sz w:val="22"/>
          <w:szCs w:val="22"/>
        </w:rPr>
      </w:pPr>
      <w:r w:rsidRPr="007677A0">
        <w:rPr>
          <w:rFonts w:asciiTheme="majorHAnsi" w:hAnsiTheme="majorHAnsi" w:cs="ArialMT"/>
          <w:sz w:val="22"/>
          <w:szCs w:val="22"/>
        </w:rPr>
        <w:t>The most up-to-date reporting requirements can be found at:</w:t>
      </w:r>
    </w:p>
    <w:p w:rsidR="00342164" w:rsidRPr="007677A0" w:rsidRDefault="002F1142" w:rsidP="00342164">
      <w:pPr>
        <w:widowControl w:val="0"/>
        <w:autoSpaceDE w:val="0"/>
        <w:autoSpaceDN w:val="0"/>
        <w:adjustRightInd w:val="0"/>
        <w:rPr>
          <w:rFonts w:asciiTheme="majorHAnsi" w:hAnsiTheme="majorHAnsi" w:cs="ArialMT"/>
          <w:sz w:val="22"/>
          <w:szCs w:val="22"/>
        </w:rPr>
      </w:pPr>
      <w:hyperlink r:id="rId9" w:history="1">
        <w:r w:rsidR="00342164" w:rsidRPr="007677A0">
          <w:rPr>
            <w:rFonts w:asciiTheme="majorHAnsi" w:hAnsiTheme="majorHAnsi" w:cs="ArialMT"/>
            <w:color w:val="0000FF"/>
            <w:sz w:val="22"/>
            <w:szCs w:val="22"/>
            <w:u w:val="single"/>
          </w:rPr>
          <w:t>http://www.mass.gov/eohhs/gov/departments/dph/programs/id/epidemiology/rdiq/reporting-diseases-and-surveillance-information.html</w:t>
        </w:r>
      </w:hyperlink>
      <w:r w:rsidR="00342164" w:rsidRPr="007677A0">
        <w:rPr>
          <w:rFonts w:asciiTheme="majorHAnsi" w:hAnsiTheme="majorHAnsi" w:cs="ArialMT"/>
          <w:sz w:val="22"/>
          <w:szCs w:val="22"/>
        </w:rPr>
        <w:t xml:space="preserve">. </w:t>
      </w:r>
    </w:p>
    <w:p w:rsidR="00C94F00" w:rsidRPr="00622F42" w:rsidRDefault="00C94F00" w:rsidP="00C94F00">
      <w:pPr>
        <w:pBdr>
          <w:bottom w:val="single" w:sz="2" w:space="1" w:color="BFBFBF"/>
        </w:pBdr>
        <w:autoSpaceDE w:val="0"/>
        <w:autoSpaceDN w:val="0"/>
        <w:adjustRightInd w:val="0"/>
        <w:spacing w:before="240" w:after="120"/>
        <w:rPr>
          <w:rFonts w:cs="Arial"/>
          <w:i/>
          <w:iCs/>
          <w:sz w:val="22"/>
          <w:szCs w:val="22"/>
        </w:rPr>
      </w:pPr>
      <w:r w:rsidRPr="00622F42">
        <w:rPr>
          <w:rFonts w:cs="Arial"/>
          <w:i/>
          <w:iCs/>
          <w:sz w:val="22"/>
          <w:szCs w:val="22"/>
        </w:rPr>
        <w:t>Case Investigation</w:t>
      </w:r>
    </w:p>
    <w:p w:rsidR="00342164" w:rsidRPr="007677A0" w:rsidRDefault="00342164" w:rsidP="00342164">
      <w:pPr>
        <w:widowControl w:val="0"/>
        <w:autoSpaceDE w:val="0"/>
        <w:autoSpaceDN w:val="0"/>
        <w:adjustRightInd w:val="0"/>
        <w:ind w:left="360" w:hanging="360"/>
        <w:rPr>
          <w:rFonts w:asciiTheme="majorHAnsi" w:hAnsiTheme="majorHAnsi" w:cs="ArialMT"/>
          <w:sz w:val="22"/>
          <w:szCs w:val="22"/>
        </w:rPr>
      </w:pPr>
      <w:r w:rsidRPr="007677A0">
        <w:rPr>
          <w:rFonts w:asciiTheme="majorHAnsi" w:hAnsiTheme="majorHAnsi" w:cs="ArialMT"/>
          <w:sz w:val="22"/>
          <w:szCs w:val="22"/>
        </w:rPr>
        <w:t xml:space="preserve">It is the responsibility of the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to complete questions in each of the question packages in</w:t>
      </w:r>
    </w:p>
    <w:p w:rsidR="00342164" w:rsidRPr="007677A0" w:rsidRDefault="00342164" w:rsidP="00342164">
      <w:pPr>
        <w:widowControl w:val="0"/>
        <w:autoSpaceDE w:val="0"/>
        <w:autoSpaceDN w:val="0"/>
        <w:adjustRightInd w:val="0"/>
        <w:ind w:left="360" w:hanging="360"/>
        <w:rPr>
          <w:rFonts w:asciiTheme="majorHAnsi" w:hAnsiTheme="majorHAnsi" w:cs="ArialMT"/>
          <w:sz w:val="22"/>
          <w:szCs w:val="22"/>
        </w:rPr>
      </w:pPr>
      <w:proofErr w:type="gramStart"/>
      <w:r w:rsidRPr="007677A0">
        <w:rPr>
          <w:rFonts w:asciiTheme="majorHAnsi" w:hAnsiTheme="majorHAnsi" w:cs="ArialMT"/>
          <w:sz w:val="22"/>
          <w:szCs w:val="22"/>
        </w:rPr>
        <w:t>MAVEN by interviewing the case and others who may be able to provide pertinent information.</w:t>
      </w:r>
      <w:proofErr w:type="gramEnd"/>
    </w:p>
    <w:p w:rsidR="00342164" w:rsidRPr="007677A0" w:rsidRDefault="00342164" w:rsidP="00342164">
      <w:pPr>
        <w:widowControl w:val="0"/>
        <w:autoSpaceDE w:val="0"/>
        <w:autoSpaceDN w:val="0"/>
        <w:adjustRightInd w:val="0"/>
        <w:ind w:left="360" w:hanging="360"/>
        <w:rPr>
          <w:rFonts w:asciiTheme="majorHAnsi" w:hAnsiTheme="majorHAnsi" w:cs="ArialMT"/>
          <w:sz w:val="22"/>
          <w:szCs w:val="22"/>
        </w:rPr>
      </w:pPr>
      <w:r w:rsidRPr="007677A0">
        <w:rPr>
          <w:rFonts w:asciiTheme="majorHAnsi" w:hAnsiTheme="majorHAnsi" w:cs="ArialMT"/>
          <w:sz w:val="22"/>
          <w:szCs w:val="22"/>
        </w:rPr>
        <w:t>Some of the information can be obtained from the health care provider.</w:t>
      </w:r>
    </w:p>
    <w:p w:rsidR="00342164" w:rsidRPr="007677A0" w:rsidRDefault="00342164" w:rsidP="00342164">
      <w:pPr>
        <w:widowControl w:val="0"/>
        <w:autoSpaceDE w:val="0"/>
        <w:autoSpaceDN w:val="0"/>
        <w:adjustRightInd w:val="0"/>
        <w:rPr>
          <w:rFonts w:asciiTheme="majorHAnsi" w:hAnsiTheme="majorHAnsi" w:cs="ArialMT"/>
          <w:sz w:val="22"/>
          <w:szCs w:val="22"/>
        </w:rPr>
      </w:pPr>
    </w:p>
    <w:p w:rsidR="00342164" w:rsidRPr="007677A0" w:rsidRDefault="00342164" w:rsidP="00342164">
      <w:pPr>
        <w:widowControl w:val="0"/>
        <w:autoSpaceDE w:val="0"/>
        <w:autoSpaceDN w:val="0"/>
        <w:adjustRightInd w:val="0"/>
        <w:ind w:left="180" w:right="-720"/>
        <w:rPr>
          <w:rFonts w:asciiTheme="majorHAnsi" w:hAnsiTheme="majorHAnsi" w:cs="ArialMT"/>
          <w:sz w:val="22"/>
          <w:szCs w:val="22"/>
          <w:u w:val="single"/>
        </w:rPr>
      </w:pPr>
      <w:r w:rsidRPr="007677A0">
        <w:rPr>
          <w:rFonts w:asciiTheme="majorHAnsi" w:hAnsiTheme="majorHAnsi" w:cs="ArialMT"/>
          <w:sz w:val="22"/>
          <w:szCs w:val="22"/>
          <w:u w:val="single"/>
        </w:rPr>
        <w:t>Calling the provider</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cases are usually very ill. If the case </w:t>
      </w:r>
      <w:r w:rsidR="00E3553E">
        <w:rPr>
          <w:rFonts w:asciiTheme="majorHAnsi" w:hAnsiTheme="majorHAnsi" w:cs="ArialMT"/>
          <w:sz w:val="22"/>
          <w:szCs w:val="22"/>
        </w:rPr>
        <w:t xml:space="preserve">is or </w:t>
      </w:r>
      <w:r w:rsidRPr="007677A0">
        <w:rPr>
          <w:rFonts w:asciiTheme="majorHAnsi" w:hAnsiTheme="majorHAnsi" w:cs="ArialMT"/>
          <w:sz w:val="22"/>
          <w:szCs w:val="22"/>
        </w:rPr>
        <w:t xml:space="preserve">was hospitalized (i.e. reporting facility is a hospital), call infection control and prevention at the named hospital. A list of infection preventionists can be found in the help section of MAVEN. If the case was seen at a clinician’s office, ask to speak to a nurse working with the </w:t>
      </w:r>
      <w:r w:rsidR="00E3553E">
        <w:rPr>
          <w:rFonts w:asciiTheme="majorHAnsi" w:hAnsiTheme="majorHAnsi" w:cs="ArialMT"/>
          <w:sz w:val="22"/>
          <w:szCs w:val="22"/>
        </w:rPr>
        <w:t xml:space="preserve">responsible </w:t>
      </w:r>
      <w:r w:rsidRPr="007677A0">
        <w:rPr>
          <w:rFonts w:asciiTheme="majorHAnsi" w:hAnsiTheme="majorHAnsi" w:cs="ArialMT"/>
          <w:sz w:val="22"/>
          <w:szCs w:val="22"/>
        </w:rPr>
        <w:t>provider. You should confirm that the patient was notified of the diagnosis and let them know that you will be calling the case for further information.</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p>
    <w:p w:rsidR="00342164" w:rsidRPr="007677A0" w:rsidRDefault="00342164" w:rsidP="00342164">
      <w:pPr>
        <w:widowControl w:val="0"/>
        <w:autoSpaceDE w:val="0"/>
        <w:autoSpaceDN w:val="0"/>
        <w:adjustRightInd w:val="0"/>
        <w:ind w:left="180" w:right="-720"/>
        <w:rPr>
          <w:rFonts w:asciiTheme="majorHAnsi" w:hAnsiTheme="majorHAnsi" w:cs="ArialMT"/>
          <w:sz w:val="22"/>
          <w:szCs w:val="22"/>
          <w:u w:val="single"/>
        </w:rPr>
      </w:pPr>
      <w:r w:rsidRPr="007677A0">
        <w:rPr>
          <w:rFonts w:asciiTheme="majorHAnsi" w:hAnsiTheme="majorHAnsi" w:cs="ArialMT"/>
          <w:sz w:val="22"/>
          <w:szCs w:val="22"/>
          <w:u w:val="single"/>
        </w:rPr>
        <w:t xml:space="preserve">Calling the case or parent/guardian of the case </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r w:rsidRPr="007677A0">
        <w:rPr>
          <w:rFonts w:asciiTheme="majorHAnsi" w:hAnsiTheme="majorHAnsi" w:cs="ArialMT"/>
          <w:sz w:val="22"/>
          <w:szCs w:val="22"/>
        </w:rPr>
        <w:t xml:space="preserve">Before calling the case, review all information in this chapter. Some additional information about streptococcal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w:t>
      </w:r>
      <w:r w:rsidR="00E3553E">
        <w:rPr>
          <w:rFonts w:asciiTheme="majorHAnsi" w:hAnsiTheme="majorHAnsi" w:cs="ArialMT"/>
          <w:sz w:val="22"/>
          <w:szCs w:val="22"/>
        </w:rPr>
        <w:t>is in</w:t>
      </w:r>
      <w:r w:rsidRPr="007677A0">
        <w:rPr>
          <w:rFonts w:asciiTheme="majorHAnsi" w:hAnsiTheme="majorHAnsi" w:cs="ArialMT"/>
          <w:sz w:val="22"/>
          <w:szCs w:val="22"/>
        </w:rPr>
        <w:t xml:space="preserve"> the </w:t>
      </w:r>
      <w:r w:rsidR="00E3553E">
        <w:rPr>
          <w:rFonts w:asciiTheme="majorHAnsi" w:hAnsiTheme="majorHAnsi" w:cs="ArialMT"/>
          <w:sz w:val="22"/>
          <w:szCs w:val="22"/>
        </w:rPr>
        <w:t>g</w:t>
      </w:r>
      <w:r w:rsidRPr="007677A0">
        <w:rPr>
          <w:rFonts w:asciiTheme="majorHAnsi" w:hAnsiTheme="majorHAnsi" w:cs="ArialMT"/>
          <w:sz w:val="22"/>
          <w:szCs w:val="22"/>
        </w:rPr>
        <w:t xml:space="preserve">roup A </w:t>
      </w:r>
      <w:r w:rsidRPr="007677A0">
        <w:rPr>
          <w:rFonts w:asciiTheme="majorHAnsi" w:hAnsiTheme="majorHAnsi" w:cs="ArialMT"/>
          <w:i/>
          <w:iCs/>
          <w:sz w:val="22"/>
          <w:szCs w:val="22"/>
        </w:rPr>
        <w:t>Streptococcus</w:t>
      </w:r>
      <w:r w:rsidRPr="007677A0">
        <w:rPr>
          <w:rFonts w:asciiTheme="majorHAnsi" w:hAnsiTheme="majorHAnsi" w:cs="ArialMT"/>
          <w:sz w:val="22"/>
          <w:szCs w:val="22"/>
        </w:rPr>
        <w:t xml:space="preserve"> disease fact sheet, </w:t>
      </w:r>
      <w:r w:rsidR="00E3553E">
        <w:rPr>
          <w:rFonts w:asciiTheme="majorHAnsi" w:hAnsiTheme="majorHAnsi" w:cs="ArialMT"/>
          <w:sz w:val="22"/>
          <w:szCs w:val="22"/>
        </w:rPr>
        <w:t xml:space="preserve">and can be found by </w:t>
      </w:r>
      <w:r w:rsidRPr="007677A0">
        <w:rPr>
          <w:rFonts w:asciiTheme="majorHAnsi" w:hAnsiTheme="majorHAnsi" w:cs="ArialMT"/>
          <w:sz w:val="22"/>
          <w:szCs w:val="22"/>
        </w:rPr>
        <w:t xml:space="preserve">clicking on the Help Button located in MAVEN. The call may take a few minutes, so in order to maximize the chance of getting the information needed, it might be good to note the potential length of the call with your contact, and offer the opportunity to call back when it is more convenient. If the case is too ill to respond to questions, ask to speak with a family member or other proxy to obtain the needed information. Asking questions about how the case or child is feeling may get the case or parent talking. If you are unable to answer a question they have, don’t hesitate to call the Division of Epidemiology and Immunization at 617-983-6800 for assistance, and call the case back with the answer later. People are often more than willing to talk about their illness, and they may be very happy to speak with someone who can answer their questions. </w:t>
      </w:r>
    </w:p>
    <w:p w:rsidR="00C94F00" w:rsidRPr="00622F42" w:rsidRDefault="00C94F00" w:rsidP="00C94F00">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Using MAVEN</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u w:val="single"/>
        </w:rPr>
      </w:pPr>
      <w:r w:rsidRPr="007677A0">
        <w:rPr>
          <w:rFonts w:asciiTheme="majorHAnsi" w:hAnsiTheme="majorHAnsi" w:cs="ArialMT"/>
          <w:sz w:val="22"/>
          <w:szCs w:val="22"/>
          <w:u w:val="single"/>
        </w:rPr>
        <w:t xml:space="preserve">Administrative Question Package </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r w:rsidRPr="007677A0">
        <w:rPr>
          <w:rFonts w:asciiTheme="majorHAnsi" w:hAnsiTheme="majorHAnsi" w:cs="ArialMT"/>
          <w:sz w:val="22"/>
          <w:szCs w:val="22"/>
        </w:rPr>
        <w:t xml:space="preserve">Cases of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are represented in event type Group </w:t>
      </w:r>
      <w:proofErr w:type="gramStart"/>
      <w:r w:rsidRPr="007677A0">
        <w:rPr>
          <w:rFonts w:asciiTheme="majorHAnsi" w:hAnsiTheme="majorHAnsi" w:cs="ArialMT"/>
          <w:sz w:val="22"/>
          <w:szCs w:val="22"/>
        </w:rPr>
        <w:t>A</w:t>
      </w:r>
      <w:proofErr w:type="gramEnd"/>
      <w:r w:rsidRPr="007677A0">
        <w:rPr>
          <w:rFonts w:asciiTheme="majorHAnsi" w:hAnsiTheme="majorHAnsi" w:cs="ArialMT"/>
          <w:sz w:val="22"/>
          <w:szCs w:val="22"/>
        </w:rPr>
        <w:t xml:space="preserve"> </w:t>
      </w:r>
      <w:r w:rsidRPr="007677A0">
        <w:rPr>
          <w:rFonts w:asciiTheme="majorHAnsi" w:hAnsiTheme="majorHAnsi" w:cs="ArialMT"/>
          <w:i/>
          <w:iCs/>
          <w:sz w:val="22"/>
          <w:szCs w:val="22"/>
        </w:rPr>
        <w:t>Streptococcus</w:t>
      </w:r>
      <w:r w:rsidRPr="007677A0">
        <w:rPr>
          <w:rFonts w:asciiTheme="majorHAnsi" w:hAnsiTheme="majorHAnsi" w:cs="ArialMT"/>
          <w:sz w:val="22"/>
          <w:szCs w:val="22"/>
        </w:rPr>
        <w:t xml:space="preserve"> for streptococcal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or </w:t>
      </w:r>
      <w:r w:rsidRPr="007677A0">
        <w:rPr>
          <w:rFonts w:asciiTheme="majorHAnsi" w:hAnsiTheme="majorHAnsi" w:cs="ArialMT"/>
          <w:i/>
          <w:sz w:val="22"/>
          <w:szCs w:val="22"/>
        </w:rPr>
        <w:t xml:space="preserve">Staphylococcus </w:t>
      </w:r>
      <w:proofErr w:type="spellStart"/>
      <w:r w:rsidRPr="007677A0">
        <w:rPr>
          <w:rFonts w:asciiTheme="majorHAnsi" w:hAnsiTheme="majorHAnsi" w:cs="ArialMT"/>
          <w:i/>
          <w:sz w:val="22"/>
          <w:szCs w:val="22"/>
        </w:rPr>
        <w:t>aureus</w:t>
      </w:r>
      <w:proofErr w:type="spellEnd"/>
      <w:r w:rsidRPr="007677A0">
        <w:rPr>
          <w:rFonts w:asciiTheme="majorHAnsi" w:hAnsiTheme="majorHAnsi" w:cs="ArialMT"/>
          <w:sz w:val="22"/>
          <w:szCs w:val="22"/>
        </w:rPr>
        <w:t xml:space="preserve"> for staphylococcal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An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epidemiologist-of- the-day (</w:t>
      </w:r>
      <w:proofErr w:type="spellStart"/>
      <w:r w:rsidRPr="007677A0">
        <w:rPr>
          <w:rFonts w:asciiTheme="majorHAnsi" w:hAnsiTheme="majorHAnsi" w:cs="ArialMT"/>
          <w:sz w:val="22"/>
          <w:szCs w:val="22"/>
        </w:rPr>
        <w:t>EOD</w:t>
      </w:r>
      <w:proofErr w:type="spellEnd"/>
      <w:r w:rsidRPr="007677A0">
        <w:rPr>
          <w:rFonts w:asciiTheme="majorHAnsi" w:hAnsiTheme="majorHAnsi" w:cs="ArialMT"/>
          <w:sz w:val="22"/>
          <w:szCs w:val="22"/>
        </w:rPr>
        <w:t xml:space="preserve">) will review all new cases and request immediate follow up for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Once a new event appears in this workflow, open the Administrative Question Package (</w:t>
      </w:r>
      <w:proofErr w:type="spellStart"/>
      <w:r w:rsidRPr="007677A0">
        <w:rPr>
          <w:rFonts w:asciiTheme="majorHAnsi" w:hAnsiTheme="majorHAnsi" w:cs="ArialMT"/>
          <w:sz w:val="22"/>
          <w:szCs w:val="22"/>
        </w:rPr>
        <w:t>QP</w:t>
      </w:r>
      <w:proofErr w:type="spellEnd"/>
      <w:r w:rsidRPr="007677A0">
        <w:rPr>
          <w:rFonts w:asciiTheme="majorHAnsi" w:hAnsiTheme="majorHAnsi" w:cs="ArialMT"/>
          <w:sz w:val="22"/>
          <w:szCs w:val="22"/>
        </w:rPr>
        <w:t>) and under the “Local Health and Investigation” section, answer the first question “</w:t>
      </w:r>
      <w:r w:rsidRPr="007677A0">
        <w:rPr>
          <w:rFonts w:asciiTheme="majorHAnsi" w:hAnsiTheme="majorHAnsi" w:cs="ArialMT"/>
          <w:b/>
          <w:bCs/>
          <w:sz w:val="22"/>
          <w:szCs w:val="22"/>
        </w:rPr>
        <w:t>Step 1</w:t>
      </w:r>
      <w:r w:rsidRPr="007677A0">
        <w:rPr>
          <w:rFonts w:asciiTheme="majorHAnsi" w:hAnsiTheme="majorHAnsi" w:cs="ArialMT"/>
          <w:sz w:val="22"/>
          <w:szCs w:val="22"/>
        </w:rPr>
        <w:t xml:space="preserve"> -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acknowledged” by selecting “Yes”. The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acknowledged date” will then auto populate to the current day.  Completing this first step will move the event out of this workflow and into your “Online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notified but Case Report Forms (</w:t>
      </w:r>
      <w:proofErr w:type="spellStart"/>
      <w:r w:rsidRPr="007677A0">
        <w:rPr>
          <w:rFonts w:asciiTheme="majorHAnsi" w:hAnsiTheme="majorHAnsi" w:cs="ArialMT"/>
          <w:sz w:val="22"/>
          <w:szCs w:val="22"/>
        </w:rPr>
        <w:t>CRF</w:t>
      </w:r>
      <w:proofErr w:type="spellEnd"/>
      <w:r w:rsidRPr="007677A0">
        <w:rPr>
          <w:rFonts w:asciiTheme="majorHAnsi" w:hAnsiTheme="majorHAnsi" w:cs="ArialMT"/>
          <w:sz w:val="22"/>
          <w:szCs w:val="22"/>
        </w:rPr>
        <w:t>) are pending” workflow. Note the date you started your investigation by answering “</w:t>
      </w:r>
      <w:r w:rsidRPr="007677A0">
        <w:rPr>
          <w:rFonts w:asciiTheme="majorHAnsi" w:hAnsiTheme="majorHAnsi" w:cs="ArialMT"/>
          <w:b/>
          <w:bCs/>
          <w:sz w:val="22"/>
          <w:szCs w:val="22"/>
        </w:rPr>
        <w:t>Step 2</w:t>
      </w:r>
      <w:r w:rsidRPr="007677A0">
        <w:rPr>
          <w:rFonts w:asciiTheme="majorHAnsi" w:hAnsiTheme="majorHAnsi" w:cs="ArialMT"/>
          <w:sz w:val="22"/>
          <w:szCs w:val="22"/>
        </w:rPr>
        <w:t xml:space="preserve"> – Investigation started” as “Yes” and then note the date where shown.  Record your name, agency, and phone numbers where shown in “</w:t>
      </w:r>
      <w:r w:rsidRPr="007677A0">
        <w:rPr>
          <w:rFonts w:asciiTheme="majorHAnsi" w:hAnsiTheme="majorHAnsi" w:cs="ArialMT"/>
          <w:b/>
          <w:bCs/>
          <w:sz w:val="22"/>
          <w:szCs w:val="22"/>
        </w:rPr>
        <w:t>Step 3</w:t>
      </w:r>
      <w:r w:rsidRPr="007677A0">
        <w:rPr>
          <w:rFonts w:asciiTheme="majorHAnsi" w:hAnsiTheme="majorHAnsi" w:cs="ArialMT"/>
          <w:sz w:val="22"/>
          <w:szCs w:val="22"/>
        </w:rPr>
        <w:t xml:space="preserve"> -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/Agency Investigator.” </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p>
    <w:p w:rsidR="00342164" w:rsidRPr="007677A0" w:rsidRDefault="00342164" w:rsidP="00342164">
      <w:pPr>
        <w:widowControl w:val="0"/>
        <w:autoSpaceDE w:val="0"/>
        <w:autoSpaceDN w:val="0"/>
        <w:adjustRightInd w:val="0"/>
        <w:ind w:left="180" w:right="-720"/>
        <w:rPr>
          <w:rFonts w:asciiTheme="majorHAnsi" w:hAnsiTheme="majorHAnsi" w:cs="ArialMT"/>
          <w:sz w:val="22"/>
          <w:szCs w:val="22"/>
          <w:u w:val="single"/>
        </w:rPr>
      </w:pPr>
      <w:r w:rsidRPr="007677A0">
        <w:rPr>
          <w:rFonts w:asciiTheme="majorHAnsi" w:hAnsiTheme="majorHAnsi" w:cs="ArialMT"/>
          <w:sz w:val="22"/>
          <w:szCs w:val="22"/>
          <w:u w:val="single"/>
        </w:rPr>
        <w:t>Demographic Question Package</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r w:rsidRPr="007677A0">
        <w:rPr>
          <w:rFonts w:asciiTheme="majorHAnsi" w:hAnsiTheme="majorHAnsi" w:cs="ArialMT"/>
          <w:sz w:val="22"/>
          <w:szCs w:val="22"/>
        </w:rPr>
        <w:t>Please enter all relevant demographic and employment information. It is particularly important to complete the Race/Ethnicity and Occupation questions.</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u w:val="single"/>
        </w:rPr>
      </w:pPr>
    </w:p>
    <w:p w:rsidR="00342164" w:rsidRPr="007677A0" w:rsidRDefault="00342164" w:rsidP="00342164">
      <w:pPr>
        <w:widowControl w:val="0"/>
        <w:autoSpaceDE w:val="0"/>
        <w:autoSpaceDN w:val="0"/>
        <w:adjustRightInd w:val="0"/>
        <w:ind w:left="180" w:right="-720"/>
        <w:rPr>
          <w:rFonts w:asciiTheme="majorHAnsi" w:hAnsiTheme="majorHAnsi" w:cs="ArialMT"/>
          <w:sz w:val="22"/>
          <w:szCs w:val="22"/>
          <w:u w:val="single"/>
        </w:rPr>
      </w:pPr>
      <w:r w:rsidRPr="007677A0">
        <w:rPr>
          <w:rFonts w:asciiTheme="majorHAnsi" w:hAnsiTheme="majorHAnsi" w:cs="ArialMT"/>
          <w:sz w:val="22"/>
          <w:szCs w:val="22"/>
          <w:u w:val="single"/>
        </w:rPr>
        <w:t>Clinical Question Package</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r w:rsidRPr="007677A0">
        <w:rPr>
          <w:rFonts w:asciiTheme="majorHAnsi" w:hAnsiTheme="majorHAnsi" w:cs="ArialMT"/>
          <w:sz w:val="22"/>
          <w:szCs w:val="22"/>
        </w:rPr>
        <w:t xml:space="preserve">Complete the “Diagnosis/Clinical Information” section. </w:t>
      </w:r>
      <w:proofErr w:type="gramStart"/>
      <w:r w:rsidRPr="007677A0">
        <w:rPr>
          <w:rFonts w:asciiTheme="majorHAnsi" w:hAnsiTheme="majorHAnsi" w:cs="ArialMT"/>
          <w:sz w:val="22"/>
          <w:szCs w:val="22"/>
        </w:rPr>
        <w:t>Accurately record clinical information, including date of symptom onset, whether hospitalized (and associated hospital information and dates), and other medical information, including any underlying illness.</w:t>
      </w:r>
      <w:proofErr w:type="gramEnd"/>
      <w:r w:rsidRPr="007677A0">
        <w:rPr>
          <w:rFonts w:asciiTheme="majorHAnsi" w:hAnsiTheme="majorHAnsi" w:cs="ArialMT"/>
          <w:sz w:val="22"/>
          <w:szCs w:val="22"/>
        </w:rPr>
        <w:t xml:space="preserve"> Answer “yes” for “Is </w:t>
      </w:r>
      <w:proofErr w:type="gramStart"/>
      <w:r w:rsidRPr="007677A0">
        <w:rPr>
          <w:rFonts w:asciiTheme="majorHAnsi" w:hAnsiTheme="majorHAnsi" w:cs="ArialMT"/>
          <w:sz w:val="22"/>
          <w:szCs w:val="22"/>
        </w:rPr>
        <w:t>this a</w:t>
      </w:r>
      <w:proofErr w:type="gramEnd"/>
      <w:r w:rsidRPr="007677A0">
        <w:rPr>
          <w:rFonts w:asciiTheme="majorHAnsi" w:hAnsiTheme="majorHAnsi" w:cs="ArialMT"/>
          <w:sz w:val="22"/>
          <w:szCs w:val="22"/>
        </w:rPr>
        <w:t xml:space="preserve"> case of toxic shock syndrome?” and note the additional questions that appear for symptoms and laboratory findings. Sometimes it is best to request the medical record of the patient from the hospital in order to accurately complete as much information as possible. Determine whether this is a post-surgical infection. The post-surgical time period includes all inpatient days after a surgical procedure and seven days after discharge. Determine whether the infection occurred post-partum. The post-partum time period includes all inpatient days after the delivery of a baby and seven days after discharge.</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p>
    <w:p w:rsidR="00342164" w:rsidRPr="007677A0" w:rsidRDefault="00342164" w:rsidP="00342164">
      <w:pPr>
        <w:widowControl w:val="0"/>
        <w:autoSpaceDE w:val="0"/>
        <w:autoSpaceDN w:val="0"/>
        <w:adjustRightInd w:val="0"/>
        <w:ind w:left="180" w:right="-720"/>
        <w:rPr>
          <w:rFonts w:asciiTheme="majorHAnsi" w:hAnsiTheme="majorHAnsi" w:cs="ArialMT"/>
          <w:sz w:val="22"/>
          <w:szCs w:val="22"/>
          <w:u w:val="single"/>
        </w:rPr>
      </w:pPr>
      <w:r w:rsidRPr="007677A0">
        <w:rPr>
          <w:rFonts w:asciiTheme="majorHAnsi" w:hAnsiTheme="majorHAnsi" w:cs="ArialMT"/>
          <w:sz w:val="22"/>
          <w:szCs w:val="22"/>
          <w:u w:val="single"/>
        </w:rPr>
        <w:t>Risk Exposure/Control &amp; Prevention Question Package</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r w:rsidRPr="007677A0">
        <w:rPr>
          <w:rFonts w:asciiTheme="majorHAnsi" w:hAnsiTheme="majorHAnsi" w:cs="ArialMT"/>
          <w:sz w:val="22"/>
          <w:szCs w:val="22"/>
        </w:rPr>
        <w:t xml:space="preserve">Indicate whether or not the case attends or is employed at a daycare center, school, or long-term care facility. Ask if the case injected drugs not prescribed by a doctor during their incubation period. </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p>
    <w:p w:rsidR="00C94F00" w:rsidRPr="00622F42" w:rsidRDefault="00C94F00" w:rsidP="00C94F00">
      <w:pPr>
        <w:pBdr>
          <w:bottom w:val="single" w:sz="2" w:space="1" w:color="BFBFBF"/>
        </w:pBdr>
        <w:autoSpaceDE w:val="0"/>
        <w:autoSpaceDN w:val="0"/>
        <w:adjustRightInd w:val="0"/>
        <w:spacing w:before="240" w:after="120"/>
        <w:rPr>
          <w:rFonts w:cs="Arial"/>
          <w:i/>
          <w:iCs/>
          <w:sz w:val="22"/>
          <w:szCs w:val="22"/>
        </w:rPr>
      </w:pPr>
      <w:r w:rsidRPr="00622F42">
        <w:rPr>
          <w:rFonts w:cs="Arial"/>
          <w:i/>
          <w:iCs/>
          <w:sz w:val="22"/>
          <w:szCs w:val="22"/>
        </w:rPr>
        <w:t>C</w:t>
      </w:r>
      <w:r>
        <w:rPr>
          <w:rFonts w:cs="Arial"/>
          <w:i/>
          <w:iCs/>
          <w:sz w:val="22"/>
          <w:szCs w:val="22"/>
        </w:rPr>
        <w:t xml:space="preserve">ompleting your </w:t>
      </w:r>
      <w:r w:rsidRPr="00622F42">
        <w:rPr>
          <w:rFonts w:cs="Arial"/>
          <w:i/>
          <w:iCs/>
          <w:sz w:val="22"/>
          <w:szCs w:val="22"/>
        </w:rPr>
        <w:t>Investigation</w:t>
      </w:r>
    </w:p>
    <w:p w:rsidR="00342164" w:rsidRPr="007677A0" w:rsidRDefault="00342164" w:rsidP="00342164">
      <w:pPr>
        <w:widowControl w:val="0"/>
        <w:numPr>
          <w:ilvl w:val="0"/>
          <w:numId w:val="41"/>
        </w:numPr>
        <w:autoSpaceDE w:val="0"/>
        <w:autoSpaceDN w:val="0"/>
        <w:adjustRightInd w:val="0"/>
        <w:spacing w:after="200" w:line="276" w:lineRule="auto"/>
        <w:ind w:left="360" w:right="-720"/>
        <w:contextualSpacing/>
        <w:rPr>
          <w:rFonts w:asciiTheme="majorHAnsi" w:hAnsiTheme="majorHAnsi" w:cs="ArialMT"/>
          <w:sz w:val="22"/>
          <w:szCs w:val="22"/>
        </w:rPr>
      </w:pPr>
      <w:r w:rsidRPr="007677A0">
        <w:rPr>
          <w:rFonts w:asciiTheme="majorHAnsi" w:hAnsiTheme="majorHAnsi" w:cs="ArialMT"/>
          <w:sz w:val="22"/>
          <w:szCs w:val="22"/>
        </w:rPr>
        <w:t>If you were able to complete a case investigation and follow-up is complete, mark “</w:t>
      </w:r>
      <w:r w:rsidRPr="007677A0">
        <w:rPr>
          <w:rFonts w:asciiTheme="majorHAnsi" w:hAnsiTheme="majorHAnsi" w:cs="ArialMT"/>
          <w:b/>
          <w:bCs/>
          <w:sz w:val="22"/>
          <w:szCs w:val="22"/>
        </w:rPr>
        <w:t>Step 4</w:t>
      </w:r>
      <w:r w:rsidRPr="007677A0">
        <w:rPr>
          <w:rFonts w:asciiTheme="majorHAnsi" w:hAnsiTheme="majorHAnsi" w:cs="ArialMT"/>
          <w:sz w:val="22"/>
          <w:szCs w:val="22"/>
        </w:rPr>
        <w:t xml:space="preserve"> – Case Report Form Completed” as “Yes” and then choose Local Board of Health (</w:t>
      </w:r>
      <w:proofErr w:type="spellStart"/>
      <w:r w:rsidRPr="007677A0">
        <w:rPr>
          <w:rFonts w:asciiTheme="majorHAnsi" w:hAnsiTheme="majorHAnsi" w:cs="ArialMT"/>
          <w:sz w:val="22"/>
          <w:szCs w:val="22"/>
        </w:rPr>
        <w:t>LBOH</w:t>
      </w:r>
      <w:proofErr w:type="spellEnd"/>
      <w:r w:rsidRPr="007677A0">
        <w:rPr>
          <w:rFonts w:asciiTheme="majorHAnsi" w:hAnsiTheme="majorHAnsi" w:cs="ArialMT"/>
          <w:sz w:val="22"/>
          <w:szCs w:val="22"/>
        </w:rPr>
        <w:t xml:space="preserve">) –Ready for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review for the “Completed by” variable. </w:t>
      </w:r>
    </w:p>
    <w:p w:rsidR="00342164" w:rsidRPr="007677A0" w:rsidRDefault="00342164" w:rsidP="007677A0">
      <w:pPr>
        <w:widowControl w:val="0"/>
        <w:autoSpaceDE w:val="0"/>
        <w:autoSpaceDN w:val="0"/>
        <w:adjustRightInd w:val="0"/>
        <w:spacing w:after="200" w:line="276" w:lineRule="auto"/>
        <w:ind w:left="360" w:right="-720"/>
        <w:contextualSpacing/>
        <w:rPr>
          <w:rFonts w:asciiTheme="majorHAnsi" w:hAnsiTheme="majorHAnsi" w:cs="ArialMT"/>
          <w:sz w:val="22"/>
          <w:szCs w:val="22"/>
        </w:rPr>
      </w:pPr>
    </w:p>
    <w:p w:rsidR="00342164" w:rsidRPr="007677A0" w:rsidRDefault="00342164" w:rsidP="00342164">
      <w:pPr>
        <w:widowControl w:val="0"/>
        <w:numPr>
          <w:ilvl w:val="0"/>
          <w:numId w:val="41"/>
        </w:numPr>
        <w:autoSpaceDE w:val="0"/>
        <w:autoSpaceDN w:val="0"/>
        <w:adjustRightInd w:val="0"/>
        <w:spacing w:after="200" w:line="276" w:lineRule="auto"/>
        <w:ind w:left="360" w:right="-720"/>
        <w:contextualSpacing/>
        <w:rPr>
          <w:rFonts w:asciiTheme="majorHAnsi" w:hAnsiTheme="majorHAnsi" w:cs="ArialMT"/>
          <w:sz w:val="22"/>
          <w:szCs w:val="22"/>
        </w:rPr>
      </w:pPr>
      <w:r w:rsidRPr="007677A0">
        <w:rPr>
          <w:rFonts w:asciiTheme="majorHAnsi" w:hAnsiTheme="majorHAnsi" w:cs="ArialMT"/>
          <w:sz w:val="22"/>
          <w:szCs w:val="22"/>
        </w:rPr>
        <w:t>If you have made several attempts to obtain case information but have been unsuccessful (e.g., the case or health care provider does not return your calls or respond to a letter, or the case refuses to divulge information or is too ill to be interviewed), please complete “</w:t>
      </w:r>
      <w:r w:rsidRPr="007677A0">
        <w:rPr>
          <w:rFonts w:asciiTheme="majorHAnsi" w:hAnsiTheme="majorHAnsi" w:cs="ArialMT"/>
          <w:b/>
          <w:bCs/>
          <w:sz w:val="22"/>
          <w:szCs w:val="22"/>
        </w:rPr>
        <w:t>Step 4</w:t>
      </w:r>
      <w:r w:rsidRPr="007677A0">
        <w:rPr>
          <w:rFonts w:asciiTheme="majorHAnsi" w:hAnsiTheme="majorHAnsi" w:cs="ArialMT"/>
          <w:sz w:val="22"/>
          <w:szCs w:val="22"/>
        </w:rPr>
        <w:t xml:space="preserve"> - Case Report Form Completed” as “No” and then choose a primary reason why the case investigation was not completed from the choices provided in the primary reason answer variable list.</w:t>
      </w:r>
    </w:p>
    <w:p w:rsidR="00342164" w:rsidRPr="007677A0" w:rsidRDefault="00342164" w:rsidP="00342164">
      <w:pPr>
        <w:widowControl w:val="0"/>
        <w:autoSpaceDE w:val="0"/>
        <w:autoSpaceDN w:val="0"/>
        <w:adjustRightInd w:val="0"/>
        <w:ind w:left="360" w:right="-720" w:hanging="360"/>
        <w:rPr>
          <w:rFonts w:asciiTheme="majorHAnsi" w:hAnsiTheme="majorHAnsi" w:cs="ArialMT"/>
          <w:sz w:val="22"/>
          <w:szCs w:val="22"/>
        </w:rPr>
      </w:pPr>
    </w:p>
    <w:p w:rsidR="00342164" w:rsidRPr="007677A0" w:rsidRDefault="00342164" w:rsidP="00342164">
      <w:pPr>
        <w:widowControl w:val="0"/>
        <w:numPr>
          <w:ilvl w:val="0"/>
          <w:numId w:val="41"/>
        </w:numPr>
        <w:autoSpaceDE w:val="0"/>
        <w:autoSpaceDN w:val="0"/>
        <w:adjustRightInd w:val="0"/>
        <w:spacing w:after="200" w:line="276" w:lineRule="auto"/>
        <w:ind w:left="360" w:right="-720"/>
        <w:contextualSpacing/>
        <w:rPr>
          <w:rFonts w:asciiTheme="majorHAnsi" w:hAnsiTheme="majorHAnsi" w:cs="ArialMT"/>
          <w:sz w:val="22"/>
          <w:szCs w:val="22"/>
        </w:rPr>
      </w:pPr>
      <w:r w:rsidRPr="007677A0">
        <w:rPr>
          <w:rFonts w:asciiTheme="majorHAnsi" w:hAnsiTheme="majorHAnsi" w:cs="ArialMT"/>
          <w:sz w:val="22"/>
          <w:szCs w:val="22"/>
        </w:rPr>
        <w:t xml:space="preserve">If you are not online for MAVEN you may submit a paper case report form. After completing the form, attach laboratory </w:t>
      </w:r>
      <w:proofErr w:type="spellStart"/>
      <w:r w:rsidRPr="007677A0">
        <w:rPr>
          <w:rFonts w:asciiTheme="majorHAnsi" w:hAnsiTheme="majorHAnsi" w:cs="ArialMT"/>
          <w:sz w:val="22"/>
          <w:szCs w:val="22"/>
        </w:rPr>
        <w:t>report(s</w:t>
      </w:r>
      <w:proofErr w:type="spellEnd"/>
      <w:r w:rsidRPr="007677A0">
        <w:rPr>
          <w:rFonts w:asciiTheme="majorHAnsi" w:hAnsiTheme="majorHAnsi" w:cs="ArialMT"/>
          <w:sz w:val="22"/>
          <w:szCs w:val="22"/>
        </w:rPr>
        <w:t>) and fax or mail (in an envelope marked “Confidential”) to ISIS. The confidential fax number is (617) 983-6813. Call ISIS at (617) 983-6801 to obtain a copy of the case report form and to confirm receipt of your fax.</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r w:rsidRPr="007677A0">
        <w:rPr>
          <w:rFonts w:asciiTheme="majorHAnsi" w:hAnsiTheme="majorHAnsi" w:cs="ArialMT"/>
          <w:sz w:val="22"/>
          <w:szCs w:val="22"/>
        </w:rPr>
        <w:t>The mailing address is:</w:t>
      </w:r>
    </w:p>
    <w:p w:rsidR="00342164" w:rsidRPr="007677A0" w:rsidRDefault="00342164" w:rsidP="00342164">
      <w:pPr>
        <w:widowControl w:val="0"/>
        <w:autoSpaceDE w:val="0"/>
        <w:autoSpaceDN w:val="0"/>
        <w:adjustRightInd w:val="0"/>
        <w:ind w:left="180" w:right="-720"/>
        <w:rPr>
          <w:rFonts w:asciiTheme="majorHAnsi" w:hAnsiTheme="majorHAnsi" w:cs="ArialMT"/>
          <w:b/>
          <w:bCs/>
          <w:sz w:val="22"/>
          <w:szCs w:val="22"/>
        </w:rPr>
      </w:pPr>
      <w:proofErr w:type="spellStart"/>
      <w:r w:rsidRPr="007677A0">
        <w:rPr>
          <w:rFonts w:asciiTheme="majorHAnsi" w:hAnsiTheme="majorHAnsi" w:cs="ArialMT"/>
          <w:b/>
          <w:bCs/>
          <w:sz w:val="22"/>
          <w:szCs w:val="22"/>
        </w:rPr>
        <w:t>MDPH</w:t>
      </w:r>
      <w:proofErr w:type="spellEnd"/>
      <w:r w:rsidRPr="007677A0">
        <w:rPr>
          <w:rFonts w:asciiTheme="majorHAnsi" w:hAnsiTheme="majorHAnsi" w:cs="ArialMT"/>
          <w:b/>
          <w:bCs/>
          <w:sz w:val="22"/>
          <w:szCs w:val="22"/>
        </w:rPr>
        <w:t>, Office of Integrated Surveillance and Informatics Services (ISIS)</w:t>
      </w:r>
    </w:p>
    <w:p w:rsidR="00342164" w:rsidRPr="007677A0" w:rsidRDefault="00342164" w:rsidP="00342164">
      <w:pPr>
        <w:widowControl w:val="0"/>
        <w:autoSpaceDE w:val="0"/>
        <w:autoSpaceDN w:val="0"/>
        <w:adjustRightInd w:val="0"/>
        <w:ind w:left="180" w:right="-720"/>
        <w:rPr>
          <w:rFonts w:asciiTheme="majorHAnsi" w:hAnsiTheme="majorHAnsi" w:cs="ArialMT"/>
          <w:b/>
          <w:bCs/>
          <w:sz w:val="22"/>
          <w:szCs w:val="22"/>
        </w:rPr>
      </w:pPr>
      <w:r w:rsidRPr="007677A0">
        <w:rPr>
          <w:rFonts w:asciiTheme="majorHAnsi" w:hAnsiTheme="majorHAnsi" w:cs="ArialMT"/>
          <w:b/>
          <w:bCs/>
          <w:sz w:val="22"/>
          <w:szCs w:val="22"/>
        </w:rPr>
        <w:t>305 South Street, 5th Floor</w:t>
      </w:r>
    </w:p>
    <w:p w:rsidR="00342164" w:rsidRPr="007677A0" w:rsidRDefault="00342164" w:rsidP="00342164">
      <w:pPr>
        <w:widowControl w:val="0"/>
        <w:autoSpaceDE w:val="0"/>
        <w:autoSpaceDN w:val="0"/>
        <w:adjustRightInd w:val="0"/>
        <w:ind w:left="180" w:right="-720"/>
        <w:rPr>
          <w:rFonts w:asciiTheme="majorHAnsi" w:hAnsiTheme="majorHAnsi" w:cs="ArialMT"/>
          <w:b/>
          <w:bCs/>
          <w:sz w:val="22"/>
          <w:szCs w:val="22"/>
        </w:rPr>
      </w:pPr>
      <w:r w:rsidRPr="007677A0">
        <w:rPr>
          <w:rFonts w:asciiTheme="majorHAnsi" w:hAnsiTheme="majorHAnsi" w:cs="ArialMT"/>
          <w:b/>
          <w:bCs/>
          <w:sz w:val="22"/>
          <w:szCs w:val="22"/>
        </w:rPr>
        <w:t>Jamaica Plain, MA 02130</w:t>
      </w:r>
    </w:p>
    <w:p w:rsidR="00342164" w:rsidRPr="007677A0" w:rsidRDefault="00342164" w:rsidP="00342164">
      <w:pPr>
        <w:widowControl w:val="0"/>
        <w:autoSpaceDE w:val="0"/>
        <w:autoSpaceDN w:val="0"/>
        <w:adjustRightInd w:val="0"/>
        <w:ind w:left="180" w:right="-720"/>
        <w:rPr>
          <w:rFonts w:asciiTheme="majorHAnsi" w:hAnsiTheme="majorHAnsi" w:cs="ArialMT"/>
          <w:sz w:val="22"/>
          <w:szCs w:val="22"/>
        </w:rPr>
      </w:pPr>
      <w:r w:rsidRPr="007677A0">
        <w:rPr>
          <w:rFonts w:asciiTheme="majorHAnsi" w:hAnsiTheme="majorHAnsi" w:cs="ArialMT"/>
          <w:b/>
          <w:bCs/>
          <w:sz w:val="22"/>
          <w:szCs w:val="22"/>
        </w:rPr>
        <w:t>Fax: (617) 983-6813</w:t>
      </w:r>
    </w:p>
    <w:p w:rsidR="00622F42" w:rsidRPr="00622F42" w:rsidRDefault="00622F42" w:rsidP="00622F42">
      <w:pPr>
        <w:autoSpaceDE w:val="0"/>
        <w:autoSpaceDN w:val="0"/>
        <w:adjustRightInd w:val="0"/>
        <w:rPr>
          <w:sz w:val="22"/>
          <w:szCs w:val="22"/>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4</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CONTROLLING FURTHER SPREAD</w:t>
      </w:r>
    </w:p>
    <w:p w:rsidR="00622F42" w:rsidRPr="00622F42" w:rsidRDefault="00622F42" w:rsidP="00622F42">
      <w:pPr>
        <w:autoSpaceDE w:val="0"/>
        <w:autoSpaceDN w:val="0"/>
        <w:adjustRightInd w:val="0"/>
        <w:rPr>
          <w:rFonts w:ascii="TradeGothic-BoldCondTwenty" w:hAnsi="TradeGothic-BoldCondTwenty"/>
          <w:b/>
          <w:bCs/>
          <w:sz w:val="22"/>
          <w:szCs w:val="26"/>
        </w:rPr>
      </w:pPr>
    </w:p>
    <w:p w:rsidR="00622F42" w:rsidRPr="00622F42" w:rsidRDefault="00622F42" w:rsidP="00622F42">
      <w:pPr>
        <w:autoSpaceDE w:val="0"/>
        <w:autoSpaceDN w:val="0"/>
        <w:adjustRightInd w:val="0"/>
        <w:rPr>
          <w:rFonts w:ascii="Arial" w:hAnsi="Arial" w:cs="Arial"/>
          <w:b/>
          <w:bCs/>
          <w:i/>
          <w:iCs/>
          <w:sz w:val="22"/>
          <w:szCs w:val="22"/>
        </w:rPr>
      </w:pPr>
      <w:r w:rsidRPr="00622F42">
        <w:rPr>
          <w:rFonts w:ascii="Arial" w:hAnsi="Arial" w:cs="Arial"/>
          <w:b/>
          <w:bCs/>
          <w:sz w:val="22"/>
          <w:szCs w:val="22"/>
        </w:rPr>
        <w:t xml:space="preserve">A. Isolation and Quarantine Requirements </w:t>
      </w:r>
      <w:r w:rsidRPr="00622F42">
        <w:rPr>
          <w:rFonts w:ascii="Arial" w:hAnsi="Arial" w:cs="Arial"/>
          <w:b/>
          <w:bCs/>
          <w:i/>
          <w:iCs/>
          <w:sz w:val="22"/>
          <w:szCs w:val="22"/>
        </w:rPr>
        <w:t xml:space="preserve">(105 </w:t>
      </w:r>
      <w:proofErr w:type="spellStart"/>
      <w:r w:rsidRPr="00622F42">
        <w:rPr>
          <w:rFonts w:ascii="Arial" w:hAnsi="Arial" w:cs="Arial"/>
          <w:b/>
          <w:bCs/>
          <w:i/>
          <w:iCs/>
          <w:sz w:val="22"/>
          <w:szCs w:val="22"/>
        </w:rPr>
        <w:t>CMR</w:t>
      </w:r>
      <w:proofErr w:type="spellEnd"/>
      <w:r w:rsidRPr="00622F42">
        <w:rPr>
          <w:rFonts w:ascii="Arial" w:hAnsi="Arial" w:cs="Arial"/>
          <w:b/>
          <w:bCs/>
          <w:i/>
          <w:iCs/>
          <w:sz w:val="22"/>
          <w:szCs w:val="22"/>
        </w:rPr>
        <w:t xml:space="preserve"> 300.200)</w:t>
      </w:r>
    </w:p>
    <w:p w:rsidR="00622F42" w:rsidRPr="00622F42" w:rsidRDefault="00622F42" w:rsidP="00622F42">
      <w:pPr>
        <w:autoSpaceDE w:val="0"/>
        <w:autoSpaceDN w:val="0"/>
        <w:adjustRightInd w:val="0"/>
        <w:rPr>
          <w:rFonts w:ascii="Garamond-BookCondensed" w:hAnsi="Garamond-BookCondensed"/>
          <w:sz w:val="20"/>
        </w:rPr>
      </w:pPr>
    </w:p>
    <w:p w:rsidR="007415F6" w:rsidRPr="007677A0" w:rsidRDefault="007415F6" w:rsidP="007415F6">
      <w:pPr>
        <w:widowControl w:val="0"/>
        <w:autoSpaceDE w:val="0"/>
        <w:autoSpaceDN w:val="0"/>
        <w:adjustRightInd w:val="0"/>
        <w:rPr>
          <w:rFonts w:asciiTheme="majorHAnsi" w:hAnsiTheme="majorHAnsi" w:cs="ArialMT"/>
          <w:sz w:val="22"/>
          <w:szCs w:val="22"/>
        </w:rPr>
      </w:pPr>
      <w:proofErr w:type="gramStart"/>
      <w:r w:rsidRPr="007677A0">
        <w:rPr>
          <w:rFonts w:asciiTheme="majorHAnsi" w:hAnsiTheme="majorHAnsi" w:cs="ArialMT"/>
          <w:sz w:val="22"/>
          <w:szCs w:val="22"/>
        </w:rPr>
        <w:t>None.</w:t>
      </w:r>
      <w:proofErr w:type="gramEnd"/>
    </w:p>
    <w:p w:rsidR="007415F6" w:rsidRPr="007415F6" w:rsidRDefault="007415F6" w:rsidP="007415F6">
      <w:pPr>
        <w:widowControl w:val="0"/>
        <w:autoSpaceDE w:val="0"/>
        <w:autoSpaceDN w:val="0"/>
        <w:adjustRightInd w:val="0"/>
        <w:rPr>
          <w:rFonts w:ascii="ArialMT" w:hAnsi="ArialMT" w:cs="ArialMT"/>
          <w:sz w:val="22"/>
          <w:szCs w:val="22"/>
        </w:rPr>
      </w:pPr>
    </w:p>
    <w:p w:rsidR="007415F6" w:rsidRPr="007415F6" w:rsidRDefault="007415F6" w:rsidP="007415F6">
      <w:pPr>
        <w:widowControl w:val="0"/>
        <w:autoSpaceDE w:val="0"/>
        <w:autoSpaceDN w:val="0"/>
        <w:adjustRightInd w:val="0"/>
        <w:rPr>
          <w:rFonts w:ascii="ArialMT" w:hAnsi="ArialMT" w:cs="ArialMT"/>
          <w:b/>
          <w:bCs/>
          <w:sz w:val="22"/>
          <w:szCs w:val="22"/>
        </w:rPr>
      </w:pPr>
      <w:r w:rsidRPr="007415F6">
        <w:rPr>
          <w:rFonts w:ascii="ArialMT" w:hAnsi="ArialMT" w:cs="ArialMT"/>
          <w:b/>
          <w:bCs/>
          <w:sz w:val="22"/>
          <w:szCs w:val="22"/>
        </w:rPr>
        <w:t>B. Protection of Contacts of a Case</w:t>
      </w:r>
    </w:p>
    <w:p w:rsidR="007415F6" w:rsidRPr="007415F6" w:rsidRDefault="007415F6" w:rsidP="007415F6">
      <w:pPr>
        <w:widowControl w:val="0"/>
        <w:autoSpaceDE w:val="0"/>
        <w:autoSpaceDN w:val="0"/>
        <w:adjustRightInd w:val="0"/>
        <w:rPr>
          <w:rFonts w:ascii="ArialMT" w:hAnsi="ArialMT" w:cs="ArialMT"/>
          <w:sz w:val="22"/>
          <w:szCs w:val="22"/>
        </w:rPr>
      </w:pPr>
    </w:p>
    <w:p w:rsidR="007415F6" w:rsidRPr="007415F6" w:rsidRDefault="007415F6" w:rsidP="007415F6">
      <w:pPr>
        <w:widowControl w:val="0"/>
        <w:autoSpaceDE w:val="0"/>
        <w:autoSpaceDN w:val="0"/>
        <w:adjustRightInd w:val="0"/>
        <w:rPr>
          <w:rFonts w:ascii="ArialMT" w:hAnsi="ArialMT" w:cs="ArialMT"/>
          <w:sz w:val="22"/>
          <w:szCs w:val="22"/>
        </w:rPr>
      </w:pPr>
      <w:r w:rsidRPr="007677A0">
        <w:rPr>
          <w:rFonts w:asciiTheme="majorHAnsi" w:hAnsiTheme="majorHAnsi" w:cs="ArialMT"/>
          <w:sz w:val="22"/>
          <w:szCs w:val="22"/>
        </w:rPr>
        <w:t xml:space="preserve">There are no recommendations for contacts of a case of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caused by </w:t>
      </w:r>
      <w:r w:rsidRPr="007677A0">
        <w:rPr>
          <w:rFonts w:asciiTheme="majorHAnsi" w:hAnsiTheme="majorHAnsi" w:cs="ArialMT"/>
          <w:i/>
          <w:iCs/>
          <w:sz w:val="22"/>
          <w:szCs w:val="22"/>
        </w:rPr>
        <w:t xml:space="preserve">S. </w:t>
      </w:r>
      <w:proofErr w:type="spellStart"/>
      <w:r w:rsidRPr="007677A0">
        <w:rPr>
          <w:rFonts w:asciiTheme="majorHAnsi" w:hAnsiTheme="majorHAnsi" w:cs="ArialMT"/>
          <w:i/>
          <w:iCs/>
          <w:sz w:val="22"/>
          <w:szCs w:val="22"/>
        </w:rPr>
        <w:t>aureus</w:t>
      </w:r>
      <w:proofErr w:type="spellEnd"/>
      <w:r w:rsidRPr="007677A0">
        <w:rPr>
          <w:rFonts w:asciiTheme="majorHAnsi" w:hAnsiTheme="majorHAnsi" w:cs="ArialMT"/>
          <w:i/>
          <w:iCs/>
          <w:sz w:val="22"/>
          <w:szCs w:val="22"/>
        </w:rPr>
        <w:t xml:space="preserve">. </w:t>
      </w:r>
      <w:r w:rsidRPr="007677A0">
        <w:rPr>
          <w:rFonts w:asciiTheme="majorHAnsi" w:hAnsiTheme="majorHAnsi" w:cs="ArialMT"/>
          <w:sz w:val="22"/>
          <w:szCs w:val="22"/>
        </w:rPr>
        <w:t xml:space="preserve">For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caused by GAS, please refer to Section 4 in the chapter entitled </w:t>
      </w:r>
      <w:r w:rsidRPr="007677A0">
        <w:rPr>
          <w:rFonts w:asciiTheme="majorHAnsi" w:hAnsiTheme="majorHAnsi" w:cs="ArialMT"/>
          <w:i/>
          <w:iCs/>
          <w:sz w:val="22"/>
          <w:szCs w:val="22"/>
        </w:rPr>
        <w:t xml:space="preserve">Group </w:t>
      </w:r>
      <w:proofErr w:type="gramStart"/>
      <w:r w:rsidRPr="007677A0">
        <w:rPr>
          <w:rFonts w:asciiTheme="majorHAnsi" w:hAnsiTheme="majorHAnsi" w:cs="ArialMT"/>
          <w:i/>
          <w:iCs/>
          <w:sz w:val="22"/>
          <w:szCs w:val="22"/>
        </w:rPr>
        <w:t>A</w:t>
      </w:r>
      <w:proofErr w:type="gramEnd"/>
      <w:r w:rsidRPr="007677A0">
        <w:rPr>
          <w:rFonts w:asciiTheme="majorHAnsi" w:hAnsiTheme="majorHAnsi" w:cs="ArialMT"/>
          <w:i/>
          <w:iCs/>
          <w:sz w:val="22"/>
          <w:szCs w:val="22"/>
        </w:rPr>
        <w:t xml:space="preserve"> Streptococcus (Invasive) </w:t>
      </w:r>
      <w:r w:rsidRPr="007677A0">
        <w:rPr>
          <w:rFonts w:asciiTheme="majorHAnsi" w:hAnsiTheme="majorHAnsi" w:cs="ArialMT"/>
          <w:sz w:val="22"/>
          <w:szCs w:val="22"/>
        </w:rPr>
        <w:t>for recommendations regarding contacts of a case</w:t>
      </w:r>
      <w:r w:rsidRPr="007415F6">
        <w:rPr>
          <w:rFonts w:ascii="ArialMT" w:hAnsi="ArialMT" w:cs="ArialMT"/>
          <w:sz w:val="22"/>
          <w:szCs w:val="22"/>
        </w:rPr>
        <w:t>.</w:t>
      </w:r>
    </w:p>
    <w:p w:rsidR="007415F6" w:rsidRPr="007415F6" w:rsidRDefault="007415F6" w:rsidP="007415F6">
      <w:pPr>
        <w:widowControl w:val="0"/>
        <w:autoSpaceDE w:val="0"/>
        <w:autoSpaceDN w:val="0"/>
        <w:adjustRightInd w:val="0"/>
        <w:rPr>
          <w:rFonts w:ascii="ArialMT" w:hAnsi="ArialMT" w:cs="ArialMT"/>
          <w:sz w:val="22"/>
          <w:szCs w:val="22"/>
        </w:rPr>
      </w:pPr>
    </w:p>
    <w:p w:rsidR="007415F6" w:rsidRPr="007415F6" w:rsidRDefault="007415F6" w:rsidP="007415F6">
      <w:pPr>
        <w:widowControl w:val="0"/>
        <w:autoSpaceDE w:val="0"/>
        <w:autoSpaceDN w:val="0"/>
        <w:adjustRightInd w:val="0"/>
        <w:rPr>
          <w:rFonts w:ascii="ArialMT" w:hAnsi="ArialMT" w:cs="ArialMT"/>
          <w:b/>
          <w:bCs/>
          <w:sz w:val="22"/>
          <w:szCs w:val="22"/>
        </w:rPr>
      </w:pPr>
      <w:r w:rsidRPr="007415F6">
        <w:rPr>
          <w:rFonts w:ascii="ArialMT" w:hAnsi="ArialMT" w:cs="ArialMT"/>
          <w:b/>
          <w:bCs/>
          <w:sz w:val="22"/>
          <w:szCs w:val="22"/>
        </w:rPr>
        <w:t>C. Managing Special Situations</w:t>
      </w:r>
    </w:p>
    <w:p w:rsidR="00C94F00" w:rsidRPr="00622F42" w:rsidRDefault="00C94F00" w:rsidP="00C94F00">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Daycares, Schools, Long-Term Care Facilities, and Hospitals</w:t>
      </w:r>
    </w:p>
    <w:p w:rsidR="007415F6" w:rsidRPr="007677A0" w:rsidRDefault="007415F6" w:rsidP="007415F6">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If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is caused by GAS in these settings, please refer to the chapter entitled </w:t>
      </w:r>
      <w:r w:rsidRPr="007677A0">
        <w:rPr>
          <w:rFonts w:asciiTheme="majorHAnsi" w:hAnsiTheme="majorHAnsi" w:cs="ArialMT"/>
          <w:i/>
          <w:iCs/>
          <w:sz w:val="22"/>
          <w:szCs w:val="22"/>
        </w:rPr>
        <w:t xml:space="preserve">Group </w:t>
      </w:r>
      <w:proofErr w:type="gramStart"/>
      <w:r w:rsidRPr="007677A0">
        <w:rPr>
          <w:rFonts w:asciiTheme="majorHAnsi" w:hAnsiTheme="majorHAnsi" w:cs="ArialMT"/>
          <w:i/>
          <w:iCs/>
          <w:sz w:val="22"/>
          <w:szCs w:val="22"/>
        </w:rPr>
        <w:t>A</w:t>
      </w:r>
      <w:proofErr w:type="gramEnd"/>
      <w:r w:rsidRPr="007677A0">
        <w:rPr>
          <w:rFonts w:asciiTheme="majorHAnsi" w:hAnsiTheme="majorHAnsi" w:cs="ArialMT"/>
          <w:i/>
          <w:iCs/>
          <w:sz w:val="22"/>
          <w:szCs w:val="22"/>
        </w:rPr>
        <w:t xml:space="preserve"> Streptococcus (Invasive) </w:t>
      </w:r>
      <w:r w:rsidRPr="007677A0">
        <w:rPr>
          <w:rFonts w:asciiTheme="majorHAnsi" w:hAnsiTheme="majorHAnsi" w:cs="ArialMT"/>
          <w:sz w:val="22"/>
          <w:szCs w:val="22"/>
        </w:rPr>
        <w:t xml:space="preserve">for specific recommendations regarding invasive cases of GAS (such as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in daycares, schools, long-term care facilities, and hospitals.</w:t>
      </w:r>
    </w:p>
    <w:p w:rsidR="007415F6" w:rsidRPr="007415F6" w:rsidRDefault="007415F6" w:rsidP="007415F6">
      <w:pPr>
        <w:widowControl w:val="0"/>
        <w:autoSpaceDE w:val="0"/>
        <w:autoSpaceDN w:val="0"/>
        <w:adjustRightInd w:val="0"/>
        <w:rPr>
          <w:rFonts w:ascii="ArialMT" w:hAnsi="ArialMT" w:cs="ArialMT"/>
          <w:sz w:val="22"/>
          <w:szCs w:val="22"/>
        </w:rPr>
      </w:pPr>
    </w:p>
    <w:p w:rsidR="00C94F00" w:rsidRPr="00C94F00" w:rsidRDefault="00C94F00" w:rsidP="00C94F00">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 xml:space="preserve">Reported Incidence is </w:t>
      </w:r>
      <w:proofErr w:type="gramStart"/>
      <w:r>
        <w:rPr>
          <w:rFonts w:cs="Arial"/>
          <w:i/>
          <w:iCs/>
          <w:sz w:val="22"/>
          <w:szCs w:val="22"/>
        </w:rPr>
        <w:t>Higher</w:t>
      </w:r>
      <w:proofErr w:type="gramEnd"/>
      <w:r>
        <w:rPr>
          <w:rFonts w:cs="Arial"/>
          <w:i/>
          <w:iCs/>
          <w:sz w:val="22"/>
          <w:szCs w:val="22"/>
        </w:rPr>
        <w:t xml:space="preserve"> than Usual/Outbreak Suspected</w:t>
      </w:r>
    </w:p>
    <w:p w:rsidR="007415F6" w:rsidRPr="007677A0" w:rsidRDefault="007415F6" w:rsidP="007415F6">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If the number of reported cases in your city/town is higher than usual or if you suspect an outbreak, investigate to determine the source of infection and the mode of transmission. Seek a common exposure, such as association with a daycare center, and institute applicable preventive or control measures. Control of person-to-person transmission requires special emphasis on personal and hand hygiene. Consult with the epidemiologist on-call at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Division of Epidemiology and Immunization at (617) 983-6800. The Division can help determine a course of action to prevent further cases and can perform surveillance for cases across town lines, which would otherwise be difficult to identify at the local level.</w:t>
      </w:r>
    </w:p>
    <w:p w:rsidR="007415F6" w:rsidRPr="007415F6" w:rsidRDefault="007415F6" w:rsidP="007415F6">
      <w:pPr>
        <w:widowControl w:val="0"/>
        <w:autoSpaceDE w:val="0"/>
        <w:autoSpaceDN w:val="0"/>
        <w:adjustRightInd w:val="0"/>
        <w:rPr>
          <w:rFonts w:ascii="ArialMT" w:hAnsi="ArialMT" w:cs="ArialMT"/>
          <w:sz w:val="22"/>
          <w:szCs w:val="22"/>
        </w:rPr>
      </w:pPr>
    </w:p>
    <w:p w:rsidR="007415F6" w:rsidRPr="007415F6" w:rsidRDefault="007415F6" w:rsidP="007415F6">
      <w:pPr>
        <w:widowControl w:val="0"/>
        <w:autoSpaceDE w:val="0"/>
        <w:autoSpaceDN w:val="0"/>
        <w:adjustRightInd w:val="0"/>
        <w:rPr>
          <w:rFonts w:ascii="ArialMT" w:hAnsi="ArialMT" w:cs="ArialMT"/>
          <w:b/>
          <w:bCs/>
          <w:sz w:val="22"/>
          <w:szCs w:val="22"/>
        </w:rPr>
      </w:pPr>
      <w:r w:rsidRPr="007415F6">
        <w:rPr>
          <w:rFonts w:ascii="ArialMT" w:hAnsi="ArialMT" w:cs="ArialMT"/>
          <w:b/>
          <w:bCs/>
          <w:sz w:val="22"/>
          <w:szCs w:val="22"/>
        </w:rPr>
        <w:t>D. Preventive Measures</w:t>
      </w:r>
    </w:p>
    <w:p w:rsidR="00C94F00" w:rsidRPr="00C94F00" w:rsidRDefault="00C94F00" w:rsidP="00C94F00">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Environmental Measures</w:t>
      </w:r>
    </w:p>
    <w:p w:rsidR="007415F6" w:rsidRPr="007677A0" w:rsidRDefault="007415F6" w:rsidP="007415F6">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Advise daycare centers to clean toys daily using an EPA-registered disinfectant safe for use in the daycare setting and to discourage the use of play food, which facilitates the transmission of not only this bacterium but others as well. Also advise schools to sanitize shared sports equipment, such as wrestling and gymnastics mats, frequently.</w:t>
      </w:r>
    </w:p>
    <w:p w:rsidR="00C94F00" w:rsidRPr="00C94F00" w:rsidRDefault="00C94F00" w:rsidP="00C94F00">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Personal Preventive Measures/Education</w:t>
      </w:r>
    </w:p>
    <w:p w:rsidR="007415F6" w:rsidRPr="007677A0" w:rsidRDefault="007415F6" w:rsidP="007415F6">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To avoid exposure, advise individuals to:</w:t>
      </w:r>
    </w:p>
    <w:p w:rsidR="007415F6" w:rsidRPr="007677A0" w:rsidRDefault="007415F6" w:rsidP="007415F6">
      <w:pPr>
        <w:widowControl w:val="0"/>
        <w:autoSpaceDE w:val="0"/>
        <w:autoSpaceDN w:val="0"/>
        <w:adjustRightInd w:val="0"/>
        <w:rPr>
          <w:rFonts w:asciiTheme="majorHAnsi" w:hAnsiTheme="majorHAnsi" w:cs="ArialMT"/>
          <w:sz w:val="22"/>
          <w:szCs w:val="22"/>
        </w:rPr>
      </w:pPr>
    </w:p>
    <w:p w:rsidR="007415F6" w:rsidRPr="007677A0" w:rsidRDefault="007415F6" w:rsidP="007677A0">
      <w:pPr>
        <w:widowControl w:val="0"/>
        <w:numPr>
          <w:ilvl w:val="0"/>
          <w:numId w:val="42"/>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Practice good hygiene and frequent hand washing.</w:t>
      </w:r>
    </w:p>
    <w:p w:rsidR="007415F6" w:rsidRPr="007677A0" w:rsidRDefault="007415F6" w:rsidP="007677A0">
      <w:pPr>
        <w:widowControl w:val="0"/>
        <w:numPr>
          <w:ilvl w:val="0"/>
          <w:numId w:val="43"/>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Avoid sharing food, beverages, cigarettes, or eating utensils.</w:t>
      </w:r>
    </w:p>
    <w:p w:rsidR="007415F6" w:rsidRPr="007677A0" w:rsidRDefault="007415F6" w:rsidP="007677A0">
      <w:pPr>
        <w:widowControl w:val="0"/>
        <w:numPr>
          <w:ilvl w:val="0"/>
          <w:numId w:val="44"/>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 xml:space="preserve">Receive </w:t>
      </w:r>
      <w:proofErr w:type="spellStart"/>
      <w:r w:rsidRPr="007677A0">
        <w:rPr>
          <w:rFonts w:asciiTheme="majorHAnsi" w:hAnsiTheme="majorHAnsi" w:cs="ArialMT"/>
          <w:sz w:val="22"/>
          <w:szCs w:val="22"/>
        </w:rPr>
        <w:t>varicella</w:t>
      </w:r>
      <w:proofErr w:type="spellEnd"/>
      <w:r w:rsidRPr="007677A0">
        <w:rPr>
          <w:rFonts w:asciiTheme="majorHAnsi" w:hAnsiTheme="majorHAnsi" w:cs="ArialMT"/>
          <w:sz w:val="22"/>
          <w:szCs w:val="22"/>
        </w:rPr>
        <w:t xml:space="preserve"> </w:t>
      </w:r>
      <w:proofErr w:type="gramStart"/>
      <w:r w:rsidRPr="007677A0">
        <w:rPr>
          <w:rFonts w:asciiTheme="majorHAnsi" w:hAnsiTheme="majorHAnsi" w:cs="ArialMT"/>
          <w:sz w:val="22"/>
          <w:szCs w:val="22"/>
        </w:rPr>
        <w:t>vaccine,</w:t>
      </w:r>
      <w:proofErr w:type="gramEnd"/>
      <w:r w:rsidRPr="007677A0">
        <w:rPr>
          <w:rFonts w:asciiTheme="majorHAnsi" w:hAnsiTheme="majorHAnsi" w:cs="ArialMT"/>
          <w:sz w:val="22"/>
          <w:szCs w:val="22"/>
        </w:rPr>
        <w:t xml:space="preserve"> if susceptible to </w:t>
      </w:r>
      <w:proofErr w:type="spellStart"/>
      <w:r w:rsidRPr="007677A0">
        <w:rPr>
          <w:rFonts w:asciiTheme="majorHAnsi" w:hAnsiTheme="majorHAnsi" w:cs="ArialMT"/>
          <w:sz w:val="22"/>
          <w:szCs w:val="22"/>
        </w:rPr>
        <w:t>varicella</w:t>
      </w:r>
      <w:proofErr w:type="spellEnd"/>
      <w:r w:rsidRPr="007677A0">
        <w:rPr>
          <w:rFonts w:asciiTheme="majorHAnsi" w:hAnsiTheme="majorHAnsi" w:cs="ArialMT"/>
          <w:sz w:val="22"/>
          <w:szCs w:val="22"/>
        </w:rPr>
        <w:t xml:space="preserve"> (see the </w:t>
      </w:r>
      <w:r w:rsidRPr="007677A0">
        <w:rPr>
          <w:rFonts w:asciiTheme="majorHAnsi" w:hAnsiTheme="majorHAnsi" w:cs="ArialMT"/>
          <w:i/>
          <w:iCs/>
          <w:sz w:val="22"/>
          <w:szCs w:val="22"/>
        </w:rPr>
        <w:t xml:space="preserve">Chickenpox </w:t>
      </w:r>
      <w:r w:rsidRPr="007677A0">
        <w:rPr>
          <w:rFonts w:asciiTheme="majorHAnsi" w:hAnsiTheme="majorHAnsi" w:cs="ArialMT"/>
          <w:sz w:val="22"/>
          <w:szCs w:val="22"/>
        </w:rPr>
        <w:t xml:space="preserve">and </w:t>
      </w:r>
      <w:r w:rsidRPr="007677A0">
        <w:rPr>
          <w:rFonts w:asciiTheme="majorHAnsi" w:hAnsiTheme="majorHAnsi" w:cs="ArialMT"/>
          <w:i/>
          <w:iCs/>
          <w:sz w:val="22"/>
          <w:szCs w:val="22"/>
        </w:rPr>
        <w:t xml:space="preserve">Shingles </w:t>
      </w:r>
      <w:r w:rsidRPr="007677A0">
        <w:rPr>
          <w:rFonts w:asciiTheme="majorHAnsi" w:hAnsiTheme="majorHAnsi" w:cs="ArialMT"/>
          <w:sz w:val="22"/>
          <w:szCs w:val="22"/>
        </w:rPr>
        <w:t>chapter for more information).</w:t>
      </w:r>
    </w:p>
    <w:p w:rsidR="007415F6" w:rsidRPr="007677A0" w:rsidRDefault="007415F6" w:rsidP="007677A0">
      <w:pPr>
        <w:widowControl w:val="0"/>
        <w:numPr>
          <w:ilvl w:val="0"/>
          <w:numId w:val="45"/>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Use the lowest absorbency effective tampon and change frequently. Advise individuals to discontinue tampon use immediately and to call their health care provider if they develop a high fever and vomiting or diarrhea during menstruation.</w:t>
      </w:r>
    </w:p>
    <w:p w:rsidR="007415F6" w:rsidRPr="007677A0" w:rsidRDefault="007415F6" w:rsidP="007677A0">
      <w:pPr>
        <w:widowControl w:val="0"/>
        <w:numPr>
          <w:ilvl w:val="0"/>
          <w:numId w:val="46"/>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Follow directions for use of diaphragms or contraceptive sponges, and do not leave the device in place for more than 30 hours.</w:t>
      </w:r>
    </w:p>
    <w:p w:rsidR="007415F6" w:rsidRPr="007677A0" w:rsidRDefault="007415F6" w:rsidP="007677A0">
      <w:pPr>
        <w:widowControl w:val="0"/>
        <w:numPr>
          <w:ilvl w:val="0"/>
          <w:numId w:val="47"/>
        </w:numPr>
        <w:tabs>
          <w:tab w:val="left" w:pos="720"/>
        </w:tabs>
        <w:autoSpaceDE w:val="0"/>
        <w:autoSpaceDN w:val="0"/>
        <w:adjustRightInd w:val="0"/>
        <w:spacing w:after="200" w:line="276" w:lineRule="auto"/>
        <w:rPr>
          <w:rFonts w:ascii="ArialMT" w:hAnsi="ArialMT" w:cs="ArialMT"/>
          <w:sz w:val="22"/>
          <w:szCs w:val="22"/>
        </w:rPr>
      </w:pPr>
      <w:r w:rsidRPr="007677A0">
        <w:rPr>
          <w:rFonts w:asciiTheme="majorHAnsi" w:hAnsiTheme="majorHAnsi" w:cs="ArialMT"/>
          <w:sz w:val="22"/>
          <w:szCs w:val="22"/>
        </w:rPr>
        <w:t xml:space="preserve">Complete the full course of treatment </w:t>
      </w:r>
      <w:r w:rsidR="006C3B53">
        <w:rPr>
          <w:rFonts w:asciiTheme="majorHAnsi" w:hAnsiTheme="majorHAnsi" w:cs="ArialMT"/>
          <w:sz w:val="22"/>
          <w:szCs w:val="22"/>
        </w:rPr>
        <w:t xml:space="preserve">of </w:t>
      </w:r>
      <w:r w:rsidR="006C3B53" w:rsidRPr="007677A0">
        <w:rPr>
          <w:rFonts w:asciiTheme="majorHAnsi" w:hAnsiTheme="majorHAnsi" w:cs="ArialMT"/>
          <w:sz w:val="22"/>
          <w:szCs w:val="22"/>
        </w:rPr>
        <w:t>prescribed</w:t>
      </w:r>
      <w:r w:rsidRPr="007677A0">
        <w:rPr>
          <w:rFonts w:asciiTheme="majorHAnsi" w:hAnsiTheme="majorHAnsi" w:cs="ArialMT"/>
          <w:sz w:val="22"/>
          <w:szCs w:val="22"/>
        </w:rPr>
        <w:t xml:space="preserve"> antibiotics for </w:t>
      </w:r>
      <w:r w:rsidRPr="007677A0">
        <w:rPr>
          <w:rFonts w:asciiTheme="majorHAnsi" w:hAnsiTheme="majorHAnsi" w:cs="ArialMT"/>
          <w:i/>
          <w:iCs/>
          <w:sz w:val="22"/>
          <w:szCs w:val="22"/>
        </w:rPr>
        <w:t xml:space="preserve">Staphylococcus </w:t>
      </w:r>
      <w:r w:rsidRPr="007677A0">
        <w:rPr>
          <w:rFonts w:asciiTheme="majorHAnsi" w:hAnsiTheme="majorHAnsi" w:cs="ArialMT"/>
          <w:sz w:val="22"/>
          <w:szCs w:val="22"/>
        </w:rPr>
        <w:t xml:space="preserve">or </w:t>
      </w:r>
      <w:r w:rsidRPr="007677A0">
        <w:rPr>
          <w:rFonts w:asciiTheme="majorHAnsi" w:hAnsiTheme="majorHAnsi" w:cs="ArialMT"/>
          <w:i/>
          <w:iCs/>
          <w:sz w:val="22"/>
          <w:szCs w:val="22"/>
        </w:rPr>
        <w:t xml:space="preserve">Streptococcus </w:t>
      </w:r>
      <w:r w:rsidRPr="007677A0">
        <w:rPr>
          <w:rFonts w:asciiTheme="majorHAnsi" w:hAnsiTheme="majorHAnsi" w:cs="ArialMT"/>
          <w:sz w:val="22"/>
          <w:szCs w:val="22"/>
        </w:rPr>
        <w:t>infections.</w:t>
      </w:r>
    </w:p>
    <w:p w:rsidR="007415F6" w:rsidRPr="007677A0" w:rsidRDefault="007415F6" w:rsidP="007415F6">
      <w:pPr>
        <w:widowControl w:val="0"/>
        <w:autoSpaceDE w:val="0"/>
        <w:autoSpaceDN w:val="0"/>
        <w:adjustRightInd w:val="0"/>
        <w:ind w:right="-720"/>
        <w:rPr>
          <w:rFonts w:asciiTheme="majorHAnsi" w:hAnsiTheme="majorHAnsi" w:cs="ArialMT"/>
          <w:sz w:val="20"/>
          <w:szCs w:val="20"/>
        </w:rPr>
      </w:pPr>
      <w:r w:rsidRPr="007677A0">
        <w:rPr>
          <w:rFonts w:asciiTheme="majorHAnsi" w:hAnsiTheme="majorHAnsi" w:cs="ArialMT"/>
          <w:sz w:val="22"/>
          <w:szCs w:val="22"/>
        </w:rPr>
        <w:t xml:space="preserve">A Group </w:t>
      </w:r>
      <w:proofErr w:type="gramStart"/>
      <w:r w:rsidRPr="007677A0">
        <w:rPr>
          <w:rFonts w:asciiTheme="majorHAnsi" w:hAnsiTheme="majorHAnsi" w:cs="ArialMT"/>
          <w:sz w:val="22"/>
          <w:szCs w:val="22"/>
        </w:rPr>
        <w:t>A</w:t>
      </w:r>
      <w:proofErr w:type="gramEnd"/>
      <w:r w:rsidRPr="007677A0">
        <w:rPr>
          <w:rFonts w:asciiTheme="majorHAnsi" w:hAnsiTheme="majorHAnsi" w:cs="ArialMT"/>
          <w:sz w:val="22"/>
          <w:szCs w:val="22"/>
        </w:rPr>
        <w:t xml:space="preserve"> Streptococcal Disease Public Health Fact Sheet is available from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Epidemiology Program or on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website at</w:t>
      </w:r>
      <w:r w:rsidRPr="007415F6">
        <w:rPr>
          <w:rFonts w:ascii="ArialMT" w:hAnsi="ArialMT" w:cs="ArialMT"/>
          <w:sz w:val="22"/>
          <w:szCs w:val="22"/>
        </w:rPr>
        <w:t xml:space="preserve"> </w:t>
      </w:r>
      <w:hyperlink r:id="rId10" w:history="1">
        <w:r w:rsidRPr="007677A0">
          <w:rPr>
            <w:rFonts w:asciiTheme="majorHAnsi" w:hAnsiTheme="majorHAnsi" w:cs="ArialMT"/>
            <w:color w:val="0000FF"/>
            <w:sz w:val="22"/>
            <w:szCs w:val="22"/>
            <w:u w:val="single" w:color="0000FF"/>
          </w:rPr>
          <w:t>http://www.mass.gov/eohhs/gov/departments/dph/programs/id/epidemiology/factsheets.html</w:t>
        </w:r>
      </w:hyperlink>
      <w:r w:rsidRPr="007677A0">
        <w:rPr>
          <w:rFonts w:asciiTheme="majorHAnsi" w:hAnsiTheme="majorHAnsi" w:cs="ArialMT"/>
          <w:sz w:val="22"/>
          <w:szCs w:val="22"/>
        </w:rPr>
        <w:t xml:space="preserve">. </w:t>
      </w:r>
    </w:p>
    <w:p w:rsidR="00622F42" w:rsidRPr="00622F42" w:rsidRDefault="00622F42" w:rsidP="00622F42">
      <w:pPr>
        <w:autoSpaceDE w:val="0"/>
        <w:autoSpaceDN w:val="0"/>
        <w:adjustRightInd w:val="0"/>
        <w:rPr>
          <w:i/>
          <w:iCs/>
          <w:sz w:val="22"/>
          <w:szCs w:val="22"/>
        </w:rPr>
      </w:pPr>
    </w:p>
    <w:p w:rsidR="00622F42" w:rsidRPr="00622F42" w:rsidRDefault="00622F42" w:rsidP="00622F42">
      <w:pPr>
        <w:autoSpaceDE w:val="0"/>
        <w:autoSpaceDN w:val="0"/>
        <w:adjustRightInd w:val="0"/>
        <w:rPr>
          <w:rFonts w:ascii="TradeGothic-BoldCondTwenty" w:hAnsi="TradeGothic-BoldCondTwenty"/>
          <w:b/>
          <w:bCs/>
          <w:sz w:val="20"/>
          <w:szCs w:val="26"/>
        </w:rPr>
      </w:pP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ADDITIONAL INFORMATION</w:t>
      </w:r>
    </w:p>
    <w:p w:rsidR="00622F42" w:rsidRPr="007677A0" w:rsidRDefault="00622F42" w:rsidP="00622F42">
      <w:pPr>
        <w:autoSpaceDE w:val="0"/>
        <w:autoSpaceDN w:val="0"/>
        <w:adjustRightInd w:val="0"/>
        <w:rPr>
          <w:rFonts w:asciiTheme="majorHAnsi" w:hAnsiTheme="majorHAnsi"/>
          <w:sz w:val="22"/>
          <w:szCs w:val="22"/>
        </w:rPr>
      </w:pP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The following is the formal </w:t>
      </w:r>
      <w:proofErr w:type="spellStart"/>
      <w:r w:rsidRPr="007677A0">
        <w:rPr>
          <w:rFonts w:asciiTheme="majorHAnsi" w:hAnsiTheme="majorHAnsi" w:cs="ArialMT"/>
          <w:sz w:val="22"/>
          <w:szCs w:val="22"/>
        </w:rPr>
        <w:t>CSTE</w:t>
      </w:r>
      <w:proofErr w:type="spellEnd"/>
      <w:r w:rsidRPr="007677A0">
        <w:rPr>
          <w:rFonts w:asciiTheme="majorHAnsi" w:hAnsiTheme="majorHAnsi" w:cs="ArialMT"/>
          <w:sz w:val="22"/>
          <w:szCs w:val="22"/>
        </w:rPr>
        <w:t xml:space="preserve"> surveillance case definition for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It is provided for your information only and should not affect the investigation and reporting of a case that fulfills the criteria in Section 2A of this chapter. (The CDC and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xml:space="preserve"> use the </w:t>
      </w:r>
      <w:proofErr w:type="spellStart"/>
      <w:r w:rsidRPr="007677A0">
        <w:rPr>
          <w:rFonts w:asciiTheme="majorHAnsi" w:hAnsiTheme="majorHAnsi" w:cs="ArialMT"/>
          <w:sz w:val="22"/>
          <w:szCs w:val="22"/>
        </w:rPr>
        <w:t>CSTE</w:t>
      </w:r>
      <w:proofErr w:type="spellEnd"/>
      <w:r w:rsidRPr="007677A0">
        <w:rPr>
          <w:rFonts w:asciiTheme="majorHAnsi" w:hAnsiTheme="majorHAnsi" w:cs="ArialMT"/>
          <w:sz w:val="22"/>
          <w:szCs w:val="22"/>
        </w:rPr>
        <w:t xml:space="preserve"> case definitions to maintain uniform standards for national reporting.) For reporting to the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always use the criteria outlined in Section 2A.</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ind w:right="-720"/>
        <w:rPr>
          <w:rFonts w:asciiTheme="majorHAnsi" w:hAnsiTheme="majorHAnsi" w:cs="ArialMT"/>
          <w:i/>
          <w:iCs/>
          <w:sz w:val="22"/>
          <w:szCs w:val="22"/>
        </w:rPr>
      </w:pPr>
      <w:r w:rsidRPr="007677A0">
        <w:rPr>
          <w:rFonts w:asciiTheme="majorHAnsi" w:hAnsiTheme="majorHAnsi" w:cs="ArialMT"/>
          <w:i/>
          <w:iCs/>
          <w:sz w:val="22"/>
          <w:szCs w:val="22"/>
        </w:rPr>
        <w:t xml:space="preserve">Note: The most up-to-date </w:t>
      </w:r>
      <w:proofErr w:type="spellStart"/>
      <w:r w:rsidRPr="007677A0">
        <w:rPr>
          <w:rFonts w:asciiTheme="majorHAnsi" w:hAnsiTheme="majorHAnsi" w:cs="ArialMT"/>
          <w:i/>
          <w:iCs/>
          <w:sz w:val="22"/>
          <w:szCs w:val="22"/>
        </w:rPr>
        <w:t>CSTE</w:t>
      </w:r>
      <w:proofErr w:type="spellEnd"/>
      <w:r w:rsidRPr="007677A0">
        <w:rPr>
          <w:rFonts w:asciiTheme="majorHAnsi" w:hAnsiTheme="majorHAnsi" w:cs="ArialMT"/>
          <w:i/>
          <w:iCs/>
          <w:sz w:val="22"/>
          <w:szCs w:val="22"/>
        </w:rPr>
        <w:t xml:space="preserve"> case definitions are available on the CDC website at </w:t>
      </w:r>
      <w:hyperlink r:id="rId11" w:history="1">
        <w:r w:rsidRPr="007677A0">
          <w:rPr>
            <w:rFonts w:asciiTheme="majorHAnsi" w:hAnsiTheme="majorHAnsi" w:cs="ArialMT"/>
            <w:color w:val="0000FF"/>
            <w:sz w:val="22"/>
            <w:szCs w:val="22"/>
            <w:u w:val="single" w:color="0000FF"/>
          </w:rPr>
          <w:t>https://wwwn.cdc.gov/nndss/case-definitions.html</w:t>
        </w:r>
      </w:hyperlink>
      <w:r w:rsidRPr="007677A0">
        <w:rPr>
          <w:rFonts w:asciiTheme="majorHAnsi" w:hAnsiTheme="majorHAnsi" w:cs="ArialMT"/>
          <w:sz w:val="22"/>
          <w:szCs w:val="22"/>
        </w:rPr>
        <w:t xml:space="preserve"> </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b/>
          <w:bCs/>
          <w:sz w:val="22"/>
          <w:szCs w:val="22"/>
          <w:u w:val="single"/>
        </w:rPr>
      </w:pPr>
      <w:r w:rsidRPr="007677A0">
        <w:rPr>
          <w:rFonts w:asciiTheme="majorHAnsi" w:hAnsiTheme="majorHAnsi" w:cs="ArialMT"/>
          <w:b/>
          <w:bCs/>
          <w:sz w:val="22"/>
          <w:szCs w:val="22"/>
          <w:u w:val="single"/>
        </w:rPr>
        <w:t>Staphylococcal Toxic Shock Syndrome Clinical Case Definition</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An illness with the following clinical manifestations:</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677A0">
      <w:pPr>
        <w:widowControl w:val="0"/>
        <w:numPr>
          <w:ilvl w:val="0"/>
          <w:numId w:val="48"/>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Fever: Temperature ≥102.0°F (≥38.9°C).</w:t>
      </w:r>
    </w:p>
    <w:p w:rsidR="007073D8" w:rsidRPr="007677A0" w:rsidRDefault="007073D8" w:rsidP="007073D8">
      <w:pPr>
        <w:widowControl w:val="0"/>
        <w:tabs>
          <w:tab w:val="left" w:pos="360"/>
        </w:tabs>
        <w:autoSpaceDE w:val="0"/>
        <w:autoSpaceDN w:val="0"/>
        <w:adjustRightInd w:val="0"/>
        <w:ind w:left="720" w:hanging="360"/>
        <w:rPr>
          <w:rFonts w:asciiTheme="majorHAnsi" w:hAnsiTheme="majorHAnsi" w:cs="ArialMT"/>
          <w:sz w:val="22"/>
          <w:szCs w:val="22"/>
        </w:rPr>
      </w:pPr>
      <w:r w:rsidRPr="007677A0">
        <w:rPr>
          <w:rFonts w:asciiTheme="majorHAnsi" w:hAnsiTheme="majorHAnsi" w:cs="ArialMT"/>
          <w:sz w:val="22"/>
          <w:szCs w:val="22"/>
        </w:rPr>
        <w:t>•</w:t>
      </w:r>
      <w:r w:rsidRPr="007677A0">
        <w:rPr>
          <w:rFonts w:asciiTheme="majorHAnsi" w:hAnsiTheme="majorHAnsi" w:cs="ArialMT"/>
          <w:sz w:val="22"/>
          <w:szCs w:val="22"/>
        </w:rPr>
        <w:tab/>
        <w:t xml:space="preserve">Rash: Diffuse macular </w:t>
      </w:r>
      <w:proofErr w:type="spellStart"/>
      <w:r w:rsidRPr="007677A0">
        <w:rPr>
          <w:rFonts w:asciiTheme="majorHAnsi" w:hAnsiTheme="majorHAnsi" w:cs="ArialMT"/>
          <w:sz w:val="22"/>
          <w:szCs w:val="22"/>
        </w:rPr>
        <w:t>erythroderma</w:t>
      </w:r>
      <w:proofErr w:type="spellEnd"/>
      <w:r w:rsidRPr="007677A0">
        <w:rPr>
          <w:rFonts w:asciiTheme="majorHAnsi" w:hAnsiTheme="majorHAnsi" w:cs="ArialMT"/>
          <w:sz w:val="22"/>
          <w:szCs w:val="22"/>
        </w:rPr>
        <w:t>.</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677A0">
      <w:pPr>
        <w:widowControl w:val="0"/>
        <w:numPr>
          <w:ilvl w:val="0"/>
          <w:numId w:val="49"/>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Desquamation: 1–2 weeks after onset of illness, particularly on the palms and soles.</w:t>
      </w:r>
    </w:p>
    <w:p w:rsidR="007073D8" w:rsidRPr="007677A0" w:rsidRDefault="007073D8" w:rsidP="007677A0">
      <w:pPr>
        <w:widowControl w:val="0"/>
        <w:numPr>
          <w:ilvl w:val="0"/>
          <w:numId w:val="50"/>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Hypotension: Systolic blood pressure ≤90 mm Hg for adults or less than fifth percentile by age for children aged ≤16 years; orthostatic drop in diastolic blood pressure ≥15 mm Hg from lying to sitting, orthostatic syncope, or orthostatic dizziness.</w:t>
      </w:r>
    </w:p>
    <w:p w:rsidR="007073D8" w:rsidRPr="007677A0" w:rsidRDefault="007073D8" w:rsidP="007677A0">
      <w:pPr>
        <w:widowControl w:val="0"/>
        <w:numPr>
          <w:ilvl w:val="0"/>
          <w:numId w:val="51"/>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Multi</w:t>
      </w:r>
      <w:r w:rsidR="00C94F00">
        <w:rPr>
          <w:rFonts w:asciiTheme="majorHAnsi" w:hAnsiTheme="majorHAnsi" w:cs="ArialMT"/>
          <w:sz w:val="22"/>
          <w:szCs w:val="22"/>
        </w:rPr>
        <w:t>-</w:t>
      </w:r>
      <w:r w:rsidRPr="007677A0">
        <w:rPr>
          <w:rFonts w:asciiTheme="majorHAnsi" w:hAnsiTheme="majorHAnsi" w:cs="ArialMT"/>
          <w:sz w:val="22"/>
          <w:szCs w:val="22"/>
        </w:rPr>
        <w:t>system involvement (three or more of the following):</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t>Gastrointestinal: Vomiting or diarrhea at onset of illness.</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t xml:space="preserve">Muscular: Severe </w:t>
      </w:r>
      <w:proofErr w:type="spellStart"/>
      <w:r w:rsidRPr="007677A0">
        <w:rPr>
          <w:rFonts w:asciiTheme="majorHAnsi" w:hAnsiTheme="majorHAnsi" w:cs="ArialMT"/>
          <w:sz w:val="22"/>
          <w:szCs w:val="22"/>
        </w:rPr>
        <w:t>myalgia</w:t>
      </w:r>
      <w:proofErr w:type="spellEnd"/>
      <w:r w:rsidRPr="007677A0">
        <w:rPr>
          <w:rFonts w:asciiTheme="majorHAnsi" w:hAnsiTheme="majorHAnsi" w:cs="ArialMT"/>
          <w:sz w:val="22"/>
          <w:szCs w:val="22"/>
        </w:rPr>
        <w:t xml:space="preserve"> or </w:t>
      </w:r>
      <w:proofErr w:type="spellStart"/>
      <w:r w:rsidRPr="007677A0">
        <w:rPr>
          <w:rFonts w:asciiTheme="majorHAnsi" w:hAnsiTheme="majorHAnsi" w:cs="ArialMT"/>
          <w:sz w:val="22"/>
          <w:szCs w:val="22"/>
        </w:rPr>
        <w:t>creatine</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phosphokinase</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CPK</w:t>
      </w:r>
      <w:proofErr w:type="spellEnd"/>
      <w:r w:rsidRPr="007677A0">
        <w:rPr>
          <w:rFonts w:asciiTheme="majorHAnsi" w:hAnsiTheme="majorHAnsi" w:cs="ArialMT"/>
          <w:sz w:val="22"/>
          <w:szCs w:val="22"/>
        </w:rPr>
        <w:t>) level at least twice the</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upper</w:t>
      </w:r>
      <w:proofErr w:type="gramEnd"/>
      <w:r w:rsidRPr="007677A0">
        <w:rPr>
          <w:rFonts w:asciiTheme="majorHAnsi" w:hAnsiTheme="majorHAnsi" w:cs="ArialMT"/>
          <w:sz w:val="22"/>
          <w:szCs w:val="22"/>
        </w:rPr>
        <w:t xml:space="preserve"> limit of normal.</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t xml:space="preserve">Mucous membrane: Vaginal, </w:t>
      </w:r>
      <w:proofErr w:type="spellStart"/>
      <w:r w:rsidRPr="007677A0">
        <w:rPr>
          <w:rFonts w:asciiTheme="majorHAnsi" w:hAnsiTheme="majorHAnsi" w:cs="ArialMT"/>
          <w:sz w:val="22"/>
          <w:szCs w:val="22"/>
        </w:rPr>
        <w:t>oropharyngeal</w:t>
      </w:r>
      <w:proofErr w:type="spellEnd"/>
      <w:r w:rsidRPr="007677A0">
        <w:rPr>
          <w:rFonts w:asciiTheme="majorHAnsi" w:hAnsiTheme="majorHAnsi" w:cs="ArialMT"/>
          <w:sz w:val="22"/>
          <w:szCs w:val="22"/>
        </w:rPr>
        <w:t xml:space="preserve">, or </w:t>
      </w:r>
      <w:proofErr w:type="spellStart"/>
      <w:r w:rsidRPr="007677A0">
        <w:rPr>
          <w:rFonts w:asciiTheme="majorHAnsi" w:hAnsiTheme="majorHAnsi" w:cs="ArialMT"/>
          <w:sz w:val="22"/>
          <w:szCs w:val="22"/>
        </w:rPr>
        <w:t>conjunctival</w:t>
      </w:r>
      <w:proofErr w:type="spellEnd"/>
      <w:r w:rsidRPr="007677A0">
        <w:rPr>
          <w:rFonts w:asciiTheme="majorHAnsi" w:hAnsiTheme="majorHAnsi" w:cs="ArialMT"/>
          <w:sz w:val="22"/>
          <w:szCs w:val="22"/>
        </w:rPr>
        <w:t xml:space="preserve"> hyperemia.</w:t>
      </w:r>
    </w:p>
    <w:p w:rsidR="007073D8" w:rsidRPr="007677A0" w:rsidRDefault="007073D8" w:rsidP="007073D8">
      <w:pPr>
        <w:widowControl w:val="0"/>
        <w:autoSpaceDE w:val="0"/>
        <w:autoSpaceDN w:val="0"/>
        <w:adjustRightInd w:val="0"/>
        <w:ind w:left="72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t xml:space="preserve">Renal: Blood urea nitrogen (BUN) or </w:t>
      </w:r>
      <w:proofErr w:type="spellStart"/>
      <w:r w:rsidRPr="007677A0">
        <w:rPr>
          <w:rFonts w:asciiTheme="majorHAnsi" w:hAnsiTheme="majorHAnsi" w:cs="ArialMT"/>
          <w:sz w:val="22"/>
          <w:szCs w:val="22"/>
        </w:rPr>
        <w:t>creatinine</w:t>
      </w:r>
      <w:proofErr w:type="spellEnd"/>
      <w:r w:rsidRPr="007677A0">
        <w:rPr>
          <w:rFonts w:asciiTheme="majorHAnsi" w:hAnsiTheme="majorHAnsi" w:cs="ArialMT"/>
          <w:sz w:val="22"/>
          <w:szCs w:val="22"/>
        </w:rPr>
        <w:t xml:space="preserve"> at least twice the upper limit of normal</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for</w:t>
      </w:r>
      <w:proofErr w:type="gramEnd"/>
      <w:r w:rsidRPr="007677A0">
        <w:rPr>
          <w:rFonts w:asciiTheme="majorHAnsi" w:hAnsiTheme="majorHAnsi" w:cs="ArialMT"/>
          <w:sz w:val="22"/>
          <w:szCs w:val="22"/>
        </w:rPr>
        <w:t xml:space="preserve"> laboratory or urinary sediment with </w:t>
      </w:r>
      <w:proofErr w:type="spellStart"/>
      <w:r w:rsidRPr="007677A0">
        <w:rPr>
          <w:rFonts w:asciiTheme="majorHAnsi" w:hAnsiTheme="majorHAnsi" w:cs="ArialMT"/>
          <w:sz w:val="22"/>
          <w:szCs w:val="22"/>
        </w:rPr>
        <w:t>pyuria</w:t>
      </w:r>
      <w:proofErr w:type="spellEnd"/>
      <w:r w:rsidRPr="007677A0">
        <w:rPr>
          <w:rFonts w:asciiTheme="majorHAnsi" w:hAnsiTheme="majorHAnsi" w:cs="ArialMT"/>
          <w:sz w:val="22"/>
          <w:szCs w:val="22"/>
        </w:rPr>
        <w:t xml:space="preserve"> (≥5 leukocytes per high-power field)</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in</w:t>
      </w:r>
      <w:proofErr w:type="gramEnd"/>
      <w:r w:rsidRPr="007677A0">
        <w:rPr>
          <w:rFonts w:asciiTheme="majorHAnsi" w:hAnsiTheme="majorHAnsi" w:cs="ArialMT"/>
          <w:sz w:val="22"/>
          <w:szCs w:val="22"/>
        </w:rPr>
        <w:t xml:space="preserve"> the absence of urinary tract infection.</w:t>
      </w:r>
    </w:p>
    <w:p w:rsidR="007073D8" w:rsidRPr="007677A0" w:rsidRDefault="007073D8" w:rsidP="007073D8">
      <w:pPr>
        <w:widowControl w:val="0"/>
        <w:autoSpaceDE w:val="0"/>
        <w:autoSpaceDN w:val="0"/>
        <w:adjustRightInd w:val="0"/>
        <w:ind w:left="72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t xml:space="preserve">Hepatic: Total </w:t>
      </w:r>
      <w:proofErr w:type="spellStart"/>
      <w:r w:rsidRPr="007677A0">
        <w:rPr>
          <w:rFonts w:asciiTheme="majorHAnsi" w:hAnsiTheme="majorHAnsi" w:cs="ArialMT"/>
          <w:sz w:val="22"/>
          <w:szCs w:val="22"/>
        </w:rPr>
        <w:t>bilirubin</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alanine</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aminotransferase</w:t>
      </w:r>
      <w:proofErr w:type="spellEnd"/>
      <w:r w:rsidRPr="007677A0">
        <w:rPr>
          <w:rFonts w:asciiTheme="majorHAnsi" w:hAnsiTheme="majorHAnsi" w:cs="ArialMT"/>
          <w:sz w:val="22"/>
          <w:szCs w:val="22"/>
        </w:rPr>
        <w:t xml:space="preserve"> (ALT) enzyme, or </w:t>
      </w:r>
      <w:proofErr w:type="spellStart"/>
      <w:r w:rsidRPr="007677A0">
        <w:rPr>
          <w:rFonts w:asciiTheme="majorHAnsi" w:hAnsiTheme="majorHAnsi" w:cs="ArialMT"/>
          <w:sz w:val="22"/>
          <w:szCs w:val="22"/>
        </w:rPr>
        <w:t>aspartate</w:t>
      </w:r>
      <w:proofErr w:type="spellEnd"/>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spellStart"/>
      <w:proofErr w:type="gramStart"/>
      <w:r w:rsidRPr="007677A0">
        <w:rPr>
          <w:rFonts w:asciiTheme="majorHAnsi" w:hAnsiTheme="majorHAnsi" w:cs="ArialMT"/>
          <w:sz w:val="22"/>
          <w:szCs w:val="22"/>
        </w:rPr>
        <w:t>aminotransferase</w:t>
      </w:r>
      <w:proofErr w:type="spellEnd"/>
      <w:proofErr w:type="gramEnd"/>
      <w:r w:rsidRPr="007677A0">
        <w:rPr>
          <w:rFonts w:asciiTheme="majorHAnsi" w:hAnsiTheme="majorHAnsi" w:cs="ArialMT"/>
          <w:sz w:val="22"/>
          <w:szCs w:val="22"/>
        </w:rPr>
        <w:t xml:space="preserve"> (AST) enzyme levels at least twice the upper limit of normal for</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laboratory</w:t>
      </w:r>
      <w:proofErr w:type="gramEnd"/>
      <w:r w:rsidRPr="007677A0">
        <w:rPr>
          <w:rFonts w:asciiTheme="majorHAnsi" w:hAnsiTheme="majorHAnsi" w:cs="ArialMT"/>
          <w:sz w:val="22"/>
          <w:szCs w:val="22"/>
        </w:rPr>
        <w:t>.</w:t>
      </w:r>
    </w:p>
    <w:p w:rsidR="007073D8" w:rsidRPr="007677A0" w:rsidRDefault="007073D8" w:rsidP="007073D8">
      <w:pPr>
        <w:widowControl w:val="0"/>
        <w:autoSpaceDE w:val="0"/>
        <w:autoSpaceDN w:val="0"/>
        <w:adjustRightInd w:val="0"/>
        <w:ind w:left="72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r>
      <w:proofErr w:type="spellStart"/>
      <w:r w:rsidRPr="007677A0">
        <w:rPr>
          <w:rFonts w:asciiTheme="majorHAnsi" w:hAnsiTheme="majorHAnsi" w:cs="ArialMT"/>
          <w:sz w:val="22"/>
          <w:szCs w:val="22"/>
        </w:rPr>
        <w:t>Hematologic</w:t>
      </w:r>
      <w:proofErr w:type="spellEnd"/>
      <w:r w:rsidRPr="007677A0">
        <w:rPr>
          <w:rFonts w:asciiTheme="majorHAnsi" w:hAnsiTheme="majorHAnsi" w:cs="ArialMT"/>
          <w:sz w:val="22"/>
          <w:szCs w:val="22"/>
        </w:rPr>
        <w:t>: Platelets &lt;100,000/mm3.</w:t>
      </w:r>
    </w:p>
    <w:p w:rsidR="007073D8" w:rsidRPr="007677A0" w:rsidRDefault="007073D8" w:rsidP="007073D8">
      <w:pPr>
        <w:widowControl w:val="0"/>
        <w:autoSpaceDE w:val="0"/>
        <w:autoSpaceDN w:val="0"/>
        <w:adjustRightInd w:val="0"/>
        <w:ind w:left="72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t>Central nervous system: Disorientation or alterations in consciousness without</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focal</w:t>
      </w:r>
      <w:proofErr w:type="gram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neurologic</w:t>
      </w:r>
      <w:proofErr w:type="spellEnd"/>
      <w:r w:rsidRPr="007677A0">
        <w:rPr>
          <w:rFonts w:asciiTheme="majorHAnsi" w:hAnsiTheme="majorHAnsi" w:cs="ArialMT"/>
          <w:sz w:val="22"/>
          <w:szCs w:val="22"/>
        </w:rPr>
        <w:t xml:space="preserve"> signs when fever and hypotension are absent.</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b/>
          <w:bCs/>
          <w:sz w:val="22"/>
          <w:szCs w:val="22"/>
        </w:rPr>
      </w:pPr>
      <w:r w:rsidRPr="007677A0">
        <w:rPr>
          <w:rFonts w:asciiTheme="majorHAnsi" w:hAnsiTheme="majorHAnsi" w:cs="ArialMT"/>
          <w:b/>
          <w:bCs/>
          <w:sz w:val="22"/>
          <w:szCs w:val="22"/>
        </w:rPr>
        <w:t>Laboratory Criteria</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677A0">
      <w:pPr>
        <w:widowControl w:val="0"/>
        <w:numPr>
          <w:ilvl w:val="0"/>
          <w:numId w:val="52"/>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Laboratory results (blood, throat, or cerebrospinal fluid [</w:t>
      </w:r>
      <w:proofErr w:type="spellStart"/>
      <w:r w:rsidRPr="007677A0">
        <w:rPr>
          <w:rFonts w:asciiTheme="majorHAnsi" w:hAnsiTheme="majorHAnsi" w:cs="ArialMT"/>
          <w:sz w:val="22"/>
          <w:szCs w:val="22"/>
        </w:rPr>
        <w:t>CSF</w:t>
      </w:r>
      <w:proofErr w:type="spellEnd"/>
      <w:r w:rsidRPr="007677A0">
        <w:rPr>
          <w:rFonts w:asciiTheme="majorHAnsi" w:hAnsiTheme="majorHAnsi" w:cs="ArialMT"/>
          <w:sz w:val="22"/>
          <w:szCs w:val="22"/>
        </w:rPr>
        <w:t xml:space="preserve">] cultures) may be positive for either GAS or </w:t>
      </w:r>
      <w:r w:rsidRPr="007677A0">
        <w:rPr>
          <w:rFonts w:asciiTheme="majorHAnsi" w:hAnsiTheme="majorHAnsi" w:cs="ArialMT"/>
          <w:i/>
          <w:iCs/>
          <w:sz w:val="22"/>
          <w:szCs w:val="22"/>
        </w:rPr>
        <w:t xml:space="preserve">S. </w:t>
      </w:r>
      <w:proofErr w:type="spellStart"/>
      <w:r w:rsidRPr="007677A0">
        <w:rPr>
          <w:rFonts w:asciiTheme="majorHAnsi" w:hAnsiTheme="majorHAnsi" w:cs="ArialMT"/>
          <w:i/>
          <w:iCs/>
          <w:sz w:val="22"/>
          <w:szCs w:val="22"/>
        </w:rPr>
        <w:t>aureus</w:t>
      </w:r>
      <w:proofErr w:type="spellEnd"/>
      <w:r w:rsidRPr="007677A0">
        <w:rPr>
          <w:rFonts w:asciiTheme="majorHAnsi" w:hAnsiTheme="majorHAnsi" w:cs="ArialMT"/>
          <w:sz w:val="22"/>
          <w:szCs w:val="22"/>
        </w:rPr>
        <w:t xml:space="preserve">. If any other organisms are identified, </w:t>
      </w:r>
      <w:proofErr w:type="spellStart"/>
      <w:r w:rsidRPr="007677A0">
        <w:rPr>
          <w:rFonts w:asciiTheme="majorHAnsi" w:hAnsiTheme="majorHAnsi" w:cs="ArialMT"/>
          <w:sz w:val="22"/>
          <w:szCs w:val="22"/>
        </w:rPr>
        <w:t>TSS</w:t>
      </w:r>
      <w:proofErr w:type="spellEnd"/>
      <w:r w:rsidRPr="007677A0">
        <w:rPr>
          <w:rFonts w:asciiTheme="majorHAnsi" w:hAnsiTheme="majorHAnsi" w:cs="ArialMT"/>
          <w:sz w:val="22"/>
          <w:szCs w:val="22"/>
        </w:rPr>
        <w:t xml:space="preserve"> is ruled out.</w:t>
      </w:r>
    </w:p>
    <w:p w:rsidR="007073D8" w:rsidRPr="007677A0" w:rsidRDefault="007073D8" w:rsidP="007677A0">
      <w:pPr>
        <w:widowControl w:val="0"/>
        <w:numPr>
          <w:ilvl w:val="0"/>
          <w:numId w:val="53"/>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 xml:space="preserve">Titers for Rocky Mountain spotted fever, </w:t>
      </w:r>
      <w:proofErr w:type="spellStart"/>
      <w:r w:rsidRPr="007677A0">
        <w:rPr>
          <w:rFonts w:asciiTheme="majorHAnsi" w:hAnsiTheme="majorHAnsi" w:cs="ArialMT"/>
          <w:sz w:val="22"/>
          <w:szCs w:val="22"/>
        </w:rPr>
        <w:t>leptospirosis</w:t>
      </w:r>
      <w:proofErr w:type="spellEnd"/>
      <w:r w:rsidRPr="007677A0">
        <w:rPr>
          <w:rFonts w:asciiTheme="majorHAnsi" w:hAnsiTheme="majorHAnsi" w:cs="ArialMT"/>
          <w:sz w:val="22"/>
          <w:szCs w:val="22"/>
        </w:rPr>
        <w:t>, and measles (if obtained) cannot be rising (four-fold increase in titers).</w:t>
      </w: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b/>
          <w:bCs/>
          <w:sz w:val="22"/>
          <w:szCs w:val="22"/>
        </w:rPr>
        <w:t>Case Classification</w:t>
      </w:r>
    </w:p>
    <w:p w:rsidR="007073D8" w:rsidRPr="007677A0" w:rsidRDefault="00A56241" w:rsidP="007677A0">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Probable</w:t>
      </w:r>
    </w:p>
    <w:p w:rsidR="007073D8" w:rsidRPr="007677A0" w:rsidRDefault="00A56241" w:rsidP="007073D8">
      <w:pPr>
        <w:widowControl w:val="0"/>
        <w:autoSpaceDE w:val="0"/>
        <w:autoSpaceDN w:val="0"/>
        <w:adjustRightInd w:val="0"/>
        <w:rPr>
          <w:rFonts w:asciiTheme="majorHAnsi" w:hAnsiTheme="majorHAnsi" w:cs="ArialMT"/>
          <w:sz w:val="22"/>
          <w:szCs w:val="22"/>
        </w:rPr>
      </w:pPr>
      <w:r>
        <w:rPr>
          <w:rFonts w:asciiTheme="majorHAnsi" w:hAnsiTheme="majorHAnsi" w:cs="ArialMT"/>
          <w:sz w:val="22"/>
          <w:szCs w:val="22"/>
        </w:rPr>
        <w:t>A</w:t>
      </w:r>
      <w:r w:rsidR="007073D8" w:rsidRPr="007677A0">
        <w:rPr>
          <w:rFonts w:asciiTheme="majorHAnsi" w:hAnsiTheme="majorHAnsi" w:cs="ArialMT"/>
          <w:sz w:val="22"/>
          <w:szCs w:val="22"/>
        </w:rPr>
        <w:t xml:space="preserve"> case in which four of the five clinical findings described in the </w:t>
      </w:r>
      <w:r w:rsidR="007073D8" w:rsidRPr="007677A0">
        <w:rPr>
          <w:rFonts w:asciiTheme="majorHAnsi" w:hAnsiTheme="majorHAnsi" w:cs="ArialMT"/>
          <w:i/>
          <w:iCs/>
          <w:sz w:val="22"/>
          <w:szCs w:val="22"/>
        </w:rPr>
        <w:t xml:space="preserve">Staphylococcal Clinical Case Definition </w:t>
      </w:r>
      <w:r w:rsidR="007073D8" w:rsidRPr="007677A0">
        <w:rPr>
          <w:rFonts w:asciiTheme="majorHAnsi" w:hAnsiTheme="majorHAnsi" w:cs="ArialMT"/>
          <w:sz w:val="22"/>
          <w:szCs w:val="22"/>
        </w:rPr>
        <w:t>section are present.</w:t>
      </w:r>
    </w:p>
    <w:p w:rsidR="00A56241" w:rsidRPr="00A56241" w:rsidRDefault="00A56241" w:rsidP="00A56241">
      <w:pPr>
        <w:pBdr>
          <w:bottom w:val="single" w:sz="2" w:space="1" w:color="BFBFBF"/>
        </w:pBdr>
        <w:autoSpaceDE w:val="0"/>
        <w:autoSpaceDN w:val="0"/>
        <w:adjustRightInd w:val="0"/>
        <w:spacing w:before="240" w:after="120"/>
        <w:rPr>
          <w:rFonts w:cs="Arial"/>
          <w:i/>
          <w:iCs/>
          <w:sz w:val="22"/>
          <w:szCs w:val="22"/>
        </w:rPr>
      </w:pPr>
      <w:r w:rsidRPr="00A56241">
        <w:rPr>
          <w:rFonts w:cs="Arial"/>
          <w:i/>
          <w:iCs/>
          <w:sz w:val="22"/>
          <w:szCs w:val="22"/>
        </w:rPr>
        <w:t>C</w:t>
      </w:r>
      <w:r>
        <w:rPr>
          <w:rFonts w:cs="Arial"/>
          <w:i/>
          <w:iCs/>
          <w:sz w:val="22"/>
          <w:szCs w:val="22"/>
        </w:rPr>
        <w:t>onfirmed</w:t>
      </w: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A case in which all five of the clinical findings described in the </w:t>
      </w:r>
      <w:r w:rsidRPr="007677A0">
        <w:rPr>
          <w:rFonts w:asciiTheme="majorHAnsi" w:hAnsiTheme="majorHAnsi" w:cs="ArialMT"/>
          <w:i/>
          <w:iCs/>
          <w:sz w:val="22"/>
          <w:szCs w:val="22"/>
        </w:rPr>
        <w:t xml:space="preserve">Staphylococcal Clinical Case Definition </w:t>
      </w:r>
      <w:r w:rsidRPr="007677A0">
        <w:rPr>
          <w:rFonts w:asciiTheme="majorHAnsi" w:hAnsiTheme="majorHAnsi" w:cs="ArialMT"/>
          <w:sz w:val="22"/>
          <w:szCs w:val="22"/>
        </w:rPr>
        <w:t>section are present, including desquamation, unless the patient dies before desquamation occurs.</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b/>
          <w:bCs/>
          <w:sz w:val="22"/>
          <w:szCs w:val="22"/>
          <w:u w:val="single"/>
        </w:rPr>
      </w:pPr>
      <w:r w:rsidRPr="007677A0">
        <w:rPr>
          <w:rFonts w:asciiTheme="majorHAnsi" w:hAnsiTheme="majorHAnsi" w:cs="ArialMT"/>
          <w:b/>
          <w:bCs/>
          <w:sz w:val="22"/>
          <w:szCs w:val="22"/>
          <w:u w:val="single"/>
        </w:rPr>
        <w:t>Streptococcal Toxic Shock Syndrome Clinical Case Definition</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An illness with the following clinical manifestations:</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677A0">
      <w:pPr>
        <w:widowControl w:val="0"/>
        <w:numPr>
          <w:ilvl w:val="0"/>
          <w:numId w:val="54"/>
        </w:numPr>
        <w:tabs>
          <w:tab w:val="left" w:pos="720"/>
        </w:tabs>
        <w:autoSpaceDE w:val="0"/>
        <w:autoSpaceDN w:val="0"/>
        <w:adjustRightInd w:val="0"/>
        <w:spacing w:after="200" w:line="276" w:lineRule="auto"/>
        <w:rPr>
          <w:rFonts w:asciiTheme="majorHAnsi" w:hAnsiTheme="majorHAnsi" w:cs="ArialMT"/>
          <w:sz w:val="22"/>
          <w:szCs w:val="22"/>
        </w:rPr>
      </w:pPr>
      <w:r w:rsidRPr="007677A0">
        <w:rPr>
          <w:rFonts w:asciiTheme="majorHAnsi" w:hAnsiTheme="majorHAnsi" w:cs="ArialMT"/>
          <w:sz w:val="22"/>
          <w:szCs w:val="22"/>
        </w:rPr>
        <w:t>Hypotension: Systolic blood pressure ≤90 mm Hg for adults or less than fifth percentile by age for children aged ≤16 years; orthostatic drop in diastolic blood pressure ≥15 mm Hg from lying to sitting, orthostatic syncope, or orthostatic dizziness.</w:t>
      </w:r>
    </w:p>
    <w:p w:rsidR="007073D8" w:rsidRPr="007677A0" w:rsidRDefault="007073D8" w:rsidP="007677A0">
      <w:pPr>
        <w:widowControl w:val="0"/>
        <w:numPr>
          <w:ilvl w:val="0"/>
          <w:numId w:val="55"/>
        </w:numPr>
        <w:tabs>
          <w:tab w:val="left" w:pos="720"/>
        </w:tabs>
        <w:autoSpaceDE w:val="0"/>
        <w:autoSpaceDN w:val="0"/>
        <w:adjustRightInd w:val="0"/>
        <w:spacing w:after="200" w:line="276" w:lineRule="auto"/>
        <w:rPr>
          <w:rFonts w:asciiTheme="majorHAnsi" w:hAnsiTheme="majorHAnsi" w:cs="ArialMT"/>
          <w:sz w:val="22"/>
          <w:szCs w:val="22"/>
        </w:rPr>
      </w:pPr>
      <w:proofErr w:type="spellStart"/>
      <w:r w:rsidRPr="007677A0">
        <w:rPr>
          <w:rFonts w:asciiTheme="majorHAnsi" w:hAnsiTheme="majorHAnsi" w:cs="ArialMT"/>
          <w:sz w:val="22"/>
          <w:szCs w:val="22"/>
        </w:rPr>
        <w:t>Multisystem</w:t>
      </w:r>
      <w:proofErr w:type="spellEnd"/>
      <w:r w:rsidRPr="007677A0">
        <w:rPr>
          <w:rFonts w:asciiTheme="majorHAnsi" w:hAnsiTheme="majorHAnsi" w:cs="ArialMT"/>
          <w:sz w:val="22"/>
          <w:szCs w:val="22"/>
        </w:rPr>
        <w:t xml:space="preserve"> involvement (two or more of the following):</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 xml:space="preserve">- </w:t>
      </w:r>
      <w:r w:rsidRPr="007677A0">
        <w:rPr>
          <w:rFonts w:asciiTheme="majorHAnsi" w:hAnsiTheme="majorHAnsi" w:cs="ArialMT"/>
          <w:sz w:val="22"/>
          <w:szCs w:val="22"/>
        </w:rPr>
        <w:tab/>
        <w:t xml:space="preserve">Renal impairment: </w:t>
      </w:r>
      <w:proofErr w:type="spellStart"/>
      <w:r w:rsidRPr="007677A0">
        <w:rPr>
          <w:rFonts w:asciiTheme="majorHAnsi" w:hAnsiTheme="majorHAnsi" w:cs="ArialMT"/>
          <w:sz w:val="22"/>
          <w:szCs w:val="22"/>
        </w:rPr>
        <w:t>Creatinine</w:t>
      </w:r>
      <w:proofErr w:type="spellEnd"/>
      <w:r w:rsidRPr="007677A0">
        <w:rPr>
          <w:rFonts w:asciiTheme="majorHAnsi" w:hAnsiTheme="majorHAnsi" w:cs="ArialMT"/>
          <w:sz w:val="22"/>
          <w:szCs w:val="22"/>
        </w:rPr>
        <w:t xml:space="preserve"> greater than or equal to 2 mg/</w:t>
      </w:r>
      <w:proofErr w:type="spellStart"/>
      <w:r w:rsidRPr="007677A0">
        <w:rPr>
          <w:rFonts w:asciiTheme="majorHAnsi" w:hAnsiTheme="majorHAnsi" w:cs="ArialMT"/>
          <w:sz w:val="22"/>
          <w:szCs w:val="22"/>
        </w:rPr>
        <w:t>dL</w:t>
      </w:r>
      <w:proofErr w:type="spellEnd"/>
      <w:r w:rsidRPr="007677A0">
        <w:rPr>
          <w:rFonts w:asciiTheme="majorHAnsi" w:hAnsiTheme="majorHAnsi" w:cs="ArialMT"/>
          <w:sz w:val="22"/>
          <w:szCs w:val="22"/>
        </w:rPr>
        <w:t xml:space="preserve"> (greater than or</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equal</w:t>
      </w:r>
      <w:proofErr w:type="gramEnd"/>
      <w:r w:rsidRPr="007677A0">
        <w:rPr>
          <w:rFonts w:asciiTheme="majorHAnsi" w:hAnsiTheme="majorHAnsi" w:cs="ArialMT"/>
          <w:sz w:val="22"/>
          <w:szCs w:val="22"/>
        </w:rPr>
        <w:t xml:space="preserve"> to 177 </w:t>
      </w:r>
      <w:proofErr w:type="spellStart"/>
      <w:r w:rsidRPr="007677A0">
        <w:rPr>
          <w:rFonts w:asciiTheme="majorHAnsi" w:hAnsiTheme="majorHAnsi" w:cs="ArialMT"/>
          <w:sz w:val="22"/>
          <w:szCs w:val="22"/>
        </w:rPr>
        <w:t>umol</w:t>
      </w:r>
      <w:proofErr w:type="spellEnd"/>
      <w:r w:rsidRPr="007677A0">
        <w:rPr>
          <w:rFonts w:asciiTheme="majorHAnsi" w:hAnsiTheme="majorHAnsi" w:cs="ArialMT"/>
          <w:sz w:val="22"/>
          <w:szCs w:val="22"/>
        </w:rPr>
        <w:t>/L) for adults or greater than or equal to twice the upper limit of</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normal</w:t>
      </w:r>
      <w:proofErr w:type="gramEnd"/>
      <w:r w:rsidRPr="007677A0">
        <w:rPr>
          <w:rFonts w:asciiTheme="majorHAnsi" w:hAnsiTheme="majorHAnsi" w:cs="ArialMT"/>
          <w:sz w:val="22"/>
          <w:szCs w:val="22"/>
        </w:rPr>
        <w:t xml:space="preserve"> for age. In patients with preexisting renal disease, a greater than twofold</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elevation</w:t>
      </w:r>
      <w:proofErr w:type="gramEnd"/>
      <w:r w:rsidRPr="007677A0">
        <w:rPr>
          <w:rFonts w:asciiTheme="majorHAnsi" w:hAnsiTheme="majorHAnsi" w:cs="ArialMT"/>
          <w:sz w:val="22"/>
          <w:szCs w:val="22"/>
        </w:rPr>
        <w:t xml:space="preserve"> over the baseline level.</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w:t>
      </w:r>
      <w:r w:rsidRPr="007677A0">
        <w:rPr>
          <w:rFonts w:asciiTheme="majorHAnsi" w:hAnsiTheme="majorHAnsi" w:cs="ArialMT"/>
          <w:sz w:val="22"/>
          <w:szCs w:val="22"/>
        </w:rPr>
        <w:tab/>
      </w:r>
      <w:proofErr w:type="spellStart"/>
      <w:r w:rsidRPr="007677A0">
        <w:rPr>
          <w:rFonts w:asciiTheme="majorHAnsi" w:hAnsiTheme="majorHAnsi" w:cs="ArialMT"/>
          <w:sz w:val="22"/>
          <w:szCs w:val="22"/>
        </w:rPr>
        <w:t>Coagulopathy</w:t>
      </w:r>
      <w:proofErr w:type="spellEnd"/>
      <w:r w:rsidRPr="007677A0">
        <w:rPr>
          <w:rFonts w:asciiTheme="majorHAnsi" w:hAnsiTheme="majorHAnsi" w:cs="ArialMT"/>
          <w:sz w:val="22"/>
          <w:szCs w:val="22"/>
        </w:rPr>
        <w:t>: Platelets less than or equal to 100,000/mm3 (less than or equal to</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t>100 x 106/L) or disseminated intravascular coagulation, defined by prolonged</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clotting</w:t>
      </w:r>
      <w:proofErr w:type="gramEnd"/>
      <w:r w:rsidRPr="007677A0">
        <w:rPr>
          <w:rFonts w:asciiTheme="majorHAnsi" w:hAnsiTheme="majorHAnsi" w:cs="ArialMT"/>
          <w:sz w:val="22"/>
          <w:szCs w:val="22"/>
        </w:rPr>
        <w:t xml:space="preserve"> times, low fibrinogen level, and the presence of fibrin degradation</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products</w:t>
      </w:r>
      <w:proofErr w:type="gramEnd"/>
      <w:r w:rsidRPr="007677A0">
        <w:rPr>
          <w:rFonts w:asciiTheme="majorHAnsi" w:hAnsiTheme="majorHAnsi" w:cs="ArialMT"/>
          <w:sz w:val="22"/>
          <w:szCs w:val="22"/>
        </w:rPr>
        <w:t>.</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w:t>
      </w:r>
      <w:r w:rsidRPr="007677A0">
        <w:rPr>
          <w:rFonts w:asciiTheme="majorHAnsi" w:hAnsiTheme="majorHAnsi" w:cs="ArialMT"/>
          <w:sz w:val="22"/>
          <w:szCs w:val="22"/>
        </w:rPr>
        <w:tab/>
        <w:t xml:space="preserve">Liver involvement: </w:t>
      </w:r>
      <w:proofErr w:type="spellStart"/>
      <w:r w:rsidRPr="007677A0">
        <w:rPr>
          <w:rFonts w:asciiTheme="majorHAnsi" w:hAnsiTheme="majorHAnsi" w:cs="ArialMT"/>
          <w:sz w:val="22"/>
          <w:szCs w:val="22"/>
        </w:rPr>
        <w:t>Alanine</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aminotransferase</w:t>
      </w:r>
      <w:proofErr w:type="spellEnd"/>
      <w:r w:rsidRPr="007677A0">
        <w:rPr>
          <w:rFonts w:asciiTheme="majorHAnsi" w:hAnsiTheme="majorHAnsi" w:cs="ArialMT"/>
          <w:sz w:val="22"/>
          <w:szCs w:val="22"/>
        </w:rPr>
        <w:t xml:space="preserve"> (ALT) enzyme, </w:t>
      </w:r>
      <w:proofErr w:type="spellStart"/>
      <w:r w:rsidRPr="007677A0">
        <w:rPr>
          <w:rFonts w:asciiTheme="majorHAnsi" w:hAnsiTheme="majorHAnsi" w:cs="ArialMT"/>
          <w:sz w:val="22"/>
          <w:szCs w:val="22"/>
        </w:rPr>
        <w:t>aspartate</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aminotransferase</w:t>
      </w:r>
      <w:proofErr w:type="spellEnd"/>
      <w:r w:rsidRPr="007677A0">
        <w:rPr>
          <w:rFonts w:asciiTheme="majorHAnsi" w:hAnsiTheme="majorHAnsi" w:cs="ArialMT"/>
          <w:sz w:val="22"/>
          <w:szCs w:val="22"/>
        </w:rPr>
        <w:t xml:space="preserve"> (AST) enzyme, or total </w:t>
      </w:r>
      <w:proofErr w:type="spellStart"/>
      <w:r w:rsidRPr="007677A0">
        <w:rPr>
          <w:rFonts w:asciiTheme="majorHAnsi" w:hAnsiTheme="majorHAnsi" w:cs="ArialMT"/>
          <w:sz w:val="22"/>
          <w:szCs w:val="22"/>
        </w:rPr>
        <w:t>bilirubin</w:t>
      </w:r>
      <w:proofErr w:type="spellEnd"/>
      <w:r w:rsidRPr="007677A0">
        <w:rPr>
          <w:rFonts w:asciiTheme="majorHAnsi" w:hAnsiTheme="majorHAnsi" w:cs="ArialMT"/>
          <w:sz w:val="22"/>
          <w:szCs w:val="22"/>
        </w:rPr>
        <w:t xml:space="preserve"> levels greater than or equal to twice the upper limit of normal for the</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patient’s</w:t>
      </w:r>
      <w:proofErr w:type="gramEnd"/>
      <w:r w:rsidRPr="007677A0">
        <w:rPr>
          <w:rFonts w:asciiTheme="majorHAnsi" w:hAnsiTheme="majorHAnsi" w:cs="ArialMT"/>
          <w:sz w:val="22"/>
          <w:szCs w:val="22"/>
        </w:rPr>
        <w:t xml:space="preserve"> age. In patients with preexisting liver disease, a greater than twofold</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increase</w:t>
      </w:r>
      <w:proofErr w:type="gramEnd"/>
      <w:r w:rsidRPr="007677A0">
        <w:rPr>
          <w:rFonts w:asciiTheme="majorHAnsi" w:hAnsiTheme="majorHAnsi" w:cs="ArialMT"/>
          <w:sz w:val="22"/>
          <w:szCs w:val="22"/>
        </w:rPr>
        <w:t xml:space="preserve"> of the baseline level.</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w:t>
      </w:r>
      <w:r w:rsidRPr="007677A0">
        <w:rPr>
          <w:rFonts w:asciiTheme="majorHAnsi" w:hAnsiTheme="majorHAnsi" w:cs="ArialMT"/>
          <w:sz w:val="22"/>
          <w:szCs w:val="22"/>
        </w:rPr>
        <w:tab/>
        <w:t>Acute respiratory distress syndrome: defined by acute onset of diffuse pulmonary</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infiltrates</w:t>
      </w:r>
      <w:proofErr w:type="gramEnd"/>
      <w:r w:rsidRPr="007677A0">
        <w:rPr>
          <w:rFonts w:asciiTheme="majorHAnsi" w:hAnsiTheme="majorHAnsi" w:cs="ArialMT"/>
          <w:sz w:val="22"/>
          <w:szCs w:val="22"/>
        </w:rPr>
        <w:t xml:space="preserve"> and hypoxemia in the absence of cardiac failure or by evidence of</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diffuse</w:t>
      </w:r>
      <w:proofErr w:type="gramEnd"/>
      <w:r w:rsidRPr="007677A0">
        <w:rPr>
          <w:rFonts w:asciiTheme="majorHAnsi" w:hAnsiTheme="majorHAnsi" w:cs="ArialMT"/>
          <w:sz w:val="22"/>
          <w:szCs w:val="22"/>
        </w:rPr>
        <w:t xml:space="preserve"> capillary leak manifested by acute onset of generalized edema, or pleural</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ab/>
      </w:r>
      <w:proofErr w:type="gramStart"/>
      <w:r w:rsidRPr="007677A0">
        <w:rPr>
          <w:rFonts w:asciiTheme="majorHAnsi" w:hAnsiTheme="majorHAnsi" w:cs="ArialMT"/>
          <w:sz w:val="22"/>
          <w:szCs w:val="22"/>
        </w:rPr>
        <w:t>or</w:t>
      </w:r>
      <w:proofErr w:type="gramEnd"/>
      <w:r w:rsidRPr="007677A0">
        <w:rPr>
          <w:rFonts w:asciiTheme="majorHAnsi" w:hAnsiTheme="majorHAnsi" w:cs="ArialMT"/>
          <w:sz w:val="22"/>
          <w:szCs w:val="22"/>
        </w:rPr>
        <w:t xml:space="preserve"> peritoneal effusions with </w:t>
      </w:r>
      <w:proofErr w:type="spellStart"/>
      <w:r w:rsidRPr="007677A0">
        <w:rPr>
          <w:rFonts w:asciiTheme="majorHAnsi" w:hAnsiTheme="majorHAnsi" w:cs="ArialMT"/>
          <w:sz w:val="22"/>
          <w:szCs w:val="22"/>
        </w:rPr>
        <w:t>hypoalbuminemia</w:t>
      </w:r>
      <w:proofErr w:type="spellEnd"/>
      <w:r w:rsidRPr="007677A0">
        <w:rPr>
          <w:rFonts w:asciiTheme="majorHAnsi" w:hAnsiTheme="majorHAnsi" w:cs="ArialMT"/>
          <w:sz w:val="22"/>
          <w:szCs w:val="22"/>
        </w:rPr>
        <w:t xml:space="preserve">. </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w:t>
      </w:r>
      <w:r w:rsidRPr="007677A0">
        <w:rPr>
          <w:rFonts w:asciiTheme="majorHAnsi" w:hAnsiTheme="majorHAnsi" w:cs="ArialMT"/>
          <w:sz w:val="22"/>
          <w:szCs w:val="22"/>
        </w:rPr>
        <w:tab/>
        <w:t xml:space="preserve">A generalized </w:t>
      </w:r>
      <w:proofErr w:type="spellStart"/>
      <w:r w:rsidRPr="007677A0">
        <w:rPr>
          <w:rFonts w:asciiTheme="majorHAnsi" w:hAnsiTheme="majorHAnsi" w:cs="ArialMT"/>
          <w:sz w:val="22"/>
          <w:szCs w:val="22"/>
        </w:rPr>
        <w:t>erythematous</w:t>
      </w:r>
      <w:proofErr w:type="spellEnd"/>
      <w:r w:rsidRPr="007677A0">
        <w:rPr>
          <w:rFonts w:asciiTheme="majorHAnsi" w:hAnsiTheme="majorHAnsi" w:cs="ArialMT"/>
          <w:sz w:val="22"/>
          <w:szCs w:val="22"/>
        </w:rPr>
        <w:t xml:space="preserve"> macular rash that may desquamate.</w:t>
      </w: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p>
    <w:p w:rsidR="007073D8" w:rsidRPr="007677A0" w:rsidRDefault="007073D8" w:rsidP="007073D8">
      <w:pPr>
        <w:widowControl w:val="0"/>
        <w:autoSpaceDE w:val="0"/>
        <w:autoSpaceDN w:val="0"/>
        <w:adjustRightInd w:val="0"/>
        <w:ind w:left="900" w:hanging="180"/>
        <w:rPr>
          <w:rFonts w:asciiTheme="majorHAnsi" w:hAnsiTheme="majorHAnsi" w:cs="ArialMT"/>
          <w:sz w:val="22"/>
          <w:szCs w:val="22"/>
        </w:rPr>
      </w:pPr>
      <w:r w:rsidRPr="007677A0">
        <w:rPr>
          <w:rFonts w:asciiTheme="majorHAnsi" w:hAnsiTheme="majorHAnsi" w:cs="ArialMT"/>
          <w:sz w:val="22"/>
          <w:szCs w:val="22"/>
        </w:rPr>
        <w:t>-</w:t>
      </w:r>
      <w:r w:rsidRPr="007677A0">
        <w:rPr>
          <w:rFonts w:asciiTheme="majorHAnsi" w:hAnsiTheme="majorHAnsi" w:cs="ArialMT"/>
          <w:sz w:val="22"/>
          <w:szCs w:val="22"/>
        </w:rPr>
        <w:tab/>
        <w:t xml:space="preserve">Soft-tissue necrosis, including necrotizing </w:t>
      </w:r>
      <w:proofErr w:type="spellStart"/>
      <w:r w:rsidRPr="007677A0">
        <w:rPr>
          <w:rFonts w:asciiTheme="majorHAnsi" w:hAnsiTheme="majorHAnsi" w:cs="ArialMT"/>
          <w:sz w:val="22"/>
          <w:szCs w:val="22"/>
        </w:rPr>
        <w:t>fasciitis</w:t>
      </w:r>
      <w:proofErr w:type="spellEnd"/>
      <w:r w:rsidRPr="007677A0">
        <w:rPr>
          <w:rFonts w:asciiTheme="majorHAnsi" w:hAnsiTheme="majorHAnsi" w:cs="ArialMT"/>
          <w:sz w:val="22"/>
          <w:szCs w:val="22"/>
        </w:rPr>
        <w:t xml:space="preserve"> or </w:t>
      </w:r>
      <w:proofErr w:type="spellStart"/>
      <w:r w:rsidRPr="007677A0">
        <w:rPr>
          <w:rFonts w:asciiTheme="majorHAnsi" w:hAnsiTheme="majorHAnsi" w:cs="ArialMT"/>
          <w:sz w:val="22"/>
          <w:szCs w:val="22"/>
        </w:rPr>
        <w:t>myositis</w:t>
      </w:r>
      <w:proofErr w:type="spellEnd"/>
      <w:r w:rsidRPr="007677A0">
        <w:rPr>
          <w:rFonts w:asciiTheme="majorHAnsi" w:hAnsiTheme="majorHAnsi" w:cs="ArialMT"/>
          <w:sz w:val="22"/>
          <w:szCs w:val="22"/>
        </w:rPr>
        <w:t>, or gangrene.</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b/>
          <w:bCs/>
          <w:sz w:val="22"/>
          <w:szCs w:val="22"/>
        </w:rPr>
        <w:t>Case Classification</w:t>
      </w:r>
    </w:p>
    <w:p w:rsidR="00A56241" w:rsidRPr="00A56241" w:rsidRDefault="00A56241" w:rsidP="00A56241">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Probable</w:t>
      </w: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A case that meets the clinical findings described in the </w:t>
      </w:r>
      <w:r w:rsidRPr="007677A0">
        <w:rPr>
          <w:rFonts w:asciiTheme="majorHAnsi" w:hAnsiTheme="majorHAnsi" w:cs="ArialMT"/>
          <w:i/>
          <w:iCs/>
          <w:sz w:val="22"/>
          <w:szCs w:val="22"/>
        </w:rPr>
        <w:t xml:space="preserve">Streptococcal Clinical Case Definition </w:t>
      </w:r>
      <w:r w:rsidRPr="007677A0">
        <w:rPr>
          <w:rFonts w:asciiTheme="majorHAnsi" w:hAnsiTheme="majorHAnsi" w:cs="ArialMT"/>
          <w:sz w:val="22"/>
          <w:szCs w:val="22"/>
        </w:rPr>
        <w:t xml:space="preserve">section in the absence of another identified etiology for the illness and with isolation of Group </w:t>
      </w:r>
      <w:proofErr w:type="gramStart"/>
      <w:r w:rsidRPr="007677A0">
        <w:rPr>
          <w:rFonts w:asciiTheme="majorHAnsi" w:hAnsiTheme="majorHAnsi" w:cs="ArialMT"/>
          <w:sz w:val="22"/>
          <w:szCs w:val="22"/>
        </w:rPr>
        <w:t>A</w:t>
      </w:r>
      <w:proofErr w:type="gramEnd"/>
      <w:r w:rsidRPr="007677A0">
        <w:rPr>
          <w:rFonts w:asciiTheme="majorHAnsi" w:hAnsiTheme="majorHAnsi" w:cs="ArialMT"/>
          <w:sz w:val="22"/>
          <w:szCs w:val="22"/>
        </w:rPr>
        <w:t xml:space="preserve"> </w:t>
      </w:r>
      <w:r w:rsidRPr="007677A0">
        <w:rPr>
          <w:rFonts w:asciiTheme="majorHAnsi" w:hAnsiTheme="majorHAnsi" w:cs="ArialMT"/>
          <w:i/>
          <w:iCs/>
          <w:sz w:val="22"/>
          <w:szCs w:val="22"/>
        </w:rPr>
        <w:t>Streptococcus</w:t>
      </w:r>
      <w:r w:rsidRPr="007677A0">
        <w:rPr>
          <w:rFonts w:asciiTheme="majorHAnsi" w:hAnsiTheme="majorHAnsi" w:cs="ArialMT"/>
          <w:sz w:val="22"/>
          <w:szCs w:val="22"/>
        </w:rPr>
        <w:t xml:space="preserve"> from a </w:t>
      </w:r>
      <w:proofErr w:type="spellStart"/>
      <w:r w:rsidRPr="007677A0">
        <w:rPr>
          <w:rFonts w:asciiTheme="majorHAnsi" w:hAnsiTheme="majorHAnsi" w:cs="ArialMT"/>
          <w:sz w:val="22"/>
          <w:szCs w:val="22"/>
        </w:rPr>
        <w:t>nonsterile</w:t>
      </w:r>
      <w:proofErr w:type="spellEnd"/>
      <w:r w:rsidRPr="007677A0">
        <w:rPr>
          <w:rFonts w:asciiTheme="majorHAnsi" w:hAnsiTheme="majorHAnsi" w:cs="ArialMT"/>
          <w:sz w:val="22"/>
          <w:szCs w:val="22"/>
        </w:rPr>
        <w:t xml:space="preserve"> site. </w:t>
      </w:r>
    </w:p>
    <w:p w:rsidR="00A56241" w:rsidRPr="00A56241" w:rsidRDefault="00A56241" w:rsidP="00A56241">
      <w:pPr>
        <w:pBdr>
          <w:bottom w:val="single" w:sz="2" w:space="1" w:color="BFBFBF"/>
        </w:pBdr>
        <w:autoSpaceDE w:val="0"/>
        <w:autoSpaceDN w:val="0"/>
        <w:adjustRightInd w:val="0"/>
        <w:spacing w:before="240" w:after="120"/>
        <w:rPr>
          <w:rFonts w:cs="Arial"/>
          <w:i/>
          <w:iCs/>
          <w:sz w:val="22"/>
          <w:szCs w:val="22"/>
        </w:rPr>
      </w:pPr>
      <w:r>
        <w:rPr>
          <w:rFonts w:cs="Arial"/>
          <w:i/>
          <w:iCs/>
          <w:sz w:val="22"/>
          <w:szCs w:val="22"/>
        </w:rPr>
        <w:t>Confirmed</w:t>
      </w:r>
    </w:p>
    <w:p w:rsidR="007073D8" w:rsidRPr="007677A0" w:rsidRDefault="007073D8" w:rsidP="007073D8">
      <w:pPr>
        <w:widowControl w:val="0"/>
        <w:autoSpaceDE w:val="0"/>
        <w:autoSpaceDN w:val="0"/>
        <w:adjustRightInd w:val="0"/>
        <w:rPr>
          <w:rFonts w:asciiTheme="majorHAnsi" w:hAnsiTheme="majorHAnsi" w:cs="ArialMT"/>
          <w:sz w:val="22"/>
          <w:szCs w:val="22"/>
        </w:rPr>
      </w:pPr>
      <w:r w:rsidRPr="007677A0">
        <w:rPr>
          <w:rFonts w:asciiTheme="majorHAnsi" w:hAnsiTheme="majorHAnsi" w:cs="ArialMT"/>
          <w:sz w:val="22"/>
          <w:szCs w:val="22"/>
        </w:rPr>
        <w:t xml:space="preserve">A case that meets the clinical findings described in the </w:t>
      </w:r>
      <w:r w:rsidRPr="007677A0">
        <w:rPr>
          <w:rFonts w:asciiTheme="majorHAnsi" w:hAnsiTheme="majorHAnsi" w:cs="ArialMT"/>
          <w:i/>
          <w:iCs/>
          <w:sz w:val="22"/>
          <w:szCs w:val="22"/>
        </w:rPr>
        <w:t xml:space="preserve">Streptococcal Clinical Case Definition </w:t>
      </w:r>
      <w:r w:rsidRPr="007677A0">
        <w:rPr>
          <w:rFonts w:asciiTheme="majorHAnsi" w:hAnsiTheme="majorHAnsi" w:cs="ArialMT"/>
          <w:sz w:val="22"/>
          <w:szCs w:val="22"/>
        </w:rPr>
        <w:t xml:space="preserve">section and with isolation of Group </w:t>
      </w:r>
      <w:proofErr w:type="gramStart"/>
      <w:r w:rsidRPr="007677A0">
        <w:rPr>
          <w:rFonts w:asciiTheme="majorHAnsi" w:hAnsiTheme="majorHAnsi" w:cs="ArialMT"/>
          <w:sz w:val="22"/>
          <w:szCs w:val="22"/>
        </w:rPr>
        <w:t>A</w:t>
      </w:r>
      <w:proofErr w:type="gramEnd"/>
      <w:r w:rsidRPr="007677A0">
        <w:rPr>
          <w:rFonts w:asciiTheme="majorHAnsi" w:hAnsiTheme="majorHAnsi" w:cs="ArialMT"/>
          <w:sz w:val="22"/>
          <w:szCs w:val="22"/>
        </w:rPr>
        <w:t xml:space="preserve"> </w:t>
      </w:r>
      <w:r w:rsidRPr="007677A0">
        <w:rPr>
          <w:rFonts w:asciiTheme="majorHAnsi" w:hAnsiTheme="majorHAnsi" w:cs="ArialMT"/>
          <w:i/>
          <w:iCs/>
          <w:sz w:val="22"/>
          <w:szCs w:val="22"/>
        </w:rPr>
        <w:t>Streptococcus</w:t>
      </w:r>
      <w:r w:rsidRPr="007677A0">
        <w:rPr>
          <w:rFonts w:asciiTheme="majorHAnsi" w:hAnsiTheme="majorHAnsi" w:cs="ArialMT"/>
          <w:sz w:val="22"/>
          <w:szCs w:val="22"/>
        </w:rPr>
        <w:t xml:space="preserve"> from a normally sterile site (e.g., blood or cerebrospinal fluid or, less commonly, joint, pleural, or pericardial fluid).</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ind w:right="-720"/>
        <w:rPr>
          <w:rFonts w:ascii="Arial" w:hAnsi="Arial" w:cs="Arial"/>
          <w:b/>
          <w:bCs/>
          <w:sz w:val="28"/>
          <w:szCs w:val="28"/>
        </w:rPr>
      </w:pPr>
      <w:r w:rsidRPr="007677A0">
        <w:rPr>
          <w:rFonts w:ascii="Arial" w:hAnsi="Arial" w:cs="Arial"/>
          <w:b/>
          <w:bCs/>
          <w:sz w:val="28"/>
          <w:szCs w:val="28"/>
        </w:rPr>
        <w:t>REFERENCES</w:t>
      </w:r>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ind w:right="-720"/>
        <w:rPr>
          <w:rFonts w:asciiTheme="majorHAnsi" w:hAnsiTheme="majorHAnsi" w:cs="ArialMT"/>
          <w:sz w:val="22"/>
          <w:szCs w:val="22"/>
        </w:rPr>
      </w:pPr>
      <w:proofErr w:type="gramStart"/>
      <w:r w:rsidRPr="007677A0">
        <w:rPr>
          <w:rFonts w:asciiTheme="majorHAnsi" w:hAnsiTheme="majorHAnsi" w:cs="ArialMT"/>
          <w:sz w:val="22"/>
          <w:szCs w:val="22"/>
        </w:rPr>
        <w:t>American Academy of Pediatrics.</w:t>
      </w:r>
      <w:proofErr w:type="gramEnd"/>
      <w:r w:rsidRPr="007677A0">
        <w:rPr>
          <w:rFonts w:asciiTheme="majorHAnsi" w:hAnsiTheme="majorHAnsi" w:cs="ArialMT"/>
          <w:sz w:val="22"/>
          <w:szCs w:val="22"/>
        </w:rPr>
        <w:t xml:space="preserve"> [Group </w:t>
      </w:r>
      <w:proofErr w:type="gramStart"/>
      <w:r w:rsidRPr="007677A0">
        <w:rPr>
          <w:rFonts w:asciiTheme="majorHAnsi" w:hAnsiTheme="majorHAnsi" w:cs="ArialMT"/>
          <w:sz w:val="22"/>
          <w:szCs w:val="22"/>
        </w:rPr>
        <w:t>A Streptococcal Infections</w:t>
      </w:r>
      <w:proofErr w:type="gramEnd"/>
      <w:r w:rsidRPr="007677A0">
        <w:rPr>
          <w:rFonts w:asciiTheme="majorHAnsi" w:hAnsiTheme="majorHAnsi" w:cs="ArialMT"/>
          <w:sz w:val="22"/>
          <w:szCs w:val="22"/>
        </w:rPr>
        <w:t xml:space="preserve">.] In: </w:t>
      </w:r>
      <w:proofErr w:type="spellStart"/>
      <w:r w:rsidRPr="007677A0">
        <w:rPr>
          <w:rFonts w:asciiTheme="majorHAnsi" w:hAnsiTheme="majorHAnsi" w:cs="ArialMT"/>
          <w:sz w:val="22"/>
          <w:szCs w:val="22"/>
        </w:rPr>
        <w:t>Kimberlin</w:t>
      </w:r>
      <w:proofErr w:type="spellEnd"/>
      <w:r w:rsidRPr="007677A0">
        <w:rPr>
          <w:rFonts w:asciiTheme="majorHAnsi" w:hAnsiTheme="majorHAnsi" w:cs="ArialMT"/>
          <w:sz w:val="22"/>
          <w:szCs w:val="22"/>
        </w:rPr>
        <w:t xml:space="preserve"> </w:t>
      </w:r>
      <w:proofErr w:type="spellStart"/>
      <w:r w:rsidRPr="007677A0">
        <w:rPr>
          <w:rFonts w:asciiTheme="majorHAnsi" w:hAnsiTheme="majorHAnsi" w:cs="ArialMT"/>
          <w:sz w:val="22"/>
          <w:szCs w:val="22"/>
        </w:rPr>
        <w:t>D.W</w:t>
      </w:r>
      <w:proofErr w:type="spellEnd"/>
      <w:r w:rsidRPr="007677A0">
        <w:rPr>
          <w:rFonts w:asciiTheme="majorHAnsi" w:hAnsiTheme="majorHAnsi" w:cs="ArialMT"/>
          <w:sz w:val="22"/>
          <w:szCs w:val="22"/>
        </w:rPr>
        <w:t xml:space="preserve">., ed. Red Book: 2015 Report of the Committee on Infectious Diseases, 30th Edition. </w:t>
      </w:r>
      <w:proofErr w:type="gramStart"/>
      <w:r w:rsidRPr="007677A0">
        <w:rPr>
          <w:rFonts w:asciiTheme="majorHAnsi" w:hAnsiTheme="majorHAnsi" w:cs="ArialMT"/>
          <w:sz w:val="22"/>
          <w:szCs w:val="22"/>
        </w:rPr>
        <w:t>Elk Grove Village, IL, American Academy of Pediatrics; 2015.</w:t>
      </w:r>
      <w:proofErr w:type="gramEnd"/>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sz w:val="22"/>
          <w:szCs w:val="22"/>
        </w:rPr>
      </w:pPr>
      <w:proofErr w:type="spellStart"/>
      <w:proofErr w:type="gramStart"/>
      <w:r w:rsidRPr="007677A0">
        <w:rPr>
          <w:rFonts w:asciiTheme="majorHAnsi" w:hAnsiTheme="majorHAnsi" w:cs="ArialMT"/>
          <w:sz w:val="22"/>
          <w:szCs w:val="22"/>
        </w:rPr>
        <w:t>Heymann</w:t>
      </w:r>
      <w:proofErr w:type="spellEnd"/>
      <w:r w:rsidRPr="007677A0">
        <w:rPr>
          <w:rFonts w:asciiTheme="majorHAnsi" w:hAnsiTheme="majorHAnsi" w:cs="ArialMT"/>
          <w:sz w:val="22"/>
          <w:szCs w:val="22"/>
        </w:rPr>
        <w:t>, D., ed. Control of Communicable Diseases Manual, 20th Edition.</w:t>
      </w:r>
      <w:proofErr w:type="gramEnd"/>
      <w:r w:rsidRPr="007677A0">
        <w:rPr>
          <w:rFonts w:asciiTheme="majorHAnsi" w:hAnsiTheme="majorHAnsi" w:cs="ArialMT"/>
          <w:sz w:val="22"/>
          <w:szCs w:val="22"/>
        </w:rPr>
        <w:t xml:space="preserve"> </w:t>
      </w:r>
      <w:proofErr w:type="gramStart"/>
      <w:r w:rsidRPr="007677A0">
        <w:rPr>
          <w:rFonts w:asciiTheme="majorHAnsi" w:hAnsiTheme="majorHAnsi" w:cs="ArialMT"/>
          <w:sz w:val="22"/>
          <w:szCs w:val="22"/>
        </w:rPr>
        <w:t>Washington DC, American Public Health Association, 2014.</w:t>
      </w:r>
      <w:proofErr w:type="gramEnd"/>
    </w:p>
    <w:p w:rsidR="007073D8" w:rsidRPr="007677A0" w:rsidRDefault="007073D8" w:rsidP="007073D8">
      <w:pPr>
        <w:widowControl w:val="0"/>
        <w:autoSpaceDE w:val="0"/>
        <w:autoSpaceDN w:val="0"/>
        <w:adjustRightInd w:val="0"/>
        <w:rPr>
          <w:rFonts w:asciiTheme="majorHAnsi" w:hAnsiTheme="majorHAnsi" w:cs="ArialMT"/>
          <w:sz w:val="22"/>
          <w:szCs w:val="22"/>
        </w:rPr>
      </w:pPr>
    </w:p>
    <w:p w:rsidR="007073D8" w:rsidRPr="007677A0" w:rsidRDefault="007073D8" w:rsidP="007073D8">
      <w:pPr>
        <w:widowControl w:val="0"/>
        <w:autoSpaceDE w:val="0"/>
        <w:autoSpaceDN w:val="0"/>
        <w:adjustRightInd w:val="0"/>
        <w:rPr>
          <w:rFonts w:asciiTheme="majorHAnsi" w:hAnsiTheme="majorHAnsi" w:cs="ArialMT"/>
          <w:sz w:val="22"/>
          <w:szCs w:val="22"/>
        </w:rPr>
      </w:pPr>
      <w:proofErr w:type="spellStart"/>
      <w:proofErr w:type="gramStart"/>
      <w:r w:rsidRPr="007677A0">
        <w:rPr>
          <w:rFonts w:asciiTheme="majorHAnsi" w:hAnsiTheme="majorHAnsi" w:cs="ArialMT"/>
          <w:sz w:val="22"/>
          <w:szCs w:val="22"/>
        </w:rPr>
        <w:t>MDPH</w:t>
      </w:r>
      <w:proofErr w:type="spellEnd"/>
      <w:r w:rsidRPr="007677A0">
        <w:rPr>
          <w:rFonts w:asciiTheme="majorHAnsi" w:hAnsiTheme="majorHAnsi" w:cs="ArialMT"/>
          <w:sz w:val="22"/>
          <w:szCs w:val="22"/>
        </w:rPr>
        <w:t>.</w:t>
      </w:r>
      <w:proofErr w:type="gramEnd"/>
      <w:r w:rsidRPr="007677A0">
        <w:rPr>
          <w:rFonts w:asciiTheme="majorHAnsi" w:hAnsiTheme="majorHAnsi" w:cs="ArialMT"/>
          <w:sz w:val="22"/>
          <w:szCs w:val="22"/>
        </w:rPr>
        <w:t xml:space="preserve"> Regulation 105 </w:t>
      </w:r>
      <w:proofErr w:type="spellStart"/>
      <w:r w:rsidRPr="007677A0">
        <w:rPr>
          <w:rFonts w:asciiTheme="majorHAnsi" w:hAnsiTheme="majorHAnsi" w:cs="ArialMT"/>
          <w:sz w:val="22"/>
          <w:szCs w:val="22"/>
        </w:rPr>
        <w:t>CMR</w:t>
      </w:r>
      <w:proofErr w:type="spellEnd"/>
      <w:r w:rsidRPr="007677A0">
        <w:rPr>
          <w:rFonts w:asciiTheme="majorHAnsi" w:hAnsiTheme="majorHAnsi" w:cs="ArialMT"/>
          <w:sz w:val="22"/>
          <w:szCs w:val="22"/>
        </w:rPr>
        <w:t xml:space="preserve"> 300.000: Reportable Diseases, Surveillance, and Isolation and Quarantine Requirements. </w:t>
      </w:r>
      <w:proofErr w:type="spellStart"/>
      <w:r w:rsidRPr="007677A0">
        <w:rPr>
          <w:rFonts w:asciiTheme="majorHAnsi" w:hAnsiTheme="majorHAnsi" w:cs="ArialMT"/>
          <w:sz w:val="22"/>
          <w:szCs w:val="22"/>
        </w:rPr>
        <w:t>MDPH</w:t>
      </w:r>
      <w:proofErr w:type="spellEnd"/>
      <w:r w:rsidRPr="007677A0">
        <w:rPr>
          <w:rFonts w:asciiTheme="majorHAnsi" w:hAnsiTheme="majorHAnsi" w:cs="ArialMT"/>
          <w:sz w:val="22"/>
          <w:szCs w:val="22"/>
        </w:rPr>
        <w:t>, Promulgated January 27, 2017.</w:t>
      </w:r>
    </w:p>
    <w:p w:rsidR="00622F42" w:rsidRPr="007677A0" w:rsidRDefault="00622F42" w:rsidP="00622F42">
      <w:pPr>
        <w:autoSpaceDE w:val="0"/>
        <w:autoSpaceDN w:val="0"/>
        <w:adjustRightInd w:val="0"/>
        <w:rPr>
          <w:rFonts w:asciiTheme="majorHAnsi" w:hAnsiTheme="majorHAnsi"/>
          <w:sz w:val="22"/>
          <w:szCs w:val="22"/>
        </w:rPr>
      </w:pPr>
    </w:p>
    <w:p w:rsidR="00622F42" w:rsidRPr="007677A0" w:rsidRDefault="00622F42" w:rsidP="00622F42">
      <w:pPr>
        <w:autoSpaceDE w:val="0"/>
        <w:autoSpaceDN w:val="0"/>
        <w:adjustRightInd w:val="0"/>
        <w:rPr>
          <w:rFonts w:asciiTheme="majorHAnsi" w:hAnsiTheme="majorHAnsi"/>
          <w:sz w:val="22"/>
          <w:szCs w:val="22"/>
        </w:rPr>
      </w:pPr>
      <w:r w:rsidRPr="007677A0">
        <w:rPr>
          <w:rFonts w:asciiTheme="majorHAnsi" w:hAnsiTheme="majorHAnsi"/>
          <w:sz w:val="22"/>
          <w:szCs w:val="22"/>
        </w:rPr>
        <w:t xml:space="preserve">   </w:t>
      </w:r>
    </w:p>
    <w:sectPr w:rsidR="00622F42" w:rsidRPr="007677A0" w:rsidSect="00A87F7C">
      <w:headerReference w:type="default" r:id="rId12"/>
      <w:footerReference w:type="default" r:id="rId13"/>
      <w:pgSz w:w="12240" w:h="15840"/>
      <w:pgMar w:top="1800" w:right="108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936" w:rsidRDefault="00EC2936" w:rsidP="00505F11">
      <w:r>
        <w:separator/>
      </w:r>
    </w:p>
  </w:endnote>
  <w:endnote w:type="continuationSeparator" w:id="0">
    <w:p w:rsidR="00EC2936" w:rsidRDefault="00EC2936"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BookCondensed">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variable"/>
    <w:sig w:usb0="00000003" w:usb1="00000000" w:usb2="00000000" w:usb3="00000000" w:csb0="00000001" w:csb1="00000000"/>
  </w:font>
  <w:font w:name="TradeGothic-BoldCondTwenty">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82" w:rsidRDefault="00F93182" w:rsidP="00F93182">
    <w:pPr>
      <w:pStyle w:val="Footer"/>
      <w:ind w:left="720" w:hanging="1170"/>
      <w:jc w:val="center"/>
      <w:rPr>
        <w:rFonts w:ascii="Calibri" w:hAnsi="Calibri"/>
        <w:color w:val="152358"/>
        <w:sz w:val="20"/>
        <w:szCs w:val="20"/>
      </w:rPr>
    </w:pPr>
  </w:p>
  <w:p w:rsidR="0024051D" w:rsidRDefault="0024051D" w:rsidP="00F93182">
    <w:pPr>
      <w:pStyle w:val="Footer"/>
      <w:pBdr>
        <w:top w:val="single" w:sz="4" w:space="1" w:color="BFBFBF" w:themeColor="background1" w:themeShade="BF"/>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w:t>
    </w:r>
    <w:r w:rsidR="00812DE5">
      <w:rPr>
        <w:rFonts w:ascii="Calibri" w:hAnsi="Calibri"/>
        <w:color w:val="152358"/>
        <w:sz w:val="20"/>
        <w:szCs w:val="20"/>
      </w:rPr>
      <w:t xml:space="preserve"> and Laboratory Sciences</w:t>
    </w:r>
    <w:r>
      <w:rPr>
        <w:rFonts w:ascii="Calibri" w:hAnsi="Calibri"/>
        <w:color w:val="152358"/>
        <w:sz w:val="20"/>
        <w:szCs w:val="20"/>
      </w:rPr>
      <w:t xml:space="preserve"> </w:t>
    </w:r>
    <w:r w:rsidRPr="00051487">
      <w:rPr>
        <w:rFonts w:ascii="Calibri" w:hAnsi="Calibri"/>
        <w:color w:val="152358"/>
        <w:sz w:val="20"/>
        <w:szCs w:val="20"/>
      </w:rPr>
      <w:t>|</w:t>
    </w:r>
    <w:r>
      <w:rPr>
        <w:rFonts w:ascii="Calibri" w:hAnsi="Calibri"/>
        <w:color w:val="152358"/>
        <w:sz w:val="20"/>
        <w:szCs w:val="20"/>
      </w:rPr>
      <w:t xml:space="preserve"> 305 South Street, Jamaica Plain, MA 02130</w:t>
    </w:r>
  </w:p>
  <w:p w:rsidR="0024051D" w:rsidRPr="00051487" w:rsidRDefault="0024051D" w:rsidP="0024051D">
    <w:pPr>
      <w:pStyle w:val="Footer"/>
      <w:ind w:left="720" w:hanging="1170"/>
      <w:jc w:val="center"/>
      <w:rPr>
        <w:rFonts w:ascii="Calibri" w:hAnsi="Calibri"/>
        <w:color w:val="152358"/>
        <w:sz w:val="20"/>
        <w:szCs w:val="20"/>
      </w:rPr>
    </w:pPr>
  </w:p>
  <w:p w:rsidR="0024051D" w:rsidRDefault="0024051D" w:rsidP="009755FD">
    <w:pPr>
      <w:pStyle w:val="Footer"/>
      <w:ind w:left="720" w:hanging="1170"/>
      <w:jc w:val="center"/>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936" w:rsidRDefault="00EC2936" w:rsidP="00505F11">
      <w:r>
        <w:separator/>
      </w:r>
    </w:p>
  </w:footnote>
  <w:footnote w:type="continuationSeparator" w:id="0">
    <w:p w:rsidR="00EC2936" w:rsidRDefault="00EC2936"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6C5F95" w:rsidP="00E16847">
    <w:pPr>
      <w:pStyle w:val="Header"/>
      <w:jc w:val="right"/>
      <w:rPr>
        <w:rFonts w:ascii="Calibri" w:hAnsi="Calibri"/>
        <w:color w:val="152355"/>
        <w:sz w:val="20"/>
        <w:szCs w:val="20"/>
      </w:rPr>
    </w:pPr>
    <w:r>
      <w:rPr>
        <w:rFonts w:ascii="Calibri" w:hAnsi="Calibri"/>
        <w:color w:val="152355"/>
        <w:sz w:val="20"/>
        <w:szCs w:val="20"/>
      </w:rPr>
      <w:t>April</w:t>
    </w:r>
    <w:r w:rsidR="0078191C" w:rsidRPr="00051487">
      <w:rPr>
        <w:rFonts w:ascii="Calibri" w:hAnsi="Calibri"/>
        <w:color w:val="152355"/>
        <w:sz w:val="20"/>
        <w:szCs w:val="20"/>
      </w:rPr>
      <w:t xml:space="preserve"> 201</w:t>
    </w:r>
    <w:r w:rsidR="0033247A">
      <w:rPr>
        <w:rFonts w:ascii="Calibri" w:hAnsi="Calibri"/>
        <w:color w:val="152355"/>
        <w:sz w:val="20"/>
        <w:szCs w:val="20"/>
      </w:rPr>
      <w:t>8</w:t>
    </w:r>
    <w:r w:rsidR="00884FF4" w:rsidRPr="00051487">
      <w:rPr>
        <w:rFonts w:ascii="Calibri" w:hAnsi="Calibri"/>
        <w:color w:val="152355"/>
        <w:sz w:val="20"/>
        <w:szCs w:val="20"/>
      </w:rPr>
      <w:t xml:space="preserve"> | Page </w:t>
    </w:r>
    <w:r w:rsidR="00283661">
      <w:rPr>
        <w:rFonts w:ascii="Calibri" w:hAnsi="Calibri"/>
        <w:color w:val="152355"/>
        <w:sz w:val="20"/>
        <w:szCs w:val="20"/>
      </w:rPr>
      <w:fldChar w:fldCharType="begin"/>
    </w:r>
    <w:r w:rsidR="00283661">
      <w:rPr>
        <w:rFonts w:ascii="Calibri" w:hAnsi="Calibri"/>
        <w:color w:val="152355"/>
        <w:sz w:val="20"/>
        <w:szCs w:val="20"/>
      </w:rPr>
      <w:instrText xml:space="preserve"> PAGE   \* MERGEFORMAT </w:instrText>
    </w:r>
    <w:r w:rsidR="00283661">
      <w:rPr>
        <w:rFonts w:ascii="Calibri" w:hAnsi="Calibri"/>
        <w:color w:val="152355"/>
        <w:sz w:val="20"/>
        <w:szCs w:val="20"/>
      </w:rPr>
      <w:fldChar w:fldCharType="separate"/>
    </w:r>
    <w:r w:rsidR="002F1142">
      <w:rPr>
        <w:rFonts w:ascii="Calibri" w:hAnsi="Calibri"/>
        <w:noProof/>
        <w:color w:val="152355"/>
        <w:sz w:val="20"/>
        <w:szCs w:val="20"/>
      </w:rPr>
      <w:t>3</w:t>
    </w:r>
    <w:r w:rsidR="00283661">
      <w:rPr>
        <w:rFonts w:ascii="Calibri" w:hAnsi="Calibri"/>
        <w:color w:val="152355"/>
        <w:sz w:val="20"/>
        <w:szCs w:val="20"/>
      </w:rPr>
      <w:fldChar w:fldCharType="end"/>
    </w:r>
    <w:r w:rsidR="00884FF4" w:rsidRPr="00051487">
      <w:rPr>
        <w:rFonts w:ascii="Calibri" w:hAnsi="Calibri"/>
        <w:color w:val="152355"/>
        <w:sz w:val="20"/>
        <w:szCs w:val="20"/>
      </w:rPr>
      <w:t xml:space="preserve"> of </w:t>
    </w:r>
    <w:r w:rsidR="00634FE0">
      <w:rPr>
        <w:rFonts w:ascii="Calibri" w:hAnsi="Calibri"/>
        <w:color w:val="152355"/>
        <w:sz w:val="20"/>
        <w:szCs w:val="20"/>
      </w:rPr>
      <w:fldChar w:fldCharType="begin"/>
    </w:r>
    <w:r w:rsidR="00634FE0">
      <w:rPr>
        <w:rFonts w:ascii="Calibri" w:hAnsi="Calibri"/>
        <w:color w:val="152355"/>
        <w:sz w:val="20"/>
        <w:szCs w:val="20"/>
      </w:rPr>
      <w:instrText xml:space="preserve"> NUMPAGES   \* MERGEFORMAT </w:instrText>
    </w:r>
    <w:r w:rsidR="00634FE0">
      <w:rPr>
        <w:rFonts w:ascii="Calibri" w:hAnsi="Calibri"/>
        <w:color w:val="152355"/>
        <w:sz w:val="20"/>
        <w:szCs w:val="20"/>
      </w:rPr>
      <w:fldChar w:fldCharType="separate"/>
    </w:r>
    <w:r w:rsidR="002F1142">
      <w:rPr>
        <w:rFonts w:ascii="Calibri" w:hAnsi="Calibri"/>
        <w:noProof/>
        <w:color w:val="152355"/>
        <w:sz w:val="20"/>
        <w:szCs w:val="20"/>
      </w:rPr>
      <w:t>9</w:t>
    </w:r>
    <w:r w:rsidR="00634FE0">
      <w:rPr>
        <w:rFonts w:ascii="Calibri" w:hAnsi="Calibri"/>
        <w:color w:val="152355"/>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A7901DA"/>
    <w:multiLevelType w:val="hybridMultilevel"/>
    <w:tmpl w:val="A3BA97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0E160267"/>
    <w:multiLevelType w:val="hybridMultilevel"/>
    <w:tmpl w:val="AEAEC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0E28540F"/>
    <w:multiLevelType w:val="hybridMultilevel"/>
    <w:tmpl w:val="3880E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0E87164A"/>
    <w:multiLevelType w:val="hybridMultilevel"/>
    <w:tmpl w:val="9170FF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10443395"/>
    <w:multiLevelType w:val="hybridMultilevel"/>
    <w:tmpl w:val="E006C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11522BFB"/>
    <w:multiLevelType w:val="hybridMultilevel"/>
    <w:tmpl w:val="71E49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11621D3E"/>
    <w:multiLevelType w:val="hybridMultilevel"/>
    <w:tmpl w:val="08DC2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190C1839"/>
    <w:multiLevelType w:val="hybridMultilevel"/>
    <w:tmpl w:val="4EBCEC48"/>
    <w:lvl w:ilvl="0" w:tplc="04090015">
      <w:start w:val="1"/>
      <w:numFmt w:val="upperLetter"/>
      <w:lvlText w:val="%1."/>
      <w:lvlJc w:val="left"/>
      <w:pPr>
        <w:tabs>
          <w:tab w:val="num" w:pos="450"/>
        </w:tabs>
        <w:ind w:left="450" w:hanging="360"/>
      </w:pPr>
      <w:rPr>
        <w:rFonts w:cs="Times New Roman"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6">
    <w:nsid w:val="1D7A79AB"/>
    <w:multiLevelType w:val="hybridMultilevel"/>
    <w:tmpl w:val="E6BE8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1FFE0871"/>
    <w:multiLevelType w:val="hybridMultilevel"/>
    <w:tmpl w:val="7DD242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1987458"/>
    <w:multiLevelType w:val="hybridMultilevel"/>
    <w:tmpl w:val="5478D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2C707AEC"/>
    <w:multiLevelType w:val="hybridMultilevel"/>
    <w:tmpl w:val="9208E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2">
    <w:nsid w:val="3B5F5DBE"/>
    <w:multiLevelType w:val="hybridMultilevel"/>
    <w:tmpl w:val="0AA6B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41FA4AAE"/>
    <w:multiLevelType w:val="hybridMultilevel"/>
    <w:tmpl w:val="65B416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5">
    <w:nsid w:val="44041050"/>
    <w:multiLevelType w:val="hybridMultilevel"/>
    <w:tmpl w:val="35F8C3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450B6DF1"/>
    <w:multiLevelType w:val="hybridMultilevel"/>
    <w:tmpl w:val="073614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4DB975CF"/>
    <w:multiLevelType w:val="hybridMultilevel"/>
    <w:tmpl w:val="CEFE74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50B74839"/>
    <w:multiLevelType w:val="hybridMultilevel"/>
    <w:tmpl w:val="0C1A9E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5188203D"/>
    <w:multiLevelType w:val="hybridMultilevel"/>
    <w:tmpl w:val="53C06A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557A7B0F"/>
    <w:multiLevelType w:val="hybridMultilevel"/>
    <w:tmpl w:val="A232E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2">
    <w:nsid w:val="5CD77DA0"/>
    <w:multiLevelType w:val="hybridMultilevel"/>
    <w:tmpl w:val="5EE28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44">
    <w:nsid w:val="61D02612"/>
    <w:multiLevelType w:val="hybridMultilevel"/>
    <w:tmpl w:val="555AF7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62192F4D"/>
    <w:multiLevelType w:val="hybridMultilevel"/>
    <w:tmpl w:val="2ADA7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7">
    <w:nsid w:val="69610C57"/>
    <w:multiLevelType w:val="multilevel"/>
    <w:tmpl w:val="4752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9177DB"/>
    <w:multiLevelType w:val="hybridMultilevel"/>
    <w:tmpl w:val="A086B5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0">
    <w:nsid w:val="7253399E"/>
    <w:multiLevelType w:val="multilevel"/>
    <w:tmpl w:val="64B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89F4BD8"/>
    <w:multiLevelType w:val="hybridMultilevel"/>
    <w:tmpl w:val="57527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nsid w:val="7A6B214F"/>
    <w:multiLevelType w:val="hybridMultilevel"/>
    <w:tmpl w:val="F6AA61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3">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1"/>
  </w:num>
  <w:num w:numId="3">
    <w:abstractNumId w:val="34"/>
  </w:num>
  <w:num w:numId="4">
    <w:abstractNumId w:val="46"/>
  </w:num>
  <w:num w:numId="5">
    <w:abstractNumId w:val="53"/>
  </w:num>
  <w:num w:numId="6">
    <w:abstractNumId w:val="30"/>
  </w:num>
  <w:num w:numId="7">
    <w:abstractNumId w:val="27"/>
  </w:num>
  <w:num w:numId="8">
    <w:abstractNumId w:val="49"/>
  </w:num>
  <w:num w:numId="9">
    <w:abstractNumId w:val="43"/>
  </w:num>
  <w:num w:numId="10">
    <w:abstractNumId w:val="51"/>
  </w:num>
  <w:num w:numId="11">
    <w:abstractNumId w:val="19"/>
  </w:num>
  <w:num w:numId="12">
    <w:abstractNumId w:val="24"/>
  </w:num>
  <w:num w:numId="13">
    <w:abstractNumId w:val="44"/>
  </w:num>
  <w:num w:numId="14">
    <w:abstractNumId w:val="26"/>
  </w:num>
  <w:num w:numId="15">
    <w:abstractNumId w:val="40"/>
  </w:num>
  <w:num w:numId="16">
    <w:abstractNumId w:val="18"/>
  </w:num>
  <w:num w:numId="17">
    <w:abstractNumId w:val="22"/>
  </w:num>
  <w:num w:numId="18">
    <w:abstractNumId w:val="25"/>
  </w:num>
  <w:num w:numId="19">
    <w:abstractNumId w:val="47"/>
  </w:num>
  <w:num w:numId="20">
    <w:abstractNumId w:val="39"/>
  </w:num>
  <w:num w:numId="21">
    <w:abstractNumId w:val="45"/>
  </w:num>
  <w:num w:numId="22">
    <w:abstractNumId w:val="23"/>
  </w:num>
  <w:num w:numId="23">
    <w:abstractNumId w:val="32"/>
  </w:num>
  <w:num w:numId="24">
    <w:abstractNumId w:val="20"/>
  </w:num>
  <w:num w:numId="25">
    <w:abstractNumId w:val="48"/>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7"/>
  </w:num>
  <w:num w:numId="29">
    <w:abstractNumId w:val="42"/>
  </w:num>
  <w:num w:numId="30">
    <w:abstractNumId w:val="29"/>
  </w:num>
  <w:num w:numId="31">
    <w:abstractNumId w:val="50"/>
  </w:num>
  <w:num w:numId="32">
    <w:abstractNumId w:val="33"/>
  </w:num>
  <w:num w:numId="33">
    <w:abstractNumId w:val="38"/>
  </w:num>
  <w:num w:numId="34">
    <w:abstractNumId w:val="35"/>
  </w:num>
  <w:num w:numId="35">
    <w:abstractNumId w:val="52"/>
  </w:num>
  <w:num w:numId="36">
    <w:abstractNumId w:val="21"/>
  </w:num>
  <w:num w:numId="37">
    <w:abstractNumId w:val="0"/>
  </w:num>
  <w:num w:numId="38">
    <w:abstractNumId w:val="1"/>
  </w:num>
  <w:num w:numId="39">
    <w:abstractNumId w:val="2"/>
  </w:num>
  <w:num w:numId="40">
    <w:abstractNumId w:val="3"/>
  </w:num>
  <w:num w:numId="41">
    <w:abstractNumId w:val="28"/>
  </w:num>
  <w:num w:numId="42">
    <w:abstractNumId w:val="4"/>
  </w:num>
  <w:num w:numId="43">
    <w:abstractNumId w:val="5"/>
  </w:num>
  <w:num w:numId="44">
    <w:abstractNumId w:val="6"/>
  </w:num>
  <w:num w:numId="45">
    <w:abstractNumId w:val="7"/>
  </w:num>
  <w:num w:numId="46">
    <w:abstractNumId w:val="8"/>
  </w:num>
  <w:num w:numId="47">
    <w:abstractNumId w:val="9"/>
  </w:num>
  <w:num w:numId="48">
    <w:abstractNumId w:val="10"/>
  </w:num>
  <w:num w:numId="49">
    <w:abstractNumId w:val="11"/>
  </w:num>
  <w:num w:numId="50">
    <w:abstractNumId w:val="12"/>
  </w:num>
  <w:num w:numId="51">
    <w:abstractNumId w:val="13"/>
  </w:num>
  <w:num w:numId="52">
    <w:abstractNumId w:val="14"/>
  </w:num>
  <w:num w:numId="53">
    <w:abstractNumId w:val="15"/>
  </w:num>
  <w:num w:numId="54">
    <w:abstractNumId w:val="16"/>
  </w:num>
  <w:num w:numId="55">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7ED7"/>
    <w:rsid w:val="00012F7C"/>
    <w:rsid w:val="000250CA"/>
    <w:rsid w:val="000261D9"/>
    <w:rsid w:val="00042AE0"/>
    <w:rsid w:val="00051487"/>
    <w:rsid w:val="00071E41"/>
    <w:rsid w:val="00073A1C"/>
    <w:rsid w:val="0007586A"/>
    <w:rsid w:val="000B03C2"/>
    <w:rsid w:val="000C2390"/>
    <w:rsid w:val="000E3C9A"/>
    <w:rsid w:val="0012562E"/>
    <w:rsid w:val="001270D1"/>
    <w:rsid w:val="00193220"/>
    <w:rsid w:val="001A0372"/>
    <w:rsid w:val="001A5872"/>
    <w:rsid w:val="001A6485"/>
    <w:rsid w:val="001B5D17"/>
    <w:rsid w:val="001C35B3"/>
    <w:rsid w:val="001C7C32"/>
    <w:rsid w:val="001E64DA"/>
    <w:rsid w:val="001F1060"/>
    <w:rsid w:val="00205297"/>
    <w:rsid w:val="0022628D"/>
    <w:rsid w:val="00237185"/>
    <w:rsid w:val="0024051D"/>
    <w:rsid w:val="00283661"/>
    <w:rsid w:val="002A0FFB"/>
    <w:rsid w:val="002A55C7"/>
    <w:rsid w:val="002A66EF"/>
    <w:rsid w:val="002A6C88"/>
    <w:rsid w:val="002C5249"/>
    <w:rsid w:val="002C563D"/>
    <w:rsid w:val="002F1142"/>
    <w:rsid w:val="00303E18"/>
    <w:rsid w:val="003127D1"/>
    <w:rsid w:val="00316B47"/>
    <w:rsid w:val="00324C9D"/>
    <w:rsid w:val="0033247A"/>
    <w:rsid w:val="003325B7"/>
    <w:rsid w:val="00342164"/>
    <w:rsid w:val="003423DF"/>
    <w:rsid w:val="00366546"/>
    <w:rsid w:val="00391609"/>
    <w:rsid w:val="003B33DA"/>
    <w:rsid w:val="003D3780"/>
    <w:rsid w:val="003E31EC"/>
    <w:rsid w:val="003F3169"/>
    <w:rsid w:val="00401BAB"/>
    <w:rsid w:val="00410ED1"/>
    <w:rsid w:val="00413ED2"/>
    <w:rsid w:val="004162DF"/>
    <w:rsid w:val="00440E56"/>
    <w:rsid w:val="00441DDC"/>
    <w:rsid w:val="00454416"/>
    <w:rsid w:val="00471A6E"/>
    <w:rsid w:val="00477AD4"/>
    <w:rsid w:val="00494D85"/>
    <w:rsid w:val="00497817"/>
    <w:rsid w:val="004A0D57"/>
    <w:rsid w:val="004A4819"/>
    <w:rsid w:val="004C001E"/>
    <w:rsid w:val="004D5F16"/>
    <w:rsid w:val="004E32FE"/>
    <w:rsid w:val="004E7CD4"/>
    <w:rsid w:val="004F6011"/>
    <w:rsid w:val="00500A27"/>
    <w:rsid w:val="00501578"/>
    <w:rsid w:val="00505F11"/>
    <w:rsid w:val="00542BDA"/>
    <w:rsid w:val="005626E2"/>
    <w:rsid w:val="005917DB"/>
    <w:rsid w:val="005C39BF"/>
    <w:rsid w:val="005D5E5A"/>
    <w:rsid w:val="005E57FF"/>
    <w:rsid w:val="00612A74"/>
    <w:rsid w:val="00622F42"/>
    <w:rsid w:val="00634FE0"/>
    <w:rsid w:val="006443A2"/>
    <w:rsid w:val="00670300"/>
    <w:rsid w:val="00683723"/>
    <w:rsid w:val="006868D7"/>
    <w:rsid w:val="006B47F7"/>
    <w:rsid w:val="006C2267"/>
    <w:rsid w:val="006C3B53"/>
    <w:rsid w:val="006C5F95"/>
    <w:rsid w:val="006F3711"/>
    <w:rsid w:val="00700AD1"/>
    <w:rsid w:val="007073D8"/>
    <w:rsid w:val="007415F6"/>
    <w:rsid w:val="00742ADD"/>
    <w:rsid w:val="00752049"/>
    <w:rsid w:val="00764C1B"/>
    <w:rsid w:val="007677A0"/>
    <w:rsid w:val="0077129B"/>
    <w:rsid w:val="007761E7"/>
    <w:rsid w:val="0078191C"/>
    <w:rsid w:val="0078403C"/>
    <w:rsid w:val="00793F7D"/>
    <w:rsid w:val="007A105A"/>
    <w:rsid w:val="007B4915"/>
    <w:rsid w:val="007C1048"/>
    <w:rsid w:val="007C56B7"/>
    <w:rsid w:val="007E1629"/>
    <w:rsid w:val="00812DE5"/>
    <w:rsid w:val="00816D46"/>
    <w:rsid w:val="00821C6B"/>
    <w:rsid w:val="0082334C"/>
    <w:rsid w:val="00825F09"/>
    <w:rsid w:val="00827B7F"/>
    <w:rsid w:val="0084062E"/>
    <w:rsid w:val="00843225"/>
    <w:rsid w:val="00846B8F"/>
    <w:rsid w:val="00850E70"/>
    <w:rsid w:val="00856D31"/>
    <w:rsid w:val="00872193"/>
    <w:rsid w:val="008754B0"/>
    <w:rsid w:val="00876D26"/>
    <w:rsid w:val="008775AD"/>
    <w:rsid w:val="00884FF4"/>
    <w:rsid w:val="00887677"/>
    <w:rsid w:val="00891C3B"/>
    <w:rsid w:val="00893990"/>
    <w:rsid w:val="008C105C"/>
    <w:rsid w:val="008C2FB7"/>
    <w:rsid w:val="008F247D"/>
    <w:rsid w:val="008F4A09"/>
    <w:rsid w:val="00913595"/>
    <w:rsid w:val="00926C59"/>
    <w:rsid w:val="00935FA7"/>
    <w:rsid w:val="00972362"/>
    <w:rsid w:val="009755FD"/>
    <w:rsid w:val="00983DC0"/>
    <w:rsid w:val="00994C2C"/>
    <w:rsid w:val="009E2F80"/>
    <w:rsid w:val="00A06110"/>
    <w:rsid w:val="00A212AB"/>
    <w:rsid w:val="00A56241"/>
    <w:rsid w:val="00A62C0B"/>
    <w:rsid w:val="00A63A44"/>
    <w:rsid w:val="00A72390"/>
    <w:rsid w:val="00A76209"/>
    <w:rsid w:val="00A8010C"/>
    <w:rsid w:val="00A87F7C"/>
    <w:rsid w:val="00A95998"/>
    <w:rsid w:val="00AC017E"/>
    <w:rsid w:val="00AF43D2"/>
    <w:rsid w:val="00B85FF3"/>
    <w:rsid w:val="00B92B3B"/>
    <w:rsid w:val="00BD21D6"/>
    <w:rsid w:val="00BD610D"/>
    <w:rsid w:val="00BF1B40"/>
    <w:rsid w:val="00C1175B"/>
    <w:rsid w:val="00C37DC3"/>
    <w:rsid w:val="00C53771"/>
    <w:rsid w:val="00C9096D"/>
    <w:rsid w:val="00C94F00"/>
    <w:rsid w:val="00CA0D05"/>
    <w:rsid w:val="00CC28D2"/>
    <w:rsid w:val="00CC46B2"/>
    <w:rsid w:val="00CC64C4"/>
    <w:rsid w:val="00D11BD6"/>
    <w:rsid w:val="00D24408"/>
    <w:rsid w:val="00D26C6E"/>
    <w:rsid w:val="00D526AC"/>
    <w:rsid w:val="00D54CD0"/>
    <w:rsid w:val="00DA0E92"/>
    <w:rsid w:val="00DA3D5C"/>
    <w:rsid w:val="00DA52A7"/>
    <w:rsid w:val="00DE001F"/>
    <w:rsid w:val="00DF0F5F"/>
    <w:rsid w:val="00DF1519"/>
    <w:rsid w:val="00E16197"/>
    <w:rsid w:val="00E16517"/>
    <w:rsid w:val="00E16847"/>
    <w:rsid w:val="00E171AA"/>
    <w:rsid w:val="00E2514D"/>
    <w:rsid w:val="00E3553E"/>
    <w:rsid w:val="00E479E4"/>
    <w:rsid w:val="00E73585"/>
    <w:rsid w:val="00E81527"/>
    <w:rsid w:val="00EB109F"/>
    <w:rsid w:val="00EC2936"/>
    <w:rsid w:val="00ED737F"/>
    <w:rsid w:val="00EF07EB"/>
    <w:rsid w:val="00F128F7"/>
    <w:rsid w:val="00F161CC"/>
    <w:rsid w:val="00F7095D"/>
    <w:rsid w:val="00F7376C"/>
    <w:rsid w:val="00F80AAF"/>
    <w:rsid w:val="00F84E00"/>
    <w:rsid w:val="00F93182"/>
    <w:rsid w:val="00F94858"/>
    <w:rsid w:val="00FB729F"/>
    <w:rsid w:val="00FF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semiHidden/>
    <w:unhideWhenUsed/>
    <w:rsid w:val="00CC28D2"/>
    <w:rPr>
      <w:rFonts w:cs="Times New Roman"/>
      <w:color w:val="800080" w:themeColor="followedHyperlink"/>
      <w:u w:val="single"/>
    </w:rPr>
  </w:style>
  <w:style w:type="character" w:customStyle="1" w:styleId="apple-converted-space">
    <w:name w:val="apple-converted-space"/>
    <w:rsid w:val="00B85FF3"/>
  </w:style>
  <w:style w:type="character" w:styleId="CommentReference">
    <w:name w:val="annotation reference"/>
    <w:basedOn w:val="DefaultParagraphFont"/>
    <w:uiPriority w:val="99"/>
    <w:semiHidden/>
    <w:unhideWhenUsed/>
    <w:rsid w:val="00542BDA"/>
    <w:rPr>
      <w:rFonts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semiHidden/>
    <w:unhideWhenUsed/>
    <w:rsid w:val="00CC28D2"/>
    <w:rPr>
      <w:rFonts w:cs="Times New Roman"/>
      <w:color w:val="800080" w:themeColor="followedHyperlink"/>
      <w:u w:val="single"/>
    </w:rPr>
  </w:style>
  <w:style w:type="character" w:customStyle="1" w:styleId="apple-converted-space">
    <w:name w:val="apple-converted-space"/>
    <w:rsid w:val="00B85FF3"/>
  </w:style>
  <w:style w:type="character" w:styleId="CommentReference">
    <w:name w:val="annotation reference"/>
    <w:basedOn w:val="DefaultParagraphFont"/>
    <w:uiPriority w:val="99"/>
    <w:semiHidden/>
    <w:unhideWhenUsed/>
    <w:rsid w:val="00542BDA"/>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051465">
      <w:marLeft w:val="0"/>
      <w:marRight w:val="0"/>
      <w:marTop w:val="0"/>
      <w:marBottom w:val="0"/>
      <w:divBdr>
        <w:top w:val="none" w:sz="0" w:space="0" w:color="auto"/>
        <w:left w:val="none" w:sz="0" w:space="0" w:color="auto"/>
        <w:bottom w:val="none" w:sz="0" w:space="0" w:color="auto"/>
        <w:right w:val="none" w:sz="0" w:space="0" w:color="auto"/>
      </w:divBdr>
    </w:div>
    <w:div w:id="1721051467">
      <w:marLeft w:val="0"/>
      <w:marRight w:val="0"/>
      <w:marTop w:val="0"/>
      <w:marBottom w:val="0"/>
      <w:divBdr>
        <w:top w:val="none" w:sz="0" w:space="0" w:color="auto"/>
        <w:left w:val="none" w:sz="0" w:space="0" w:color="auto"/>
        <w:bottom w:val="none" w:sz="0" w:space="0" w:color="auto"/>
        <w:right w:val="none" w:sz="0" w:space="0" w:color="auto"/>
      </w:divBdr>
      <w:divsChild>
        <w:div w:id="1721051468">
          <w:marLeft w:val="0"/>
          <w:marRight w:val="0"/>
          <w:marTop w:val="0"/>
          <w:marBottom w:val="0"/>
          <w:divBdr>
            <w:top w:val="single" w:sz="36" w:space="0" w:color="075290"/>
            <w:left w:val="none" w:sz="0" w:space="0" w:color="auto"/>
            <w:bottom w:val="none" w:sz="0" w:space="0" w:color="auto"/>
            <w:right w:val="none" w:sz="0" w:space="0" w:color="auto"/>
          </w:divBdr>
          <w:divsChild>
            <w:div w:id="1721051466">
              <w:marLeft w:val="0"/>
              <w:marRight w:val="0"/>
              <w:marTop w:val="0"/>
              <w:marBottom w:val="0"/>
              <w:divBdr>
                <w:top w:val="none" w:sz="0" w:space="0" w:color="auto"/>
                <w:left w:val="none" w:sz="0" w:space="0" w:color="auto"/>
                <w:bottom w:val="none" w:sz="0" w:space="0" w:color="auto"/>
                <w:right w:val="none" w:sz="0" w:space="0" w:color="auto"/>
              </w:divBdr>
              <w:divsChild>
                <w:div w:id="1721051472">
                  <w:marLeft w:val="0"/>
                  <w:marRight w:val="0"/>
                  <w:marTop w:val="150"/>
                  <w:marBottom w:val="0"/>
                  <w:divBdr>
                    <w:top w:val="none" w:sz="0" w:space="0" w:color="auto"/>
                    <w:left w:val="none" w:sz="0" w:space="0" w:color="auto"/>
                    <w:bottom w:val="none" w:sz="0" w:space="0" w:color="auto"/>
                    <w:right w:val="none" w:sz="0" w:space="0" w:color="auto"/>
                  </w:divBdr>
                  <w:divsChild>
                    <w:div w:id="1721051480">
                      <w:marLeft w:val="-150"/>
                      <w:marRight w:val="0"/>
                      <w:marTop w:val="0"/>
                      <w:marBottom w:val="0"/>
                      <w:divBdr>
                        <w:top w:val="none" w:sz="0" w:space="0" w:color="auto"/>
                        <w:left w:val="none" w:sz="0" w:space="0" w:color="auto"/>
                        <w:bottom w:val="none" w:sz="0" w:space="0" w:color="auto"/>
                        <w:right w:val="none" w:sz="0" w:space="0" w:color="auto"/>
                      </w:divBdr>
                      <w:divsChild>
                        <w:div w:id="1721051481">
                          <w:marLeft w:val="0"/>
                          <w:marRight w:val="0"/>
                          <w:marTop w:val="0"/>
                          <w:marBottom w:val="0"/>
                          <w:divBdr>
                            <w:top w:val="none" w:sz="0" w:space="0" w:color="auto"/>
                            <w:left w:val="none" w:sz="0" w:space="0" w:color="auto"/>
                            <w:bottom w:val="none" w:sz="0" w:space="0" w:color="auto"/>
                            <w:right w:val="none" w:sz="0" w:space="0" w:color="auto"/>
                          </w:divBdr>
                          <w:divsChild>
                            <w:div w:id="1721051469">
                              <w:marLeft w:val="0"/>
                              <w:marRight w:val="0"/>
                              <w:marTop w:val="0"/>
                              <w:marBottom w:val="0"/>
                              <w:divBdr>
                                <w:top w:val="none" w:sz="0" w:space="0" w:color="auto"/>
                                <w:left w:val="none" w:sz="0" w:space="0" w:color="auto"/>
                                <w:bottom w:val="none" w:sz="0" w:space="0" w:color="auto"/>
                                <w:right w:val="none" w:sz="0" w:space="0" w:color="auto"/>
                              </w:divBdr>
                              <w:divsChild>
                                <w:div w:id="1721051473">
                                  <w:marLeft w:val="0"/>
                                  <w:marRight w:val="0"/>
                                  <w:marTop w:val="0"/>
                                  <w:marBottom w:val="0"/>
                                  <w:divBdr>
                                    <w:top w:val="none" w:sz="0" w:space="0" w:color="auto"/>
                                    <w:left w:val="none" w:sz="0" w:space="0" w:color="auto"/>
                                    <w:bottom w:val="none" w:sz="0" w:space="0" w:color="auto"/>
                                    <w:right w:val="none" w:sz="0" w:space="0" w:color="auto"/>
                                  </w:divBdr>
                                  <w:divsChild>
                                    <w:div w:id="1721051475">
                                      <w:marLeft w:val="0"/>
                                      <w:marRight w:val="0"/>
                                      <w:marTop w:val="0"/>
                                      <w:marBottom w:val="0"/>
                                      <w:divBdr>
                                        <w:top w:val="none" w:sz="0" w:space="0" w:color="auto"/>
                                        <w:left w:val="none" w:sz="0" w:space="0" w:color="auto"/>
                                        <w:bottom w:val="none" w:sz="0" w:space="0" w:color="auto"/>
                                        <w:right w:val="none" w:sz="0" w:space="0" w:color="auto"/>
                                      </w:divBdr>
                                      <w:divsChild>
                                        <w:div w:id="1721051471">
                                          <w:marLeft w:val="-150"/>
                                          <w:marRight w:val="0"/>
                                          <w:marTop w:val="0"/>
                                          <w:marBottom w:val="0"/>
                                          <w:divBdr>
                                            <w:top w:val="none" w:sz="0" w:space="0" w:color="auto"/>
                                            <w:left w:val="none" w:sz="0" w:space="0" w:color="auto"/>
                                            <w:bottom w:val="none" w:sz="0" w:space="0" w:color="auto"/>
                                            <w:right w:val="none" w:sz="0" w:space="0" w:color="auto"/>
                                          </w:divBdr>
                                          <w:divsChild>
                                            <w:div w:id="1721051470">
                                              <w:marLeft w:val="0"/>
                                              <w:marRight w:val="0"/>
                                              <w:marTop w:val="0"/>
                                              <w:marBottom w:val="0"/>
                                              <w:divBdr>
                                                <w:top w:val="none" w:sz="0" w:space="0" w:color="auto"/>
                                                <w:left w:val="none" w:sz="0" w:space="0" w:color="auto"/>
                                                <w:bottom w:val="none" w:sz="0" w:space="0" w:color="auto"/>
                                                <w:right w:val="none" w:sz="0" w:space="0" w:color="auto"/>
                                              </w:divBdr>
                                              <w:divsChild>
                                                <w:div w:id="17210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051476">
      <w:marLeft w:val="0"/>
      <w:marRight w:val="0"/>
      <w:marTop w:val="0"/>
      <w:marBottom w:val="0"/>
      <w:divBdr>
        <w:top w:val="none" w:sz="0" w:space="0" w:color="auto"/>
        <w:left w:val="none" w:sz="0" w:space="0" w:color="auto"/>
        <w:bottom w:val="none" w:sz="0" w:space="0" w:color="auto"/>
        <w:right w:val="none" w:sz="0" w:space="0" w:color="auto"/>
      </w:divBdr>
    </w:div>
    <w:div w:id="1721051477">
      <w:marLeft w:val="0"/>
      <w:marRight w:val="0"/>
      <w:marTop w:val="0"/>
      <w:marBottom w:val="0"/>
      <w:divBdr>
        <w:top w:val="none" w:sz="0" w:space="0" w:color="auto"/>
        <w:left w:val="none" w:sz="0" w:space="0" w:color="auto"/>
        <w:bottom w:val="none" w:sz="0" w:space="0" w:color="auto"/>
        <w:right w:val="none" w:sz="0" w:space="0" w:color="auto"/>
      </w:divBdr>
    </w:div>
    <w:div w:id="1721051478">
      <w:marLeft w:val="0"/>
      <w:marRight w:val="0"/>
      <w:marTop w:val="0"/>
      <w:marBottom w:val="0"/>
      <w:divBdr>
        <w:top w:val="none" w:sz="0" w:space="0" w:color="auto"/>
        <w:left w:val="none" w:sz="0" w:space="0" w:color="auto"/>
        <w:bottom w:val="none" w:sz="0" w:space="0" w:color="auto"/>
        <w:right w:val="none" w:sz="0" w:space="0" w:color="auto"/>
      </w:divBdr>
    </w:div>
    <w:div w:id="1721051479">
      <w:marLeft w:val="0"/>
      <w:marRight w:val="0"/>
      <w:marTop w:val="0"/>
      <w:marBottom w:val="0"/>
      <w:divBdr>
        <w:top w:val="none" w:sz="0" w:space="0" w:color="auto"/>
        <w:left w:val="none" w:sz="0" w:space="0" w:color="auto"/>
        <w:bottom w:val="none" w:sz="0" w:space="0" w:color="auto"/>
        <w:right w:val="none" w:sz="0" w:space="0" w:color="auto"/>
      </w:divBdr>
    </w:div>
    <w:div w:id="1721051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dc.gov/nndss/case-definition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ss.gov/eohhs/gov/departments/dph/programs/id/epidemiology/factsheets.html" TargetMode="External"/><Relationship Id="rId4" Type="http://schemas.microsoft.com/office/2007/relationships/stylesWithEffects" Target="stylesWithEffects.xml"/><Relationship Id="rId9" Type="http://schemas.openxmlformats.org/officeDocument/2006/relationships/hyperlink" Target="http://www.mass.gov/eohhs/gov/departments/dph/programs/id/epidemiology/rdiq/reporting-diseases-and-surveillance-inform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EC4E-9DDC-4D16-B38F-04BAF8FC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3118</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21075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 </cp:lastModifiedBy>
  <cp:revision>3</cp:revision>
  <cp:lastPrinted>2018-05-08T21:33:00Z</cp:lastPrinted>
  <dcterms:created xsi:type="dcterms:W3CDTF">2018-05-08T21:33:00Z</dcterms:created>
  <dcterms:modified xsi:type="dcterms:W3CDTF">2018-05-08T21:33:00Z</dcterms:modified>
</cp:coreProperties>
</file>