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0A" w:rsidRDefault="00EE3A0A" w:rsidP="00EE3A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DATE: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84194">
        <w:rPr>
          <w:rFonts w:ascii="Times New Roman" w:eastAsia="Calibri" w:hAnsi="Times New Roman" w:cs="Times New Roman"/>
          <w:color w:val="000000"/>
          <w:sz w:val="24"/>
          <w:szCs w:val="24"/>
        </w:rPr>
        <w:t>April 5, 2016</w:t>
      </w:r>
    </w:p>
    <w:p w:rsidR="00115545" w:rsidRDefault="00115545" w:rsidP="00EE3A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3A0A" w:rsidRDefault="00EE3A0A" w:rsidP="00EE3A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FROM: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Commonwealth of Massachusetts Toxics Reduction Task Force</w:t>
      </w:r>
      <w:r w:rsidR="00115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the FAC85: Environmentally Preferable Products, Programs, Equipment and Supplies Strategic Sourcing Team</w:t>
      </w:r>
    </w:p>
    <w:p w:rsidR="00115545" w:rsidRDefault="00115545" w:rsidP="00EE3A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3A0A" w:rsidRDefault="00EE3A0A" w:rsidP="00EE3A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Alternative Approval For Environmentally Preferable Products/Equipment for FAC85: Environmentally Preferable Cleaning Products, Programs, Equipment, and Supplies</w:t>
      </w:r>
    </w:p>
    <w:p w:rsidR="00EE3A0A" w:rsidRDefault="00EE3A0A" w:rsidP="00EE3A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5545" w:rsidRDefault="00115545" w:rsidP="001155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</w:t>
      </w:r>
      <w:r w:rsidRPr="00115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Commonwealth of Massachusetts Toxics Reduction Task Force and the FAC85: Environmentally Preferable Products, Programs, Equipment and Supplies Strategic Sourcing Team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(SST) has approved the following standards for use in the FAC85: Environmentally Preferable Products, Programs, Equipment and Supplies contract.  </w:t>
      </w:r>
    </w:p>
    <w:p w:rsidR="00115545" w:rsidRDefault="00115545" w:rsidP="001155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15545" w:rsidRDefault="00115545" w:rsidP="001155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5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Vendors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may bid on products that meet the established criteria, and may add products </w:t>
      </w:r>
      <w:r w:rsidR="00FC5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 specified by the contract,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that meet the established criteria as referenced in the FAC85 Request For Responses.  The Operational Services Division and the SSL r</w:t>
      </w:r>
      <w:r w:rsidRPr="00115545">
        <w:rPr>
          <w:rFonts w:ascii="Times New Roman" w:eastAsia="Calibri" w:hAnsi="Times New Roman" w:cs="Times New Roman"/>
          <w:color w:val="000000"/>
          <w:sz w:val="24"/>
          <w:szCs w:val="24"/>
        </w:rPr>
        <w:t>eserve the right to determine if such products meet the specifications of the contract.</w:t>
      </w:r>
    </w:p>
    <w:p w:rsidR="00115545" w:rsidRDefault="00115545" w:rsidP="001155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3A0A" w:rsidRPr="00FC51F9" w:rsidRDefault="00FC51F9" w:rsidP="00EE3A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SANITIZERS AND DISINFECTANTS</w:t>
      </w:r>
    </w:p>
    <w:p w:rsidR="00EE3A0A" w:rsidRPr="00FC51F9" w:rsidRDefault="00EE3A0A" w:rsidP="00FC51F9">
      <w:pPr>
        <w:pStyle w:val="ListParagraph"/>
        <w:keepNext/>
        <w:numPr>
          <w:ilvl w:val="0"/>
          <w:numId w:val="8"/>
        </w:numPr>
        <w:shd w:val="clear" w:color="auto" w:fill="FFFFFF"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6"/>
        </w:rPr>
      </w:pPr>
      <w:r w:rsidRPr="00FC51F9">
        <w:rPr>
          <w:rFonts w:ascii="Cambria" w:eastAsia="Times New Roman" w:hAnsi="Cambria" w:cs="Times New Roman"/>
          <w:b/>
          <w:bCs/>
          <w:sz w:val="24"/>
          <w:szCs w:val="26"/>
        </w:rPr>
        <w:t xml:space="preserve"> (including Antimicrobial Mold &amp; Mildew Cleaners) and Non-Food Contact Surface Sanitizers: </w:t>
      </w:r>
    </w:p>
    <w:p w:rsidR="00EE3A0A" w:rsidRPr="00EE3A0A" w:rsidRDefault="00EE3A0A" w:rsidP="00EE3A0A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3A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Mandatory Specifications </w:t>
      </w:r>
    </w:p>
    <w:p w:rsidR="00EE3A0A" w:rsidRPr="00EE3A0A" w:rsidRDefault="00EE3A0A" w:rsidP="00EE3A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Must be EPA (FIFRA) registered as a hard surface disinfectant or non-food-contact surface sanitizer. Antimicrobial mold and mildew cleaners must be EPA-registered as a fungicide against Aspergillis niger or as a mildewstat.</w:t>
      </w:r>
    </w:p>
    <w:p w:rsidR="00EE3A0A" w:rsidRPr="00EE3A0A" w:rsidRDefault="00EE3A0A" w:rsidP="00EE3A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Products may not contain known, suspected, reasonably anticipated, or probable human carcinogens per IARC, NTP or the State of California. </w:t>
      </w:r>
    </w:p>
    <w:p w:rsidR="00EE3A0A" w:rsidRPr="00EE3A0A" w:rsidRDefault="00EE3A0A" w:rsidP="00EE3A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Products may not contain reproductive toxins per the State of California.</w:t>
      </w:r>
    </w:p>
    <w:p w:rsidR="00EE3A0A" w:rsidRPr="00EE3A0A" w:rsidRDefault="00EE3A0A" w:rsidP="00EE3A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Products may not contain asthmagens  per AOEC (listed with a G, Rs, Rrs or Rr designation).</w:t>
      </w:r>
    </w:p>
    <w:p w:rsidR="00EE3A0A" w:rsidRPr="00EE3A0A" w:rsidRDefault="00EE3A0A" w:rsidP="00EE3A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Products may not contain nonyl phenol ethoxylates or other alkyl phenol ethoxylates (APEs). .</w:t>
      </w:r>
    </w:p>
    <w:p w:rsidR="00EE3A0A" w:rsidRPr="00EE3A0A" w:rsidRDefault="00EE3A0A" w:rsidP="00EE3A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Prohibited “Active Ingredients”:</w:t>
      </w:r>
    </w:p>
    <w:p w:rsidR="00EE3A0A" w:rsidRPr="00EE3A0A" w:rsidRDefault="00EE3A0A" w:rsidP="00EE3A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Chlorine Bleach (Sodium hypochlorite)</w:t>
      </w:r>
    </w:p>
    <w:p w:rsidR="00EE3A0A" w:rsidRPr="00EE3A0A" w:rsidRDefault="00EE3A0A" w:rsidP="00EE3A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Hydrogen chloride (HCl) </w:t>
      </w:r>
    </w:p>
    <w:p w:rsidR="00EE3A0A" w:rsidRPr="00EE3A0A" w:rsidRDefault="00EE3A0A" w:rsidP="00EE3A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Phenols (e.g., Ortho-phenylphenol)</w:t>
      </w:r>
    </w:p>
    <w:p w:rsidR="00EE3A0A" w:rsidRPr="00EE3A0A" w:rsidRDefault="00EE3A0A" w:rsidP="00EE3A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Pine oil</w:t>
      </w:r>
    </w:p>
    <w:p w:rsidR="00EE3A0A" w:rsidRPr="00EE3A0A" w:rsidRDefault="00EE3A0A" w:rsidP="00EE3A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Quaternary ammonium chloride compounds (e.g., Benzalkonium chloride, ADBACs, DDACs)</w:t>
      </w:r>
    </w:p>
    <w:p w:rsidR="00EE3A0A" w:rsidRPr="00EE3A0A" w:rsidRDefault="00EE3A0A" w:rsidP="00EE3A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Silver</w:t>
      </w:r>
    </w:p>
    <w:p w:rsidR="00EE3A0A" w:rsidRPr="00EE3A0A" w:rsidRDefault="00EE3A0A" w:rsidP="00EE3A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Thyme oil</w:t>
      </w:r>
    </w:p>
    <w:p w:rsidR="00EE3A0A" w:rsidRPr="00EE3A0A" w:rsidRDefault="00EE3A0A" w:rsidP="00EE3A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Acceptable “Active Ingredients”:  The following “Active Ingredients” have been approved by the Massachusetts Toxics Reduction Task Force: </w:t>
      </w:r>
    </w:p>
    <w:p w:rsidR="00EE3A0A" w:rsidRPr="00EE3A0A" w:rsidRDefault="00EE3A0A" w:rsidP="00EE3A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Hydrogen peroxide (including Accelerated Hydrogen Peroxide) </w:t>
      </w:r>
    </w:p>
    <w:p w:rsidR="00EE3A0A" w:rsidRPr="00EE3A0A" w:rsidRDefault="00EE3A0A" w:rsidP="00EE3A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Citric Acid</w:t>
      </w:r>
    </w:p>
    <w:p w:rsidR="00EE3A0A" w:rsidRPr="00EE3A0A" w:rsidRDefault="00EE3A0A" w:rsidP="00EE3A0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Lactic acid </w:t>
      </w:r>
    </w:p>
    <w:p w:rsidR="00B84194" w:rsidRDefault="00EE3A0A" w:rsidP="00B841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Caprylic acid</w:t>
      </w:r>
    </w:p>
    <w:p w:rsidR="00B84194" w:rsidRPr="00B84194" w:rsidRDefault="00B84194" w:rsidP="00B8419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41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Food Grade Dichloroisocyanurate (NaDCC) with CAS#2893-79-9 (Must be able to maintain a pH from 4-6.5.  Only to be sold in tab form)  </w:t>
      </w:r>
    </w:p>
    <w:p w:rsidR="00EE3A0A" w:rsidRPr="00EE3A0A" w:rsidRDefault="00EE3A0A" w:rsidP="00EE3A0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A0A">
        <w:rPr>
          <w:rFonts w:ascii="Times New Roman" w:eastAsia="Calibri" w:hAnsi="Times New Roman" w:cs="Times New Roman"/>
          <w:sz w:val="24"/>
          <w:szCs w:val="24"/>
        </w:rPr>
        <w:t>All concentrated surface, disinfectants and sanitizers, must be designed and packaged as a Closed Loop Dilution-Control System, that meets the following requirements:</w:t>
      </w:r>
    </w:p>
    <w:p w:rsidR="00EE3A0A" w:rsidRPr="00EE3A0A" w:rsidRDefault="00EE3A0A" w:rsidP="00EE3A0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A0A">
        <w:rPr>
          <w:rFonts w:ascii="Times New Roman" w:eastAsia="Calibri" w:hAnsi="Times New Roman" w:cs="Times New Roman"/>
          <w:sz w:val="24"/>
          <w:szCs w:val="24"/>
        </w:rPr>
        <w:t>No open containers are allowed. The container must have "spill-resistant packaging" that requires coupling to a specially designed device in order to dispense the product. </w:t>
      </w:r>
    </w:p>
    <w:p w:rsidR="00EE3A0A" w:rsidRPr="00EE3A0A" w:rsidRDefault="00EE3A0A" w:rsidP="00EE3A0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A0A">
        <w:rPr>
          <w:rFonts w:ascii="Times New Roman" w:eastAsia="Calibri" w:hAnsi="Times New Roman" w:cs="Times New Roman"/>
          <w:sz w:val="24"/>
          <w:szCs w:val="24"/>
        </w:rPr>
        <w:t>The container may not be able to be "practically accessed" during routine use. The packaging must not allow for access or exposure to the concentrated product after opening a cap or lid, or before or while connecting to the dispensing system. </w:t>
      </w:r>
    </w:p>
    <w:p w:rsidR="00EE3A0A" w:rsidRPr="00EE3A0A" w:rsidRDefault="00EE3A0A" w:rsidP="00EE3A0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A0A">
        <w:rPr>
          <w:rFonts w:ascii="Times New Roman" w:eastAsia="Calibri" w:hAnsi="Times New Roman" w:cs="Times New Roman"/>
          <w:sz w:val="24"/>
          <w:szCs w:val="24"/>
        </w:rPr>
        <w:t>The container must contain a backflow prevention system that meets the current American Society of Sanitary Engineering (ASSE) 1055 standard.</w:t>
      </w:r>
    </w:p>
    <w:p w:rsidR="00EE3A0A" w:rsidRPr="00EE3A0A" w:rsidRDefault="00EE3A0A" w:rsidP="00EE3A0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A0A">
        <w:rPr>
          <w:rFonts w:ascii="Times New Roman" w:eastAsia="Calibri" w:hAnsi="Times New Roman" w:cs="Times New Roman"/>
          <w:sz w:val="24"/>
          <w:szCs w:val="24"/>
        </w:rPr>
        <w:t>EXCEPTION: Unless it is in a portion controlled p</w:t>
      </w:r>
      <w:bookmarkStart w:id="0" w:name="_GoBack"/>
      <w:r w:rsidRPr="00EE3A0A">
        <w:rPr>
          <w:rFonts w:ascii="Times New Roman" w:eastAsia="Calibri" w:hAnsi="Times New Roman" w:cs="Times New Roman"/>
          <w:sz w:val="24"/>
          <w:szCs w:val="24"/>
        </w:rPr>
        <w:t>a</w:t>
      </w:r>
      <w:bookmarkEnd w:id="0"/>
      <w:r w:rsidRPr="00EE3A0A">
        <w:rPr>
          <w:rFonts w:ascii="Times New Roman" w:eastAsia="Calibri" w:hAnsi="Times New Roman" w:cs="Times New Roman"/>
          <w:sz w:val="24"/>
          <w:szCs w:val="24"/>
        </w:rPr>
        <w:t xml:space="preserve">ckage.  </w:t>
      </w:r>
    </w:p>
    <w:p w:rsidR="00EE3A0A" w:rsidRPr="00FC51F9" w:rsidRDefault="00EE3A0A" w:rsidP="00FC51F9">
      <w:pPr>
        <w:pStyle w:val="ListParagraph"/>
        <w:keepNext/>
        <w:numPr>
          <w:ilvl w:val="0"/>
          <w:numId w:val="8"/>
        </w:numPr>
        <w:shd w:val="clear" w:color="auto" w:fill="FFFFFF"/>
        <w:spacing w:before="240" w:after="60" w:line="240" w:lineRule="auto"/>
        <w:outlineLvl w:val="2"/>
        <w:rPr>
          <w:rFonts w:ascii="Cambria" w:eastAsia="Times New Roman" w:hAnsi="Cambria" w:cs="Times New Roman"/>
          <w:b/>
          <w:bCs/>
          <w:sz w:val="24"/>
          <w:szCs w:val="26"/>
        </w:rPr>
      </w:pPr>
      <w:r w:rsidRPr="00FC51F9">
        <w:rPr>
          <w:rFonts w:ascii="Cambria" w:eastAsia="Times New Roman" w:hAnsi="Cambria" w:cs="Times New Roman"/>
          <w:b/>
          <w:bCs/>
          <w:sz w:val="24"/>
          <w:szCs w:val="26"/>
        </w:rPr>
        <w:t>Food-Contact Surface Sanitizers</w:t>
      </w:r>
    </w:p>
    <w:p w:rsidR="00EE3A0A" w:rsidRPr="00EE3A0A" w:rsidRDefault="00EE3A0A" w:rsidP="00EE3A0A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E3A0A">
        <w:rPr>
          <w:rFonts w:ascii="Times New Roman" w:eastAsia="Calibri" w:hAnsi="Times New Roman" w:cs="Times New Roman"/>
          <w:b/>
          <w:bCs/>
          <w:sz w:val="24"/>
          <w:szCs w:val="24"/>
        </w:rPr>
        <w:t>Mandatory Specifications</w:t>
      </w:r>
    </w:p>
    <w:p w:rsidR="00EE3A0A" w:rsidRPr="00EE3A0A" w:rsidRDefault="00EE3A0A" w:rsidP="00EE3A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Must be EPA (FIFRA) Registered as a Food-Contact Surface Sanitizer.</w:t>
      </w:r>
    </w:p>
    <w:p w:rsidR="00EE3A0A" w:rsidRPr="00EE3A0A" w:rsidRDefault="00EE3A0A" w:rsidP="00EE3A0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3A0A" w:rsidRPr="00EE3A0A" w:rsidRDefault="00EE3A0A" w:rsidP="00EE3A0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Prohibited “Active Ingredients” include:  </w:t>
      </w:r>
    </w:p>
    <w:p w:rsidR="00EE3A0A" w:rsidRPr="00EE3A0A" w:rsidRDefault="00EE3A0A" w:rsidP="00EE3A0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Chlorine Bleach (Sodium hypochlorite)</w:t>
      </w:r>
    </w:p>
    <w:p w:rsidR="00EE3A0A" w:rsidRPr="00EE3A0A" w:rsidRDefault="00EE3A0A" w:rsidP="00EE3A0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Hydrogen chloride (HCL)</w:t>
      </w:r>
    </w:p>
    <w:p w:rsidR="00EE3A0A" w:rsidRPr="00EE3A0A" w:rsidRDefault="00EE3A0A" w:rsidP="00EE3A0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Quaternary ammonium chloride compounds (e.g., Benzalkonium chloride, ADBACs, DDACs)</w:t>
      </w:r>
    </w:p>
    <w:p w:rsidR="00EE3A0A" w:rsidRPr="00EE3A0A" w:rsidRDefault="00EE3A0A" w:rsidP="00EE3A0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Silver</w:t>
      </w:r>
    </w:p>
    <w:p w:rsidR="00EE3A0A" w:rsidRPr="00EE3A0A" w:rsidRDefault="00EE3A0A" w:rsidP="00EE3A0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Thyme oil</w:t>
      </w:r>
    </w:p>
    <w:p w:rsidR="00EE3A0A" w:rsidRPr="00EE3A0A" w:rsidRDefault="00EE3A0A" w:rsidP="00EE3A0A">
      <w:pPr>
        <w:shd w:val="clear" w:color="auto" w:fill="FFFFFF"/>
        <w:autoSpaceDE w:val="0"/>
        <w:autoSpaceDN w:val="0"/>
        <w:adjustRightInd w:val="0"/>
        <w:spacing w:after="0" w:line="240" w:lineRule="auto"/>
        <w:ind w:left="150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3A0A" w:rsidRPr="00EE3A0A" w:rsidRDefault="00EE3A0A" w:rsidP="00EE3A0A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EE3A0A">
        <w:rPr>
          <w:rFonts w:ascii="Times New Roman" w:eastAsia="Calibri" w:hAnsi="Times New Roman" w:cs="Times New Roman"/>
          <w:bCs/>
          <w:sz w:val="24"/>
          <w:szCs w:val="24"/>
        </w:rPr>
        <w:t xml:space="preserve">Acceptable “Active Ingredients” include: </w:t>
      </w:r>
    </w:p>
    <w:p w:rsidR="00EE3A0A" w:rsidRPr="00EE3A0A" w:rsidRDefault="00EE3A0A" w:rsidP="00EE3A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Hydrogen Peroxide </w:t>
      </w:r>
    </w:p>
    <w:p w:rsidR="00EE3A0A" w:rsidRPr="00EE3A0A" w:rsidRDefault="00EE3A0A" w:rsidP="00EE3A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Peroxyacetic acid</w:t>
      </w:r>
    </w:p>
    <w:p w:rsidR="00EE3A0A" w:rsidRPr="00EE3A0A" w:rsidRDefault="00EE3A0A" w:rsidP="00EE3A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Lactic Acid</w:t>
      </w:r>
    </w:p>
    <w:p w:rsidR="00EE3A0A" w:rsidRPr="00EE3A0A" w:rsidRDefault="00EE3A0A" w:rsidP="00EE3A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>Citric Acid</w:t>
      </w:r>
    </w:p>
    <w:p w:rsidR="00EE3A0A" w:rsidRPr="00EE3A0A" w:rsidRDefault="00EE3A0A" w:rsidP="00EE3A0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Caprylic Acid </w:t>
      </w:r>
    </w:p>
    <w:p w:rsidR="00EE3A0A" w:rsidRPr="00EE3A0A" w:rsidRDefault="00EE3A0A" w:rsidP="00EE3A0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51F9" w:rsidRDefault="00FC51F9" w:rsidP="00EE3A0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C51F9" w:rsidRPr="00FC51F9" w:rsidRDefault="00FC51F9" w:rsidP="00FC51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FC51F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SPECIALTY CLEANERS</w:t>
      </w:r>
    </w:p>
    <w:p w:rsidR="00FC51F9" w:rsidRPr="00FC51F9" w:rsidRDefault="00FC51F9" w:rsidP="00FC51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This category includes ready-to-use non-antimicrobial cleaners including: </w:t>
      </w:r>
    </w:p>
    <w:p w:rsidR="00FC51F9" w:rsidRPr="00FC51F9" w:rsidRDefault="00FC51F9" w:rsidP="00FC51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abrasive powdered cleaners 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air conditioner coil cleaners 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appliance cleaners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bathroom cleaners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boat and bilge cleaners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calcium, lime and rust removers/descalers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carpet spot/stain removers 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cleaning wipes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coffee maker cleaners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cream cleansers 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deck and fence cleaners 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degreasers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deodorizers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descalers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dish washing/ ware washing detergents and rinse aids (hand or automatic in liquid, gel or powder form)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drain cleaners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enzymatic cleaners 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furniture cleaners/polishes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graffiti removers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gum and adhesive removers 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laundry fabric softeners, anti-static products and stain removers 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laundry whiteners and brighteners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laundry/clothes washing detergents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leather cleaners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mold and mildew removers 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oven/grill/BBQ cleaners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stainless steel/metal cleaners/polishes 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stone cleaners 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toilet bowel and urinal cleaners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upholstery cleaners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urinal blocks and screens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vehicle cleaners </w:t>
      </w:r>
    </w:p>
    <w:p w:rsidR="00FC51F9" w:rsidRPr="00FC51F9" w:rsidRDefault="00FC51F9" w:rsidP="00FC51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51F9">
        <w:rPr>
          <w:rFonts w:ascii="Times New Roman" w:eastAsia="Calibri" w:hAnsi="Times New Roman" w:cs="Times New Roman"/>
          <w:color w:val="000000"/>
          <w:sz w:val="24"/>
          <w:szCs w:val="24"/>
        </w:rPr>
        <w:t>walkway cleaners</w:t>
      </w:r>
    </w:p>
    <w:p w:rsidR="00FC51F9" w:rsidRDefault="00FC51F9" w:rsidP="00EE3A0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C51F9" w:rsidRDefault="00EE3A0A" w:rsidP="00FC51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Toxics Reduction Task Force has approved the use of the </w:t>
      </w:r>
      <w:hyperlink r:id="rId8" w:history="1">
        <w:r w:rsidRPr="00EE3A0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EPA’s Design for the Environment Safer Chemical Labeling Program,</w:t>
        </w:r>
      </w:hyperlink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 products listed in </w:t>
      </w:r>
      <w:r w:rsidRPr="00EE3A0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Category 4: Specialty Products</w:t>
      </w: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 use on Statewide Contract FAC85: Environmentally Preferable Cleaning Products, Programs, Equipment and Supplies. However, only products that have completed an on-site audit will be accepted.  </w:t>
      </w:r>
      <w:r w:rsidR="00FC51F9"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 products with a double dagger will be accepted (‡). </w:t>
      </w:r>
    </w:p>
    <w:p w:rsidR="00EE3A0A" w:rsidRPr="00EE3A0A" w:rsidRDefault="00FC51F9" w:rsidP="00FC51F9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Times New Roman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C51F9" w:rsidRDefault="00EE3A0A" w:rsidP="00EE3A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DfE’s Standard for Safer Products can be found at: </w:t>
      </w:r>
    </w:p>
    <w:p w:rsidR="00FC51F9" w:rsidRPr="00FC51F9" w:rsidRDefault="00B84194" w:rsidP="00FC51F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9" w:anchor="Standard" w:history="1">
        <w:r w:rsidR="00EE3A0A" w:rsidRPr="00FC51F9">
          <w:rPr>
            <w:rFonts w:ascii="Calibri" w:eastAsia="Calibri" w:hAnsi="Calibri" w:cs="Times New Roman"/>
            <w:color w:val="0000FF"/>
            <w:u w:val="single"/>
          </w:rPr>
          <w:t>http://www.epa.gov/dfe/pubs/projects/gfcp/index.htm#Standard</w:t>
        </w:r>
      </w:hyperlink>
    </w:p>
    <w:p w:rsidR="00FC51F9" w:rsidRPr="00FC51F9" w:rsidRDefault="00EE3A0A" w:rsidP="00EE3A0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3A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DfE’s Criteria for Safer Chemical Ingredients can be found at: </w:t>
      </w:r>
      <w:hyperlink r:id="rId10" w:history="1">
        <w:r w:rsidRPr="00FC51F9">
          <w:rPr>
            <w:rFonts w:ascii="Calibri" w:eastAsia="Calibri" w:hAnsi="Calibri" w:cs="Times New Roman"/>
            <w:color w:val="0000FF"/>
            <w:u w:val="single"/>
          </w:rPr>
          <w:t>http://www.epa.gov/dfe/pubs/projects/gfcp/index.htm</w:t>
        </w:r>
      </w:hyperlink>
    </w:p>
    <w:p w:rsidR="00701FE1" w:rsidRDefault="00701FE1"/>
    <w:sectPr w:rsidR="00701FE1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F9" w:rsidRDefault="00FC51F9" w:rsidP="00FC51F9">
      <w:pPr>
        <w:spacing w:after="0" w:line="240" w:lineRule="auto"/>
      </w:pPr>
      <w:r>
        <w:separator/>
      </w:r>
    </w:p>
  </w:endnote>
  <w:endnote w:type="continuationSeparator" w:id="0">
    <w:p w:rsidR="00FC51F9" w:rsidRDefault="00FC51F9" w:rsidP="00FC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92" w:rsidRDefault="00FC51F9" w:rsidP="003628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E92" w:rsidRDefault="00B84194">
    <w:pPr>
      <w:pStyle w:val="Footer"/>
      <w:ind w:right="360"/>
    </w:pPr>
  </w:p>
  <w:p w:rsidR="00342E92" w:rsidRDefault="00B841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E92" w:rsidRDefault="00FC51F9" w:rsidP="003628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194">
      <w:rPr>
        <w:rStyle w:val="PageNumber"/>
        <w:noProof/>
      </w:rPr>
      <w:t>2</w:t>
    </w:r>
    <w:r>
      <w:rPr>
        <w:rStyle w:val="PageNumber"/>
      </w:rPr>
      <w:fldChar w:fldCharType="end"/>
    </w:r>
  </w:p>
  <w:p w:rsidR="00342E92" w:rsidRDefault="00B84194" w:rsidP="00D019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F9" w:rsidRDefault="00FC51F9" w:rsidP="00FC51F9">
      <w:pPr>
        <w:spacing w:after="0" w:line="240" w:lineRule="auto"/>
      </w:pPr>
      <w:r>
        <w:separator/>
      </w:r>
    </w:p>
  </w:footnote>
  <w:footnote w:type="continuationSeparator" w:id="0">
    <w:p w:rsidR="00FC51F9" w:rsidRDefault="00FC51F9" w:rsidP="00FC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1D9"/>
    <w:multiLevelType w:val="hybridMultilevel"/>
    <w:tmpl w:val="3C20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BF9"/>
    <w:multiLevelType w:val="hybridMultilevel"/>
    <w:tmpl w:val="1D2EF7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3436EBD"/>
    <w:multiLevelType w:val="hybridMultilevel"/>
    <w:tmpl w:val="4A1C9A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46E3D7D"/>
    <w:multiLevelType w:val="hybridMultilevel"/>
    <w:tmpl w:val="58D666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F9A57D2">
      <w:start w:val="2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D45AA0"/>
    <w:multiLevelType w:val="hybridMultilevel"/>
    <w:tmpl w:val="7AF2F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1317E"/>
    <w:multiLevelType w:val="hybridMultilevel"/>
    <w:tmpl w:val="F53CB5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041999"/>
    <w:multiLevelType w:val="hybridMultilevel"/>
    <w:tmpl w:val="7542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70A55"/>
    <w:multiLevelType w:val="hybridMultilevel"/>
    <w:tmpl w:val="C50ABC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F9A57D2">
      <w:start w:val="2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0A"/>
    <w:rsid w:val="00115545"/>
    <w:rsid w:val="00701FE1"/>
    <w:rsid w:val="00B84194"/>
    <w:rsid w:val="00EE3A0A"/>
    <w:rsid w:val="00F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51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1F9"/>
    <w:rPr>
      <w:rFonts w:ascii="Calibri" w:eastAsia="Calibri" w:hAnsi="Calibri" w:cs="Times New Roman"/>
      <w:lang w:val="x-none" w:eastAsia="x-none"/>
    </w:rPr>
  </w:style>
  <w:style w:type="character" w:styleId="PageNumber">
    <w:name w:val="page number"/>
    <w:uiPriority w:val="99"/>
    <w:semiHidden/>
    <w:unhideWhenUsed/>
    <w:rsid w:val="00FC51F9"/>
  </w:style>
  <w:style w:type="paragraph" w:styleId="Header">
    <w:name w:val="header"/>
    <w:basedOn w:val="Normal"/>
    <w:link w:val="HeaderChar"/>
    <w:uiPriority w:val="99"/>
    <w:unhideWhenUsed/>
    <w:rsid w:val="00F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F9"/>
  </w:style>
  <w:style w:type="paragraph" w:styleId="ListParagraph">
    <w:name w:val="List Paragraph"/>
    <w:basedOn w:val="Normal"/>
    <w:uiPriority w:val="34"/>
    <w:qFormat/>
    <w:rsid w:val="00FC5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51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1F9"/>
    <w:rPr>
      <w:rFonts w:ascii="Calibri" w:eastAsia="Calibri" w:hAnsi="Calibri" w:cs="Times New Roman"/>
      <w:lang w:val="x-none" w:eastAsia="x-none"/>
    </w:rPr>
  </w:style>
  <w:style w:type="character" w:styleId="PageNumber">
    <w:name w:val="page number"/>
    <w:uiPriority w:val="99"/>
    <w:semiHidden/>
    <w:unhideWhenUsed/>
    <w:rsid w:val="00FC51F9"/>
  </w:style>
  <w:style w:type="paragraph" w:styleId="Header">
    <w:name w:val="header"/>
    <w:basedOn w:val="Normal"/>
    <w:link w:val="HeaderChar"/>
    <w:uiPriority w:val="99"/>
    <w:unhideWhenUsed/>
    <w:rsid w:val="00FC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F9"/>
  </w:style>
  <w:style w:type="paragraph" w:styleId="ListParagraph">
    <w:name w:val="List Paragraph"/>
    <w:basedOn w:val="Normal"/>
    <w:uiPriority w:val="34"/>
    <w:qFormat/>
    <w:rsid w:val="00FC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epa.gov/dfe/pubs/projects/gfcp/index.htm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epa.gov/dfe/"/>
  <Relationship Id="rId9" Type="http://schemas.openxmlformats.org/officeDocument/2006/relationships/hyperlink" TargetMode="External" Target="http://www.epa.gov/dfe/pubs/projects/gfcp/index.htm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2016-04-04T15:33:00Z</dcterms:created>
  <dc:creator>Wolfe, Julia</dc:creator>
  <lastModifiedBy>ANF</lastModifiedBy>
  <dcterms:modified xsi:type="dcterms:W3CDTF">2016-04-04T15:33:00Z</dcterms:modified>
  <revision>2</revision>
</coreProperties>
</file>