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F6E8" w14:textId="055CE2B4" w:rsidR="00AD2AB8" w:rsidRDefault="5FA93A0C" w:rsidP="25063537">
      <w:pPr>
        <w:jc w:val="center"/>
        <w:rPr>
          <w:b/>
          <w:bCs/>
          <w:sz w:val="28"/>
          <w:szCs w:val="28"/>
        </w:rPr>
      </w:pPr>
      <w:r w:rsidRPr="25063537">
        <w:rPr>
          <w:b/>
          <w:bCs/>
          <w:sz w:val="28"/>
          <w:szCs w:val="28"/>
        </w:rPr>
        <w:t xml:space="preserve">Massachusetts Hemovigilance Program </w:t>
      </w:r>
    </w:p>
    <w:p w14:paraId="63B193EB" w14:textId="0DA27E4D" w:rsidR="007A661B" w:rsidRPr="007A661B" w:rsidRDefault="5FA93A0C" w:rsidP="007A661B">
      <w:pPr>
        <w:jc w:val="center"/>
        <w:rPr>
          <w:b/>
          <w:bCs/>
        </w:rPr>
      </w:pPr>
      <w:r w:rsidRPr="25063537">
        <w:rPr>
          <w:b/>
          <w:bCs/>
        </w:rPr>
        <w:t>Transfusion-Associated Circulatory Overload (TACO)</w:t>
      </w:r>
      <w:r w:rsidR="27DCC185" w:rsidRPr="25063537">
        <w:rPr>
          <w:b/>
          <w:bCs/>
        </w:rPr>
        <w:t xml:space="preserve"> Event</w:t>
      </w:r>
      <w:r w:rsidR="0C2D49AE" w:rsidRPr="25063537">
        <w:rPr>
          <w:b/>
          <w:bCs/>
        </w:rPr>
        <w:t xml:space="preserve"> Summary</w:t>
      </w:r>
    </w:p>
    <w:p w14:paraId="5A26DE0F" w14:textId="38CACA33" w:rsidR="007A661B" w:rsidRDefault="007A661B" w:rsidP="007A661B">
      <w:pPr>
        <w:jc w:val="center"/>
      </w:pPr>
      <w:r>
        <w:t>January 1, 2017 – December 31, 2022</w:t>
      </w:r>
    </w:p>
    <w:p w14:paraId="56BBE1CA" w14:textId="654E5964" w:rsidR="007A661B" w:rsidRDefault="003E73B2" w:rsidP="003E73B2">
      <w:pPr>
        <w:jc w:val="center"/>
        <w:rPr>
          <w:sz w:val="20"/>
          <w:szCs w:val="16"/>
        </w:rPr>
      </w:pPr>
      <w:r w:rsidRPr="00F64AB1">
        <w:rPr>
          <w:sz w:val="20"/>
          <w:szCs w:val="16"/>
        </w:rPr>
        <w:t xml:space="preserve">Data were extracted from NHSN on </w:t>
      </w:r>
      <w:r>
        <w:rPr>
          <w:sz w:val="20"/>
          <w:szCs w:val="16"/>
        </w:rPr>
        <w:t>June 21, 2023.</w:t>
      </w:r>
    </w:p>
    <w:p w14:paraId="09C84D43" w14:textId="4E34B84C" w:rsidR="003E73B2" w:rsidRDefault="172D9AA5" w:rsidP="003E73B2">
      <w:pPr>
        <w:rPr>
          <w:sz w:val="20"/>
          <w:szCs w:val="20"/>
        </w:rPr>
      </w:pPr>
      <w:r w:rsidRPr="25063537">
        <w:rPr>
          <w:rFonts w:ascii="Calibri" w:eastAsia="Times New Roman" w:hAnsi="Calibri" w:cs="Times New Roman"/>
          <w:b/>
          <w:bCs/>
          <w:color w:val="000000" w:themeColor="text1"/>
          <w:sz w:val="18"/>
          <w:szCs w:val="18"/>
        </w:rPr>
        <w:t xml:space="preserve">Important Note: </w:t>
      </w:r>
      <w:r w:rsidRPr="25063537">
        <w:rPr>
          <w:rFonts w:ascii="Calibri" w:eastAsia="Times New Roman" w:hAnsi="Calibri" w:cs="Times New Roman"/>
          <w:color w:val="000000" w:themeColor="text1"/>
          <w:sz w:val="18"/>
          <w:szCs w:val="18"/>
        </w:rPr>
        <w:t>From 2017-2020, the 2011 case definition was used to classify TACO events in NHSN. In 2021, NHSN began using the 2018 case definition to classify TACO events.</w:t>
      </w:r>
    </w:p>
    <w:p w14:paraId="7DC672E7" w14:textId="77777777" w:rsidR="003E73B2" w:rsidRPr="003E73B2" w:rsidRDefault="003E73B2" w:rsidP="003E73B2">
      <w:pPr>
        <w:jc w:val="center"/>
        <w:rPr>
          <w:sz w:val="20"/>
          <w:szCs w:val="16"/>
        </w:rPr>
      </w:pPr>
    </w:p>
    <w:p w14:paraId="0F58F89B" w14:textId="40B0BDCC" w:rsidR="007A661B" w:rsidRDefault="5FA93A0C" w:rsidP="007A661B">
      <w:pPr>
        <w:jc w:val="center"/>
      </w:pPr>
      <w:r>
        <w:t xml:space="preserve">Figure 1: TACO </w:t>
      </w:r>
      <w:r w:rsidR="00172336">
        <w:t xml:space="preserve">Events </w:t>
      </w:r>
      <w:r>
        <w:t>and Total Transfusion Volume by Year, 2017-2022</w:t>
      </w:r>
    </w:p>
    <w:p w14:paraId="123BE8F6" w14:textId="78B19336" w:rsidR="007A661B" w:rsidRDefault="432ADDBE" w:rsidP="25063537">
      <w:pPr>
        <w:jc w:val="center"/>
      </w:pPr>
      <w:r>
        <w:rPr>
          <w:noProof/>
        </w:rPr>
        <w:drawing>
          <wp:inline distT="0" distB="0" distL="0" distR="0" wp14:anchorId="2D7AD257" wp14:editId="488DF3CE">
            <wp:extent cx="3686175" cy="2781300"/>
            <wp:effectExtent l="0" t="0" r="0" b="0"/>
            <wp:docPr id="867430712" name="Picture 867430712" descr="Bar chart with overlayed line graph showing an increase in TACO reactions from 2017 to 2022 and an overall decrease in total transfusion 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686175" cy="2781300"/>
                    </a:xfrm>
                    <a:prstGeom prst="rect">
                      <a:avLst/>
                    </a:prstGeom>
                  </pic:spPr>
                </pic:pic>
              </a:graphicData>
            </a:graphic>
          </wp:inline>
        </w:drawing>
      </w:r>
      <w:r w:rsidR="007A661B">
        <w:br/>
      </w:r>
    </w:p>
    <w:tbl>
      <w:tblPr>
        <w:tblStyle w:val="TableGrid"/>
        <w:tblpPr w:leftFromText="180" w:rightFromText="180" w:vertAnchor="text" w:horzAnchor="margin" w:tblpXSpec="center" w:tblpY="387"/>
        <w:tblW w:w="0" w:type="auto"/>
        <w:tblLook w:val="04A0" w:firstRow="1" w:lastRow="0" w:firstColumn="1" w:lastColumn="0" w:noHBand="0" w:noVBand="1"/>
      </w:tblPr>
      <w:tblGrid>
        <w:gridCol w:w="1620"/>
        <w:gridCol w:w="1350"/>
        <w:gridCol w:w="1435"/>
      </w:tblGrid>
      <w:tr w:rsidR="007A661B" w14:paraId="6230A8CE" w14:textId="77777777" w:rsidTr="007A661B">
        <w:tc>
          <w:tcPr>
            <w:tcW w:w="1620" w:type="dxa"/>
          </w:tcPr>
          <w:p w14:paraId="56D929A0" w14:textId="77777777" w:rsidR="007A661B" w:rsidRPr="007A661B" w:rsidRDefault="007A661B" w:rsidP="007A661B">
            <w:pPr>
              <w:rPr>
                <w:b/>
                <w:bCs/>
              </w:rPr>
            </w:pPr>
            <w:r w:rsidRPr="007A661B">
              <w:rPr>
                <w:b/>
                <w:bCs/>
              </w:rPr>
              <w:t>Gender</w:t>
            </w:r>
          </w:p>
        </w:tc>
        <w:tc>
          <w:tcPr>
            <w:tcW w:w="1350" w:type="dxa"/>
          </w:tcPr>
          <w:p w14:paraId="641EB42B" w14:textId="77777777" w:rsidR="007A661B" w:rsidRPr="007A661B" w:rsidRDefault="007A661B" w:rsidP="007A661B">
            <w:pPr>
              <w:rPr>
                <w:b/>
                <w:bCs/>
              </w:rPr>
            </w:pPr>
            <w:r w:rsidRPr="007A661B">
              <w:rPr>
                <w:b/>
                <w:bCs/>
              </w:rPr>
              <w:t>Total</w:t>
            </w:r>
          </w:p>
        </w:tc>
        <w:tc>
          <w:tcPr>
            <w:tcW w:w="1435" w:type="dxa"/>
          </w:tcPr>
          <w:p w14:paraId="08F2B5AF" w14:textId="77777777" w:rsidR="007A661B" w:rsidRPr="007A661B" w:rsidRDefault="007A661B" w:rsidP="007A661B">
            <w:pPr>
              <w:rPr>
                <w:b/>
                <w:bCs/>
              </w:rPr>
            </w:pPr>
            <w:r w:rsidRPr="007A661B">
              <w:rPr>
                <w:b/>
                <w:bCs/>
              </w:rPr>
              <w:t>Percent</w:t>
            </w:r>
          </w:p>
        </w:tc>
      </w:tr>
      <w:tr w:rsidR="007A661B" w14:paraId="10419E5B" w14:textId="77777777" w:rsidTr="007A661B">
        <w:tc>
          <w:tcPr>
            <w:tcW w:w="1620" w:type="dxa"/>
          </w:tcPr>
          <w:p w14:paraId="7FC8C372" w14:textId="77777777" w:rsidR="007A661B" w:rsidRDefault="007A661B" w:rsidP="007A661B">
            <w:r>
              <w:t>Female</w:t>
            </w:r>
          </w:p>
        </w:tc>
        <w:tc>
          <w:tcPr>
            <w:tcW w:w="1350" w:type="dxa"/>
          </w:tcPr>
          <w:p w14:paraId="53FED9BC" w14:textId="77777777" w:rsidR="007A661B" w:rsidRDefault="007A661B" w:rsidP="007A661B">
            <w:r>
              <w:t>154</w:t>
            </w:r>
          </w:p>
        </w:tc>
        <w:tc>
          <w:tcPr>
            <w:tcW w:w="1435" w:type="dxa"/>
          </w:tcPr>
          <w:p w14:paraId="72F3DBBC" w14:textId="77777777" w:rsidR="007A661B" w:rsidRDefault="007A661B" w:rsidP="007A661B">
            <w:r>
              <w:t>56%</w:t>
            </w:r>
          </w:p>
        </w:tc>
      </w:tr>
      <w:tr w:rsidR="007A661B" w14:paraId="7CA04023" w14:textId="77777777" w:rsidTr="007A661B">
        <w:tc>
          <w:tcPr>
            <w:tcW w:w="1620" w:type="dxa"/>
          </w:tcPr>
          <w:p w14:paraId="4064C1A1" w14:textId="77777777" w:rsidR="007A661B" w:rsidRDefault="007A661B" w:rsidP="007A661B">
            <w:r>
              <w:t>Male</w:t>
            </w:r>
          </w:p>
        </w:tc>
        <w:tc>
          <w:tcPr>
            <w:tcW w:w="1350" w:type="dxa"/>
          </w:tcPr>
          <w:p w14:paraId="74651CA5" w14:textId="77777777" w:rsidR="007A661B" w:rsidRDefault="007A661B" w:rsidP="007A661B">
            <w:r>
              <w:t>123</w:t>
            </w:r>
          </w:p>
        </w:tc>
        <w:tc>
          <w:tcPr>
            <w:tcW w:w="1435" w:type="dxa"/>
          </w:tcPr>
          <w:p w14:paraId="6608DA01" w14:textId="77777777" w:rsidR="007A661B" w:rsidRDefault="007A661B" w:rsidP="007A661B">
            <w:r>
              <w:t>44%</w:t>
            </w:r>
          </w:p>
        </w:tc>
      </w:tr>
    </w:tbl>
    <w:p w14:paraId="4D9F972D" w14:textId="32154FDF" w:rsidR="007A661B" w:rsidRDefault="5FA93A0C" w:rsidP="007A661B">
      <w:pPr>
        <w:jc w:val="center"/>
      </w:pPr>
      <w:r>
        <w:t xml:space="preserve">Table 1: TACO </w:t>
      </w:r>
      <w:r w:rsidR="00172336">
        <w:t>Events</w:t>
      </w:r>
      <w:r>
        <w:t xml:space="preserve"> by Gender</w:t>
      </w:r>
    </w:p>
    <w:p w14:paraId="7F67D5DC" w14:textId="4D844D96" w:rsidR="007A661B" w:rsidRDefault="007A661B" w:rsidP="007A661B">
      <w:pPr>
        <w:jc w:val="center"/>
      </w:pPr>
    </w:p>
    <w:p w14:paraId="67A14649" w14:textId="311253B5" w:rsidR="007A661B" w:rsidRDefault="007A661B" w:rsidP="007A661B">
      <w:pPr>
        <w:jc w:val="center"/>
      </w:pPr>
    </w:p>
    <w:p w14:paraId="272223E4" w14:textId="63C7B333" w:rsidR="007A661B" w:rsidRDefault="007A661B" w:rsidP="007A661B">
      <w:pPr>
        <w:jc w:val="center"/>
      </w:pPr>
    </w:p>
    <w:p w14:paraId="7F328F67" w14:textId="651270BE" w:rsidR="007A661B" w:rsidRDefault="5FA93A0C" w:rsidP="007A661B">
      <w:pPr>
        <w:jc w:val="center"/>
      </w:pPr>
      <w:r>
        <w:t xml:space="preserve">Figure 2: TACO </w:t>
      </w:r>
      <w:r w:rsidR="00172336">
        <w:t>Events by</w:t>
      </w:r>
      <w:r>
        <w:t xml:space="preserve"> Age, 2017-2022</w:t>
      </w:r>
    </w:p>
    <w:p w14:paraId="38A716CD" w14:textId="3187FC77" w:rsidR="007A661B" w:rsidRDefault="007A661B" w:rsidP="007A661B">
      <w:pPr>
        <w:jc w:val="center"/>
      </w:pPr>
      <w:r>
        <w:rPr>
          <w:noProof/>
        </w:rPr>
        <w:drawing>
          <wp:inline distT="0" distB="0" distL="0" distR="0" wp14:anchorId="0DB9531E" wp14:editId="6340AD13">
            <wp:extent cx="3463290" cy="1885950"/>
            <wp:effectExtent l="0" t="0" r="3810" b="0"/>
            <wp:docPr id="1" name="Chart 1" descr="A bar chart illustrating TACO reactions by age group from 2017 to 2022. The 70-79 year age group has the highest number of TACO reactions, followed by the 60-69 age group.">
              <a:extLst xmlns:a="http://schemas.openxmlformats.org/drawingml/2006/main">
                <a:ext uri="{FF2B5EF4-FFF2-40B4-BE49-F238E27FC236}">
                  <a16:creationId xmlns:a16="http://schemas.microsoft.com/office/drawing/2014/main" id="{BC23CC46-46C8-4561-A7D4-F0A350F234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ED3A2C" w14:textId="4BEA7A75" w:rsidR="007A661B" w:rsidRDefault="007A661B" w:rsidP="007A661B">
      <w:pPr>
        <w:jc w:val="center"/>
      </w:pPr>
    </w:p>
    <w:p w14:paraId="7D68B251" w14:textId="348DC922" w:rsidR="001E27A9" w:rsidRDefault="001E27A9" w:rsidP="007A661B">
      <w:pPr>
        <w:jc w:val="center"/>
      </w:pPr>
    </w:p>
    <w:p w14:paraId="6BCDB9DD" w14:textId="4E604B05" w:rsidR="007A661B" w:rsidRDefault="007A661B" w:rsidP="007A661B">
      <w:pPr>
        <w:jc w:val="center"/>
      </w:pPr>
    </w:p>
    <w:p w14:paraId="5F2AE2D8" w14:textId="53AA6CF5" w:rsidR="007A661B" w:rsidRDefault="69990872" w:rsidP="007A661B">
      <w:pPr>
        <w:jc w:val="center"/>
      </w:pPr>
      <w:r>
        <w:t xml:space="preserve">Figure 3: TACO </w:t>
      </w:r>
      <w:r w:rsidR="00DF685E">
        <w:t>Events</w:t>
      </w:r>
      <w:r>
        <w:t xml:space="preserve"> by Bed</w:t>
      </w:r>
      <w:r w:rsidR="00DF685E">
        <w:t xml:space="preserve"> </w:t>
      </w:r>
      <w:r w:rsidR="2CF60CD8">
        <w:t>S</w:t>
      </w:r>
      <w:r>
        <w:t>ize Group (2017-2022)</w:t>
      </w:r>
    </w:p>
    <w:p w14:paraId="332CF1E9" w14:textId="54364C47" w:rsidR="007A661B" w:rsidRDefault="00DF685E" w:rsidP="007A661B">
      <w:pPr>
        <w:jc w:val="center"/>
      </w:pPr>
      <w:r>
        <w:rPr>
          <w:noProof/>
        </w:rPr>
        <w:drawing>
          <wp:inline distT="0" distB="0" distL="0" distR="0" wp14:anchorId="4219308F" wp14:editId="74E3404B">
            <wp:extent cx="3457575" cy="2228850"/>
            <wp:effectExtent l="0" t="0" r="9525" b="0"/>
            <wp:docPr id="10" name="Chart 10" descr="Pie chart illustrating TACO reactions by bed size group from 2017 to 2022. Bed size group 3 (greater than or equal to 300 beds) accounts for 85% of TACO reactions reported, followed by bed size group 1 (less than 100 beds) at 9% and then bed size group 2 (100 to 299 beds) at 6%">
              <a:extLst xmlns:a="http://schemas.openxmlformats.org/drawingml/2006/main">
                <a:ext uri="{FF2B5EF4-FFF2-40B4-BE49-F238E27FC236}">
                  <a16:creationId xmlns:a16="http://schemas.microsoft.com/office/drawing/2014/main" id="{DA5C76E8-37FB-4049-B868-03EE2DFEA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A7A2F9" w14:textId="16B20BB1" w:rsidR="001520E0" w:rsidRDefault="001520E0" w:rsidP="007A661B">
      <w:pPr>
        <w:jc w:val="center"/>
      </w:pPr>
    </w:p>
    <w:p w14:paraId="54063358" w14:textId="0CEC9588" w:rsidR="001520E0" w:rsidRDefault="001520E0" w:rsidP="007A661B">
      <w:pPr>
        <w:jc w:val="center"/>
      </w:pPr>
    </w:p>
    <w:p w14:paraId="6DB1FBB0" w14:textId="54347A00" w:rsidR="001520E0" w:rsidRPr="001520E0" w:rsidRDefault="1FEC826B" w:rsidP="001520E0">
      <w:pPr>
        <w:jc w:val="center"/>
      </w:pPr>
      <w:r>
        <w:t xml:space="preserve">Figure 4: TACO </w:t>
      </w:r>
      <w:r w:rsidR="00120DD1">
        <w:t>Events</w:t>
      </w:r>
      <w:r>
        <w:t xml:space="preserve"> Rates by Bed Size </w:t>
      </w:r>
      <w:r w:rsidR="00120DD1">
        <w:t>Group</w:t>
      </w:r>
    </w:p>
    <w:p w14:paraId="6B313EB9" w14:textId="211D0FCD" w:rsidR="001520E0" w:rsidRDefault="1FEC826B" w:rsidP="001520E0">
      <w:pPr>
        <w:jc w:val="center"/>
      </w:pPr>
      <w:r>
        <w:t>(</w:t>
      </w:r>
      <w:r w:rsidR="7657170D">
        <w:t xml:space="preserve">Rate </w:t>
      </w:r>
      <w:r>
        <w:t>per 10,000 Products Transfused)</w:t>
      </w:r>
    </w:p>
    <w:p w14:paraId="4652846B" w14:textId="62C4C501" w:rsidR="001520E0" w:rsidRDefault="00722B7B" w:rsidP="007A661B">
      <w:pPr>
        <w:jc w:val="center"/>
      </w:pPr>
      <w:r>
        <w:rPr>
          <w:noProof/>
        </w:rPr>
        <w:drawing>
          <wp:inline distT="0" distB="0" distL="0" distR="0" wp14:anchorId="31C69E17" wp14:editId="42D0CF42">
            <wp:extent cx="5429250" cy="2333625"/>
            <wp:effectExtent l="0" t="0" r="0" b="9525"/>
            <wp:docPr id="11" name="Chart 11" descr="Line graph showing the rate of TACO reactions per 10,000 products transfused by bed size group. Bed size groups 2 and 3 have a steady incline, while bed size group 1 is more variable.">
              <a:extLst xmlns:a="http://schemas.openxmlformats.org/drawingml/2006/main">
                <a:ext uri="{FF2B5EF4-FFF2-40B4-BE49-F238E27FC236}">
                  <a16:creationId xmlns:a16="http://schemas.microsoft.com/office/drawing/2014/main" id="{7485AD1D-079D-40EC-A2B7-94A8C059D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56376" w14:textId="052BA56C" w:rsidR="001520E0" w:rsidRDefault="001520E0" w:rsidP="007A661B">
      <w:pPr>
        <w:jc w:val="center"/>
      </w:pPr>
    </w:p>
    <w:p w14:paraId="7675C6AB" w14:textId="1F53954B" w:rsidR="001520E0" w:rsidRDefault="001520E0" w:rsidP="007A661B">
      <w:pPr>
        <w:jc w:val="center"/>
      </w:pPr>
    </w:p>
    <w:p w14:paraId="64932BCC" w14:textId="7D040ADF" w:rsidR="001520E0" w:rsidRDefault="001520E0" w:rsidP="007A661B">
      <w:pPr>
        <w:jc w:val="center"/>
      </w:pPr>
    </w:p>
    <w:p w14:paraId="1F21FE15" w14:textId="761D22D9" w:rsidR="001520E0" w:rsidRDefault="001520E0" w:rsidP="007A661B">
      <w:pPr>
        <w:jc w:val="center"/>
      </w:pPr>
    </w:p>
    <w:p w14:paraId="56CEDA03" w14:textId="588E969B" w:rsidR="001520E0" w:rsidRDefault="001520E0" w:rsidP="007A661B">
      <w:pPr>
        <w:jc w:val="center"/>
      </w:pPr>
    </w:p>
    <w:p w14:paraId="71349943" w14:textId="09E8A132" w:rsidR="001520E0" w:rsidRDefault="001520E0" w:rsidP="007A661B">
      <w:pPr>
        <w:jc w:val="center"/>
      </w:pPr>
    </w:p>
    <w:p w14:paraId="3C7CA666" w14:textId="78BFD33E" w:rsidR="001520E0" w:rsidRDefault="001520E0" w:rsidP="007A661B">
      <w:pPr>
        <w:jc w:val="center"/>
      </w:pPr>
    </w:p>
    <w:p w14:paraId="60C404CC" w14:textId="77777777" w:rsidR="007771C5" w:rsidRDefault="007771C5" w:rsidP="007A661B">
      <w:pPr>
        <w:jc w:val="center"/>
      </w:pPr>
    </w:p>
    <w:p w14:paraId="7217E9A1" w14:textId="43709FA2" w:rsidR="001520E0" w:rsidRDefault="1FEC826B" w:rsidP="007A661B">
      <w:pPr>
        <w:jc w:val="center"/>
      </w:pPr>
      <w:r>
        <w:lastRenderedPageBreak/>
        <w:t xml:space="preserve">Figure 5: TACO </w:t>
      </w:r>
      <w:r w:rsidR="007771C5">
        <w:t>Events</w:t>
      </w:r>
      <w:r>
        <w:t xml:space="preserve"> by Location and Bed Size Group</w:t>
      </w:r>
      <w:r w:rsidR="001520E0">
        <w:br/>
      </w:r>
      <w:r>
        <w:t>(2017-2022)</w:t>
      </w:r>
    </w:p>
    <w:p w14:paraId="7EC33FAA" w14:textId="1C8F9A17" w:rsidR="001520E0" w:rsidRDefault="00FE1EAF" w:rsidP="001520E0">
      <w:r>
        <w:rPr>
          <w:noProof/>
        </w:rPr>
        <w:drawing>
          <wp:inline distT="0" distB="0" distL="0" distR="0" wp14:anchorId="4C172ADD" wp14:editId="48FC035D">
            <wp:extent cx="7010400" cy="2143125"/>
            <wp:effectExtent l="0" t="0" r="0" b="9525"/>
            <wp:docPr id="12" name="Chart 12" descr="Bar chart illustrating TACO reactions by location and bed size group. The overwhelming majority of reactions (over 80%) took place in wards in bed size group 3, followed by critical care units and ED/24 hour observation units.">
              <a:extLst xmlns:a="http://schemas.openxmlformats.org/drawingml/2006/main">
                <a:ext uri="{FF2B5EF4-FFF2-40B4-BE49-F238E27FC236}">
                  <a16:creationId xmlns:a16="http://schemas.microsoft.com/office/drawing/2014/main" id="{0426BBED-EB8F-4483-A495-01B2F8E36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C3F9AB" w14:textId="5CE8E90F" w:rsidR="001520E0" w:rsidRDefault="001520E0" w:rsidP="001520E0"/>
    <w:tbl>
      <w:tblPr>
        <w:tblStyle w:val="TableGrid"/>
        <w:tblW w:w="11700" w:type="dxa"/>
        <w:tblInd w:w="-3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700"/>
      </w:tblGrid>
      <w:tr w:rsidR="001520E0" w:rsidRPr="00786DFD" w14:paraId="4A913E9E" w14:textId="77777777" w:rsidTr="098AF1C7">
        <w:trPr>
          <w:trHeight w:val="360"/>
        </w:trPr>
        <w:tc>
          <w:tcPr>
            <w:tcW w:w="11700" w:type="dxa"/>
            <w:tcBorders>
              <w:top w:val="nil"/>
              <w:left w:val="nil"/>
              <w:bottom w:val="nil"/>
              <w:right w:val="nil"/>
            </w:tcBorders>
            <w:shd w:val="clear" w:color="auto" w:fill="auto"/>
            <w:vAlign w:val="center"/>
          </w:tcPr>
          <w:p w14:paraId="33792BC7" w14:textId="0719DFBB" w:rsidR="001520E0" w:rsidRPr="00786DFD" w:rsidRDefault="7FA84107" w:rsidP="00EF73AE">
            <w:pPr>
              <w:jc w:val="center"/>
              <w:rPr>
                <w:sz w:val="16"/>
                <w:szCs w:val="16"/>
              </w:rPr>
            </w:pPr>
            <w:r w:rsidRPr="25063537">
              <w:rPr>
                <w:b/>
                <w:bCs/>
                <w:sz w:val="24"/>
                <w:szCs w:val="24"/>
              </w:rPr>
              <w:t>Summary and Recommendations</w:t>
            </w:r>
          </w:p>
        </w:tc>
      </w:tr>
      <w:tr w:rsidR="001520E0" w:rsidRPr="004D2F39" w14:paraId="6ECF90D3" w14:textId="77777777" w:rsidTr="098AF1C7">
        <w:trPr>
          <w:trHeight w:val="162"/>
        </w:trPr>
        <w:tc>
          <w:tcPr>
            <w:tcW w:w="11700" w:type="dxa"/>
            <w:tcBorders>
              <w:top w:val="nil"/>
              <w:left w:val="nil"/>
              <w:bottom w:val="nil"/>
              <w:right w:val="nil"/>
            </w:tcBorders>
            <w:shd w:val="clear" w:color="auto" w:fill="005DA2"/>
          </w:tcPr>
          <w:p w14:paraId="411C1E9F" w14:textId="77777777" w:rsidR="001520E0" w:rsidRPr="004D2F39" w:rsidRDefault="001520E0" w:rsidP="00EF73AE">
            <w:pPr>
              <w:jc w:val="center"/>
              <w:rPr>
                <w:sz w:val="12"/>
                <w:szCs w:val="12"/>
              </w:rPr>
            </w:pPr>
          </w:p>
        </w:tc>
      </w:tr>
      <w:tr w:rsidR="001520E0" w:rsidRPr="004D2F39" w14:paraId="45760EAA" w14:textId="77777777" w:rsidTr="098AF1C7">
        <w:trPr>
          <w:trHeight w:val="2160"/>
        </w:trPr>
        <w:tc>
          <w:tcPr>
            <w:tcW w:w="11700" w:type="dxa"/>
            <w:tcBorders>
              <w:top w:val="nil"/>
              <w:left w:val="nil"/>
              <w:bottom w:val="nil"/>
              <w:right w:val="nil"/>
            </w:tcBorders>
            <w:shd w:val="clear" w:color="auto" w:fill="auto"/>
            <w:vAlign w:val="center"/>
          </w:tcPr>
          <w:p w14:paraId="36B11BAC" w14:textId="04C74046" w:rsidR="00520F3B" w:rsidRDefault="0010163E" w:rsidP="00EF73AE">
            <w:pPr>
              <w:rPr>
                <w:rFonts w:ascii="Calibri" w:eastAsia="Times New Roman" w:hAnsi="Calibri" w:cs="Times New Roman"/>
                <w:b/>
                <w:bCs/>
                <w:color w:val="000000" w:themeColor="text1"/>
              </w:rPr>
            </w:pPr>
            <w:r w:rsidRPr="0010163E">
              <w:rPr>
                <w:rFonts w:ascii="Calibri" w:eastAsia="Times New Roman" w:hAnsi="Calibri" w:cs="Times New Roman"/>
                <w:b/>
                <w:bCs/>
                <w:color w:val="000000" w:themeColor="text1"/>
              </w:rPr>
              <w:t xml:space="preserve">Summary: </w:t>
            </w:r>
            <w:r w:rsidRPr="0010163E">
              <w:rPr>
                <w:rFonts w:ascii="Calibri" w:eastAsia="Times New Roman" w:hAnsi="Calibri" w:cs="Times New Roman"/>
                <w:color w:val="000000" w:themeColor="text1"/>
              </w:rPr>
              <w:t>Transfusion-associated circulatory overload (TACO) manifests as cardiogenic pulmonary edema in transfusion recipients unable to compensate for additional blood product volume. Since 2011, an international case definition for the diagnosis and reporting of TACO in patients required at least 4 defined symptoms occurring within 6 hours of transfusion.  In 2018, a revised international case definition for TACO, specified that at least 3 specific clinical criteria must be met within 12 hours of transfusion, including a pulmonary component (respiratory distress or pulmonary edema based on either chest imaging OR clinical examination)1. The international working party also stressed the possibility, and the need for awareness, of the occurrence of a transient elevated temperature rise in the context of the transfusion in some patients with TACO. Other possible criteria include cardiovascular conditions, fluid overload, and associated biomarkers. This revised case definition was incorporated into the NHSN Hemovigilance Module in January 2021.</w:t>
            </w:r>
            <w:r w:rsidRPr="0010163E">
              <w:rPr>
                <w:rFonts w:ascii="Calibri" w:eastAsia="Times New Roman" w:hAnsi="Calibri" w:cs="Times New Roman"/>
                <w:b/>
                <w:bCs/>
                <w:color w:val="000000" w:themeColor="text1"/>
              </w:rPr>
              <w:t xml:space="preserve"> </w:t>
            </w:r>
          </w:p>
          <w:p w14:paraId="5CF52D3D" w14:textId="77777777" w:rsidR="0010163E" w:rsidRPr="004D2F39" w:rsidRDefault="0010163E" w:rsidP="00EF73AE">
            <w:pPr>
              <w:rPr>
                <w:rFonts w:ascii="Calibri" w:eastAsia="Times New Roman" w:hAnsi="Calibri" w:cs="Times New Roman"/>
                <w:b/>
                <w:bCs/>
                <w:color w:val="000000"/>
                <w:sz w:val="12"/>
                <w:szCs w:val="12"/>
              </w:rPr>
            </w:pPr>
          </w:p>
          <w:p w14:paraId="1174B5FB" w14:textId="77777777" w:rsidR="001520E0" w:rsidRPr="004D2F39" w:rsidRDefault="001520E0" w:rsidP="00EF73AE">
            <w:pPr>
              <w:rPr>
                <w:rFonts w:ascii="Calibri" w:eastAsia="Times New Roman" w:hAnsi="Calibri" w:cs="Times New Roman"/>
                <w:color w:val="000000"/>
              </w:rPr>
            </w:pPr>
            <w:r w:rsidRPr="004D2F39">
              <w:rPr>
                <w:rFonts w:ascii="Calibri" w:eastAsia="Times New Roman" w:hAnsi="Calibri" w:cs="Times New Roman"/>
                <w:b/>
                <w:color w:val="000000"/>
              </w:rPr>
              <w:t>Recommendations</w:t>
            </w:r>
            <w:r w:rsidRPr="004D2F39">
              <w:rPr>
                <w:rFonts w:ascii="Calibri" w:eastAsia="Times New Roman" w:hAnsi="Calibri" w:cs="Times New Roman"/>
                <w:color w:val="000000"/>
              </w:rPr>
              <w:t xml:space="preserve">: Practitioners should consider the following for fluid management of patients at risk for TACO: Utilization of slower infusion rates and “split units”; minimization of crystalloid intravenous fluids in the pre-transfusion period, use of diuretic medications if not contraindicated, and promotion of a single-unit PRBC strategy rather than multiple-unit PRBC transfusions. </w:t>
            </w:r>
            <w:r w:rsidRPr="004D2F39">
              <w:rPr>
                <w:rFonts w:ascii="Calibri" w:eastAsia="Times New Roman" w:hAnsi="Calibri" w:cs="Times New Roman"/>
                <w:i/>
                <w:color w:val="000000"/>
              </w:rPr>
              <w:t>As always, report any unusual or unexpected response to blood product transfusion to your Blood Bank</w:t>
            </w:r>
            <w:r w:rsidRPr="004D2F39">
              <w:rPr>
                <w:rFonts w:ascii="Calibri" w:eastAsia="Times New Roman" w:hAnsi="Calibri" w:cs="Times New Roman"/>
                <w:color w:val="000000"/>
              </w:rPr>
              <w:t>.</w:t>
            </w:r>
          </w:p>
        </w:tc>
      </w:tr>
    </w:tbl>
    <w:p w14:paraId="1D8D1CC4" w14:textId="337A0098" w:rsidR="001520E0" w:rsidRDefault="001520E0" w:rsidP="001520E0"/>
    <w:p w14:paraId="6A75A15B" w14:textId="59EA5821" w:rsidR="001520E0" w:rsidRDefault="00070D62" w:rsidP="00070D62">
      <w:pPr>
        <w:jc w:val="center"/>
        <w:rPr>
          <w:b/>
          <w:sz w:val="20"/>
          <w:szCs w:val="24"/>
        </w:rPr>
      </w:pPr>
      <w:r w:rsidRPr="00CF7893">
        <w:rPr>
          <w:b/>
          <w:sz w:val="24"/>
          <w:szCs w:val="24"/>
        </w:rPr>
        <w:t>Surveillance Knowledge Check: NHSN</w:t>
      </w:r>
      <w:r>
        <w:rPr>
          <w:b/>
          <w:sz w:val="24"/>
          <w:szCs w:val="24"/>
        </w:rPr>
        <w:t xml:space="preserve"> TACO </w:t>
      </w:r>
      <w:r w:rsidRPr="00786DFD">
        <w:rPr>
          <w:b/>
          <w:sz w:val="24"/>
          <w:szCs w:val="24"/>
        </w:rPr>
        <w:t>Classification Criteria Tables</w:t>
      </w:r>
      <w:r w:rsidRPr="00DC7FED">
        <w:rPr>
          <w:b/>
          <w:sz w:val="20"/>
          <w:szCs w:val="24"/>
        </w:rPr>
        <w:t>*</w:t>
      </w:r>
    </w:p>
    <w:tbl>
      <w:tblPr>
        <w:tblStyle w:val="TableGrid"/>
        <w:tblW w:w="0" w:type="auto"/>
        <w:tblLook w:val="04A0" w:firstRow="1" w:lastRow="0" w:firstColumn="1" w:lastColumn="0" w:noHBand="0" w:noVBand="1"/>
      </w:tblPr>
      <w:tblGrid>
        <w:gridCol w:w="1336"/>
        <w:gridCol w:w="4689"/>
        <w:gridCol w:w="2520"/>
        <w:gridCol w:w="2245"/>
      </w:tblGrid>
      <w:tr w:rsidR="00070D62" w14:paraId="1BFBBE5A" w14:textId="77777777" w:rsidTr="00070D62">
        <w:tc>
          <w:tcPr>
            <w:tcW w:w="1336" w:type="dxa"/>
            <w:vAlign w:val="center"/>
          </w:tcPr>
          <w:p w14:paraId="7FC04E57" w14:textId="77777777" w:rsidR="00070D62" w:rsidRDefault="00070D62" w:rsidP="00070D62">
            <w:pPr>
              <w:jc w:val="center"/>
            </w:pPr>
          </w:p>
        </w:tc>
        <w:tc>
          <w:tcPr>
            <w:tcW w:w="4689" w:type="dxa"/>
            <w:vAlign w:val="center"/>
          </w:tcPr>
          <w:p w14:paraId="0F8A5266" w14:textId="08FA2BE8" w:rsidR="00070D62" w:rsidRPr="00070D62" w:rsidRDefault="00070D62" w:rsidP="00070D62">
            <w:pPr>
              <w:jc w:val="center"/>
            </w:pPr>
            <w:r w:rsidRPr="00070D62">
              <w:rPr>
                <w:b/>
              </w:rPr>
              <w:t>Definitive</w:t>
            </w:r>
          </w:p>
        </w:tc>
        <w:tc>
          <w:tcPr>
            <w:tcW w:w="2520" w:type="dxa"/>
            <w:vAlign w:val="center"/>
          </w:tcPr>
          <w:p w14:paraId="4887D105" w14:textId="007316B0" w:rsidR="00070D62" w:rsidRPr="00070D62" w:rsidRDefault="00070D62" w:rsidP="00070D62">
            <w:pPr>
              <w:jc w:val="center"/>
            </w:pPr>
            <w:r w:rsidRPr="00070D62">
              <w:rPr>
                <w:b/>
              </w:rPr>
              <w:t>Probable</w:t>
            </w:r>
          </w:p>
        </w:tc>
        <w:tc>
          <w:tcPr>
            <w:tcW w:w="2245" w:type="dxa"/>
            <w:vAlign w:val="center"/>
          </w:tcPr>
          <w:p w14:paraId="1D6A8EFA" w14:textId="5A3A0247" w:rsidR="00070D62" w:rsidRPr="00070D62" w:rsidRDefault="00070D62" w:rsidP="00070D62">
            <w:pPr>
              <w:jc w:val="center"/>
            </w:pPr>
            <w:r w:rsidRPr="00070D62">
              <w:rPr>
                <w:b/>
              </w:rPr>
              <w:t>Possible</w:t>
            </w:r>
          </w:p>
        </w:tc>
      </w:tr>
      <w:tr w:rsidR="00070D62" w14:paraId="4BEFBF8A" w14:textId="77777777" w:rsidTr="00070D62">
        <w:tc>
          <w:tcPr>
            <w:tcW w:w="1336" w:type="dxa"/>
            <w:vAlign w:val="center"/>
          </w:tcPr>
          <w:p w14:paraId="23C238A5" w14:textId="27E1BE5D" w:rsidR="00070D62" w:rsidRPr="00070D62" w:rsidRDefault="00070D62" w:rsidP="00070D62">
            <w:pPr>
              <w:jc w:val="center"/>
              <w:rPr>
                <w:b/>
                <w:bCs/>
              </w:rPr>
            </w:pPr>
            <w:r w:rsidRPr="00070D62">
              <w:rPr>
                <w:b/>
                <w:bCs/>
              </w:rPr>
              <w:t xml:space="preserve">Case Definition </w:t>
            </w:r>
          </w:p>
        </w:tc>
        <w:tc>
          <w:tcPr>
            <w:tcW w:w="4689" w:type="dxa"/>
            <w:vAlign w:val="center"/>
          </w:tcPr>
          <w:p w14:paraId="199D90C1" w14:textId="77777777" w:rsidR="00070D62" w:rsidRPr="004D2F39" w:rsidRDefault="00070D62" w:rsidP="00070D62">
            <w:pPr>
              <w:ind w:right="162" w:hanging="18"/>
              <w:rPr>
                <w:b/>
                <w:bCs/>
                <w:sz w:val="20"/>
                <w:szCs w:val="20"/>
              </w:rPr>
            </w:pPr>
            <w:r w:rsidRPr="004D2F39">
              <w:rPr>
                <w:sz w:val="20"/>
                <w:szCs w:val="20"/>
              </w:rPr>
              <w:t xml:space="preserve">New onset or exacerbation of 3 or more of the following within 12 hours of cessation of transfusion: </w:t>
            </w:r>
            <w:r w:rsidRPr="004D2F39">
              <w:rPr>
                <w:b/>
                <w:bCs/>
                <w:sz w:val="20"/>
                <w:szCs w:val="20"/>
              </w:rPr>
              <w:t>(At least 1 of the following:)</w:t>
            </w:r>
          </w:p>
          <w:p w14:paraId="4CC6F462" w14:textId="77777777" w:rsidR="00070D62" w:rsidRPr="004D2F39" w:rsidRDefault="00070D62" w:rsidP="00070D62">
            <w:pPr>
              <w:pStyle w:val="ListParagraph"/>
              <w:numPr>
                <w:ilvl w:val="0"/>
                <w:numId w:val="1"/>
              </w:numPr>
              <w:ind w:left="252" w:right="162" w:hanging="252"/>
              <w:rPr>
                <w:sz w:val="20"/>
                <w:szCs w:val="20"/>
              </w:rPr>
            </w:pPr>
            <w:r w:rsidRPr="004D2F39">
              <w:rPr>
                <w:sz w:val="20"/>
                <w:szCs w:val="20"/>
              </w:rPr>
              <w:t xml:space="preserve">Evidence of acute or worsening respiratory distress (dyspnea, tachypnoea, </w:t>
            </w:r>
            <w:proofErr w:type="gramStart"/>
            <w:r w:rsidRPr="004D2F39">
              <w:rPr>
                <w:sz w:val="20"/>
                <w:szCs w:val="20"/>
              </w:rPr>
              <w:t>cyanosis</w:t>
            </w:r>
            <w:proofErr w:type="gramEnd"/>
            <w:r w:rsidRPr="004D2F39">
              <w:rPr>
                <w:sz w:val="20"/>
                <w:szCs w:val="20"/>
              </w:rPr>
              <w:t xml:space="preserve"> and decreased oxygen saturation values in the absence of other specific causes) </w:t>
            </w:r>
            <w:r w:rsidRPr="004D2F39">
              <w:rPr>
                <w:b/>
                <w:bCs/>
                <w:sz w:val="20"/>
                <w:szCs w:val="20"/>
              </w:rPr>
              <w:t>and/or</w:t>
            </w:r>
          </w:p>
          <w:p w14:paraId="079A3D41" w14:textId="77777777" w:rsidR="00070D62" w:rsidRPr="004D2F39" w:rsidRDefault="00070D62" w:rsidP="00070D62">
            <w:pPr>
              <w:pStyle w:val="ListParagraph"/>
              <w:numPr>
                <w:ilvl w:val="0"/>
                <w:numId w:val="1"/>
              </w:numPr>
              <w:ind w:left="252" w:right="162" w:hanging="252"/>
              <w:rPr>
                <w:sz w:val="20"/>
                <w:szCs w:val="20"/>
              </w:rPr>
            </w:pPr>
            <w:r w:rsidRPr="004D2F39">
              <w:rPr>
                <w:sz w:val="20"/>
                <w:szCs w:val="20"/>
              </w:rPr>
              <w:t>Radiographic or clinical evidence of acute or worsening pulmonary edema (crackles on lung auscultation, orthopnea, cough, a third heart sound and pinkish frothy sputum in severe cases); or</w:t>
            </w:r>
            <w:r w:rsidRPr="004D2F39">
              <w:rPr>
                <w:b/>
                <w:bCs/>
                <w:sz w:val="20"/>
                <w:szCs w:val="20"/>
              </w:rPr>
              <w:t xml:space="preserve"> both AND</w:t>
            </w:r>
          </w:p>
          <w:p w14:paraId="432C9E6F" w14:textId="77777777" w:rsidR="00070D62" w:rsidRPr="004D2F39" w:rsidRDefault="00070D62" w:rsidP="00070D62">
            <w:pPr>
              <w:pStyle w:val="ListParagraph"/>
              <w:numPr>
                <w:ilvl w:val="0"/>
                <w:numId w:val="1"/>
              </w:numPr>
              <w:ind w:left="252" w:right="162" w:hanging="252"/>
              <w:rPr>
                <w:sz w:val="20"/>
                <w:szCs w:val="20"/>
              </w:rPr>
            </w:pPr>
            <w:r w:rsidRPr="004D2F39">
              <w:rPr>
                <w:sz w:val="20"/>
                <w:szCs w:val="20"/>
              </w:rPr>
              <w:t>Elevated brain natriuretic peptide (BNP) or NT-pro BNP relevant biomarker</w:t>
            </w:r>
          </w:p>
          <w:p w14:paraId="21C6EE87" w14:textId="77777777" w:rsidR="00070D62" w:rsidRPr="004D2F39" w:rsidRDefault="00070D62" w:rsidP="00070D62">
            <w:pPr>
              <w:pStyle w:val="ListParagraph"/>
              <w:numPr>
                <w:ilvl w:val="0"/>
                <w:numId w:val="1"/>
              </w:numPr>
              <w:ind w:left="252" w:right="162" w:hanging="252"/>
              <w:rPr>
                <w:sz w:val="20"/>
                <w:szCs w:val="20"/>
              </w:rPr>
            </w:pPr>
            <w:r w:rsidRPr="004D2F39">
              <w:rPr>
                <w:sz w:val="20"/>
                <w:szCs w:val="20"/>
              </w:rPr>
              <w:t xml:space="preserve">Evidence of cardiovascular system changes not explained by underlying medical condition (Elevated central venous pressure, evidence of </w:t>
            </w:r>
            <w:r w:rsidRPr="004D2F39">
              <w:rPr>
                <w:sz w:val="20"/>
                <w:szCs w:val="20"/>
              </w:rPr>
              <w:lastRenderedPageBreak/>
              <w:t>left heart failure including development of tachycardia, hypertension, widened pulse pressure, jugular venous distension, enlarged cardiac silhouette and/or peripheral edema)</w:t>
            </w:r>
          </w:p>
          <w:p w14:paraId="6D03E363" w14:textId="67B98197" w:rsidR="00070D62" w:rsidRDefault="00070D62" w:rsidP="00E90268">
            <w:pPr>
              <w:pStyle w:val="ListParagraph"/>
              <w:numPr>
                <w:ilvl w:val="0"/>
                <w:numId w:val="1"/>
              </w:numPr>
              <w:ind w:left="346"/>
            </w:pPr>
            <w:r w:rsidRPr="00E90268">
              <w:rPr>
                <w:sz w:val="20"/>
                <w:szCs w:val="20"/>
              </w:rPr>
              <w:t>Evidence of fluid overload</w:t>
            </w:r>
          </w:p>
        </w:tc>
        <w:tc>
          <w:tcPr>
            <w:tcW w:w="2520" w:type="dxa"/>
            <w:vAlign w:val="center"/>
          </w:tcPr>
          <w:p w14:paraId="493737D0" w14:textId="2AA831DF" w:rsidR="00070D62" w:rsidRDefault="00070D62" w:rsidP="00070D62">
            <w:pPr>
              <w:jc w:val="center"/>
            </w:pPr>
            <w:r>
              <w:lastRenderedPageBreak/>
              <w:t>N/A</w:t>
            </w:r>
          </w:p>
        </w:tc>
        <w:tc>
          <w:tcPr>
            <w:tcW w:w="2245" w:type="dxa"/>
            <w:vAlign w:val="center"/>
          </w:tcPr>
          <w:p w14:paraId="6665014C" w14:textId="6CA83C29" w:rsidR="00070D62" w:rsidRDefault="00070D62" w:rsidP="00070D62">
            <w:pPr>
              <w:jc w:val="center"/>
            </w:pPr>
            <w:r>
              <w:t>N/A</w:t>
            </w:r>
          </w:p>
        </w:tc>
      </w:tr>
      <w:tr w:rsidR="00070D62" w14:paraId="4A7FC428" w14:textId="77777777" w:rsidTr="00070D62">
        <w:tc>
          <w:tcPr>
            <w:tcW w:w="1336" w:type="dxa"/>
            <w:vAlign w:val="center"/>
          </w:tcPr>
          <w:p w14:paraId="4793DF6F" w14:textId="64BE76B7" w:rsidR="00070D62" w:rsidRPr="00070D62" w:rsidRDefault="00070D62" w:rsidP="00070D62">
            <w:pPr>
              <w:jc w:val="center"/>
              <w:rPr>
                <w:b/>
                <w:bCs/>
              </w:rPr>
            </w:pPr>
            <w:r w:rsidRPr="00070D62">
              <w:rPr>
                <w:b/>
                <w:bCs/>
              </w:rPr>
              <w:t>Imputability</w:t>
            </w:r>
          </w:p>
        </w:tc>
        <w:tc>
          <w:tcPr>
            <w:tcW w:w="4689" w:type="dxa"/>
            <w:vAlign w:val="center"/>
          </w:tcPr>
          <w:p w14:paraId="0EEF780C" w14:textId="39DC080B" w:rsidR="00070D62" w:rsidRDefault="00070D62" w:rsidP="00070D62">
            <w:pPr>
              <w:tabs>
                <w:tab w:val="left" w:pos="2790"/>
              </w:tabs>
              <w:jc w:val="center"/>
            </w:pPr>
            <w:r w:rsidRPr="00070D62">
              <w:rPr>
                <w:sz w:val="20"/>
                <w:szCs w:val="20"/>
              </w:rPr>
              <w:t>No other explanations for circulatory overload are possible.</w:t>
            </w:r>
          </w:p>
        </w:tc>
        <w:tc>
          <w:tcPr>
            <w:tcW w:w="2520" w:type="dxa"/>
          </w:tcPr>
          <w:p w14:paraId="0B524D86" w14:textId="77777777" w:rsidR="00070D62" w:rsidRPr="004D2F39" w:rsidRDefault="00070D62" w:rsidP="00070D62">
            <w:pPr>
              <w:ind w:right="162" w:hanging="18"/>
              <w:rPr>
                <w:sz w:val="20"/>
                <w:szCs w:val="20"/>
              </w:rPr>
            </w:pPr>
            <w:r w:rsidRPr="004D2F39">
              <w:rPr>
                <w:sz w:val="20"/>
                <w:szCs w:val="20"/>
              </w:rPr>
              <w:t>Transfusion is a likely contributor to circulatory overload</w:t>
            </w:r>
          </w:p>
          <w:p w14:paraId="6F74BAB6" w14:textId="77777777" w:rsidR="00070D62" w:rsidRPr="004D2F39" w:rsidRDefault="00070D62" w:rsidP="00070D62">
            <w:pPr>
              <w:ind w:left="180" w:right="162"/>
              <w:jc w:val="center"/>
              <w:rPr>
                <w:b/>
                <w:bCs/>
                <w:iCs/>
                <w:sz w:val="20"/>
                <w:szCs w:val="20"/>
              </w:rPr>
            </w:pPr>
            <w:r w:rsidRPr="004D2F39">
              <w:rPr>
                <w:b/>
                <w:bCs/>
                <w:iCs/>
                <w:sz w:val="20"/>
                <w:szCs w:val="20"/>
              </w:rPr>
              <w:t>AND EITHER</w:t>
            </w:r>
          </w:p>
          <w:p w14:paraId="6C2BB853" w14:textId="77777777" w:rsidR="00070D62" w:rsidRPr="004D2F39" w:rsidRDefault="00070D62" w:rsidP="00070D62">
            <w:pPr>
              <w:pStyle w:val="ListParagraph"/>
              <w:numPr>
                <w:ilvl w:val="0"/>
                <w:numId w:val="2"/>
              </w:numPr>
              <w:ind w:left="252" w:right="162" w:hanging="252"/>
              <w:rPr>
                <w:sz w:val="20"/>
                <w:szCs w:val="20"/>
              </w:rPr>
            </w:pPr>
            <w:r w:rsidRPr="004D2F39">
              <w:rPr>
                <w:sz w:val="20"/>
                <w:szCs w:val="20"/>
              </w:rPr>
              <w:t>The patient received other fluids as well</w:t>
            </w:r>
          </w:p>
          <w:p w14:paraId="644B2AAE" w14:textId="77777777" w:rsidR="00070D62" w:rsidRPr="004D2F39" w:rsidRDefault="00070D62" w:rsidP="00070D62">
            <w:pPr>
              <w:ind w:left="180" w:right="162"/>
              <w:jc w:val="center"/>
              <w:rPr>
                <w:b/>
                <w:bCs/>
                <w:iCs/>
                <w:sz w:val="20"/>
                <w:szCs w:val="20"/>
              </w:rPr>
            </w:pPr>
            <w:r w:rsidRPr="004D2F39">
              <w:rPr>
                <w:b/>
                <w:bCs/>
                <w:iCs/>
                <w:sz w:val="20"/>
                <w:szCs w:val="20"/>
              </w:rPr>
              <w:t>OR</w:t>
            </w:r>
          </w:p>
          <w:p w14:paraId="13DD2C38" w14:textId="32B15005" w:rsidR="00070D62" w:rsidRDefault="00070D62" w:rsidP="00070D62">
            <w:pPr>
              <w:jc w:val="center"/>
            </w:pPr>
            <w:r w:rsidRPr="004D2F39">
              <w:rPr>
                <w:sz w:val="20"/>
                <w:szCs w:val="20"/>
              </w:rPr>
              <w:t>The patient has a history of cardiac insufficiency that could explain the circulatory overload, but transfusion is just as likely to have caused the circulatory overload.</w:t>
            </w:r>
          </w:p>
        </w:tc>
        <w:tc>
          <w:tcPr>
            <w:tcW w:w="2245" w:type="dxa"/>
            <w:vAlign w:val="center"/>
          </w:tcPr>
          <w:p w14:paraId="6EE9907A" w14:textId="61B8CCB0" w:rsidR="00070D62" w:rsidRDefault="00070D62" w:rsidP="00070D62">
            <w:pPr>
              <w:jc w:val="center"/>
            </w:pPr>
            <w:r w:rsidRPr="004D2F39">
              <w:rPr>
                <w:sz w:val="20"/>
                <w:szCs w:val="20"/>
              </w:rPr>
              <w:t>The patient has a history of preexisting cardiac insufficiency that most likely explains circulatory overload.</w:t>
            </w:r>
          </w:p>
          <w:p w14:paraId="0B5C66FC" w14:textId="77777777" w:rsidR="00070D62" w:rsidRPr="00070D62" w:rsidRDefault="00070D62" w:rsidP="00070D62">
            <w:pPr>
              <w:jc w:val="center"/>
            </w:pPr>
          </w:p>
          <w:p w14:paraId="36C1AA89" w14:textId="77777777" w:rsidR="00070D62" w:rsidRDefault="00070D62" w:rsidP="00070D62">
            <w:pPr>
              <w:jc w:val="center"/>
            </w:pPr>
          </w:p>
          <w:p w14:paraId="35B451F4" w14:textId="77777777" w:rsidR="00070D62" w:rsidRDefault="00070D62" w:rsidP="00070D62">
            <w:pPr>
              <w:jc w:val="center"/>
            </w:pPr>
          </w:p>
          <w:p w14:paraId="26F61B3D" w14:textId="3EB80C15" w:rsidR="00070D62" w:rsidRPr="00070D62" w:rsidRDefault="00070D62" w:rsidP="00070D62">
            <w:pPr>
              <w:jc w:val="center"/>
            </w:pPr>
          </w:p>
        </w:tc>
      </w:tr>
    </w:tbl>
    <w:p w14:paraId="0E43CAA6" w14:textId="56EA3EE3" w:rsidR="00070D62" w:rsidRDefault="00070D62" w:rsidP="00070D62">
      <w:r w:rsidRPr="00070D62">
        <w:t xml:space="preserve">*These surveillance case definitions can be found on page 9 of the </w:t>
      </w:r>
      <w:r>
        <w:t>February</w:t>
      </w:r>
      <w:r w:rsidRPr="00070D62">
        <w:t xml:space="preserve"> 202</w:t>
      </w:r>
      <w:r>
        <w:t>3</w:t>
      </w:r>
      <w:r w:rsidRPr="00070D62">
        <w:t xml:space="preserve"> National Healthcare Safety Network Biovigilance Component Hemovigilance Module Surveillance Protocol and are not intended for clinical decision-making.</w:t>
      </w:r>
    </w:p>
    <w:p w14:paraId="020FC537" w14:textId="77777777" w:rsidR="00070D62" w:rsidRDefault="00070D62" w:rsidP="00070D62">
      <w:r>
        <w:t>Resources:</w:t>
      </w:r>
    </w:p>
    <w:p w14:paraId="320D70A0" w14:textId="7DD45AE3" w:rsidR="00070D62" w:rsidRDefault="00070D62" w:rsidP="00070D62">
      <w:r>
        <w:t xml:space="preserve">NHSN Hemovigilance Module Surveillance Protocol: </w:t>
      </w:r>
      <w:hyperlink r:id="rId11" w:history="1">
        <w:r w:rsidRPr="002738BD">
          <w:rPr>
            <w:rStyle w:val="Hyperlink"/>
          </w:rPr>
          <w:t>https://www.cdc.gov/nhsn/pdfs/biovigilance/bv-hv-protocol-current.pdf</w:t>
        </w:r>
      </w:hyperlink>
    </w:p>
    <w:p w14:paraId="2ECC33FC" w14:textId="6A0C08D1" w:rsidR="00070D62" w:rsidRDefault="00070D62" w:rsidP="00070D62">
      <w:r>
        <w:t xml:space="preserve">MDPH Hemovigilance Data:  </w:t>
      </w:r>
      <w:hyperlink r:id="rId12" w:history="1">
        <w:r w:rsidRPr="002738BD">
          <w:rPr>
            <w:rStyle w:val="Hyperlink"/>
          </w:rPr>
          <w:t>https://www.mass.gov/service-details/reporting-requirements-for-blood-banks-and-hemovigilance-in-massachusetts</w:t>
        </w:r>
      </w:hyperlink>
    </w:p>
    <w:p w14:paraId="1465E40E" w14:textId="7EC684FB" w:rsidR="00070D62" w:rsidRDefault="00520F3B" w:rsidP="00070D62">
      <w:r w:rsidRPr="00520F3B">
        <w:t>1. Wiersum-</w:t>
      </w:r>
      <w:proofErr w:type="spellStart"/>
      <w:r w:rsidRPr="00520F3B">
        <w:t>Osselton</w:t>
      </w:r>
      <w:proofErr w:type="spellEnd"/>
      <w:r w:rsidRPr="00520F3B">
        <w:t xml:space="preserve"> JC et al. Revised international surveillance case definition of transfusion-associated circulatory overload: a classification agreement validation study. Lancet </w:t>
      </w:r>
      <w:proofErr w:type="spellStart"/>
      <w:r w:rsidRPr="00520F3B">
        <w:t>Haematol</w:t>
      </w:r>
      <w:proofErr w:type="spellEnd"/>
      <w:r w:rsidRPr="00520F3B">
        <w:t>. 2019 Jul;6(7</w:t>
      </w:r>
      <w:proofErr w:type="gramStart"/>
      <w:r w:rsidRPr="00520F3B">
        <w:t>):e</w:t>
      </w:r>
      <w:proofErr w:type="gramEnd"/>
      <w:r w:rsidRPr="00520F3B">
        <w:t xml:space="preserve">350-e358. </w:t>
      </w:r>
      <w:proofErr w:type="spellStart"/>
      <w:r w:rsidRPr="00520F3B">
        <w:t>doi</w:t>
      </w:r>
      <w:proofErr w:type="spellEnd"/>
      <w:r w:rsidRPr="00520F3B">
        <w:t xml:space="preserve">: 10.1016/S2352-3026(19)30080-8. </w:t>
      </w:r>
      <w:proofErr w:type="spellStart"/>
      <w:r w:rsidRPr="00520F3B">
        <w:t>Epub</w:t>
      </w:r>
      <w:proofErr w:type="spellEnd"/>
      <w:r w:rsidRPr="00520F3B">
        <w:t xml:space="preserve"> 2019 May 9. PMID: 31080132.</w:t>
      </w:r>
    </w:p>
    <w:sectPr w:rsidR="00070D62" w:rsidSect="007A6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3BEC"/>
    <w:multiLevelType w:val="hybridMultilevel"/>
    <w:tmpl w:val="69FA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A0B63"/>
    <w:multiLevelType w:val="hybridMultilevel"/>
    <w:tmpl w:val="49A4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1B"/>
    <w:rsid w:val="0001540C"/>
    <w:rsid w:val="00070D62"/>
    <w:rsid w:val="0010163E"/>
    <w:rsid w:val="00120DD1"/>
    <w:rsid w:val="001520E0"/>
    <w:rsid w:val="00172336"/>
    <w:rsid w:val="001C416B"/>
    <w:rsid w:val="001E27A9"/>
    <w:rsid w:val="00215926"/>
    <w:rsid w:val="0028277D"/>
    <w:rsid w:val="002C4AC5"/>
    <w:rsid w:val="003B6C19"/>
    <w:rsid w:val="003E73B2"/>
    <w:rsid w:val="00520F3B"/>
    <w:rsid w:val="006E3764"/>
    <w:rsid w:val="00722B7B"/>
    <w:rsid w:val="00725AF0"/>
    <w:rsid w:val="007771C5"/>
    <w:rsid w:val="007A661B"/>
    <w:rsid w:val="007F6CF7"/>
    <w:rsid w:val="0086335C"/>
    <w:rsid w:val="00923D38"/>
    <w:rsid w:val="00945AB4"/>
    <w:rsid w:val="009755F8"/>
    <w:rsid w:val="00AD2AB8"/>
    <w:rsid w:val="00DF685E"/>
    <w:rsid w:val="00E90268"/>
    <w:rsid w:val="00EA769B"/>
    <w:rsid w:val="00F84DBE"/>
    <w:rsid w:val="00FE1EAF"/>
    <w:rsid w:val="03B3F37A"/>
    <w:rsid w:val="098AF1C7"/>
    <w:rsid w:val="0B23230C"/>
    <w:rsid w:val="0C2D49AE"/>
    <w:rsid w:val="0E768055"/>
    <w:rsid w:val="161B950B"/>
    <w:rsid w:val="1709A58C"/>
    <w:rsid w:val="172D9AA5"/>
    <w:rsid w:val="1FEC826B"/>
    <w:rsid w:val="22D6C500"/>
    <w:rsid w:val="23CB69CA"/>
    <w:rsid w:val="25063537"/>
    <w:rsid w:val="27DCC185"/>
    <w:rsid w:val="29C08990"/>
    <w:rsid w:val="2CF60CD8"/>
    <w:rsid w:val="314455D6"/>
    <w:rsid w:val="333D1693"/>
    <w:rsid w:val="3BEB262A"/>
    <w:rsid w:val="432ADDBE"/>
    <w:rsid w:val="476575B5"/>
    <w:rsid w:val="575EDAB5"/>
    <w:rsid w:val="5EBF7985"/>
    <w:rsid w:val="5FA93A0C"/>
    <w:rsid w:val="69990872"/>
    <w:rsid w:val="7642CA34"/>
    <w:rsid w:val="764E65CE"/>
    <w:rsid w:val="7657170D"/>
    <w:rsid w:val="7682E159"/>
    <w:rsid w:val="7FA8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21EA"/>
  <w15:chartTrackingRefBased/>
  <w15:docId w15:val="{21082106-FC7F-4613-A3A6-A35EC8D8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D62"/>
    <w:pPr>
      <w:spacing w:after="0" w:line="240" w:lineRule="auto"/>
      <w:ind w:left="720"/>
      <w:contextualSpacing/>
    </w:pPr>
  </w:style>
  <w:style w:type="character" w:styleId="Hyperlink">
    <w:name w:val="Hyperlink"/>
    <w:basedOn w:val="DefaultParagraphFont"/>
    <w:uiPriority w:val="99"/>
    <w:unhideWhenUsed/>
    <w:rsid w:val="00070D62"/>
    <w:rPr>
      <w:color w:val="0563C1" w:themeColor="hyperlink"/>
      <w:u w:val="single"/>
    </w:rPr>
  </w:style>
  <w:style w:type="character" w:styleId="UnresolvedMention">
    <w:name w:val="Unresolved Mention"/>
    <w:basedOn w:val="DefaultParagraphFont"/>
    <w:uiPriority w:val="99"/>
    <w:semiHidden/>
    <w:unhideWhenUsed/>
    <w:rsid w:val="00070D62"/>
    <w:rPr>
      <w:color w:val="605E5C"/>
      <w:shd w:val="clear" w:color="auto" w:fill="E1DFDD"/>
    </w:rPr>
  </w:style>
  <w:style w:type="character" w:styleId="FollowedHyperlink">
    <w:name w:val="FollowedHyperlink"/>
    <w:basedOn w:val="DefaultParagraphFont"/>
    <w:uiPriority w:val="99"/>
    <w:semiHidden/>
    <w:unhideWhenUsed/>
    <w:rsid w:val="00070D6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13157">
      <w:bodyDiv w:val="1"/>
      <w:marLeft w:val="0"/>
      <w:marRight w:val="0"/>
      <w:marTop w:val="0"/>
      <w:marBottom w:val="0"/>
      <w:divBdr>
        <w:top w:val="none" w:sz="0" w:space="0" w:color="auto"/>
        <w:left w:val="none" w:sz="0" w:space="0" w:color="auto"/>
        <w:bottom w:val="none" w:sz="0" w:space="0" w:color="auto"/>
        <w:right w:val="none" w:sz="0" w:space="0" w:color="auto"/>
      </w:divBdr>
    </w:div>
    <w:div w:id="1422289209">
      <w:bodyDiv w:val="1"/>
      <w:marLeft w:val="0"/>
      <w:marRight w:val="0"/>
      <w:marTop w:val="0"/>
      <w:marBottom w:val="0"/>
      <w:divBdr>
        <w:top w:val="none" w:sz="0" w:space="0" w:color="auto"/>
        <w:left w:val="none" w:sz="0" w:space="0" w:color="auto"/>
        <w:bottom w:val="none" w:sz="0" w:space="0" w:color="auto"/>
        <w:right w:val="none" w:sz="0" w:space="0" w:color="auto"/>
      </w:divBdr>
    </w:div>
    <w:div w:id="1435244517">
      <w:bodyDiv w:val="1"/>
      <w:marLeft w:val="0"/>
      <w:marRight w:val="0"/>
      <w:marTop w:val="0"/>
      <w:marBottom w:val="0"/>
      <w:divBdr>
        <w:top w:val="none" w:sz="0" w:space="0" w:color="auto"/>
        <w:left w:val="none" w:sz="0" w:space="0" w:color="auto"/>
        <w:bottom w:val="none" w:sz="0" w:space="0" w:color="auto"/>
        <w:right w:val="none" w:sz="0" w:space="0" w:color="auto"/>
      </w:divBdr>
      <w:divsChild>
        <w:div w:id="1360204738">
          <w:marLeft w:val="0"/>
          <w:marRight w:val="0"/>
          <w:marTop w:val="0"/>
          <w:marBottom w:val="0"/>
          <w:divBdr>
            <w:top w:val="none" w:sz="0" w:space="0" w:color="auto"/>
            <w:left w:val="none" w:sz="0" w:space="0" w:color="auto"/>
            <w:bottom w:val="none" w:sz="0" w:space="0" w:color="auto"/>
            <w:right w:val="none" w:sz="0" w:space="0" w:color="auto"/>
          </w:divBdr>
        </w:div>
        <w:div w:id="1470391846">
          <w:marLeft w:val="0"/>
          <w:marRight w:val="0"/>
          <w:marTop w:val="0"/>
          <w:marBottom w:val="0"/>
          <w:divBdr>
            <w:top w:val="none" w:sz="0" w:space="0" w:color="auto"/>
            <w:left w:val="none" w:sz="0" w:space="0" w:color="auto"/>
            <w:bottom w:val="none" w:sz="0" w:space="0" w:color="auto"/>
            <w:right w:val="none" w:sz="0" w:space="0" w:color="auto"/>
          </w:divBdr>
        </w:div>
      </w:divsChild>
    </w:div>
    <w:div w:id="15515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www.mass.gov/service-details/reporting-requirements-for-blood-banks-and-hemovigilance-in-massachuset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dc.gov/nhsn/pdfs/biovigilance/bv-hv-protocol-current.pdf" TargetMode="Externa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46.243.109.8\Shared\Confidential-Health-Information\ID-EPI-Vectorborne\Zoonoses\Hemovigilance\One-Pagers\TACO%20(2017-2020)\TACO_onepager_graphs_23AUG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146.243.109.8\Shared\Confidential-Health-Information\ID-EPI-Vectorborne\Zoonoses\Hemovigilance\One-Pagers\TACO%20(2017-2020)\TACO_onepager_graphs_23AUG202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146.243.109.8\Shared\Confidential-Health-Information\ID-EPI-Vectorborne\Zoonoses\Hemovigilance\One-Pagers\TACO%20(2017-2020)\TACO_onepager_graphs_23AUG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146.243.109.8\Shared\Confidential-Health-Information\ID-EPI-Vectorborne\Zoonoses\Hemovigilance\One-Pagers\TACO%20(2017-2020)\TACO_onepager_graphs_23AUG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TACO Events by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548381452318461"/>
          <c:y val="0.1625268176400477"/>
          <c:w val="0.84396062992125986"/>
          <c:h val="0.63574057974614384"/>
        </c:manualLayout>
      </c:layout>
      <c:barChart>
        <c:barDir val="col"/>
        <c:grouping val="clustered"/>
        <c:varyColors val="0"/>
        <c:ser>
          <c:idx val="0"/>
          <c:order val="0"/>
          <c:tx>
            <c:strRef>
              <c:f>Sheet1!$B$14</c:f>
              <c:strCache>
                <c:ptCount val="1"/>
                <c:pt idx="0">
                  <c:v>Frequency</c:v>
                </c:pt>
              </c:strCache>
            </c:strRef>
          </c:tx>
          <c:spPr>
            <a:solidFill>
              <a:srgbClr val="002060"/>
            </a:solidFill>
            <a:ln>
              <a:noFill/>
            </a:ln>
            <a:effectLst/>
          </c:spPr>
          <c:invertIfNegative val="0"/>
          <c:cat>
            <c:strRef>
              <c:f>Sheet1!$A$15:$A$23</c:f>
              <c:strCache>
                <c:ptCount val="9"/>
                <c:pt idx="0">
                  <c:v>≤18</c:v>
                </c:pt>
                <c:pt idx="1">
                  <c:v>19-29</c:v>
                </c:pt>
                <c:pt idx="2">
                  <c:v>30-39</c:v>
                </c:pt>
                <c:pt idx="3">
                  <c:v>40-49</c:v>
                </c:pt>
                <c:pt idx="4">
                  <c:v>50-59</c:v>
                </c:pt>
                <c:pt idx="5">
                  <c:v>60-69</c:v>
                </c:pt>
                <c:pt idx="6">
                  <c:v>70-79</c:v>
                </c:pt>
                <c:pt idx="7">
                  <c:v>80-89</c:v>
                </c:pt>
                <c:pt idx="8">
                  <c:v>≥90</c:v>
                </c:pt>
              </c:strCache>
            </c:strRef>
          </c:cat>
          <c:val>
            <c:numRef>
              <c:f>Sheet1!$B$15:$B$23</c:f>
              <c:numCache>
                <c:formatCode>General</c:formatCode>
                <c:ptCount val="9"/>
                <c:pt idx="0">
                  <c:v>8</c:v>
                </c:pt>
                <c:pt idx="1">
                  <c:v>1</c:v>
                </c:pt>
                <c:pt idx="2">
                  <c:v>9</c:v>
                </c:pt>
                <c:pt idx="3">
                  <c:v>13</c:v>
                </c:pt>
                <c:pt idx="4">
                  <c:v>44</c:v>
                </c:pt>
                <c:pt idx="5">
                  <c:v>73</c:v>
                </c:pt>
                <c:pt idx="6">
                  <c:v>84</c:v>
                </c:pt>
                <c:pt idx="7">
                  <c:v>33</c:v>
                </c:pt>
                <c:pt idx="8">
                  <c:v>12</c:v>
                </c:pt>
              </c:numCache>
            </c:numRef>
          </c:val>
          <c:extLst>
            <c:ext xmlns:c16="http://schemas.microsoft.com/office/drawing/2014/chart" uri="{C3380CC4-5D6E-409C-BE32-E72D297353CC}">
              <c16:uniqueId val="{00000000-CB35-40AE-BB85-8018779F2707}"/>
            </c:ext>
          </c:extLst>
        </c:ser>
        <c:dLbls>
          <c:showLegendKey val="0"/>
          <c:showVal val="0"/>
          <c:showCatName val="0"/>
          <c:showSerName val="0"/>
          <c:showPercent val="0"/>
          <c:showBubbleSize val="0"/>
        </c:dLbls>
        <c:gapWidth val="111"/>
        <c:overlap val="-27"/>
        <c:axId val="658971664"/>
        <c:axId val="658969040"/>
      </c:barChart>
      <c:catAx>
        <c:axId val="6589716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84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8969040"/>
        <c:crosses val="autoZero"/>
        <c:auto val="1"/>
        <c:lblAlgn val="ctr"/>
        <c:lblOffset val="100"/>
        <c:noMultiLvlLbl val="0"/>
      </c:catAx>
      <c:valAx>
        <c:axId val="658969040"/>
        <c:scaling>
          <c:orientation val="minMax"/>
          <c:max val="9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TACO</a:t>
                </a:r>
                <a:r>
                  <a:rPr lang="en-US" baseline="0">
                    <a:solidFill>
                      <a:sysClr val="windowText" lastClr="000000"/>
                    </a:solidFill>
                  </a:rPr>
                  <a:t> Events</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897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1"/>
          <c:tx>
            <c:strRef>
              <c:f>Sheet2!$B$1</c:f>
              <c:strCache>
                <c:ptCount val="1"/>
                <c:pt idx="0">
                  <c:v>Frequency</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BDE-4FBB-846F-BB0F3078BE9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BDE-4FBB-846F-BB0F3078BE9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CBDE-4FBB-846F-BB0F3078BE92}"/>
              </c:ext>
            </c:extLst>
          </c:dPt>
          <c:dLbls>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Sheet2!$A$2:$A$4</c:f>
              <c:strCache>
                <c:ptCount val="3"/>
                <c:pt idx="0">
                  <c:v>BSG 1 (&lt;100 beds)</c:v>
                </c:pt>
                <c:pt idx="1">
                  <c:v>BSG 2 (100-299 beds)</c:v>
                </c:pt>
                <c:pt idx="2">
                  <c:v>BSG 3 (≥300 beds)</c:v>
                </c:pt>
              </c:strCache>
            </c:strRef>
          </c:cat>
          <c:val>
            <c:numRef>
              <c:f>Sheet2!$B$2:$B$4</c:f>
              <c:numCache>
                <c:formatCode>General</c:formatCode>
                <c:ptCount val="3"/>
                <c:pt idx="0">
                  <c:v>24</c:v>
                </c:pt>
                <c:pt idx="1">
                  <c:v>17</c:v>
                </c:pt>
                <c:pt idx="2">
                  <c:v>236</c:v>
                </c:pt>
              </c:numCache>
            </c:numRef>
          </c:val>
          <c:extLst>
            <c:ext xmlns:c16="http://schemas.microsoft.com/office/drawing/2014/chart" uri="{C3380CC4-5D6E-409C-BE32-E72D297353CC}">
              <c16:uniqueId val="{00000006-CBDE-4FBB-846F-BB0F3078BE92}"/>
            </c:ext>
          </c:extLst>
        </c:ser>
        <c:dLbls>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Sheet2!$A$1</c15:sqref>
                        </c15:formulaRef>
                      </c:ext>
                    </c:extLst>
                    <c:strCache>
                      <c:ptCount val="1"/>
                      <c:pt idx="0">
                        <c:v>bsg</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8-CBDE-4FBB-846F-BB0F3078BE9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A-CBDE-4FBB-846F-BB0F3078BE9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C-CBDE-4FBB-846F-BB0F3078BE92}"/>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Sheet2!$A$2:$A$4</c15:sqref>
                        </c15:formulaRef>
                      </c:ext>
                    </c:extLst>
                    <c:strCache>
                      <c:ptCount val="3"/>
                      <c:pt idx="0">
                        <c:v>BSG 1 (&lt;100 beds)</c:v>
                      </c:pt>
                      <c:pt idx="1">
                        <c:v>BSG 2 (100-299 beds)</c:v>
                      </c:pt>
                      <c:pt idx="2">
                        <c:v>BSG 3 (≥300 beds)</c:v>
                      </c:pt>
                    </c:strCache>
                  </c:strRef>
                </c:cat>
                <c:val>
                  <c:numRef>
                    <c:extLst>
                      <c:ext uri="{02D57815-91ED-43cb-92C2-25804820EDAC}">
                        <c15:formulaRef>
                          <c15:sqref>Sheet2!$A$2:$A$4</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D-CBDE-4FBB-846F-BB0F3078BE92}"/>
                  </c:ext>
                </c:extLst>
              </c15:ser>
            </c15:filteredPieSeries>
          </c:ext>
        </c:extLst>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lang="en-US"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Sheet2!$A$17</c:f>
              <c:strCache>
                <c:ptCount val="1"/>
                <c:pt idx="0">
                  <c:v>BSG 1 (&lt;100 beds)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Sheet2!$B$16:$G$16</c:f>
              <c:numCache>
                <c:formatCode>General</c:formatCode>
                <c:ptCount val="6"/>
                <c:pt idx="0">
                  <c:v>2017</c:v>
                </c:pt>
                <c:pt idx="1">
                  <c:v>2018</c:v>
                </c:pt>
                <c:pt idx="2">
                  <c:v>2019</c:v>
                </c:pt>
                <c:pt idx="3">
                  <c:v>2020</c:v>
                </c:pt>
                <c:pt idx="4">
                  <c:v>2021</c:v>
                </c:pt>
                <c:pt idx="5">
                  <c:v>2022</c:v>
                </c:pt>
              </c:numCache>
            </c:numRef>
          </c:cat>
          <c:val>
            <c:numRef>
              <c:f>Sheet2!$B$17:$G$17</c:f>
              <c:numCache>
                <c:formatCode>General</c:formatCode>
                <c:ptCount val="6"/>
                <c:pt idx="0">
                  <c:v>4.3494000000000002</c:v>
                </c:pt>
                <c:pt idx="1">
                  <c:v>5.5121700000000002</c:v>
                </c:pt>
                <c:pt idx="2">
                  <c:v>3.1017399999999999</c:v>
                </c:pt>
                <c:pt idx="3">
                  <c:v>1.13585</c:v>
                </c:pt>
                <c:pt idx="4">
                  <c:v>4.5223300000000002</c:v>
                </c:pt>
                <c:pt idx="5">
                  <c:v>5.0276500000000004</c:v>
                </c:pt>
              </c:numCache>
            </c:numRef>
          </c:val>
          <c:smooth val="0"/>
          <c:extLst>
            <c:ext xmlns:c16="http://schemas.microsoft.com/office/drawing/2014/chart" uri="{C3380CC4-5D6E-409C-BE32-E72D297353CC}">
              <c16:uniqueId val="{00000000-75FA-4FD7-9516-50EC3D38B75B}"/>
            </c:ext>
          </c:extLst>
        </c:ser>
        <c:ser>
          <c:idx val="1"/>
          <c:order val="1"/>
          <c:tx>
            <c:strRef>
              <c:f>Sheet2!$A$18</c:f>
              <c:strCache>
                <c:ptCount val="1"/>
                <c:pt idx="0">
                  <c:v>BSG 2 (100-299 beds)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Sheet2!$B$16:$G$16</c:f>
              <c:numCache>
                <c:formatCode>General</c:formatCode>
                <c:ptCount val="6"/>
                <c:pt idx="0">
                  <c:v>2017</c:v>
                </c:pt>
                <c:pt idx="1">
                  <c:v>2018</c:v>
                </c:pt>
                <c:pt idx="2">
                  <c:v>2019</c:v>
                </c:pt>
                <c:pt idx="3">
                  <c:v>2020</c:v>
                </c:pt>
                <c:pt idx="4">
                  <c:v>2021</c:v>
                </c:pt>
                <c:pt idx="5">
                  <c:v>2022</c:v>
                </c:pt>
              </c:numCache>
            </c:numRef>
          </c:cat>
          <c:val>
            <c:numRef>
              <c:f>Sheet2!$B$18:$G$18</c:f>
              <c:numCache>
                <c:formatCode>General</c:formatCode>
                <c:ptCount val="6"/>
                <c:pt idx="0">
                  <c:v>0.46710000000000002</c:v>
                </c:pt>
                <c:pt idx="1">
                  <c:v>0.11776</c:v>
                </c:pt>
                <c:pt idx="2">
                  <c:v>0.24579000000000001</c:v>
                </c:pt>
                <c:pt idx="3">
                  <c:v>0.35027000000000003</c:v>
                </c:pt>
                <c:pt idx="4">
                  <c:v>0.25451000000000001</c:v>
                </c:pt>
                <c:pt idx="5">
                  <c:v>0.69682999999999995</c:v>
                </c:pt>
              </c:numCache>
            </c:numRef>
          </c:val>
          <c:smooth val="0"/>
          <c:extLst>
            <c:ext xmlns:c16="http://schemas.microsoft.com/office/drawing/2014/chart" uri="{C3380CC4-5D6E-409C-BE32-E72D297353CC}">
              <c16:uniqueId val="{00000001-75FA-4FD7-9516-50EC3D38B75B}"/>
            </c:ext>
          </c:extLst>
        </c:ser>
        <c:ser>
          <c:idx val="2"/>
          <c:order val="2"/>
          <c:tx>
            <c:strRef>
              <c:f>Sheet2!$A$19</c:f>
              <c:strCache>
                <c:ptCount val="1"/>
                <c:pt idx="0">
                  <c:v>BSG 3 (≥300 beds)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Sheet2!$B$16:$G$16</c:f>
              <c:numCache>
                <c:formatCode>General</c:formatCode>
                <c:ptCount val="6"/>
                <c:pt idx="0">
                  <c:v>2017</c:v>
                </c:pt>
                <c:pt idx="1">
                  <c:v>2018</c:v>
                </c:pt>
                <c:pt idx="2">
                  <c:v>2019</c:v>
                </c:pt>
                <c:pt idx="3">
                  <c:v>2020</c:v>
                </c:pt>
                <c:pt idx="4">
                  <c:v>2021</c:v>
                </c:pt>
                <c:pt idx="5">
                  <c:v>2022</c:v>
                </c:pt>
              </c:numCache>
            </c:numRef>
          </c:cat>
          <c:val>
            <c:numRef>
              <c:f>Sheet2!$B$19:$G$19</c:f>
              <c:numCache>
                <c:formatCode>General</c:formatCode>
                <c:ptCount val="6"/>
                <c:pt idx="0">
                  <c:v>0.96657999999999999</c:v>
                </c:pt>
                <c:pt idx="1">
                  <c:v>1.2079200000000001</c:v>
                </c:pt>
                <c:pt idx="2">
                  <c:v>1.38029</c:v>
                </c:pt>
                <c:pt idx="3">
                  <c:v>1.30278</c:v>
                </c:pt>
                <c:pt idx="4">
                  <c:v>1.8441000000000001</c:v>
                </c:pt>
                <c:pt idx="5">
                  <c:v>2.3724099999999999</c:v>
                </c:pt>
              </c:numCache>
            </c:numRef>
          </c:val>
          <c:smooth val="0"/>
          <c:extLst>
            <c:ext xmlns:c16="http://schemas.microsoft.com/office/drawing/2014/chart" uri="{C3380CC4-5D6E-409C-BE32-E72D297353CC}">
              <c16:uniqueId val="{00000002-75FA-4FD7-9516-50EC3D38B75B}"/>
            </c:ext>
          </c:extLst>
        </c:ser>
        <c:dLbls>
          <c:showLegendKey val="0"/>
          <c:showVal val="0"/>
          <c:showCatName val="0"/>
          <c:showSerName val="0"/>
          <c:showPercent val="0"/>
          <c:showBubbleSize val="0"/>
        </c:dLbls>
        <c:marker val="1"/>
        <c:smooth val="0"/>
        <c:axId val="679410544"/>
        <c:axId val="679410872"/>
      </c:lineChart>
      <c:catAx>
        <c:axId val="6794105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9410872"/>
        <c:crosses val="autoZero"/>
        <c:auto val="1"/>
        <c:lblAlgn val="ctr"/>
        <c:lblOffset val="100"/>
        <c:noMultiLvlLbl val="0"/>
      </c:catAx>
      <c:valAx>
        <c:axId val="679410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Rate per 10,000</a:t>
                </a:r>
                <a:r>
                  <a:rPr lang="en-US" baseline="0">
                    <a:solidFill>
                      <a:sysClr val="windowText" lastClr="000000"/>
                    </a:solidFill>
                  </a:rPr>
                  <a:t> Products Transfused</a:t>
                </a:r>
                <a:endParaRPr lang="en-US">
                  <a:solidFill>
                    <a:sysClr val="windowText" lastClr="000000"/>
                  </a:solidFill>
                </a:endParaRPr>
              </a:p>
            </c:rich>
          </c:tx>
          <c:layout>
            <c:manualLayout>
              <c:xMode val="edge"/>
              <c:yMode val="edge"/>
              <c:x val="2.1716811714325185E-2"/>
              <c:y val="5.44449086721302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9410544"/>
        <c:crosses val="autoZero"/>
        <c:crossBetween val="between"/>
      </c:valAx>
      <c:spPr>
        <a:noFill/>
        <a:ln>
          <a:noFill/>
        </a:ln>
        <a:effectLst/>
      </c:spPr>
    </c:plotArea>
    <c:legend>
      <c:legendPos val="b"/>
      <c:layout>
        <c:manualLayout>
          <c:xMode val="edge"/>
          <c:yMode val="edge"/>
          <c:x val="4.4283998398505275E-2"/>
          <c:y val="0.872643686596422"/>
          <c:w val="0.92227301036522991"/>
          <c:h val="6.879093384354993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427384076990375E-2"/>
          <c:y val="0.16428134556574925"/>
          <c:w val="0.75265460958005248"/>
          <c:h val="0.45828698018252312"/>
        </c:manualLayout>
      </c:layout>
      <c:barChart>
        <c:barDir val="col"/>
        <c:grouping val="stacked"/>
        <c:varyColors val="0"/>
        <c:ser>
          <c:idx val="0"/>
          <c:order val="0"/>
          <c:tx>
            <c:strRef>
              <c:f>Sheet3!$A$2</c:f>
              <c:strCache>
                <c:ptCount val="1"/>
                <c:pt idx="0">
                  <c:v>BSG1 (&lt;100 beds)</c:v>
                </c:pt>
              </c:strCache>
            </c:strRef>
          </c:tx>
          <c:spPr>
            <a:solidFill>
              <a:schemeClr val="accent1"/>
            </a:solidFill>
            <a:ln>
              <a:noFill/>
            </a:ln>
            <a:effectLst/>
          </c:spPr>
          <c:invertIfNegative val="0"/>
          <c:cat>
            <c:strRef>
              <c:f>Sheet3!$B$1:$L$1</c:f>
              <c:strCache>
                <c:ptCount val="11"/>
                <c:pt idx="0">
                  <c:v>Critical Care</c:v>
                </c:pt>
                <c:pt idx="1">
                  <c:v>ED/24 Obs.</c:v>
                </c:pt>
                <c:pt idx="2">
                  <c:v>Laboratory</c:v>
                </c:pt>
                <c:pt idx="3">
                  <c:v>Mixed Acuity</c:v>
                </c:pt>
                <c:pt idx="4">
                  <c:v>Outpatient</c:v>
                </c:pt>
                <c:pt idx="5">
                  <c:v>Operating Room</c:v>
                </c:pt>
                <c:pt idx="6">
                  <c:v>Outside Facility</c:v>
                </c:pt>
                <c:pt idx="7">
                  <c:v>Pediatric</c:v>
                </c:pt>
                <c:pt idx="8">
                  <c:v>Specialty Care</c:v>
                </c:pt>
                <c:pt idx="9">
                  <c:v>Step Down Unit</c:v>
                </c:pt>
                <c:pt idx="10">
                  <c:v>Ward</c:v>
                </c:pt>
              </c:strCache>
            </c:strRef>
          </c:cat>
          <c:val>
            <c:numRef>
              <c:f>Sheet3!$B$2:$L$2</c:f>
              <c:numCache>
                <c:formatCode>General</c:formatCode>
                <c:ptCount val="11"/>
                <c:pt idx="0">
                  <c:v>4</c:v>
                </c:pt>
                <c:pt idx="1">
                  <c:v>1</c:v>
                </c:pt>
                <c:pt idx="2">
                  <c:v>0</c:v>
                </c:pt>
                <c:pt idx="3">
                  <c:v>0</c:v>
                </c:pt>
                <c:pt idx="4">
                  <c:v>1</c:v>
                </c:pt>
                <c:pt idx="5">
                  <c:v>0</c:v>
                </c:pt>
                <c:pt idx="6">
                  <c:v>0</c:v>
                </c:pt>
                <c:pt idx="7">
                  <c:v>0</c:v>
                </c:pt>
                <c:pt idx="8">
                  <c:v>0</c:v>
                </c:pt>
                <c:pt idx="9">
                  <c:v>0</c:v>
                </c:pt>
                <c:pt idx="10">
                  <c:v>18</c:v>
                </c:pt>
              </c:numCache>
            </c:numRef>
          </c:val>
          <c:extLst>
            <c:ext xmlns:c16="http://schemas.microsoft.com/office/drawing/2014/chart" uri="{C3380CC4-5D6E-409C-BE32-E72D297353CC}">
              <c16:uniqueId val="{00000000-2D48-48E7-AE92-E2CE7AEEB575}"/>
            </c:ext>
          </c:extLst>
        </c:ser>
        <c:ser>
          <c:idx val="1"/>
          <c:order val="1"/>
          <c:tx>
            <c:strRef>
              <c:f>Sheet3!$A$3</c:f>
              <c:strCache>
                <c:ptCount val="1"/>
                <c:pt idx="0">
                  <c:v>BSG 2 (100-299 beds)</c:v>
                </c:pt>
              </c:strCache>
            </c:strRef>
          </c:tx>
          <c:spPr>
            <a:solidFill>
              <a:schemeClr val="accent3"/>
            </a:solidFill>
            <a:ln>
              <a:noFill/>
            </a:ln>
            <a:effectLst/>
          </c:spPr>
          <c:invertIfNegative val="0"/>
          <c:cat>
            <c:strRef>
              <c:f>Sheet3!$B$1:$L$1</c:f>
              <c:strCache>
                <c:ptCount val="11"/>
                <c:pt idx="0">
                  <c:v>Critical Care</c:v>
                </c:pt>
                <c:pt idx="1">
                  <c:v>ED/24 Obs.</c:v>
                </c:pt>
                <c:pt idx="2">
                  <c:v>Laboratory</c:v>
                </c:pt>
                <c:pt idx="3">
                  <c:v>Mixed Acuity</c:v>
                </c:pt>
                <c:pt idx="4">
                  <c:v>Outpatient</c:v>
                </c:pt>
                <c:pt idx="5">
                  <c:v>Operating Room</c:v>
                </c:pt>
                <c:pt idx="6">
                  <c:v>Outside Facility</c:v>
                </c:pt>
                <c:pt idx="7">
                  <c:v>Pediatric</c:v>
                </c:pt>
                <c:pt idx="8">
                  <c:v>Specialty Care</c:v>
                </c:pt>
                <c:pt idx="9">
                  <c:v>Step Down Unit</c:v>
                </c:pt>
                <c:pt idx="10">
                  <c:v>Ward</c:v>
                </c:pt>
              </c:strCache>
            </c:strRef>
          </c:cat>
          <c:val>
            <c:numRef>
              <c:f>Sheet3!$B$3:$L$3</c:f>
              <c:numCache>
                <c:formatCode>General</c:formatCode>
                <c:ptCount val="11"/>
                <c:pt idx="0">
                  <c:v>5</c:v>
                </c:pt>
                <c:pt idx="1">
                  <c:v>1</c:v>
                </c:pt>
                <c:pt idx="2">
                  <c:v>1</c:v>
                </c:pt>
                <c:pt idx="3">
                  <c:v>0</c:v>
                </c:pt>
                <c:pt idx="4">
                  <c:v>0</c:v>
                </c:pt>
                <c:pt idx="5">
                  <c:v>0</c:v>
                </c:pt>
                <c:pt idx="6">
                  <c:v>0</c:v>
                </c:pt>
                <c:pt idx="7">
                  <c:v>0</c:v>
                </c:pt>
                <c:pt idx="8">
                  <c:v>0</c:v>
                </c:pt>
                <c:pt idx="9">
                  <c:v>1</c:v>
                </c:pt>
                <c:pt idx="10">
                  <c:v>9</c:v>
                </c:pt>
              </c:numCache>
            </c:numRef>
          </c:val>
          <c:extLst>
            <c:ext xmlns:c16="http://schemas.microsoft.com/office/drawing/2014/chart" uri="{C3380CC4-5D6E-409C-BE32-E72D297353CC}">
              <c16:uniqueId val="{00000001-2D48-48E7-AE92-E2CE7AEEB575}"/>
            </c:ext>
          </c:extLst>
        </c:ser>
        <c:ser>
          <c:idx val="2"/>
          <c:order val="2"/>
          <c:tx>
            <c:strRef>
              <c:f>Sheet3!$A$4</c:f>
              <c:strCache>
                <c:ptCount val="1"/>
                <c:pt idx="0">
                  <c:v>BSG 3 (≥300 beds)</c:v>
                </c:pt>
              </c:strCache>
            </c:strRef>
          </c:tx>
          <c:spPr>
            <a:solidFill>
              <a:schemeClr val="accent5"/>
            </a:solidFill>
            <a:ln>
              <a:noFill/>
            </a:ln>
            <a:effectLst/>
          </c:spPr>
          <c:invertIfNegative val="0"/>
          <c:cat>
            <c:strRef>
              <c:f>Sheet3!$B$1:$L$1</c:f>
              <c:strCache>
                <c:ptCount val="11"/>
                <c:pt idx="0">
                  <c:v>Critical Care</c:v>
                </c:pt>
                <c:pt idx="1">
                  <c:v>ED/24 Obs.</c:v>
                </c:pt>
                <c:pt idx="2">
                  <c:v>Laboratory</c:v>
                </c:pt>
                <c:pt idx="3">
                  <c:v>Mixed Acuity</c:v>
                </c:pt>
                <c:pt idx="4">
                  <c:v>Outpatient</c:v>
                </c:pt>
                <c:pt idx="5">
                  <c:v>Operating Room</c:v>
                </c:pt>
                <c:pt idx="6">
                  <c:v>Outside Facility</c:v>
                </c:pt>
                <c:pt idx="7">
                  <c:v>Pediatric</c:v>
                </c:pt>
                <c:pt idx="8">
                  <c:v>Specialty Care</c:v>
                </c:pt>
                <c:pt idx="9">
                  <c:v>Step Down Unit</c:v>
                </c:pt>
                <c:pt idx="10">
                  <c:v>Ward</c:v>
                </c:pt>
              </c:strCache>
            </c:strRef>
          </c:cat>
          <c:val>
            <c:numRef>
              <c:f>Sheet3!$B$4:$L$4</c:f>
              <c:numCache>
                <c:formatCode>General</c:formatCode>
                <c:ptCount val="11"/>
                <c:pt idx="0">
                  <c:v>34</c:v>
                </c:pt>
                <c:pt idx="1">
                  <c:v>37</c:v>
                </c:pt>
                <c:pt idx="2">
                  <c:v>0</c:v>
                </c:pt>
                <c:pt idx="3">
                  <c:v>16</c:v>
                </c:pt>
                <c:pt idx="4">
                  <c:v>8</c:v>
                </c:pt>
                <c:pt idx="5">
                  <c:v>3</c:v>
                </c:pt>
                <c:pt idx="6">
                  <c:v>7</c:v>
                </c:pt>
                <c:pt idx="7">
                  <c:v>3</c:v>
                </c:pt>
                <c:pt idx="8">
                  <c:v>3</c:v>
                </c:pt>
                <c:pt idx="9">
                  <c:v>5</c:v>
                </c:pt>
                <c:pt idx="10">
                  <c:v>111</c:v>
                </c:pt>
              </c:numCache>
            </c:numRef>
          </c:val>
          <c:extLst>
            <c:ext xmlns:c16="http://schemas.microsoft.com/office/drawing/2014/chart" uri="{C3380CC4-5D6E-409C-BE32-E72D297353CC}">
              <c16:uniqueId val="{00000002-2D48-48E7-AE92-E2CE7AEEB575}"/>
            </c:ext>
          </c:extLst>
        </c:ser>
        <c:dLbls>
          <c:showLegendKey val="0"/>
          <c:showVal val="0"/>
          <c:showCatName val="0"/>
          <c:showSerName val="0"/>
          <c:showPercent val="0"/>
          <c:showBubbleSize val="0"/>
        </c:dLbls>
        <c:gapWidth val="150"/>
        <c:overlap val="100"/>
        <c:axId val="388343728"/>
        <c:axId val="388340776"/>
      </c:barChart>
      <c:catAx>
        <c:axId val="388343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Location</a:t>
                </a:r>
              </a:p>
            </c:rich>
          </c:tx>
          <c:layout>
            <c:manualLayout>
              <c:xMode val="edge"/>
              <c:yMode val="edge"/>
              <c:x val="0.42812705052493438"/>
              <c:y val="0.870305569601964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560000" spcFirstLastPara="1" vertOverflow="ellipsis" wrap="square" anchor="b" anchorCtr="0"/>
          <a:lstStyle/>
          <a:p>
            <a:pPr>
              <a:defRPr sz="900" b="0" i="0" u="none" strike="noStrike" kern="1200" baseline="0">
                <a:solidFill>
                  <a:sysClr val="windowText" lastClr="000000"/>
                </a:solidFill>
                <a:latin typeface="+mn-lt"/>
                <a:ea typeface="+mn-ea"/>
                <a:cs typeface="+mn-cs"/>
              </a:defRPr>
            </a:pPr>
            <a:endParaRPr lang="en-US"/>
          </a:p>
        </c:txPr>
        <c:crossAx val="388340776"/>
        <c:crosses val="autoZero"/>
        <c:auto val="1"/>
        <c:lblAlgn val="ctr"/>
        <c:lblOffset val="100"/>
        <c:noMultiLvlLbl val="0"/>
      </c:catAx>
      <c:valAx>
        <c:axId val="388340776"/>
        <c:scaling>
          <c:orientation val="minMax"/>
          <c:max val="8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TACO Events</a:t>
                </a:r>
              </a:p>
            </c:rich>
          </c:tx>
          <c:layout>
            <c:manualLayout>
              <c:xMode val="edge"/>
              <c:yMode val="edge"/>
              <c:x val="1.7361086744890831E-2"/>
              <c:y val="8.63804392871943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8343728"/>
        <c:crosses val="autoZero"/>
        <c:crossBetween val="between"/>
        <c:majorUnit val="20"/>
      </c:valAx>
      <c:spPr>
        <a:noFill/>
        <a:ln>
          <a:noFill/>
        </a:ln>
        <a:effectLst/>
      </c:spPr>
    </c:plotArea>
    <c:legend>
      <c:legendPos val="r"/>
      <c:layout>
        <c:manualLayout>
          <c:xMode val="edge"/>
          <c:yMode val="edge"/>
          <c:x val="0.86903474956255478"/>
          <c:y val="0.18816826795733102"/>
          <c:w val="0.11685586176727908"/>
          <c:h val="0.5034896096703508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456F9721-6CC0-4774-A02A-14C3C21C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Iannone, Ashley (DPH)</dc:creator>
  <cp:keywords/>
  <dc:description/>
  <cp:lastModifiedBy>Iannone, Ashley (DPH)</cp:lastModifiedBy>
  <cp:revision>2</cp:revision>
  <dcterms:created xsi:type="dcterms:W3CDTF">2023-10-05T15:48:00Z</dcterms:created>
  <dcterms:modified xsi:type="dcterms:W3CDTF">2023-10-05T15:48:00Z</dcterms:modified>
</cp:coreProperties>
</file>