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63D0" w14:textId="1AE903B6" w:rsidR="00953750" w:rsidRDefault="00953750" w:rsidP="00ED0913">
      <w:pPr>
        <w:spacing w:after="120" w:line="240" w:lineRule="auto"/>
        <w:rPr>
          <w:b/>
          <w:bCs/>
        </w:rPr>
      </w:pPr>
      <w:r w:rsidRPr="0BC49412">
        <w:rPr>
          <w:b/>
          <w:bCs/>
        </w:rPr>
        <w:t>Massachusetts HIV Epidemiologic Profile</w:t>
      </w:r>
    </w:p>
    <w:p w14:paraId="78402844" w14:textId="14BFF59B" w:rsidR="00953750" w:rsidRPr="00392EAF" w:rsidRDefault="00953750" w:rsidP="00ED0913">
      <w:pPr>
        <w:spacing w:after="120" w:line="240" w:lineRule="auto"/>
      </w:pPr>
      <w:r>
        <w:rPr>
          <w:b/>
          <w:bCs/>
        </w:rPr>
        <w:t xml:space="preserve">Data as of </w:t>
      </w:r>
      <w:r w:rsidR="000C5EDF">
        <w:rPr>
          <w:b/>
          <w:bCs/>
        </w:rPr>
        <w:t>7</w:t>
      </w:r>
      <w:r>
        <w:rPr>
          <w:b/>
          <w:bCs/>
        </w:rPr>
        <w:t>/1/202</w:t>
      </w:r>
      <w:r w:rsidR="000C5EDF">
        <w:rPr>
          <w:b/>
          <w:bCs/>
        </w:rPr>
        <w:t>4</w:t>
      </w:r>
    </w:p>
    <w:p w14:paraId="78440DC8" w14:textId="255414FB" w:rsidR="00953750" w:rsidRPr="00953750" w:rsidRDefault="00953750" w:rsidP="00ED0913">
      <w:pPr>
        <w:spacing w:after="120" w:line="240" w:lineRule="auto"/>
        <w:rPr>
          <w:b/>
          <w:bCs/>
        </w:rPr>
      </w:pPr>
      <w:r w:rsidRPr="00953750">
        <w:rPr>
          <w:b/>
          <w:bCs/>
        </w:rPr>
        <w:t xml:space="preserve">Population Report: </w:t>
      </w:r>
      <w:r w:rsidR="00B23638">
        <w:rPr>
          <w:b/>
          <w:bCs/>
        </w:rPr>
        <w:t>Transgender Individuals</w:t>
      </w:r>
      <w:r>
        <w:t>,</w:t>
      </w:r>
      <w:r w:rsidRPr="00953750">
        <w:rPr>
          <w:b/>
          <w:bCs/>
        </w:rPr>
        <w:t xml:space="preserve"> </w:t>
      </w:r>
      <w:r w:rsidR="00485955">
        <w:rPr>
          <w:b/>
          <w:bCs/>
        </w:rPr>
        <w:t>Accessible Version</w:t>
      </w:r>
    </w:p>
    <w:p w14:paraId="19D71A5F" w14:textId="77777777" w:rsidR="00485955" w:rsidRPr="000F17CA" w:rsidRDefault="00485955" w:rsidP="00ED0913">
      <w:pPr>
        <w:spacing w:after="120" w:line="240" w:lineRule="auto"/>
        <w:rPr>
          <w:b/>
          <w:bCs/>
          <w:szCs w:val="24"/>
        </w:rPr>
      </w:pPr>
      <w:r w:rsidRPr="000F17CA">
        <w:rPr>
          <w:b/>
          <w:bCs/>
          <w:szCs w:val="24"/>
        </w:rPr>
        <w:t>MS Word Version, optimized for screen reader use</w:t>
      </w:r>
    </w:p>
    <w:p w14:paraId="6C1B61D6" w14:textId="77777777" w:rsidR="00485955" w:rsidRPr="000F17CA" w:rsidRDefault="00485955" w:rsidP="00485955">
      <w:pPr>
        <w:spacing w:line="240" w:lineRule="auto"/>
        <w:rPr>
          <w:i/>
          <w:iCs/>
          <w:szCs w:val="24"/>
        </w:rPr>
      </w:pPr>
      <w:r w:rsidRPr="000F17CA">
        <w:rPr>
          <w:i/>
          <w:iCs/>
          <w:szCs w:val="24"/>
        </w:rPr>
        <w:t xml:space="preserve">Please note that while the content of this report is the same as the pdf version, the format and pagination have been modified significantly to optimize use with screen readers to ensure access for blind or visually impaired audiences. </w:t>
      </w:r>
    </w:p>
    <w:p w14:paraId="5B501B76" w14:textId="77777777" w:rsidR="00953750" w:rsidRPr="00953750" w:rsidRDefault="00953750" w:rsidP="00953750">
      <w:pPr>
        <w:spacing w:line="240" w:lineRule="auto"/>
        <w:rPr>
          <w:b/>
          <w:bCs/>
          <w:szCs w:val="24"/>
        </w:rPr>
      </w:pPr>
      <w:r w:rsidRPr="00953750">
        <w:rPr>
          <w:b/>
          <w:bCs/>
          <w:szCs w:val="24"/>
        </w:rPr>
        <w:t>Suggested citation:</w:t>
      </w:r>
    </w:p>
    <w:p w14:paraId="2B3A6007" w14:textId="6FD7CA44" w:rsidR="00953750" w:rsidRPr="00953750" w:rsidRDefault="3BCCFC16" w:rsidP="00953750">
      <w:pPr>
        <w:spacing w:line="240" w:lineRule="auto"/>
      </w:pPr>
      <w:r>
        <w:t xml:space="preserve">Massachusetts Department of Public Health, Bureau of Infectious Disease and Laboratory Sciences. Massachusetts HIV Epidemiologic Profile: Data as of </w:t>
      </w:r>
      <w:r w:rsidR="000C5EDF">
        <w:t>7</w:t>
      </w:r>
      <w:r>
        <w:t>/1/202</w:t>
      </w:r>
      <w:r w:rsidR="000C5EDF">
        <w:t>4</w:t>
      </w:r>
      <w:r>
        <w:t xml:space="preserve">, Population Report: </w:t>
      </w:r>
      <w:r w:rsidR="56DF50C5">
        <w:t>Transgender Individuals</w:t>
      </w:r>
      <w:r>
        <w:t xml:space="preserve">, </w:t>
      </w:r>
      <w:hyperlink r:id="rId11">
        <w:r w:rsidRPr="2C91FEC7">
          <w:rPr>
            <w:rStyle w:val="Hyperlink"/>
          </w:rPr>
          <w:t>https://www.mass.gov/lists/hivaids-epidemiologic-profiles</w:t>
        </w:r>
      </w:hyperlink>
      <w:r>
        <w:t xml:space="preserve"> Published </w:t>
      </w:r>
      <w:r w:rsidR="000C5EDF">
        <w:t>December</w:t>
      </w:r>
      <w:r>
        <w:t xml:space="preserve"> 202</w:t>
      </w:r>
      <w:r w:rsidR="00467CFD">
        <w:t>4</w:t>
      </w:r>
      <w:r>
        <w:t>. Accessed [date].</w:t>
      </w:r>
    </w:p>
    <w:p w14:paraId="7982B512" w14:textId="77777777" w:rsidR="00953750" w:rsidRPr="00953750" w:rsidRDefault="00953750" w:rsidP="00DF14D7">
      <w:pPr>
        <w:spacing w:after="0" w:line="240" w:lineRule="auto"/>
        <w:rPr>
          <w:b/>
          <w:bCs/>
          <w:szCs w:val="24"/>
        </w:rPr>
      </w:pPr>
      <w:r w:rsidRPr="00953750">
        <w:rPr>
          <w:b/>
          <w:bCs/>
          <w:szCs w:val="24"/>
        </w:rPr>
        <w:t>Bureau of Infectious Disease and Laboratory Sciences</w:t>
      </w:r>
      <w:r w:rsidRPr="00953750">
        <w:rPr>
          <w:b/>
          <w:bCs/>
          <w:szCs w:val="24"/>
        </w:rPr>
        <w:br/>
        <w:t>Massachusetts Department of Public Health</w:t>
      </w:r>
    </w:p>
    <w:p w14:paraId="26696D26" w14:textId="77777777" w:rsidR="00953750" w:rsidRPr="00953750" w:rsidRDefault="00953750" w:rsidP="00DF14D7">
      <w:pPr>
        <w:spacing w:after="0" w:line="240" w:lineRule="auto"/>
        <w:rPr>
          <w:szCs w:val="24"/>
        </w:rPr>
      </w:pPr>
      <w:r w:rsidRPr="00953750">
        <w:rPr>
          <w:szCs w:val="24"/>
        </w:rPr>
        <w:t>Jamaica Plain Campus/State Public Health Laboratory</w:t>
      </w:r>
    </w:p>
    <w:p w14:paraId="358D1D27" w14:textId="77777777" w:rsidR="00953750" w:rsidRPr="00953750" w:rsidRDefault="00953750" w:rsidP="00953750">
      <w:pPr>
        <w:spacing w:line="240" w:lineRule="auto"/>
        <w:rPr>
          <w:szCs w:val="24"/>
        </w:rPr>
      </w:pPr>
      <w:r w:rsidRPr="00953750">
        <w:rPr>
          <w:szCs w:val="24"/>
        </w:rPr>
        <w:t>305 South Street</w:t>
      </w:r>
      <w:r w:rsidRPr="00953750">
        <w:rPr>
          <w:szCs w:val="24"/>
        </w:rPr>
        <w:br/>
        <w:t>Jamaica Plain, MA 02130</w:t>
      </w:r>
    </w:p>
    <w:p w14:paraId="01A42C8D" w14:textId="77777777" w:rsidR="00953750" w:rsidRPr="00953750" w:rsidRDefault="00953750" w:rsidP="00F87FAB">
      <w:pPr>
        <w:spacing w:after="0" w:line="240" w:lineRule="auto"/>
        <w:rPr>
          <w:b/>
          <w:bCs/>
          <w:szCs w:val="24"/>
        </w:rPr>
      </w:pPr>
      <w:r w:rsidRPr="00953750">
        <w:rPr>
          <w:b/>
          <w:bCs/>
          <w:szCs w:val="24"/>
        </w:rPr>
        <w:t>Questions about this report</w:t>
      </w:r>
    </w:p>
    <w:p w14:paraId="124DC65D" w14:textId="77777777" w:rsidR="00953750" w:rsidRPr="00953750" w:rsidRDefault="00953750" w:rsidP="00ED0913">
      <w:pPr>
        <w:spacing w:after="120" w:line="240" w:lineRule="auto"/>
        <w:rPr>
          <w:szCs w:val="24"/>
        </w:rPr>
      </w:pPr>
      <w:r w:rsidRPr="00953750">
        <w:rPr>
          <w:szCs w:val="24"/>
        </w:rPr>
        <w:t>Tel: (617) 983-6560</w:t>
      </w:r>
    </w:p>
    <w:p w14:paraId="4CBF868C" w14:textId="37101CA9" w:rsidR="00953750" w:rsidRPr="00953750" w:rsidRDefault="00953750" w:rsidP="00F87FAB">
      <w:pPr>
        <w:spacing w:after="0" w:line="240" w:lineRule="auto"/>
        <w:rPr>
          <w:b/>
          <w:bCs/>
        </w:rPr>
      </w:pPr>
      <w:r w:rsidRPr="6782CE5A">
        <w:rPr>
          <w:b/>
          <w:bCs/>
        </w:rPr>
        <w:t>To reach the Reporting and Partner Services Line</w:t>
      </w:r>
      <w:r w:rsidRPr="6782CE5A">
        <w:rPr>
          <w:rStyle w:val="FootnoteReference"/>
          <w:b/>
          <w:bCs/>
        </w:rPr>
        <w:footnoteReference w:id="1"/>
      </w:r>
    </w:p>
    <w:p w14:paraId="6A998701" w14:textId="77777777" w:rsidR="00953750" w:rsidRPr="00953750" w:rsidRDefault="00953750" w:rsidP="00ED0913">
      <w:pPr>
        <w:spacing w:after="120" w:line="240" w:lineRule="auto"/>
        <w:rPr>
          <w:szCs w:val="24"/>
        </w:rPr>
      </w:pPr>
      <w:r w:rsidRPr="00953750">
        <w:rPr>
          <w:szCs w:val="24"/>
        </w:rPr>
        <w:t>Tel: (617) 983-6999</w:t>
      </w:r>
    </w:p>
    <w:p w14:paraId="1EDD274E" w14:textId="77777777" w:rsidR="00953750" w:rsidRPr="00953750" w:rsidRDefault="00953750" w:rsidP="00F87FAB">
      <w:pPr>
        <w:spacing w:after="0" w:line="240" w:lineRule="auto"/>
        <w:rPr>
          <w:b/>
          <w:bCs/>
          <w:szCs w:val="24"/>
        </w:rPr>
      </w:pPr>
      <w:r w:rsidRPr="00953750">
        <w:rPr>
          <w:b/>
          <w:bCs/>
          <w:szCs w:val="24"/>
        </w:rPr>
        <w:t xml:space="preserve">To speak to the on-call epidemiologist </w:t>
      </w:r>
    </w:p>
    <w:p w14:paraId="25398B11" w14:textId="77777777" w:rsidR="00953750" w:rsidRPr="00953750" w:rsidRDefault="00953750" w:rsidP="00ED0913">
      <w:pPr>
        <w:spacing w:after="120" w:line="240" w:lineRule="auto"/>
        <w:rPr>
          <w:szCs w:val="24"/>
        </w:rPr>
      </w:pPr>
      <w:r w:rsidRPr="00953750">
        <w:rPr>
          <w:szCs w:val="24"/>
        </w:rPr>
        <w:t>Tel: (617) 983-6800</w:t>
      </w:r>
    </w:p>
    <w:p w14:paraId="2B98D9B4" w14:textId="77777777" w:rsidR="00953750" w:rsidRPr="00953750" w:rsidRDefault="00953750" w:rsidP="00F87FAB">
      <w:pPr>
        <w:spacing w:after="0" w:line="240" w:lineRule="auto"/>
        <w:rPr>
          <w:b/>
          <w:bCs/>
          <w:szCs w:val="24"/>
        </w:rPr>
      </w:pPr>
      <w:r w:rsidRPr="00953750">
        <w:rPr>
          <w:b/>
          <w:bCs/>
          <w:szCs w:val="24"/>
        </w:rPr>
        <w:t>Questions about infectious disease reporting</w:t>
      </w:r>
    </w:p>
    <w:p w14:paraId="21E48FA8" w14:textId="77777777" w:rsidR="00953750" w:rsidRPr="00953750" w:rsidRDefault="00953750" w:rsidP="00ED0913">
      <w:pPr>
        <w:spacing w:after="120" w:line="240" w:lineRule="auto"/>
        <w:rPr>
          <w:szCs w:val="24"/>
        </w:rPr>
      </w:pPr>
      <w:r w:rsidRPr="00953750">
        <w:rPr>
          <w:szCs w:val="24"/>
        </w:rPr>
        <w:t>Tel: (617) 983-6801</w:t>
      </w:r>
    </w:p>
    <w:p w14:paraId="445DE449" w14:textId="77777777" w:rsidR="00442333" w:rsidRPr="00166657" w:rsidRDefault="00442333" w:rsidP="00442333">
      <w:pPr>
        <w:spacing w:after="0" w:line="240" w:lineRule="auto"/>
        <w:rPr>
          <w:b/>
          <w:bCs/>
          <w:szCs w:val="24"/>
        </w:rPr>
      </w:pPr>
      <w:r w:rsidRPr="00166657">
        <w:rPr>
          <w:b/>
          <w:bCs/>
          <w:szCs w:val="24"/>
        </w:rPr>
        <w:t xml:space="preserve">HIV Data Dashboard </w:t>
      </w:r>
    </w:p>
    <w:p w14:paraId="610BA267" w14:textId="77777777" w:rsidR="00442333" w:rsidRPr="00166657" w:rsidRDefault="00442333" w:rsidP="00442333">
      <w:pPr>
        <w:spacing w:after="120" w:line="240" w:lineRule="auto"/>
        <w:rPr>
          <w:color w:val="0000FF"/>
          <w:szCs w:val="24"/>
        </w:rPr>
      </w:pPr>
      <w:hyperlink r:id="rId12" w:history="1">
        <w:r w:rsidRPr="00166657">
          <w:rPr>
            <w:rStyle w:val="Hyperlink"/>
            <w:color w:val="0000FF"/>
            <w:szCs w:val="24"/>
          </w:rPr>
          <w:t>https://www.mass.gov/info-details/hiv-data-dashboard</w:t>
        </w:r>
      </w:hyperlink>
      <w:r w:rsidRPr="00166657">
        <w:rPr>
          <w:color w:val="0000FF"/>
          <w:szCs w:val="24"/>
        </w:rPr>
        <w:t xml:space="preserve">  </w:t>
      </w:r>
    </w:p>
    <w:p w14:paraId="5867DB86" w14:textId="77777777" w:rsidR="00953750" w:rsidRPr="00F87FAB" w:rsidRDefault="00953750" w:rsidP="00F87FAB">
      <w:pPr>
        <w:spacing w:after="0" w:line="240" w:lineRule="auto"/>
        <w:rPr>
          <w:rStyle w:val="Hyperlink"/>
          <w:color w:val="0000FF"/>
        </w:rPr>
      </w:pPr>
      <w:r w:rsidRPr="00953750">
        <w:rPr>
          <w:b/>
          <w:bCs/>
          <w:szCs w:val="24"/>
        </w:rPr>
        <w:t>Requests for additional data</w:t>
      </w:r>
    </w:p>
    <w:p w14:paraId="235D8610" w14:textId="77777777" w:rsidR="00953750" w:rsidRPr="00953750" w:rsidRDefault="00953750" w:rsidP="00ED0913">
      <w:pPr>
        <w:spacing w:after="120" w:line="240" w:lineRule="auto"/>
        <w:rPr>
          <w:b/>
          <w:bCs/>
          <w:szCs w:val="24"/>
        </w:rPr>
      </w:pPr>
      <w:hyperlink r:id="rId13" w:history="1">
        <w:r w:rsidRPr="00F87FAB">
          <w:rPr>
            <w:rStyle w:val="Hyperlink"/>
            <w:color w:val="0000FF"/>
            <w:szCs w:val="24"/>
          </w:rPr>
          <w:t>https://www.mass.gov/lists/infectious-disease-data-reports-and-requests</w:t>
        </w:r>
      </w:hyperlink>
      <w:r w:rsidRPr="00953750">
        <w:rPr>
          <w:b/>
          <w:bCs/>
          <w:szCs w:val="24"/>
        </w:rPr>
        <w:t xml:space="preserve"> </w:t>
      </w:r>
    </w:p>
    <w:p w14:paraId="55ECDA3E" w14:textId="77777777" w:rsidR="00953750" w:rsidRPr="00953750" w:rsidRDefault="00953750" w:rsidP="00F87FAB">
      <w:pPr>
        <w:spacing w:after="0" w:line="240" w:lineRule="auto"/>
        <w:rPr>
          <w:b/>
          <w:bCs/>
          <w:szCs w:val="24"/>
        </w:rPr>
      </w:pPr>
      <w:r w:rsidRPr="00953750">
        <w:rPr>
          <w:b/>
          <w:bCs/>
          <w:szCs w:val="24"/>
        </w:rPr>
        <w:t>Slide sets for HIV Epidemiologic Profile Reports</w:t>
      </w:r>
    </w:p>
    <w:p w14:paraId="2C535349" w14:textId="781FB10A" w:rsidR="00D9731D" w:rsidRPr="00F87FAB" w:rsidRDefault="00953750" w:rsidP="00F87FAB">
      <w:pPr>
        <w:spacing w:after="120" w:line="240" w:lineRule="auto"/>
        <w:rPr>
          <w:rStyle w:val="Hyperlink"/>
          <w:color w:val="0000FF"/>
        </w:rPr>
      </w:pPr>
      <w:hyperlink r:id="rId14" w:history="1">
        <w:r w:rsidRPr="00F87FAB">
          <w:rPr>
            <w:rStyle w:val="Hyperlink"/>
            <w:color w:val="0000FF"/>
            <w:szCs w:val="24"/>
          </w:rPr>
          <w:t>https://www.mass.gov/lists/hivaids-epidemiologic-profiles</w:t>
        </w:r>
      </w:hyperlink>
    </w:p>
    <w:p w14:paraId="5B1C4806" w14:textId="77777777" w:rsidR="00D53F8E" w:rsidRDefault="00D53F8E" w:rsidP="00953750">
      <w:pPr>
        <w:spacing w:line="240" w:lineRule="auto"/>
        <w:sectPr w:rsidR="00D53F8E" w:rsidSect="00866440">
          <w:headerReference w:type="default" r:id="rId15"/>
          <w:footerReference w:type="default" r:id="rId16"/>
          <w:pgSz w:w="12240" w:h="15840"/>
          <w:pgMar w:top="1440" w:right="1440" w:bottom="1440" w:left="1440" w:header="720" w:footer="720" w:gutter="0"/>
          <w:cols w:space="720"/>
          <w:titlePg/>
          <w:docGrid w:linePitch="360"/>
        </w:sectPr>
      </w:pPr>
    </w:p>
    <w:p w14:paraId="0A923B3D" w14:textId="426EA439" w:rsidR="0D28DC32" w:rsidRPr="00493814" w:rsidRDefault="0D28DC32" w:rsidP="00EA8697">
      <w:pPr>
        <w:spacing w:after="0" w:line="240" w:lineRule="auto"/>
        <w:rPr>
          <w:b/>
          <w:bCs/>
        </w:rPr>
      </w:pPr>
      <w:r w:rsidRPr="00493814">
        <w:rPr>
          <w:b/>
          <w:bCs/>
        </w:rPr>
        <w:lastRenderedPageBreak/>
        <w:t xml:space="preserve">TRANSGENDER </w:t>
      </w:r>
      <w:r w:rsidR="182CF9CD" w:rsidRPr="00493814">
        <w:rPr>
          <w:b/>
          <w:bCs/>
        </w:rPr>
        <w:t>PEOPLE</w:t>
      </w:r>
    </w:p>
    <w:p w14:paraId="626FDB22" w14:textId="27ABB73E" w:rsidR="50B24BC8" w:rsidRDefault="50B24BC8" w:rsidP="50B24BC8">
      <w:pPr>
        <w:spacing w:after="0" w:line="240" w:lineRule="auto"/>
        <w:rPr>
          <w:i/>
          <w:iCs/>
          <w:szCs w:val="24"/>
        </w:rPr>
      </w:pPr>
    </w:p>
    <w:p w14:paraId="511EC5A0" w14:textId="35AEE02C" w:rsidR="00574F97" w:rsidRPr="00794E81" w:rsidRDefault="00794E81" w:rsidP="00FC4611">
      <w:pPr>
        <w:spacing w:line="240" w:lineRule="auto"/>
      </w:pPr>
      <w:r w:rsidRPr="00794E81">
        <w:rPr>
          <w:i/>
          <w:iCs/>
        </w:rPr>
        <w:t>Transgender is an umbrella term for people whose current gender identity differs from the sex they were assigned at birth. Transgender can also describe people whose gender identities do not exist within a gender binary structure (e.g., people who are non-binary or gender fluid), though not all these individuals identify as transgender. Transgender woman describes a person assigned male at birth who currently identifies as a woman. This identity can also refer to someone who was surgically assigned male at birth, in the case of intersex people, but whose current gender identity is female. Transgender man describes a person assigned female at birth who currently identifies as a man. This identity can also refer to someone who was surgically assigned female at birth, in the case of intersex people, but whose current gender identity is male.</w:t>
      </w:r>
    </w:p>
    <w:p w14:paraId="6E33E8C5" w14:textId="5B5F7937" w:rsidR="14A81824" w:rsidRPr="00794E81" w:rsidRDefault="14A81824" w:rsidP="00EA8697">
      <w:pPr>
        <w:spacing w:line="240" w:lineRule="auto"/>
        <w:rPr>
          <w:b/>
          <w:bCs/>
          <w:szCs w:val="24"/>
        </w:rPr>
      </w:pPr>
      <w:r w:rsidRPr="00794E81">
        <w:rPr>
          <w:b/>
          <w:bCs/>
          <w:szCs w:val="24"/>
        </w:rPr>
        <w:t>DATA COLLECTION</w:t>
      </w:r>
    </w:p>
    <w:p w14:paraId="6DC03440" w14:textId="090D0536" w:rsidR="00FC4611" w:rsidRPr="00794E81" w:rsidRDefault="3B59A72A" w:rsidP="00FC4611">
      <w:pPr>
        <w:spacing w:line="240" w:lineRule="auto"/>
      </w:pPr>
      <w:r w:rsidRPr="00794E81">
        <w:t xml:space="preserve">While questions about gender identity are often missing from national population assessments such as the US Census, Massachusetts has been a leader in adding these questions to local surveys. The Massachusetts </w:t>
      </w:r>
      <w:r w:rsidR="150F939D" w:rsidRPr="00794E81">
        <w:t>Child and Youth Violence Prevention Services Program</w:t>
      </w:r>
      <w:r w:rsidRPr="00794E81">
        <w:t xml:space="preserve"> began collecting transgender-inclusive gender identity in 2005, as did the Massachusetts Behavioral Risk Factor Surveillance System (BRFSS) and the Massachusetts Department of Public Health (MDPH) Office of HIV/AIDS in 2007. The MDPH HIV/AIDS Surveillance Program began collecting transgender-inclusive gender identity in 2009. In 2013, the Massachusetts Youth Risk Behavior Survey (MYRBS), Youth Health Survey (YHS), and MDPH Bureau of Substance Addiction Services also began collecting transgender-inclusive gender identity. </w:t>
      </w:r>
    </w:p>
    <w:p w14:paraId="01A161C2" w14:textId="77777777" w:rsidR="00FC4611" w:rsidRPr="00794E81" w:rsidRDefault="504E4F97" w:rsidP="00FC4611">
      <w:pPr>
        <w:spacing w:line="240" w:lineRule="auto"/>
      </w:pPr>
      <w:r w:rsidRPr="00794E81">
        <w:t>These surveys, surveillance systems, and programmatic data systems provide important opportunities to monitor population health and the specific impacts of policies (e.g., marriage equality, universal health care access, anti-bullying legislation, extension of nondiscrimination protections to transgender individuals) and other macro-level changes and interventions on population health and health inequities.</w:t>
      </w:r>
    </w:p>
    <w:p w14:paraId="7D4BAC1E" w14:textId="32DBA00F" w:rsidR="3AB94C6E" w:rsidRPr="00794E81" w:rsidRDefault="245B7977" w:rsidP="00EA8697">
      <w:pPr>
        <w:spacing w:line="240" w:lineRule="auto"/>
        <w:rPr>
          <w:b/>
          <w:bCs/>
        </w:rPr>
      </w:pPr>
      <w:r w:rsidRPr="00794E81">
        <w:rPr>
          <w:b/>
          <w:bCs/>
        </w:rPr>
        <w:t>REPORTING OF TRANSGENDER IDENTITY</w:t>
      </w:r>
    </w:p>
    <w:p w14:paraId="677FB18C" w14:textId="4E58A278" w:rsidR="245B7977" w:rsidRPr="00794E81" w:rsidRDefault="245B7977" w:rsidP="00EA8697">
      <w:pPr>
        <w:spacing w:line="240" w:lineRule="auto"/>
      </w:pPr>
      <w:r w:rsidRPr="00794E81">
        <w:rPr>
          <w:b/>
          <w:bCs/>
        </w:rPr>
        <w:t>Massachusetts Behavioral Risk Factor Surveillance System (BRFSS)</w:t>
      </w:r>
      <w:proofErr w:type="gramStart"/>
      <w:r w:rsidRPr="00794E81">
        <w:rPr>
          <w:b/>
          <w:bCs/>
        </w:rPr>
        <w:t>:</w:t>
      </w:r>
      <w:r w:rsidRPr="00794E81">
        <w:rPr>
          <w:b/>
          <w:bCs/>
          <w:vertAlign w:val="superscript"/>
        </w:rPr>
        <w:t xml:space="preserve">  </w:t>
      </w:r>
      <w:r w:rsidRPr="00794E81">
        <w:rPr>
          <w:i/>
          <w:iCs/>
        </w:rPr>
        <w:t>A</w:t>
      </w:r>
      <w:r w:rsidR="00467CFD">
        <w:rPr>
          <w:i/>
          <w:iCs/>
        </w:rPr>
        <w:t>n</w:t>
      </w:r>
      <w:proofErr w:type="gramEnd"/>
      <w:r w:rsidR="00467CFD">
        <w:rPr>
          <w:i/>
          <w:iCs/>
        </w:rPr>
        <w:t xml:space="preserve"> annual</w:t>
      </w:r>
      <w:r w:rsidRPr="00794E81">
        <w:rPr>
          <w:i/>
          <w:iCs/>
        </w:rPr>
        <w:t xml:space="preserve"> anonymous telephone survey of adults ages 18 and older that collects data on a variety of health risk factors, preventive behaviors, chronic conditions, and emerging public health issues.  </w:t>
      </w:r>
    </w:p>
    <w:p w14:paraId="639B762E" w14:textId="175C480D" w:rsidR="245B7977" w:rsidRPr="00794E81" w:rsidRDefault="00794E81" w:rsidP="091453A3">
      <w:pPr>
        <w:numPr>
          <w:ilvl w:val="0"/>
          <w:numId w:val="6"/>
        </w:numPr>
        <w:spacing w:line="240" w:lineRule="auto"/>
        <w:rPr>
          <w:rFonts w:asciiTheme="minorEastAsia" w:eastAsiaTheme="minorEastAsia" w:hAnsiTheme="minorEastAsia" w:cstheme="minorEastAsia"/>
          <w:szCs w:val="24"/>
        </w:rPr>
      </w:pPr>
      <w:r w:rsidRPr="00794E81">
        <w:t xml:space="preserve">Reported rates of transgender identity in Massachusetts adults are higher than national estimates: </w:t>
      </w:r>
      <w:r w:rsidR="00EC187B">
        <w:t>1.4</w:t>
      </w:r>
      <w:r w:rsidRPr="00794E81">
        <w:t xml:space="preserve">% (about </w:t>
      </w:r>
      <w:r w:rsidR="00EC187B">
        <w:t>98</w:t>
      </w:r>
      <w:r w:rsidRPr="00794E81">
        <w:t>,000) (95% Confidence Interval [CI]=</w:t>
      </w:r>
      <w:r w:rsidR="00EC187B">
        <w:t>1.1</w:t>
      </w:r>
      <w:r w:rsidRPr="00794E81">
        <w:t>%–1.</w:t>
      </w:r>
      <w:r w:rsidR="00EC187B">
        <w:t>6</w:t>
      </w:r>
      <w:r w:rsidRPr="00794E81">
        <w:t>%) of Massachusetts adults reported identifying as transgender (from 20</w:t>
      </w:r>
      <w:r w:rsidR="00EC187B">
        <w:t>21</w:t>
      </w:r>
      <w:r w:rsidRPr="00794E81">
        <w:t xml:space="preserve"> to 202</w:t>
      </w:r>
      <w:r w:rsidR="00EC187B">
        <w:t>3</w:t>
      </w:r>
      <w:r w:rsidRPr="00794E81">
        <w:t>),</w:t>
      </w:r>
      <w:r w:rsidR="00F22A69" w:rsidRPr="00794E81">
        <w:rPr>
          <w:rStyle w:val="FootnoteReference"/>
        </w:rPr>
        <w:footnoteReference w:id="2"/>
      </w:r>
      <w:r w:rsidR="00F22A69" w:rsidRPr="00794E81">
        <w:t xml:space="preserve"> </w:t>
      </w:r>
      <w:r w:rsidR="245B7977" w:rsidRPr="00794E81">
        <w:lastRenderedPageBreak/>
        <w:t>compared to 0.5% (about 1.3 million) of all US adults, as estimated by the Williams Institute.</w:t>
      </w:r>
      <w:r w:rsidR="245B7977" w:rsidRPr="00794E81">
        <w:rPr>
          <w:rStyle w:val="FootnoteReference"/>
        </w:rPr>
        <w:footnoteReference w:id="3"/>
      </w:r>
    </w:p>
    <w:p w14:paraId="6F98F3B3" w14:textId="4815C79D" w:rsidR="00AA2658" w:rsidRPr="00FF6BF0" w:rsidRDefault="00AA2658" w:rsidP="23C76F0A">
      <w:pPr>
        <w:spacing w:line="240" w:lineRule="auto"/>
        <w:rPr>
          <w:rStyle w:val="Hyperlink"/>
          <w:color w:val="0000FF"/>
        </w:rPr>
      </w:pPr>
      <w:r w:rsidRPr="00AA2658">
        <w:rPr>
          <w:sz w:val="20"/>
          <w:szCs w:val="20"/>
        </w:rPr>
        <w:t xml:space="preserve">Data Source: Health Survey Program,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2022, Results from the Behavioral Risk Factor Surveillance System, December 2023, </w:t>
      </w:r>
      <w:hyperlink r:id="rId17" w:history="1">
        <w:r w:rsidRPr="00FF6BF0">
          <w:rPr>
            <w:rStyle w:val="Hyperlink"/>
            <w:color w:val="0000FF"/>
            <w:sz w:val="20"/>
            <w:szCs w:val="20"/>
          </w:rPr>
          <w:t>https://www.mass.gov/lists/brfss-statewide-reports-and-publications</w:t>
        </w:r>
      </w:hyperlink>
    </w:p>
    <w:p w14:paraId="1ED3B63E" w14:textId="0D25D309" w:rsidR="245B7977" w:rsidRPr="00FF6BF0" w:rsidRDefault="245B7977" w:rsidP="23C76F0A">
      <w:pPr>
        <w:spacing w:line="240" w:lineRule="auto"/>
        <w:rPr>
          <w:i/>
          <w:iCs/>
        </w:rPr>
      </w:pPr>
      <w:r w:rsidRPr="00FF6BF0">
        <w:rPr>
          <w:b/>
          <w:bCs/>
        </w:rPr>
        <w:t>Massachusetts Youth Risk Behavior Survey (YRBS):</w:t>
      </w:r>
      <w:r w:rsidRPr="00FF6BF0">
        <w:rPr>
          <w:b/>
          <w:bCs/>
          <w:vertAlign w:val="superscript"/>
        </w:rPr>
        <w:t xml:space="preserve"> </w:t>
      </w:r>
      <w:r w:rsidRPr="00FF6BF0">
        <w:rPr>
          <w:i/>
          <w:iCs/>
        </w:rPr>
        <w:t>An anonymous survey of public high school students conducted every odd year that collects data on health-related behaviors</w:t>
      </w:r>
      <w:r w:rsidR="00592D1B" w:rsidRPr="00FF6BF0">
        <w:rPr>
          <w:i/>
          <w:iCs/>
        </w:rPr>
        <w:t>.</w:t>
      </w:r>
    </w:p>
    <w:p w14:paraId="787BB6F2" w14:textId="46175DDB" w:rsidR="245B7977" w:rsidRPr="00FF6BF0" w:rsidRDefault="00592D1B" w:rsidP="00EA8697">
      <w:pPr>
        <w:numPr>
          <w:ilvl w:val="0"/>
          <w:numId w:val="7"/>
        </w:numPr>
        <w:spacing w:line="240" w:lineRule="auto"/>
      </w:pPr>
      <w:r w:rsidRPr="00FF6BF0">
        <w:t>Reported rates of transgender identity in Massachusetts youth are also higher than national estimates. Among public high school students in 2023, 1.2% (95% CI=0.5% - 1.8%, n=2,786) reported the gender identity transgender boy or man, 0.5% (95% CI=0.2% - 0.8%, n=2,786) transgender girl or woman, and 2.2% (95% CI=1.4% - 3.1%, n=2,786) non-binary, for a combined total of 3.9% reporting transgender/nonbinary identity.</w:t>
      </w:r>
      <w:r w:rsidRPr="00FF6BF0">
        <w:rPr>
          <w:rStyle w:val="FootnoteReference"/>
        </w:rPr>
        <w:footnoteReference w:id="4"/>
      </w:r>
      <w:r w:rsidRPr="00FF6BF0">
        <w:t xml:space="preserve"> Comparatively, 1.4% of US youth aged 13–17 years identify as transgender, as estimated by the Williams Institute</w:t>
      </w:r>
      <w:r w:rsidR="245B7977" w:rsidRPr="00FF6BF0">
        <w:t>.</w:t>
      </w:r>
      <w:r w:rsidR="00794E81" w:rsidRPr="00FF6BF0">
        <w:rPr>
          <w:rStyle w:val="FootnoteReference"/>
        </w:rPr>
        <w:footnoteReference w:id="5"/>
      </w:r>
    </w:p>
    <w:p w14:paraId="26E12F69" w14:textId="752D761A" w:rsidR="245B7977" w:rsidRPr="00FF6BF0" w:rsidRDefault="245B7977" w:rsidP="00EA8697">
      <w:pPr>
        <w:spacing w:line="240" w:lineRule="auto"/>
        <w:rPr>
          <w:color w:val="3366FF"/>
          <w:sz w:val="20"/>
          <w:szCs w:val="20"/>
        </w:rPr>
      </w:pPr>
      <w:r w:rsidRPr="00FF6BF0">
        <w:rPr>
          <w:sz w:val="20"/>
          <w:szCs w:val="20"/>
        </w:rPr>
        <w:t xml:space="preserve">Data Source for Youth Risk Behavior Survey Data: Office of Data Management and Outcomes Assessment, Department of Public Health and Massachusetts Department of Elementary and Secondary Education. For more information, see </w:t>
      </w:r>
      <w:hyperlink r:id="rId18" w:history="1">
        <w:r w:rsidRPr="00FF6BF0">
          <w:rPr>
            <w:rStyle w:val="Hyperlink"/>
            <w:color w:val="0000FF"/>
            <w:sz w:val="20"/>
            <w:szCs w:val="20"/>
          </w:rPr>
          <w:t>https://www.doe.mass.edu/sfs/yrbs/</w:t>
        </w:r>
      </w:hyperlink>
      <w:r w:rsidRPr="00FF6BF0">
        <w:rPr>
          <w:color w:val="3366FF"/>
          <w:sz w:val="20"/>
          <w:szCs w:val="20"/>
        </w:rPr>
        <w:t>.</w:t>
      </w:r>
      <w:r w:rsidR="00FF6BF0" w:rsidRPr="00FF6BF0">
        <w:rPr>
          <w:color w:val="3366FF"/>
          <w:sz w:val="20"/>
          <w:szCs w:val="20"/>
        </w:rPr>
        <w:t xml:space="preserve">  </w:t>
      </w:r>
      <w:r w:rsidRPr="00FF6BF0">
        <w:rPr>
          <w:color w:val="3366FF"/>
          <w:sz w:val="20"/>
          <w:szCs w:val="20"/>
        </w:rPr>
        <w:t xml:space="preserve"> </w:t>
      </w:r>
    </w:p>
    <w:p w14:paraId="3F606BD4" w14:textId="07FD9CD6" w:rsidR="00EA8697" w:rsidRPr="00FE7E49" w:rsidRDefault="6279C197" w:rsidP="1D5F7C61">
      <w:pPr>
        <w:spacing w:line="240" w:lineRule="auto"/>
        <w:rPr>
          <w:b/>
          <w:bCs/>
          <w:szCs w:val="24"/>
        </w:rPr>
      </w:pPr>
      <w:r w:rsidRPr="00FE7E49">
        <w:rPr>
          <w:rFonts w:ascii="Calibri" w:eastAsia="Calibri" w:hAnsi="Calibri" w:cs="Calibri"/>
          <w:szCs w:val="24"/>
        </w:rPr>
        <w:t>Transgender people, particularly transgender women, are among the groups most disproportionately affected by HIV in the U.S.</w:t>
      </w:r>
      <w:r w:rsidR="00EA8697" w:rsidRPr="00FE7E49">
        <w:rPr>
          <w:rStyle w:val="FootnoteReference"/>
          <w:szCs w:val="24"/>
        </w:rPr>
        <w:footnoteReference w:id="6"/>
      </w:r>
      <w:r w:rsidRPr="00FE7E49">
        <w:rPr>
          <w:szCs w:val="24"/>
        </w:rPr>
        <w:t xml:space="preserve"> A</w:t>
      </w:r>
      <w:r w:rsidRPr="00FE7E49">
        <w:rPr>
          <w:rFonts w:ascii="Calibri" w:eastAsia="Calibri" w:hAnsi="Calibri" w:cs="Calibri"/>
          <w:szCs w:val="24"/>
        </w:rPr>
        <w:t>ccurate and timely data are needed to create and evaluate HIV prevention and treatment programs to address this disparity.  Therefore, a</w:t>
      </w:r>
      <w:r w:rsidRPr="00FE7E49">
        <w:rPr>
          <w:szCs w:val="24"/>
        </w:rPr>
        <w:t>ssessing HIV incidence and prevalence in transgender populations is of critical importance</w:t>
      </w:r>
      <w:r w:rsidR="00B13952">
        <w:rPr>
          <w:szCs w:val="24"/>
        </w:rPr>
        <w:t xml:space="preserve"> to inform the public health response</w:t>
      </w:r>
      <w:r w:rsidRPr="00FE7E49">
        <w:rPr>
          <w:szCs w:val="24"/>
        </w:rPr>
        <w:t>.</w:t>
      </w:r>
    </w:p>
    <w:p w14:paraId="5F1AE99E" w14:textId="4D5211F3" w:rsidR="00654099" w:rsidRPr="00FE7E49" w:rsidRDefault="00467CFD" w:rsidP="556E7B65">
      <w:pPr>
        <w:spacing w:line="240" w:lineRule="auto"/>
        <w:rPr>
          <w:b/>
          <w:bCs/>
        </w:rPr>
      </w:pPr>
      <w:r w:rsidRPr="00FE7E49">
        <w:rPr>
          <w:b/>
          <w:bCs/>
        </w:rPr>
        <w:t xml:space="preserve">HIV INCIDENCE AND PREVALENCE AMONG </w:t>
      </w:r>
      <w:r w:rsidR="00654099" w:rsidRPr="00FE7E49">
        <w:rPr>
          <w:b/>
          <w:bCs/>
        </w:rPr>
        <w:t>TRANSGENDER INDIVIDUALS</w:t>
      </w:r>
    </w:p>
    <w:p w14:paraId="07B0D4A3" w14:textId="162F6F93" w:rsidR="00BD37E3" w:rsidRPr="00FE7E49" w:rsidRDefault="29519F8F" w:rsidP="556E7B65">
      <w:pPr>
        <w:spacing w:line="240" w:lineRule="auto"/>
        <w:rPr>
          <w:b/>
          <w:bCs/>
        </w:rPr>
      </w:pPr>
      <w:r w:rsidRPr="00FE7E49">
        <w:t>N =</w:t>
      </w:r>
      <w:r w:rsidRPr="00FE7E49">
        <w:rPr>
          <w:rFonts w:ascii="Arial Narrow" w:eastAsiaTheme="minorEastAsia" w:hAnsi="Arial Narrow"/>
          <w:kern w:val="24"/>
        </w:rPr>
        <w:t xml:space="preserve"> </w:t>
      </w:r>
      <w:proofErr w:type="gramStart"/>
      <w:r w:rsidRPr="00FE7E49">
        <w:t>1</w:t>
      </w:r>
      <w:r w:rsidR="00FE7E49" w:rsidRPr="00FE7E49">
        <w:t>8</w:t>
      </w:r>
      <w:r w:rsidRPr="00FE7E49">
        <w:rPr>
          <w:szCs w:val="24"/>
        </w:rPr>
        <w:t>,*</w:t>
      </w:r>
      <w:proofErr w:type="gramEnd"/>
      <w:r w:rsidRPr="00FE7E49">
        <w:rPr>
          <w:szCs w:val="24"/>
        </w:rPr>
        <w:t xml:space="preserve"> </w:t>
      </w:r>
      <w:r w:rsidRPr="00FE7E49">
        <w:t>1% of 1,</w:t>
      </w:r>
      <w:r w:rsidR="00654099" w:rsidRPr="00FE7E49">
        <w:t>4</w:t>
      </w:r>
      <w:r w:rsidR="00FE7E49" w:rsidRPr="00FE7E49">
        <w:t>35</w:t>
      </w:r>
      <w:r w:rsidRPr="00FE7E49">
        <w:t xml:space="preserve"> new HIV diagnoses from </w:t>
      </w:r>
      <w:r w:rsidR="002B0F96" w:rsidRPr="00FE7E49">
        <w:t>2021–2023</w:t>
      </w:r>
      <w:r w:rsidR="00BD37E3" w:rsidRPr="00FE7E49">
        <w:rPr>
          <w:rStyle w:val="FootnoteReference"/>
        </w:rPr>
        <w:footnoteReference w:id="7"/>
      </w:r>
      <w:r w:rsidRPr="00FE7E49">
        <w:rPr>
          <w:szCs w:val="24"/>
        </w:rPr>
        <w:t xml:space="preserve"> </w:t>
      </w:r>
      <w:r w:rsidRPr="00FE7E49">
        <w:t>were among transgender individuals</w:t>
      </w:r>
    </w:p>
    <w:p w14:paraId="02E13155" w14:textId="3774BA3A" w:rsidR="00BD37E3" w:rsidRPr="00FE7E49" w:rsidRDefault="08242D62" w:rsidP="00BD37E3">
      <w:pPr>
        <w:spacing w:line="240" w:lineRule="auto"/>
      </w:pPr>
      <w:r w:rsidRPr="00FE7E49">
        <w:t xml:space="preserve">N = </w:t>
      </w:r>
      <w:proofErr w:type="gramStart"/>
      <w:r w:rsidRPr="00FE7E49">
        <w:t>1</w:t>
      </w:r>
      <w:r w:rsidR="00FE7E49" w:rsidRPr="00FE7E49">
        <w:t>28</w:t>
      </w:r>
      <w:r w:rsidRPr="00FE7E49">
        <w:t>,*</w:t>
      </w:r>
      <w:proofErr w:type="gramEnd"/>
      <w:r w:rsidRPr="00FE7E49">
        <w:t xml:space="preserve"> 1% of 2</w:t>
      </w:r>
      <w:r w:rsidR="00FE7E49" w:rsidRPr="00FE7E49">
        <w:t>4,119</w:t>
      </w:r>
      <w:r w:rsidRPr="00FE7E49">
        <w:t xml:space="preserve"> persons living with HIV infection in MA as of </w:t>
      </w:r>
      <w:r w:rsidR="002B0F96" w:rsidRPr="00FE7E49">
        <w:t>12/31/2023</w:t>
      </w:r>
      <w:r w:rsidRPr="00FE7E49">
        <w:t xml:space="preserve"> were</w:t>
      </w:r>
      <w:r w:rsidR="0092798F" w:rsidRPr="00FE7E49">
        <w:t xml:space="preserve"> </w:t>
      </w:r>
      <w:r w:rsidRPr="00FE7E49">
        <w:t>transgender individuals</w:t>
      </w:r>
    </w:p>
    <w:p w14:paraId="595D24B0" w14:textId="77777777" w:rsidR="00BD37E3" w:rsidRPr="00FE7E49" w:rsidRDefault="00BD37E3" w:rsidP="00BD37E3">
      <w:pPr>
        <w:spacing w:line="240" w:lineRule="auto"/>
      </w:pPr>
      <w:r w:rsidRPr="00FE7E49">
        <w:rPr>
          <w:i/>
          <w:iCs/>
        </w:rPr>
        <w:lastRenderedPageBreak/>
        <w:t>* Reported numbers among transgender individuals are likely to be underestimates due to underreporting of current gender.</w:t>
      </w:r>
    </w:p>
    <w:p w14:paraId="4E5D2FDA" w14:textId="214BF5C5" w:rsidR="00BD37E3" w:rsidRPr="00FE7E49" w:rsidRDefault="08242D62" w:rsidP="00BD37E3">
      <w:pPr>
        <w:spacing w:line="240" w:lineRule="auto"/>
      </w:pPr>
      <w:r w:rsidRPr="00FE7E49">
        <w:rPr>
          <w:i/>
          <w:iCs/>
        </w:rPr>
        <w:t>The following data presentations include transgender women only due to small numbers among transgender men (N=</w:t>
      </w:r>
      <w:r w:rsidR="00FE7E49" w:rsidRPr="00FE7E49">
        <w:rPr>
          <w:i/>
          <w:iCs/>
        </w:rPr>
        <w:t>6</w:t>
      </w:r>
      <w:r w:rsidRPr="00FE7E49">
        <w:rPr>
          <w:i/>
          <w:iCs/>
        </w:rPr>
        <w:t xml:space="preserve"> </w:t>
      </w:r>
      <w:r w:rsidR="34198189" w:rsidRPr="00FE7E49">
        <w:rPr>
          <w:i/>
          <w:iCs/>
        </w:rPr>
        <w:t>transgender men</w:t>
      </w:r>
      <w:r w:rsidRPr="00FE7E49">
        <w:rPr>
          <w:i/>
          <w:iCs/>
        </w:rPr>
        <w:t xml:space="preserve"> </w:t>
      </w:r>
      <w:r w:rsidR="674C0150" w:rsidRPr="00FE7E49">
        <w:rPr>
          <w:i/>
          <w:iCs/>
        </w:rPr>
        <w:t xml:space="preserve">reported as </w:t>
      </w:r>
      <w:r w:rsidRPr="00FE7E49">
        <w:rPr>
          <w:i/>
          <w:iCs/>
        </w:rPr>
        <w:t xml:space="preserve">living with HIV infection </w:t>
      </w:r>
      <w:r w:rsidR="57965EC6" w:rsidRPr="00FE7E49">
        <w:rPr>
          <w:i/>
          <w:iCs/>
        </w:rPr>
        <w:t xml:space="preserve">in Massachusetts </w:t>
      </w:r>
      <w:r w:rsidRPr="00FE7E49">
        <w:rPr>
          <w:i/>
          <w:iCs/>
        </w:rPr>
        <w:t xml:space="preserve">as of </w:t>
      </w:r>
      <w:r w:rsidR="002B0F96" w:rsidRPr="00FE7E49">
        <w:rPr>
          <w:i/>
          <w:iCs/>
        </w:rPr>
        <w:t>12/31/2023</w:t>
      </w:r>
      <w:r w:rsidRPr="00FE7E49">
        <w:rPr>
          <w:i/>
          <w:iCs/>
        </w:rPr>
        <w:t>).</w:t>
      </w:r>
    </w:p>
    <w:p w14:paraId="0FC34A8D" w14:textId="13A12F7D" w:rsidR="00DD0234" w:rsidRPr="00FE7E49" w:rsidRDefault="00DD0234" w:rsidP="00DD0234">
      <w:pPr>
        <w:spacing w:line="240" w:lineRule="auto"/>
      </w:pPr>
      <w:r w:rsidRPr="00FE7E49">
        <w:rPr>
          <w:b/>
          <w:bCs/>
        </w:rPr>
        <w:t>EXPOSURE MODE</w:t>
      </w:r>
    </w:p>
    <w:p w14:paraId="72D7C7E3" w14:textId="070D3385" w:rsidR="00D53F8E" w:rsidRPr="00FE7E49" w:rsidRDefault="00DD0234" w:rsidP="00953750">
      <w:pPr>
        <w:spacing w:line="240" w:lineRule="auto"/>
      </w:pPr>
      <w:r w:rsidRPr="00FE7E49">
        <w:rPr>
          <w:b/>
          <w:bCs/>
        </w:rPr>
        <w:t xml:space="preserve">FIGURE 1. </w:t>
      </w:r>
      <w:r w:rsidRPr="00FE7E49">
        <w:t>Transgender women living with HIV infection by exposure mode, Massachusetts 202</w:t>
      </w:r>
      <w:r w:rsidR="00FE7E49" w:rsidRPr="00FE7E49">
        <w:t>3</w:t>
      </w:r>
      <w:r w:rsidR="00F43E89" w:rsidRPr="00FE7E49">
        <w:rPr>
          <w:rStyle w:val="FootnoteReference"/>
        </w:rPr>
        <w:footnoteReference w:id="8"/>
      </w:r>
      <w:r w:rsidRPr="00FE7E49">
        <w:t xml:space="preserve"> (N=1</w:t>
      </w:r>
      <w:r w:rsidR="00FE7E49" w:rsidRPr="00FE7E49">
        <w:t>22</w:t>
      </w:r>
      <w:r w:rsidRPr="00FE7E49">
        <w:t>)</w:t>
      </w:r>
    </w:p>
    <w:p w14:paraId="0AEF17B6" w14:textId="5688AD63" w:rsidR="00DD0234" w:rsidRPr="00541964" w:rsidRDefault="001F2111" w:rsidP="00953750">
      <w:pPr>
        <w:spacing w:line="240" w:lineRule="auto"/>
        <w:rPr>
          <w:color w:val="FF0000"/>
        </w:rPr>
      </w:pPr>
      <w:r>
        <w:rPr>
          <w:noProof/>
          <w:color w:val="FF0000"/>
        </w:rPr>
        <w:drawing>
          <wp:inline distT="0" distB="0" distL="0" distR="0" wp14:anchorId="1F5D4A9C" wp14:editId="540DA9D4">
            <wp:extent cx="3834765" cy="1828800"/>
            <wp:effectExtent l="0" t="0" r="0" b="0"/>
            <wp:docPr id="95957881" name="Picture 1" descr="The figure is a bar chart displaying the distribution of transgender women by exposure mode (sex with men, sex with men and injection drug use, and all other mod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7881" name="Picture 1" descr="The figure is a bar chart displaying the distribution of transgender women by exposure mode (sex with men, sex with men and injection drug use, and all other modes).&#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4765" cy="1828800"/>
                    </a:xfrm>
                    <a:prstGeom prst="rect">
                      <a:avLst/>
                    </a:prstGeom>
                    <a:noFill/>
                  </pic:spPr>
                </pic:pic>
              </a:graphicData>
            </a:graphic>
          </wp:inline>
        </w:drawing>
      </w:r>
    </w:p>
    <w:p w14:paraId="46AFA8A2" w14:textId="77777777" w:rsidR="00DD0234" w:rsidRPr="00A423AF" w:rsidRDefault="00DD0234" w:rsidP="00DD0234">
      <w:pPr>
        <w:rPr>
          <w:sz w:val="20"/>
          <w:szCs w:val="18"/>
          <w:vertAlign w:val="superscript"/>
        </w:rPr>
      </w:pPr>
      <w:r w:rsidRPr="00A423AF">
        <w:rPr>
          <w:sz w:val="20"/>
          <w:szCs w:val="18"/>
        </w:rPr>
        <w:t xml:space="preserve">Figure 1 Notes: </w:t>
      </w:r>
    </w:p>
    <w:p w14:paraId="09F6B286" w14:textId="14712181" w:rsidR="00DD0234" w:rsidRPr="00A423AF" w:rsidRDefault="00DD0234" w:rsidP="00DD0234">
      <w:pPr>
        <w:rPr>
          <w:sz w:val="20"/>
          <w:szCs w:val="18"/>
        </w:rPr>
      </w:pPr>
      <w:r w:rsidRPr="00A423AF">
        <w:rPr>
          <w:sz w:val="20"/>
          <w:szCs w:val="18"/>
        </w:rPr>
        <w:t>Sex with Men: For the purposes of categorizing sexual risk in transgender women reporting sex with men only, this exposure mode category is reported on this fact sheet as “sex with men”. For the purposes of official reporting in the MA HIV/AIDS Surveillance System and to CDC, exposure mode for transgender women is based on sex assigned at birth and therefore would be reported as male-to-male sex.</w:t>
      </w:r>
    </w:p>
    <w:p w14:paraId="18A4393A" w14:textId="3495A48B" w:rsidR="00DD0234" w:rsidRPr="00A423AF" w:rsidRDefault="00DD0234" w:rsidP="00DD0234">
      <w:pPr>
        <w:spacing w:line="240" w:lineRule="auto"/>
        <w:rPr>
          <w:sz w:val="20"/>
          <w:szCs w:val="18"/>
        </w:rPr>
      </w:pPr>
      <w:r w:rsidRPr="00A423AF">
        <w:rPr>
          <w:sz w:val="20"/>
          <w:szCs w:val="18"/>
        </w:rPr>
        <w:t>Sex with Men and Injection Drug Use: For the purposes of categorizing sexual risk in transgender women reporting both sex with men and injection drug use, this exposure mode category is reported on this fact sheet as “sex with men and injection drug use”. For the purposes of official reporting in the MA HIV/AIDS Surveillance System and to CDC, exposure mode for transgender women is based on sex assigned at birth and therefore would be reported as male-to-male sex/injection drug use.</w:t>
      </w:r>
    </w:p>
    <w:p w14:paraId="18994B68" w14:textId="1418D961" w:rsidR="00DD0234" w:rsidRPr="00A423AF" w:rsidRDefault="00DD0234" w:rsidP="00DD0234">
      <w:pPr>
        <w:numPr>
          <w:ilvl w:val="0"/>
          <w:numId w:val="1"/>
        </w:numPr>
        <w:spacing w:line="240" w:lineRule="auto"/>
      </w:pPr>
      <w:r w:rsidRPr="00A423AF">
        <w:t>Sex with men was the exposure mode for the majority (8</w:t>
      </w:r>
      <w:r w:rsidR="00A423AF" w:rsidRPr="00A423AF">
        <w:t>4</w:t>
      </w:r>
      <w:r w:rsidRPr="00A423AF">
        <w:t xml:space="preserve">%) of transgender women reported to be living with HIV infection. </w:t>
      </w:r>
    </w:p>
    <w:p w14:paraId="6F6A7532" w14:textId="77777777" w:rsidR="00DD25C4" w:rsidRPr="00A423AF" w:rsidRDefault="00DD25C4" w:rsidP="008300B1">
      <w:pPr>
        <w:rPr>
          <w:b/>
          <w:bCs/>
        </w:rPr>
      </w:pPr>
      <w:r w:rsidRPr="00A423AF">
        <w:rPr>
          <w:b/>
          <w:bCs/>
        </w:rPr>
        <w:br w:type="page"/>
      </w:r>
    </w:p>
    <w:p w14:paraId="7DE696C7" w14:textId="46DEE0FF" w:rsidR="008300B1" w:rsidRPr="00D10AC9" w:rsidRDefault="008300B1" w:rsidP="008300B1">
      <w:pPr>
        <w:rPr>
          <w:b/>
          <w:bCs/>
        </w:rPr>
      </w:pPr>
      <w:r w:rsidRPr="00D10AC9">
        <w:rPr>
          <w:b/>
          <w:bCs/>
        </w:rPr>
        <w:lastRenderedPageBreak/>
        <w:t>RACE/ETHNICITY</w:t>
      </w:r>
    </w:p>
    <w:p w14:paraId="2EB1C4A9" w14:textId="011D0529" w:rsidR="008300B1" w:rsidRPr="00D10AC9" w:rsidRDefault="008300B1" w:rsidP="008300B1">
      <w:r w:rsidRPr="00D10AC9">
        <w:rPr>
          <w:b/>
          <w:bCs/>
        </w:rPr>
        <w:t xml:space="preserve">FIGURE 2. </w:t>
      </w:r>
      <w:r w:rsidRPr="00D10AC9">
        <w:t xml:space="preserve">Persons living with HIV infection on </w:t>
      </w:r>
      <w:r w:rsidR="00A423AF" w:rsidRPr="00D10AC9">
        <w:t>December 31, 2023</w:t>
      </w:r>
      <w:r w:rsidR="00DD25C4" w:rsidRPr="00D10AC9">
        <w:rPr>
          <w:rStyle w:val="FootnoteReference"/>
        </w:rPr>
        <w:footnoteReference w:id="9"/>
      </w:r>
      <w:r w:rsidRPr="00D10AC9">
        <w:rPr>
          <w:vertAlign w:val="superscript"/>
        </w:rPr>
        <w:t xml:space="preserve"> </w:t>
      </w:r>
      <w:r w:rsidRPr="00D10AC9">
        <w:t xml:space="preserve">by race/ethnicity: </w:t>
      </w:r>
      <w:r w:rsidR="00A423AF" w:rsidRPr="00D10AC9">
        <w:t>transgender women (N=122), cisgender women (N=7,009), and Massachusetts total (N=24,119)</w:t>
      </w:r>
    </w:p>
    <w:p w14:paraId="5FF29868" w14:textId="79084E65" w:rsidR="00F90400" w:rsidRPr="00DD1469" w:rsidRDefault="0056509B" w:rsidP="305BBFB0">
      <w:pPr>
        <w:spacing w:line="240" w:lineRule="auto"/>
        <w:rPr>
          <w:b/>
          <w:bCs/>
        </w:rPr>
      </w:pPr>
      <w:r w:rsidRPr="00DD1469">
        <w:rPr>
          <w:b/>
          <w:bCs/>
          <w:noProof/>
        </w:rPr>
        <w:drawing>
          <wp:inline distT="0" distB="0" distL="0" distR="0" wp14:anchorId="177C3EB2" wp14:editId="0A846C92">
            <wp:extent cx="6395085" cy="2585085"/>
            <wp:effectExtent l="0" t="0" r="0" b="0"/>
            <wp:docPr id="369703677" name="Picture 2" descr="The figure is a stacked bar chart displaying the distribution by race/ethnicity (White NH, Black NH, Hispanic/Latino, Other)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03677" name="Picture 2" descr="The figure is a stacked bar chart displaying the distribution by race/ethnicity (White NH, Black NH, Hispanic/Latino, Other) of three groups: transgender women, cisgender women, and Massachusetts Total.&#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5085" cy="2585085"/>
                    </a:xfrm>
                    <a:prstGeom prst="rect">
                      <a:avLst/>
                    </a:prstGeom>
                    <a:noFill/>
                  </pic:spPr>
                </pic:pic>
              </a:graphicData>
            </a:graphic>
          </wp:inline>
        </w:drawing>
      </w:r>
      <w:r w:rsidR="3BE9BCD6" w:rsidRPr="00DD1469">
        <w:rPr>
          <w:b/>
          <w:bCs/>
        </w:rPr>
        <w:t xml:space="preserve">KEY </w:t>
      </w:r>
      <w:r w:rsidR="01EDD906" w:rsidRPr="00DD1469">
        <w:rPr>
          <w:b/>
          <w:bCs/>
        </w:rPr>
        <w:t>FINDING</w:t>
      </w:r>
    </w:p>
    <w:p w14:paraId="78CDA9B7" w14:textId="70838218" w:rsidR="00F90400" w:rsidRPr="00DD1469" w:rsidRDefault="003C0606" w:rsidP="00F90400">
      <w:pPr>
        <w:numPr>
          <w:ilvl w:val="0"/>
          <w:numId w:val="2"/>
        </w:numPr>
        <w:spacing w:line="240" w:lineRule="auto"/>
      </w:pPr>
      <w:r w:rsidRPr="00DD1469">
        <w:t>Fifty-</w:t>
      </w:r>
      <w:r w:rsidR="00DD1469" w:rsidRPr="00DD1469">
        <w:t>four</w:t>
      </w:r>
      <w:r w:rsidRPr="00DD1469">
        <w:t xml:space="preserve"> percent of transgender</w:t>
      </w:r>
      <w:r w:rsidR="00F90400" w:rsidRPr="00DD1469">
        <w:t xml:space="preserve"> women living with HIV infection were Hispanic/Latin</w:t>
      </w:r>
      <w:r w:rsidR="00DD1469" w:rsidRPr="00DD1469">
        <w:t>x</w:t>
      </w:r>
      <w:r w:rsidR="00F90400" w:rsidRPr="00DD1469">
        <w:t xml:space="preserve">, compared to 28% of </w:t>
      </w:r>
      <w:r w:rsidR="00DD1469" w:rsidRPr="00DD1469">
        <w:t xml:space="preserve">both </w:t>
      </w:r>
      <w:r w:rsidR="00F90400" w:rsidRPr="00DD1469">
        <w:t>cisgender women</w:t>
      </w:r>
      <w:r w:rsidR="00F90400" w:rsidRPr="00DD1469">
        <w:rPr>
          <w:rStyle w:val="FootnoteReference"/>
        </w:rPr>
        <w:footnoteReference w:id="10"/>
      </w:r>
      <w:r w:rsidR="00F90400" w:rsidRPr="00DD1469">
        <w:t xml:space="preserve"> and all persons living with HIV infection.</w:t>
      </w:r>
    </w:p>
    <w:p w14:paraId="21B0B80C" w14:textId="77777777" w:rsidR="00F43E89" w:rsidRPr="00DD1469" w:rsidRDefault="00F43E89" w:rsidP="00F43E89">
      <w:r w:rsidRPr="00DD1469">
        <w:rPr>
          <w:b/>
          <w:bCs/>
        </w:rPr>
        <w:t>AGE</w:t>
      </w:r>
    </w:p>
    <w:p w14:paraId="3DE04324" w14:textId="44DF2ECA" w:rsidR="00DD0234" w:rsidRPr="00DD1469" w:rsidRDefault="00F43E89" w:rsidP="00953750">
      <w:pPr>
        <w:spacing w:line="240" w:lineRule="auto"/>
      </w:pPr>
      <w:r w:rsidRPr="00DD1469">
        <w:rPr>
          <w:b/>
          <w:bCs/>
        </w:rPr>
        <w:t xml:space="preserve">FIGURE 3. </w:t>
      </w:r>
      <w:r w:rsidRPr="00DD1469">
        <w:t xml:space="preserve">Persons living with HIV infection on </w:t>
      </w:r>
      <w:r w:rsidR="00A423AF" w:rsidRPr="00DD1469">
        <w:t xml:space="preserve">December 31, </w:t>
      </w:r>
      <w:proofErr w:type="gramStart"/>
      <w:r w:rsidR="00A423AF" w:rsidRPr="00DD1469">
        <w:t>2023</w:t>
      </w:r>
      <w:proofErr w:type="gramEnd"/>
      <w:r w:rsidRPr="00DD1469">
        <w:t xml:space="preserve"> by age (years): </w:t>
      </w:r>
      <w:r w:rsidR="00A423AF" w:rsidRPr="00DD1469">
        <w:t>transgender women (N=122), cisgender women (N=7,009), and Massachusetts total (N=24,119)</w:t>
      </w:r>
    </w:p>
    <w:p w14:paraId="558EFEEE" w14:textId="77777777" w:rsidR="00DD1469" w:rsidRDefault="00DD1469" w:rsidP="00DD25C4">
      <w:pPr>
        <w:spacing w:line="240" w:lineRule="auto"/>
        <w:rPr>
          <w:color w:val="FF0000"/>
          <w:sz w:val="20"/>
          <w:szCs w:val="20"/>
        </w:rPr>
      </w:pPr>
      <w:r>
        <w:rPr>
          <w:noProof/>
          <w:color w:val="FF0000"/>
          <w:sz w:val="20"/>
          <w:szCs w:val="20"/>
        </w:rPr>
        <w:drawing>
          <wp:inline distT="0" distB="0" distL="0" distR="0" wp14:anchorId="07BADB30" wp14:editId="23ED42B8">
            <wp:extent cx="6151249" cy="2188028"/>
            <wp:effectExtent l="0" t="0" r="0" b="0"/>
            <wp:docPr id="994013743" name="Picture 3" descr="The figure is a stacked bar chart displaying the distribution by age (20-29 years, 30-39 years, 40-49 years, 50-59 years, and 60+ years)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13743" name="Picture 3" descr="The figure is a stacked bar chart displaying the distribution by age (20-29 years, 30-39 years, 40-49 years, 50-59 years, and 60+ years) of three groups: transgender women, cisgender women, and Massachusetts Total.&#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5502" cy="2196655"/>
                    </a:xfrm>
                    <a:prstGeom prst="rect">
                      <a:avLst/>
                    </a:prstGeom>
                    <a:noFill/>
                  </pic:spPr>
                </pic:pic>
              </a:graphicData>
            </a:graphic>
          </wp:inline>
        </w:drawing>
      </w:r>
    </w:p>
    <w:p w14:paraId="512CF3F1" w14:textId="09DBEFE6" w:rsidR="00F43E89" w:rsidRPr="00DD1469" w:rsidRDefault="00F43E89" w:rsidP="00DD25C4">
      <w:pPr>
        <w:spacing w:line="240" w:lineRule="auto"/>
        <w:rPr>
          <w:sz w:val="20"/>
          <w:szCs w:val="20"/>
        </w:rPr>
      </w:pPr>
      <w:r w:rsidRPr="00DD1469">
        <w:rPr>
          <w:sz w:val="20"/>
          <w:szCs w:val="20"/>
        </w:rPr>
        <w:t>Figure 3 Note: Ages 0-19 not shown due to small numbers.</w:t>
      </w:r>
    </w:p>
    <w:p w14:paraId="104B222A" w14:textId="1BFCC1C9" w:rsidR="00F43E89" w:rsidRPr="008E3949" w:rsidRDefault="00BE5E8D" w:rsidP="00F43E89">
      <w:pPr>
        <w:spacing w:line="240" w:lineRule="auto"/>
      </w:pPr>
      <w:r w:rsidRPr="008E3949">
        <w:rPr>
          <w:b/>
          <w:bCs/>
        </w:rPr>
        <w:lastRenderedPageBreak/>
        <w:t>KEY FINDING</w:t>
      </w:r>
    </w:p>
    <w:p w14:paraId="2D6A70A3" w14:textId="5547F1C3" w:rsidR="00F43E89" w:rsidRPr="008E3949" w:rsidRDefault="008E3949" w:rsidP="00F43E89">
      <w:pPr>
        <w:numPr>
          <w:ilvl w:val="0"/>
          <w:numId w:val="3"/>
        </w:numPr>
        <w:spacing w:line="240" w:lineRule="auto"/>
      </w:pPr>
      <w:proofErr w:type="gramStart"/>
      <w:r w:rsidRPr="008E3949">
        <w:t>The majority of</w:t>
      </w:r>
      <w:proofErr w:type="gramEnd"/>
      <w:r w:rsidRPr="008E3949">
        <w:t xml:space="preserve"> transgender women living with HIV infection in Massachusetts were under 40 years old.  A total of 52% of transgender women were ages 20–39 years old as of December 31, 2023,</w:t>
      </w:r>
      <w:r w:rsidRPr="008E3949">
        <w:rPr>
          <w:rStyle w:val="FootnoteReference"/>
        </w:rPr>
        <w:t xml:space="preserve"> </w:t>
      </w:r>
      <w:r w:rsidRPr="008E3949">
        <w:rPr>
          <w:rStyle w:val="FootnoteReference"/>
        </w:rPr>
        <w:footnoteReference w:id="11"/>
      </w:r>
      <w:r w:rsidRPr="008E3949">
        <w:t xml:space="preserve">  compared to 14% of cisgender women and 18% of all persons living with HIV infection in Massachusetts.</w:t>
      </w:r>
    </w:p>
    <w:p w14:paraId="2A59CD3E" w14:textId="77777777" w:rsidR="00262027" w:rsidRPr="008E3949" w:rsidRDefault="00262027" w:rsidP="00262027">
      <w:r w:rsidRPr="008E3949">
        <w:rPr>
          <w:b/>
          <w:bCs/>
        </w:rPr>
        <w:t>PLACE OF BIRTH</w:t>
      </w:r>
    </w:p>
    <w:p w14:paraId="4C827324" w14:textId="08713591" w:rsidR="00F43E89" w:rsidRPr="008E3949" w:rsidRDefault="00262027" w:rsidP="00953750">
      <w:pPr>
        <w:spacing w:line="240" w:lineRule="auto"/>
      </w:pPr>
      <w:r w:rsidRPr="008E3949">
        <w:rPr>
          <w:b/>
          <w:bCs/>
        </w:rPr>
        <w:t xml:space="preserve">FIGURE 4. </w:t>
      </w:r>
      <w:r w:rsidRPr="008E3949">
        <w:t xml:space="preserve">Persons living with HIV infection on </w:t>
      </w:r>
      <w:r w:rsidR="00A423AF" w:rsidRPr="008E3949">
        <w:t xml:space="preserve">December 31, </w:t>
      </w:r>
      <w:proofErr w:type="gramStart"/>
      <w:r w:rsidR="00A423AF" w:rsidRPr="008E3949">
        <w:t>2023</w:t>
      </w:r>
      <w:proofErr w:type="gramEnd"/>
      <w:r w:rsidRPr="008E3949">
        <w:t xml:space="preserve"> by place of birth: </w:t>
      </w:r>
      <w:r w:rsidR="00A423AF" w:rsidRPr="008E3949">
        <w:t>transgender women (N=122), cisgender women (N=7,009), and Massachusetts total (N=24,119)</w:t>
      </w:r>
    </w:p>
    <w:p w14:paraId="775E5371" w14:textId="0BD95D8E" w:rsidR="00DD25C4" w:rsidRPr="00541964" w:rsidRDefault="008E3949" w:rsidP="00262027">
      <w:pPr>
        <w:spacing w:line="240" w:lineRule="auto"/>
        <w:rPr>
          <w:color w:val="FF0000"/>
          <w:sz w:val="20"/>
          <w:szCs w:val="20"/>
          <w:vertAlign w:val="superscript"/>
        </w:rPr>
      </w:pPr>
      <w:r>
        <w:rPr>
          <w:noProof/>
          <w:color w:val="FF0000"/>
          <w:sz w:val="20"/>
          <w:szCs w:val="20"/>
          <w:vertAlign w:val="superscript"/>
        </w:rPr>
        <w:drawing>
          <wp:inline distT="0" distB="0" distL="0" distR="0" wp14:anchorId="66A9F8F7" wp14:editId="6FB79331">
            <wp:extent cx="6407150" cy="2407920"/>
            <wp:effectExtent l="0" t="0" r="0" b="0"/>
            <wp:docPr id="1925005588" name="Picture 4" descr="The figure is a stacked bar chart displaying the distribution by place of birth (United States, Puerto Rico/US Dependency, Non-US)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05588" name="Picture 4" descr="The figure is a stacked bar chart displaying the distribution by place of birth (United States, Puerto Rico/US Dependency, Non-US) of three groups: transgender women, cisgender women, and Massachusetts Total.&#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7150" cy="2407920"/>
                    </a:xfrm>
                    <a:prstGeom prst="rect">
                      <a:avLst/>
                    </a:prstGeom>
                    <a:noFill/>
                  </pic:spPr>
                </pic:pic>
              </a:graphicData>
            </a:graphic>
          </wp:inline>
        </w:drawing>
      </w:r>
    </w:p>
    <w:p w14:paraId="1F84B7E3" w14:textId="1796EE8C" w:rsidR="00262027" w:rsidRPr="00D05A74" w:rsidRDefault="00262027" w:rsidP="00262027">
      <w:pPr>
        <w:spacing w:line="240" w:lineRule="auto"/>
        <w:rPr>
          <w:sz w:val="20"/>
          <w:szCs w:val="18"/>
        </w:rPr>
      </w:pPr>
      <w:r w:rsidRPr="00D05A74">
        <w:rPr>
          <w:sz w:val="20"/>
          <w:szCs w:val="18"/>
          <w:vertAlign w:val="superscript"/>
        </w:rPr>
        <w:t xml:space="preserve">* </w:t>
      </w:r>
      <w:r w:rsidRPr="00D05A74">
        <w:rPr>
          <w:sz w:val="20"/>
          <w:szCs w:val="18"/>
        </w:rPr>
        <w:t xml:space="preserve">Figure 4 Note: 98% of individuals living with HIV infection on </w:t>
      </w:r>
      <w:r w:rsidR="002B0F96" w:rsidRPr="00D05A74">
        <w:rPr>
          <w:sz w:val="20"/>
          <w:szCs w:val="18"/>
        </w:rPr>
        <w:t>12/31/2023</w:t>
      </w:r>
      <w:r w:rsidRPr="00D05A74">
        <w:rPr>
          <w:sz w:val="20"/>
          <w:szCs w:val="18"/>
        </w:rPr>
        <w:t xml:space="preserve"> who were born in a US dependency were born in Puerto Rico</w:t>
      </w:r>
    </w:p>
    <w:p w14:paraId="16F3CDDD" w14:textId="167CE881" w:rsidR="00A272DD" w:rsidRPr="00D05A74" w:rsidRDefault="00D05A74" w:rsidP="00A272DD">
      <w:pPr>
        <w:numPr>
          <w:ilvl w:val="0"/>
          <w:numId w:val="8"/>
        </w:numPr>
      </w:pPr>
      <w:r w:rsidRPr="00D05A74">
        <w:t xml:space="preserve">The distribution of place of birth among transgender women living with HIV infection on December 31, </w:t>
      </w:r>
      <w:proofErr w:type="gramStart"/>
      <w:r w:rsidRPr="00D05A74">
        <w:t>2023</w:t>
      </w:r>
      <w:proofErr w:type="gramEnd"/>
      <w:r w:rsidRPr="00D05A74">
        <w:t xml:space="preserve"> was more </w:t>
      </w:r>
      <w:proofErr w:type="gramStart"/>
      <w:r w:rsidRPr="00D05A74">
        <w:t>similar to</w:t>
      </w:r>
      <w:proofErr w:type="gramEnd"/>
      <w:r w:rsidRPr="00D05A74">
        <w:t xml:space="preserve"> t</w:t>
      </w:r>
      <w:r w:rsidR="00547ABA">
        <w:t>he distribution</w:t>
      </w:r>
      <w:r w:rsidRPr="00D05A74">
        <w:t xml:space="preserve"> of all persons living with HIV infection (PLWH) in Massachusetts than </w:t>
      </w:r>
      <w:r w:rsidR="00547ABA">
        <w:t xml:space="preserve">to the distribution of </w:t>
      </w:r>
      <w:r w:rsidRPr="00D05A74">
        <w:t>cisgender women. Fifty-nine percent of transgender women were born in the United States compared to 58% of all PLWH and 44% of cisgender women</w:t>
      </w:r>
      <w:r w:rsidR="00A272DD" w:rsidRPr="00D05A74">
        <w:t xml:space="preserve">. </w:t>
      </w:r>
    </w:p>
    <w:p w14:paraId="34924EF2" w14:textId="77777777" w:rsidR="00755BE0" w:rsidRPr="00541964" w:rsidRDefault="00755BE0" w:rsidP="00337F9B">
      <w:pPr>
        <w:rPr>
          <w:b/>
          <w:bCs/>
          <w:color w:val="FF0000"/>
        </w:rPr>
      </w:pPr>
      <w:r w:rsidRPr="00541964">
        <w:rPr>
          <w:b/>
          <w:bCs/>
          <w:color w:val="FF0000"/>
        </w:rPr>
        <w:br w:type="page"/>
      </w:r>
    </w:p>
    <w:p w14:paraId="6D6E42D3" w14:textId="6A0A9F68" w:rsidR="00337F9B" w:rsidRPr="00D05A74" w:rsidRDefault="00337F9B" w:rsidP="00337F9B">
      <w:r w:rsidRPr="00D05A74">
        <w:rPr>
          <w:b/>
          <w:bCs/>
        </w:rPr>
        <w:lastRenderedPageBreak/>
        <w:t>AREA OF RESIDENCE</w:t>
      </w:r>
    </w:p>
    <w:p w14:paraId="22D393D2" w14:textId="535C57CC" w:rsidR="00337F9B" w:rsidRPr="00D05A74" w:rsidRDefault="00337F9B" w:rsidP="00337F9B">
      <w:pPr>
        <w:spacing w:line="240" w:lineRule="auto"/>
      </w:pPr>
      <w:r w:rsidRPr="00D05A74">
        <w:rPr>
          <w:b/>
          <w:bCs/>
        </w:rPr>
        <w:t xml:space="preserve">FIGURE 5. </w:t>
      </w:r>
      <w:r w:rsidRPr="00D05A74">
        <w:t xml:space="preserve">Persons living with HIV infection on </w:t>
      </w:r>
      <w:r w:rsidR="00A423AF" w:rsidRPr="00D05A74">
        <w:t xml:space="preserve">December 31, </w:t>
      </w:r>
      <w:proofErr w:type="gramStart"/>
      <w:r w:rsidR="00A423AF" w:rsidRPr="00D05A74">
        <w:t>2023</w:t>
      </w:r>
      <w:proofErr w:type="gramEnd"/>
      <w:r w:rsidRPr="00D05A74">
        <w:t xml:space="preserve"> by Health Service Region (HSR) of residence: </w:t>
      </w:r>
      <w:r w:rsidR="00A423AF" w:rsidRPr="00D05A74">
        <w:t>transgender women (N=122), cisgender women (N=7,009), and Massachusetts total (N=24,119)</w:t>
      </w:r>
    </w:p>
    <w:p w14:paraId="72406038" w14:textId="2B8F9258" w:rsidR="00262027" w:rsidRPr="00541964" w:rsidRDefault="00D05A74" w:rsidP="00953750">
      <w:pPr>
        <w:spacing w:line="240" w:lineRule="auto"/>
        <w:rPr>
          <w:color w:val="FF0000"/>
        </w:rPr>
      </w:pPr>
      <w:r>
        <w:rPr>
          <w:noProof/>
          <w:color w:val="FF0000"/>
        </w:rPr>
        <w:drawing>
          <wp:inline distT="0" distB="0" distL="0" distR="0" wp14:anchorId="2EC9F583" wp14:editId="4BDF7B5E">
            <wp:extent cx="6401435" cy="2578735"/>
            <wp:effectExtent l="0" t="0" r="0" b="0"/>
            <wp:docPr id="21581148" name="Picture 5" descr="The figure is a stacked bar chart displaying the distribution by Health Service Region (HSR) of residence (Boston HSR, Central HSR, Metrowest HSR, Northeast HSR, Southeast HSR, Western HSR, and Unknown)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148" name="Picture 5" descr="The figure is a stacked bar chart displaying the distribution by Health Service Region (HSR) of residence (Boston HSR, Central HSR, Metrowest HSR, Northeast HSR, Southeast HSR, Western HSR, and Unknown) of three groups: transgender women, cisgender women, and Massachusetts Total.&#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1435" cy="2578735"/>
                    </a:xfrm>
                    <a:prstGeom prst="rect">
                      <a:avLst/>
                    </a:prstGeom>
                    <a:noFill/>
                  </pic:spPr>
                </pic:pic>
              </a:graphicData>
            </a:graphic>
          </wp:inline>
        </w:drawing>
      </w:r>
    </w:p>
    <w:p w14:paraId="4C697659" w14:textId="6811D114" w:rsidR="00337F9B" w:rsidRPr="00D05A74" w:rsidRDefault="00A272DD" w:rsidP="00337F9B">
      <w:pPr>
        <w:numPr>
          <w:ilvl w:val="0"/>
          <w:numId w:val="5"/>
        </w:numPr>
        <w:spacing w:line="240" w:lineRule="auto"/>
      </w:pPr>
      <w:r w:rsidRPr="00D05A74">
        <w:t>Forty-</w:t>
      </w:r>
      <w:r w:rsidR="00D05A74" w:rsidRPr="00D05A74">
        <w:t>two</w:t>
      </w:r>
      <w:r w:rsidRPr="00D05A74">
        <w:t xml:space="preserve"> percent of transgender women reported to be living with HIV infection in Massachusetts on </w:t>
      </w:r>
      <w:r w:rsidR="00A423AF" w:rsidRPr="00D05A74">
        <w:t>December 31, 2023</w:t>
      </w:r>
      <w:r w:rsidR="00DD25C4" w:rsidRPr="00D05A74">
        <w:rPr>
          <w:rStyle w:val="FootnoteReference"/>
        </w:rPr>
        <w:footnoteReference w:id="12"/>
      </w:r>
      <w:r w:rsidR="00337F9B" w:rsidRPr="00D05A74">
        <w:t xml:space="preserve"> </w:t>
      </w:r>
      <w:r w:rsidRPr="00D05A74">
        <w:t xml:space="preserve">were living in the Boston HSR, </w:t>
      </w:r>
      <w:r w:rsidR="00D05A74" w:rsidRPr="00D05A74">
        <w:t>compared to 21% of cisgender women and 26% of all persons living with HIV infection. A total of 16% of transgender women were living in the Western HSR, 11% in both the Metrowest and Northeast HSRs, and 10% in both the Central and Southeast HSRs</w:t>
      </w:r>
      <w:r w:rsidRPr="00D05A74">
        <w:t>.</w:t>
      </w:r>
    </w:p>
    <w:p w14:paraId="6709262B" w14:textId="3FE0168E" w:rsidR="00FC77F1" w:rsidRPr="00541964" w:rsidRDefault="00FC77F1" w:rsidP="00FC77F1">
      <w:pPr>
        <w:spacing w:line="240" w:lineRule="auto"/>
      </w:pPr>
      <w:r w:rsidRPr="00541964">
        <w:t xml:space="preserve">HIV Surveillance Data Source: MDPH Bureau of Infectious Disease and Laboratory Sciences, data are current as of </w:t>
      </w:r>
      <w:r w:rsidR="00541964" w:rsidRPr="00541964">
        <w:t>7</w:t>
      </w:r>
      <w:r w:rsidRPr="00541964">
        <w:t>/1/202</w:t>
      </w:r>
      <w:r w:rsidR="00541964" w:rsidRPr="00541964">
        <w:t>4</w:t>
      </w:r>
      <w:r w:rsidRPr="00541964">
        <w:t xml:space="preserve"> and may be subject to change</w:t>
      </w:r>
    </w:p>
    <w:p w14:paraId="63278D35" w14:textId="77777777" w:rsidR="00337F9B" w:rsidRPr="00541964" w:rsidRDefault="00337F9B" w:rsidP="00953750">
      <w:pPr>
        <w:spacing w:line="240" w:lineRule="auto"/>
        <w:rPr>
          <w:color w:val="FF0000"/>
        </w:rPr>
      </w:pPr>
    </w:p>
    <w:sectPr w:rsidR="00337F9B" w:rsidRPr="00541964" w:rsidSect="00866440">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22DD" w14:textId="77777777" w:rsidR="00564DCE" w:rsidRDefault="00564DCE" w:rsidP="00954CE2">
      <w:pPr>
        <w:spacing w:after="0" w:line="240" w:lineRule="auto"/>
      </w:pPr>
      <w:r>
        <w:separator/>
      </w:r>
    </w:p>
  </w:endnote>
  <w:endnote w:type="continuationSeparator" w:id="0">
    <w:p w14:paraId="10C34D7E" w14:textId="77777777" w:rsidR="00564DCE" w:rsidRDefault="00564DCE" w:rsidP="0095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83662"/>
      <w:docPartObj>
        <w:docPartGallery w:val="Page Numbers (Bottom of Page)"/>
        <w:docPartUnique/>
      </w:docPartObj>
    </w:sdtPr>
    <w:sdtEndPr>
      <w:rPr>
        <w:noProof/>
      </w:rPr>
    </w:sdtEndPr>
    <w:sdtContent>
      <w:p w14:paraId="2FD944E7" w14:textId="3B2A4B2B" w:rsidR="00954CE2" w:rsidRDefault="00954C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951A1" w14:textId="77777777" w:rsidR="00954CE2" w:rsidRDefault="00954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556E7B65" w14:paraId="31812F4D" w14:textId="77777777" w:rsidTr="00AD6CA2">
      <w:tc>
        <w:tcPr>
          <w:tcW w:w="3120" w:type="dxa"/>
        </w:tcPr>
        <w:p w14:paraId="547FDE3F" w14:textId="2913269A" w:rsidR="556E7B65" w:rsidRDefault="556E7B65" w:rsidP="0074370A">
          <w:pPr>
            <w:pStyle w:val="Header"/>
            <w:ind w:left="-115"/>
            <w:rPr>
              <w:szCs w:val="24"/>
            </w:rPr>
          </w:pPr>
        </w:p>
      </w:tc>
      <w:tc>
        <w:tcPr>
          <w:tcW w:w="3120" w:type="dxa"/>
        </w:tcPr>
        <w:p w14:paraId="3B85F417" w14:textId="5E21D374" w:rsidR="556E7B65" w:rsidRDefault="556E7B65" w:rsidP="0074370A">
          <w:pPr>
            <w:pStyle w:val="Header"/>
            <w:jc w:val="center"/>
            <w:rPr>
              <w:szCs w:val="24"/>
            </w:rPr>
          </w:pPr>
        </w:p>
      </w:tc>
      <w:tc>
        <w:tcPr>
          <w:tcW w:w="3120" w:type="dxa"/>
        </w:tcPr>
        <w:p w14:paraId="4D32E0A2" w14:textId="69F394CD" w:rsidR="556E7B65" w:rsidRDefault="556E7B65" w:rsidP="0074370A">
          <w:pPr>
            <w:pStyle w:val="Header"/>
            <w:ind w:right="-115"/>
            <w:jc w:val="right"/>
            <w:rPr>
              <w:szCs w:val="24"/>
            </w:rPr>
          </w:pPr>
        </w:p>
      </w:tc>
    </w:tr>
  </w:tbl>
  <w:p w14:paraId="75ABF594" w14:textId="30895226" w:rsidR="556E7B65" w:rsidRDefault="556E7B65" w:rsidP="0074370A">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FE43" w14:textId="77777777" w:rsidR="00564DCE" w:rsidRDefault="00564DCE" w:rsidP="00954CE2">
      <w:pPr>
        <w:spacing w:after="0" w:line="240" w:lineRule="auto"/>
      </w:pPr>
      <w:r>
        <w:separator/>
      </w:r>
    </w:p>
  </w:footnote>
  <w:footnote w:type="continuationSeparator" w:id="0">
    <w:p w14:paraId="7790C89E" w14:textId="77777777" w:rsidR="00564DCE" w:rsidRDefault="00564DCE" w:rsidP="00954CE2">
      <w:pPr>
        <w:spacing w:after="0" w:line="240" w:lineRule="auto"/>
      </w:pPr>
      <w:r>
        <w:continuationSeparator/>
      </w:r>
    </w:p>
  </w:footnote>
  <w:footnote w:id="1">
    <w:p w14:paraId="53AAC36E" w14:textId="7C312092" w:rsidR="6782CE5A" w:rsidRPr="00B30EC1" w:rsidRDefault="6782CE5A" w:rsidP="6782CE5A">
      <w:pPr>
        <w:rPr>
          <w:rFonts w:eastAsia="Arial Narrow" w:cstheme="minorHAnsi"/>
          <w:sz w:val="18"/>
          <w:szCs w:val="18"/>
        </w:rPr>
      </w:pPr>
      <w:r w:rsidRPr="00B30EC1">
        <w:rPr>
          <w:rStyle w:val="FootnoteReference"/>
          <w:rFonts w:cstheme="minorHAnsi"/>
          <w:sz w:val="18"/>
          <w:szCs w:val="18"/>
        </w:rPr>
        <w:footnoteRef/>
      </w:r>
      <w:r w:rsidRPr="00B30EC1">
        <w:rPr>
          <w:rFonts w:cstheme="minorHAnsi"/>
          <w:sz w:val="18"/>
          <w:szCs w:val="18"/>
        </w:rPr>
        <w:t xml:space="preserve"> </w:t>
      </w:r>
      <w:r w:rsidRPr="00B30EC1">
        <w:rPr>
          <w:rFonts w:eastAsia="Arial Narrow" w:cstheme="minorHAnsi"/>
          <w:sz w:val="18"/>
          <w:szCs w:val="18"/>
        </w:rPr>
        <w:t xml:space="preserve">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F87FAB">
          <w:rPr>
            <w:rStyle w:val="Hyperlink"/>
            <w:rFonts w:eastAsia="Arial Narrow" w:cstheme="minorHAnsi"/>
            <w:color w:val="0000FF"/>
            <w:sz w:val="18"/>
            <w:szCs w:val="18"/>
          </w:rPr>
          <w:t>https://www.mass.gov/service-details/partner-services-program-information-for-healthcare-providers</w:t>
        </w:r>
      </w:hyperlink>
    </w:p>
  </w:footnote>
  <w:footnote w:id="2">
    <w:p w14:paraId="79CF4A89" w14:textId="7E016AA6" w:rsidR="00F22A69" w:rsidRPr="00F22A69" w:rsidRDefault="00F22A69" w:rsidP="00F22A69">
      <w:pPr>
        <w:rPr>
          <w:rFonts w:eastAsia="Calibri" w:cstheme="minorHAnsi"/>
          <w:color w:val="000000" w:themeColor="text1"/>
          <w:sz w:val="20"/>
          <w:szCs w:val="20"/>
        </w:rPr>
      </w:pPr>
      <w:r>
        <w:rPr>
          <w:rStyle w:val="FootnoteReference"/>
        </w:rPr>
        <w:footnoteRef/>
      </w:r>
      <w:r>
        <w:rPr>
          <w:rFonts w:cstheme="minorHAnsi"/>
          <w:sz w:val="20"/>
          <w:szCs w:val="20"/>
        </w:rPr>
        <w:t xml:space="preserve"> </w:t>
      </w:r>
      <w:r w:rsidRPr="00F22A69">
        <w:rPr>
          <w:rFonts w:cstheme="minorHAnsi"/>
          <w:sz w:val="20"/>
          <w:szCs w:val="20"/>
        </w:rPr>
        <w:t>Note: please interpret estimated rates of transgender identity with caution due to the</w:t>
      </w:r>
      <w:r w:rsidRPr="00F22A69">
        <w:rPr>
          <w:rFonts w:eastAsia="Calibri" w:cstheme="minorHAnsi"/>
          <w:color w:val="000000" w:themeColor="text1"/>
          <w:sz w:val="20"/>
          <w:szCs w:val="20"/>
        </w:rPr>
        <w:t xml:space="preserve"> high and differential non-response rates to this question. Additionally, BRFSS estimates cannot </w:t>
      </w:r>
      <w:proofErr w:type="gramStart"/>
      <w:r w:rsidRPr="00F22A69">
        <w:rPr>
          <w:rFonts w:eastAsia="Calibri" w:cstheme="minorHAnsi"/>
          <w:color w:val="000000" w:themeColor="text1"/>
          <w:sz w:val="20"/>
          <w:szCs w:val="20"/>
        </w:rPr>
        <w:t>take into account</w:t>
      </w:r>
      <w:proofErr w:type="gramEnd"/>
      <w:r w:rsidRPr="00F22A69">
        <w:rPr>
          <w:rFonts w:eastAsia="Calibri" w:cstheme="minorHAnsi"/>
          <w:color w:val="000000" w:themeColor="text1"/>
          <w:sz w:val="20"/>
          <w:szCs w:val="20"/>
        </w:rPr>
        <w:t xml:space="preserve"> </w:t>
      </w:r>
      <w:proofErr w:type="gramStart"/>
      <w:r w:rsidRPr="00F22A69">
        <w:rPr>
          <w:rFonts w:eastAsia="Calibri" w:cstheme="minorHAnsi"/>
          <w:color w:val="000000" w:themeColor="text1"/>
          <w:sz w:val="20"/>
          <w:szCs w:val="20"/>
        </w:rPr>
        <w:t>whether or not</w:t>
      </w:r>
      <w:proofErr w:type="gramEnd"/>
      <w:r w:rsidRPr="00F22A69">
        <w:rPr>
          <w:rFonts w:eastAsia="Calibri" w:cstheme="minorHAnsi"/>
          <w:color w:val="000000" w:themeColor="text1"/>
          <w:sz w:val="20"/>
          <w:szCs w:val="20"/>
        </w:rPr>
        <w:t xml:space="preserve"> a person’s decision to respond is related to their gender identity. Also, please consider the impact of the COVID-19 pandemic on infectious disease screening, treatment, and surveillance in the </w:t>
      </w:r>
      <w:r w:rsidR="002B0F96">
        <w:rPr>
          <w:rFonts w:eastAsia="Calibri" w:cstheme="minorHAnsi"/>
          <w:color w:val="000000" w:themeColor="text1"/>
          <w:sz w:val="20"/>
          <w:szCs w:val="20"/>
        </w:rPr>
        <w:t>interpretation of data from 2020 to 2023</w:t>
      </w:r>
      <w:r w:rsidRPr="00F22A69">
        <w:rPr>
          <w:rFonts w:eastAsia="Calibri" w:cstheme="minorHAnsi"/>
          <w:color w:val="000000" w:themeColor="text1"/>
          <w:sz w:val="20"/>
          <w:szCs w:val="20"/>
        </w:rPr>
        <w:t>.</w:t>
      </w:r>
    </w:p>
    <w:p w14:paraId="672276F4" w14:textId="0972D252" w:rsidR="00F22A69" w:rsidRDefault="00F22A69">
      <w:pPr>
        <w:pStyle w:val="FootnoteText"/>
      </w:pPr>
    </w:p>
  </w:footnote>
  <w:footnote w:id="3">
    <w:p w14:paraId="429E6277" w14:textId="4ED0822E" w:rsidR="00EA8697" w:rsidRPr="00A66FD7" w:rsidRDefault="00EA8697" w:rsidP="00F22A69">
      <w:pPr>
        <w:spacing w:after="0" w:line="240" w:lineRule="auto"/>
        <w:rPr>
          <w:color w:val="0000FF"/>
          <w:sz w:val="20"/>
          <w:szCs w:val="20"/>
        </w:rPr>
      </w:pPr>
      <w:r w:rsidRPr="00EA8697">
        <w:rPr>
          <w:rStyle w:val="FootnoteReference"/>
          <w:sz w:val="20"/>
          <w:szCs w:val="20"/>
        </w:rPr>
        <w:footnoteRef/>
      </w:r>
      <w:r w:rsidRPr="00EA8697">
        <w:rPr>
          <w:sz w:val="20"/>
          <w:szCs w:val="20"/>
        </w:rPr>
        <w:t xml:space="preserve"> Herman, J.L., Flores, A.R., O’Neill, K.K. (2022). How Many Adults and Youth Identify as Transgender in the United States? The Williams Institute, UCLA School of Law, available at</w:t>
      </w:r>
      <w:r w:rsidRPr="00A66FD7">
        <w:rPr>
          <w:color w:val="0000FF"/>
          <w:sz w:val="20"/>
          <w:szCs w:val="20"/>
        </w:rPr>
        <w:t xml:space="preserve">: </w:t>
      </w:r>
      <w:hyperlink r:id="rId2">
        <w:r w:rsidRPr="00A66FD7">
          <w:rPr>
            <w:rStyle w:val="Hyperlink"/>
            <w:color w:val="0000FF"/>
            <w:sz w:val="20"/>
            <w:szCs w:val="20"/>
          </w:rPr>
          <w:t>https://williamsinstitute.law.ucla.edu/wp-content/uploads/Trans-Pop-Update-Jun-2022.pdf</w:t>
        </w:r>
      </w:hyperlink>
      <w:r w:rsidRPr="00A66FD7">
        <w:rPr>
          <w:color w:val="0000FF"/>
          <w:sz w:val="20"/>
          <w:szCs w:val="20"/>
        </w:rPr>
        <w:t xml:space="preserve"> </w:t>
      </w:r>
    </w:p>
  </w:footnote>
  <w:footnote w:id="4">
    <w:p w14:paraId="09787F0B" w14:textId="0D8C3829" w:rsidR="00592D1B" w:rsidRDefault="00592D1B">
      <w:pPr>
        <w:pStyle w:val="FootnoteText"/>
      </w:pPr>
      <w:r>
        <w:rPr>
          <w:rStyle w:val="FootnoteReference"/>
        </w:rPr>
        <w:footnoteRef/>
      </w:r>
      <w:r>
        <w:t xml:space="preserve"> </w:t>
      </w:r>
      <w:r w:rsidRPr="00592D1B">
        <w:t>Please note reported percentages of transgender/nonbinary youth are likely to be underestimates. Caution should be used in the interpretation of this data, as 6.8% (95% CI= 5.5% - 8.0%) of students also reported that they did not understand the gender identity question.</w:t>
      </w:r>
    </w:p>
  </w:footnote>
  <w:footnote w:id="5">
    <w:p w14:paraId="41DCB02F" w14:textId="77777777" w:rsidR="00794E81" w:rsidRPr="00794E81" w:rsidRDefault="00794E81" w:rsidP="00794E81">
      <w:pPr>
        <w:pStyle w:val="FootnoteText"/>
      </w:pPr>
      <w:r>
        <w:rPr>
          <w:rStyle w:val="FootnoteReference"/>
        </w:rPr>
        <w:footnoteRef/>
      </w:r>
      <w:r>
        <w:t xml:space="preserve"> </w:t>
      </w:r>
      <w:r w:rsidRPr="00794E81">
        <w:t>Herman, J.L., Flores, A.R., O’Neill, K.K. (2022). How Many Adults and Youth Identify as Transgender in</w:t>
      </w:r>
    </w:p>
    <w:p w14:paraId="572D0CE5" w14:textId="63DDEB2B" w:rsidR="00794E81" w:rsidRPr="00A66FD7" w:rsidRDefault="00794E81">
      <w:pPr>
        <w:pStyle w:val="FootnoteText"/>
        <w:rPr>
          <w:color w:val="0000FF"/>
        </w:rPr>
      </w:pPr>
      <w:r w:rsidRPr="00794E81">
        <w:t xml:space="preserve">the United States? The Williams Institute, UCLA School of Law, available at: </w:t>
      </w:r>
      <w:hyperlink r:id="rId3" w:history="1">
        <w:r w:rsidRPr="00A66FD7">
          <w:rPr>
            <w:rStyle w:val="Hyperlink"/>
            <w:color w:val="0000FF"/>
          </w:rPr>
          <w:t>https://williamsinstitute.law.ucla.edu/wp-content/uploads/Trans-Pop-Update-Jun-2022.pdf</w:t>
        </w:r>
      </w:hyperlink>
      <w:r w:rsidRPr="00A66FD7">
        <w:rPr>
          <w:color w:val="0000FF"/>
        </w:rPr>
        <w:t xml:space="preserve"> </w:t>
      </w:r>
    </w:p>
  </w:footnote>
  <w:footnote w:id="6">
    <w:p w14:paraId="253D78EE" w14:textId="301F05AA" w:rsidR="1D5F7C61" w:rsidRPr="00A66FD7" w:rsidRDefault="1D5F7C61" w:rsidP="00F22A69">
      <w:pPr>
        <w:pStyle w:val="Heading1"/>
        <w:spacing w:before="0"/>
        <w:rPr>
          <w:rFonts w:asciiTheme="minorHAnsi" w:hAnsiTheme="minorHAnsi" w:cstheme="minorHAnsi"/>
          <w:color w:val="0000FF"/>
          <w:sz w:val="20"/>
          <w:szCs w:val="20"/>
        </w:rPr>
      </w:pPr>
      <w:r w:rsidRPr="00C73BDD">
        <w:rPr>
          <w:rStyle w:val="FootnoteReference"/>
          <w:rFonts w:asciiTheme="minorHAnsi" w:hAnsiTheme="minorHAnsi" w:cstheme="minorHAnsi"/>
          <w:sz w:val="20"/>
          <w:szCs w:val="20"/>
        </w:rPr>
        <w:footnoteRef/>
      </w:r>
      <w:r w:rsidRPr="00C73BDD">
        <w:rPr>
          <w:rFonts w:asciiTheme="minorHAnsi" w:hAnsiTheme="minorHAnsi" w:cstheme="minorHAnsi"/>
          <w:sz w:val="20"/>
          <w:szCs w:val="20"/>
        </w:rPr>
        <w:t xml:space="preserve"> </w:t>
      </w:r>
      <w:r w:rsidRPr="00C73BDD">
        <w:rPr>
          <w:rFonts w:asciiTheme="minorHAnsi" w:hAnsiTheme="minorHAnsi" w:cstheme="minorHAnsi"/>
          <w:color w:val="auto"/>
          <w:sz w:val="20"/>
          <w:szCs w:val="20"/>
        </w:rPr>
        <w:t xml:space="preserve">Centers for Disease Control and Prevention. </w:t>
      </w:r>
      <w:r w:rsidRPr="00C73BDD">
        <w:rPr>
          <w:rFonts w:asciiTheme="minorHAnsi" w:hAnsiTheme="minorHAnsi" w:cstheme="minorHAnsi"/>
          <w:color w:val="222222"/>
          <w:sz w:val="20"/>
          <w:szCs w:val="20"/>
        </w:rPr>
        <w:t xml:space="preserve">Issue Brief: HIV and Transgender Communities, available at: </w:t>
      </w:r>
      <w:hyperlink r:id="rId4" w:history="1">
        <w:r w:rsidRPr="00A66FD7">
          <w:rPr>
            <w:rStyle w:val="Hyperlink"/>
            <w:rFonts w:asciiTheme="minorHAnsi" w:hAnsiTheme="minorHAnsi" w:cstheme="minorHAnsi"/>
            <w:color w:val="0000FF"/>
            <w:sz w:val="20"/>
            <w:szCs w:val="20"/>
          </w:rPr>
          <w:t>https://www.cdc.gov/hiv/pdf/policies/data/cdc-hiv-policy-issue-brief-transgender.pdf</w:t>
        </w:r>
      </w:hyperlink>
      <w:r w:rsidRPr="00A66FD7">
        <w:rPr>
          <w:rFonts w:asciiTheme="minorHAnsi" w:hAnsiTheme="minorHAnsi" w:cstheme="minorHAnsi"/>
          <w:color w:val="0000FF"/>
          <w:sz w:val="20"/>
          <w:szCs w:val="20"/>
        </w:rPr>
        <w:t xml:space="preserve"> </w:t>
      </w:r>
    </w:p>
  </w:footnote>
  <w:footnote w:id="7">
    <w:p w14:paraId="3C37BEE2" w14:textId="26A670CE" w:rsidR="00BD37E3" w:rsidRDefault="00BD37E3" w:rsidP="00F22A69">
      <w:pPr>
        <w:pStyle w:val="FootnoteText"/>
      </w:pPr>
      <w:r>
        <w:rPr>
          <w:rStyle w:val="FootnoteReference"/>
        </w:rPr>
        <w:footnoteRef/>
      </w:r>
      <w:r>
        <w:t xml:space="preserve"> </w:t>
      </w:r>
      <w:r w:rsidRPr="001302DB">
        <w:t xml:space="preserve">Please consider the impact of the COVID-19 pandemic on infectious disease screening, treatment, and surveillance in the </w:t>
      </w:r>
      <w:r w:rsidR="002B0F96">
        <w:t>interpretation of data from 2020 to 2023</w:t>
      </w:r>
      <w:r>
        <w:t>.</w:t>
      </w:r>
    </w:p>
  </w:footnote>
  <w:footnote w:id="8">
    <w:p w14:paraId="58956FDF" w14:textId="3CE2529F" w:rsidR="00F43E89" w:rsidRDefault="00F43E89" w:rsidP="00F43E89">
      <w:pPr>
        <w:pStyle w:val="FootnoteText"/>
      </w:pPr>
      <w:r>
        <w:rPr>
          <w:rStyle w:val="FootnoteReference"/>
        </w:rPr>
        <w:footnoteRef/>
      </w:r>
      <w:r>
        <w:t xml:space="preserve"> </w:t>
      </w:r>
      <w:r w:rsidRPr="001302DB">
        <w:t xml:space="preserve">Please consider the impact of the COVID-19 pandemic on infectious disease screening, treatment, and surveillance in the </w:t>
      </w:r>
      <w:r w:rsidR="002B0F96">
        <w:t>interpretation of data from 2020 to 2023</w:t>
      </w:r>
      <w:r>
        <w:t>.</w:t>
      </w:r>
    </w:p>
  </w:footnote>
  <w:footnote w:id="9">
    <w:p w14:paraId="51186F40" w14:textId="793099D5" w:rsidR="00DD25C4" w:rsidRDefault="00DD25C4" w:rsidP="00DD25C4">
      <w:pPr>
        <w:pStyle w:val="FootnoteText"/>
      </w:pPr>
      <w:r>
        <w:rPr>
          <w:rStyle w:val="FootnoteReference"/>
        </w:rPr>
        <w:footnoteRef/>
      </w:r>
      <w:r>
        <w:t xml:space="preserve"> </w:t>
      </w:r>
      <w:r w:rsidRPr="001302DB">
        <w:t xml:space="preserve">Please consider the impact of the COVID-19 pandemic on infectious disease screening, treatment, and surveillance in the </w:t>
      </w:r>
      <w:r w:rsidR="002B0F96">
        <w:t>interpretation of data from 2020 to 2023</w:t>
      </w:r>
      <w:r>
        <w:t>.</w:t>
      </w:r>
    </w:p>
  </w:footnote>
  <w:footnote w:id="10">
    <w:p w14:paraId="55DE231D" w14:textId="57C28A49" w:rsidR="00F90400" w:rsidRDefault="00F90400">
      <w:pPr>
        <w:pStyle w:val="FootnoteText"/>
      </w:pPr>
      <w:r>
        <w:rPr>
          <w:rStyle w:val="FootnoteReference"/>
        </w:rPr>
        <w:footnoteRef/>
      </w:r>
      <w:r>
        <w:t xml:space="preserve"> </w:t>
      </w:r>
      <w:r w:rsidRPr="00F90400">
        <w:t xml:space="preserve">Cisgender describes </w:t>
      </w:r>
      <w:r w:rsidR="00D274C7">
        <w:t>p</w:t>
      </w:r>
      <w:r w:rsidR="00D274C7" w:rsidRPr="00D274C7">
        <w:t>ersons whose current gender identity corresponds with their sex assigned at birth</w:t>
      </w:r>
    </w:p>
  </w:footnote>
  <w:footnote w:id="11">
    <w:p w14:paraId="281C6A43" w14:textId="77777777" w:rsidR="008E3949" w:rsidRDefault="008E3949" w:rsidP="008E3949">
      <w:pPr>
        <w:pStyle w:val="FootnoteText"/>
      </w:pPr>
      <w:r>
        <w:rPr>
          <w:rStyle w:val="FootnoteReference"/>
        </w:rPr>
        <w:footnoteRef/>
      </w:r>
      <w:r>
        <w:t xml:space="preserve"> </w:t>
      </w:r>
      <w:r w:rsidRPr="001302DB">
        <w:t xml:space="preserve">Please consider the impact of the COVID-19 pandemic on infectious disease screening, treatment, and surveillance in the </w:t>
      </w:r>
      <w:r>
        <w:t>interpretation of data from 2020 to 2023.</w:t>
      </w:r>
    </w:p>
  </w:footnote>
  <w:footnote w:id="12">
    <w:p w14:paraId="2D1A6C24" w14:textId="2BDBA39A" w:rsidR="00DD25C4" w:rsidRDefault="00DD25C4" w:rsidP="00DD25C4">
      <w:pPr>
        <w:pStyle w:val="FootnoteText"/>
      </w:pPr>
      <w:r>
        <w:rPr>
          <w:rStyle w:val="FootnoteReference"/>
        </w:rPr>
        <w:footnoteRef/>
      </w:r>
      <w:r>
        <w:t xml:space="preserve"> </w:t>
      </w:r>
      <w:r w:rsidRPr="001302DB">
        <w:t xml:space="preserve">Please consider the impact of the COVID-19 pandemic on infectious disease screening, treatment, and surveillance in the </w:t>
      </w:r>
      <w:r w:rsidR="002B0F96">
        <w:t>interpretation of data from 2020 to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179D" w14:textId="760D48F5" w:rsidR="006F49E5" w:rsidRDefault="006F49E5">
    <w:pPr>
      <w:pStyle w:val="Header"/>
    </w:pPr>
    <w:r>
      <w:t>TRANSGENDER INDIVIDUALS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556E7B65" w14:paraId="4B4C1E71" w14:textId="77777777" w:rsidTr="00AD6CA2">
      <w:tc>
        <w:tcPr>
          <w:tcW w:w="3120" w:type="dxa"/>
        </w:tcPr>
        <w:p w14:paraId="2FD6AACF" w14:textId="1EAA77F5" w:rsidR="556E7B65" w:rsidRDefault="556E7B65" w:rsidP="0074370A">
          <w:pPr>
            <w:pStyle w:val="Header"/>
            <w:ind w:left="-115"/>
            <w:rPr>
              <w:szCs w:val="24"/>
            </w:rPr>
          </w:pPr>
        </w:p>
      </w:tc>
      <w:tc>
        <w:tcPr>
          <w:tcW w:w="3120" w:type="dxa"/>
        </w:tcPr>
        <w:p w14:paraId="60C0F2C0" w14:textId="38C0218C" w:rsidR="556E7B65" w:rsidRDefault="556E7B65" w:rsidP="0074370A">
          <w:pPr>
            <w:pStyle w:val="Header"/>
            <w:jc w:val="center"/>
            <w:rPr>
              <w:szCs w:val="24"/>
            </w:rPr>
          </w:pPr>
        </w:p>
      </w:tc>
      <w:tc>
        <w:tcPr>
          <w:tcW w:w="3120" w:type="dxa"/>
        </w:tcPr>
        <w:p w14:paraId="5BB3FBF2" w14:textId="5DEB0E3B" w:rsidR="556E7B65" w:rsidRDefault="556E7B65" w:rsidP="0074370A">
          <w:pPr>
            <w:pStyle w:val="Header"/>
            <w:ind w:right="-115"/>
            <w:jc w:val="right"/>
            <w:rPr>
              <w:szCs w:val="24"/>
            </w:rPr>
          </w:pPr>
        </w:p>
      </w:tc>
    </w:tr>
  </w:tbl>
  <w:p w14:paraId="105FDFEA" w14:textId="6DF7E88A" w:rsidR="556E7B65" w:rsidRDefault="556E7B65" w:rsidP="0074370A">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28C"/>
    <w:multiLevelType w:val="hybridMultilevel"/>
    <w:tmpl w:val="75DA8DCE"/>
    <w:lvl w:ilvl="0" w:tplc="817A9F5A">
      <w:start w:val="1"/>
      <w:numFmt w:val="bullet"/>
      <w:lvlText w:val="•"/>
      <w:lvlJc w:val="left"/>
      <w:pPr>
        <w:tabs>
          <w:tab w:val="num" w:pos="720"/>
        </w:tabs>
        <w:ind w:left="720" w:hanging="360"/>
      </w:pPr>
      <w:rPr>
        <w:rFonts w:ascii="Arial" w:hAnsi="Arial" w:hint="default"/>
      </w:rPr>
    </w:lvl>
    <w:lvl w:ilvl="1" w:tplc="B498A7F6" w:tentative="1">
      <w:start w:val="1"/>
      <w:numFmt w:val="bullet"/>
      <w:lvlText w:val="•"/>
      <w:lvlJc w:val="left"/>
      <w:pPr>
        <w:tabs>
          <w:tab w:val="num" w:pos="1440"/>
        </w:tabs>
        <w:ind w:left="1440" w:hanging="360"/>
      </w:pPr>
      <w:rPr>
        <w:rFonts w:ascii="Arial" w:hAnsi="Arial" w:hint="default"/>
      </w:rPr>
    </w:lvl>
    <w:lvl w:ilvl="2" w:tplc="25E8AB88" w:tentative="1">
      <w:start w:val="1"/>
      <w:numFmt w:val="bullet"/>
      <w:lvlText w:val="•"/>
      <w:lvlJc w:val="left"/>
      <w:pPr>
        <w:tabs>
          <w:tab w:val="num" w:pos="2160"/>
        </w:tabs>
        <w:ind w:left="2160" w:hanging="360"/>
      </w:pPr>
      <w:rPr>
        <w:rFonts w:ascii="Arial" w:hAnsi="Arial" w:hint="default"/>
      </w:rPr>
    </w:lvl>
    <w:lvl w:ilvl="3" w:tplc="328A2EDA" w:tentative="1">
      <w:start w:val="1"/>
      <w:numFmt w:val="bullet"/>
      <w:lvlText w:val="•"/>
      <w:lvlJc w:val="left"/>
      <w:pPr>
        <w:tabs>
          <w:tab w:val="num" w:pos="2880"/>
        </w:tabs>
        <w:ind w:left="2880" w:hanging="360"/>
      </w:pPr>
      <w:rPr>
        <w:rFonts w:ascii="Arial" w:hAnsi="Arial" w:hint="default"/>
      </w:rPr>
    </w:lvl>
    <w:lvl w:ilvl="4" w:tplc="B254E7B6" w:tentative="1">
      <w:start w:val="1"/>
      <w:numFmt w:val="bullet"/>
      <w:lvlText w:val="•"/>
      <w:lvlJc w:val="left"/>
      <w:pPr>
        <w:tabs>
          <w:tab w:val="num" w:pos="3600"/>
        </w:tabs>
        <w:ind w:left="3600" w:hanging="360"/>
      </w:pPr>
      <w:rPr>
        <w:rFonts w:ascii="Arial" w:hAnsi="Arial" w:hint="default"/>
      </w:rPr>
    </w:lvl>
    <w:lvl w:ilvl="5" w:tplc="C71AC26C" w:tentative="1">
      <w:start w:val="1"/>
      <w:numFmt w:val="bullet"/>
      <w:lvlText w:val="•"/>
      <w:lvlJc w:val="left"/>
      <w:pPr>
        <w:tabs>
          <w:tab w:val="num" w:pos="4320"/>
        </w:tabs>
        <w:ind w:left="4320" w:hanging="360"/>
      </w:pPr>
      <w:rPr>
        <w:rFonts w:ascii="Arial" w:hAnsi="Arial" w:hint="default"/>
      </w:rPr>
    </w:lvl>
    <w:lvl w:ilvl="6" w:tplc="4192E9B0" w:tentative="1">
      <w:start w:val="1"/>
      <w:numFmt w:val="bullet"/>
      <w:lvlText w:val="•"/>
      <w:lvlJc w:val="left"/>
      <w:pPr>
        <w:tabs>
          <w:tab w:val="num" w:pos="5040"/>
        </w:tabs>
        <w:ind w:left="5040" w:hanging="360"/>
      </w:pPr>
      <w:rPr>
        <w:rFonts w:ascii="Arial" w:hAnsi="Arial" w:hint="default"/>
      </w:rPr>
    </w:lvl>
    <w:lvl w:ilvl="7" w:tplc="A3FECC62" w:tentative="1">
      <w:start w:val="1"/>
      <w:numFmt w:val="bullet"/>
      <w:lvlText w:val="•"/>
      <w:lvlJc w:val="left"/>
      <w:pPr>
        <w:tabs>
          <w:tab w:val="num" w:pos="5760"/>
        </w:tabs>
        <w:ind w:left="5760" w:hanging="360"/>
      </w:pPr>
      <w:rPr>
        <w:rFonts w:ascii="Arial" w:hAnsi="Arial" w:hint="default"/>
      </w:rPr>
    </w:lvl>
    <w:lvl w:ilvl="8" w:tplc="5CF238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9E66E1"/>
    <w:multiLevelType w:val="hybridMultilevel"/>
    <w:tmpl w:val="3EA6B9E0"/>
    <w:lvl w:ilvl="0" w:tplc="6542088E">
      <w:start w:val="1"/>
      <w:numFmt w:val="bullet"/>
      <w:lvlText w:val="•"/>
      <w:lvlJc w:val="left"/>
      <w:pPr>
        <w:tabs>
          <w:tab w:val="num" w:pos="720"/>
        </w:tabs>
        <w:ind w:left="720" w:hanging="360"/>
      </w:pPr>
      <w:rPr>
        <w:rFonts w:ascii="Arial" w:hAnsi="Arial" w:hint="default"/>
      </w:rPr>
    </w:lvl>
    <w:lvl w:ilvl="1" w:tplc="A37EA470" w:tentative="1">
      <w:start w:val="1"/>
      <w:numFmt w:val="bullet"/>
      <w:lvlText w:val="•"/>
      <w:lvlJc w:val="left"/>
      <w:pPr>
        <w:tabs>
          <w:tab w:val="num" w:pos="1440"/>
        </w:tabs>
        <w:ind w:left="1440" w:hanging="360"/>
      </w:pPr>
      <w:rPr>
        <w:rFonts w:ascii="Arial" w:hAnsi="Arial" w:hint="default"/>
      </w:rPr>
    </w:lvl>
    <w:lvl w:ilvl="2" w:tplc="C99057F6" w:tentative="1">
      <w:start w:val="1"/>
      <w:numFmt w:val="bullet"/>
      <w:lvlText w:val="•"/>
      <w:lvlJc w:val="left"/>
      <w:pPr>
        <w:tabs>
          <w:tab w:val="num" w:pos="2160"/>
        </w:tabs>
        <w:ind w:left="2160" w:hanging="360"/>
      </w:pPr>
      <w:rPr>
        <w:rFonts w:ascii="Arial" w:hAnsi="Arial" w:hint="default"/>
      </w:rPr>
    </w:lvl>
    <w:lvl w:ilvl="3" w:tplc="E528E700" w:tentative="1">
      <w:start w:val="1"/>
      <w:numFmt w:val="bullet"/>
      <w:lvlText w:val="•"/>
      <w:lvlJc w:val="left"/>
      <w:pPr>
        <w:tabs>
          <w:tab w:val="num" w:pos="2880"/>
        </w:tabs>
        <w:ind w:left="2880" w:hanging="360"/>
      </w:pPr>
      <w:rPr>
        <w:rFonts w:ascii="Arial" w:hAnsi="Arial" w:hint="default"/>
      </w:rPr>
    </w:lvl>
    <w:lvl w:ilvl="4" w:tplc="9CA4C858" w:tentative="1">
      <w:start w:val="1"/>
      <w:numFmt w:val="bullet"/>
      <w:lvlText w:val="•"/>
      <w:lvlJc w:val="left"/>
      <w:pPr>
        <w:tabs>
          <w:tab w:val="num" w:pos="3600"/>
        </w:tabs>
        <w:ind w:left="3600" w:hanging="360"/>
      </w:pPr>
      <w:rPr>
        <w:rFonts w:ascii="Arial" w:hAnsi="Arial" w:hint="default"/>
      </w:rPr>
    </w:lvl>
    <w:lvl w:ilvl="5" w:tplc="61A8EB02" w:tentative="1">
      <w:start w:val="1"/>
      <w:numFmt w:val="bullet"/>
      <w:lvlText w:val="•"/>
      <w:lvlJc w:val="left"/>
      <w:pPr>
        <w:tabs>
          <w:tab w:val="num" w:pos="4320"/>
        </w:tabs>
        <w:ind w:left="4320" w:hanging="360"/>
      </w:pPr>
      <w:rPr>
        <w:rFonts w:ascii="Arial" w:hAnsi="Arial" w:hint="default"/>
      </w:rPr>
    </w:lvl>
    <w:lvl w:ilvl="6" w:tplc="387C478A" w:tentative="1">
      <w:start w:val="1"/>
      <w:numFmt w:val="bullet"/>
      <w:lvlText w:val="•"/>
      <w:lvlJc w:val="left"/>
      <w:pPr>
        <w:tabs>
          <w:tab w:val="num" w:pos="5040"/>
        </w:tabs>
        <w:ind w:left="5040" w:hanging="360"/>
      </w:pPr>
      <w:rPr>
        <w:rFonts w:ascii="Arial" w:hAnsi="Arial" w:hint="default"/>
      </w:rPr>
    </w:lvl>
    <w:lvl w:ilvl="7" w:tplc="D026F942" w:tentative="1">
      <w:start w:val="1"/>
      <w:numFmt w:val="bullet"/>
      <w:lvlText w:val="•"/>
      <w:lvlJc w:val="left"/>
      <w:pPr>
        <w:tabs>
          <w:tab w:val="num" w:pos="5760"/>
        </w:tabs>
        <w:ind w:left="5760" w:hanging="360"/>
      </w:pPr>
      <w:rPr>
        <w:rFonts w:ascii="Arial" w:hAnsi="Arial" w:hint="default"/>
      </w:rPr>
    </w:lvl>
    <w:lvl w:ilvl="8" w:tplc="EBE097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F41973"/>
    <w:multiLevelType w:val="hybridMultilevel"/>
    <w:tmpl w:val="FED857BE"/>
    <w:lvl w:ilvl="0" w:tplc="B01CD888">
      <w:start w:val="1"/>
      <w:numFmt w:val="bullet"/>
      <w:lvlText w:val="•"/>
      <w:lvlJc w:val="left"/>
      <w:pPr>
        <w:tabs>
          <w:tab w:val="num" w:pos="720"/>
        </w:tabs>
        <w:ind w:left="720" w:hanging="360"/>
      </w:pPr>
      <w:rPr>
        <w:rFonts w:ascii="Arial" w:hAnsi="Arial" w:hint="default"/>
      </w:rPr>
    </w:lvl>
    <w:lvl w:ilvl="1" w:tplc="75E67CDA" w:tentative="1">
      <w:start w:val="1"/>
      <w:numFmt w:val="bullet"/>
      <w:lvlText w:val="•"/>
      <w:lvlJc w:val="left"/>
      <w:pPr>
        <w:tabs>
          <w:tab w:val="num" w:pos="1440"/>
        </w:tabs>
        <w:ind w:left="1440" w:hanging="360"/>
      </w:pPr>
      <w:rPr>
        <w:rFonts w:ascii="Arial" w:hAnsi="Arial" w:hint="default"/>
      </w:rPr>
    </w:lvl>
    <w:lvl w:ilvl="2" w:tplc="5D4211A6" w:tentative="1">
      <w:start w:val="1"/>
      <w:numFmt w:val="bullet"/>
      <w:lvlText w:val="•"/>
      <w:lvlJc w:val="left"/>
      <w:pPr>
        <w:tabs>
          <w:tab w:val="num" w:pos="2160"/>
        </w:tabs>
        <w:ind w:left="2160" w:hanging="360"/>
      </w:pPr>
      <w:rPr>
        <w:rFonts w:ascii="Arial" w:hAnsi="Arial" w:hint="default"/>
      </w:rPr>
    </w:lvl>
    <w:lvl w:ilvl="3" w:tplc="8C621342" w:tentative="1">
      <w:start w:val="1"/>
      <w:numFmt w:val="bullet"/>
      <w:lvlText w:val="•"/>
      <w:lvlJc w:val="left"/>
      <w:pPr>
        <w:tabs>
          <w:tab w:val="num" w:pos="2880"/>
        </w:tabs>
        <w:ind w:left="2880" w:hanging="360"/>
      </w:pPr>
      <w:rPr>
        <w:rFonts w:ascii="Arial" w:hAnsi="Arial" w:hint="default"/>
      </w:rPr>
    </w:lvl>
    <w:lvl w:ilvl="4" w:tplc="317CB3AC" w:tentative="1">
      <w:start w:val="1"/>
      <w:numFmt w:val="bullet"/>
      <w:lvlText w:val="•"/>
      <w:lvlJc w:val="left"/>
      <w:pPr>
        <w:tabs>
          <w:tab w:val="num" w:pos="3600"/>
        </w:tabs>
        <w:ind w:left="3600" w:hanging="360"/>
      </w:pPr>
      <w:rPr>
        <w:rFonts w:ascii="Arial" w:hAnsi="Arial" w:hint="default"/>
      </w:rPr>
    </w:lvl>
    <w:lvl w:ilvl="5" w:tplc="44EC7E6C" w:tentative="1">
      <w:start w:val="1"/>
      <w:numFmt w:val="bullet"/>
      <w:lvlText w:val="•"/>
      <w:lvlJc w:val="left"/>
      <w:pPr>
        <w:tabs>
          <w:tab w:val="num" w:pos="4320"/>
        </w:tabs>
        <w:ind w:left="4320" w:hanging="360"/>
      </w:pPr>
      <w:rPr>
        <w:rFonts w:ascii="Arial" w:hAnsi="Arial" w:hint="default"/>
      </w:rPr>
    </w:lvl>
    <w:lvl w:ilvl="6" w:tplc="65B8B506" w:tentative="1">
      <w:start w:val="1"/>
      <w:numFmt w:val="bullet"/>
      <w:lvlText w:val="•"/>
      <w:lvlJc w:val="left"/>
      <w:pPr>
        <w:tabs>
          <w:tab w:val="num" w:pos="5040"/>
        </w:tabs>
        <w:ind w:left="5040" w:hanging="360"/>
      </w:pPr>
      <w:rPr>
        <w:rFonts w:ascii="Arial" w:hAnsi="Arial" w:hint="default"/>
      </w:rPr>
    </w:lvl>
    <w:lvl w:ilvl="7" w:tplc="53DED8E0" w:tentative="1">
      <w:start w:val="1"/>
      <w:numFmt w:val="bullet"/>
      <w:lvlText w:val="•"/>
      <w:lvlJc w:val="left"/>
      <w:pPr>
        <w:tabs>
          <w:tab w:val="num" w:pos="5760"/>
        </w:tabs>
        <w:ind w:left="5760" w:hanging="360"/>
      </w:pPr>
      <w:rPr>
        <w:rFonts w:ascii="Arial" w:hAnsi="Arial" w:hint="default"/>
      </w:rPr>
    </w:lvl>
    <w:lvl w:ilvl="8" w:tplc="81D2D7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3E611D"/>
    <w:multiLevelType w:val="hybridMultilevel"/>
    <w:tmpl w:val="C4600976"/>
    <w:lvl w:ilvl="0" w:tplc="42089FAC">
      <w:start w:val="1"/>
      <w:numFmt w:val="bullet"/>
      <w:lvlText w:val="•"/>
      <w:lvlJc w:val="left"/>
      <w:pPr>
        <w:tabs>
          <w:tab w:val="num" w:pos="720"/>
        </w:tabs>
        <w:ind w:left="720" w:hanging="360"/>
      </w:pPr>
      <w:rPr>
        <w:rFonts w:ascii="Arial" w:hAnsi="Arial" w:hint="default"/>
      </w:rPr>
    </w:lvl>
    <w:lvl w:ilvl="1" w:tplc="F3F21D90" w:tentative="1">
      <w:start w:val="1"/>
      <w:numFmt w:val="bullet"/>
      <w:lvlText w:val="•"/>
      <w:lvlJc w:val="left"/>
      <w:pPr>
        <w:tabs>
          <w:tab w:val="num" w:pos="1440"/>
        </w:tabs>
        <w:ind w:left="1440" w:hanging="360"/>
      </w:pPr>
      <w:rPr>
        <w:rFonts w:ascii="Arial" w:hAnsi="Arial" w:hint="default"/>
      </w:rPr>
    </w:lvl>
    <w:lvl w:ilvl="2" w:tplc="5FB6515A" w:tentative="1">
      <w:start w:val="1"/>
      <w:numFmt w:val="bullet"/>
      <w:lvlText w:val="•"/>
      <w:lvlJc w:val="left"/>
      <w:pPr>
        <w:tabs>
          <w:tab w:val="num" w:pos="2160"/>
        </w:tabs>
        <w:ind w:left="2160" w:hanging="360"/>
      </w:pPr>
      <w:rPr>
        <w:rFonts w:ascii="Arial" w:hAnsi="Arial" w:hint="default"/>
      </w:rPr>
    </w:lvl>
    <w:lvl w:ilvl="3" w:tplc="703C33A6" w:tentative="1">
      <w:start w:val="1"/>
      <w:numFmt w:val="bullet"/>
      <w:lvlText w:val="•"/>
      <w:lvlJc w:val="left"/>
      <w:pPr>
        <w:tabs>
          <w:tab w:val="num" w:pos="2880"/>
        </w:tabs>
        <w:ind w:left="2880" w:hanging="360"/>
      </w:pPr>
      <w:rPr>
        <w:rFonts w:ascii="Arial" w:hAnsi="Arial" w:hint="default"/>
      </w:rPr>
    </w:lvl>
    <w:lvl w:ilvl="4" w:tplc="D4B6090A" w:tentative="1">
      <w:start w:val="1"/>
      <w:numFmt w:val="bullet"/>
      <w:lvlText w:val="•"/>
      <w:lvlJc w:val="left"/>
      <w:pPr>
        <w:tabs>
          <w:tab w:val="num" w:pos="3600"/>
        </w:tabs>
        <w:ind w:left="3600" w:hanging="360"/>
      </w:pPr>
      <w:rPr>
        <w:rFonts w:ascii="Arial" w:hAnsi="Arial" w:hint="default"/>
      </w:rPr>
    </w:lvl>
    <w:lvl w:ilvl="5" w:tplc="3184233E" w:tentative="1">
      <w:start w:val="1"/>
      <w:numFmt w:val="bullet"/>
      <w:lvlText w:val="•"/>
      <w:lvlJc w:val="left"/>
      <w:pPr>
        <w:tabs>
          <w:tab w:val="num" w:pos="4320"/>
        </w:tabs>
        <w:ind w:left="4320" w:hanging="360"/>
      </w:pPr>
      <w:rPr>
        <w:rFonts w:ascii="Arial" w:hAnsi="Arial" w:hint="default"/>
      </w:rPr>
    </w:lvl>
    <w:lvl w:ilvl="6" w:tplc="46F489BA" w:tentative="1">
      <w:start w:val="1"/>
      <w:numFmt w:val="bullet"/>
      <w:lvlText w:val="•"/>
      <w:lvlJc w:val="left"/>
      <w:pPr>
        <w:tabs>
          <w:tab w:val="num" w:pos="5040"/>
        </w:tabs>
        <w:ind w:left="5040" w:hanging="360"/>
      </w:pPr>
      <w:rPr>
        <w:rFonts w:ascii="Arial" w:hAnsi="Arial" w:hint="default"/>
      </w:rPr>
    </w:lvl>
    <w:lvl w:ilvl="7" w:tplc="3E441C66" w:tentative="1">
      <w:start w:val="1"/>
      <w:numFmt w:val="bullet"/>
      <w:lvlText w:val="•"/>
      <w:lvlJc w:val="left"/>
      <w:pPr>
        <w:tabs>
          <w:tab w:val="num" w:pos="5760"/>
        </w:tabs>
        <w:ind w:left="5760" w:hanging="360"/>
      </w:pPr>
      <w:rPr>
        <w:rFonts w:ascii="Arial" w:hAnsi="Arial" w:hint="default"/>
      </w:rPr>
    </w:lvl>
    <w:lvl w:ilvl="8" w:tplc="C276E1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7841E6F"/>
    <w:multiLevelType w:val="hybridMultilevel"/>
    <w:tmpl w:val="5A246A94"/>
    <w:lvl w:ilvl="0" w:tplc="51BC0A28">
      <w:start w:val="1"/>
      <w:numFmt w:val="bullet"/>
      <w:lvlText w:val="•"/>
      <w:lvlJc w:val="left"/>
      <w:pPr>
        <w:tabs>
          <w:tab w:val="num" w:pos="720"/>
        </w:tabs>
        <w:ind w:left="720" w:hanging="360"/>
      </w:pPr>
      <w:rPr>
        <w:rFonts w:ascii="Arial" w:hAnsi="Arial" w:hint="default"/>
      </w:rPr>
    </w:lvl>
    <w:lvl w:ilvl="1" w:tplc="04906DE2" w:tentative="1">
      <w:start w:val="1"/>
      <w:numFmt w:val="bullet"/>
      <w:lvlText w:val="•"/>
      <w:lvlJc w:val="left"/>
      <w:pPr>
        <w:tabs>
          <w:tab w:val="num" w:pos="1440"/>
        </w:tabs>
        <w:ind w:left="1440" w:hanging="360"/>
      </w:pPr>
      <w:rPr>
        <w:rFonts w:ascii="Arial" w:hAnsi="Arial" w:hint="default"/>
      </w:rPr>
    </w:lvl>
    <w:lvl w:ilvl="2" w:tplc="1070E0A8" w:tentative="1">
      <w:start w:val="1"/>
      <w:numFmt w:val="bullet"/>
      <w:lvlText w:val="•"/>
      <w:lvlJc w:val="left"/>
      <w:pPr>
        <w:tabs>
          <w:tab w:val="num" w:pos="2160"/>
        </w:tabs>
        <w:ind w:left="2160" w:hanging="360"/>
      </w:pPr>
      <w:rPr>
        <w:rFonts w:ascii="Arial" w:hAnsi="Arial" w:hint="default"/>
      </w:rPr>
    </w:lvl>
    <w:lvl w:ilvl="3" w:tplc="296A175C" w:tentative="1">
      <w:start w:val="1"/>
      <w:numFmt w:val="bullet"/>
      <w:lvlText w:val="•"/>
      <w:lvlJc w:val="left"/>
      <w:pPr>
        <w:tabs>
          <w:tab w:val="num" w:pos="2880"/>
        </w:tabs>
        <w:ind w:left="2880" w:hanging="360"/>
      </w:pPr>
      <w:rPr>
        <w:rFonts w:ascii="Arial" w:hAnsi="Arial" w:hint="default"/>
      </w:rPr>
    </w:lvl>
    <w:lvl w:ilvl="4" w:tplc="9822EDBA" w:tentative="1">
      <w:start w:val="1"/>
      <w:numFmt w:val="bullet"/>
      <w:lvlText w:val="•"/>
      <w:lvlJc w:val="left"/>
      <w:pPr>
        <w:tabs>
          <w:tab w:val="num" w:pos="3600"/>
        </w:tabs>
        <w:ind w:left="3600" w:hanging="360"/>
      </w:pPr>
      <w:rPr>
        <w:rFonts w:ascii="Arial" w:hAnsi="Arial" w:hint="default"/>
      </w:rPr>
    </w:lvl>
    <w:lvl w:ilvl="5" w:tplc="B246CE52" w:tentative="1">
      <w:start w:val="1"/>
      <w:numFmt w:val="bullet"/>
      <w:lvlText w:val="•"/>
      <w:lvlJc w:val="left"/>
      <w:pPr>
        <w:tabs>
          <w:tab w:val="num" w:pos="4320"/>
        </w:tabs>
        <w:ind w:left="4320" w:hanging="360"/>
      </w:pPr>
      <w:rPr>
        <w:rFonts w:ascii="Arial" w:hAnsi="Arial" w:hint="default"/>
      </w:rPr>
    </w:lvl>
    <w:lvl w:ilvl="6" w:tplc="A72A7FFC" w:tentative="1">
      <w:start w:val="1"/>
      <w:numFmt w:val="bullet"/>
      <w:lvlText w:val="•"/>
      <w:lvlJc w:val="left"/>
      <w:pPr>
        <w:tabs>
          <w:tab w:val="num" w:pos="5040"/>
        </w:tabs>
        <w:ind w:left="5040" w:hanging="360"/>
      </w:pPr>
      <w:rPr>
        <w:rFonts w:ascii="Arial" w:hAnsi="Arial" w:hint="default"/>
      </w:rPr>
    </w:lvl>
    <w:lvl w:ilvl="7" w:tplc="827AE02E" w:tentative="1">
      <w:start w:val="1"/>
      <w:numFmt w:val="bullet"/>
      <w:lvlText w:val="•"/>
      <w:lvlJc w:val="left"/>
      <w:pPr>
        <w:tabs>
          <w:tab w:val="num" w:pos="5760"/>
        </w:tabs>
        <w:ind w:left="5760" w:hanging="360"/>
      </w:pPr>
      <w:rPr>
        <w:rFonts w:ascii="Arial" w:hAnsi="Arial" w:hint="default"/>
      </w:rPr>
    </w:lvl>
    <w:lvl w:ilvl="8" w:tplc="C54212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577148"/>
    <w:multiLevelType w:val="hybridMultilevel"/>
    <w:tmpl w:val="71D21430"/>
    <w:lvl w:ilvl="0" w:tplc="ECC4D63A">
      <w:start w:val="1"/>
      <w:numFmt w:val="bullet"/>
      <w:lvlText w:val="•"/>
      <w:lvlJc w:val="left"/>
      <w:pPr>
        <w:tabs>
          <w:tab w:val="num" w:pos="720"/>
        </w:tabs>
        <w:ind w:left="720" w:hanging="360"/>
      </w:pPr>
      <w:rPr>
        <w:rFonts w:ascii="Arial" w:hAnsi="Arial" w:hint="default"/>
      </w:rPr>
    </w:lvl>
    <w:lvl w:ilvl="1" w:tplc="FE5E0708" w:tentative="1">
      <w:start w:val="1"/>
      <w:numFmt w:val="bullet"/>
      <w:lvlText w:val="•"/>
      <w:lvlJc w:val="left"/>
      <w:pPr>
        <w:tabs>
          <w:tab w:val="num" w:pos="1440"/>
        </w:tabs>
        <w:ind w:left="1440" w:hanging="360"/>
      </w:pPr>
      <w:rPr>
        <w:rFonts w:ascii="Arial" w:hAnsi="Arial" w:hint="default"/>
      </w:rPr>
    </w:lvl>
    <w:lvl w:ilvl="2" w:tplc="313085C4" w:tentative="1">
      <w:start w:val="1"/>
      <w:numFmt w:val="bullet"/>
      <w:lvlText w:val="•"/>
      <w:lvlJc w:val="left"/>
      <w:pPr>
        <w:tabs>
          <w:tab w:val="num" w:pos="2160"/>
        </w:tabs>
        <w:ind w:left="2160" w:hanging="360"/>
      </w:pPr>
      <w:rPr>
        <w:rFonts w:ascii="Arial" w:hAnsi="Arial" w:hint="default"/>
      </w:rPr>
    </w:lvl>
    <w:lvl w:ilvl="3" w:tplc="34448900" w:tentative="1">
      <w:start w:val="1"/>
      <w:numFmt w:val="bullet"/>
      <w:lvlText w:val="•"/>
      <w:lvlJc w:val="left"/>
      <w:pPr>
        <w:tabs>
          <w:tab w:val="num" w:pos="2880"/>
        </w:tabs>
        <w:ind w:left="2880" w:hanging="360"/>
      </w:pPr>
      <w:rPr>
        <w:rFonts w:ascii="Arial" w:hAnsi="Arial" w:hint="default"/>
      </w:rPr>
    </w:lvl>
    <w:lvl w:ilvl="4" w:tplc="3522B864" w:tentative="1">
      <w:start w:val="1"/>
      <w:numFmt w:val="bullet"/>
      <w:lvlText w:val="•"/>
      <w:lvlJc w:val="left"/>
      <w:pPr>
        <w:tabs>
          <w:tab w:val="num" w:pos="3600"/>
        </w:tabs>
        <w:ind w:left="3600" w:hanging="360"/>
      </w:pPr>
      <w:rPr>
        <w:rFonts w:ascii="Arial" w:hAnsi="Arial" w:hint="default"/>
      </w:rPr>
    </w:lvl>
    <w:lvl w:ilvl="5" w:tplc="570AB462" w:tentative="1">
      <w:start w:val="1"/>
      <w:numFmt w:val="bullet"/>
      <w:lvlText w:val="•"/>
      <w:lvlJc w:val="left"/>
      <w:pPr>
        <w:tabs>
          <w:tab w:val="num" w:pos="4320"/>
        </w:tabs>
        <w:ind w:left="4320" w:hanging="360"/>
      </w:pPr>
      <w:rPr>
        <w:rFonts w:ascii="Arial" w:hAnsi="Arial" w:hint="default"/>
      </w:rPr>
    </w:lvl>
    <w:lvl w:ilvl="6" w:tplc="97449BC4" w:tentative="1">
      <w:start w:val="1"/>
      <w:numFmt w:val="bullet"/>
      <w:lvlText w:val="•"/>
      <w:lvlJc w:val="left"/>
      <w:pPr>
        <w:tabs>
          <w:tab w:val="num" w:pos="5040"/>
        </w:tabs>
        <w:ind w:left="5040" w:hanging="360"/>
      </w:pPr>
      <w:rPr>
        <w:rFonts w:ascii="Arial" w:hAnsi="Arial" w:hint="default"/>
      </w:rPr>
    </w:lvl>
    <w:lvl w:ilvl="7" w:tplc="504A813C" w:tentative="1">
      <w:start w:val="1"/>
      <w:numFmt w:val="bullet"/>
      <w:lvlText w:val="•"/>
      <w:lvlJc w:val="left"/>
      <w:pPr>
        <w:tabs>
          <w:tab w:val="num" w:pos="5760"/>
        </w:tabs>
        <w:ind w:left="5760" w:hanging="360"/>
      </w:pPr>
      <w:rPr>
        <w:rFonts w:ascii="Arial" w:hAnsi="Arial" w:hint="default"/>
      </w:rPr>
    </w:lvl>
    <w:lvl w:ilvl="8" w:tplc="77B495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BC4CCC"/>
    <w:multiLevelType w:val="hybridMultilevel"/>
    <w:tmpl w:val="FB84B408"/>
    <w:lvl w:ilvl="0" w:tplc="43E06E84">
      <w:start w:val="1"/>
      <w:numFmt w:val="bullet"/>
      <w:lvlText w:val="•"/>
      <w:lvlJc w:val="left"/>
      <w:pPr>
        <w:tabs>
          <w:tab w:val="num" w:pos="720"/>
        </w:tabs>
        <w:ind w:left="720" w:hanging="360"/>
      </w:pPr>
      <w:rPr>
        <w:rFonts w:ascii="Arial" w:hAnsi="Arial" w:hint="default"/>
      </w:rPr>
    </w:lvl>
    <w:lvl w:ilvl="1" w:tplc="30EEA0D4" w:tentative="1">
      <w:start w:val="1"/>
      <w:numFmt w:val="bullet"/>
      <w:lvlText w:val="•"/>
      <w:lvlJc w:val="left"/>
      <w:pPr>
        <w:tabs>
          <w:tab w:val="num" w:pos="1440"/>
        </w:tabs>
        <w:ind w:left="1440" w:hanging="360"/>
      </w:pPr>
      <w:rPr>
        <w:rFonts w:ascii="Arial" w:hAnsi="Arial" w:hint="default"/>
      </w:rPr>
    </w:lvl>
    <w:lvl w:ilvl="2" w:tplc="95FC820E" w:tentative="1">
      <w:start w:val="1"/>
      <w:numFmt w:val="bullet"/>
      <w:lvlText w:val="•"/>
      <w:lvlJc w:val="left"/>
      <w:pPr>
        <w:tabs>
          <w:tab w:val="num" w:pos="2160"/>
        </w:tabs>
        <w:ind w:left="2160" w:hanging="360"/>
      </w:pPr>
      <w:rPr>
        <w:rFonts w:ascii="Arial" w:hAnsi="Arial" w:hint="default"/>
      </w:rPr>
    </w:lvl>
    <w:lvl w:ilvl="3" w:tplc="DA5EFBE0" w:tentative="1">
      <w:start w:val="1"/>
      <w:numFmt w:val="bullet"/>
      <w:lvlText w:val="•"/>
      <w:lvlJc w:val="left"/>
      <w:pPr>
        <w:tabs>
          <w:tab w:val="num" w:pos="2880"/>
        </w:tabs>
        <w:ind w:left="2880" w:hanging="360"/>
      </w:pPr>
      <w:rPr>
        <w:rFonts w:ascii="Arial" w:hAnsi="Arial" w:hint="default"/>
      </w:rPr>
    </w:lvl>
    <w:lvl w:ilvl="4" w:tplc="54080A0E" w:tentative="1">
      <w:start w:val="1"/>
      <w:numFmt w:val="bullet"/>
      <w:lvlText w:val="•"/>
      <w:lvlJc w:val="left"/>
      <w:pPr>
        <w:tabs>
          <w:tab w:val="num" w:pos="3600"/>
        </w:tabs>
        <w:ind w:left="3600" w:hanging="360"/>
      </w:pPr>
      <w:rPr>
        <w:rFonts w:ascii="Arial" w:hAnsi="Arial" w:hint="default"/>
      </w:rPr>
    </w:lvl>
    <w:lvl w:ilvl="5" w:tplc="FDE60F94" w:tentative="1">
      <w:start w:val="1"/>
      <w:numFmt w:val="bullet"/>
      <w:lvlText w:val="•"/>
      <w:lvlJc w:val="left"/>
      <w:pPr>
        <w:tabs>
          <w:tab w:val="num" w:pos="4320"/>
        </w:tabs>
        <w:ind w:left="4320" w:hanging="360"/>
      </w:pPr>
      <w:rPr>
        <w:rFonts w:ascii="Arial" w:hAnsi="Arial" w:hint="default"/>
      </w:rPr>
    </w:lvl>
    <w:lvl w:ilvl="6" w:tplc="16063FA2" w:tentative="1">
      <w:start w:val="1"/>
      <w:numFmt w:val="bullet"/>
      <w:lvlText w:val="•"/>
      <w:lvlJc w:val="left"/>
      <w:pPr>
        <w:tabs>
          <w:tab w:val="num" w:pos="5040"/>
        </w:tabs>
        <w:ind w:left="5040" w:hanging="360"/>
      </w:pPr>
      <w:rPr>
        <w:rFonts w:ascii="Arial" w:hAnsi="Arial" w:hint="default"/>
      </w:rPr>
    </w:lvl>
    <w:lvl w:ilvl="7" w:tplc="8C2CF786" w:tentative="1">
      <w:start w:val="1"/>
      <w:numFmt w:val="bullet"/>
      <w:lvlText w:val="•"/>
      <w:lvlJc w:val="left"/>
      <w:pPr>
        <w:tabs>
          <w:tab w:val="num" w:pos="5760"/>
        </w:tabs>
        <w:ind w:left="5760" w:hanging="360"/>
      </w:pPr>
      <w:rPr>
        <w:rFonts w:ascii="Arial" w:hAnsi="Arial" w:hint="default"/>
      </w:rPr>
    </w:lvl>
    <w:lvl w:ilvl="8" w:tplc="64B4AC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B14C0D"/>
    <w:multiLevelType w:val="hybridMultilevel"/>
    <w:tmpl w:val="8B9C4CFA"/>
    <w:lvl w:ilvl="0" w:tplc="9F806D34">
      <w:start w:val="1"/>
      <w:numFmt w:val="bullet"/>
      <w:lvlText w:val="•"/>
      <w:lvlJc w:val="left"/>
      <w:pPr>
        <w:tabs>
          <w:tab w:val="num" w:pos="720"/>
        </w:tabs>
        <w:ind w:left="720" w:hanging="360"/>
      </w:pPr>
      <w:rPr>
        <w:rFonts w:ascii="Arial" w:hAnsi="Arial" w:hint="default"/>
      </w:rPr>
    </w:lvl>
    <w:lvl w:ilvl="1" w:tplc="D8AA82D2" w:tentative="1">
      <w:start w:val="1"/>
      <w:numFmt w:val="bullet"/>
      <w:lvlText w:val="•"/>
      <w:lvlJc w:val="left"/>
      <w:pPr>
        <w:tabs>
          <w:tab w:val="num" w:pos="1440"/>
        </w:tabs>
        <w:ind w:left="1440" w:hanging="360"/>
      </w:pPr>
      <w:rPr>
        <w:rFonts w:ascii="Arial" w:hAnsi="Arial" w:hint="default"/>
      </w:rPr>
    </w:lvl>
    <w:lvl w:ilvl="2" w:tplc="18E43662" w:tentative="1">
      <w:start w:val="1"/>
      <w:numFmt w:val="bullet"/>
      <w:lvlText w:val="•"/>
      <w:lvlJc w:val="left"/>
      <w:pPr>
        <w:tabs>
          <w:tab w:val="num" w:pos="2160"/>
        </w:tabs>
        <w:ind w:left="2160" w:hanging="360"/>
      </w:pPr>
      <w:rPr>
        <w:rFonts w:ascii="Arial" w:hAnsi="Arial" w:hint="default"/>
      </w:rPr>
    </w:lvl>
    <w:lvl w:ilvl="3" w:tplc="A7DC1FC4" w:tentative="1">
      <w:start w:val="1"/>
      <w:numFmt w:val="bullet"/>
      <w:lvlText w:val="•"/>
      <w:lvlJc w:val="left"/>
      <w:pPr>
        <w:tabs>
          <w:tab w:val="num" w:pos="2880"/>
        </w:tabs>
        <w:ind w:left="2880" w:hanging="360"/>
      </w:pPr>
      <w:rPr>
        <w:rFonts w:ascii="Arial" w:hAnsi="Arial" w:hint="default"/>
      </w:rPr>
    </w:lvl>
    <w:lvl w:ilvl="4" w:tplc="F4502198" w:tentative="1">
      <w:start w:val="1"/>
      <w:numFmt w:val="bullet"/>
      <w:lvlText w:val="•"/>
      <w:lvlJc w:val="left"/>
      <w:pPr>
        <w:tabs>
          <w:tab w:val="num" w:pos="3600"/>
        </w:tabs>
        <w:ind w:left="3600" w:hanging="360"/>
      </w:pPr>
      <w:rPr>
        <w:rFonts w:ascii="Arial" w:hAnsi="Arial" w:hint="default"/>
      </w:rPr>
    </w:lvl>
    <w:lvl w:ilvl="5" w:tplc="0D2467F2" w:tentative="1">
      <w:start w:val="1"/>
      <w:numFmt w:val="bullet"/>
      <w:lvlText w:val="•"/>
      <w:lvlJc w:val="left"/>
      <w:pPr>
        <w:tabs>
          <w:tab w:val="num" w:pos="4320"/>
        </w:tabs>
        <w:ind w:left="4320" w:hanging="360"/>
      </w:pPr>
      <w:rPr>
        <w:rFonts w:ascii="Arial" w:hAnsi="Arial" w:hint="default"/>
      </w:rPr>
    </w:lvl>
    <w:lvl w:ilvl="6" w:tplc="1E341B68" w:tentative="1">
      <w:start w:val="1"/>
      <w:numFmt w:val="bullet"/>
      <w:lvlText w:val="•"/>
      <w:lvlJc w:val="left"/>
      <w:pPr>
        <w:tabs>
          <w:tab w:val="num" w:pos="5040"/>
        </w:tabs>
        <w:ind w:left="5040" w:hanging="360"/>
      </w:pPr>
      <w:rPr>
        <w:rFonts w:ascii="Arial" w:hAnsi="Arial" w:hint="default"/>
      </w:rPr>
    </w:lvl>
    <w:lvl w:ilvl="7" w:tplc="B96AA1DE" w:tentative="1">
      <w:start w:val="1"/>
      <w:numFmt w:val="bullet"/>
      <w:lvlText w:val="•"/>
      <w:lvlJc w:val="left"/>
      <w:pPr>
        <w:tabs>
          <w:tab w:val="num" w:pos="5760"/>
        </w:tabs>
        <w:ind w:left="5760" w:hanging="360"/>
      </w:pPr>
      <w:rPr>
        <w:rFonts w:ascii="Arial" w:hAnsi="Arial" w:hint="default"/>
      </w:rPr>
    </w:lvl>
    <w:lvl w:ilvl="8" w:tplc="6CF2EEEE" w:tentative="1">
      <w:start w:val="1"/>
      <w:numFmt w:val="bullet"/>
      <w:lvlText w:val="•"/>
      <w:lvlJc w:val="left"/>
      <w:pPr>
        <w:tabs>
          <w:tab w:val="num" w:pos="6480"/>
        </w:tabs>
        <w:ind w:left="6480" w:hanging="360"/>
      </w:pPr>
      <w:rPr>
        <w:rFonts w:ascii="Arial" w:hAnsi="Arial" w:hint="default"/>
      </w:rPr>
    </w:lvl>
  </w:abstractNum>
  <w:num w:numId="1" w16cid:durableId="1273896086">
    <w:abstractNumId w:val="7"/>
  </w:num>
  <w:num w:numId="2" w16cid:durableId="143936548">
    <w:abstractNumId w:val="2"/>
  </w:num>
  <w:num w:numId="3" w16cid:durableId="1130896660">
    <w:abstractNumId w:val="5"/>
  </w:num>
  <w:num w:numId="4" w16cid:durableId="628362962">
    <w:abstractNumId w:val="0"/>
  </w:num>
  <w:num w:numId="5" w16cid:durableId="591478893">
    <w:abstractNumId w:val="3"/>
  </w:num>
  <w:num w:numId="6" w16cid:durableId="2040007977">
    <w:abstractNumId w:val="6"/>
  </w:num>
  <w:num w:numId="7" w16cid:durableId="213779425">
    <w:abstractNumId w:val="4"/>
  </w:num>
  <w:num w:numId="8" w16cid:durableId="49022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E1"/>
    <w:rsid w:val="00022326"/>
    <w:rsid w:val="00044A72"/>
    <w:rsid w:val="0005C0BC"/>
    <w:rsid w:val="000B3296"/>
    <w:rsid w:val="000C0F2E"/>
    <w:rsid w:val="000C5EDF"/>
    <w:rsid w:val="00121C43"/>
    <w:rsid w:val="0014076F"/>
    <w:rsid w:val="00155387"/>
    <w:rsid w:val="001B72D5"/>
    <w:rsid w:val="001C737D"/>
    <w:rsid w:val="001F2111"/>
    <w:rsid w:val="00262027"/>
    <w:rsid w:val="00275456"/>
    <w:rsid w:val="002A56A3"/>
    <w:rsid w:val="002A5AB1"/>
    <w:rsid w:val="002B0F96"/>
    <w:rsid w:val="002C44D9"/>
    <w:rsid w:val="00304514"/>
    <w:rsid w:val="0032397A"/>
    <w:rsid w:val="00337F9B"/>
    <w:rsid w:val="00394B72"/>
    <w:rsid w:val="00397AD3"/>
    <w:rsid w:val="003A0962"/>
    <w:rsid w:val="003B7CDA"/>
    <w:rsid w:val="003C0606"/>
    <w:rsid w:val="003C09E5"/>
    <w:rsid w:val="003D1AA7"/>
    <w:rsid w:val="00417367"/>
    <w:rsid w:val="00436724"/>
    <w:rsid w:val="00442333"/>
    <w:rsid w:val="0046628D"/>
    <w:rsid w:val="00467CFD"/>
    <w:rsid w:val="00485955"/>
    <w:rsid w:val="00493814"/>
    <w:rsid w:val="004F0AFD"/>
    <w:rsid w:val="00502AF2"/>
    <w:rsid w:val="005123F4"/>
    <w:rsid w:val="00535B38"/>
    <w:rsid w:val="00537FC1"/>
    <w:rsid w:val="00541964"/>
    <w:rsid w:val="00547ABA"/>
    <w:rsid w:val="00564DCE"/>
    <w:rsid w:val="0056509B"/>
    <w:rsid w:val="00574F97"/>
    <w:rsid w:val="005770CF"/>
    <w:rsid w:val="00592D1B"/>
    <w:rsid w:val="006107E3"/>
    <w:rsid w:val="006264CB"/>
    <w:rsid w:val="00654099"/>
    <w:rsid w:val="00677CF1"/>
    <w:rsid w:val="006934F8"/>
    <w:rsid w:val="006D2A5B"/>
    <w:rsid w:val="006E5E23"/>
    <w:rsid w:val="006F49E5"/>
    <w:rsid w:val="0074370A"/>
    <w:rsid w:val="00755BE0"/>
    <w:rsid w:val="00794E81"/>
    <w:rsid w:val="008300B1"/>
    <w:rsid w:val="00865F20"/>
    <w:rsid w:val="00866440"/>
    <w:rsid w:val="008B1D39"/>
    <w:rsid w:val="008E3949"/>
    <w:rsid w:val="008E60DF"/>
    <w:rsid w:val="00900280"/>
    <w:rsid w:val="0092798F"/>
    <w:rsid w:val="00953750"/>
    <w:rsid w:val="00954CE2"/>
    <w:rsid w:val="00957473"/>
    <w:rsid w:val="0099554D"/>
    <w:rsid w:val="009A123A"/>
    <w:rsid w:val="009B22BF"/>
    <w:rsid w:val="009D4CBC"/>
    <w:rsid w:val="00A272DD"/>
    <w:rsid w:val="00A423AF"/>
    <w:rsid w:val="00A66FD7"/>
    <w:rsid w:val="00AA2658"/>
    <w:rsid w:val="00AD6CA2"/>
    <w:rsid w:val="00AE29C3"/>
    <w:rsid w:val="00AE36E1"/>
    <w:rsid w:val="00B13952"/>
    <w:rsid w:val="00B23638"/>
    <w:rsid w:val="00B30EC1"/>
    <w:rsid w:val="00B87881"/>
    <w:rsid w:val="00B937DE"/>
    <w:rsid w:val="00BA2AD2"/>
    <w:rsid w:val="00BB586A"/>
    <w:rsid w:val="00BD37E3"/>
    <w:rsid w:val="00BE5E8D"/>
    <w:rsid w:val="00C07134"/>
    <w:rsid w:val="00C22339"/>
    <w:rsid w:val="00C71895"/>
    <w:rsid w:val="00C73BDD"/>
    <w:rsid w:val="00C82347"/>
    <w:rsid w:val="00D037D0"/>
    <w:rsid w:val="00D05A74"/>
    <w:rsid w:val="00D06472"/>
    <w:rsid w:val="00D10AC9"/>
    <w:rsid w:val="00D274C7"/>
    <w:rsid w:val="00D41D33"/>
    <w:rsid w:val="00D53F8E"/>
    <w:rsid w:val="00D9731D"/>
    <w:rsid w:val="00DA26CD"/>
    <w:rsid w:val="00DD0234"/>
    <w:rsid w:val="00DD1469"/>
    <w:rsid w:val="00DD25C4"/>
    <w:rsid w:val="00DD8E60"/>
    <w:rsid w:val="00DF14D7"/>
    <w:rsid w:val="00E40A11"/>
    <w:rsid w:val="00E94C0D"/>
    <w:rsid w:val="00EA8697"/>
    <w:rsid w:val="00EC187B"/>
    <w:rsid w:val="00ED0913"/>
    <w:rsid w:val="00F22A69"/>
    <w:rsid w:val="00F435F0"/>
    <w:rsid w:val="00F43E89"/>
    <w:rsid w:val="00F73038"/>
    <w:rsid w:val="00F87FAB"/>
    <w:rsid w:val="00F90400"/>
    <w:rsid w:val="00FB09A7"/>
    <w:rsid w:val="00FC4611"/>
    <w:rsid w:val="00FC77F1"/>
    <w:rsid w:val="00FE7E49"/>
    <w:rsid w:val="00FF6BF0"/>
    <w:rsid w:val="01EDD906"/>
    <w:rsid w:val="01F4CA13"/>
    <w:rsid w:val="01F6D75C"/>
    <w:rsid w:val="0291C7EA"/>
    <w:rsid w:val="0514ED32"/>
    <w:rsid w:val="05849921"/>
    <w:rsid w:val="05BE350A"/>
    <w:rsid w:val="065FFC18"/>
    <w:rsid w:val="06804DEC"/>
    <w:rsid w:val="06E3B05D"/>
    <w:rsid w:val="06F495B1"/>
    <w:rsid w:val="0770CC81"/>
    <w:rsid w:val="07B16625"/>
    <w:rsid w:val="08242D62"/>
    <w:rsid w:val="0875EDAC"/>
    <w:rsid w:val="091453A3"/>
    <w:rsid w:val="093DD58F"/>
    <w:rsid w:val="0B57D6DD"/>
    <w:rsid w:val="0B940ED8"/>
    <w:rsid w:val="0CF4DAC1"/>
    <w:rsid w:val="0D28DC32"/>
    <w:rsid w:val="0DDCC82F"/>
    <w:rsid w:val="0FEFD678"/>
    <w:rsid w:val="12AFBA4D"/>
    <w:rsid w:val="12BCAB73"/>
    <w:rsid w:val="13E493A5"/>
    <w:rsid w:val="146C318E"/>
    <w:rsid w:val="14A81824"/>
    <w:rsid w:val="150F939D"/>
    <w:rsid w:val="15FBF99A"/>
    <w:rsid w:val="1645B5FF"/>
    <w:rsid w:val="182CF9CD"/>
    <w:rsid w:val="197533CC"/>
    <w:rsid w:val="1A881341"/>
    <w:rsid w:val="1B31FC3F"/>
    <w:rsid w:val="1B611255"/>
    <w:rsid w:val="1B6970E8"/>
    <w:rsid w:val="1B72E102"/>
    <w:rsid w:val="1D5F7C61"/>
    <w:rsid w:val="1DD81CF0"/>
    <w:rsid w:val="1E831CA0"/>
    <w:rsid w:val="1EC3F25D"/>
    <w:rsid w:val="1EE90FD1"/>
    <w:rsid w:val="202E7550"/>
    <w:rsid w:val="20469A61"/>
    <w:rsid w:val="220CB9B8"/>
    <w:rsid w:val="234DCC11"/>
    <w:rsid w:val="23C76F0A"/>
    <w:rsid w:val="245B7977"/>
    <w:rsid w:val="2499C968"/>
    <w:rsid w:val="24DFBC76"/>
    <w:rsid w:val="258C306A"/>
    <w:rsid w:val="26806FFC"/>
    <w:rsid w:val="27C2C735"/>
    <w:rsid w:val="2852F2DA"/>
    <w:rsid w:val="29519F8F"/>
    <w:rsid w:val="2C8835AE"/>
    <w:rsid w:val="2C91FEC7"/>
    <w:rsid w:val="2CFC48C9"/>
    <w:rsid w:val="2D221648"/>
    <w:rsid w:val="2DA4E74F"/>
    <w:rsid w:val="2DC400EA"/>
    <w:rsid w:val="2E08D219"/>
    <w:rsid w:val="2E4859B3"/>
    <w:rsid w:val="2E55C339"/>
    <w:rsid w:val="2F915EFD"/>
    <w:rsid w:val="300286A0"/>
    <w:rsid w:val="305BBFB0"/>
    <w:rsid w:val="308954AA"/>
    <w:rsid w:val="31AF0878"/>
    <w:rsid w:val="3291FC23"/>
    <w:rsid w:val="32D2387D"/>
    <w:rsid w:val="3318D511"/>
    <w:rsid w:val="34198189"/>
    <w:rsid w:val="342AB761"/>
    <w:rsid w:val="34555BCA"/>
    <w:rsid w:val="358CB2D7"/>
    <w:rsid w:val="37D6139C"/>
    <w:rsid w:val="387A80BE"/>
    <w:rsid w:val="38BB42AC"/>
    <w:rsid w:val="38EA7191"/>
    <w:rsid w:val="3911DBDF"/>
    <w:rsid w:val="3A032E4F"/>
    <w:rsid w:val="3AB94C6E"/>
    <w:rsid w:val="3B59A72A"/>
    <w:rsid w:val="3BCCFC16"/>
    <w:rsid w:val="3BE9BCD6"/>
    <w:rsid w:val="3DF28A09"/>
    <w:rsid w:val="4023D110"/>
    <w:rsid w:val="42770BAE"/>
    <w:rsid w:val="434D8B2A"/>
    <w:rsid w:val="43AD7B76"/>
    <w:rsid w:val="446FE762"/>
    <w:rsid w:val="47CD36C5"/>
    <w:rsid w:val="47ED92D6"/>
    <w:rsid w:val="4A7DA78B"/>
    <w:rsid w:val="4BE98F4B"/>
    <w:rsid w:val="4C586DC4"/>
    <w:rsid w:val="4C999E9F"/>
    <w:rsid w:val="4DEF1C48"/>
    <w:rsid w:val="4E9F806A"/>
    <w:rsid w:val="4F266C42"/>
    <w:rsid w:val="4F9B1C37"/>
    <w:rsid w:val="504E4F97"/>
    <w:rsid w:val="50B24BC8"/>
    <w:rsid w:val="51A3A378"/>
    <w:rsid w:val="5286B4DE"/>
    <w:rsid w:val="54929170"/>
    <w:rsid w:val="556E7B65"/>
    <w:rsid w:val="563EFEFE"/>
    <w:rsid w:val="56631654"/>
    <w:rsid w:val="56BF31BD"/>
    <w:rsid w:val="56DF50C5"/>
    <w:rsid w:val="57965EC6"/>
    <w:rsid w:val="579E5542"/>
    <w:rsid w:val="580DFA31"/>
    <w:rsid w:val="583E06FF"/>
    <w:rsid w:val="588FFC50"/>
    <w:rsid w:val="5989E786"/>
    <w:rsid w:val="5A19EC86"/>
    <w:rsid w:val="5A27E148"/>
    <w:rsid w:val="5A3416E5"/>
    <w:rsid w:val="5A38333E"/>
    <w:rsid w:val="5A7237A1"/>
    <w:rsid w:val="5AAAF835"/>
    <w:rsid w:val="5E7036A9"/>
    <w:rsid w:val="5FA5F006"/>
    <w:rsid w:val="5FF59266"/>
    <w:rsid w:val="612DB638"/>
    <w:rsid w:val="624CAB51"/>
    <w:rsid w:val="6279C197"/>
    <w:rsid w:val="64B22E8D"/>
    <w:rsid w:val="650361AA"/>
    <w:rsid w:val="660AD5F8"/>
    <w:rsid w:val="667FA69B"/>
    <w:rsid w:val="668A0380"/>
    <w:rsid w:val="6748E5BB"/>
    <w:rsid w:val="674C0150"/>
    <w:rsid w:val="67707F50"/>
    <w:rsid w:val="6782CE5A"/>
    <w:rsid w:val="67A20F45"/>
    <w:rsid w:val="69A22D41"/>
    <w:rsid w:val="6A675E20"/>
    <w:rsid w:val="6AE10D46"/>
    <w:rsid w:val="6BBAA3E1"/>
    <w:rsid w:val="6CD9B47F"/>
    <w:rsid w:val="6D9EFEE2"/>
    <w:rsid w:val="6DB3D218"/>
    <w:rsid w:val="6DDE4D05"/>
    <w:rsid w:val="6DFBF900"/>
    <w:rsid w:val="6E576397"/>
    <w:rsid w:val="6FB54220"/>
    <w:rsid w:val="70723344"/>
    <w:rsid w:val="707DFCD7"/>
    <w:rsid w:val="71F6E698"/>
    <w:rsid w:val="73FF8E14"/>
    <w:rsid w:val="771025A1"/>
    <w:rsid w:val="7774430D"/>
    <w:rsid w:val="7A6F3553"/>
    <w:rsid w:val="7C7B839F"/>
    <w:rsid w:val="7DE083AE"/>
    <w:rsid w:val="7E239C54"/>
    <w:rsid w:val="7EBD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7AAE"/>
  <w15:chartTrackingRefBased/>
  <w15:docId w15:val="{88B3A911-31F3-4B1E-A456-AF19F5E6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50"/>
    <w:rPr>
      <w:sz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953750"/>
    <w:rPr>
      <w:color w:val="0563C1" w:themeColor="hyperlink"/>
      <w:u w:val="single"/>
    </w:rPr>
  </w:style>
  <w:style w:type="character" w:styleId="UnresolvedMention">
    <w:name w:val="Unresolved Mention"/>
    <w:basedOn w:val="DefaultParagraphFont"/>
    <w:uiPriority w:val="99"/>
    <w:semiHidden/>
    <w:unhideWhenUsed/>
    <w:rsid w:val="00953750"/>
    <w:rPr>
      <w:color w:val="605E5C"/>
      <w:shd w:val="clear" w:color="auto" w:fill="E1DFDD"/>
    </w:rPr>
  </w:style>
  <w:style w:type="paragraph" w:styleId="Header">
    <w:name w:val="header"/>
    <w:basedOn w:val="Normal"/>
    <w:link w:val="HeaderChar"/>
    <w:uiPriority w:val="99"/>
    <w:unhideWhenUsed/>
    <w:rsid w:val="00954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E2"/>
    <w:rPr>
      <w:sz w:val="24"/>
    </w:rPr>
  </w:style>
  <w:style w:type="paragraph" w:styleId="Footer">
    <w:name w:val="footer"/>
    <w:basedOn w:val="Normal"/>
    <w:link w:val="FooterChar"/>
    <w:uiPriority w:val="99"/>
    <w:unhideWhenUsed/>
    <w:rsid w:val="00954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E2"/>
    <w:rPr>
      <w:sz w:val="24"/>
    </w:rPr>
  </w:style>
  <w:style w:type="paragraph" w:styleId="FootnoteText">
    <w:name w:val="footnote text"/>
    <w:basedOn w:val="Normal"/>
    <w:link w:val="FootnoteTextChar"/>
    <w:uiPriority w:val="99"/>
    <w:semiHidden/>
    <w:unhideWhenUsed/>
    <w:rsid w:val="00BD3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7E3"/>
    <w:rPr>
      <w:sz w:val="20"/>
      <w:szCs w:val="20"/>
    </w:rPr>
  </w:style>
  <w:style w:type="character" w:styleId="FootnoteReference">
    <w:name w:val="footnote reference"/>
    <w:basedOn w:val="DefaultParagraphFont"/>
    <w:uiPriority w:val="99"/>
    <w:semiHidden/>
    <w:unhideWhenUsed/>
    <w:rsid w:val="00BD37E3"/>
    <w:rPr>
      <w:vertAlign w:val="superscript"/>
    </w:rPr>
  </w:style>
  <w:style w:type="paragraph" w:styleId="NormalWeb">
    <w:name w:val="Normal (Web)"/>
    <w:basedOn w:val="Normal"/>
    <w:uiPriority w:val="99"/>
    <w:semiHidden/>
    <w:unhideWhenUsed/>
    <w:rsid w:val="00DD0234"/>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8300B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7CDA"/>
    <w:pPr>
      <w:spacing w:after="0" w:line="240" w:lineRule="auto"/>
    </w:pPr>
    <w:rPr>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35B38"/>
    <w:rPr>
      <w:b/>
      <w:bCs/>
    </w:rPr>
  </w:style>
  <w:style w:type="character" w:customStyle="1" w:styleId="CommentSubjectChar">
    <w:name w:val="Comment Subject Char"/>
    <w:basedOn w:val="CommentTextChar"/>
    <w:link w:val="CommentSubject"/>
    <w:uiPriority w:val="99"/>
    <w:semiHidden/>
    <w:rsid w:val="00535B38"/>
    <w:rPr>
      <w:b/>
      <w:bCs/>
      <w:sz w:val="20"/>
      <w:szCs w:val="20"/>
    </w:rPr>
  </w:style>
  <w:style w:type="character" w:styleId="FollowedHyperlink">
    <w:name w:val="FollowedHyperlink"/>
    <w:basedOn w:val="DefaultParagraphFont"/>
    <w:uiPriority w:val="99"/>
    <w:semiHidden/>
    <w:unhideWhenUsed/>
    <w:rsid w:val="009D4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1644">
      <w:bodyDiv w:val="1"/>
      <w:marLeft w:val="0"/>
      <w:marRight w:val="0"/>
      <w:marTop w:val="0"/>
      <w:marBottom w:val="0"/>
      <w:divBdr>
        <w:top w:val="none" w:sz="0" w:space="0" w:color="auto"/>
        <w:left w:val="none" w:sz="0" w:space="0" w:color="auto"/>
        <w:bottom w:val="none" w:sz="0" w:space="0" w:color="auto"/>
        <w:right w:val="none" w:sz="0" w:space="0" w:color="auto"/>
      </w:divBdr>
    </w:div>
    <w:div w:id="240062838">
      <w:bodyDiv w:val="1"/>
      <w:marLeft w:val="0"/>
      <w:marRight w:val="0"/>
      <w:marTop w:val="0"/>
      <w:marBottom w:val="0"/>
      <w:divBdr>
        <w:top w:val="none" w:sz="0" w:space="0" w:color="auto"/>
        <w:left w:val="none" w:sz="0" w:space="0" w:color="auto"/>
        <w:bottom w:val="none" w:sz="0" w:space="0" w:color="auto"/>
        <w:right w:val="none" w:sz="0" w:space="0" w:color="auto"/>
      </w:divBdr>
    </w:div>
    <w:div w:id="327638391">
      <w:bodyDiv w:val="1"/>
      <w:marLeft w:val="0"/>
      <w:marRight w:val="0"/>
      <w:marTop w:val="0"/>
      <w:marBottom w:val="0"/>
      <w:divBdr>
        <w:top w:val="none" w:sz="0" w:space="0" w:color="auto"/>
        <w:left w:val="none" w:sz="0" w:space="0" w:color="auto"/>
        <w:bottom w:val="none" w:sz="0" w:space="0" w:color="auto"/>
        <w:right w:val="none" w:sz="0" w:space="0" w:color="auto"/>
      </w:divBdr>
    </w:div>
    <w:div w:id="397364910">
      <w:bodyDiv w:val="1"/>
      <w:marLeft w:val="0"/>
      <w:marRight w:val="0"/>
      <w:marTop w:val="0"/>
      <w:marBottom w:val="0"/>
      <w:divBdr>
        <w:top w:val="none" w:sz="0" w:space="0" w:color="auto"/>
        <w:left w:val="none" w:sz="0" w:space="0" w:color="auto"/>
        <w:bottom w:val="none" w:sz="0" w:space="0" w:color="auto"/>
        <w:right w:val="none" w:sz="0" w:space="0" w:color="auto"/>
      </w:divBdr>
    </w:div>
    <w:div w:id="898055378">
      <w:bodyDiv w:val="1"/>
      <w:marLeft w:val="0"/>
      <w:marRight w:val="0"/>
      <w:marTop w:val="0"/>
      <w:marBottom w:val="0"/>
      <w:divBdr>
        <w:top w:val="none" w:sz="0" w:space="0" w:color="auto"/>
        <w:left w:val="none" w:sz="0" w:space="0" w:color="auto"/>
        <w:bottom w:val="none" w:sz="0" w:space="0" w:color="auto"/>
        <w:right w:val="none" w:sz="0" w:space="0" w:color="auto"/>
      </w:divBdr>
      <w:divsChild>
        <w:div w:id="52824623">
          <w:marLeft w:val="274"/>
          <w:marRight w:val="0"/>
          <w:marTop w:val="0"/>
          <w:marBottom w:val="0"/>
          <w:divBdr>
            <w:top w:val="none" w:sz="0" w:space="0" w:color="auto"/>
            <w:left w:val="none" w:sz="0" w:space="0" w:color="auto"/>
            <w:bottom w:val="none" w:sz="0" w:space="0" w:color="auto"/>
            <w:right w:val="none" w:sz="0" w:space="0" w:color="auto"/>
          </w:divBdr>
        </w:div>
      </w:divsChild>
    </w:div>
    <w:div w:id="913515920">
      <w:bodyDiv w:val="1"/>
      <w:marLeft w:val="0"/>
      <w:marRight w:val="0"/>
      <w:marTop w:val="0"/>
      <w:marBottom w:val="0"/>
      <w:divBdr>
        <w:top w:val="none" w:sz="0" w:space="0" w:color="auto"/>
        <w:left w:val="none" w:sz="0" w:space="0" w:color="auto"/>
        <w:bottom w:val="none" w:sz="0" w:space="0" w:color="auto"/>
        <w:right w:val="none" w:sz="0" w:space="0" w:color="auto"/>
      </w:divBdr>
      <w:divsChild>
        <w:div w:id="781191313">
          <w:marLeft w:val="274"/>
          <w:marRight w:val="0"/>
          <w:marTop w:val="0"/>
          <w:marBottom w:val="0"/>
          <w:divBdr>
            <w:top w:val="none" w:sz="0" w:space="0" w:color="auto"/>
            <w:left w:val="none" w:sz="0" w:space="0" w:color="auto"/>
            <w:bottom w:val="none" w:sz="0" w:space="0" w:color="auto"/>
            <w:right w:val="none" w:sz="0" w:space="0" w:color="auto"/>
          </w:divBdr>
        </w:div>
      </w:divsChild>
    </w:div>
    <w:div w:id="1014959720">
      <w:bodyDiv w:val="1"/>
      <w:marLeft w:val="0"/>
      <w:marRight w:val="0"/>
      <w:marTop w:val="0"/>
      <w:marBottom w:val="0"/>
      <w:divBdr>
        <w:top w:val="none" w:sz="0" w:space="0" w:color="auto"/>
        <w:left w:val="none" w:sz="0" w:space="0" w:color="auto"/>
        <w:bottom w:val="none" w:sz="0" w:space="0" w:color="auto"/>
        <w:right w:val="none" w:sz="0" w:space="0" w:color="auto"/>
      </w:divBdr>
      <w:divsChild>
        <w:div w:id="1588811286">
          <w:marLeft w:val="274"/>
          <w:marRight w:val="0"/>
          <w:marTop w:val="0"/>
          <w:marBottom w:val="0"/>
          <w:divBdr>
            <w:top w:val="none" w:sz="0" w:space="0" w:color="auto"/>
            <w:left w:val="none" w:sz="0" w:space="0" w:color="auto"/>
            <w:bottom w:val="none" w:sz="0" w:space="0" w:color="auto"/>
            <w:right w:val="none" w:sz="0" w:space="0" w:color="auto"/>
          </w:divBdr>
        </w:div>
      </w:divsChild>
    </w:div>
    <w:div w:id="1018892016">
      <w:bodyDiv w:val="1"/>
      <w:marLeft w:val="0"/>
      <w:marRight w:val="0"/>
      <w:marTop w:val="0"/>
      <w:marBottom w:val="0"/>
      <w:divBdr>
        <w:top w:val="none" w:sz="0" w:space="0" w:color="auto"/>
        <w:left w:val="none" w:sz="0" w:space="0" w:color="auto"/>
        <w:bottom w:val="none" w:sz="0" w:space="0" w:color="auto"/>
        <w:right w:val="none" w:sz="0" w:space="0" w:color="auto"/>
      </w:divBdr>
    </w:div>
    <w:div w:id="1275670183">
      <w:bodyDiv w:val="1"/>
      <w:marLeft w:val="0"/>
      <w:marRight w:val="0"/>
      <w:marTop w:val="0"/>
      <w:marBottom w:val="0"/>
      <w:divBdr>
        <w:top w:val="none" w:sz="0" w:space="0" w:color="auto"/>
        <w:left w:val="none" w:sz="0" w:space="0" w:color="auto"/>
        <w:bottom w:val="none" w:sz="0" w:space="0" w:color="auto"/>
        <w:right w:val="none" w:sz="0" w:space="0" w:color="auto"/>
      </w:divBdr>
      <w:divsChild>
        <w:div w:id="1269238586">
          <w:marLeft w:val="274"/>
          <w:marRight w:val="0"/>
          <w:marTop w:val="0"/>
          <w:marBottom w:val="0"/>
          <w:divBdr>
            <w:top w:val="none" w:sz="0" w:space="0" w:color="auto"/>
            <w:left w:val="none" w:sz="0" w:space="0" w:color="auto"/>
            <w:bottom w:val="none" w:sz="0" w:space="0" w:color="auto"/>
            <w:right w:val="none" w:sz="0" w:space="0" w:color="auto"/>
          </w:divBdr>
        </w:div>
      </w:divsChild>
    </w:div>
    <w:div w:id="1282960834">
      <w:bodyDiv w:val="1"/>
      <w:marLeft w:val="0"/>
      <w:marRight w:val="0"/>
      <w:marTop w:val="0"/>
      <w:marBottom w:val="0"/>
      <w:divBdr>
        <w:top w:val="none" w:sz="0" w:space="0" w:color="auto"/>
        <w:left w:val="none" w:sz="0" w:space="0" w:color="auto"/>
        <w:bottom w:val="none" w:sz="0" w:space="0" w:color="auto"/>
        <w:right w:val="none" w:sz="0" w:space="0" w:color="auto"/>
      </w:divBdr>
    </w:div>
    <w:div w:id="1312247306">
      <w:bodyDiv w:val="1"/>
      <w:marLeft w:val="0"/>
      <w:marRight w:val="0"/>
      <w:marTop w:val="0"/>
      <w:marBottom w:val="0"/>
      <w:divBdr>
        <w:top w:val="none" w:sz="0" w:space="0" w:color="auto"/>
        <w:left w:val="none" w:sz="0" w:space="0" w:color="auto"/>
        <w:bottom w:val="none" w:sz="0" w:space="0" w:color="auto"/>
        <w:right w:val="none" w:sz="0" w:space="0" w:color="auto"/>
      </w:divBdr>
    </w:div>
    <w:div w:id="1424298623">
      <w:bodyDiv w:val="1"/>
      <w:marLeft w:val="0"/>
      <w:marRight w:val="0"/>
      <w:marTop w:val="0"/>
      <w:marBottom w:val="0"/>
      <w:divBdr>
        <w:top w:val="none" w:sz="0" w:space="0" w:color="auto"/>
        <w:left w:val="none" w:sz="0" w:space="0" w:color="auto"/>
        <w:bottom w:val="none" w:sz="0" w:space="0" w:color="auto"/>
        <w:right w:val="none" w:sz="0" w:space="0" w:color="auto"/>
      </w:divBdr>
    </w:div>
    <w:div w:id="1432162374">
      <w:bodyDiv w:val="1"/>
      <w:marLeft w:val="0"/>
      <w:marRight w:val="0"/>
      <w:marTop w:val="0"/>
      <w:marBottom w:val="0"/>
      <w:divBdr>
        <w:top w:val="none" w:sz="0" w:space="0" w:color="auto"/>
        <w:left w:val="none" w:sz="0" w:space="0" w:color="auto"/>
        <w:bottom w:val="none" w:sz="0" w:space="0" w:color="auto"/>
        <w:right w:val="none" w:sz="0" w:space="0" w:color="auto"/>
      </w:divBdr>
    </w:div>
    <w:div w:id="1605915332">
      <w:bodyDiv w:val="1"/>
      <w:marLeft w:val="0"/>
      <w:marRight w:val="0"/>
      <w:marTop w:val="0"/>
      <w:marBottom w:val="0"/>
      <w:divBdr>
        <w:top w:val="none" w:sz="0" w:space="0" w:color="auto"/>
        <w:left w:val="none" w:sz="0" w:space="0" w:color="auto"/>
        <w:bottom w:val="none" w:sz="0" w:space="0" w:color="auto"/>
        <w:right w:val="none" w:sz="0" w:space="0" w:color="auto"/>
      </w:divBdr>
      <w:divsChild>
        <w:div w:id="898395019">
          <w:marLeft w:val="274"/>
          <w:marRight w:val="0"/>
          <w:marTop w:val="0"/>
          <w:marBottom w:val="0"/>
          <w:divBdr>
            <w:top w:val="none" w:sz="0" w:space="0" w:color="auto"/>
            <w:left w:val="none" w:sz="0" w:space="0" w:color="auto"/>
            <w:bottom w:val="none" w:sz="0" w:space="0" w:color="auto"/>
            <w:right w:val="none" w:sz="0" w:space="0" w:color="auto"/>
          </w:divBdr>
        </w:div>
      </w:divsChild>
    </w:div>
    <w:div w:id="1662196061">
      <w:bodyDiv w:val="1"/>
      <w:marLeft w:val="0"/>
      <w:marRight w:val="0"/>
      <w:marTop w:val="0"/>
      <w:marBottom w:val="0"/>
      <w:divBdr>
        <w:top w:val="none" w:sz="0" w:space="0" w:color="auto"/>
        <w:left w:val="none" w:sz="0" w:space="0" w:color="auto"/>
        <w:bottom w:val="none" w:sz="0" w:space="0" w:color="auto"/>
        <w:right w:val="none" w:sz="0" w:space="0" w:color="auto"/>
      </w:divBdr>
      <w:divsChild>
        <w:div w:id="1080754355">
          <w:marLeft w:val="274"/>
          <w:marRight w:val="0"/>
          <w:marTop w:val="0"/>
          <w:marBottom w:val="120"/>
          <w:divBdr>
            <w:top w:val="none" w:sz="0" w:space="0" w:color="auto"/>
            <w:left w:val="none" w:sz="0" w:space="0" w:color="auto"/>
            <w:bottom w:val="none" w:sz="0" w:space="0" w:color="auto"/>
            <w:right w:val="none" w:sz="0" w:space="0" w:color="auto"/>
          </w:divBdr>
        </w:div>
        <w:div w:id="181943223">
          <w:marLeft w:val="274"/>
          <w:marRight w:val="0"/>
          <w:marTop w:val="0"/>
          <w:marBottom w:val="120"/>
          <w:divBdr>
            <w:top w:val="none" w:sz="0" w:space="0" w:color="auto"/>
            <w:left w:val="none" w:sz="0" w:space="0" w:color="auto"/>
            <w:bottom w:val="none" w:sz="0" w:space="0" w:color="auto"/>
            <w:right w:val="none" w:sz="0" w:space="0" w:color="auto"/>
          </w:divBdr>
        </w:div>
      </w:divsChild>
    </w:div>
    <w:div w:id="1672372218">
      <w:bodyDiv w:val="1"/>
      <w:marLeft w:val="0"/>
      <w:marRight w:val="0"/>
      <w:marTop w:val="0"/>
      <w:marBottom w:val="0"/>
      <w:divBdr>
        <w:top w:val="none" w:sz="0" w:space="0" w:color="auto"/>
        <w:left w:val="none" w:sz="0" w:space="0" w:color="auto"/>
        <w:bottom w:val="none" w:sz="0" w:space="0" w:color="auto"/>
        <w:right w:val="none" w:sz="0" w:space="0" w:color="auto"/>
      </w:divBdr>
      <w:divsChild>
        <w:div w:id="2115515118">
          <w:marLeft w:val="274"/>
          <w:marRight w:val="0"/>
          <w:marTop w:val="0"/>
          <w:marBottom w:val="0"/>
          <w:divBdr>
            <w:top w:val="none" w:sz="0" w:space="0" w:color="auto"/>
            <w:left w:val="none" w:sz="0" w:space="0" w:color="auto"/>
            <w:bottom w:val="none" w:sz="0" w:space="0" w:color="auto"/>
            <w:right w:val="none" w:sz="0" w:space="0" w:color="auto"/>
          </w:divBdr>
        </w:div>
      </w:divsChild>
    </w:div>
    <w:div w:id="1846167155">
      <w:bodyDiv w:val="1"/>
      <w:marLeft w:val="0"/>
      <w:marRight w:val="0"/>
      <w:marTop w:val="0"/>
      <w:marBottom w:val="0"/>
      <w:divBdr>
        <w:top w:val="none" w:sz="0" w:space="0" w:color="auto"/>
        <w:left w:val="none" w:sz="0" w:space="0" w:color="auto"/>
        <w:bottom w:val="none" w:sz="0" w:space="0" w:color="auto"/>
        <w:right w:val="none" w:sz="0" w:space="0" w:color="auto"/>
      </w:divBdr>
    </w:div>
    <w:div w:id="1962759622">
      <w:bodyDiv w:val="1"/>
      <w:marLeft w:val="0"/>
      <w:marRight w:val="0"/>
      <w:marTop w:val="0"/>
      <w:marBottom w:val="0"/>
      <w:divBdr>
        <w:top w:val="none" w:sz="0" w:space="0" w:color="auto"/>
        <w:left w:val="none" w:sz="0" w:space="0" w:color="auto"/>
        <w:bottom w:val="none" w:sz="0" w:space="0" w:color="auto"/>
        <w:right w:val="none" w:sz="0" w:space="0" w:color="auto"/>
      </w:divBdr>
    </w:div>
    <w:div w:id="1964188174">
      <w:bodyDiv w:val="1"/>
      <w:marLeft w:val="0"/>
      <w:marRight w:val="0"/>
      <w:marTop w:val="0"/>
      <w:marBottom w:val="0"/>
      <w:divBdr>
        <w:top w:val="none" w:sz="0" w:space="0" w:color="auto"/>
        <w:left w:val="none" w:sz="0" w:space="0" w:color="auto"/>
        <w:bottom w:val="none" w:sz="0" w:space="0" w:color="auto"/>
        <w:right w:val="none" w:sz="0" w:space="0" w:color="auto"/>
      </w:divBdr>
    </w:div>
    <w:div w:id="1990090622">
      <w:bodyDiv w:val="1"/>
      <w:marLeft w:val="0"/>
      <w:marRight w:val="0"/>
      <w:marTop w:val="0"/>
      <w:marBottom w:val="0"/>
      <w:divBdr>
        <w:top w:val="none" w:sz="0" w:space="0" w:color="auto"/>
        <w:left w:val="none" w:sz="0" w:space="0" w:color="auto"/>
        <w:bottom w:val="none" w:sz="0" w:space="0" w:color="auto"/>
        <w:right w:val="none" w:sz="0" w:space="0" w:color="auto"/>
      </w:divBdr>
    </w:div>
    <w:div w:id="2003661180">
      <w:bodyDiv w:val="1"/>
      <w:marLeft w:val="0"/>
      <w:marRight w:val="0"/>
      <w:marTop w:val="0"/>
      <w:marBottom w:val="0"/>
      <w:divBdr>
        <w:top w:val="none" w:sz="0" w:space="0" w:color="auto"/>
        <w:left w:val="none" w:sz="0" w:space="0" w:color="auto"/>
        <w:bottom w:val="none" w:sz="0" w:space="0" w:color="auto"/>
        <w:right w:val="none" w:sz="0" w:space="0" w:color="auto"/>
      </w:divBdr>
    </w:div>
    <w:div w:id="2071079170">
      <w:bodyDiv w:val="1"/>
      <w:marLeft w:val="0"/>
      <w:marRight w:val="0"/>
      <w:marTop w:val="0"/>
      <w:marBottom w:val="0"/>
      <w:divBdr>
        <w:top w:val="none" w:sz="0" w:space="0" w:color="auto"/>
        <w:left w:val="none" w:sz="0" w:space="0" w:color="auto"/>
        <w:bottom w:val="none" w:sz="0" w:space="0" w:color="auto"/>
        <w:right w:val="none" w:sz="0" w:space="0" w:color="auto"/>
      </w:divBdr>
    </w:div>
    <w:div w:id="2124298597">
      <w:bodyDiv w:val="1"/>
      <w:marLeft w:val="0"/>
      <w:marRight w:val="0"/>
      <w:marTop w:val="0"/>
      <w:marBottom w:val="0"/>
      <w:divBdr>
        <w:top w:val="none" w:sz="0" w:space="0" w:color="auto"/>
        <w:left w:val="none" w:sz="0" w:space="0" w:color="auto"/>
        <w:bottom w:val="none" w:sz="0" w:space="0" w:color="auto"/>
        <w:right w:val="none" w:sz="0" w:space="0" w:color="auto"/>
      </w:divBdr>
    </w:div>
    <w:div w:id="21281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data-reports-and-requests" TargetMode="External"/><Relationship Id="rId18" Type="http://schemas.openxmlformats.org/officeDocument/2006/relationships/hyperlink" Target="https://www.doe.mass.edu/sfs/yrb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ass.gov/info-details/hiv-data-dashboard" TargetMode="External"/><Relationship Id="rId17" Type="http://schemas.openxmlformats.org/officeDocument/2006/relationships/hyperlink" Target="https://www.mass.gov/lists/brfss-statewide-reports-and-publica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hivaids-epidemiologic-profiles" TargetMode="External"/><Relationship Id="rId22" Type="http://schemas.openxmlformats.org/officeDocument/2006/relationships/image" Target="media/image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illiamsinstitute.law.ucla.edu/wp-content/uploads/Trans-Pop-Update-Jun-2022.pdf" TargetMode="External"/><Relationship Id="rId2" Type="http://schemas.openxmlformats.org/officeDocument/2006/relationships/hyperlink" Target="https://williamsinstitute.law.ucla.edu/wp-content/uploads/Trans-Pop-Update-Jun-2022.pdf" TargetMode="External"/><Relationship Id="rId1" Type="http://schemas.openxmlformats.org/officeDocument/2006/relationships/hyperlink" Target="https://www.mass.gov/service-details/partner-services-program-information-for-healthcare-providers" TargetMode="External"/><Relationship Id="rId4" Type="http://schemas.openxmlformats.org/officeDocument/2006/relationships/hyperlink" Target="https://www.cdc.gov/hiv/pdf/policies/data/cdc-hiv-policy-issue-brief-transge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0BCA3-E51B-4C00-868B-464E04772B7B}">
  <ds:schemaRefs>
    <ds:schemaRef ds:uri="http://schemas.openxmlformats.org/officeDocument/2006/bibliography"/>
  </ds:schemaRefs>
</ds:datastoreItem>
</file>

<file path=customXml/itemProps2.xml><?xml version="1.0" encoding="utf-8"?>
<ds:datastoreItem xmlns:ds="http://schemas.openxmlformats.org/officeDocument/2006/customXml" ds:itemID="{22B087FC-25A8-4279-99A7-005DFB00B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0F7B67-3A07-4413-899D-0C5100C9F1AB}">
  <ds:schemaRefs>
    <ds:schemaRef ds:uri="http://schemas.microsoft.com/sharepoint/v3/contenttype/forms"/>
  </ds:schemaRefs>
</ds:datastoreItem>
</file>

<file path=customXml/itemProps4.xml><?xml version="1.0" encoding="utf-8"?>
<ds:datastoreItem xmlns:ds="http://schemas.openxmlformats.org/officeDocument/2006/customXml" ds:itemID="{7AE16025-5683-4C51-9F42-1FFB84F5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Massachusetts HIV Epidemiologic Profile: Data as of 1/1/2023, Population Report: Transgender Individuals</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7/1/2024, Population Report: Transgender Individuals, Accessible Version</dc:title>
  <dc:subject/>
  <dc:creator>Bureau of Infectious Disease and Laboratory Sciences;Massachusetts Department of Public Health</dc:creator>
  <cp:keywords>HIV, AIDS, transgender, transgender women, HIV surveillance, Massachusetts, trans</cp:keywords>
  <dc:description/>
  <cp:lastModifiedBy>Maile Beatty</cp:lastModifiedBy>
  <cp:revision>63</cp:revision>
  <dcterms:created xsi:type="dcterms:W3CDTF">2022-12-06T13:06:00Z</dcterms:created>
  <dcterms:modified xsi:type="dcterms:W3CDTF">2025-06-17T00:29:00Z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