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3B" w:rsidRDefault="002161A8">
      <w:pPr>
        <w:pStyle w:val="Body"/>
        <w:rPr>
          <w:sz w:val="28"/>
          <w:szCs w:val="28"/>
        </w:rPr>
      </w:pPr>
      <w:bookmarkStart w:id="0" w:name="_GoBack"/>
      <w:bookmarkEnd w:id="0"/>
      <w:r>
        <w:rPr>
          <w:noProof/>
        </w:rPr>
        <w:drawing>
          <wp:anchor distT="0" distB="0" distL="114300" distR="114300" simplePos="0" relativeHeight="251659264" behindDoc="1" locked="0" layoutInCell="1" allowOverlap="1" wp14:anchorId="08509E62" wp14:editId="17D8CCFA">
            <wp:simplePos x="0" y="0"/>
            <wp:positionH relativeFrom="column">
              <wp:posOffset>-927100</wp:posOffset>
            </wp:positionH>
            <wp:positionV relativeFrom="paragraph">
              <wp:posOffset>-675111</wp:posOffset>
            </wp:positionV>
            <wp:extent cx="7356768" cy="9520704"/>
            <wp:effectExtent l="514350" t="438150" r="796925" b="8045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6768" cy="9520704"/>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tabs>
          <w:tab w:val="left" w:pos="2913"/>
        </w:tabs>
        <w:spacing w:before="100" w:beforeAutospacing="1" w:after="480"/>
        <w:ind w:left="-1584"/>
      </w:pPr>
      <w:r>
        <w:rPr>
          <w:noProof/>
        </w:rPr>
        <mc:AlternateContent>
          <mc:Choice Requires="wps">
            <w:drawing>
              <wp:anchor distT="0" distB="0" distL="114300" distR="114300" simplePos="0" relativeHeight="251660288" behindDoc="0" locked="0" layoutInCell="1" allowOverlap="1" wp14:anchorId="14BDEAA7" wp14:editId="54DFC2E3">
                <wp:simplePos x="0" y="0"/>
                <wp:positionH relativeFrom="column">
                  <wp:posOffset>-209550</wp:posOffset>
                </wp:positionH>
                <wp:positionV relativeFrom="paragraph">
                  <wp:posOffset>299720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2161A8" w:rsidRDefault="00A5587C" w:rsidP="00A5587C">
                            <w:pPr>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Report on </w:t>
                            </w:r>
                          </w:p>
                          <w:p w:rsidR="002161A8" w:rsidRDefault="009E175D" w:rsidP="00A5587C">
                            <w:pPr>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Transitional Aid to Families with Dependent Children – </w:t>
                            </w:r>
                            <w:r w:rsidR="00136C8C">
                              <w:rPr>
                                <w:rFonts w:ascii="Adobe Garamond Pro Bold" w:hAnsi="Adobe Garamond Pro Bold"/>
                                <w:b/>
                                <w:color w:val="043064"/>
                                <w:sz w:val="72"/>
                                <w:szCs w:val="72"/>
                              </w:rPr>
                              <w:t xml:space="preserve">Eligible </w:t>
                            </w:r>
                            <w:r>
                              <w:rPr>
                                <w:rFonts w:ascii="Adobe Garamond Pro Bold" w:hAnsi="Adobe Garamond Pro Bold"/>
                                <w:b/>
                                <w:color w:val="043064"/>
                                <w:sz w:val="72"/>
                                <w:szCs w:val="72"/>
                              </w:rPr>
                              <w:t>Noncitizen Status Clients</w:t>
                            </w:r>
                          </w:p>
                          <w:p w:rsidR="00506EBB" w:rsidRPr="00506EBB" w:rsidRDefault="00506EBB" w:rsidP="00A5587C">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DEAA7" id="_x0000_t202" coordsize="21600,21600" o:spt="202" path="m,l,21600r21600,l21600,xe">
                <v:stroke joinstyle="miter"/>
                <v:path gradientshapeok="t" o:connecttype="rect"/>
              </v:shapetype>
              <v:shape id="Text Box 2" o:spid="_x0000_s1026" type="#_x0000_t202" style="position:absolute;left:0;text-align:left;margin-left:-16.5pt;margin-top:23.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" stroked="f">
                <v:textbox>
                  <w:txbxContent>
                    <w:p w:rsidR="002161A8" w:rsidRDefault="00A5587C" w:rsidP="00A5587C">
                      <w:pPr>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Report on </w:t>
                      </w:r>
                    </w:p>
                    <w:p w:rsidR="002161A8" w:rsidRDefault="009E175D" w:rsidP="00A5587C">
                      <w:pPr>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Transitional Aid to Families with Dependent Children – </w:t>
                      </w:r>
                      <w:r w:rsidR="00136C8C">
                        <w:rPr>
                          <w:rFonts w:ascii="Adobe Garamond Pro Bold" w:hAnsi="Adobe Garamond Pro Bold"/>
                          <w:b/>
                          <w:color w:val="043064"/>
                          <w:sz w:val="72"/>
                          <w:szCs w:val="72"/>
                        </w:rPr>
                        <w:t xml:space="preserve">Eligible </w:t>
                      </w:r>
                      <w:r>
                        <w:rPr>
                          <w:rFonts w:ascii="Adobe Garamond Pro Bold" w:hAnsi="Adobe Garamond Pro Bold"/>
                          <w:b/>
                          <w:color w:val="043064"/>
                          <w:sz w:val="72"/>
                          <w:szCs w:val="72"/>
                        </w:rPr>
                        <w:t>Noncitizen Status Clients</w:t>
                      </w:r>
                    </w:p>
                    <w:p w:rsidR="00506EBB" w:rsidRPr="00506EBB" w:rsidRDefault="00506EBB" w:rsidP="00A5587C">
                      <w:pPr>
                        <w:jc w:val="center"/>
                        <w:rPr>
                          <w:sz w:val="72"/>
                          <w:szCs w:val="72"/>
                        </w:rPr>
                      </w:pPr>
                    </w:p>
                  </w:txbxContent>
                </v:textbox>
              </v:shape>
            </w:pict>
          </mc:Fallback>
        </mc:AlternateContent>
      </w:r>
      <w:r>
        <w:tab/>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tabs>
          <w:tab w:val="left" w:pos="3433"/>
        </w:tabs>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Pr="00E02475" w:rsidRDefault="002161A8" w:rsidP="002161A8"/>
    <w:p w:rsidR="00AF273B" w:rsidRDefault="00AF273B">
      <w:pPr>
        <w:pStyle w:val="Body"/>
        <w:spacing w:after="0" w:line="240" w:lineRule="auto"/>
        <w:jc w:val="center"/>
        <w:rPr>
          <w:rFonts w:ascii="Times New Roman" w:eastAsia="Times New Roman" w:hAnsi="Times New Roman" w:cs="Times New Roman"/>
          <w:sz w:val="24"/>
          <w:szCs w:val="24"/>
        </w:rPr>
      </w:pPr>
    </w:p>
    <w:p w:rsidR="00AF273B" w:rsidRDefault="00AF273B">
      <w:pPr>
        <w:pStyle w:val="Body"/>
        <w:spacing w:after="0" w:line="240" w:lineRule="auto"/>
        <w:jc w:val="center"/>
        <w:rPr>
          <w:rFonts w:ascii="Times New Roman" w:eastAsia="Times New Roman" w:hAnsi="Times New Roman" w:cs="Times New Roman"/>
          <w:sz w:val="24"/>
          <w:szCs w:val="24"/>
        </w:rPr>
      </w:pPr>
    </w:p>
    <w:p w:rsidR="00AF273B" w:rsidRDefault="002161A8">
      <w:pPr>
        <w:pStyle w:val="Body"/>
        <w:spacing w:after="0" w:line="240" w:lineRule="auto"/>
        <w:jc w:val="center"/>
        <w:sectPr w:rsidR="00AF273B">
          <w:headerReference w:type="default" r:id="rId9"/>
          <w:footerReference w:type="default" r:id="rId10"/>
          <w:pgSz w:w="12240" w:h="15840"/>
          <w:pgMar w:top="1440" w:right="1800" w:bottom="1440" w:left="1800" w:header="720" w:footer="720" w:gutter="0"/>
          <w:cols w:space="720"/>
          <w:titlePg/>
        </w:sectPr>
      </w:pPr>
      <w:r>
        <w:rPr>
          <w:noProof/>
        </w:rPr>
        <mc:AlternateContent>
          <mc:Choice Requires="wps">
            <w:drawing>
              <wp:anchor distT="0" distB="0" distL="114300" distR="114300" simplePos="0" relativeHeight="251661312" behindDoc="0" locked="0" layoutInCell="1" allowOverlap="1" wp14:anchorId="2B1EC471" wp14:editId="5662FB9D">
                <wp:simplePos x="0" y="0"/>
                <wp:positionH relativeFrom="column">
                  <wp:posOffset>1616710</wp:posOffset>
                </wp:positionH>
                <wp:positionV relativeFrom="paragraph">
                  <wp:posOffset>1118235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2161A8" w:rsidRPr="00E02475" w:rsidRDefault="00394ECC" w:rsidP="002161A8">
                            <w:pPr>
                              <w:jc w:val="center"/>
                              <w:rPr>
                                <w:rFonts w:ascii="Adobe Garamond Pro Bold" w:hAnsi="Adobe Garamond Pro Bold"/>
                                <w:sz w:val="48"/>
                                <w:szCs w:val="48"/>
                              </w:rPr>
                            </w:pPr>
                            <w:r>
                              <w:rPr>
                                <w:rFonts w:ascii="Adobe Garamond Pro Bold" w:hAnsi="Adobe Garamond Pro Bold"/>
                                <w:sz w:val="48"/>
                                <w:szCs w:val="48"/>
                              </w:rPr>
                              <w:t>March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C471" id="_x0000_s1027" type="#_x0000_t202" style="position:absolute;left:0;text-align:left;margin-left:127.3pt;margin-top:88.0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" stroked="f">
                <v:textbox>
                  <w:txbxContent>
                    <w:p w:rsidR="002161A8" w:rsidRPr="00E02475" w:rsidRDefault="00394ECC" w:rsidP="002161A8">
                      <w:pPr>
                        <w:jc w:val="center"/>
                        <w:rPr>
                          <w:rFonts w:ascii="Adobe Garamond Pro Bold" w:hAnsi="Adobe Garamond Pro Bold"/>
                          <w:sz w:val="48"/>
                          <w:szCs w:val="48"/>
                        </w:rPr>
                      </w:pPr>
                      <w:r>
                        <w:rPr>
                          <w:rFonts w:ascii="Adobe Garamond Pro Bold" w:hAnsi="Adobe Garamond Pro Bold"/>
                          <w:sz w:val="48"/>
                          <w:szCs w:val="48"/>
                        </w:rPr>
                        <w:t>March 2018</w:t>
                      </w:r>
                    </w:p>
                  </w:txbxContent>
                </v:textbox>
              </v:shape>
            </w:pict>
          </mc:Fallback>
        </mc:AlternateContent>
      </w:r>
    </w:p>
    <w:p w:rsidR="00C75BF4" w:rsidRDefault="00C75BF4" w:rsidP="00637322">
      <w:pPr>
        <w:pStyle w:val="Body"/>
        <w:spacing w:after="0" w:line="240" w:lineRule="auto"/>
        <w:rPr>
          <w:b/>
          <w:bCs/>
          <w:smallCaps/>
          <w:sz w:val="28"/>
          <w:szCs w:val="28"/>
        </w:rPr>
      </w:pPr>
    </w:p>
    <w:p w:rsidR="00B91EBA" w:rsidRDefault="002F051B" w:rsidP="001A4A1F">
      <w:pPr>
        <w:pStyle w:val="Body"/>
        <w:spacing w:after="0" w:line="240" w:lineRule="auto"/>
        <w:jc w:val="center"/>
        <w:rPr>
          <w:rFonts w:ascii="Garamond" w:hAnsi="Garamond"/>
          <w:b/>
          <w:bCs/>
          <w:smallCaps/>
          <w:sz w:val="24"/>
          <w:szCs w:val="24"/>
        </w:rPr>
      </w:pPr>
      <w:r w:rsidRPr="00637322">
        <w:rPr>
          <w:rFonts w:ascii="Garamond" w:hAnsi="Garamond"/>
          <w:b/>
          <w:bCs/>
          <w:smallCaps/>
          <w:sz w:val="24"/>
          <w:szCs w:val="24"/>
        </w:rPr>
        <w:t>Re</w:t>
      </w:r>
      <w:r w:rsidR="001B6686" w:rsidRPr="00637322">
        <w:rPr>
          <w:rFonts w:ascii="Garamond" w:hAnsi="Garamond"/>
          <w:b/>
          <w:bCs/>
          <w:smallCaps/>
          <w:sz w:val="24"/>
          <w:szCs w:val="24"/>
        </w:rPr>
        <w:t xml:space="preserve">port on </w:t>
      </w:r>
      <w:r w:rsidR="00082C58">
        <w:rPr>
          <w:rFonts w:ascii="Garamond" w:hAnsi="Garamond"/>
          <w:b/>
          <w:bCs/>
          <w:smallCaps/>
          <w:sz w:val="24"/>
          <w:szCs w:val="24"/>
        </w:rPr>
        <w:t xml:space="preserve">Eligible Noncitizen </w:t>
      </w:r>
      <w:r w:rsidR="00637322" w:rsidRPr="00637322">
        <w:rPr>
          <w:rFonts w:ascii="Garamond" w:hAnsi="Garamond"/>
          <w:b/>
          <w:bCs/>
          <w:smallCaps/>
          <w:sz w:val="24"/>
          <w:szCs w:val="24"/>
        </w:rPr>
        <w:t>Transitional Aid to Families</w:t>
      </w:r>
    </w:p>
    <w:p w:rsidR="005B3D46" w:rsidRPr="00637322" w:rsidRDefault="00637322" w:rsidP="001A4A1F">
      <w:pPr>
        <w:pStyle w:val="Body"/>
        <w:spacing w:after="0" w:line="240" w:lineRule="auto"/>
        <w:jc w:val="center"/>
        <w:rPr>
          <w:rFonts w:ascii="Garamond" w:hAnsi="Garamond"/>
          <w:b/>
          <w:bCs/>
          <w:smallCaps/>
          <w:sz w:val="24"/>
          <w:szCs w:val="24"/>
        </w:rPr>
      </w:pPr>
      <w:r w:rsidRPr="00637322">
        <w:rPr>
          <w:rFonts w:ascii="Garamond" w:hAnsi="Garamond"/>
          <w:b/>
          <w:bCs/>
          <w:smallCaps/>
          <w:sz w:val="24"/>
          <w:szCs w:val="24"/>
        </w:rPr>
        <w:t xml:space="preserve"> with Dependent Children Client</w:t>
      </w:r>
      <w:r w:rsidR="00082C58">
        <w:rPr>
          <w:rFonts w:ascii="Garamond" w:hAnsi="Garamond"/>
          <w:b/>
          <w:bCs/>
          <w:smallCaps/>
          <w:sz w:val="24"/>
          <w:szCs w:val="24"/>
        </w:rPr>
        <w:t>s</w:t>
      </w:r>
    </w:p>
    <w:p w:rsidR="00991AB4" w:rsidRPr="00637322" w:rsidRDefault="00394ECC" w:rsidP="005B3D46">
      <w:pPr>
        <w:pStyle w:val="Body"/>
        <w:spacing w:after="0" w:line="240" w:lineRule="auto"/>
        <w:jc w:val="center"/>
        <w:rPr>
          <w:rFonts w:ascii="Garamond" w:hAnsi="Garamond"/>
          <w:b/>
          <w:bCs/>
          <w:smallCaps/>
          <w:sz w:val="24"/>
          <w:szCs w:val="24"/>
        </w:rPr>
      </w:pPr>
      <w:r>
        <w:rPr>
          <w:rFonts w:ascii="Garamond" w:hAnsi="Garamond"/>
          <w:b/>
          <w:bCs/>
          <w:smallCaps/>
          <w:sz w:val="24"/>
          <w:szCs w:val="24"/>
        </w:rPr>
        <w:t>March 2018</w:t>
      </w:r>
    </w:p>
    <w:p w:rsidR="005B3D46" w:rsidRPr="00637322" w:rsidRDefault="005B3D46" w:rsidP="001A4A1F">
      <w:pPr>
        <w:pStyle w:val="Body"/>
        <w:spacing w:after="0" w:line="240" w:lineRule="auto"/>
        <w:rPr>
          <w:rFonts w:ascii="Garamond" w:hAnsi="Garamond"/>
          <w:b/>
          <w:bCs/>
          <w:sz w:val="24"/>
          <w:szCs w:val="24"/>
        </w:rPr>
      </w:pPr>
    </w:p>
    <w:p w:rsidR="00BC4265" w:rsidRPr="00FE084F" w:rsidRDefault="00BC4265" w:rsidP="00082C58">
      <w:pPr>
        <w:pStyle w:val="Body"/>
        <w:spacing w:after="0" w:line="240" w:lineRule="auto"/>
        <w:jc w:val="both"/>
        <w:rPr>
          <w:rFonts w:ascii="Garamond" w:eastAsia="Times New Roman" w:hAnsi="Garamond" w:cs="Times New Roman"/>
          <w:b/>
          <w:bCs/>
          <w:smallCaps/>
          <w:sz w:val="24"/>
          <w:szCs w:val="24"/>
        </w:rPr>
      </w:pPr>
      <w:r>
        <w:rPr>
          <w:rFonts w:ascii="Garamond" w:eastAsia="Times New Roman" w:hAnsi="Garamond" w:cs="Times New Roman"/>
          <w:b/>
          <w:bCs/>
          <w:smallCaps/>
          <w:sz w:val="24"/>
          <w:szCs w:val="24"/>
        </w:rPr>
        <w:t>Department of Transitional Assistance Mission</w:t>
      </w:r>
    </w:p>
    <w:p w:rsidR="00BC4265" w:rsidRPr="00FE084F" w:rsidRDefault="00BC4265" w:rsidP="00082C58">
      <w:pPr>
        <w:pStyle w:val="Body"/>
        <w:spacing w:after="0" w:line="240" w:lineRule="auto"/>
        <w:rPr>
          <w:rFonts w:ascii="Garamond" w:eastAsia="Times New Roman" w:hAnsi="Garamond" w:cs="Times New Roman"/>
          <w:sz w:val="24"/>
          <w:szCs w:val="24"/>
        </w:rPr>
      </w:pPr>
      <w:r w:rsidRPr="00EE19F4">
        <w:rPr>
          <w:rFonts w:ascii="Garamond" w:hAnsi="Garamond"/>
          <w:sz w:val="24"/>
          <w:szCs w:val="24"/>
        </w:rPr>
        <w:t>The mission of the Department of Transitional Assistance</w:t>
      </w:r>
      <w:r>
        <w:rPr>
          <w:rFonts w:ascii="Garamond" w:hAnsi="Garamond"/>
          <w:sz w:val="24"/>
          <w:szCs w:val="24"/>
        </w:rPr>
        <w:t xml:space="preserve"> (DTA)</w:t>
      </w:r>
      <w:r w:rsidRPr="00EE19F4">
        <w:rPr>
          <w:rFonts w:ascii="Garamond" w:hAnsi="Garamond"/>
          <w:sz w:val="24"/>
          <w:szCs w:val="24"/>
        </w:rPr>
        <w:t xml:space="preserve"> is to assist </w:t>
      </w:r>
      <w:r>
        <w:rPr>
          <w:rFonts w:ascii="Garamond" w:hAnsi="Garamond"/>
          <w:sz w:val="24"/>
          <w:szCs w:val="24"/>
        </w:rPr>
        <w:t xml:space="preserve">and empower </w:t>
      </w:r>
      <w:r w:rsidRPr="00EE19F4">
        <w:rPr>
          <w:rFonts w:ascii="Garamond" w:hAnsi="Garamond"/>
          <w:sz w:val="24"/>
          <w:szCs w:val="24"/>
        </w:rPr>
        <w:t>low-income individuals and families to meet their basic needs</w:t>
      </w:r>
      <w:r>
        <w:rPr>
          <w:rFonts w:ascii="Garamond" w:hAnsi="Garamond"/>
          <w:sz w:val="24"/>
          <w:szCs w:val="24"/>
        </w:rPr>
        <w:t>,</w:t>
      </w:r>
      <w:r w:rsidRPr="00EE19F4">
        <w:rPr>
          <w:rFonts w:ascii="Garamond" w:hAnsi="Garamond"/>
          <w:sz w:val="24"/>
          <w:szCs w:val="24"/>
        </w:rPr>
        <w:t xml:space="preserve"> improve their quality of life</w:t>
      </w:r>
      <w:r>
        <w:rPr>
          <w:rFonts w:ascii="Garamond" w:hAnsi="Garamond"/>
          <w:sz w:val="24"/>
          <w:szCs w:val="24"/>
        </w:rPr>
        <w:t>, and achieve long-term economic self-sufficiency</w:t>
      </w:r>
      <w:r w:rsidRPr="00EE19F4">
        <w:rPr>
          <w:rFonts w:ascii="Garamond" w:hAnsi="Garamond"/>
          <w:sz w:val="24"/>
          <w:szCs w:val="24"/>
        </w:rPr>
        <w:t xml:space="preserve">. DTA offers a comprehensive system of programs and supports to </w:t>
      </w:r>
      <w:r>
        <w:rPr>
          <w:rFonts w:ascii="Garamond" w:hAnsi="Garamond"/>
          <w:sz w:val="24"/>
          <w:szCs w:val="24"/>
        </w:rPr>
        <w:t>achieve this mission</w:t>
      </w:r>
      <w:r w:rsidRPr="00EE19F4">
        <w:rPr>
          <w:rFonts w:ascii="Garamond" w:hAnsi="Garamond"/>
          <w:sz w:val="24"/>
          <w:szCs w:val="24"/>
        </w:rPr>
        <w:t xml:space="preserve">, including food and nutritional assistance, </w:t>
      </w:r>
      <w:r w:rsidR="00B91EBA">
        <w:rPr>
          <w:rFonts w:ascii="Garamond" w:hAnsi="Garamond"/>
          <w:sz w:val="24"/>
          <w:szCs w:val="24"/>
        </w:rPr>
        <w:t>economic</w:t>
      </w:r>
      <w:r w:rsidRPr="00EE19F4">
        <w:rPr>
          <w:rFonts w:ascii="Garamond" w:hAnsi="Garamond"/>
          <w:sz w:val="24"/>
          <w:szCs w:val="24"/>
        </w:rPr>
        <w:t xml:space="preserve"> assistance, and employment supports.</w:t>
      </w:r>
      <w:r>
        <w:rPr>
          <w:rFonts w:ascii="Garamond" w:eastAsia="Times New Roman" w:hAnsi="Garamond" w:cs="Times New Roman"/>
          <w:sz w:val="24"/>
          <w:szCs w:val="24"/>
        </w:rPr>
        <w:t xml:space="preserve"> </w:t>
      </w:r>
      <w:r w:rsidRPr="00EE19F4">
        <w:rPr>
          <w:rFonts w:ascii="Garamond" w:hAnsi="Garamond"/>
          <w:sz w:val="24"/>
          <w:szCs w:val="24"/>
        </w:rPr>
        <w:t xml:space="preserve">DTA serves one out of every </w:t>
      </w:r>
      <w:r>
        <w:rPr>
          <w:rFonts w:ascii="Garamond" w:hAnsi="Garamond"/>
          <w:sz w:val="24"/>
          <w:szCs w:val="24"/>
        </w:rPr>
        <w:t>eight</w:t>
      </w:r>
      <w:r w:rsidRPr="00EE19F4">
        <w:rPr>
          <w:rFonts w:ascii="Garamond" w:hAnsi="Garamond"/>
          <w:sz w:val="24"/>
          <w:szCs w:val="24"/>
        </w:rPr>
        <w:t xml:space="preserve"> people in the Commonwealth including working families, children, elders, and people with disabilities. </w:t>
      </w:r>
    </w:p>
    <w:p w:rsidR="000545EB" w:rsidRPr="00637322" w:rsidRDefault="000545EB"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b/>
          <w:color w:val="000000"/>
          <w:bdr w:val="none" w:sz="0" w:space="0" w:color="auto"/>
        </w:rPr>
      </w:pPr>
    </w:p>
    <w:p w:rsidR="00991AB4" w:rsidRPr="00637322" w:rsidRDefault="00991AB4"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b/>
          <w:color w:val="000000"/>
          <w:bdr w:val="none" w:sz="0" w:space="0" w:color="auto"/>
        </w:rPr>
      </w:pPr>
      <w:r w:rsidRPr="00637322">
        <w:rPr>
          <w:rFonts w:ascii="Garamond" w:eastAsia="Times New Roman" w:hAnsi="Garamond"/>
          <w:b/>
          <w:color w:val="000000"/>
          <w:bdr w:val="none" w:sz="0" w:space="0" w:color="auto"/>
        </w:rPr>
        <w:t>Description of the Report</w:t>
      </w:r>
    </w:p>
    <w:p w:rsidR="009E175D" w:rsidRDefault="009E175D"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olor w:val="000000"/>
          <w:bdr w:val="none" w:sz="0" w:space="0" w:color="auto"/>
        </w:rPr>
      </w:pPr>
      <w:r w:rsidRPr="00637322">
        <w:rPr>
          <w:rFonts w:ascii="Garamond" w:eastAsia="Times New Roman" w:hAnsi="Garamond"/>
          <w:color w:val="000000"/>
          <w:bdr w:val="none" w:sz="0" w:space="0" w:color="auto"/>
        </w:rPr>
        <w:t xml:space="preserve">Chapter 18 Section 2 (B) (r) requires </w:t>
      </w:r>
      <w:r w:rsidR="00BC4265">
        <w:rPr>
          <w:rFonts w:ascii="Garamond" w:eastAsia="Times New Roman" w:hAnsi="Garamond"/>
          <w:color w:val="000000"/>
          <w:bdr w:val="none" w:sz="0" w:space="0" w:color="auto"/>
        </w:rPr>
        <w:t>DTA</w:t>
      </w:r>
      <w:r w:rsidRPr="00637322">
        <w:rPr>
          <w:rFonts w:ascii="Garamond" w:eastAsia="Times New Roman" w:hAnsi="Garamond"/>
          <w:color w:val="000000"/>
          <w:bdr w:val="none" w:sz="0" w:space="0" w:color="auto"/>
        </w:rPr>
        <w:t xml:space="preserve"> to file a report detailing</w:t>
      </w:r>
      <w:r w:rsidR="0064064C">
        <w:rPr>
          <w:rFonts w:ascii="Garamond" w:eastAsia="Times New Roman" w:hAnsi="Garamond"/>
          <w:color w:val="000000"/>
          <w:bdr w:val="none" w:sz="0" w:space="0" w:color="auto"/>
        </w:rPr>
        <w:t xml:space="preserve"> the number of Transitional Aid</w:t>
      </w:r>
      <w:r w:rsidRPr="00637322">
        <w:rPr>
          <w:rFonts w:ascii="Garamond" w:eastAsia="Times New Roman" w:hAnsi="Garamond"/>
          <w:color w:val="000000"/>
          <w:bdr w:val="none" w:sz="0" w:space="0" w:color="auto"/>
        </w:rPr>
        <w:t xml:space="preserve"> to Families with Dependent Children (TAFDC)</w:t>
      </w:r>
      <w:r w:rsidR="0064064C">
        <w:rPr>
          <w:rFonts w:ascii="Garamond" w:eastAsia="Times New Roman" w:hAnsi="Garamond"/>
          <w:color w:val="000000"/>
          <w:bdr w:val="none" w:sz="0" w:space="0" w:color="auto"/>
        </w:rPr>
        <w:t xml:space="preserve"> clients</w:t>
      </w:r>
      <w:r w:rsidRPr="00637322">
        <w:rPr>
          <w:rFonts w:ascii="Garamond" w:eastAsia="Times New Roman" w:hAnsi="Garamond"/>
          <w:color w:val="000000"/>
          <w:bdr w:val="none" w:sz="0" w:space="0" w:color="auto"/>
        </w:rPr>
        <w:t xml:space="preserve"> who are present in the United States under an eligible noncitizen status, as described in 106 CMR 203.675. </w:t>
      </w:r>
    </w:p>
    <w:p w:rsidR="00082C58" w:rsidRDefault="00082C58"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olor w:val="000000"/>
          <w:bdr w:val="none" w:sz="0" w:space="0" w:color="auto"/>
        </w:rPr>
      </w:pPr>
    </w:p>
    <w:p w:rsidR="00082C58" w:rsidRDefault="008D45F6" w:rsidP="00082C58">
      <w:pPr>
        <w:pStyle w:val="Body"/>
        <w:spacing w:after="0"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 xml:space="preserve">As of </w:t>
      </w:r>
      <w:r w:rsidR="00E7763F">
        <w:rPr>
          <w:rFonts w:ascii="Garamond" w:eastAsia="Times New Roman" w:hAnsi="Garamond" w:cs="Times New Roman"/>
          <w:b/>
          <w:sz w:val="24"/>
          <w:szCs w:val="24"/>
        </w:rPr>
        <w:t>February 1,</w:t>
      </w:r>
      <w:r>
        <w:rPr>
          <w:rFonts w:ascii="Garamond" w:eastAsia="Times New Roman" w:hAnsi="Garamond" w:cs="Times New Roman"/>
          <w:b/>
          <w:sz w:val="24"/>
          <w:szCs w:val="24"/>
        </w:rPr>
        <w:t xml:space="preserve"> </w:t>
      </w:r>
      <w:r w:rsidR="00394ECC">
        <w:rPr>
          <w:rFonts w:ascii="Garamond" w:eastAsia="Times New Roman" w:hAnsi="Garamond" w:cs="Times New Roman"/>
          <w:b/>
          <w:sz w:val="24"/>
          <w:szCs w:val="24"/>
        </w:rPr>
        <w:t>2018</w:t>
      </w:r>
      <w:r w:rsidR="00082C58">
        <w:rPr>
          <w:rFonts w:ascii="Garamond" w:eastAsia="Times New Roman" w:hAnsi="Garamond" w:cs="Times New Roman"/>
          <w:b/>
          <w:sz w:val="24"/>
          <w:szCs w:val="24"/>
        </w:rPr>
        <w:t xml:space="preserve">: </w:t>
      </w:r>
      <w:r w:rsidR="00082C58" w:rsidRPr="00637322">
        <w:rPr>
          <w:rFonts w:ascii="Garamond" w:eastAsia="Times New Roman" w:hAnsi="Garamond" w:cs="Times New Roman"/>
          <w:b/>
          <w:sz w:val="24"/>
          <w:szCs w:val="24"/>
        </w:rPr>
        <w:t xml:space="preserve">Breakdown of TAFDC Recipients with </w:t>
      </w:r>
      <w:r w:rsidR="00881357">
        <w:rPr>
          <w:rFonts w:ascii="Garamond" w:eastAsia="Times New Roman" w:hAnsi="Garamond" w:cs="Times New Roman"/>
          <w:b/>
          <w:sz w:val="24"/>
          <w:szCs w:val="24"/>
        </w:rPr>
        <w:t xml:space="preserve">Eligible </w:t>
      </w:r>
      <w:r w:rsidR="00082C58" w:rsidRPr="00637322">
        <w:rPr>
          <w:rFonts w:ascii="Garamond" w:eastAsia="Times New Roman" w:hAnsi="Garamond" w:cs="Times New Roman"/>
          <w:b/>
          <w:sz w:val="24"/>
          <w:szCs w:val="24"/>
        </w:rPr>
        <w:t>Noncitizen Status</w:t>
      </w:r>
    </w:p>
    <w:p w:rsidR="00082C58" w:rsidRDefault="00082C58" w:rsidP="00082C58">
      <w:pPr>
        <w:pStyle w:val="Body"/>
        <w:spacing w:after="0" w:line="240" w:lineRule="auto"/>
        <w:jc w:val="both"/>
        <w:rPr>
          <w:rFonts w:ascii="Garamond" w:eastAsia="Times New Roman" w:hAnsi="Garamond" w:cs="Times New Roman"/>
          <w:b/>
          <w:sz w:val="24"/>
          <w:szCs w:val="24"/>
        </w:rPr>
      </w:pPr>
    </w:p>
    <w:tbl>
      <w:tblPr>
        <w:tblW w:w="0" w:type="auto"/>
        <w:jc w:val="center"/>
        <w:tblLook w:val="04A0" w:firstRow="1" w:lastRow="0" w:firstColumn="1" w:lastColumn="0" w:noHBand="0" w:noVBand="1"/>
      </w:tblPr>
      <w:tblGrid>
        <w:gridCol w:w="3449"/>
        <w:gridCol w:w="1341"/>
      </w:tblGrid>
      <w:tr w:rsidR="008D45F6" w:rsidRPr="00D353C4" w:rsidTr="008D45F6">
        <w:trPr>
          <w:trHeight w:val="312"/>
          <w:jc w:val="center"/>
        </w:trPr>
        <w:tc>
          <w:tcPr>
            <w:tcW w:w="0" w:type="auto"/>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8D45F6" w:rsidRPr="00B91EBA"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b/>
                <w:color w:val="000000"/>
                <w:bdr w:val="none" w:sz="0" w:space="0" w:color="auto"/>
              </w:rPr>
            </w:pPr>
            <w:r w:rsidRPr="00B91EBA">
              <w:rPr>
                <w:rFonts w:ascii="Garamond" w:eastAsia="Times New Roman" w:hAnsi="Garamond" w:cs="Arial"/>
                <w:b/>
                <w:color w:val="000000"/>
                <w:bdr w:val="none" w:sz="0" w:space="0" w:color="auto"/>
              </w:rPr>
              <w:t>Non-Citizen Status</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rsidR="008D45F6" w:rsidRPr="00B91EBA"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b/>
                <w:color w:val="000000"/>
                <w:bdr w:val="none" w:sz="0" w:space="0" w:color="auto"/>
              </w:rPr>
            </w:pPr>
            <w:r w:rsidRPr="00B91EBA">
              <w:rPr>
                <w:rFonts w:ascii="Garamond" w:eastAsia="Times New Roman" w:hAnsi="Garamond" w:cs="Arial"/>
                <w:b/>
                <w:color w:val="000000"/>
                <w:bdr w:val="none" w:sz="0" w:space="0" w:color="auto"/>
              </w:rPr>
              <w:t>Recipients</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rsidR="008D45F6" w:rsidRPr="00D353C4" w:rsidRDefault="008D45F6" w:rsidP="00473C0C">
            <w:pPr>
              <w:rPr>
                <w:rFonts w:ascii="Garamond" w:eastAsia="Times New Roman" w:hAnsi="Garamond" w:cs="Arial"/>
                <w:color w:val="000000"/>
              </w:rPr>
            </w:pPr>
            <w:r>
              <w:rPr>
                <w:rFonts w:ascii="Garamond" w:eastAsia="Times New Roman" w:hAnsi="Garamond" w:cs="Arial"/>
                <w:color w:val="000000"/>
              </w:rPr>
              <w:t>Veterans &amp; Active Duty Personnel</w:t>
            </w:r>
          </w:p>
        </w:tc>
        <w:tc>
          <w:tcPr>
            <w:tcW w:w="0" w:type="auto"/>
            <w:tcBorders>
              <w:top w:val="nil"/>
              <w:left w:val="nil"/>
              <w:bottom w:val="single" w:sz="4" w:space="0" w:color="auto"/>
              <w:right w:val="single" w:sz="8" w:space="0" w:color="auto"/>
            </w:tcBorders>
            <w:shd w:val="clear" w:color="auto" w:fill="auto"/>
            <w:noWrap/>
            <w:vAlign w:val="center"/>
          </w:tcPr>
          <w:p w:rsidR="008D45F6" w:rsidRPr="00D353C4" w:rsidRDefault="008D45F6" w:rsidP="00473C0C">
            <w:pPr>
              <w:jc w:val="right"/>
              <w:rPr>
                <w:rFonts w:ascii="Garamond" w:eastAsia="Times New Roman" w:hAnsi="Garamond" w:cs="Arial"/>
                <w:color w:val="000000"/>
              </w:rPr>
            </w:pPr>
            <w:r>
              <w:rPr>
                <w:rFonts w:ascii="Garamond" w:eastAsia="Times New Roman" w:hAnsi="Garamond" w:cs="Arial"/>
                <w:color w:val="000000"/>
              </w:rPr>
              <w:t>-</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rsidR="008D45F6" w:rsidRPr="00D353C4"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Legal Permanent Resident</w:t>
            </w:r>
          </w:p>
        </w:tc>
        <w:tc>
          <w:tcPr>
            <w:tcW w:w="0" w:type="auto"/>
            <w:tcBorders>
              <w:top w:val="nil"/>
              <w:left w:val="nil"/>
              <w:bottom w:val="single" w:sz="4" w:space="0" w:color="auto"/>
              <w:right w:val="single" w:sz="8" w:space="0" w:color="auto"/>
            </w:tcBorders>
            <w:shd w:val="clear" w:color="auto" w:fill="auto"/>
            <w:noWrap/>
            <w:vAlign w:val="center"/>
          </w:tcPr>
          <w:p w:rsidR="008D45F6" w:rsidRPr="00D353C4" w:rsidRDefault="008D45F6" w:rsidP="006762E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 xml:space="preserve">          </w:t>
            </w:r>
            <w:r w:rsidR="006762E1">
              <w:rPr>
                <w:rFonts w:ascii="Garamond" w:eastAsia="Times New Roman" w:hAnsi="Garamond" w:cs="Arial"/>
                <w:color w:val="000000"/>
                <w:bdr w:val="none" w:sz="0" w:space="0" w:color="auto"/>
              </w:rPr>
              <w:t>1,174</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D45F6" w:rsidRPr="00D353C4"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Refugee</w:t>
            </w:r>
          </w:p>
        </w:tc>
        <w:tc>
          <w:tcPr>
            <w:tcW w:w="0" w:type="auto"/>
            <w:tcBorders>
              <w:top w:val="nil"/>
              <w:left w:val="nil"/>
              <w:bottom w:val="single" w:sz="4" w:space="0" w:color="auto"/>
              <w:right w:val="single" w:sz="8" w:space="0" w:color="auto"/>
            </w:tcBorders>
            <w:shd w:val="clear" w:color="auto" w:fill="auto"/>
            <w:noWrap/>
            <w:vAlign w:val="center"/>
            <w:hideMark/>
          </w:tcPr>
          <w:p w:rsidR="008D45F6" w:rsidRPr="00D353C4" w:rsidRDefault="006762E1" w:rsidP="00473C0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 xml:space="preserve">             827</w:t>
            </w:r>
            <w:r w:rsidR="008D45F6" w:rsidRPr="00D353C4">
              <w:rPr>
                <w:rFonts w:ascii="Garamond" w:eastAsia="Times New Roman" w:hAnsi="Garamond" w:cs="Arial"/>
                <w:color w:val="000000"/>
                <w:bdr w:val="none" w:sz="0" w:space="0" w:color="auto"/>
              </w:rPr>
              <w:t xml:space="preserve"> </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D45F6" w:rsidRPr="00D353C4"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Asylee</w:t>
            </w:r>
          </w:p>
        </w:tc>
        <w:tc>
          <w:tcPr>
            <w:tcW w:w="0" w:type="auto"/>
            <w:tcBorders>
              <w:top w:val="nil"/>
              <w:left w:val="nil"/>
              <w:bottom w:val="single" w:sz="4" w:space="0" w:color="auto"/>
              <w:right w:val="single" w:sz="8" w:space="0" w:color="auto"/>
            </w:tcBorders>
            <w:shd w:val="clear" w:color="auto" w:fill="auto"/>
            <w:noWrap/>
            <w:vAlign w:val="center"/>
            <w:hideMark/>
          </w:tcPr>
          <w:p w:rsidR="008D45F6" w:rsidRPr="00D353C4" w:rsidRDefault="006762E1" w:rsidP="00473C0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 xml:space="preserve">               57</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D45F6" w:rsidRPr="00D353C4" w:rsidRDefault="008D45F6" w:rsidP="00C9268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 xml:space="preserve">Deportation Withheld </w:t>
            </w:r>
          </w:p>
        </w:tc>
        <w:tc>
          <w:tcPr>
            <w:tcW w:w="0" w:type="auto"/>
            <w:tcBorders>
              <w:top w:val="nil"/>
              <w:left w:val="nil"/>
              <w:bottom w:val="single" w:sz="4" w:space="0" w:color="auto"/>
              <w:right w:val="single" w:sz="8" w:space="0" w:color="auto"/>
            </w:tcBorders>
            <w:shd w:val="clear" w:color="auto" w:fill="auto"/>
            <w:noWrap/>
            <w:vAlign w:val="center"/>
            <w:hideMark/>
          </w:tcPr>
          <w:p w:rsidR="008D45F6" w:rsidRPr="00D353C4" w:rsidRDefault="006762E1" w:rsidP="00473C0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 xml:space="preserve">                2</w:t>
            </w:r>
            <w:r w:rsidR="008D45F6" w:rsidRPr="00D353C4">
              <w:rPr>
                <w:rFonts w:ascii="Garamond" w:eastAsia="Times New Roman" w:hAnsi="Garamond" w:cs="Arial"/>
                <w:color w:val="000000"/>
                <w:bdr w:val="none" w:sz="0" w:space="0" w:color="auto"/>
              </w:rPr>
              <w:t xml:space="preserve"> </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rsidR="008D45F6" w:rsidRPr="00D353C4"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Parolee</w:t>
            </w:r>
          </w:p>
        </w:tc>
        <w:tc>
          <w:tcPr>
            <w:tcW w:w="0" w:type="auto"/>
            <w:tcBorders>
              <w:top w:val="nil"/>
              <w:left w:val="nil"/>
              <w:bottom w:val="single" w:sz="4" w:space="0" w:color="auto"/>
              <w:right w:val="single" w:sz="8" w:space="0" w:color="auto"/>
            </w:tcBorders>
            <w:shd w:val="clear" w:color="auto" w:fill="auto"/>
            <w:noWrap/>
            <w:vAlign w:val="center"/>
          </w:tcPr>
          <w:p w:rsidR="008D45F6" w:rsidRPr="00D353C4" w:rsidRDefault="006762E1" w:rsidP="00473C0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 xml:space="preserve">              53</w:t>
            </w:r>
            <w:r w:rsidR="008D45F6" w:rsidRPr="00D353C4">
              <w:rPr>
                <w:rFonts w:ascii="Garamond" w:eastAsia="Times New Roman" w:hAnsi="Garamond" w:cs="Arial"/>
                <w:color w:val="000000"/>
                <w:bdr w:val="none" w:sz="0" w:space="0" w:color="auto"/>
              </w:rPr>
              <w:t xml:space="preserve"> </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D45F6" w:rsidRPr="00D353C4"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Conditional Entrant</w:t>
            </w:r>
          </w:p>
        </w:tc>
        <w:tc>
          <w:tcPr>
            <w:tcW w:w="0" w:type="auto"/>
            <w:tcBorders>
              <w:top w:val="nil"/>
              <w:left w:val="nil"/>
              <w:bottom w:val="single" w:sz="4" w:space="0" w:color="auto"/>
              <w:right w:val="single" w:sz="8" w:space="0" w:color="auto"/>
            </w:tcBorders>
            <w:shd w:val="clear" w:color="auto" w:fill="auto"/>
            <w:noWrap/>
            <w:vAlign w:val="center"/>
            <w:hideMark/>
          </w:tcPr>
          <w:p w:rsidR="008D45F6" w:rsidRPr="00D353C4" w:rsidRDefault="006762E1" w:rsidP="00473C0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 xml:space="preserve">                0</w:t>
            </w:r>
            <w:r w:rsidR="008D45F6" w:rsidRPr="00D353C4">
              <w:rPr>
                <w:rFonts w:ascii="Garamond" w:eastAsia="Times New Roman" w:hAnsi="Garamond" w:cs="Arial"/>
                <w:color w:val="000000"/>
                <w:bdr w:val="none" w:sz="0" w:space="0" w:color="auto"/>
              </w:rPr>
              <w:t xml:space="preserve"> </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D45F6" w:rsidRPr="00D353C4" w:rsidRDefault="00C9268D" w:rsidP="00C9268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Battered Noncitizen</w:t>
            </w:r>
          </w:p>
        </w:tc>
        <w:tc>
          <w:tcPr>
            <w:tcW w:w="0" w:type="auto"/>
            <w:tcBorders>
              <w:top w:val="nil"/>
              <w:left w:val="nil"/>
              <w:bottom w:val="single" w:sz="4" w:space="0" w:color="auto"/>
              <w:right w:val="single" w:sz="8" w:space="0" w:color="auto"/>
            </w:tcBorders>
            <w:shd w:val="clear" w:color="auto" w:fill="auto"/>
            <w:noWrap/>
            <w:vAlign w:val="center"/>
            <w:hideMark/>
          </w:tcPr>
          <w:p w:rsidR="008D45F6" w:rsidRPr="00D353C4" w:rsidRDefault="00EC0D75" w:rsidP="00473C0C">
            <w:pP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23</w:t>
            </w:r>
            <w:r w:rsidR="008D45F6" w:rsidRPr="00D353C4">
              <w:rPr>
                <w:rFonts w:ascii="Garamond" w:eastAsia="Times New Roman" w:hAnsi="Garamond" w:cs="Arial"/>
                <w:color w:val="000000"/>
                <w:bdr w:val="none" w:sz="0" w:space="0" w:color="auto"/>
              </w:rPr>
              <w:t xml:space="preserve">               </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8D45F6" w:rsidRPr="00D353C4"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Cuban/Haitian Entrant</w:t>
            </w:r>
          </w:p>
        </w:tc>
        <w:tc>
          <w:tcPr>
            <w:tcW w:w="0" w:type="auto"/>
            <w:tcBorders>
              <w:top w:val="nil"/>
              <w:left w:val="nil"/>
              <w:bottom w:val="single" w:sz="4" w:space="0" w:color="auto"/>
              <w:right w:val="single" w:sz="8" w:space="0" w:color="auto"/>
            </w:tcBorders>
            <w:shd w:val="clear" w:color="auto" w:fill="auto"/>
            <w:noWrap/>
            <w:vAlign w:val="center"/>
            <w:hideMark/>
          </w:tcPr>
          <w:p w:rsidR="008D45F6" w:rsidRPr="00D353C4" w:rsidRDefault="006762E1" w:rsidP="00473C0C">
            <w:pP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 xml:space="preserve"> </w:t>
            </w:r>
            <w:r w:rsidR="00EC0D75">
              <w:rPr>
                <w:rFonts w:ascii="Garamond" w:eastAsia="Times New Roman" w:hAnsi="Garamond" w:cs="Arial"/>
                <w:color w:val="000000"/>
                <w:bdr w:val="none" w:sz="0" w:space="0" w:color="auto"/>
              </w:rPr>
              <w:t>63</w:t>
            </w:r>
          </w:p>
        </w:tc>
      </w:tr>
      <w:tr w:rsidR="008D45F6" w:rsidRPr="00D353C4" w:rsidTr="008D45F6">
        <w:trPr>
          <w:trHeight w:val="312"/>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rsidR="008D45F6" w:rsidRPr="0039365D"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39365D">
              <w:rPr>
                <w:rFonts w:ascii="Garamond" w:hAnsi="Garamond"/>
              </w:rPr>
              <w:t>Amerasian</w:t>
            </w:r>
          </w:p>
        </w:tc>
        <w:tc>
          <w:tcPr>
            <w:tcW w:w="0" w:type="auto"/>
            <w:tcBorders>
              <w:top w:val="nil"/>
              <w:left w:val="nil"/>
              <w:bottom w:val="single" w:sz="4" w:space="0" w:color="auto"/>
              <w:right w:val="single" w:sz="8" w:space="0" w:color="auto"/>
            </w:tcBorders>
            <w:shd w:val="clear" w:color="auto" w:fill="auto"/>
            <w:noWrap/>
            <w:vAlign w:val="center"/>
          </w:tcPr>
          <w:p w:rsidR="008D45F6" w:rsidRPr="00D353C4" w:rsidRDefault="00E7763F" w:rsidP="00473C0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Pr>
                <w:rFonts w:ascii="Garamond" w:eastAsia="Times New Roman" w:hAnsi="Garamond" w:cs="Arial"/>
                <w:color w:val="000000"/>
              </w:rPr>
              <w:t>0</w:t>
            </w:r>
          </w:p>
        </w:tc>
      </w:tr>
      <w:tr w:rsidR="008D45F6" w:rsidRPr="00D353C4" w:rsidTr="008D45F6">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F6" w:rsidRPr="00D353C4"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color w:val="000000"/>
                <w:bdr w:val="none" w:sz="0" w:space="0" w:color="auto"/>
              </w:rPr>
            </w:pPr>
            <w:r w:rsidRPr="00D353C4">
              <w:rPr>
                <w:rFonts w:ascii="Garamond" w:eastAsia="Times New Roman" w:hAnsi="Garamond" w:cs="Arial"/>
                <w:color w:val="000000"/>
                <w:bdr w:val="none" w:sz="0" w:space="0" w:color="auto"/>
              </w:rPr>
              <w:t>Victim of Trafficking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F6" w:rsidRPr="00D353C4" w:rsidRDefault="006762E1" w:rsidP="00EC0D7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color w:val="000000"/>
                <w:bdr w:val="none" w:sz="0" w:space="0" w:color="auto"/>
              </w:rPr>
            </w:pPr>
            <w:r>
              <w:rPr>
                <w:rFonts w:ascii="Garamond" w:eastAsia="Times New Roman" w:hAnsi="Garamond" w:cs="Arial"/>
                <w:color w:val="000000"/>
                <w:bdr w:val="none" w:sz="0" w:space="0" w:color="auto"/>
              </w:rPr>
              <w:t xml:space="preserve">                </w:t>
            </w:r>
            <w:r w:rsidR="00EC0D75">
              <w:rPr>
                <w:rFonts w:ascii="Garamond" w:eastAsia="Times New Roman" w:hAnsi="Garamond" w:cs="Arial"/>
                <w:color w:val="000000"/>
                <w:bdr w:val="none" w:sz="0" w:space="0" w:color="auto"/>
              </w:rPr>
              <w:t>4</w:t>
            </w:r>
            <w:r w:rsidR="008D45F6" w:rsidRPr="00D353C4">
              <w:rPr>
                <w:rFonts w:ascii="Garamond" w:eastAsia="Times New Roman" w:hAnsi="Garamond" w:cs="Arial"/>
                <w:color w:val="000000"/>
                <w:bdr w:val="none" w:sz="0" w:space="0" w:color="auto"/>
              </w:rPr>
              <w:t xml:space="preserve"> </w:t>
            </w:r>
          </w:p>
        </w:tc>
      </w:tr>
      <w:tr w:rsidR="008D45F6" w:rsidRPr="00D353C4" w:rsidTr="00B91EBA">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D45F6" w:rsidRPr="00B91EBA" w:rsidRDefault="008D45F6" w:rsidP="00473C0C">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s="Arial"/>
                <w:b/>
                <w:color w:val="000000"/>
                <w:bdr w:val="none" w:sz="0" w:space="0" w:color="auto"/>
              </w:rPr>
            </w:pPr>
            <w:r w:rsidRPr="00B91EBA">
              <w:rPr>
                <w:rFonts w:ascii="Garamond" w:eastAsia="Times New Roman" w:hAnsi="Garamond" w:cs="Arial"/>
                <w:b/>
                <w:color w:val="000000"/>
                <w:bdr w:val="none" w:sz="0" w:space="0" w:color="auto"/>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D45F6" w:rsidRPr="00B91EBA" w:rsidRDefault="00EC0D75" w:rsidP="00473C0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Garamond" w:eastAsia="Times New Roman" w:hAnsi="Garamond" w:cs="Arial"/>
                <w:b/>
                <w:color w:val="000000"/>
                <w:bdr w:val="none" w:sz="0" w:space="0" w:color="auto"/>
              </w:rPr>
            </w:pPr>
            <w:r w:rsidRPr="00B91EBA">
              <w:rPr>
                <w:rFonts w:ascii="Garamond" w:eastAsia="Times New Roman" w:hAnsi="Garamond" w:cs="Arial"/>
                <w:b/>
                <w:color w:val="000000"/>
                <w:bdr w:val="none" w:sz="0" w:space="0" w:color="auto"/>
              </w:rPr>
              <w:t>2,203</w:t>
            </w:r>
          </w:p>
        </w:tc>
      </w:tr>
    </w:tbl>
    <w:p w:rsidR="00082C58" w:rsidRDefault="00082C58"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olor w:val="000000"/>
          <w:bdr w:val="none" w:sz="0" w:space="0" w:color="auto"/>
        </w:rPr>
      </w:pPr>
    </w:p>
    <w:p w:rsidR="009E175D" w:rsidRDefault="00E7763F"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olor w:val="000000"/>
          <w:bdr w:val="none" w:sz="0" w:space="0" w:color="auto"/>
        </w:rPr>
      </w:pPr>
      <w:r>
        <w:rPr>
          <w:rFonts w:ascii="Garamond" w:eastAsia="Times New Roman" w:hAnsi="Garamond"/>
          <w:color w:val="000000"/>
          <w:bdr w:val="none" w:sz="0" w:space="0" w:color="auto"/>
        </w:rPr>
        <w:t>In</w:t>
      </w:r>
      <w:r w:rsidR="00881357">
        <w:rPr>
          <w:rFonts w:ascii="Garamond" w:eastAsia="Times New Roman" w:hAnsi="Garamond"/>
          <w:color w:val="000000"/>
          <w:bdr w:val="none" w:sz="0" w:space="0" w:color="auto"/>
        </w:rPr>
        <w:t xml:space="preserve"> </w:t>
      </w:r>
      <w:r w:rsidR="00394ECC">
        <w:rPr>
          <w:rFonts w:ascii="Garamond" w:eastAsia="Times New Roman" w:hAnsi="Garamond"/>
          <w:color w:val="000000"/>
          <w:bdr w:val="none" w:sz="0" w:space="0" w:color="auto"/>
        </w:rPr>
        <w:t>January 2018</w:t>
      </w:r>
      <w:r w:rsidR="00881357">
        <w:rPr>
          <w:rFonts w:ascii="Garamond" w:eastAsia="Times New Roman" w:hAnsi="Garamond"/>
          <w:color w:val="000000"/>
          <w:bdr w:val="none" w:sz="0" w:space="0" w:color="auto"/>
        </w:rPr>
        <w:t xml:space="preserve">, DTA’s total TAFDC caseload was a total of </w:t>
      </w:r>
      <w:r w:rsidR="00394ECC">
        <w:rPr>
          <w:rFonts w:ascii="Garamond" w:eastAsia="Times New Roman" w:hAnsi="Garamond"/>
          <w:color w:val="000000"/>
          <w:bdr w:val="none" w:sz="0" w:space="0" w:color="auto"/>
        </w:rPr>
        <w:t>60,838</w:t>
      </w:r>
      <w:r w:rsidR="00881357">
        <w:rPr>
          <w:rFonts w:ascii="Garamond" w:eastAsia="Times New Roman" w:hAnsi="Garamond"/>
          <w:color w:val="000000"/>
          <w:bdr w:val="none" w:sz="0" w:space="0" w:color="auto"/>
        </w:rPr>
        <w:t xml:space="preserve"> individuals. </w:t>
      </w:r>
    </w:p>
    <w:p w:rsidR="00881357" w:rsidRPr="00637322" w:rsidRDefault="00881357"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olor w:val="000000"/>
          <w:bdr w:val="none" w:sz="0" w:space="0" w:color="auto"/>
        </w:rPr>
      </w:pPr>
    </w:p>
    <w:p w:rsidR="009E175D" w:rsidRPr="00637322" w:rsidRDefault="009E175D"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b/>
          <w:color w:val="000000"/>
          <w:bdr w:val="none" w:sz="0" w:space="0" w:color="auto"/>
        </w:rPr>
      </w:pPr>
      <w:r w:rsidRPr="00637322">
        <w:rPr>
          <w:rFonts w:ascii="Garamond" w:eastAsia="Times New Roman" w:hAnsi="Garamond"/>
          <w:b/>
          <w:color w:val="000000"/>
          <w:bdr w:val="none" w:sz="0" w:space="0" w:color="auto"/>
        </w:rPr>
        <w:t>106 CMR 203.675</w:t>
      </w:r>
    </w:p>
    <w:p w:rsidR="009E175D" w:rsidRPr="00637322" w:rsidRDefault="009E175D"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637322">
        <w:rPr>
          <w:rFonts w:ascii="Garamond" w:hAnsi="Garamond"/>
        </w:rPr>
        <w:t>A noncitizen’s eligibility for TAFDC depends on the section of the Immigration and Nationality Act (INA)</w:t>
      </w:r>
      <w:r w:rsidR="009978AB">
        <w:rPr>
          <w:rStyle w:val="FootnoteReference"/>
          <w:rFonts w:ascii="Garamond" w:hAnsi="Garamond"/>
        </w:rPr>
        <w:footnoteReference w:id="2"/>
      </w:r>
      <w:r w:rsidRPr="00637322">
        <w:rPr>
          <w:rFonts w:ascii="Garamond" w:hAnsi="Garamond"/>
        </w:rPr>
        <w:t xml:space="preserve"> under which the noncitizen is present in the United States, the date that status was granted, and the meeting of additional criteria. Eligible noncitizen statuses for TAFDC are: </w:t>
      </w:r>
    </w:p>
    <w:p w:rsidR="009E175D" w:rsidRPr="00637322" w:rsidRDefault="009E175D" w:rsidP="009E175D">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p w:rsidR="000545EB" w:rsidRPr="00637322" w:rsidRDefault="009E175D" w:rsidP="009E175D">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t xml:space="preserve">Veterans and Active Duty Personnel </w:t>
      </w:r>
    </w:p>
    <w:p w:rsidR="009E175D" w:rsidRPr="00637322" w:rsidRDefault="009E175D"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lastRenderedPageBreak/>
        <w:t xml:space="preserve">A noncitizen lawfully residing in the U.S. is an eligible noncitizen when he or she is: </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a veteran of the U.S. Armed Forces with honorable discharge not related to his or her noncitizen status;</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a person on active duty in the U.S. Armed Forces, other than active duty for training, who fulfills the minimum active-duty service requirement of 24 months or the period for which the person was called to active duty;</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a spouse of the veteran or person who died during active duty if: </w:t>
      </w:r>
    </w:p>
    <w:p w:rsidR="009E175D" w:rsidRPr="00637322" w:rsidRDefault="009E175D" w:rsidP="009E175D">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 the spouse has not remarried; and </w:t>
      </w:r>
    </w:p>
    <w:p w:rsidR="009E175D" w:rsidRPr="00637322" w:rsidRDefault="009E175D" w:rsidP="009E175D">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t</w:t>
      </w:r>
      <w:r w:rsidR="0064064C">
        <w:rPr>
          <w:rFonts w:ascii="Garamond" w:hAnsi="Garamond"/>
          <w:sz w:val="24"/>
          <w:szCs w:val="24"/>
        </w:rPr>
        <w:t>he couple was married for at le</w:t>
      </w:r>
      <w:r w:rsidRPr="00637322">
        <w:rPr>
          <w:rFonts w:ascii="Garamond" w:hAnsi="Garamond"/>
          <w:sz w:val="24"/>
          <w:szCs w:val="24"/>
        </w:rPr>
        <w:t xml:space="preserve">ast one year or for any period if a child was born of the marriage or was born before the marriage; </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a spouse or unmarried dependent child of the veteran or person on active duty described in (a) or (b) above. For purposes of this section, an unmarried dependent child is a child who is or could be claimed as a deduction on the veteran’s tax return and who meets the definition of a dependent child as specified in 106 CMR 203.560(B);</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a Hmong or other Highland Lao veteran who fought on behalf of the Armed Forces of the U.S. during the Vietnam conflict and has been lawfully admitted to the U.S. for permanent residence; or </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a member of the organized military forces of the Government of the </w:t>
      </w:r>
      <w:r w:rsidR="0064064C">
        <w:rPr>
          <w:rFonts w:ascii="Garamond" w:hAnsi="Garamond"/>
          <w:sz w:val="24"/>
          <w:szCs w:val="24"/>
        </w:rPr>
        <w:t>Philippines</w:t>
      </w:r>
      <w:r w:rsidRPr="00637322">
        <w:rPr>
          <w:rFonts w:ascii="Garamond" w:hAnsi="Garamond"/>
          <w:sz w:val="24"/>
          <w:szCs w:val="24"/>
        </w:rPr>
        <w:t xml:space="preserve"> while such forces were in the service of the Armed Forces of the United States pursuant to the military order dated July 26, 1941, including organized guerrilla forces under commanders organized by the U.S. Army for service prior to 7/1/46.</w:t>
      </w:r>
    </w:p>
    <w:p w:rsidR="009E175D" w:rsidRPr="00637322" w:rsidRDefault="009E175D" w:rsidP="009E175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Garamond" w:hAnsi="Garamond"/>
          <w:sz w:val="24"/>
          <w:szCs w:val="24"/>
        </w:rPr>
      </w:pPr>
    </w:p>
    <w:p w:rsidR="009E175D" w:rsidRPr="00637322" w:rsidRDefault="009E175D"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t xml:space="preserve">Legal Permanent Resident </w:t>
      </w:r>
    </w:p>
    <w:p w:rsidR="009E175D" w:rsidRPr="00637322" w:rsidRDefault="009E175D" w:rsidP="009E175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 xml:space="preserve">A noncitizen present in the U.S. as a legal permanent resident is an eligible noncitizen as specified below. </w:t>
      </w:r>
    </w:p>
    <w:p w:rsidR="000545EB" w:rsidRPr="00637322" w:rsidRDefault="000545EB" w:rsidP="009E175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The legal permanent resident status was granted before 8/22/96;</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The legal permanent resident status is granted on or after 8/22/96 and five consecutive years have elapsed from the date the legal permanent resident status was granted; </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The legal permanent resident status, regardless of the date the legal permanent status was granted, was a status adjustment by INS and prior to the status adjustment the noncitizen was (i) a refugee under section 207 of the INA, (ii) an asylee under section 208 of the INA, (iii) a noncitizen whose deportation was being withheld under section 243(h) or 241(b)(3) of the INA, (iv) a Cuban/Haitian entrant under section 501(e) of the Refugee Education Assistance Act of 1980 or under section 212(d)(5) of the INA, or (v) an Amerasian immigrant under section 584 of the Foreign Operations, Export Financing and Related Programs Appropriations Act, 1988; or </w:t>
      </w:r>
    </w:p>
    <w:p w:rsidR="009E175D" w:rsidRPr="00637322" w:rsidRDefault="009E175D" w:rsidP="009E175D">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The noncitizen, who entered the U.S. before 8/22/96, whose legal permanent resident status was granted on or after 8/22/96, and who has been continuously present in the U.S. from the latest date of entry prior to 8/22/96 until the legal permanent resident status was granted. Continuous presence is interrupted by a single absence from the U.S. of more than 30 days or a total of aggregated absences of more than 90 days.</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Garamond" w:hAnsi="Garamond"/>
          <w:sz w:val="24"/>
          <w:szCs w:val="24"/>
        </w:rPr>
      </w:pPr>
    </w:p>
    <w:p w:rsidR="009E175D" w:rsidRPr="00637322" w:rsidRDefault="009E175D"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t xml:space="preserve">Refugee </w:t>
      </w:r>
    </w:p>
    <w:p w:rsidR="009E175D" w:rsidRPr="00637322" w:rsidRDefault="009E175D" w:rsidP="009E175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 xml:space="preserve">A noncitizen present in the U.S. as a refugee under section 207 of the INA is an eligible noncitizen. </w:t>
      </w:r>
    </w:p>
    <w:p w:rsidR="000545EB" w:rsidRPr="00637322" w:rsidRDefault="000545EB" w:rsidP="009E175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p>
    <w:p w:rsidR="000545EB" w:rsidRPr="00637322" w:rsidRDefault="009E175D"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lastRenderedPageBreak/>
        <w:t xml:space="preserve">Asylee </w:t>
      </w:r>
    </w:p>
    <w:p w:rsidR="000545EB" w:rsidRPr="00637322" w:rsidRDefault="009E175D" w:rsidP="009E175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 xml:space="preserve">A noncitizen present in the U.S. as an asylee under section 208 of the INA is an eligible noncitizen. </w:t>
      </w:r>
    </w:p>
    <w:p w:rsidR="000545EB" w:rsidRPr="00637322" w:rsidRDefault="000545EB" w:rsidP="009E175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p>
    <w:p w:rsidR="000545EB" w:rsidRPr="00637322" w:rsidRDefault="009E175D"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t xml:space="preserve">Withholding of Deportation </w:t>
      </w:r>
    </w:p>
    <w:p w:rsidR="009E175D" w:rsidRPr="00637322" w:rsidRDefault="009E175D"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A noncitizen whose deportation is being withheld under section 243(h) or 241(b)(3) of the INA is an eligible noncitizen.</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p>
    <w:p w:rsidR="000545EB" w:rsidRPr="00637322" w:rsidRDefault="000545EB"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u w:val="single"/>
        </w:rPr>
        <w:t>Parolee</w:t>
      </w:r>
      <w:r w:rsidRPr="00637322">
        <w:rPr>
          <w:rFonts w:ascii="Garamond" w:hAnsi="Garamond"/>
          <w:sz w:val="24"/>
          <w:szCs w:val="24"/>
        </w:rPr>
        <w:t xml:space="preserve"> </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 xml:space="preserve">A noncitizen present in the U.S. as a parolee under section 212(d)(5) of the INA is an eligible noncitizen as specified below. </w:t>
      </w:r>
    </w:p>
    <w:p w:rsidR="000545EB" w:rsidRPr="00637322" w:rsidRDefault="000545EB" w:rsidP="000545EB">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The parolee status was granted before 8/22/96 and the noncitizen is being paroled for a period of at least one year; or</w:t>
      </w: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The parolee status is granted on or after 8/22/96, the noncitizen is eligible after five consecutive years have elapsed from the date the parolee status was granted; or (c) The noncitizen who entered the U.S. before 8/22/96, whose parolee status was granted on or after 8/22/96, and who has been continuously present in the U.S. from the latest date of entry prior to 8/22/96 until the parolee status was granted is an eligible noncitizen. Continuous presence is interrupted by a single absence from the U.S. of more than 30 days or a total of aggregated absences of more than 90 days. </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Garamond" w:hAnsi="Garamond"/>
          <w:sz w:val="24"/>
          <w:szCs w:val="24"/>
        </w:rPr>
      </w:pPr>
    </w:p>
    <w:p w:rsidR="000545EB" w:rsidRPr="00637322" w:rsidRDefault="000545EB"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u w:val="single"/>
        </w:rPr>
        <w:t>Conditional Entrant</w:t>
      </w:r>
      <w:r w:rsidRPr="00637322">
        <w:rPr>
          <w:rFonts w:ascii="Garamond" w:hAnsi="Garamond"/>
          <w:sz w:val="24"/>
          <w:szCs w:val="24"/>
        </w:rPr>
        <w:t xml:space="preserve"> </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 xml:space="preserve">A noncitizen present in the U.S. as a conditional entrant under section 203(a)(7) of the INA as in effect prior to 4/1/80 is an eligible noncitizen as specified below. </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The conditional entrant status was granted before 8/22/96; or </w:t>
      </w: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The conditional entrant status is granted on or after 8/22/96, the noncitizen is eligible after five consecutive years have elapsed from the date the conditional entrant status was granted; or </w:t>
      </w: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The noncitizen who entered the U.S. before 8/22/96, whose conditional entrant status was granted on or after 8/22/96, and who has been continuously present in the U.S. from the latest date of entry prior to 8/22/96 until the conditional entrant status was granted.</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Garamond" w:hAnsi="Garamond"/>
          <w:sz w:val="24"/>
          <w:szCs w:val="24"/>
        </w:rPr>
      </w:pPr>
      <w:r w:rsidRPr="00637322">
        <w:rPr>
          <w:rFonts w:ascii="Garamond" w:hAnsi="Garamond"/>
          <w:sz w:val="24"/>
          <w:szCs w:val="24"/>
        </w:rPr>
        <w:t xml:space="preserve">Continuous presence is interrupted by a single absence from the U.S. of more than 30 days or a total of aggregated absences of more than 90 days. </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Garamond" w:hAnsi="Garamond"/>
          <w:sz w:val="24"/>
          <w:szCs w:val="24"/>
        </w:rPr>
      </w:pPr>
    </w:p>
    <w:p w:rsidR="000545EB" w:rsidRPr="00637322" w:rsidRDefault="000545EB"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u w:val="single"/>
        </w:rPr>
        <w:t>Battered Noncitizens</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 xml:space="preserve">A noncitizen is an eligible noncitizen if while lawfully residing in the U.S. the noncitizen or his or her minor child </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 xml:space="preserve">has been battered or subjected to extreme cruelty in the U.S. by: </w:t>
      </w:r>
    </w:p>
    <w:p w:rsidR="000545EB" w:rsidRPr="00637322" w:rsidRDefault="000545EB" w:rsidP="000545EB">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a spouse or a parent, or a member of the spouse’s or parent’s family residing in the same household as the noncitizen; and</w:t>
      </w:r>
    </w:p>
    <w:p w:rsidR="000545EB" w:rsidRPr="00637322" w:rsidRDefault="000545EB" w:rsidP="000545EB">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the spouse or parent consented or did not intervene to stop such battery or cruelty. A noncitizen who actively participated in the battery or cruelty toward his or her child is ineligible; and</w:t>
      </w: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lastRenderedPageBreak/>
        <w:t>the individual responsible for the battery or cruelty is no longer residing in the same household as the noncitizen or minor child subjected to the battery or cruelty; and</w:t>
      </w:r>
    </w:p>
    <w:p w:rsidR="000545EB" w:rsidRPr="00637322" w:rsidRDefault="000545EB" w:rsidP="000545EB">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the noncitizen has been approved or has a pending petition for:</w:t>
      </w:r>
    </w:p>
    <w:p w:rsidR="000545EB" w:rsidRPr="00637322" w:rsidRDefault="000545EB" w:rsidP="000545EB">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status as a spouse or a child of a U.S. citizen pursuant to clause (ii), (iii), or (iv) of section 204(a)(1)(A) of the INA;</w:t>
      </w:r>
    </w:p>
    <w:p w:rsidR="000545EB" w:rsidRPr="00637322" w:rsidRDefault="000545EB" w:rsidP="000545EB">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classification pursuant to clause (ii) or (iii) of section 204(a)(1)(B) of the INA;</w:t>
      </w:r>
    </w:p>
    <w:p w:rsidR="000545EB" w:rsidRPr="00637322" w:rsidRDefault="000545EB" w:rsidP="000545EB">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suspension of deportation and adjustment of status pursuant to section 244(a)(3) of the INA; or</w:t>
      </w:r>
    </w:p>
    <w:p w:rsidR="000545EB" w:rsidRPr="00637322" w:rsidRDefault="000545EB" w:rsidP="000545EB">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637322">
        <w:rPr>
          <w:rFonts w:ascii="Garamond" w:hAnsi="Garamond"/>
          <w:sz w:val="24"/>
          <w:szCs w:val="24"/>
        </w:rPr>
        <w:t>status as a spouse or child of a U.S. citizen pursuant to clause i of section 204(a)(1)(A) of the INA, or classification pursuant to clause i of section 204(a)(1)(B) of the INA</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rPr>
          <w:rFonts w:ascii="Garamond" w:hAnsi="Garamond"/>
          <w:sz w:val="24"/>
          <w:szCs w:val="24"/>
        </w:rPr>
      </w:pPr>
    </w:p>
    <w:p w:rsidR="000545EB" w:rsidRPr="00637322" w:rsidRDefault="000545EB"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t>Cuban/Haitian Entrants</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A noncitizen present in the U.S. as a Cuban/Haitian entrant under section 501(e) of the Refugee Education Assistance Act of 1980 or under section 212(d)(5) of the INA is an eligible noncitizen.</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u w:val="single"/>
        </w:rPr>
      </w:pPr>
    </w:p>
    <w:p w:rsidR="000545EB" w:rsidRPr="00637322" w:rsidRDefault="000545EB"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t>Amerasian</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rPr>
      </w:pPr>
      <w:r w:rsidRPr="00637322">
        <w:rPr>
          <w:rFonts w:ascii="Garamond" w:hAnsi="Garamond"/>
          <w:sz w:val="24"/>
          <w:szCs w:val="24"/>
        </w:rPr>
        <w:t>A noncitizen from Vietnam who is present in the U.S. as an Amerasian immigrant (as defined in section 584 of the Foreign Operations, Export Financing and Related Programs Appropriations Act, 1988) is an eligible noncitizen.</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u w:val="single"/>
        </w:rPr>
      </w:pPr>
    </w:p>
    <w:p w:rsidR="000545EB" w:rsidRPr="00637322" w:rsidRDefault="000545EB" w:rsidP="000545EB">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u w:val="single"/>
        </w:rPr>
      </w:pPr>
      <w:r w:rsidRPr="00637322">
        <w:rPr>
          <w:rFonts w:ascii="Garamond" w:hAnsi="Garamond"/>
          <w:sz w:val="24"/>
          <w:szCs w:val="24"/>
          <w:u w:val="single"/>
        </w:rPr>
        <w:t>Victims of Severe Forms of Trafficking</w:t>
      </w:r>
    </w:p>
    <w:p w:rsidR="000545EB" w:rsidRPr="00637322" w:rsidRDefault="000545EB" w:rsidP="000545E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Garamond" w:hAnsi="Garamond"/>
          <w:sz w:val="24"/>
          <w:szCs w:val="24"/>
          <w:u w:val="single"/>
        </w:rPr>
      </w:pPr>
      <w:r w:rsidRPr="00637322">
        <w:rPr>
          <w:rFonts w:ascii="Garamond" w:hAnsi="Garamond"/>
          <w:sz w:val="24"/>
          <w:szCs w:val="24"/>
        </w:rPr>
        <w:t xml:space="preserve">A noncitizen </w:t>
      </w:r>
      <w:r w:rsidR="00BC4265" w:rsidRPr="00637322">
        <w:rPr>
          <w:rFonts w:ascii="Garamond" w:hAnsi="Garamond"/>
          <w:sz w:val="24"/>
          <w:szCs w:val="24"/>
        </w:rPr>
        <w:t>that</w:t>
      </w:r>
      <w:r w:rsidRPr="00637322">
        <w:rPr>
          <w:rFonts w:ascii="Garamond" w:hAnsi="Garamond"/>
          <w:sz w:val="24"/>
          <w:szCs w:val="24"/>
        </w:rPr>
        <w:t xml:space="preserve"> is present in the U.S. having been issued a letter of certification by the U.S. Department of Health and Human Services (HHS) as proof of the victim of severe forms of trafficking status (as defined in the Trafficking Victims Protection Act of 2000) is an eligible noncitizen.</w:t>
      </w:r>
    </w:p>
    <w:p w:rsidR="00E610DD" w:rsidRDefault="00E610DD" w:rsidP="0007402E">
      <w:pPr>
        <w:pStyle w:val="Body"/>
        <w:spacing w:after="0" w:line="240" w:lineRule="auto"/>
        <w:jc w:val="both"/>
        <w:rPr>
          <w:rFonts w:ascii="Garamond" w:eastAsia="Times New Roman" w:hAnsi="Garamond" w:cs="Times New Roman"/>
          <w:b/>
          <w:sz w:val="24"/>
          <w:szCs w:val="24"/>
        </w:rPr>
      </w:pPr>
    </w:p>
    <w:p w:rsidR="00E610DD" w:rsidRPr="00637322" w:rsidRDefault="00E610DD" w:rsidP="00D353C4">
      <w:pPr>
        <w:pStyle w:val="Body"/>
        <w:spacing w:after="0" w:line="240" w:lineRule="auto"/>
        <w:rPr>
          <w:rFonts w:ascii="Garamond" w:eastAsia="Times New Roman" w:hAnsi="Garamond" w:cs="Times New Roman"/>
          <w:b/>
          <w:sz w:val="24"/>
          <w:szCs w:val="24"/>
        </w:rPr>
      </w:pPr>
    </w:p>
    <w:p w:rsidR="00637322" w:rsidRPr="00637322" w:rsidRDefault="00637322" w:rsidP="0007402E">
      <w:pPr>
        <w:pStyle w:val="Body"/>
        <w:spacing w:after="0" w:line="240" w:lineRule="auto"/>
        <w:jc w:val="both"/>
        <w:rPr>
          <w:rFonts w:ascii="Times New Roman" w:eastAsia="Times New Roman" w:hAnsi="Times New Roman" w:cs="Times New Roman"/>
          <w:b/>
          <w:sz w:val="24"/>
          <w:szCs w:val="24"/>
        </w:rPr>
      </w:pPr>
    </w:p>
    <w:p w:rsidR="009B5316" w:rsidRDefault="009B5316">
      <w:pPr>
        <w:pStyle w:val="Body"/>
        <w:spacing w:after="0" w:line="240" w:lineRule="auto"/>
        <w:jc w:val="both"/>
        <w:rPr>
          <w:rFonts w:ascii="Times New Roman"/>
          <w:sz w:val="24"/>
          <w:szCs w:val="24"/>
        </w:rPr>
      </w:pPr>
    </w:p>
    <w:p w:rsidR="009B5316" w:rsidRPr="00673CE8" w:rsidRDefault="009B5316" w:rsidP="003C1B1B">
      <w:pPr>
        <w:pStyle w:val="Body"/>
        <w:spacing w:after="0" w:line="240" w:lineRule="auto"/>
        <w:rPr>
          <w:sz w:val="24"/>
          <w:szCs w:val="24"/>
        </w:rPr>
      </w:pPr>
    </w:p>
    <w:p w:rsidR="009B5316" w:rsidRPr="00673CE8" w:rsidRDefault="009B5316">
      <w:pPr>
        <w:pStyle w:val="Body"/>
        <w:spacing w:after="0" w:line="240" w:lineRule="auto"/>
        <w:jc w:val="both"/>
        <w:rPr>
          <w:sz w:val="24"/>
          <w:szCs w:val="24"/>
        </w:rPr>
      </w:pPr>
    </w:p>
    <w:p w:rsidR="009B5316" w:rsidRPr="00673CE8" w:rsidRDefault="009B5316">
      <w:pPr>
        <w:pStyle w:val="Body"/>
        <w:spacing w:after="0" w:line="240" w:lineRule="auto"/>
        <w:jc w:val="both"/>
        <w:rPr>
          <w:sz w:val="24"/>
          <w:szCs w:val="24"/>
        </w:rPr>
      </w:pPr>
    </w:p>
    <w:p w:rsidR="009B5316" w:rsidRPr="00673CE8" w:rsidRDefault="009B5316">
      <w:pPr>
        <w:pStyle w:val="Body"/>
        <w:spacing w:after="0" w:line="240" w:lineRule="auto"/>
        <w:jc w:val="both"/>
        <w:rPr>
          <w:rFonts w:ascii="Times New Roman"/>
          <w:sz w:val="24"/>
          <w:szCs w:val="24"/>
        </w:rPr>
      </w:pPr>
    </w:p>
    <w:p w:rsidR="009B5316" w:rsidRPr="00673CE8" w:rsidRDefault="009B5316">
      <w:pPr>
        <w:pStyle w:val="Body"/>
        <w:spacing w:after="0" w:line="240" w:lineRule="auto"/>
        <w:jc w:val="both"/>
        <w:rPr>
          <w:rFonts w:ascii="Times New Roman"/>
          <w:sz w:val="24"/>
          <w:szCs w:val="24"/>
        </w:rPr>
      </w:pPr>
    </w:p>
    <w:p w:rsidR="009B5316" w:rsidRPr="00673CE8" w:rsidRDefault="009B5316">
      <w:pPr>
        <w:pStyle w:val="Body"/>
        <w:spacing w:after="0" w:line="240" w:lineRule="auto"/>
        <w:jc w:val="both"/>
        <w:rPr>
          <w:rFonts w:ascii="Times New Roman"/>
          <w:sz w:val="24"/>
          <w:szCs w:val="24"/>
        </w:rPr>
      </w:pPr>
    </w:p>
    <w:p w:rsidR="009B5316" w:rsidRDefault="009B5316">
      <w:pPr>
        <w:pStyle w:val="Body"/>
        <w:spacing w:after="0" w:line="240" w:lineRule="auto"/>
        <w:jc w:val="both"/>
      </w:pPr>
    </w:p>
    <w:sectPr w:rsidR="009B53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3E" w:rsidRDefault="00F9583E">
      <w:r>
        <w:separator/>
      </w:r>
    </w:p>
  </w:endnote>
  <w:endnote w:type="continuationSeparator" w:id="0">
    <w:p w:rsidR="00F9583E" w:rsidRDefault="00F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3B" w:rsidRDefault="00714824">
    <w:pPr>
      <w:pStyle w:val="Footer"/>
      <w:jc w:val="center"/>
    </w:pPr>
    <w:r>
      <w:fldChar w:fldCharType="begin"/>
    </w:r>
    <w:r>
      <w:instrText xml:space="preserve"> PAGE </w:instrText>
    </w:r>
    <w:r>
      <w:fldChar w:fldCharType="separate"/>
    </w:r>
    <w:r w:rsidR="0015331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3E" w:rsidRDefault="00F9583E">
      <w:r>
        <w:separator/>
      </w:r>
    </w:p>
  </w:footnote>
  <w:footnote w:type="continuationSeparator" w:id="0">
    <w:p w:rsidR="00F9583E" w:rsidRDefault="00F9583E">
      <w:r>
        <w:continuationSeparator/>
      </w:r>
    </w:p>
  </w:footnote>
  <w:footnote w:type="continuationNotice" w:id="1">
    <w:p w:rsidR="00F9583E" w:rsidRDefault="00F9583E"/>
  </w:footnote>
  <w:footnote w:id="2">
    <w:p w:rsidR="009978AB" w:rsidRDefault="009978AB">
      <w:pPr>
        <w:pStyle w:val="FootnoteText"/>
      </w:pPr>
      <w:r>
        <w:rPr>
          <w:rStyle w:val="FootnoteReference"/>
        </w:rPr>
        <w:footnoteRef/>
      </w:r>
      <w:r>
        <w:t xml:space="preserve"> </w:t>
      </w:r>
      <w:r w:rsidRPr="009978AB">
        <w:t>8 USC § 1101, et seq.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3B" w:rsidRDefault="00AF273B">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E78"/>
    <w:multiLevelType w:val="hybridMultilevel"/>
    <w:tmpl w:val="D338B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6C1B19"/>
    <w:multiLevelType w:val="hybridMultilevel"/>
    <w:tmpl w:val="E82EE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06660"/>
    <w:multiLevelType w:val="multilevel"/>
    <w:tmpl w:val="62720E0A"/>
    <w:styleLink w:val="ImportedStyle5"/>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3" w15:restartNumberingAfterBreak="0">
    <w:nsid w:val="05872D0F"/>
    <w:multiLevelType w:val="multilevel"/>
    <w:tmpl w:val="8714AD66"/>
    <w:styleLink w:val="ImportedStyle4"/>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4" w15:restartNumberingAfterBreak="0">
    <w:nsid w:val="065F0C15"/>
    <w:multiLevelType w:val="multilevel"/>
    <w:tmpl w:val="E39A4B1A"/>
    <w:lvl w:ilvl="0">
      <w:start w:val="1"/>
      <w:numFmt w:val="bullet"/>
      <w:lvlText w:val=""/>
      <w:lvlJc w:val="left"/>
      <w:pPr>
        <w:tabs>
          <w:tab w:val="num" w:pos="360"/>
        </w:tabs>
        <w:ind w:left="360" w:hanging="360"/>
      </w:pPr>
      <w:rPr>
        <w:rFonts w:ascii="Symbol" w:hAnsi="Symbol" w:hint="default"/>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5" w15:restartNumberingAfterBreak="0">
    <w:nsid w:val="09AA5F68"/>
    <w:multiLevelType w:val="multilevel"/>
    <w:tmpl w:val="A9C6BBF8"/>
    <w:styleLink w:val="ImportedStyle7"/>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6" w15:restartNumberingAfterBreak="0">
    <w:nsid w:val="145833A3"/>
    <w:multiLevelType w:val="multilevel"/>
    <w:tmpl w:val="41C23938"/>
    <w:styleLink w:val="ImportedStyle6"/>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7" w15:restartNumberingAfterBreak="0">
    <w:nsid w:val="16463425"/>
    <w:multiLevelType w:val="hybridMultilevel"/>
    <w:tmpl w:val="191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28060F"/>
    <w:multiLevelType w:val="hybridMultilevel"/>
    <w:tmpl w:val="05A4B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47063"/>
    <w:multiLevelType w:val="hybridMultilevel"/>
    <w:tmpl w:val="BA9C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150B3E"/>
    <w:multiLevelType w:val="multilevel"/>
    <w:tmpl w:val="0B6684E6"/>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1" w15:restartNumberingAfterBreak="0">
    <w:nsid w:val="25126BF0"/>
    <w:multiLevelType w:val="hybridMultilevel"/>
    <w:tmpl w:val="3DD47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9F1B6B"/>
    <w:multiLevelType w:val="hybridMultilevel"/>
    <w:tmpl w:val="F7008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DA7B37"/>
    <w:multiLevelType w:val="multilevel"/>
    <w:tmpl w:val="61C8C41E"/>
    <w:styleLink w:val="ImportedStyle1"/>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14" w15:restartNumberingAfterBreak="0">
    <w:nsid w:val="2C0C76FC"/>
    <w:multiLevelType w:val="hybridMultilevel"/>
    <w:tmpl w:val="E9226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327219"/>
    <w:multiLevelType w:val="hybridMultilevel"/>
    <w:tmpl w:val="A386E5FE"/>
    <w:lvl w:ilvl="0" w:tplc="9830FBE2">
      <w:start w:val="1"/>
      <w:numFmt w:val="decimal"/>
      <w:lvlText w:val="%1."/>
      <w:lvlJc w:val="left"/>
      <w:pPr>
        <w:ind w:left="555" w:hanging="360"/>
      </w:pPr>
      <w:rPr>
        <w:rFonts w:hint="default"/>
        <w:sz w:val="2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30FF6A33"/>
    <w:multiLevelType w:val="hybridMultilevel"/>
    <w:tmpl w:val="794859B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6623A"/>
    <w:multiLevelType w:val="multilevel"/>
    <w:tmpl w:val="33EC595C"/>
    <w:styleLink w:val="ImportedStyle8"/>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8" w15:restartNumberingAfterBreak="0">
    <w:nsid w:val="36260FA1"/>
    <w:multiLevelType w:val="hybridMultilevel"/>
    <w:tmpl w:val="9918D656"/>
    <w:lvl w:ilvl="0" w:tplc="3C46DBD0">
      <w:start w:val="1"/>
      <w:numFmt w:val="bullet"/>
      <w:lvlText w:val=""/>
      <w:lvlJc w:val="left"/>
      <w:pPr>
        <w:tabs>
          <w:tab w:val="num" w:pos="720"/>
        </w:tabs>
        <w:ind w:left="720" w:hanging="360"/>
      </w:pPr>
      <w:rPr>
        <w:rFonts w:ascii="Wingdings" w:hAnsi="Wingdings" w:hint="default"/>
      </w:rPr>
    </w:lvl>
    <w:lvl w:ilvl="1" w:tplc="65EA3312">
      <w:start w:val="1"/>
      <w:numFmt w:val="bullet"/>
      <w:lvlText w:val=""/>
      <w:lvlJc w:val="left"/>
      <w:pPr>
        <w:tabs>
          <w:tab w:val="num" w:pos="1440"/>
        </w:tabs>
        <w:ind w:left="1440" w:hanging="360"/>
      </w:pPr>
      <w:rPr>
        <w:rFonts w:ascii="Wingdings" w:hAnsi="Wingdings" w:hint="default"/>
      </w:rPr>
    </w:lvl>
    <w:lvl w:ilvl="2" w:tplc="902674E2" w:tentative="1">
      <w:start w:val="1"/>
      <w:numFmt w:val="bullet"/>
      <w:lvlText w:val=""/>
      <w:lvlJc w:val="left"/>
      <w:pPr>
        <w:tabs>
          <w:tab w:val="num" w:pos="2160"/>
        </w:tabs>
        <w:ind w:left="2160" w:hanging="360"/>
      </w:pPr>
      <w:rPr>
        <w:rFonts w:ascii="Wingdings" w:hAnsi="Wingdings" w:hint="default"/>
      </w:rPr>
    </w:lvl>
    <w:lvl w:ilvl="3" w:tplc="84E267AA" w:tentative="1">
      <w:start w:val="1"/>
      <w:numFmt w:val="bullet"/>
      <w:lvlText w:val=""/>
      <w:lvlJc w:val="left"/>
      <w:pPr>
        <w:tabs>
          <w:tab w:val="num" w:pos="2880"/>
        </w:tabs>
        <w:ind w:left="2880" w:hanging="360"/>
      </w:pPr>
      <w:rPr>
        <w:rFonts w:ascii="Wingdings" w:hAnsi="Wingdings" w:hint="default"/>
      </w:rPr>
    </w:lvl>
    <w:lvl w:ilvl="4" w:tplc="76A2B038" w:tentative="1">
      <w:start w:val="1"/>
      <w:numFmt w:val="bullet"/>
      <w:lvlText w:val=""/>
      <w:lvlJc w:val="left"/>
      <w:pPr>
        <w:tabs>
          <w:tab w:val="num" w:pos="3600"/>
        </w:tabs>
        <w:ind w:left="3600" w:hanging="360"/>
      </w:pPr>
      <w:rPr>
        <w:rFonts w:ascii="Wingdings" w:hAnsi="Wingdings" w:hint="default"/>
      </w:rPr>
    </w:lvl>
    <w:lvl w:ilvl="5" w:tplc="01905AD6" w:tentative="1">
      <w:start w:val="1"/>
      <w:numFmt w:val="bullet"/>
      <w:lvlText w:val=""/>
      <w:lvlJc w:val="left"/>
      <w:pPr>
        <w:tabs>
          <w:tab w:val="num" w:pos="4320"/>
        </w:tabs>
        <w:ind w:left="4320" w:hanging="360"/>
      </w:pPr>
      <w:rPr>
        <w:rFonts w:ascii="Wingdings" w:hAnsi="Wingdings" w:hint="default"/>
      </w:rPr>
    </w:lvl>
    <w:lvl w:ilvl="6" w:tplc="4CBA1158" w:tentative="1">
      <w:start w:val="1"/>
      <w:numFmt w:val="bullet"/>
      <w:lvlText w:val=""/>
      <w:lvlJc w:val="left"/>
      <w:pPr>
        <w:tabs>
          <w:tab w:val="num" w:pos="5040"/>
        </w:tabs>
        <w:ind w:left="5040" w:hanging="360"/>
      </w:pPr>
      <w:rPr>
        <w:rFonts w:ascii="Wingdings" w:hAnsi="Wingdings" w:hint="default"/>
      </w:rPr>
    </w:lvl>
    <w:lvl w:ilvl="7" w:tplc="E354A9BC" w:tentative="1">
      <w:start w:val="1"/>
      <w:numFmt w:val="bullet"/>
      <w:lvlText w:val=""/>
      <w:lvlJc w:val="left"/>
      <w:pPr>
        <w:tabs>
          <w:tab w:val="num" w:pos="5760"/>
        </w:tabs>
        <w:ind w:left="5760" w:hanging="360"/>
      </w:pPr>
      <w:rPr>
        <w:rFonts w:ascii="Wingdings" w:hAnsi="Wingdings" w:hint="default"/>
      </w:rPr>
    </w:lvl>
    <w:lvl w:ilvl="8" w:tplc="426460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A730F"/>
    <w:multiLevelType w:val="hybridMultilevel"/>
    <w:tmpl w:val="A73C176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D327643"/>
    <w:multiLevelType w:val="hybridMultilevel"/>
    <w:tmpl w:val="62F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7C4C74"/>
    <w:multiLevelType w:val="multilevel"/>
    <w:tmpl w:val="9A82D52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2" w15:restartNumberingAfterBreak="0">
    <w:nsid w:val="41AC1492"/>
    <w:multiLevelType w:val="multilevel"/>
    <w:tmpl w:val="9EC0D368"/>
    <w:lvl w:ilvl="0">
      <w:start w:val="1"/>
      <w:numFmt w:val="bullet"/>
      <w:lvlText w:val=""/>
      <w:lvlJc w:val="left"/>
      <w:pPr>
        <w:tabs>
          <w:tab w:val="num" w:pos="360"/>
        </w:tabs>
        <w:ind w:left="36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3" w15:restartNumberingAfterBreak="0">
    <w:nsid w:val="42A457DF"/>
    <w:multiLevelType w:val="multilevel"/>
    <w:tmpl w:val="B0B80A76"/>
    <w:styleLink w:val="ImportedStyle3"/>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4" w15:restartNumberingAfterBreak="0">
    <w:nsid w:val="498958D2"/>
    <w:multiLevelType w:val="hybridMultilevel"/>
    <w:tmpl w:val="0B36738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A46488"/>
    <w:multiLevelType w:val="hybridMultilevel"/>
    <w:tmpl w:val="0C406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036F11"/>
    <w:multiLevelType w:val="multilevel"/>
    <w:tmpl w:val="5978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F21DC6"/>
    <w:multiLevelType w:val="hybridMultilevel"/>
    <w:tmpl w:val="F0DCE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60125D"/>
    <w:multiLevelType w:val="multilevel"/>
    <w:tmpl w:val="48902E0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9" w15:restartNumberingAfterBreak="0">
    <w:nsid w:val="53744F57"/>
    <w:multiLevelType w:val="hybridMultilevel"/>
    <w:tmpl w:val="E1AE5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74F2EBE"/>
    <w:multiLevelType w:val="multilevel"/>
    <w:tmpl w:val="E5F0B768"/>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1" w15:restartNumberingAfterBreak="0">
    <w:nsid w:val="59F0044A"/>
    <w:multiLevelType w:val="multilevel"/>
    <w:tmpl w:val="64962778"/>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2" w15:restartNumberingAfterBreak="0">
    <w:nsid w:val="63AE4BC7"/>
    <w:multiLevelType w:val="multilevel"/>
    <w:tmpl w:val="B6C88AB0"/>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33" w15:restartNumberingAfterBreak="0">
    <w:nsid w:val="64973486"/>
    <w:multiLevelType w:val="multilevel"/>
    <w:tmpl w:val="737E2F38"/>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34" w15:restartNumberingAfterBreak="0">
    <w:nsid w:val="6B707DA4"/>
    <w:multiLevelType w:val="hybridMultilevel"/>
    <w:tmpl w:val="E9EA6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8A6186"/>
    <w:multiLevelType w:val="multilevel"/>
    <w:tmpl w:val="1D92DF1E"/>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36" w15:restartNumberingAfterBreak="0">
    <w:nsid w:val="6DB328E9"/>
    <w:multiLevelType w:val="hybridMultilevel"/>
    <w:tmpl w:val="97308E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893952"/>
    <w:multiLevelType w:val="hybridMultilevel"/>
    <w:tmpl w:val="8D625046"/>
    <w:lvl w:ilvl="0" w:tplc="DFE01048">
      <w:start w:val="1"/>
      <w:numFmt w:val="bullet"/>
      <w:lvlText w:val=""/>
      <w:lvlJc w:val="left"/>
      <w:pPr>
        <w:tabs>
          <w:tab w:val="num" w:pos="720"/>
        </w:tabs>
        <w:ind w:left="720" w:hanging="360"/>
      </w:pPr>
      <w:rPr>
        <w:rFonts w:ascii="Wingdings" w:hAnsi="Wingdings" w:hint="default"/>
      </w:rPr>
    </w:lvl>
    <w:lvl w:ilvl="1" w:tplc="00B472FC">
      <w:start w:val="1"/>
      <w:numFmt w:val="bullet"/>
      <w:lvlText w:val=""/>
      <w:lvlJc w:val="left"/>
      <w:pPr>
        <w:tabs>
          <w:tab w:val="num" w:pos="1440"/>
        </w:tabs>
        <w:ind w:left="1440" w:hanging="360"/>
      </w:pPr>
      <w:rPr>
        <w:rFonts w:ascii="Wingdings" w:hAnsi="Wingdings" w:hint="default"/>
      </w:rPr>
    </w:lvl>
    <w:lvl w:ilvl="2" w:tplc="D2B28264" w:tentative="1">
      <w:start w:val="1"/>
      <w:numFmt w:val="bullet"/>
      <w:lvlText w:val=""/>
      <w:lvlJc w:val="left"/>
      <w:pPr>
        <w:tabs>
          <w:tab w:val="num" w:pos="2160"/>
        </w:tabs>
        <w:ind w:left="2160" w:hanging="360"/>
      </w:pPr>
      <w:rPr>
        <w:rFonts w:ascii="Wingdings" w:hAnsi="Wingdings" w:hint="default"/>
      </w:rPr>
    </w:lvl>
    <w:lvl w:ilvl="3" w:tplc="DB4E0234" w:tentative="1">
      <w:start w:val="1"/>
      <w:numFmt w:val="bullet"/>
      <w:lvlText w:val=""/>
      <w:lvlJc w:val="left"/>
      <w:pPr>
        <w:tabs>
          <w:tab w:val="num" w:pos="2880"/>
        </w:tabs>
        <w:ind w:left="2880" w:hanging="360"/>
      </w:pPr>
      <w:rPr>
        <w:rFonts w:ascii="Wingdings" w:hAnsi="Wingdings" w:hint="default"/>
      </w:rPr>
    </w:lvl>
    <w:lvl w:ilvl="4" w:tplc="FDC88AF6" w:tentative="1">
      <w:start w:val="1"/>
      <w:numFmt w:val="bullet"/>
      <w:lvlText w:val=""/>
      <w:lvlJc w:val="left"/>
      <w:pPr>
        <w:tabs>
          <w:tab w:val="num" w:pos="3600"/>
        </w:tabs>
        <w:ind w:left="3600" w:hanging="360"/>
      </w:pPr>
      <w:rPr>
        <w:rFonts w:ascii="Wingdings" w:hAnsi="Wingdings" w:hint="default"/>
      </w:rPr>
    </w:lvl>
    <w:lvl w:ilvl="5" w:tplc="81365512" w:tentative="1">
      <w:start w:val="1"/>
      <w:numFmt w:val="bullet"/>
      <w:lvlText w:val=""/>
      <w:lvlJc w:val="left"/>
      <w:pPr>
        <w:tabs>
          <w:tab w:val="num" w:pos="4320"/>
        </w:tabs>
        <w:ind w:left="4320" w:hanging="360"/>
      </w:pPr>
      <w:rPr>
        <w:rFonts w:ascii="Wingdings" w:hAnsi="Wingdings" w:hint="default"/>
      </w:rPr>
    </w:lvl>
    <w:lvl w:ilvl="6" w:tplc="20C0CE4C" w:tentative="1">
      <w:start w:val="1"/>
      <w:numFmt w:val="bullet"/>
      <w:lvlText w:val=""/>
      <w:lvlJc w:val="left"/>
      <w:pPr>
        <w:tabs>
          <w:tab w:val="num" w:pos="5040"/>
        </w:tabs>
        <w:ind w:left="5040" w:hanging="360"/>
      </w:pPr>
      <w:rPr>
        <w:rFonts w:ascii="Wingdings" w:hAnsi="Wingdings" w:hint="default"/>
      </w:rPr>
    </w:lvl>
    <w:lvl w:ilvl="7" w:tplc="D99813DA" w:tentative="1">
      <w:start w:val="1"/>
      <w:numFmt w:val="bullet"/>
      <w:lvlText w:val=""/>
      <w:lvlJc w:val="left"/>
      <w:pPr>
        <w:tabs>
          <w:tab w:val="num" w:pos="5760"/>
        </w:tabs>
        <w:ind w:left="5760" w:hanging="360"/>
      </w:pPr>
      <w:rPr>
        <w:rFonts w:ascii="Wingdings" w:hAnsi="Wingdings" w:hint="default"/>
      </w:rPr>
    </w:lvl>
    <w:lvl w:ilvl="8" w:tplc="D97C22C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23D13"/>
    <w:multiLevelType w:val="multilevel"/>
    <w:tmpl w:val="93468D72"/>
    <w:styleLink w:val="ImportedStyle2"/>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9" w15:restartNumberingAfterBreak="0">
    <w:nsid w:val="757D00FE"/>
    <w:multiLevelType w:val="hybridMultilevel"/>
    <w:tmpl w:val="B53E8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A134E9C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96091F"/>
    <w:multiLevelType w:val="hybridMultilevel"/>
    <w:tmpl w:val="2E249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22"/>
  </w:num>
  <w:num w:numId="3">
    <w:abstractNumId w:val="13"/>
  </w:num>
  <w:num w:numId="4">
    <w:abstractNumId w:val="10"/>
  </w:num>
  <w:num w:numId="5">
    <w:abstractNumId w:val="4"/>
  </w:num>
  <w:num w:numId="6">
    <w:abstractNumId w:val="38"/>
  </w:num>
  <w:num w:numId="7">
    <w:abstractNumId w:val="31"/>
  </w:num>
  <w:num w:numId="8">
    <w:abstractNumId w:val="23"/>
  </w:num>
  <w:num w:numId="9">
    <w:abstractNumId w:val="32"/>
  </w:num>
  <w:num w:numId="10">
    <w:abstractNumId w:val="3"/>
  </w:num>
  <w:num w:numId="11">
    <w:abstractNumId w:val="33"/>
  </w:num>
  <w:num w:numId="12">
    <w:abstractNumId w:val="2"/>
  </w:num>
  <w:num w:numId="13">
    <w:abstractNumId w:val="35"/>
  </w:num>
  <w:num w:numId="14">
    <w:abstractNumId w:val="6"/>
  </w:num>
  <w:num w:numId="15">
    <w:abstractNumId w:val="21"/>
  </w:num>
  <w:num w:numId="16">
    <w:abstractNumId w:val="5"/>
  </w:num>
  <w:num w:numId="17">
    <w:abstractNumId w:val="28"/>
  </w:num>
  <w:num w:numId="18">
    <w:abstractNumId w:val="17"/>
  </w:num>
  <w:num w:numId="19">
    <w:abstractNumId w:val="7"/>
  </w:num>
  <w:num w:numId="20">
    <w:abstractNumId w:val="34"/>
  </w:num>
  <w:num w:numId="21">
    <w:abstractNumId w:val="14"/>
  </w:num>
  <w:num w:numId="22">
    <w:abstractNumId w:val="25"/>
  </w:num>
  <w:num w:numId="23">
    <w:abstractNumId w:val="15"/>
  </w:num>
  <w:num w:numId="24">
    <w:abstractNumId w:val="16"/>
  </w:num>
  <w:num w:numId="25">
    <w:abstractNumId w:val="24"/>
  </w:num>
  <w:num w:numId="26">
    <w:abstractNumId w:val="9"/>
  </w:num>
  <w:num w:numId="27">
    <w:abstractNumId w:val="19"/>
  </w:num>
  <w:num w:numId="28">
    <w:abstractNumId w:val="20"/>
  </w:num>
  <w:num w:numId="29">
    <w:abstractNumId w:val="26"/>
  </w:num>
  <w:num w:numId="30">
    <w:abstractNumId w:val="19"/>
  </w:num>
  <w:num w:numId="31">
    <w:abstractNumId w:val="40"/>
  </w:num>
  <w:num w:numId="32">
    <w:abstractNumId w:val="11"/>
  </w:num>
  <w:num w:numId="33">
    <w:abstractNumId w:val="0"/>
  </w:num>
  <w:num w:numId="34">
    <w:abstractNumId w:val="12"/>
  </w:num>
  <w:num w:numId="35">
    <w:abstractNumId w:val="29"/>
  </w:num>
  <w:num w:numId="36">
    <w:abstractNumId w:val="27"/>
  </w:num>
  <w:num w:numId="37">
    <w:abstractNumId w:val="18"/>
  </w:num>
  <w:num w:numId="38">
    <w:abstractNumId w:val="37"/>
  </w:num>
  <w:num w:numId="39">
    <w:abstractNumId w:val="8"/>
  </w:num>
  <w:num w:numId="40">
    <w:abstractNumId w:val="1"/>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3B"/>
    <w:rsid w:val="00021876"/>
    <w:rsid w:val="00023700"/>
    <w:rsid w:val="000545EB"/>
    <w:rsid w:val="0007402E"/>
    <w:rsid w:val="00082664"/>
    <w:rsid w:val="00082C58"/>
    <w:rsid w:val="0009592E"/>
    <w:rsid w:val="000B12E4"/>
    <w:rsid w:val="000B7343"/>
    <w:rsid w:val="00103986"/>
    <w:rsid w:val="0012078A"/>
    <w:rsid w:val="00136C8C"/>
    <w:rsid w:val="001378E0"/>
    <w:rsid w:val="00153317"/>
    <w:rsid w:val="00184536"/>
    <w:rsid w:val="001A4A1F"/>
    <w:rsid w:val="001B41D4"/>
    <w:rsid w:val="001B6686"/>
    <w:rsid w:val="001C6E6B"/>
    <w:rsid w:val="001D4084"/>
    <w:rsid w:val="001F1D3F"/>
    <w:rsid w:val="001F4185"/>
    <w:rsid w:val="002161A8"/>
    <w:rsid w:val="002417B2"/>
    <w:rsid w:val="00257C63"/>
    <w:rsid w:val="00262FC4"/>
    <w:rsid w:val="00265B74"/>
    <w:rsid w:val="00274C1B"/>
    <w:rsid w:val="00274D62"/>
    <w:rsid w:val="0027774E"/>
    <w:rsid w:val="00285724"/>
    <w:rsid w:val="002A23E1"/>
    <w:rsid w:val="002F0023"/>
    <w:rsid w:val="002F051B"/>
    <w:rsid w:val="002F6822"/>
    <w:rsid w:val="002F69A7"/>
    <w:rsid w:val="00304326"/>
    <w:rsid w:val="0031749B"/>
    <w:rsid w:val="00366D3F"/>
    <w:rsid w:val="00394ECC"/>
    <w:rsid w:val="0039765F"/>
    <w:rsid w:val="003B7DEA"/>
    <w:rsid w:val="003C1B1B"/>
    <w:rsid w:val="003E04E2"/>
    <w:rsid w:val="003E3330"/>
    <w:rsid w:val="004321C6"/>
    <w:rsid w:val="004703A2"/>
    <w:rsid w:val="004776EB"/>
    <w:rsid w:val="00477FA8"/>
    <w:rsid w:val="004832D6"/>
    <w:rsid w:val="0049077F"/>
    <w:rsid w:val="004A03BF"/>
    <w:rsid w:val="004D7DF8"/>
    <w:rsid w:val="00505012"/>
    <w:rsid w:val="00506EBB"/>
    <w:rsid w:val="0051552D"/>
    <w:rsid w:val="0053400D"/>
    <w:rsid w:val="00560CBE"/>
    <w:rsid w:val="00560CE3"/>
    <w:rsid w:val="005776FE"/>
    <w:rsid w:val="00580F4D"/>
    <w:rsid w:val="0058163D"/>
    <w:rsid w:val="005B3D46"/>
    <w:rsid w:val="005B56EE"/>
    <w:rsid w:val="005E179C"/>
    <w:rsid w:val="00637322"/>
    <w:rsid w:val="0064064C"/>
    <w:rsid w:val="006639FA"/>
    <w:rsid w:val="00663F34"/>
    <w:rsid w:val="006656EA"/>
    <w:rsid w:val="00667D18"/>
    <w:rsid w:val="00673CE8"/>
    <w:rsid w:val="006762E1"/>
    <w:rsid w:val="006B471C"/>
    <w:rsid w:val="006C53AA"/>
    <w:rsid w:val="006D5374"/>
    <w:rsid w:val="006E6FB8"/>
    <w:rsid w:val="00714824"/>
    <w:rsid w:val="00736211"/>
    <w:rsid w:val="0074454A"/>
    <w:rsid w:val="00764C5F"/>
    <w:rsid w:val="00766182"/>
    <w:rsid w:val="00795F14"/>
    <w:rsid w:val="007B6E6C"/>
    <w:rsid w:val="007C24E2"/>
    <w:rsid w:val="007C28E2"/>
    <w:rsid w:val="007E6D14"/>
    <w:rsid w:val="00815CF5"/>
    <w:rsid w:val="0082327E"/>
    <w:rsid w:val="00843CE5"/>
    <w:rsid w:val="008662F3"/>
    <w:rsid w:val="00881357"/>
    <w:rsid w:val="00894E9C"/>
    <w:rsid w:val="008B0E9E"/>
    <w:rsid w:val="008C1E18"/>
    <w:rsid w:val="008D45F6"/>
    <w:rsid w:val="008E77FD"/>
    <w:rsid w:val="00917BE7"/>
    <w:rsid w:val="009402B5"/>
    <w:rsid w:val="00956614"/>
    <w:rsid w:val="00965447"/>
    <w:rsid w:val="00973512"/>
    <w:rsid w:val="00982B8B"/>
    <w:rsid w:val="00991549"/>
    <w:rsid w:val="00991AB4"/>
    <w:rsid w:val="009978AB"/>
    <w:rsid w:val="009B5316"/>
    <w:rsid w:val="009C1A4C"/>
    <w:rsid w:val="009C3D2C"/>
    <w:rsid w:val="009D0CD0"/>
    <w:rsid w:val="009E175D"/>
    <w:rsid w:val="009E717F"/>
    <w:rsid w:val="009E743A"/>
    <w:rsid w:val="00A52A71"/>
    <w:rsid w:val="00A5587C"/>
    <w:rsid w:val="00A72453"/>
    <w:rsid w:val="00A726B9"/>
    <w:rsid w:val="00A85781"/>
    <w:rsid w:val="00AA16C9"/>
    <w:rsid w:val="00AA2C72"/>
    <w:rsid w:val="00AB3AE8"/>
    <w:rsid w:val="00AB4FF5"/>
    <w:rsid w:val="00AC18B5"/>
    <w:rsid w:val="00AC22DC"/>
    <w:rsid w:val="00AE000C"/>
    <w:rsid w:val="00AE676B"/>
    <w:rsid w:val="00AF0606"/>
    <w:rsid w:val="00AF273B"/>
    <w:rsid w:val="00B30C76"/>
    <w:rsid w:val="00B34C3A"/>
    <w:rsid w:val="00B63D6F"/>
    <w:rsid w:val="00B90584"/>
    <w:rsid w:val="00B90C8F"/>
    <w:rsid w:val="00B91EBA"/>
    <w:rsid w:val="00BA1ECC"/>
    <w:rsid w:val="00BC4265"/>
    <w:rsid w:val="00BF4705"/>
    <w:rsid w:val="00BF6496"/>
    <w:rsid w:val="00C06811"/>
    <w:rsid w:val="00C16F3A"/>
    <w:rsid w:val="00C26808"/>
    <w:rsid w:val="00C3073A"/>
    <w:rsid w:val="00C54372"/>
    <w:rsid w:val="00C73512"/>
    <w:rsid w:val="00C75BF4"/>
    <w:rsid w:val="00C835C4"/>
    <w:rsid w:val="00C9268D"/>
    <w:rsid w:val="00CB74E2"/>
    <w:rsid w:val="00CC64FC"/>
    <w:rsid w:val="00CD14BB"/>
    <w:rsid w:val="00CF6182"/>
    <w:rsid w:val="00D173EC"/>
    <w:rsid w:val="00D353C4"/>
    <w:rsid w:val="00D44D88"/>
    <w:rsid w:val="00DA1177"/>
    <w:rsid w:val="00DB41D4"/>
    <w:rsid w:val="00DC7B15"/>
    <w:rsid w:val="00DD761A"/>
    <w:rsid w:val="00DE1295"/>
    <w:rsid w:val="00E32733"/>
    <w:rsid w:val="00E55A91"/>
    <w:rsid w:val="00E6101B"/>
    <w:rsid w:val="00E610DD"/>
    <w:rsid w:val="00E73FDB"/>
    <w:rsid w:val="00E76EAF"/>
    <w:rsid w:val="00E7763F"/>
    <w:rsid w:val="00E86EE4"/>
    <w:rsid w:val="00E9411A"/>
    <w:rsid w:val="00EA4456"/>
    <w:rsid w:val="00EC0D75"/>
    <w:rsid w:val="00EC2C77"/>
    <w:rsid w:val="00ED478A"/>
    <w:rsid w:val="00EE1C19"/>
    <w:rsid w:val="00F01EEC"/>
    <w:rsid w:val="00F0498D"/>
    <w:rsid w:val="00F12841"/>
    <w:rsid w:val="00F24228"/>
    <w:rsid w:val="00F358A9"/>
    <w:rsid w:val="00F400CB"/>
    <w:rsid w:val="00F4481D"/>
    <w:rsid w:val="00F5189D"/>
    <w:rsid w:val="00F6642A"/>
    <w:rsid w:val="00F837F3"/>
    <w:rsid w:val="00F867AA"/>
    <w:rsid w:val="00F9583E"/>
    <w:rsid w:val="00F964F3"/>
    <w:rsid w:val="00FC299D"/>
    <w:rsid w:val="00FC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63DFE-C14B-4BB6-BFD8-C8D5CD49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pPr>
      <w:spacing w:after="200" w:line="276" w:lineRule="auto"/>
    </w:pPr>
    <w:rPr>
      <w:rFonts w:eastAsia="Times New Roman"/>
      <w:color w:val="000000"/>
      <w:sz w:val="24"/>
      <w:szCs w:val="24"/>
      <w:u w:color="000000"/>
    </w:rPr>
  </w:style>
  <w:style w:type="paragraph" w:styleId="FootnoteText">
    <w:name w:val="footnote text"/>
    <w:pPr>
      <w:spacing w:after="200" w:line="276" w:lineRule="auto"/>
    </w:pPr>
    <w:rPr>
      <w:rFonts w:ascii="Calibri" w:eastAsia="Calibri" w:hAnsi="Calibri" w:cs="Calibri"/>
      <w:color w:val="000000"/>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basedOn w:val="DefaultParagraphFont"/>
    <w:link w:val="BalloonText"/>
    <w:uiPriority w:val="99"/>
    <w:semiHidden/>
    <w:rsid w:val="00A52A71"/>
    <w:rPr>
      <w:rFonts w:ascii="Tahoma" w:hAnsi="Tahoma" w:cs="Tahoma"/>
      <w:sz w:val="16"/>
      <w:szCs w:val="16"/>
    </w:rPr>
  </w:style>
  <w:style w:type="character" w:styleId="FootnoteReference">
    <w:name w:val="footnote reference"/>
    <w:basedOn w:val="DefaultParagraphFont"/>
    <w:uiPriority w:val="99"/>
    <w:semiHidden/>
    <w:unhideWhenUsed/>
    <w:rsid w:val="008C1E18"/>
    <w:rPr>
      <w:vertAlign w:val="superscript"/>
    </w:rPr>
  </w:style>
  <w:style w:type="paragraph" w:customStyle="1" w:styleId="DefaultText">
    <w:name w:val="Default Text"/>
    <w:basedOn w:val="Normal"/>
    <w:rsid w:val="00506E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szCs w:val="20"/>
      <w:bdr w:val="none" w:sz="0" w:space="0" w:color="auto"/>
    </w:rPr>
  </w:style>
  <w:style w:type="character" w:styleId="CommentReference">
    <w:name w:val="annotation reference"/>
    <w:basedOn w:val="DefaultParagraphFont"/>
    <w:uiPriority w:val="99"/>
    <w:semiHidden/>
    <w:unhideWhenUsed/>
    <w:rsid w:val="00881357"/>
    <w:rPr>
      <w:sz w:val="16"/>
      <w:szCs w:val="16"/>
    </w:rPr>
  </w:style>
  <w:style w:type="paragraph" w:styleId="CommentText">
    <w:name w:val="annotation text"/>
    <w:basedOn w:val="Normal"/>
    <w:link w:val="CommentTextChar"/>
    <w:uiPriority w:val="99"/>
    <w:semiHidden/>
    <w:unhideWhenUsed/>
    <w:rsid w:val="00881357"/>
    <w:rPr>
      <w:sz w:val="20"/>
      <w:szCs w:val="20"/>
    </w:rPr>
  </w:style>
  <w:style w:type="character" w:customStyle="1" w:styleId="CommentTextChar">
    <w:name w:val="Comment Text Char"/>
    <w:basedOn w:val="DefaultParagraphFont"/>
    <w:link w:val="CommentText"/>
    <w:uiPriority w:val="99"/>
    <w:semiHidden/>
    <w:rsid w:val="00881357"/>
  </w:style>
  <w:style w:type="paragraph" w:styleId="CommentSubject">
    <w:name w:val="annotation subject"/>
    <w:basedOn w:val="CommentText"/>
    <w:next w:val="CommentText"/>
    <w:link w:val="CommentSubjectChar"/>
    <w:uiPriority w:val="99"/>
    <w:semiHidden/>
    <w:unhideWhenUsed/>
    <w:rsid w:val="00881357"/>
    <w:rPr>
      <w:b/>
      <w:bCs/>
    </w:rPr>
  </w:style>
  <w:style w:type="character" w:customStyle="1" w:styleId="CommentSubjectChar">
    <w:name w:val="Comment Subject Char"/>
    <w:basedOn w:val="CommentTextChar"/>
    <w:link w:val="CommentSubject"/>
    <w:uiPriority w:val="99"/>
    <w:semiHidden/>
    <w:rsid w:val="00881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88370">
      <w:bodyDiv w:val="1"/>
      <w:marLeft w:val="0"/>
      <w:marRight w:val="0"/>
      <w:marTop w:val="0"/>
      <w:marBottom w:val="0"/>
      <w:divBdr>
        <w:top w:val="none" w:sz="0" w:space="0" w:color="auto"/>
        <w:left w:val="none" w:sz="0" w:space="0" w:color="auto"/>
        <w:bottom w:val="none" w:sz="0" w:space="0" w:color="auto"/>
        <w:right w:val="none" w:sz="0" w:space="0" w:color="auto"/>
      </w:divBdr>
    </w:div>
    <w:div w:id="729617123">
      <w:bodyDiv w:val="1"/>
      <w:marLeft w:val="0"/>
      <w:marRight w:val="0"/>
      <w:marTop w:val="0"/>
      <w:marBottom w:val="0"/>
      <w:divBdr>
        <w:top w:val="none" w:sz="0" w:space="0" w:color="auto"/>
        <w:left w:val="none" w:sz="0" w:space="0" w:color="auto"/>
        <w:bottom w:val="none" w:sz="0" w:space="0" w:color="auto"/>
        <w:right w:val="none" w:sz="0" w:space="0" w:color="auto"/>
      </w:divBdr>
      <w:divsChild>
        <w:div w:id="952830661">
          <w:marLeft w:val="1166"/>
          <w:marRight w:val="0"/>
          <w:marTop w:val="0"/>
          <w:marBottom w:val="0"/>
          <w:divBdr>
            <w:top w:val="none" w:sz="0" w:space="0" w:color="auto"/>
            <w:left w:val="none" w:sz="0" w:space="0" w:color="auto"/>
            <w:bottom w:val="none" w:sz="0" w:space="0" w:color="auto"/>
            <w:right w:val="none" w:sz="0" w:space="0" w:color="auto"/>
          </w:divBdr>
        </w:div>
        <w:div w:id="482966484">
          <w:marLeft w:val="1166"/>
          <w:marRight w:val="0"/>
          <w:marTop w:val="0"/>
          <w:marBottom w:val="0"/>
          <w:divBdr>
            <w:top w:val="none" w:sz="0" w:space="0" w:color="auto"/>
            <w:left w:val="none" w:sz="0" w:space="0" w:color="auto"/>
            <w:bottom w:val="none" w:sz="0" w:space="0" w:color="auto"/>
            <w:right w:val="none" w:sz="0" w:space="0" w:color="auto"/>
          </w:divBdr>
        </w:div>
        <w:div w:id="1704286234">
          <w:marLeft w:val="1166"/>
          <w:marRight w:val="0"/>
          <w:marTop w:val="0"/>
          <w:marBottom w:val="0"/>
          <w:divBdr>
            <w:top w:val="none" w:sz="0" w:space="0" w:color="auto"/>
            <w:left w:val="none" w:sz="0" w:space="0" w:color="auto"/>
            <w:bottom w:val="none" w:sz="0" w:space="0" w:color="auto"/>
            <w:right w:val="none" w:sz="0" w:space="0" w:color="auto"/>
          </w:divBdr>
        </w:div>
        <w:div w:id="1228498258">
          <w:marLeft w:val="1166"/>
          <w:marRight w:val="0"/>
          <w:marTop w:val="0"/>
          <w:marBottom w:val="0"/>
          <w:divBdr>
            <w:top w:val="none" w:sz="0" w:space="0" w:color="auto"/>
            <w:left w:val="none" w:sz="0" w:space="0" w:color="auto"/>
            <w:bottom w:val="none" w:sz="0" w:space="0" w:color="auto"/>
            <w:right w:val="none" w:sz="0" w:space="0" w:color="auto"/>
          </w:divBdr>
        </w:div>
      </w:divsChild>
    </w:div>
    <w:div w:id="800658229">
      <w:bodyDiv w:val="1"/>
      <w:marLeft w:val="0"/>
      <w:marRight w:val="0"/>
      <w:marTop w:val="0"/>
      <w:marBottom w:val="0"/>
      <w:divBdr>
        <w:top w:val="none" w:sz="0" w:space="0" w:color="auto"/>
        <w:left w:val="none" w:sz="0" w:space="0" w:color="auto"/>
        <w:bottom w:val="none" w:sz="0" w:space="0" w:color="auto"/>
        <w:right w:val="none" w:sz="0" w:space="0" w:color="auto"/>
      </w:divBdr>
    </w:div>
    <w:div w:id="802845158">
      <w:bodyDiv w:val="1"/>
      <w:marLeft w:val="0"/>
      <w:marRight w:val="0"/>
      <w:marTop w:val="0"/>
      <w:marBottom w:val="0"/>
      <w:divBdr>
        <w:top w:val="none" w:sz="0" w:space="0" w:color="auto"/>
        <w:left w:val="none" w:sz="0" w:space="0" w:color="auto"/>
        <w:bottom w:val="none" w:sz="0" w:space="0" w:color="auto"/>
        <w:right w:val="none" w:sz="0" w:space="0" w:color="auto"/>
      </w:divBdr>
    </w:div>
    <w:div w:id="812336755">
      <w:bodyDiv w:val="1"/>
      <w:marLeft w:val="0"/>
      <w:marRight w:val="0"/>
      <w:marTop w:val="0"/>
      <w:marBottom w:val="0"/>
      <w:divBdr>
        <w:top w:val="none" w:sz="0" w:space="0" w:color="auto"/>
        <w:left w:val="none" w:sz="0" w:space="0" w:color="auto"/>
        <w:bottom w:val="none" w:sz="0" w:space="0" w:color="auto"/>
        <w:right w:val="none" w:sz="0" w:space="0" w:color="auto"/>
      </w:divBdr>
    </w:div>
    <w:div w:id="1011375812">
      <w:bodyDiv w:val="1"/>
      <w:marLeft w:val="0"/>
      <w:marRight w:val="0"/>
      <w:marTop w:val="0"/>
      <w:marBottom w:val="0"/>
      <w:divBdr>
        <w:top w:val="none" w:sz="0" w:space="0" w:color="auto"/>
        <w:left w:val="none" w:sz="0" w:space="0" w:color="auto"/>
        <w:bottom w:val="none" w:sz="0" w:space="0" w:color="auto"/>
        <w:right w:val="none" w:sz="0" w:space="0" w:color="auto"/>
      </w:divBdr>
    </w:div>
    <w:div w:id="1800488492">
      <w:bodyDiv w:val="1"/>
      <w:marLeft w:val="0"/>
      <w:marRight w:val="0"/>
      <w:marTop w:val="0"/>
      <w:marBottom w:val="0"/>
      <w:divBdr>
        <w:top w:val="none" w:sz="0" w:space="0" w:color="auto"/>
        <w:left w:val="none" w:sz="0" w:space="0" w:color="auto"/>
        <w:bottom w:val="none" w:sz="0" w:space="0" w:color="auto"/>
        <w:right w:val="none" w:sz="0" w:space="0" w:color="auto"/>
      </w:divBdr>
      <w:divsChild>
        <w:div w:id="2141065953">
          <w:marLeft w:val="1166"/>
          <w:marRight w:val="0"/>
          <w:marTop w:val="0"/>
          <w:marBottom w:val="0"/>
          <w:divBdr>
            <w:top w:val="none" w:sz="0" w:space="0" w:color="auto"/>
            <w:left w:val="none" w:sz="0" w:space="0" w:color="auto"/>
            <w:bottom w:val="none" w:sz="0" w:space="0" w:color="auto"/>
            <w:right w:val="none" w:sz="0" w:space="0" w:color="auto"/>
          </w:divBdr>
        </w:div>
        <w:div w:id="685211499">
          <w:marLeft w:val="1166"/>
          <w:marRight w:val="0"/>
          <w:marTop w:val="0"/>
          <w:marBottom w:val="0"/>
          <w:divBdr>
            <w:top w:val="none" w:sz="0" w:space="0" w:color="auto"/>
            <w:left w:val="none" w:sz="0" w:space="0" w:color="auto"/>
            <w:bottom w:val="none" w:sz="0" w:space="0" w:color="auto"/>
            <w:right w:val="none" w:sz="0" w:space="0" w:color="auto"/>
          </w:divBdr>
        </w:div>
      </w:divsChild>
    </w:div>
    <w:div w:id="1897815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6174-2DF7-4071-9003-9588D1C8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Reidbord, Sharon (DTA)</dc:creator>
  <cp:lastModifiedBy>melissa pullin</cp:lastModifiedBy>
  <cp:revision>2</cp:revision>
  <cp:lastPrinted>2017-04-05T14:45:00Z</cp:lastPrinted>
  <dcterms:created xsi:type="dcterms:W3CDTF">2018-03-09T00:17:00Z</dcterms:created>
  <dcterms:modified xsi:type="dcterms:W3CDTF">2018-03-09T00:17:00Z</dcterms:modified>
</cp:coreProperties>
</file>