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3B" w:rsidRDefault="002161A8">
      <w:pPr>
        <w:pStyle w:val="Body"/>
        <w:rPr>
          <w:sz w:val="28"/>
          <w:szCs w:val="28"/>
        </w:rPr>
      </w:pPr>
      <w:bookmarkStart w:id="0" w:name="_GoBack"/>
      <w:bookmarkEnd w:id="0"/>
      <w:r>
        <w:rPr>
          <w:noProof/>
        </w:rPr>
        <w:drawing>
          <wp:anchor distT="0" distB="0" distL="114300" distR="114300" simplePos="0" relativeHeight="251659264" behindDoc="1" locked="0" layoutInCell="1" allowOverlap="1" wp14:anchorId="08509E62" wp14:editId="17D8CCFA">
            <wp:simplePos x="0" y="0"/>
            <wp:positionH relativeFrom="column">
              <wp:posOffset>-927100</wp:posOffset>
            </wp:positionH>
            <wp:positionV relativeFrom="paragraph">
              <wp:posOffset>-676275</wp:posOffset>
            </wp:positionV>
            <wp:extent cx="7356768" cy="9520704"/>
            <wp:effectExtent l="514350" t="438150" r="796925" b="8045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6768" cy="9520704"/>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tabs>
          <w:tab w:val="left" w:pos="2913"/>
        </w:tabs>
        <w:spacing w:before="100" w:beforeAutospacing="1" w:after="480"/>
        <w:ind w:left="-1584"/>
      </w:pPr>
      <w:r>
        <w:rPr>
          <w:noProof/>
        </w:rPr>
        <mc:AlternateContent>
          <mc:Choice Requires="wps">
            <w:drawing>
              <wp:anchor distT="0" distB="0" distL="114300" distR="114300" simplePos="0" relativeHeight="251660288" behindDoc="0" locked="0" layoutInCell="1" allowOverlap="1" wp14:anchorId="14BDEAA7" wp14:editId="54DFC2E3">
                <wp:simplePos x="0" y="0"/>
                <wp:positionH relativeFrom="column">
                  <wp:posOffset>-209550</wp:posOffset>
                </wp:positionH>
                <wp:positionV relativeFrom="paragraph">
                  <wp:posOffset>147320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2161A8" w:rsidRDefault="002161A8" w:rsidP="002161A8">
                            <w:pPr>
                              <w:spacing w:line="800" w:lineRule="exact"/>
                              <w:jc w:val="center"/>
                              <w:rPr>
                                <w:rFonts w:ascii="Adobe Garamond Pro Bold" w:hAnsi="Adobe Garamond Pro Bold"/>
                                <w:b/>
                                <w:color w:val="043064"/>
                                <w:sz w:val="72"/>
                                <w:szCs w:val="72"/>
                              </w:rPr>
                            </w:pPr>
                          </w:p>
                          <w:p w:rsidR="00C6407C" w:rsidRDefault="001349C5" w:rsidP="002161A8">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Transitional Aid to Families with Dependent Children</w:t>
                            </w:r>
                            <w:r w:rsidR="00C6407C">
                              <w:rPr>
                                <w:rFonts w:ascii="Adobe Garamond Pro Bold" w:hAnsi="Adobe Garamond Pro Bold"/>
                                <w:b/>
                                <w:color w:val="043064"/>
                                <w:sz w:val="72"/>
                                <w:szCs w:val="72"/>
                              </w:rPr>
                              <w:t xml:space="preserve"> (TAFDC) </w:t>
                            </w:r>
                            <w:r>
                              <w:rPr>
                                <w:rFonts w:ascii="Adobe Garamond Pro Bold" w:hAnsi="Adobe Garamond Pro Bold"/>
                                <w:b/>
                                <w:color w:val="043064"/>
                                <w:sz w:val="72"/>
                                <w:szCs w:val="72"/>
                              </w:rPr>
                              <w:t xml:space="preserve"> </w:t>
                            </w:r>
                          </w:p>
                          <w:p w:rsidR="002161A8" w:rsidRDefault="003103C3" w:rsidP="002161A8">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Consolidated Report</w:t>
                            </w:r>
                          </w:p>
                          <w:p w:rsidR="00506EBB" w:rsidRPr="00506EBB" w:rsidRDefault="00506EBB" w:rsidP="002161A8">
                            <w:pPr>
                              <w:spacing w:line="800" w:lineRule="exact"/>
                              <w:jc w:val="center"/>
                              <w:rPr>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11.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" stroked="f">
                <v:textbox>
                  <w:txbxContent>
                    <w:p w:rsidR="002161A8" w:rsidRDefault="002161A8" w:rsidP="002161A8">
                      <w:pPr>
                        <w:spacing w:line="800" w:lineRule="exact"/>
                        <w:jc w:val="center"/>
                        <w:rPr>
                          <w:rFonts w:ascii="Adobe Garamond Pro Bold" w:hAnsi="Adobe Garamond Pro Bold"/>
                          <w:b/>
                          <w:color w:val="043064"/>
                          <w:sz w:val="72"/>
                          <w:szCs w:val="72"/>
                        </w:rPr>
                      </w:pPr>
                    </w:p>
                    <w:p w:rsidR="00C6407C" w:rsidRDefault="001349C5" w:rsidP="002161A8">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Transitional Aid to Families with Dependent Children</w:t>
                      </w:r>
                      <w:r w:rsidR="00C6407C">
                        <w:rPr>
                          <w:rFonts w:ascii="Adobe Garamond Pro Bold" w:hAnsi="Adobe Garamond Pro Bold"/>
                          <w:b/>
                          <w:color w:val="043064"/>
                          <w:sz w:val="72"/>
                          <w:szCs w:val="72"/>
                        </w:rPr>
                        <w:t xml:space="preserve"> (TAFDC) </w:t>
                      </w:r>
                      <w:r>
                        <w:rPr>
                          <w:rFonts w:ascii="Adobe Garamond Pro Bold" w:hAnsi="Adobe Garamond Pro Bold"/>
                          <w:b/>
                          <w:color w:val="043064"/>
                          <w:sz w:val="72"/>
                          <w:szCs w:val="72"/>
                        </w:rPr>
                        <w:t xml:space="preserve"> </w:t>
                      </w:r>
                    </w:p>
                    <w:p w:rsidR="002161A8" w:rsidRDefault="003103C3" w:rsidP="002161A8">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Consolidated Report</w:t>
                      </w:r>
                    </w:p>
                    <w:p w:rsidR="00506EBB" w:rsidRPr="00506EBB" w:rsidRDefault="00506EBB" w:rsidP="002161A8">
                      <w:pPr>
                        <w:spacing w:line="800" w:lineRule="exact"/>
                        <w:jc w:val="center"/>
                        <w:rPr>
                          <w:sz w:val="72"/>
                          <w:szCs w:val="72"/>
                        </w:rPr>
                      </w:pPr>
                    </w:p>
                  </w:txbxContent>
                </v:textbox>
              </v:shape>
            </w:pict>
          </mc:Fallback>
        </mc:AlternateContent>
      </w:r>
      <w:r>
        <w:tab/>
      </w: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tabs>
          <w:tab w:val="left" w:pos="3433"/>
        </w:tabs>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Pr="00E02475" w:rsidRDefault="002161A8" w:rsidP="002161A8"/>
    <w:p w:rsidR="00AF273B" w:rsidRDefault="00AF273B">
      <w:pPr>
        <w:pStyle w:val="Body"/>
        <w:spacing w:after="0" w:line="240" w:lineRule="auto"/>
        <w:jc w:val="center"/>
        <w:rPr>
          <w:rFonts w:ascii="Times New Roman" w:eastAsia="Times New Roman" w:hAnsi="Times New Roman" w:cs="Times New Roman"/>
          <w:sz w:val="24"/>
          <w:szCs w:val="24"/>
        </w:rPr>
      </w:pPr>
    </w:p>
    <w:p w:rsidR="00AF273B" w:rsidRDefault="00AF273B">
      <w:pPr>
        <w:pStyle w:val="Body"/>
        <w:spacing w:after="0" w:line="240" w:lineRule="auto"/>
        <w:jc w:val="center"/>
        <w:rPr>
          <w:rFonts w:ascii="Times New Roman" w:eastAsia="Times New Roman" w:hAnsi="Times New Roman" w:cs="Times New Roman"/>
          <w:sz w:val="24"/>
          <w:szCs w:val="24"/>
        </w:rPr>
      </w:pPr>
    </w:p>
    <w:p w:rsidR="00AF273B" w:rsidRDefault="002161A8">
      <w:pPr>
        <w:pStyle w:val="Body"/>
        <w:spacing w:after="0" w:line="240" w:lineRule="auto"/>
        <w:jc w:val="center"/>
        <w:sectPr w:rsidR="00AF273B">
          <w:headerReference w:type="default" r:id="rId10"/>
          <w:footerReference w:type="default" r:id="rId11"/>
          <w:pgSz w:w="12240" w:h="15840"/>
          <w:pgMar w:top="1440" w:right="1800" w:bottom="1440" w:left="1800" w:header="720" w:footer="720" w:gutter="0"/>
          <w:cols w:space="720"/>
          <w:titlePg/>
        </w:sectPr>
      </w:pPr>
      <w:r>
        <w:rPr>
          <w:noProof/>
        </w:rPr>
        <mc:AlternateContent>
          <mc:Choice Requires="wps">
            <w:drawing>
              <wp:anchor distT="0" distB="0" distL="114300" distR="114300" simplePos="0" relativeHeight="251661312" behindDoc="0" locked="0" layoutInCell="1" allowOverlap="1" wp14:anchorId="2B1EC471" wp14:editId="5662FB9D">
                <wp:simplePos x="0" y="0"/>
                <wp:positionH relativeFrom="column">
                  <wp:posOffset>1616710</wp:posOffset>
                </wp:positionH>
                <wp:positionV relativeFrom="paragraph">
                  <wp:posOffset>1118235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2161A8" w:rsidRPr="00E02475" w:rsidRDefault="00DA6873" w:rsidP="002161A8">
                            <w:pPr>
                              <w:jc w:val="center"/>
                              <w:rPr>
                                <w:rFonts w:ascii="Adobe Garamond Pro Bold" w:hAnsi="Adobe Garamond Pro Bold"/>
                                <w:sz w:val="48"/>
                                <w:szCs w:val="48"/>
                              </w:rPr>
                            </w:pPr>
                            <w:r>
                              <w:rPr>
                                <w:rFonts w:ascii="Adobe Garamond Pro Bold" w:hAnsi="Adobe Garamond Pro Bold"/>
                                <w:sz w:val="48"/>
                                <w:szCs w:val="48"/>
                              </w:rPr>
                              <w:t>February</w:t>
                            </w:r>
                            <w:r w:rsidR="00555C2D">
                              <w:rPr>
                                <w:rFonts w:ascii="Adobe Garamond Pro Bold" w:hAnsi="Adobe Garamond Pro Bold"/>
                                <w:sz w:val="48"/>
                                <w:szCs w:val="48"/>
                              </w:rPr>
                              <w:t xml:space="preserve"> </w:t>
                            </w:r>
                            <w:r w:rsidR="00C61F2A">
                              <w:rPr>
                                <w:rFonts w:ascii="Adobe Garamond Pro Bold" w:hAnsi="Adobe Garamond Pro Bold"/>
                                <w:sz w:val="48"/>
                                <w:szCs w:val="48"/>
                              </w:rPr>
                              <w:t>201</w:t>
                            </w:r>
                            <w:r w:rsidR="00555C2D">
                              <w:rPr>
                                <w:rFonts w:ascii="Adobe Garamond Pro Bold" w:hAnsi="Adobe Garamond Pro Bold"/>
                                <w:sz w:val="48"/>
                                <w:szCs w:val="4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7.3pt;margin-top:88.0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" stroked="f">
                <v:textbox>
                  <w:txbxContent>
                    <w:p w:rsidR="002161A8" w:rsidRPr="00E02475" w:rsidRDefault="00DA6873" w:rsidP="002161A8">
                      <w:pPr>
                        <w:jc w:val="center"/>
                        <w:rPr>
                          <w:rFonts w:ascii="Adobe Garamond Pro Bold" w:hAnsi="Adobe Garamond Pro Bold"/>
                          <w:sz w:val="48"/>
                          <w:szCs w:val="48"/>
                        </w:rPr>
                      </w:pPr>
                      <w:r>
                        <w:rPr>
                          <w:rFonts w:ascii="Adobe Garamond Pro Bold" w:hAnsi="Adobe Garamond Pro Bold"/>
                          <w:sz w:val="48"/>
                          <w:szCs w:val="48"/>
                        </w:rPr>
                        <w:t>February</w:t>
                      </w:r>
                      <w:r w:rsidR="00555C2D">
                        <w:rPr>
                          <w:rFonts w:ascii="Adobe Garamond Pro Bold" w:hAnsi="Adobe Garamond Pro Bold"/>
                          <w:sz w:val="48"/>
                          <w:szCs w:val="48"/>
                        </w:rPr>
                        <w:t xml:space="preserve"> </w:t>
                      </w:r>
                      <w:r w:rsidR="00C61F2A">
                        <w:rPr>
                          <w:rFonts w:ascii="Adobe Garamond Pro Bold" w:hAnsi="Adobe Garamond Pro Bold"/>
                          <w:sz w:val="48"/>
                          <w:szCs w:val="48"/>
                        </w:rPr>
                        <w:t>201</w:t>
                      </w:r>
                      <w:r w:rsidR="00555C2D">
                        <w:rPr>
                          <w:rFonts w:ascii="Adobe Garamond Pro Bold" w:hAnsi="Adobe Garamond Pro Bold"/>
                          <w:sz w:val="48"/>
                          <w:szCs w:val="48"/>
                        </w:rPr>
                        <w:t>8</w:t>
                      </w:r>
                    </w:p>
                  </w:txbxContent>
                </v:textbox>
              </v:shape>
            </w:pict>
          </mc:Fallback>
        </mc:AlternateContent>
      </w:r>
    </w:p>
    <w:p w:rsidR="00F71118" w:rsidRDefault="00F71118" w:rsidP="00F71118">
      <w:pPr>
        <w:pStyle w:val="Body"/>
        <w:spacing w:after="0" w:line="240" w:lineRule="auto"/>
        <w:jc w:val="center"/>
        <w:rPr>
          <w:rFonts w:ascii="Times New Roman" w:hAnsi="Times New Roman" w:cs="Times New Roman"/>
          <w:b/>
          <w:bCs/>
        </w:rPr>
      </w:pPr>
      <w:r w:rsidRPr="00A90FE3">
        <w:rPr>
          <w:rFonts w:ascii="Times New Roman" w:hAnsi="Times New Roman" w:cs="Times New Roman"/>
          <w:b/>
          <w:bCs/>
        </w:rPr>
        <w:lastRenderedPageBreak/>
        <w:t xml:space="preserve">Report on </w:t>
      </w:r>
      <w:r>
        <w:rPr>
          <w:rFonts w:ascii="Times New Roman" w:hAnsi="Times New Roman" w:cs="Times New Roman"/>
          <w:b/>
          <w:bCs/>
        </w:rPr>
        <w:t xml:space="preserve">Transitional Aid to Families with Dependent Children </w:t>
      </w:r>
      <w:r w:rsidR="003103C3">
        <w:rPr>
          <w:rFonts w:ascii="Times New Roman" w:hAnsi="Times New Roman" w:cs="Times New Roman"/>
          <w:b/>
          <w:bCs/>
        </w:rPr>
        <w:t>(TAFDC)</w:t>
      </w:r>
    </w:p>
    <w:p w:rsidR="003103C3" w:rsidRPr="00A90FE3" w:rsidRDefault="003103C3" w:rsidP="00F71118">
      <w:pPr>
        <w:pStyle w:val="Body"/>
        <w:spacing w:after="0" w:line="240" w:lineRule="auto"/>
        <w:jc w:val="center"/>
        <w:rPr>
          <w:rFonts w:ascii="Times New Roman" w:hAnsi="Times New Roman" w:cs="Times New Roman"/>
          <w:b/>
          <w:bCs/>
        </w:rPr>
      </w:pPr>
      <w:r>
        <w:rPr>
          <w:rFonts w:ascii="Times New Roman" w:hAnsi="Times New Roman" w:cs="Times New Roman"/>
          <w:b/>
          <w:bCs/>
        </w:rPr>
        <w:t>Consolidated Report</w:t>
      </w:r>
    </w:p>
    <w:p w:rsidR="00F71118" w:rsidRPr="00A90FE3" w:rsidRDefault="00DA6873" w:rsidP="00F71118">
      <w:pPr>
        <w:pStyle w:val="Body"/>
        <w:spacing w:after="0" w:line="240" w:lineRule="auto"/>
        <w:jc w:val="center"/>
        <w:rPr>
          <w:rFonts w:ascii="Times New Roman" w:eastAsia="Times New Roman" w:hAnsi="Times New Roman" w:cs="Times New Roman"/>
          <w:i/>
          <w:iCs/>
        </w:rPr>
      </w:pPr>
      <w:r>
        <w:rPr>
          <w:rFonts w:ascii="Times New Roman" w:hAnsi="Times New Roman" w:cs="Times New Roman"/>
          <w:i/>
          <w:iCs/>
        </w:rPr>
        <w:t>February</w:t>
      </w:r>
      <w:r w:rsidR="00555C2D" w:rsidRPr="00A90FE3">
        <w:rPr>
          <w:rFonts w:ascii="Times New Roman" w:hAnsi="Times New Roman" w:cs="Times New Roman"/>
          <w:i/>
          <w:iCs/>
        </w:rPr>
        <w:t xml:space="preserve"> </w:t>
      </w:r>
      <w:r w:rsidR="00F71118" w:rsidRPr="00A90FE3">
        <w:rPr>
          <w:rFonts w:ascii="Times New Roman" w:hAnsi="Times New Roman" w:cs="Times New Roman"/>
          <w:i/>
          <w:iCs/>
        </w:rPr>
        <w:t>201</w:t>
      </w:r>
      <w:r w:rsidR="00555C2D">
        <w:rPr>
          <w:rFonts w:ascii="Times New Roman" w:hAnsi="Times New Roman" w:cs="Times New Roman"/>
          <w:i/>
          <w:iCs/>
        </w:rPr>
        <w:t>8</w:t>
      </w:r>
    </w:p>
    <w:p w:rsidR="003C1725" w:rsidRPr="00C61F2A" w:rsidRDefault="003C1725" w:rsidP="00F71118">
      <w:pPr>
        <w:pStyle w:val="Body"/>
        <w:spacing w:after="0" w:line="240" w:lineRule="auto"/>
        <w:jc w:val="center"/>
        <w:rPr>
          <w:rFonts w:ascii="Times New Roman" w:hAnsi="Times New Roman" w:cs="Times New Roman"/>
          <w:b/>
          <w:bCs/>
          <w:sz w:val="24"/>
          <w:szCs w:val="24"/>
        </w:rPr>
      </w:pPr>
    </w:p>
    <w:p w:rsidR="00C61F2A" w:rsidRPr="00C61F2A" w:rsidRDefault="00C61F2A" w:rsidP="00744493">
      <w:pPr>
        <w:pStyle w:val="Body"/>
        <w:numPr>
          <w:ilvl w:val="0"/>
          <w:numId w:val="11"/>
        </w:numPr>
        <w:spacing w:after="0" w:line="240" w:lineRule="auto"/>
        <w:rPr>
          <w:rFonts w:ascii="Times New Roman" w:eastAsia="Times New Roman" w:hAnsi="Times New Roman" w:cs="Times New Roman"/>
          <w:b/>
          <w:bCs/>
          <w:smallCaps/>
        </w:rPr>
      </w:pPr>
      <w:r w:rsidRPr="00C61F2A">
        <w:rPr>
          <w:rFonts w:ascii="Times New Roman" w:hAnsi="Times New Roman" w:cs="Times New Roman"/>
          <w:b/>
          <w:bCs/>
          <w:smallCaps/>
        </w:rPr>
        <w:t>Overview</w:t>
      </w:r>
    </w:p>
    <w:p w:rsidR="00C61F2A" w:rsidRPr="00C61F2A" w:rsidRDefault="00C61F2A" w:rsidP="00C61F2A">
      <w:pPr>
        <w:pStyle w:val="Body"/>
        <w:spacing w:after="0" w:line="240" w:lineRule="auto"/>
        <w:jc w:val="both"/>
        <w:rPr>
          <w:rFonts w:ascii="Times New Roman" w:eastAsia="Times New Roman" w:hAnsi="Times New Roman" w:cs="Times New Roman"/>
          <w:sz w:val="24"/>
          <w:szCs w:val="24"/>
        </w:rPr>
      </w:pPr>
    </w:p>
    <w:p w:rsidR="003103C3" w:rsidRDefault="003103C3" w:rsidP="008A3666">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In response to the following legislatives reporting requirements, the Department of Transitional Assistance</w:t>
      </w:r>
      <w:r w:rsidR="00B419BF">
        <w:rPr>
          <w:rFonts w:ascii="Times New Roman" w:hAnsi="Times New Roman" w:cs="Times New Roman"/>
          <w:sz w:val="24"/>
          <w:szCs w:val="24"/>
        </w:rPr>
        <w:t xml:space="preserve"> (DTA)</w:t>
      </w:r>
      <w:r>
        <w:rPr>
          <w:rFonts w:ascii="Times New Roman" w:hAnsi="Times New Roman" w:cs="Times New Roman"/>
          <w:sz w:val="24"/>
          <w:szCs w:val="24"/>
        </w:rPr>
        <w:t xml:space="preserve"> is pleased to provide this comprehensive report on the current status of the TAFDC program including work program requirements, an update on the implementation of Pathways to Self Sufficiency Initiative and the role of the Self Sufficiency Specialist</w:t>
      </w:r>
      <w:r w:rsidR="00B419BF">
        <w:rPr>
          <w:rFonts w:ascii="Times New Roman" w:hAnsi="Times New Roman" w:cs="Times New Roman"/>
          <w:sz w:val="24"/>
          <w:szCs w:val="24"/>
        </w:rPr>
        <w:t xml:space="preserve">. </w:t>
      </w:r>
    </w:p>
    <w:p w:rsidR="003103C3" w:rsidRDefault="003103C3" w:rsidP="008A3666">
      <w:pPr>
        <w:pStyle w:val="Body"/>
        <w:spacing w:after="0" w:line="240" w:lineRule="auto"/>
        <w:rPr>
          <w:rFonts w:ascii="Times New Roman" w:hAnsi="Times New Roman" w:cs="Times New Roman"/>
          <w:sz w:val="24"/>
          <w:szCs w:val="24"/>
        </w:rPr>
      </w:pPr>
    </w:p>
    <w:p w:rsidR="003103C3" w:rsidRPr="00B419BF" w:rsidRDefault="003103C3" w:rsidP="008A3666">
      <w:pPr>
        <w:pStyle w:val="Body"/>
        <w:spacing w:after="0" w:line="240" w:lineRule="auto"/>
        <w:rPr>
          <w:rFonts w:ascii="Times New Roman" w:hAnsi="Times New Roman" w:cs="Times New Roman"/>
          <w:sz w:val="24"/>
          <w:szCs w:val="24"/>
          <w:u w:val="single"/>
        </w:rPr>
      </w:pPr>
      <w:r w:rsidRPr="00B419BF">
        <w:rPr>
          <w:rFonts w:ascii="Times New Roman" w:hAnsi="Times New Roman" w:cs="Times New Roman"/>
          <w:sz w:val="24"/>
          <w:szCs w:val="24"/>
          <w:u w:val="single"/>
        </w:rPr>
        <w:t xml:space="preserve">Legislative Reporting Requirements </w:t>
      </w:r>
    </w:p>
    <w:p w:rsidR="00B419BF" w:rsidRPr="003103C3" w:rsidRDefault="00B419BF" w:rsidP="008A3666">
      <w:pPr>
        <w:pStyle w:val="Body"/>
        <w:spacing w:after="0" w:line="240" w:lineRule="auto"/>
        <w:rPr>
          <w:rFonts w:ascii="Times New Roman" w:hAnsi="Times New Roman" w:cs="Times New Roman"/>
          <w:sz w:val="24"/>
          <w:szCs w:val="24"/>
        </w:rPr>
      </w:pPr>
    </w:p>
    <w:p w:rsidR="00C61F2A" w:rsidRDefault="00C61F2A" w:rsidP="008A3666">
      <w:pPr>
        <w:pStyle w:val="Body"/>
        <w:spacing w:after="0" w:line="240" w:lineRule="auto"/>
        <w:ind w:left="720"/>
        <w:rPr>
          <w:rFonts w:ascii="Times New Roman" w:hAnsi="Times New Roman" w:cs="Times New Roman"/>
          <w:i/>
          <w:sz w:val="24"/>
          <w:szCs w:val="24"/>
        </w:rPr>
      </w:pPr>
      <w:r w:rsidRPr="003103C3">
        <w:rPr>
          <w:rFonts w:ascii="Times New Roman" w:hAnsi="Times New Roman" w:cs="Times New Roman"/>
          <w:i/>
          <w:sz w:val="24"/>
          <w:szCs w:val="24"/>
        </w:rPr>
        <w:t xml:space="preserve">Chapter 18 Section 2 of the Massachusetts General Laws requires the Department of Transitional Assistance (DTA) to annually report </w:t>
      </w:r>
      <w:r w:rsidR="00C3309A" w:rsidRPr="003103C3">
        <w:rPr>
          <w:rFonts w:ascii="Times New Roman" w:hAnsi="Times New Roman" w:cs="Times New Roman"/>
          <w:i/>
          <w:sz w:val="24"/>
          <w:szCs w:val="24"/>
        </w:rPr>
        <w:t>regarding the Transitional Aid to Families with Dependent Children work requirement</w:t>
      </w:r>
      <w:r w:rsidR="00B419BF">
        <w:rPr>
          <w:rFonts w:ascii="Times New Roman" w:hAnsi="Times New Roman" w:cs="Times New Roman"/>
          <w:i/>
          <w:sz w:val="24"/>
          <w:szCs w:val="24"/>
        </w:rPr>
        <w:t xml:space="preserve">. </w:t>
      </w:r>
      <w:r w:rsidRPr="003103C3">
        <w:rPr>
          <w:rFonts w:ascii="Times New Roman" w:hAnsi="Times New Roman" w:cs="Times New Roman"/>
          <w:i/>
          <w:sz w:val="24"/>
          <w:szCs w:val="24"/>
        </w:rPr>
        <w:t xml:space="preserve">  </w:t>
      </w:r>
    </w:p>
    <w:p w:rsidR="003103C3" w:rsidRDefault="003103C3" w:rsidP="008A3666">
      <w:pPr>
        <w:pStyle w:val="Body"/>
        <w:spacing w:after="0" w:line="240" w:lineRule="auto"/>
        <w:rPr>
          <w:rFonts w:ascii="Times New Roman" w:hAnsi="Times New Roman" w:cs="Times New Roman"/>
          <w:sz w:val="24"/>
          <w:szCs w:val="24"/>
        </w:rPr>
      </w:pPr>
    </w:p>
    <w:p w:rsidR="003103C3" w:rsidRPr="003103C3" w:rsidRDefault="003103C3" w:rsidP="008A3666">
      <w:pPr>
        <w:pStyle w:val="Body"/>
        <w:spacing w:after="0" w:line="240" w:lineRule="auto"/>
        <w:ind w:left="720"/>
        <w:rPr>
          <w:rFonts w:ascii="Times New Roman" w:eastAsia="Times New Roman" w:hAnsi="Times New Roman" w:cs="Times New Roman"/>
          <w:i/>
          <w:sz w:val="24"/>
          <w:szCs w:val="24"/>
        </w:rPr>
      </w:pPr>
      <w:r w:rsidRPr="003103C3">
        <w:rPr>
          <w:rFonts w:ascii="Times New Roman" w:hAnsi="Times New Roman" w:cs="Times New Roman"/>
          <w:i/>
          <w:sz w:val="24"/>
          <w:szCs w:val="24"/>
        </w:rPr>
        <w:t>Chapter 118 Section 3C of the Massachusetts General Laws requires the Department of Transitional Assistance (DTA) to annually report on the Pathways to Self-Sufficiency Program</w:t>
      </w:r>
      <w:r w:rsidR="00B419BF">
        <w:rPr>
          <w:rFonts w:ascii="Times New Roman" w:hAnsi="Times New Roman" w:cs="Times New Roman"/>
          <w:i/>
          <w:sz w:val="24"/>
          <w:szCs w:val="24"/>
        </w:rPr>
        <w:t xml:space="preserve">. </w:t>
      </w:r>
      <w:r w:rsidRPr="003103C3">
        <w:rPr>
          <w:rFonts w:ascii="Times New Roman" w:hAnsi="Times New Roman" w:cs="Times New Roman"/>
          <w:i/>
          <w:sz w:val="24"/>
          <w:szCs w:val="24"/>
        </w:rPr>
        <w:t xml:space="preserve"> </w:t>
      </w:r>
    </w:p>
    <w:p w:rsidR="003103C3" w:rsidRPr="003103C3" w:rsidRDefault="003103C3" w:rsidP="008A3666">
      <w:pPr>
        <w:pStyle w:val="Body"/>
        <w:spacing w:after="0" w:line="240" w:lineRule="auto"/>
        <w:ind w:left="720"/>
        <w:rPr>
          <w:rFonts w:ascii="Times New Roman" w:hAnsi="Times New Roman" w:cs="Times New Roman"/>
          <w:i/>
          <w:sz w:val="24"/>
          <w:szCs w:val="24"/>
        </w:rPr>
      </w:pPr>
    </w:p>
    <w:p w:rsidR="003103C3" w:rsidRPr="003103C3" w:rsidRDefault="003103C3" w:rsidP="008A3666">
      <w:pPr>
        <w:pStyle w:val="Body"/>
        <w:spacing w:after="0" w:line="240" w:lineRule="auto"/>
        <w:ind w:left="720"/>
        <w:rPr>
          <w:rFonts w:ascii="Times New Roman" w:eastAsia="Times New Roman" w:hAnsi="Times New Roman" w:cs="Times New Roman"/>
          <w:i/>
          <w:sz w:val="24"/>
          <w:szCs w:val="24"/>
        </w:rPr>
      </w:pPr>
      <w:r w:rsidRPr="003103C3">
        <w:rPr>
          <w:rFonts w:ascii="Times New Roman" w:hAnsi="Times New Roman" w:cs="Times New Roman"/>
          <w:i/>
          <w:sz w:val="24"/>
          <w:szCs w:val="24"/>
        </w:rPr>
        <w:t xml:space="preserve">Chapter 18 Section 5 of the Massachusetts General Laws requires the Department of Transitional Assistance (DTA) to annually report on the </w:t>
      </w:r>
      <w:proofErr w:type="gramStart"/>
      <w:r w:rsidRPr="003103C3">
        <w:rPr>
          <w:rFonts w:ascii="Times New Roman" w:hAnsi="Times New Roman" w:cs="Times New Roman"/>
          <w:i/>
          <w:sz w:val="24"/>
          <w:szCs w:val="24"/>
        </w:rPr>
        <w:t>specialists</w:t>
      </w:r>
      <w:proofErr w:type="gramEnd"/>
      <w:r w:rsidRPr="003103C3">
        <w:rPr>
          <w:rFonts w:ascii="Times New Roman" w:hAnsi="Times New Roman" w:cs="Times New Roman"/>
          <w:i/>
          <w:sz w:val="24"/>
          <w:szCs w:val="24"/>
        </w:rPr>
        <w:t xml:space="preserve"> positions established by the commissioner, known as Self-Sufficiency Specialist</w:t>
      </w:r>
      <w:r w:rsidR="00B419BF">
        <w:rPr>
          <w:rFonts w:ascii="Times New Roman" w:hAnsi="Times New Roman" w:cs="Times New Roman"/>
          <w:i/>
          <w:sz w:val="24"/>
          <w:szCs w:val="24"/>
        </w:rPr>
        <w:t xml:space="preserve">. </w:t>
      </w:r>
      <w:r w:rsidRPr="003103C3">
        <w:rPr>
          <w:rFonts w:ascii="Times New Roman" w:hAnsi="Times New Roman" w:cs="Times New Roman"/>
          <w:i/>
          <w:sz w:val="24"/>
          <w:szCs w:val="24"/>
        </w:rPr>
        <w:t xml:space="preserve"> </w:t>
      </w:r>
    </w:p>
    <w:p w:rsidR="00C61F2A" w:rsidRPr="00C61F2A" w:rsidRDefault="00C61F2A" w:rsidP="00C61F2A">
      <w:pPr>
        <w:pStyle w:val="Body"/>
        <w:spacing w:after="0" w:line="240" w:lineRule="auto"/>
        <w:jc w:val="center"/>
        <w:rPr>
          <w:rFonts w:ascii="Times New Roman" w:hAnsi="Times New Roman" w:cs="Times New Roman"/>
          <w:sz w:val="24"/>
          <w:szCs w:val="24"/>
        </w:rPr>
      </w:pPr>
    </w:p>
    <w:p w:rsidR="00C61F2A" w:rsidRPr="00C61F2A" w:rsidRDefault="00C61F2A" w:rsidP="00744493">
      <w:pPr>
        <w:pStyle w:val="Body"/>
        <w:numPr>
          <w:ilvl w:val="0"/>
          <w:numId w:val="11"/>
        </w:numPr>
        <w:spacing w:after="0" w:line="240" w:lineRule="auto"/>
        <w:rPr>
          <w:rFonts w:ascii="Times New Roman" w:eastAsia="Times New Roman" w:hAnsi="Times New Roman" w:cs="Times New Roman"/>
          <w:b/>
          <w:bCs/>
          <w:smallCaps/>
          <w:sz w:val="24"/>
          <w:szCs w:val="24"/>
        </w:rPr>
      </w:pPr>
      <w:r w:rsidRPr="00C61F2A">
        <w:rPr>
          <w:rFonts w:ascii="Times New Roman" w:hAnsi="Times New Roman" w:cs="Times New Roman"/>
          <w:b/>
          <w:bCs/>
          <w:smallCaps/>
          <w:sz w:val="24"/>
          <w:szCs w:val="24"/>
        </w:rPr>
        <w:t xml:space="preserve">Background </w:t>
      </w:r>
    </w:p>
    <w:p w:rsidR="00C61F2A" w:rsidRPr="00C61F2A" w:rsidRDefault="00C61F2A" w:rsidP="00C61F2A">
      <w:pPr>
        <w:pStyle w:val="Body"/>
        <w:spacing w:after="0" w:line="240" w:lineRule="auto"/>
        <w:rPr>
          <w:rFonts w:ascii="Times New Roman" w:eastAsia="Times New Roman" w:hAnsi="Times New Roman" w:cs="Times New Roman"/>
          <w:sz w:val="16"/>
          <w:szCs w:val="16"/>
        </w:rPr>
      </w:pPr>
    </w:p>
    <w:p w:rsidR="00C61F2A" w:rsidRDefault="00C61F2A" w:rsidP="00D90954">
      <w:pPr>
        <w:pStyle w:val="Body"/>
        <w:spacing w:line="240" w:lineRule="auto"/>
        <w:rPr>
          <w:rFonts w:ascii="Times New Roman" w:hAnsi="Times New Roman" w:cs="Times New Roman"/>
          <w:sz w:val="24"/>
          <w:szCs w:val="24"/>
        </w:rPr>
      </w:pPr>
      <w:r w:rsidRPr="00C61F2A">
        <w:rPr>
          <w:rFonts w:ascii="Times New Roman" w:hAnsi="Times New Roman" w:cs="Times New Roman"/>
          <w:sz w:val="24"/>
          <w:szCs w:val="24"/>
        </w:rPr>
        <w:t xml:space="preserve">DTA’s mission is to assist and empower low-income individuals and families to meet their basic needs, improve their quality of life, and achieve long-term economic self-sufficiency. DTA offers a comprehensive system of programs and supports to help individuals and families achieve greater economic self-sufficiency, including food and nutritional assistance, </w:t>
      </w:r>
      <w:r w:rsidR="00650BC4">
        <w:rPr>
          <w:rFonts w:ascii="Times New Roman" w:hAnsi="Times New Roman" w:cs="Times New Roman"/>
          <w:sz w:val="24"/>
          <w:szCs w:val="24"/>
        </w:rPr>
        <w:t>economic</w:t>
      </w:r>
      <w:r w:rsidRPr="00C61F2A">
        <w:rPr>
          <w:rFonts w:ascii="Times New Roman" w:hAnsi="Times New Roman" w:cs="Times New Roman"/>
          <w:sz w:val="24"/>
          <w:szCs w:val="24"/>
        </w:rPr>
        <w:t xml:space="preserve"> assistance, and employment supports.</w:t>
      </w:r>
      <w:r w:rsidR="00C3309A">
        <w:rPr>
          <w:rFonts w:ascii="Times New Roman" w:eastAsia="Times New Roman" w:hAnsi="Times New Roman" w:cs="Times New Roman"/>
          <w:sz w:val="24"/>
          <w:szCs w:val="24"/>
        </w:rPr>
        <w:t xml:space="preserve"> </w:t>
      </w:r>
      <w:r w:rsidRPr="00C61F2A">
        <w:rPr>
          <w:rFonts w:ascii="Times New Roman" w:hAnsi="Times New Roman" w:cs="Times New Roman"/>
          <w:sz w:val="24"/>
          <w:szCs w:val="24"/>
        </w:rPr>
        <w:t xml:space="preserve">DTA serves one out of every eight people in the Commonwealth including working families, children, elders, and people with disabilities. </w:t>
      </w:r>
    </w:p>
    <w:p w:rsidR="004964F0" w:rsidRPr="004964F0" w:rsidRDefault="004964F0">
      <w:pPr>
        <w:pStyle w:val="PlainText"/>
        <w:rPr>
          <w:rFonts w:ascii="Times New Roman" w:hAnsi="Times New Roman"/>
          <w:color w:val="212121"/>
          <w:sz w:val="24"/>
          <w:szCs w:val="24"/>
        </w:rPr>
      </w:pPr>
      <w:r w:rsidRPr="004964F0">
        <w:rPr>
          <w:rFonts w:ascii="Times New Roman" w:hAnsi="Times New Roman"/>
          <w:color w:val="212121"/>
          <w:sz w:val="24"/>
          <w:szCs w:val="24"/>
        </w:rPr>
        <w:t>Massachusetts has one of the strongest economies in the country</w:t>
      </w:r>
      <w:r w:rsidR="00B419BF">
        <w:rPr>
          <w:rFonts w:ascii="Times New Roman" w:hAnsi="Times New Roman"/>
          <w:color w:val="212121"/>
          <w:sz w:val="24"/>
          <w:szCs w:val="24"/>
        </w:rPr>
        <w:t xml:space="preserve">. </w:t>
      </w:r>
      <w:r w:rsidRPr="004964F0">
        <w:rPr>
          <w:rFonts w:ascii="Times New Roman" w:hAnsi="Times New Roman"/>
          <w:color w:val="212121"/>
          <w:sz w:val="24"/>
          <w:szCs w:val="24"/>
        </w:rPr>
        <w:t xml:space="preserve">Despite its educated workforce, high median wage and low unemployment rate, </w:t>
      </w:r>
      <w:r w:rsidR="00D90954">
        <w:rPr>
          <w:rFonts w:ascii="Times New Roman" w:hAnsi="Times New Roman"/>
          <w:color w:val="212121"/>
          <w:sz w:val="24"/>
          <w:szCs w:val="24"/>
        </w:rPr>
        <w:t>13.3</w:t>
      </w:r>
      <w:r w:rsidRPr="004964F0">
        <w:rPr>
          <w:rFonts w:ascii="Times New Roman" w:hAnsi="Times New Roman"/>
          <w:color w:val="212121"/>
          <w:sz w:val="24"/>
          <w:szCs w:val="24"/>
        </w:rPr>
        <w:t>% of Massachusetts’ children live</w:t>
      </w:r>
      <w:r w:rsidR="00D90954">
        <w:rPr>
          <w:rFonts w:ascii="Times New Roman" w:hAnsi="Times New Roman"/>
          <w:color w:val="212121"/>
          <w:sz w:val="24"/>
          <w:szCs w:val="24"/>
        </w:rPr>
        <w:t xml:space="preserve"> below the Federal Poverty Line</w:t>
      </w:r>
      <w:r w:rsidR="00B419BF">
        <w:rPr>
          <w:rFonts w:ascii="Times New Roman" w:hAnsi="Times New Roman"/>
          <w:color w:val="212121"/>
          <w:sz w:val="24"/>
          <w:szCs w:val="24"/>
        </w:rPr>
        <w:t xml:space="preserve">. </w:t>
      </w:r>
      <w:r w:rsidR="00D90954">
        <w:rPr>
          <w:rFonts w:ascii="Times New Roman" w:hAnsi="Times New Roman"/>
          <w:color w:val="212121"/>
          <w:sz w:val="24"/>
          <w:szCs w:val="24"/>
        </w:rPr>
        <w:t>Latino and African American c</w:t>
      </w:r>
      <w:r w:rsidRPr="004964F0">
        <w:rPr>
          <w:rFonts w:ascii="Times New Roman" w:hAnsi="Times New Roman"/>
          <w:color w:val="212121"/>
          <w:sz w:val="24"/>
          <w:szCs w:val="24"/>
        </w:rPr>
        <w:t xml:space="preserve">hildren are especially likely to live </w:t>
      </w:r>
      <w:r w:rsidR="00D90954">
        <w:rPr>
          <w:rFonts w:ascii="Times New Roman" w:hAnsi="Times New Roman"/>
          <w:color w:val="212121"/>
          <w:sz w:val="24"/>
          <w:szCs w:val="24"/>
        </w:rPr>
        <w:t>below the Federal Poverty Line</w:t>
      </w:r>
      <w:r w:rsidR="00B419BF">
        <w:rPr>
          <w:rFonts w:ascii="Times New Roman" w:hAnsi="Times New Roman"/>
          <w:color w:val="212121"/>
          <w:sz w:val="24"/>
          <w:szCs w:val="24"/>
        </w:rPr>
        <w:t xml:space="preserve">. </w:t>
      </w:r>
    </w:p>
    <w:p w:rsidR="004964F0" w:rsidRPr="004964F0" w:rsidRDefault="004964F0">
      <w:pPr>
        <w:pStyle w:val="PlainText"/>
        <w:rPr>
          <w:rFonts w:ascii="Times New Roman" w:hAnsi="Times New Roman"/>
          <w:color w:val="212121"/>
          <w:sz w:val="24"/>
          <w:szCs w:val="24"/>
        </w:rPr>
      </w:pPr>
    </w:p>
    <w:p w:rsidR="004964F0" w:rsidRPr="004964F0" w:rsidRDefault="004964F0">
      <w:pPr>
        <w:pStyle w:val="PlainText"/>
        <w:rPr>
          <w:rFonts w:ascii="Times New Roman" w:hAnsi="Times New Roman"/>
          <w:color w:val="212121"/>
          <w:sz w:val="24"/>
          <w:szCs w:val="24"/>
        </w:rPr>
      </w:pPr>
      <w:r w:rsidRPr="004964F0">
        <w:rPr>
          <w:rFonts w:ascii="Times New Roman" w:hAnsi="Times New Roman"/>
          <w:color w:val="212121"/>
          <w:sz w:val="24"/>
          <w:szCs w:val="24"/>
        </w:rPr>
        <w:t>Research demonstrates a lack of family income, especially during a child’s early years, has immediate and life-long consequences</w:t>
      </w:r>
      <w:r w:rsidR="00B419BF">
        <w:rPr>
          <w:rFonts w:ascii="Times New Roman" w:hAnsi="Times New Roman"/>
          <w:color w:val="212121"/>
          <w:sz w:val="24"/>
          <w:szCs w:val="24"/>
        </w:rPr>
        <w:t xml:space="preserve">. </w:t>
      </w:r>
      <w:r w:rsidRPr="004964F0">
        <w:rPr>
          <w:rFonts w:ascii="Times New Roman" w:hAnsi="Times New Roman"/>
          <w:color w:val="212121"/>
          <w:sz w:val="24"/>
          <w:szCs w:val="24"/>
        </w:rPr>
        <w:t>Children living in poverty are less likely to enter school ready to learn, perform at grade-level, graduate from high school or go to college</w:t>
      </w:r>
      <w:r w:rsidR="00B419BF">
        <w:rPr>
          <w:rFonts w:ascii="Times New Roman" w:hAnsi="Times New Roman"/>
          <w:color w:val="212121"/>
          <w:sz w:val="24"/>
          <w:szCs w:val="24"/>
        </w:rPr>
        <w:t xml:space="preserve">. </w:t>
      </w:r>
      <w:r w:rsidRPr="004964F0">
        <w:rPr>
          <w:rFonts w:ascii="Times New Roman" w:hAnsi="Times New Roman"/>
          <w:color w:val="212121"/>
          <w:sz w:val="24"/>
          <w:szCs w:val="24"/>
        </w:rPr>
        <w:t xml:space="preserve">As adults they are less likely to participate in the workforce and to achieve economic security for themselves and </w:t>
      </w:r>
      <w:r w:rsidRPr="004964F0">
        <w:rPr>
          <w:rFonts w:ascii="Times New Roman" w:hAnsi="Times New Roman"/>
          <w:i/>
          <w:iCs/>
          <w:color w:val="212121"/>
          <w:sz w:val="24"/>
          <w:szCs w:val="24"/>
        </w:rPr>
        <w:t>their</w:t>
      </w:r>
      <w:r w:rsidRPr="004964F0">
        <w:rPr>
          <w:rFonts w:ascii="Times New Roman" w:hAnsi="Times New Roman"/>
          <w:color w:val="212121"/>
          <w:sz w:val="24"/>
          <w:szCs w:val="24"/>
        </w:rPr>
        <w:t xml:space="preserve"> children. </w:t>
      </w:r>
    </w:p>
    <w:p w:rsidR="004964F0" w:rsidRDefault="004964F0" w:rsidP="008A3666">
      <w:pPr>
        <w:contextualSpacing/>
        <w:rPr>
          <w:color w:val="000000"/>
        </w:rPr>
      </w:pPr>
    </w:p>
    <w:p w:rsidR="004964F0" w:rsidRDefault="004964F0" w:rsidP="008A3666">
      <w:pPr>
        <w:contextualSpacing/>
        <w:rPr>
          <w:color w:val="000000"/>
        </w:rPr>
      </w:pPr>
      <w:r>
        <w:rPr>
          <w:color w:val="000000"/>
        </w:rPr>
        <w:t xml:space="preserve">DTA </w:t>
      </w:r>
      <w:r w:rsidR="00555C2D">
        <w:rPr>
          <w:color w:val="000000"/>
        </w:rPr>
        <w:t xml:space="preserve">continues to </w:t>
      </w:r>
      <w:r>
        <w:rPr>
          <w:color w:val="000000"/>
        </w:rPr>
        <w:t>focus its efforts on placing</w:t>
      </w:r>
      <w:r w:rsidR="00B249D5" w:rsidRPr="00F007D6">
        <w:rPr>
          <w:color w:val="000000"/>
        </w:rPr>
        <w:t xml:space="preserve"> a renewed emphasis on our employment program to focus on comprehensive and innovative ways to assist our clients moving towards financial </w:t>
      </w:r>
      <w:r w:rsidR="00B249D5" w:rsidRPr="00F007D6">
        <w:rPr>
          <w:color w:val="000000"/>
        </w:rPr>
        <w:lastRenderedPageBreak/>
        <w:t xml:space="preserve">independence and </w:t>
      </w:r>
      <w:r w:rsidR="00205F78">
        <w:rPr>
          <w:color w:val="000000"/>
        </w:rPr>
        <w:t xml:space="preserve">economic </w:t>
      </w:r>
      <w:r w:rsidR="00B249D5" w:rsidRPr="00F007D6">
        <w:rPr>
          <w:color w:val="000000"/>
        </w:rPr>
        <w:t xml:space="preserve">self-sufficiency. </w:t>
      </w:r>
      <w:r w:rsidR="00D90954">
        <w:rPr>
          <w:color w:val="000000"/>
        </w:rPr>
        <w:t>T</w:t>
      </w:r>
      <w:r w:rsidR="00B249D5" w:rsidRPr="00F007D6">
        <w:rPr>
          <w:color w:val="000000"/>
        </w:rPr>
        <w:t xml:space="preserve">he Pathway to Self-Sufficiency (PSS) program is generating the desired outcomes </w:t>
      </w:r>
      <w:r w:rsidR="00D90954">
        <w:rPr>
          <w:color w:val="000000"/>
        </w:rPr>
        <w:t>for DTA.</w:t>
      </w:r>
      <w:r w:rsidR="00B249D5" w:rsidRPr="00F007D6">
        <w:rPr>
          <w:color w:val="000000"/>
        </w:rPr>
        <w:t xml:space="preserve"> </w:t>
      </w:r>
      <w:r w:rsidR="00D90954">
        <w:rPr>
          <w:color w:val="000000"/>
        </w:rPr>
        <w:t xml:space="preserve"> Almost 28% of clients who </w:t>
      </w:r>
      <w:r w:rsidR="00982654">
        <w:rPr>
          <w:color w:val="000000"/>
        </w:rPr>
        <w:t xml:space="preserve">are PSS required have found work in the first 60 days of applying.  </w:t>
      </w:r>
      <w:r w:rsidR="00B249D5" w:rsidRPr="00F007D6">
        <w:rPr>
          <w:color w:val="000000"/>
        </w:rPr>
        <w:t>DTA’s</w:t>
      </w:r>
      <w:r>
        <w:rPr>
          <w:color w:val="000000"/>
        </w:rPr>
        <w:t xml:space="preserve"> front-line </w:t>
      </w:r>
      <w:r w:rsidR="00650BC4">
        <w:rPr>
          <w:color w:val="000000"/>
        </w:rPr>
        <w:t>staff has</w:t>
      </w:r>
      <w:r w:rsidR="00982654">
        <w:rPr>
          <w:color w:val="000000"/>
        </w:rPr>
        <w:t xml:space="preserve"> </w:t>
      </w:r>
      <w:r>
        <w:rPr>
          <w:color w:val="000000"/>
        </w:rPr>
        <w:t>express</w:t>
      </w:r>
      <w:r w:rsidR="00C6407C">
        <w:rPr>
          <w:color w:val="000000"/>
        </w:rPr>
        <w:t>e</w:t>
      </w:r>
      <w:r w:rsidR="00982654">
        <w:rPr>
          <w:color w:val="000000"/>
        </w:rPr>
        <w:t>d</w:t>
      </w:r>
      <w:r w:rsidR="00C6407C">
        <w:rPr>
          <w:color w:val="000000"/>
        </w:rPr>
        <w:t xml:space="preserve"> </w:t>
      </w:r>
      <w:r>
        <w:rPr>
          <w:color w:val="000000"/>
        </w:rPr>
        <w:t>pride in</w:t>
      </w:r>
      <w:r w:rsidR="00B249D5" w:rsidRPr="00F007D6">
        <w:rPr>
          <w:color w:val="000000"/>
        </w:rPr>
        <w:t xml:space="preserve"> this shift back to more meaningful client engagement. DTA is focused on reinforcing this program through enhanced avenues of staff input, comprehensive continuous improvement measures, and a revie</w:t>
      </w:r>
      <w:r>
        <w:rPr>
          <w:color w:val="000000"/>
        </w:rPr>
        <w:t>w of PSS-related client outcomes</w:t>
      </w:r>
      <w:r w:rsidR="00B419BF">
        <w:rPr>
          <w:color w:val="000000"/>
        </w:rPr>
        <w:t xml:space="preserve">. </w:t>
      </w:r>
    </w:p>
    <w:p w:rsidR="004964F0" w:rsidRDefault="004964F0" w:rsidP="008A3666">
      <w:pPr>
        <w:contextualSpacing/>
        <w:rPr>
          <w:color w:val="000000"/>
        </w:rPr>
      </w:pPr>
    </w:p>
    <w:p w:rsidR="00DA6873" w:rsidRPr="008A3666" w:rsidRDefault="00DA6873" w:rsidP="00DA6873">
      <w:pPr>
        <w:pStyle w:val="PlainText"/>
        <w:rPr>
          <w:rFonts w:ascii="Times New Roman" w:hAnsi="Times New Roman"/>
          <w:sz w:val="24"/>
          <w:szCs w:val="24"/>
        </w:rPr>
      </w:pPr>
      <w:r w:rsidRPr="008A3666">
        <w:rPr>
          <w:rFonts w:ascii="Times New Roman" w:hAnsi="Times New Roman"/>
          <w:sz w:val="24"/>
          <w:szCs w:val="24"/>
        </w:rPr>
        <w:t xml:space="preserve">DTA is </w:t>
      </w:r>
      <w:r w:rsidR="007D317B">
        <w:rPr>
          <w:rFonts w:ascii="Times New Roman" w:hAnsi="Times New Roman"/>
          <w:sz w:val="24"/>
          <w:szCs w:val="24"/>
        </w:rPr>
        <w:t>also focused</w:t>
      </w:r>
      <w:r w:rsidR="007D317B" w:rsidRPr="008A3666">
        <w:rPr>
          <w:rFonts w:ascii="Times New Roman" w:hAnsi="Times New Roman"/>
          <w:sz w:val="24"/>
          <w:szCs w:val="24"/>
        </w:rPr>
        <w:t xml:space="preserve"> </w:t>
      </w:r>
      <w:r w:rsidRPr="008A3666">
        <w:rPr>
          <w:rFonts w:ascii="Times New Roman" w:hAnsi="Times New Roman"/>
          <w:sz w:val="24"/>
          <w:szCs w:val="24"/>
        </w:rPr>
        <w:t xml:space="preserve">on creating opportunities for and addressing the needs of both parents and children together through a two-generation approach to increasing economic security for families.  Research has documented the impact of a parent’s education, economic stability and overall health on a child’s trajectory.  Similarly, children’s education and healthy development are powerful catalysts for parents.  Our own research has revealed that more than half of young parents receiving TAFDC today were also members of a household receiving assistance when they were a child.  This is not a legacy we want another parent to pass down to their child, and so we are embracing a two-generation approach that helps both generations make progress together and provides interventions that can break the cycle of multi-generation poverty. </w:t>
      </w:r>
    </w:p>
    <w:p w:rsidR="00DA6873" w:rsidRDefault="00DA6873" w:rsidP="00D90954">
      <w:pPr>
        <w:rPr>
          <w:color w:val="000000"/>
        </w:rPr>
      </w:pPr>
    </w:p>
    <w:p w:rsidR="004964F0" w:rsidRPr="004964F0" w:rsidRDefault="007D317B" w:rsidP="00D90954">
      <w:r>
        <w:rPr>
          <w:color w:val="000000"/>
        </w:rPr>
        <w:t xml:space="preserve">Finally, </w:t>
      </w:r>
      <w:r w:rsidR="00C6407C">
        <w:rPr>
          <w:color w:val="000000"/>
        </w:rPr>
        <w:t xml:space="preserve">DTA is an essential </w:t>
      </w:r>
      <w:r w:rsidR="004964F0" w:rsidRPr="004964F0">
        <w:rPr>
          <w:color w:val="000000"/>
        </w:rPr>
        <w:t xml:space="preserve">partner in the state’s efforts to implement the </w:t>
      </w:r>
      <w:r w:rsidR="004964F0" w:rsidRPr="004964F0">
        <w:t>Workforce Innovation and Opportunity Act (</w:t>
      </w:r>
      <w:r w:rsidR="004964F0" w:rsidRPr="00650BC4">
        <w:t>WIOA</w:t>
      </w:r>
      <w:r w:rsidR="008E7DDE" w:rsidRPr="00650BC4">
        <w:t>)</w:t>
      </w:r>
      <w:r w:rsidR="004964F0" w:rsidRPr="00650BC4">
        <w:t>. WIOA</w:t>
      </w:r>
      <w:r w:rsidR="004964F0" w:rsidRPr="004964F0">
        <w:t xml:space="preserve"> seeks to integrate the states’ workforce systems to better serve employers and jobseekers</w:t>
      </w:r>
      <w:r w:rsidR="00B419BF">
        <w:t xml:space="preserve">. </w:t>
      </w:r>
      <w:r w:rsidR="004964F0" w:rsidRPr="004964F0">
        <w:t xml:space="preserve">WIOA reauthorized the nation’s employment, training, adult education and vocational rehabilitation programs for the first time in 16 years. The new law is substantially different from its predecessor, the Workforce Investment Act (WIA), in its emphasis on targeting low-income adults and youth with limited training and skills to help them overcome barriers to economic success, as well as individuals with disabilities. </w:t>
      </w:r>
    </w:p>
    <w:p w:rsidR="004964F0" w:rsidRPr="00AF29BD" w:rsidRDefault="004964F0">
      <w:pPr>
        <w:rPr>
          <w:sz w:val="20"/>
          <w:szCs w:val="20"/>
        </w:rPr>
      </w:pPr>
    </w:p>
    <w:p w:rsidR="004964F0" w:rsidRPr="004964F0" w:rsidRDefault="004964F0">
      <w:r w:rsidRPr="004964F0">
        <w:t>Since the passage of WIOA, DTA has work</w:t>
      </w:r>
      <w:r w:rsidR="00982654">
        <w:t>ed</w:t>
      </w:r>
      <w:r w:rsidRPr="004964F0">
        <w:t xml:space="preserve"> closely with EOLWD to implement </w:t>
      </w:r>
      <w:r w:rsidR="00982654">
        <w:t>the</w:t>
      </w:r>
      <w:r w:rsidRPr="004964F0">
        <w:t xml:space="preserve"> closely integrated system of workforce development for DTA clients and others with significant barriers to work. </w:t>
      </w:r>
    </w:p>
    <w:p w:rsidR="004964F0" w:rsidRPr="004964F0" w:rsidRDefault="004964F0"/>
    <w:p w:rsidR="004964F0" w:rsidRPr="004964F0" w:rsidRDefault="004964F0">
      <w:r w:rsidRPr="004964F0">
        <w:t>The aim of this collaboration is to:</w:t>
      </w:r>
    </w:p>
    <w:p w:rsidR="004964F0" w:rsidRPr="004964F0" w:rsidRDefault="004964F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4964F0">
        <w:t>develop  meaningful pathway</w:t>
      </w:r>
      <w:r w:rsidR="00650BC4">
        <w:t>s</w:t>
      </w:r>
      <w:r w:rsidRPr="004964F0">
        <w:t xml:space="preserve"> to work and economic self-sufficiency for low-income, disabled and chronically un/underempl</w:t>
      </w:r>
      <w:r w:rsidR="00205F78">
        <w:t xml:space="preserve">oyed individuals/families; and </w:t>
      </w:r>
    </w:p>
    <w:p w:rsidR="004964F0" w:rsidRPr="004964F0" w:rsidRDefault="004964F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pPr>
      <w:proofErr w:type="gramStart"/>
      <w:r w:rsidRPr="004964F0">
        <w:t>ensure</w:t>
      </w:r>
      <w:proofErr w:type="gramEnd"/>
      <w:r w:rsidRPr="004964F0">
        <w:t xml:space="preserve"> DTA individuals and families with significant barriers can access the workforce system with the support needed to attain and sustain employment.</w:t>
      </w:r>
    </w:p>
    <w:p w:rsidR="00B249D5" w:rsidRPr="004964F0" w:rsidRDefault="004964F0" w:rsidP="008A3666">
      <w:pPr>
        <w:contextualSpacing/>
        <w:rPr>
          <w:color w:val="000000"/>
        </w:rPr>
      </w:pPr>
      <w:r w:rsidRPr="004964F0">
        <w:rPr>
          <w:color w:val="000000"/>
        </w:rPr>
        <w:t xml:space="preserve">We </w:t>
      </w:r>
      <w:r w:rsidR="00982654">
        <w:rPr>
          <w:color w:val="000000"/>
        </w:rPr>
        <w:t>are pleased with</w:t>
      </w:r>
      <w:r w:rsidRPr="004964F0">
        <w:rPr>
          <w:color w:val="000000"/>
        </w:rPr>
        <w:t xml:space="preserve"> the progress of our Pathways to Self Sufficiency Program and our collaborative work with partners in workforce development to secure better economic futures for DTA clients and their children</w:t>
      </w:r>
      <w:r w:rsidR="00B419BF">
        <w:rPr>
          <w:color w:val="000000"/>
        </w:rPr>
        <w:t xml:space="preserve">. </w:t>
      </w:r>
    </w:p>
    <w:p w:rsidR="009E175D" w:rsidRPr="00C61F2A" w:rsidRDefault="009E175D" w:rsidP="009E17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p>
    <w:p w:rsidR="00C61F2A" w:rsidRPr="00282378" w:rsidRDefault="00C61F2A" w:rsidP="00744493">
      <w:pPr>
        <w:pStyle w:val="Body"/>
        <w:numPr>
          <w:ilvl w:val="0"/>
          <w:numId w:val="11"/>
        </w:numPr>
        <w:spacing w:after="0" w:line="240" w:lineRule="auto"/>
        <w:rPr>
          <w:rFonts w:ascii="Times New Roman" w:hAnsi="Times New Roman" w:cs="Times New Roman"/>
          <w:b/>
          <w:bCs/>
          <w:smallCaps/>
          <w:sz w:val="24"/>
          <w:szCs w:val="24"/>
        </w:rPr>
      </w:pPr>
      <w:r w:rsidRPr="00282378">
        <w:rPr>
          <w:rFonts w:ascii="Times New Roman" w:hAnsi="Times New Roman" w:cs="Times New Roman"/>
          <w:b/>
          <w:bCs/>
          <w:smallCaps/>
          <w:sz w:val="24"/>
          <w:szCs w:val="24"/>
        </w:rPr>
        <w:t>Transitional Aid to Families with Dependent Children (TAFDC)</w:t>
      </w:r>
    </w:p>
    <w:p w:rsidR="00C61F2A" w:rsidRDefault="00C61F2A" w:rsidP="00462781">
      <w:pPr>
        <w:pBdr>
          <w:top w:val="none" w:sz="0" w:space="0" w:color="auto"/>
          <w:left w:val="none" w:sz="0" w:space="0" w:color="auto"/>
          <w:bottom w:val="none" w:sz="0" w:space="0" w:color="auto"/>
          <w:right w:val="none" w:sz="0" w:space="0" w:color="auto"/>
          <w:between w:val="none" w:sz="0" w:space="0" w:color="auto"/>
          <w:bar w:val="none" w:sz="0" w:color="auto"/>
        </w:pBdr>
      </w:pPr>
    </w:p>
    <w:p w:rsidR="00881CB7" w:rsidRPr="00C61F2A" w:rsidRDefault="00DB1B34" w:rsidP="00881CB7">
      <w:pPr>
        <w:pBdr>
          <w:top w:val="none" w:sz="0" w:space="0" w:color="auto"/>
          <w:left w:val="none" w:sz="0" w:space="0" w:color="auto"/>
          <w:bottom w:val="none" w:sz="0" w:space="0" w:color="auto"/>
          <w:right w:val="none" w:sz="0" w:space="0" w:color="auto"/>
          <w:between w:val="none" w:sz="0" w:space="0" w:color="auto"/>
          <w:bar w:val="none" w:sz="0" w:color="auto"/>
        </w:pBdr>
      </w:pPr>
      <w:r w:rsidRPr="00C61F2A">
        <w:t xml:space="preserve">TAFDC is a state and federally-funded program that provides cash assistance to families with children, and pregnant women, with little or no </w:t>
      </w:r>
      <w:r w:rsidR="00881CB7">
        <w:t>income</w:t>
      </w:r>
      <w:r w:rsidR="00881CB7" w:rsidRPr="00C61F2A">
        <w:t xml:space="preserve"> </w:t>
      </w:r>
      <w:r w:rsidRPr="00C61F2A">
        <w:t xml:space="preserve">or </w:t>
      </w:r>
      <w:r w:rsidR="00881CB7">
        <w:t>assets</w:t>
      </w:r>
      <w:r w:rsidRPr="00C61F2A">
        <w:t xml:space="preserve">. TAFDC is operated under the federal Temporary Assistance for Needy Families (TANF) block grant. </w:t>
      </w:r>
      <w:r w:rsidR="00881CB7" w:rsidRPr="00C61F2A">
        <w:t xml:space="preserve">As a part of TAFDC, participants may be required to perform a work-related activity as a condition of eligibility. </w:t>
      </w:r>
    </w:p>
    <w:p w:rsidR="00E33F9E" w:rsidRDefault="00E33F9E" w:rsidP="00D90954">
      <w:pPr>
        <w:pBdr>
          <w:top w:val="none" w:sz="0" w:space="0" w:color="auto"/>
          <w:left w:val="none" w:sz="0" w:space="0" w:color="auto"/>
          <w:bottom w:val="none" w:sz="0" w:space="0" w:color="auto"/>
          <w:right w:val="none" w:sz="0" w:space="0" w:color="auto"/>
          <w:between w:val="none" w:sz="0" w:space="0" w:color="auto"/>
          <w:bar w:val="none" w:sz="0" w:color="auto"/>
        </w:pBdr>
      </w:pPr>
    </w:p>
    <w:p w:rsidR="00E33F9E" w:rsidRDefault="00DB1B34" w:rsidP="00E33F9E">
      <w:pPr>
        <w:pBdr>
          <w:top w:val="none" w:sz="0" w:space="0" w:color="auto"/>
          <w:left w:val="none" w:sz="0" w:space="0" w:color="auto"/>
          <w:bottom w:val="none" w:sz="0" w:space="0" w:color="auto"/>
          <w:right w:val="none" w:sz="0" w:space="0" w:color="auto"/>
          <w:between w:val="none" w:sz="0" w:space="0" w:color="auto"/>
          <w:bar w:val="none" w:sz="0" w:color="auto"/>
        </w:pBdr>
      </w:pPr>
      <w:r w:rsidRPr="00C61F2A">
        <w:lastRenderedPageBreak/>
        <w:t xml:space="preserve">Participants receive child care and transportation support associated with </w:t>
      </w:r>
      <w:r w:rsidR="00881CB7">
        <w:t>these work-related activities</w:t>
      </w:r>
      <w:r w:rsidRPr="00C61F2A">
        <w:t xml:space="preserve">, and can access a number of supportive referrals. </w:t>
      </w:r>
      <w:r w:rsidR="00E33F9E">
        <w:t>However, m</w:t>
      </w:r>
      <w:r w:rsidR="00E33F9E" w:rsidRPr="00C61F2A">
        <w:t>any if not all individuals receiving TAFDC</w:t>
      </w:r>
      <w:r w:rsidR="00E33F9E">
        <w:t>,</w:t>
      </w:r>
      <w:r w:rsidR="00E33F9E" w:rsidRPr="00C61F2A">
        <w:t xml:space="preserve"> </w:t>
      </w:r>
      <w:r w:rsidR="00E33F9E">
        <w:t>face challenges to employment and long term economic self-sufficiency. Our Pathways to Self Sufficiency assessment found that these challenges include: need for</w:t>
      </w:r>
      <w:r w:rsidR="00E33F9E" w:rsidRPr="00C61F2A">
        <w:t xml:space="preserve"> </w:t>
      </w:r>
      <w:r w:rsidR="00E33F9E">
        <w:t>skills</w:t>
      </w:r>
      <w:r w:rsidR="00E33F9E" w:rsidRPr="00C61F2A">
        <w:t xml:space="preserve"> training, </w:t>
      </w:r>
      <w:r w:rsidR="00E33F9E">
        <w:t>lack of work experience</w:t>
      </w:r>
      <w:r w:rsidR="00E33F9E" w:rsidRPr="00C61F2A">
        <w:t>,</w:t>
      </w:r>
      <w:r w:rsidR="00E33F9E">
        <w:t xml:space="preserve"> homelessness, limited literacy/math skills, health issues,</w:t>
      </w:r>
      <w:r w:rsidR="00E33F9E" w:rsidRPr="00C61F2A">
        <w:t xml:space="preserve"> </w:t>
      </w:r>
      <w:r w:rsidR="00E33F9E">
        <w:t>child care or transportation</w:t>
      </w:r>
      <w:r w:rsidR="00E33F9E" w:rsidRPr="00C61F2A">
        <w:t xml:space="preserve">. </w:t>
      </w:r>
    </w:p>
    <w:p w:rsidR="00DB1B34" w:rsidRPr="00C61F2A" w:rsidRDefault="00DB1B34" w:rsidP="00D90954">
      <w:pPr>
        <w:pBdr>
          <w:top w:val="none" w:sz="0" w:space="0" w:color="auto"/>
          <w:left w:val="none" w:sz="0" w:space="0" w:color="auto"/>
          <w:bottom w:val="none" w:sz="0" w:space="0" w:color="auto"/>
          <w:right w:val="none" w:sz="0" w:space="0" w:color="auto"/>
          <w:between w:val="none" w:sz="0" w:space="0" w:color="auto"/>
          <w:bar w:val="none" w:sz="0" w:color="auto"/>
        </w:pBdr>
      </w:pPr>
    </w:p>
    <w:p w:rsidR="00E33F9E" w:rsidRDefault="00E33F9E">
      <w:pPr>
        <w:pBdr>
          <w:top w:val="none" w:sz="0" w:space="0" w:color="auto"/>
          <w:left w:val="none" w:sz="0" w:space="0" w:color="auto"/>
          <w:bottom w:val="none" w:sz="0" w:space="0" w:color="auto"/>
          <w:right w:val="none" w:sz="0" w:space="0" w:color="auto"/>
          <w:between w:val="none" w:sz="0" w:space="0" w:color="auto"/>
          <w:bar w:val="none" w:sz="0" w:color="auto"/>
        </w:pBdr>
      </w:pPr>
      <w:r w:rsidRPr="00D4299F">
        <w:rPr>
          <w:rFonts w:cs="Arial"/>
        </w:rPr>
        <w:t>DTA’s Employment Services Program (ESP) is an integral part of the DTA’s efforts to help TAFDC clients work and move to self-sufficiency.  Case managers assist TAFDC clients to meet their work program requirements primarily by referring them to appropriate activities for their skill level and goals, often through community-based training providers or one stop career centers.  ESP providers assist TAFDC clients in finding jobs, resolving barriers to employment and providing a means to gain a pathway to self-sufficiency.   In FY17, DTA was able to fund employment related activities/slots for approximately 3,900 clients.</w:t>
      </w:r>
    </w:p>
    <w:p w:rsidR="00E33F9E" w:rsidRPr="00C61F2A" w:rsidRDefault="00E33F9E">
      <w:pPr>
        <w:pBdr>
          <w:top w:val="none" w:sz="0" w:space="0" w:color="auto"/>
          <w:left w:val="none" w:sz="0" w:space="0" w:color="auto"/>
          <w:bottom w:val="none" w:sz="0" w:space="0" w:color="auto"/>
          <w:right w:val="none" w:sz="0" w:space="0" w:color="auto"/>
          <w:between w:val="none" w:sz="0" w:space="0" w:color="auto"/>
          <w:bar w:val="none" w:sz="0" w:color="auto"/>
        </w:pBdr>
      </w:pPr>
    </w:p>
    <w:p w:rsidR="001349C5" w:rsidRPr="00282378" w:rsidRDefault="001349C5" w:rsidP="00744493">
      <w:pPr>
        <w:pStyle w:val="Body"/>
        <w:numPr>
          <w:ilvl w:val="0"/>
          <w:numId w:val="11"/>
        </w:numPr>
        <w:spacing w:after="0" w:line="240" w:lineRule="auto"/>
        <w:rPr>
          <w:rFonts w:ascii="Times New Roman" w:hAnsi="Times New Roman" w:cs="Times New Roman"/>
          <w:b/>
          <w:bCs/>
          <w:smallCaps/>
          <w:sz w:val="24"/>
          <w:szCs w:val="24"/>
        </w:rPr>
      </w:pPr>
      <w:r w:rsidRPr="00282378">
        <w:rPr>
          <w:rFonts w:ascii="Times New Roman" w:hAnsi="Times New Roman" w:cs="Times New Roman"/>
          <w:b/>
          <w:bCs/>
          <w:smallCaps/>
          <w:sz w:val="24"/>
          <w:szCs w:val="24"/>
        </w:rPr>
        <w:t>Transitional Aid to Families with Dependent Children Caseload</w:t>
      </w:r>
      <w:r w:rsidR="009E7A6E" w:rsidRPr="00282378">
        <w:rPr>
          <w:rFonts w:ascii="Times New Roman" w:hAnsi="Times New Roman" w:cs="Times New Roman"/>
          <w:b/>
          <w:bCs/>
          <w:smallCaps/>
          <w:sz w:val="24"/>
          <w:szCs w:val="24"/>
        </w:rPr>
        <w:t xml:space="preserve"> </w:t>
      </w:r>
    </w:p>
    <w:p w:rsidR="009E7A6E" w:rsidRDefault="009E7A6E" w:rsidP="00C61F2A">
      <w:pPr>
        <w:pBdr>
          <w:top w:val="none" w:sz="0" w:space="0" w:color="auto"/>
          <w:left w:val="none" w:sz="0" w:space="0" w:color="auto"/>
          <w:bottom w:val="none" w:sz="0" w:space="0" w:color="auto"/>
          <w:right w:val="none" w:sz="0" w:space="0" w:color="auto"/>
          <w:between w:val="none" w:sz="0" w:space="0" w:color="auto"/>
          <w:bar w:val="none" w:sz="0" w:color="auto"/>
        </w:pBdr>
        <w:jc w:val="both"/>
      </w:pPr>
    </w:p>
    <w:p w:rsidR="001349C5" w:rsidRDefault="009E7A6E" w:rsidP="00D67CAF">
      <w:pPr>
        <w:pBdr>
          <w:top w:val="none" w:sz="0" w:space="0" w:color="auto"/>
          <w:left w:val="none" w:sz="0" w:space="0" w:color="auto"/>
          <w:bottom w:val="none" w:sz="0" w:space="0" w:color="auto"/>
          <w:right w:val="none" w:sz="0" w:space="0" w:color="auto"/>
          <w:between w:val="none" w:sz="0" w:space="0" w:color="auto"/>
          <w:bar w:val="none" w:sz="0" w:color="auto"/>
        </w:pBdr>
      </w:pPr>
      <w:r>
        <w:t>Of the t</w:t>
      </w:r>
      <w:r w:rsidR="001349C5" w:rsidRPr="00C61F2A">
        <w:t>otal</w:t>
      </w:r>
      <w:r>
        <w:t xml:space="preserve"> TAFDC</w:t>
      </w:r>
      <w:r w:rsidR="001349C5" w:rsidRPr="00C61F2A">
        <w:t xml:space="preserve"> caseload</w:t>
      </w:r>
      <w:r>
        <w:t xml:space="preserve"> of </w:t>
      </w:r>
      <w:r w:rsidR="00D043E2">
        <w:t>27,625</w:t>
      </w:r>
      <w:r w:rsidR="00FC0F9F">
        <w:rPr>
          <w:rStyle w:val="FootnoteReference"/>
        </w:rPr>
        <w:footnoteReference w:id="2"/>
      </w:r>
      <w:r>
        <w:t xml:space="preserve">, those clients who have a work program requirement total: </w:t>
      </w:r>
      <w:r w:rsidR="00D043E2">
        <w:t>7,164</w:t>
      </w:r>
      <w:r w:rsidR="00B419BF">
        <w:t xml:space="preserve">. </w:t>
      </w:r>
      <w:r w:rsidR="00D67CAF">
        <w:t>That leaves the remainder of the caseload (</w:t>
      </w:r>
      <w:r w:rsidR="00653FDE">
        <w:t>20</w:t>
      </w:r>
      <w:r w:rsidR="00D67CAF">
        <w:t>,</w:t>
      </w:r>
      <w:r w:rsidR="00653FDE">
        <w:t xml:space="preserve">461 </w:t>
      </w:r>
      <w:r w:rsidR="00D67CAF">
        <w:t>clients) exempt from the work program requirement</w:t>
      </w:r>
      <w:r w:rsidR="00B419BF">
        <w:t xml:space="preserve">. </w:t>
      </w:r>
      <w:r w:rsidR="00D67CAF">
        <w:t xml:space="preserve">On average, </w:t>
      </w:r>
      <w:r w:rsidR="00C3309A">
        <w:t xml:space="preserve">DTA </w:t>
      </w:r>
      <w:r w:rsidR="00D67CAF">
        <w:t>clients remain on TAFDC for 36 months.</w:t>
      </w:r>
    </w:p>
    <w:p w:rsidR="00B33E00" w:rsidRDefault="00B33E00" w:rsidP="00D67CAF">
      <w:pPr>
        <w:pBdr>
          <w:top w:val="none" w:sz="0" w:space="0" w:color="auto"/>
          <w:left w:val="none" w:sz="0" w:space="0" w:color="auto"/>
          <w:bottom w:val="none" w:sz="0" w:space="0" w:color="auto"/>
          <w:right w:val="none" w:sz="0" w:space="0" w:color="auto"/>
          <w:between w:val="none" w:sz="0" w:space="0" w:color="auto"/>
          <w:bar w:val="none" w:sz="0" w:color="auto"/>
        </w:pBdr>
      </w:pPr>
    </w:p>
    <w:p w:rsidR="00B33E00" w:rsidRDefault="00B33E00" w:rsidP="00D67CAF">
      <w:pPr>
        <w:pBdr>
          <w:top w:val="none" w:sz="0" w:space="0" w:color="auto"/>
          <w:left w:val="none" w:sz="0" w:space="0" w:color="auto"/>
          <w:bottom w:val="none" w:sz="0" w:space="0" w:color="auto"/>
          <w:right w:val="none" w:sz="0" w:space="0" w:color="auto"/>
          <w:between w:val="none" w:sz="0" w:space="0" w:color="auto"/>
          <w:bar w:val="none" w:sz="0" w:color="auto"/>
        </w:pBdr>
      </w:pPr>
      <w:r>
        <w:t>Grant levels have remained unchanged since 2000:</w:t>
      </w:r>
    </w:p>
    <w:p w:rsidR="00B33E00" w:rsidRDefault="00B33E00" w:rsidP="00D67CAF">
      <w:pPr>
        <w:pBdr>
          <w:top w:val="none" w:sz="0" w:space="0" w:color="auto"/>
          <w:left w:val="none" w:sz="0" w:space="0" w:color="auto"/>
          <w:bottom w:val="none" w:sz="0" w:space="0" w:color="auto"/>
          <w:right w:val="none" w:sz="0" w:space="0" w:color="auto"/>
          <w:between w:val="none" w:sz="0" w:space="0" w:color="auto"/>
          <w:bar w:val="none" w:sz="0" w:color="auto"/>
        </w:pBdr>
      </w:pPr>
    </w:p>
    <w:tbl>
      <w:tblPr>
        <w:tblW w:w="9743" w:type="dxa"/>
        <w:tblInd w:w="103" w:type="dxa"/>
        <w:tblLook w:val="04A0" w:firstRow="1" w:lastRow="0" w:firstColumn="1" w:lastColumn="0" w:noHBand="0" w:noVBand="1"/>
      </w:tblPr>
      <w:tblGrid>
        <w:gridCol w:w="1806"/>
        <w:gridCol w:w="1709"/>
        <w:gridCol w:w="2076"/>
        <w:gridCol w:w="2076"/>
        <w:gridCol w:w="2076"/>
      </w:tblGrid>
      <w:tr w:rsidR="00457011" w:rsidRPr="002470AC" w:rsidTr="00367743">
        <w:trPr>
          <w:trHeight w:val="300"/>
        </w:trPr>
        <w:tc>
          <w:tcPr>
            <w:tcW w:w="6175" w:type="dxa"/>
            <w:gridSpan w:val="5"/>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457011" w:rsidRPr="002470AC" w:rsidRDefault="00457011" w:rsidP="00367743">
            <w:pPr>
              <w:jc w:val="center"/>
              <w:rPr>
                <w:rFonts w:ascii="Calibri" w:hAnsi="Calibri"/>
                <w:bCs/>
                <w:color w:val="000000"/>
                <w:sz w:val="22"/>
                <w:szCs w:val="22"/>
              </w:rPr>
            </w:pPr>
            <w:r w:rsidRPr="005F0BED">
              <w:rPr>
                <w:smallCaps/>
                <w:color w:val="404040" w:themeColor="text1" w:themeTint="BF"/>
              </w:rPr>
              <w:t>Current Payment Standard Matrix</w:t>
            </w:r>
          </w:p>
        </w:tc>
      </w:tr>
      <w:tr w:rsidR="00457011" w:rsidRPr="00824F02" w:rsidTr="00367743">
        <w:trPr>
          <w:trHeight w:val="900"/>
        </w:trPr>
        <w:tc>
          <w:tcPr>
            <w:tcW w:w="1144" w:type="dxa"/>
            <w:tcBorders>
              <w:top w:val="nil"/>
              <w:left w:val="single" w:sz="4" w:space="0" w:color="auto"/>
              <w:bottom w:val="single" w:sz="4" w:space="0" w:color="auto"/>
              <w:right w:val="nil"/>
            </w:tcBorders>
            <w:shd w:val="clear" w:color="000000" w:fill="D9D9D9"/>
            <w:vAlign w:val="center"/>
            <w:hideMark/>
          </w:tcPr>
          <w:p w:rsidR="00457011" w:rsidRPr="00824F02" w:rsidRDefault="00457011" w:rsidP="00367743">
            <w:pPr>
              <w:jc w:val="center"/>
              <w:rPr>
                <w:color w:val="000000"/>
                <w:sz w:val="20"/>
                <w:szCs w:val="20"/>
              </w:rPr>
            </w:pPr>
            <w:r w:rsidRPr="00824F02">
              <w:rPr>
                <w:color w:val="000000"/>
                <w:sz w:val="20"/>
                <w:szCs w:val="20"/>
              </w:rPr>
              <w:t>Assistance Unit Size</w:t>
            </w:r>
          </w:p>
        </w:tc>
        <w:tc>
          <w:tcPr>
            <w:tcW w:w="1083" w:type="dxa"/>
            <w:tcBorders>
              <w:top w:val="nil"/>
              <w:left w:val="nil"/>
              <w:bottom w:val="single" w:sz="4" w:space="0" w:color="auto"/>
              <w:right w:val="nil"/>
            </w:tcBorders>
            <w:shd w:val="clear" w:color="000000" w:fill="D9D9D9"/>
            <w:vAlign w:val="center"/>
            <w:hideMark/>
          </w:tcPr>
          <w:p w:rsidR="00457011" w:rsidRPr="00824F02" w:rsidRDefault="00457011" w:rsidP="00367743">
            <w:pPr>
              <w:jc w:val="center"/>
              <w:rPr>
                <w:color w:val="000000"/>
                <w:sz w:val="20"/>
                <w:szCs w:val="20"/>
              </w:rPr>
            </w:pPr>
            <w:r w:rsidRPr="00824F02">
              <w:rPr>
                <w:color w:val="000000"/>
                <w:sz w:val="20"/>
                <w:szCs w:val="20"/>
              </w:rPr>
              <w:t xml:space="preserve">Exempt, </w:t>
            </w:r>
            <w:r w:rsidRPr="00824F02">
              <w:rPr>
                <w:color w:val="000000"/>
                <w:sz w:val="20"/>
                <w:szCs w:val="20"/>
              </w:rPr>
              <w:br/>
              <w:t>No Rent Allowance</w:t>
            </w:r>
          </w:p>
        </w:tc>
        <w:tc>
          <w:tcPr>
            <w:tcW w:w="1316" w:type="dxa"/>
            <w:tcBorders>
              <w:top w:val="nil"/>
              <w:left w:val="nil"/>
              <w:bottom w:val="single" w:sz="4" w:space="0" w:color="auto"/>
              <w:right w:val="nil"/>
            </w:tcBorders>
            <w:shd w:val="clear" w:color="000000" w:fill="D9D9D9"/>
            <w:vAlign w:val="center"/>
            <w:hideMark/>
          </w:tcPr>
          <w:p w:rsidR="00457011" w:rsidRPr="00824F02" w:rsidRDefault="00457011" w:rsidP="00367743">
            <w:pPr>
              <w:jc w:val="center"/>
              <w:rPr>
                <w:color w:val="000000"/>
                <w:sz w:val="20"/>
                <w:szCs w:val="20"/>
              </w:rPr>
            </w:pPr>
            <w:r w:rsidRPr="00824F02">
              <w:rPr>
                <w:color w:val="000000"/>
                <w:sz w:val="20"/>
                <w:szCs w:val="20"/>
              </w:rPr>
              <w:t xml:space="preserve">Exempt, </w:t>
            </w:r>
            <w:r w:rsidRPr="00824F02">
              <w:rPr>
                <w:color w:val="000000"/>
                <w:sz w:val="20"/>
                <w:szCs w:val="20"/>
              </w:rPr>
              <w:br/>
              <w:t>With Rent Allowance</w:t>
            </w:r>
          </w:p>
        </w:tc>
        <w:tc>
          <w:tcPr>
            <w:tcW w:w="1316" w:type="dxa"/>
            <w:tcBorders>
              <w:top w:val="nil"/>
              <w:left w:val="nil"/>
              <w:bottom w:val="single" w:sz="4" w:space="0" w:color="auto"/>
              <w:right w:val="nil"/>
            </w:tcBorders>
            <w:shd w:val="clear" w:color="000000" w:fill="D9D9D9"/>
            <w:vAlign w:val="center"/>
            <w:hideMark/>
          </w:tcPr>
          <w:p w:rsidR="00457011" w:rsidRPr="00824F02" w:rsidRDefault="00457011" w:rsidP="00367743">
            <w:pPr>
              <w:jc w:val="center"/>
              <w:rPr>
                <w:color w:val="000000"/>
                <w:sz w:val="20"/>
                <w:szCs w:val="20"/>
              </w:rPr>
            </w:pPr>
            <w:r w:rsidRPr="00824F02">
              <w:rPr>
                <w:color w:val="000000"/>
                <w:sz w:val="20"/>
                <w:szCs w:val="20"/>
              </w:rPr>
              <w:t>Non-Exempt, No Rent Allowance</w:t>
            </w:r>
          </w:p>
        </w:tc>
        <w:tc>
          <w:tcPr>
            <w:tcW w:w="1316" w:type="dxa"/>
            <w:tcBorders>
              <w:top w:val="nil"/>
              <w:left w:val="nil"/>
              <w:bottom w:val="single" w:sz="4" w:space="0" w:color="auto"/>
              <w:right w:val="single" w:sz="4" w:space="0" w:color="auto"/>
            </w:tcBorders>
            <w:shd w:val="clear" w:color="000000" w:fill="D9D9D9"/>
            <w:vAlign w:val="center"/>
            <w:hideMark/>
          </w:tcPr>
          <w:p w:rsidR="00457011" w:rsidRPr="00824F02" w:rsidRDefault="00457011" w:rsidP="00367743">
            <w:pPr>
              <w:jc w:val="center"/>
              <w:rPr>
                <w:color w:val="000000"/>
                <w:sz w:val="20"/>
                <w:szCs w:val="20"/>
              </w:rPr>
            </w:pPr>
            <w:r w:rsidRPr="00824F02">
              <w:rPr>
                <w:color w:val="000000"/>
                <w:sz w:val="20"/>
                <w:szCs w:val="20"/>
              </w:rPr>
              <w:t>Non-Exempt, With Rent Allowance</w:t>
            </w:r>
          </w:p>
        </w:tc>
      </w:tr>
      <w:tr w:rsidR="00457011" w:rsidRPr="00824F02" w:rsidTr="00367743">
        <w:trPr>
          <w:trHeight w:val="300"/>
        </w:trPr>
        <w:tc>
          <w:tcPr>
            <w:tcW w:w="1144" w:type="dxa"/>
            <w:tcBorders>
              <w:top w:val="nil"/>
              <w:left w:val="single" w:sz="4" w:space="0" w:color="auto"/>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w:t>
            </w:r>
          </w:p>
        </w:tc>
        <w:tc>
          <w:tcPr>
            <w:tcW w:w="1083"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$388</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$428</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$378</w:t>
            </w:r>
          </w:p>
        </w:tc>
        <w:tc>
          <w:tcPr>
            <w:tcW w:w="1316" w:type="dxa"/>
            <w:tcBorders>
              <w:top w:val="nil"/>
              <w:left w:val="nil"/>
              <w:bottom w:val="nil"/>
              <w:right w:val="single" w:sz="4" w:space="0" w:color="auto"/>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$418</w:t>
            </w:r>
          </w:p>
        </w:tc>
      </w:tr>
      <w:tr w:rsidR="00457011" w:rsidRPr="00824F02" w:rsidTr="00367743">
        <w:trPr>
          <w:trHeight w:val="300"/>
        </w:trPr>
        <w:tc>
          <w:tcPr>
            <w:tcW w:w="1144" w:type="dxa"/>
            <w:tcBorders>
              <w:top w:val="nil"/>
              <w:left w:val="single" w:sz="4" w:space="0" w:color="auto"/>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2</w:t>
            </w:r>
          </w:p>
        </w:tc>
        <w:tc>
          <w:tcPr>
            <w:tcW w:w="1083"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$491</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$531</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$478</w:t>
            </w:r>
          </w:p>
        </w:tc>
        <w:tc>
          <w:tcPr>
            <w:tcW w:w="1316" w:type="dxa"/>
            <w:tcBorders>
              <w:top w:val="nil"/>
              <w:left w:val="nil"/>
              <w:bottom w:val="nil"/>
              <w:right w:val="single" w:sz="4" w:space="0" w:color="auto"/>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$518</w:t>
            </w:r>
          </w:p>
        </w:tc>
      </w:tr>
      <w:tr w:rsidR="00457011" w:rsidRPr="00824F02" w:rsidTr="00367743">
        <w:trPr>
          <w:trHeight w:val="300"/>
        </w:trPr>
        <w:tc>
          <w:tcPr>
            <w:tcW w:w="1144" w:type="dxa"/>
            <w:tcBorders>
              <w:top w:val="nil"/>
              <w:left w:val="single" w:sz="4" w:space="0" w:color="auto"/>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3</w:t>
            </w:r>
          </w:p>
        </w:tc>
        <w:tc>
          <w:tcPr>
            <w:tcW w:w="1083"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$593</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$633</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$578</w:t>
            </w:r>
          </w:p>
        </w:tc>
        <w:tc>
          <w:tcPr>
            <w:tcW w:w="1316" w:type="dxa"/>
            <w:tcBorders>
              <w:top w:val="nil"/>
              <w:left w:val="nil"/>
              <w:bottom w:val="nil"/>
              <w:right w:val="single" w:sz="4" w:space="0" w:color="auto"/>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$618</w:t>
            </w:r>
          </w:p>
        </w:tc>
      </w:tr>
      <w:tr w:rsidR="00457011" w:rsidRPr="00824F02" w:rsidTr="00367743">
        <w:trPr>
          <w:trHeight w:val="300"/>
        </w:trPr>
        <w:tc>
          <w:tcPr>
            <w:tcW w:w="1144" w:type="dxa"/>
            <w:tcBorders>
              <w:top w:val="nil"/>
              <w:left w:val="single" w:sz="4" w:space="0" w:color="auto"/>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4</w:t>
            </w:r>
          </w:p>
        </w:tc>
        <w:tc>
          <w:tcPr>
            <w:tcW w:w="1083"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$691</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$731</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$673</w:t>
            </w:r>
          </w:p>
        </w:tc>
        <w:tc>
          <w:tcPr>
            <w:tcW w:w="1316" w:type="dxa"/>
            <w:tcBorders>
              <w:top w:val="nil"/>
              <w:left w:val="nil"/>
              <w:bottom w:val="nil"/>
              <w:right w:val="single" w:sz="4" w:space="0" w:color="auto"/>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$713</w:t>
            </w:r>
          </w:p>
        </w:tc>
      </w:tr>
      <w:tr w:rsidR="00457011" w:rsidRPr="00824F02" w:rsidTr="00367743">
        <w:trPr>
          <w:trHeight w:val="300"/>
        </w:trPr>
        <w:tc>
          <w:tcPr>
            <w:tcW w:w="1144" w:type="dxa"/>
            <w:tcBorders>
              <w:top w:val="nil"/>
              <w:left w:val="single" w:sz="4" w:space="0" w:color="auto"/>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5</w:t>
            </w:r>
          </w:p>
        </w:tc>
        <w:tc>
          <w:tcPr>
            <w:tcW w:w="1083"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$792</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$832</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$772</w:t>
            </w:r>
          </w:p>
        </w:tc>
        <w:tc>
          <w:tcPr>
            <w:tcW w:w="1316" w:type="dxa"/>
            <w:tcBorders>
              <w:top w:val="nil"/>
              <w:left w:val="nil"/>
              <w:bottom w:val="nil"/>
              <w:right w:val="single" w:sz="4" w:space="0" w:color="auto"/>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$812</w:t>
            </w:r>
          </w:p>
        </w:tc>
      </w:tr>
      <w:tr w:rsidR="00457011" w:rsidRPr="00824F02" w:rsidTr="00367743">
        <w:trPr>
          <w:trHeight w:val="300"/>
        </w:trPr>
        <w:tc>
          <w:tcPr>
            <w:tcW w:w="1144" w:type="dxa"/>
            <w:tcBorders>
              <w:top w:val="nil"/>
              <w:left w:val="single" w:sz="4" w:space="0" w:color="auto"/>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6</w:t>
            </w:r>
          </w:p>
        </w:tc>
        <w:tc>
          <w:tcPr>
            <w:tcW w:w="1083"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$896</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$936</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$872</w:t>
            </w:r>
          </w:p>
        </w:tc>
        <w:tc>
          <w:tcPr>
            <w:tcW w:w="1316" w:type="dxa"/>
            <w:tcBorders>
              <w:top w:val="nil"/>
              <w:left w:val="nil"/>
              <w:bottom w:val="nil"/>
              <w:right w:val="single" w:sz="4" w:space="0" w:color="auto"/>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$912</w:t>
            </w:r>
          </w:p>
        </w:tc>
      </w:tr>
      <w:tr w:rsidR="00457011" w:rsidRPr="00824F02" w:rsidTr="00367743">
        <w:trPr>
          <w:trHeight w:val="300"/>
        </w:trPr>
        <w:tc>
          <w:tcPr>
            <w:tcW w:w="1144" w:type="dxa"/>
            <w:tcBorders>
              <w:top w:val="nil"/>
              <w:left w:val="single" w:sz="4" w:space="0" w:color="auto"/>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7</w:t>
            </w:r>
          </w:p>
        </w:tc>
        <w:tc>
          <w:tcPr>
            <w:tcW w:w="1083"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$997</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$1,037</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$971</w:t>
            </w:r>
          </w:p>
        </w:tc>
        <w:tc>
          <w:tcPr>
            <w:tcW w:w="1316" w:type="dxa"/>
            <w:tcBorders>
              <w:top w:val="nil"/>
              <w:left w:val="nil"/>
              <w:bottom w:val="nil"/>
              <w:right w:val="single" w:sz="4" w:space="0" w:color="auto"/>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$1,011</w:t>
            </w:r>
          </w:p>
        </w:tc>
      </w:tr>
      <w:tr w:rsidR="00457011" w:rsidRPr="00824F02" w:rsidTr="00367743">
        <w:trPr>
          <w:trHeight w:val="300"/>
        </w:trPr>
        <w:tc>
          <w:tcPr>
            <w:tcW w:w="1144" w:type="dxa"/>
            <w:tcBorders>
              <w:top w:val="nil"/>
              <w:left w:val="single" w:sz="4" w:space="0" w:color="auto"/>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8</w:t>
            </w:r>
          </w:p>
        </w:tc>
        <w:tc>
          <w:tcPr>
            <w:tcW w:w="1083"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$1,097</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$1,137</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$1,067</w:t>
            </w:r>
          </w:p>
        </w:tc>
        <w:tc>
          <w:tcPr>
            <w:tcW w:w="1316" w:type="dxa"/>
            <w:tcBorders>
              <w:top w:val="nil"/>
              <w:left w:val="nil"/>
              <w:bottom w:val="nil"/>
              <w:right w:val="single" w:sz="4" w:space="0" w:color="auto"/>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$1,107</w:t>
            </w:r>
          </w:p>
        </w:tc>
      </w:tr>
      <w:tr w:rsidR="00457011" w:rsidRPr="00824F02" w:rsidTr="00367743">
        <w:trPr>
          <w:trHeight w:val="300"/>
        </w:trPr>
        <w:tc>
          <w:tcPr>
            <w:tcW w:w="1144" w:type="dxa"/>
            <w:tcBorders>
              <w:top w:val="nil"/>
              <w:left w:val="single" w:sz="4" w:space="0" w:color="auto"/>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9</w:t>
            </w:r>
          </w:p>
        </w:tc>
        <w:tc>
          <w:tcPr>
            <w:tcW w:w="1083"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$1,197</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$1,237</w:t>
            </w:r>
          </w:p>
        </w:tc>
        <w:tc>
          <w:tcPr>
            <w:tcW w:w="1316" w:type="dxa"/>
            <w:tcBorders>
              <w:top w:val="nil"/>
              <w:left w:val="nil"/>
              <w:bottom w:val="nil"/>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$1,165</w:t>
            </w:r>
          </w:p>
        </w:tc>
        <w:tc>
          <w:tcPr>
            <w:tcW w:w="1316" w:type="dxa"/>
            <w:tcBorders>
              <w:top w:val="nil"/>
              <w:left w:val="nil"/>
              <w:bottom w:val="nil"/>
              <w:right w:val="single" w:sz="4" w:space="0" w:color="auto"/>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$1,205</w:t>
            </w:r>
          </w:p>
        </w:tc>
      </w:tr>
      <w:tr w:rsidR="00457011" w:rsidRPr="00824F02" w:rsidTr="00367743">
        <w:trPr>
          <w:trHeight w:val="300"/>
        </w:trPr>
        <w:tc>
          <w:tcPr>
            <w:tcW w:w="1144" w:type="dxa"/>
            <w:tcBorders>
              <w:top w:val="nil"/>
              <w:left w:val="single" w:sz="4" w:space="0" w:color="auto"/>
              <w:bottom w:val="single" w:sz="4" w:space="0" w:color="auto"/>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10</w:t>
            </w:r>
          </w:p>
        </w:tc>
        <w:tc>
          <w:tcPr>
            <w:tcW w:w="1083" w:type="dxa"/>
            <w:tcBorders>
              <w:top w:val="nil"/>
              <w:left w:val="nil"/>
              <w:bottom w:val="single" w:sz="4" w:space="0" w:color="auto"/>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$1,298</w:t>
            </w:r>
          </w:p>
        </w:tc>
        <w:tc>
          <w:tcPr>
            <w:tcW w:w="1316" w:type="dxa"/>
            <w:tcBorders>
              <w:top w:val="nil"/>
              <w:left w:val="nil"/>
              <w:bottom w:val="single" w:sz="4" w:space="0" w:color="auto"/>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$1,338</w:t>
            </w:r>
          </w:p>
        </w:tc>
        <w:tc>
          <w:tcPr>
            <w:tcW w:w="1316" w:type="dxa"/>
            <w:tcBorders>
              <w:top w:val="nil"/>
              <w:left w:val="nil"/>
              <w:bottom w:val="single" w:sz="4" w:space="0" w:color="auto"/>
              <w:right w:val="nil"/>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$1,263</w:t>
            </w:r>
          </w:p>
        </w:tc>
        <w:tc>
          <w:tcPr>
            <w:tcW w:w="1316" w:type="dxa"/>
            <w:tcBorders>
              <w:top w:val="nil"/>
              <w:left w:val="nil"/>
              <w:bottom w:val="single" w:sz="4" w:space="0" w:color="auto"/>
              <w:right w:val="single" w:sz="4" w:space="0" w:color="auto"/>
            </w:tcBorders>
            <w:shd w:val="clear" w:color="000000" w:fill="F2F2F2"/>
            <w:noWrap/>
            <w:vAlign w:val="center"/>
            <w:hideMark/>
          </w:tcPr>
          <w:p w:rsidR="00457011" w:rsidRPr="00824F02" w:rsidRDefault="00457011" w:rsidP="00367743">
            <w:pPr>
              <w:jc w:val="center"/>
              <w:rPr>
                <w:color w:val="000000"/>
                <w:sz w:val="20"/>
                <w:szCs w:val="20"/>
              </w:rPr>
            </w:pPr>
            <w:r w:rsidRPr="00824F02">
              <w:rPr>
                <w:color w:val="000000"/>
                <w:sz w:val="20"/>
                <w:szCs w:val="20"/>
              </w:rPr>
              <w:t>$1,303</w:t>
            </w:r>
          </w:p>
        </w:tc>
      </w:tr>
    </w:tbl>
    <w:p w:rsidR="00B33E00" w:rsidRDefault="00B33E00" w:rsidP="00B33E00">
      <w:pPr>
        <w:pBdr>
          <w:top w:val="none" w:sz="0" w:space="0" w:color="auto"/>
          <w:left w:val="none" w:sz="0" w:space="0" w:color="auto"/>
          <w:bottom w:val="none" w:sz="0" w:space="0" w:color="auto"/>
          <w:right w:val="none" w:sz="0" w:space="0" w:color="auto"/>
          <w:between w:val="none" w:sz="0" w:space="0" w:color="auto"/>
          <w:bar w:val="none" w:sz="0" w:color="auto"/>
        </w:pBdr>
      </w:pPr>
    </w:p>
    <w:p w:rsidR="001349C5" w:rsidRPr="00282378" w:rsidRDefault="001349C5" w:rsidP="00744493">
      <w:pPr>
        <w:pStyle w:val="Body"/>
        <w:numPr>
          <w:ilvl w:val="0"/>
          <w:numId w:val="11"/>
        </w:numPr>
        <w:spacing w:after="0" w:line="240" w:lineRule="auto"/>
        <w:rPr>
          <w:rFonts w:ascii="Times New Roman" w:hAnsi="Times New Roman" w:cs="Times New Roman"/>
          <w:b/>
          <w:bCs/>
          <w:smallCaps/>
          <w:sz w:val="24"/>
          <w:szCs w:val="24"/>
        </w:rPr>
      </w:pPr>
      <w:r w:rsidRPr="00282378">
        <w:rPr>
          <w:rFonts w:ascii="Times New Roman" w:hAnsi="Times New Roman" w:cs="Times New Roman"/>
          <w:b/>
          <w:bCs/>
          <w:smallCaps/>
          <w:sz w:val="24"/>
          <w:szCs w:val="24"/>
        </w:rPr>
        <w:t>Work Program Requirement Exemptions</w:t>
      </w:r>
    </w:p>
    <w:p w:rsidR="0071481D" w:rsidRPr="0071481D" w:rsidRDefault="0071481D" w:rsidP="0071481D">
      <w:pPr>
        <w:pBdr>
          <w:top w:val="none" w:sz="0" w:space="0" w:color="auto"/>
          <w:left w:val="none" w:sz="0" w:space="0" w:color="auto"/>
          <w:bottom w:val="none" w:sz="0" w:space="0" w:color="auto"/>
          <w:right w:val="none" w:sz="0" w:space="0" w:color="auto"/>
          <w:between w:val="none" w:sz="0" w:space="0" w:color="auto"/>
          <w:bar w:val="none" w:sz="0" w:color="auto"/>
        </w:pBdr>
        <w:jc w:val="center"/>
        <w:rPr>
          <w:b/>
          <w:bCs/>
          <w:smallCaps/>
        </w:rPr>
      </w:pPr>
    </w:p>
    <w:p w:rsidR="001349C5" w:rsidRPr="00C61F2A" w:rsidRDefault="00FB5B99" w:rsidP="00D67CAF">
      <w:r w:rsidRPr="00C61F2A">
        <w:lastRenderedPageBreak/>
        <w:t>There are a number of reasons an individual</w:t>
      </w:r>
      <w:r w:rsidR="001349C5" w:rsidRPr="00C61F2A">
        <w:t xml:space="preserve"> </w:t>
      </w:r>
      <w:r w:rsidR="00457011">
        <w:t xml:space="preserve">may be </w:t>
      </w:r>
      <w:r w:rsidR="001349C5" w:rsidRPr="00C61F2A">
        <w:t xml:space="preserve">exempt </w:t>
      </w:r>
      <w:r w:rsidRPr="00C61F2A">
        <w:t>from</w:t>
      </w:r>
      <w:r w:rsidR="001349C5" w:rsidRPr="00C61F2A">
        <w:t xml:space="preserve"> </w:t>
      </w:r>
      <w:r w:rsidR="00457011">
        <w:t>the</w:t>
      </w:r>
      <w:r w:rsidR="001349C5" w:rsidRPr="00C61F2A">
        <w:t xml:space="preserve"> work program requirement</w:t>
      </w:r>
      <w:r w:rsidR="007D317B">
        <w:t xml:space="preserve"> </w:t>
      </w:r>
      <w:r w:rsidRPr="00C61F2A">
        <w:t>includ</w:t>
      </w:r>
      <w:r w:rsidR="00457011">
        <w:t>ing</w:t>
      </w:r>
      <w:r w:rsidRPr="00C61F2A">
        <w:t xml:space="preserve">: </w:t>
      </w:r>
    </w:p>
    <w:p w:rsidR="001349C5" w:rsidRPr="00C61F2A" w:rsidRDefault="001349C5" w:rsidP="00D67CAF"/>
    <w:p w:rsidR="00FB5B99" w:rsidRPr="00C61F2A" w:rsidRDefault="00FB5B99" w:rsidP="00744493">
      <w:pPr>
        <w:pStyle w:val="ListParagraph"/>
        <w:numPr>
          <w:ilvl w:val="0"/>
          <w:numId w:val="9"/>
        </w:numPr>
        <w:rPr>
          <w:rFonts w:ascii="Times New Roman" w:hAnsi="Times New Roman" w:cs="Times New Roman"/>
          <w:sz w:val="24"/>
          <w:szCs w:val="24"/>
        </w:rPr>
      </w:pPr>
      <w:r w:rsidRPr="00C61F2A">
        <w:rPr>
          <w:rFonts w:ascii="Times New Roman" w:hAnsi="Times New Roman" w:cs="Times New Roman"/>
          <w:sz w:val="24"/>
          <w:szCs w:val="24"/>
        </w:rPr>
        <w:t>disab</w:t>
      </w:r>
      <w:r w:rsidR="00D05C03">
        <w:rPr>
          <w:rFonts w:ascii="Times New Roman" w:hAnsi="Times New Roman" w:cs="Times New Roman"/>
          <w:sz w:val="24"/>
          <w:szCs w:val="24"/>
        </w:rPr>
        <w:t>ility</w:t>
      </w:r>
      <w:r w:rsidRPr="00C61F2A">
        <w:rPr>
          <w:rFonts w:ascii="Times New Roman" w:hAnsi="Times New Roman" w:cs="Times New Roman"/>
          <w:sz w:val="24"/>
          <w:szCs w:val="24"/>
        </w:rPr>
        <w:t xml:space="preserve">; </w:t>
      </w:r>
    </w:p>
    <w:p w:rsidR="00FB5B99" w:rsidRPr="00C61F2A" w:rsidRDefault="00FB5B99" w:rsidP="00744493">
      <w:pPr>
        <w:pStyle w:val="ListParagraph"/>
        <w:numPr>
          <w:ilvl w:val="0"/>
          <w:numId w:val="9"/>
        </w:numPr>
        <w:rPr>
          <w:rFonts w:ascii="Times New Roman" w:hAnsi="Times New Roman" w:cs="Times New Roman"/>
          <w:sz w:val="24"/>
          <w:szCs w:val="24"/>
        </w:rPr>
      </w:pPr>
      <w:r w:rsidRPr="00C61F2A">
        <w:rPr>
          <w:rFonts w:ascii="Times New Roman" w:hAnsi="Times New Roman" w:cs="Times New Roman"/>
          <w:sz w:val="24"/>
          <w:szCs w:val="24"/>
        </w:rPr>
        <w:t>parents caring for a disabled child or spouse;</w:t>
      </w:r>
    </w:p>
    <w:p w:rsidR="00FB5B99" w:rsidRPr="00C61F2A" w:rsidRDefault="00FB5B99" w:rsidP="00744493">
      <w:pPr>
        <w:pStyle w:val="ListParagraph"/>
        <w:numPr>
          <w:ilvl w:val="0"/>
          <w:numId w:val="9"/>
        </w:numPr>
        <w:rPr>
          <w:rFonts w:ascii="Times New Roman" w:hAnsi="Times New Roman" w:cs="Times New Roman"/>
          <w:sz w:val="24"/>
          <w:szCs w:val="24"/>
        </w:rPr>
      </w:pPr>
      <w:r w:rsidRPr="00C61F2A">
        <w:rPr>
          <w:rFonts w:ascii="Times New Roman" w:hAnsi="Times New Roman" w:cs="Times New Roman"/>
          <w:sz w:val="24"/>
          <w:szCs w:val="24"/>
        </w:rPr>
        <w:t xml:space="preserve">parents whose youngest eligible child is less than two or who have any child who is less than three months; </w:t>
      </w:r>
    </w:p>
    <w:p w:rsidR="00FB5B99" w:rsidRPr="00C61F2A" w:rsidRDefault="00FB5B99" w:rsidP="00744493">
      <w:pPr>
        <w:pStyle w:val="ListParagraph"/>
        <w:numPr>
          <w:ilvl w:val="0"/>
          <w:numId w:val="9"/>
        </w:numPr>
        <w:rPr>
          <w:rFonts w:ascii="Times New Roman" w:hAnsi="Times New Roman" w:cs="Times New Roman"/>
          <w:sz w:val="24"/>
          <w:szCs w:val="24"/>
        </w:rPr>
      </w:pPr>
      <w:r w:rsidRPr="00C61F2A">
        <w:rPr>
          <w:rFonts w:ascii="Times New Roman" w:hAnsi="Times New Roman" w:cs="Times New Roman"/>
          <w:sz w:val="24"/>
          <w:szCs w:val="24"/>
        </w:rPr>
        <w:t xml:space="preserve">women in their 33rd week of pregnancy and those in their third trimester of pregnancy who have a verified medical condition that prevents them from working; </w:t>
      </w:r>
    </w:p>
    <w:p w:rsidR="00FB5B99" w:rsidRPr="00C61F2A" w:rsidRDefault="00FB5B99" w:rsidP="00744493">
      <w:pPr>
        <w:pStyle w:val="ListParagraph"/>
        <w:numPr>
          <w:ilvl w:val="0"/>
          <w:numId w:val="9"/>
        </w:numPr>
        <w:rPr>
          <w:rFonts w:ascii="Times New Roman" w:hAnsi="Times New Roman" w:cs="Times New Roman"/>
          <w:sz w:val="24"/>
          <w:szCs w:val="24"/>
        </w:rPr>
      </w:pPr>
      <w:r w:rsidRPr="00C61F2A">
        <w:rPr>
          <w:rFonts w:ascii="Times New Roman" w:hAnsi="Times New Roman" w:cs="Times New Roman"/>
          <w:sz w:val="24"/>
          <w:szCs w:val="24"/>
        </w:rPr>
        <w:t xml:space="preserve">teen parents who are attending school full time; </w:t>
      </w:r>
    </w:p>
    <w:p w:rsidR="00FB5B99" w:rsidRPr="00C61F2A" w:rsidRDefault="00FB5B99" w:rsidP="00744493">
      <w:pPr>
        <w:pStyle w:val="ListParagraph"/>
        <w:numPr>
          <w:ilvl w:val="0"/>
          <w:numId w:val="9"/>
        </w:numPr>
        <w:rPr>
          <w:rFonts w:ascii="Times New Roman" w:hAnsi="Times New Roman" w:cs="Times New Roman"/>
          <w:sz w:val="24"/>
          <w:szCs w:val="24"/>
        </w:rPr>
      </w:pPr>
      <w:r w:rsidRPr="00C61F2A">
        <w:rPr>
          <w:rFonts w:ascii="Times New Roman" w:hAnsi="Times New Roman" w:cs="Times New Roman"/>
          <w:sz w:val="24"/>
          <w:szCs w:val="24"/>
        </w:rPr>
        <w:t>persons over age sixty; and</w:t>
      </w:r>
    </w:p>
    <w:p w:rsidR="001349C5" w:rsidRPr="008E7DDE" w:rsidRDefault="00FB5B99" w:rsidP="00650BC4">
      <w:pPr>
        <w:pStyle w:val="ListParagraph"/>
        <w:numPr>
          <w:ilvl w:val="0"/>
          <w:numId w:val="9"/>
        </w:numPr>
        <w:jc w:val="both"/>
        <w:rPr>
          <w:b/>
        </w:rPr>
      </w:pPr>
      <w:proofErr w:type="gramStart"/>
      <w:r w:rsidRPr="00C61F2A">
        <w:rPr>
          <w:rFonts w:ascii="Times New Roman" w:hAnsi="Times New Roman" w:cs="Times New Roman"/>
          <w:sz w:val="24"/>
          <w:szCs w:val="24"/>
        </w:rPr>
        <w:t>care</w:t>
      </w:r>
      <w:r w:rsidR="00457011">
        <w:rPr>
          <w:rFonts w:ascii="Times New Roman" w:hAnsi="Times New Roman" w:cs="Times New Roman"/>
          <w:sz w:val="24"/>
          <w:szCs w:val="24"/>
        </w:rPr>
        <w:t>-</w:t>
      </w:r>
      <w:r w:rsidRPr="00C61F2A">
        <w:rPr>
          <w:rFonts w:ascii="Times New Roman" w:hAnsi="Times New Roman" w:cs="Times New Roman"/>
          <w:sz w:val="24"/>
          <w:szCs w:val="24"/>
        </w:rPr>
        <w:t>taker</w:t>
      </w:r>
      <w:proofErr w:type="gramEnd"/>
      <w:r w:rsidRPr="00C61F2A">
        <w:rPr>
          <w:rFonts w:ascii="Times New Roman" w:hAnsi="Times New Roman" w:cs="Times New Roman"/>
          <w:sz w:val="24"/>
          <w:szCs w:val="24"/>
        </w:rPr>
        <w:t xml:space="preserve"> relatives.</w:t>
      </w:r>
    </w:p>
    <w:p w:rsidR="0071481D" w:rsidRPr="00282378" w:rsidRDefault="0071481D" w:rsidP="00282378">
      <w:pPr>
        <w:pStyle w:val="Body"/>
        <w:spacing w:after="0" w:line="240" w:lineRule="auto"/>
        <w:ind w:left="1080"/>
        <w:rPr>
          <w:rFonts w:ascii="Times New Roman" w:hAnsi="Times New Roman" w:cs="Times New Roman"/>
          <w:b/>
          <w:bCs/>
          <w:smallCaps/>
          <w:sz w:val="24"/>
          <w:szCs w:val="24"/>
        </w:rPr>
      </w:pPr>
    </w:p>
    <w:p w:rsidR="00C63D66" w:rsidRPr="00282378" w:rsidRDefault="00C63D66" w:rsidP="00744493">
      <w:pPr>
        <w:pStyle w:val="Body"/>
        <w:numPr>
          <w:ilvl w:val="0"/>
          <w:numId w:val="11"/>
        </w:numPr>
        <w:spacing w:after="0" w:line="240" w:lineRule="auto"/>
        <w:rPr>
          <w:rFonts w:ascii="Times New Roman" w:hAnsi="Times New Roman" w:cs="Times New Roman"/>
          <w:b/>
          <w:bCs/>
          <w:smallCaps/>
          <w:sz w:val="24"/>
          <w:szCs w:val="24"/>
        </w:rPr>
      </w:pPr>
      <w:r w:rsidRPr="00282378">
        <w:rPr>
          <w:rFonts w:ascii="Times New Roman" w:hAnsi="Times New Roman" w:cs="Times New Roman"/>
          <w:b/>
          <w:bCs/>
          <w:smallCaps/>
          <w:sz w:val="24"/>
          <w:szCs w:val="24"/>
        </w:rPr>
        <w:t>Extensions to Time-Limited Benefits</w:t>
      </w:r>
    </w:p>
    <w:p w:rsidR="0071481D" w:rsidRPr="00C61F2A" w:rsidRDefault="0071481D" w:rsidP="0071481D">
      <w:pPr>
        <w:pBdr>
          <w:top w:val="none" w:sz="0" w:space="0" w:color="auto"/>
          <w:left w:val="none" w:sz="0" w:space="0" w:color="auto"/>
          <w:bottom w:val="none" w:sz="0" w:space="0" w:color="auto"/>
          <w:right w:val="none" w:sz="0" w:space="0" w:color="auto"/>
          <w:between w:val="none" w:sz="0" w:space="0" w:color="auto"/>
          <w:bar w:val="none" w:sz="0" w:color="auto"/>
        </w:pBdr>
        <w:jc w:val="center"/>
        <w:rPr>
          <w:b/>
        </w:rPr>
      </w:pPr>
    </w:p>
    <w:p w:rsidR="00D67CAF" w:rsidRDefault="00C63D66" w:rsidP="00D67CAF">
      <w:r w:rsidRPr="00C61F2A">
        <w:t>TAFDC benefits are limited to 24-months within a 60-month period</w:t>
      </w:r>
      <w:r w:rsidR="00FB5B99" w:rsidRPr="00C61F2A">
        <w:t xml:space="preserve"> for nonexempt households</w:t>
      </w:r>
      <w:r w:rsidRPr="00C61F2A">
        <w:t xml:space="preserve">. </w:t>
      </w:r>
      <w:r w:rsidR="00D05C03">
        <w:t>Cl</w:t>
      </w:r>
      <w:r w:rsidR="00D05C03" w:rsidRPr="00C61F2A">
        <w:t xml:space="preserve">ients </w:t>
      </w:r>
      <w:r w:rsidRPr="00C61F2A">
        <w:t>may request an extension of benefits when they are nearing the end of their time limit</w:t>
      </w:r>
      <w:r w:rsidR="00D05C03">
        <w:t xml:space="preserve"> (month 22)</w:t>
      </w:r>
      <w:r w:rsidRPr="00C61F2A">
        <w:t xml:space="preserve">. </w:t>
      </w:r>
      <w:r w:rsidR="00D67CAF" w:rsidRPr="00C61F2A">
        <w:t xml:space="preserve">Extensions are </w:t>
      </w:r>
      <w:r w:rsidR="00D67CAF">
        <w:t xml:space="preserve">approved </w:t>
      </w:r>
      <w:r w:rsidR="00D67CAF" w:rsidRPr="00C61F2A">
        <w:t xml:space="preserve">for </w:t>
      </w:r>
      <w:r w:rsidR="00D67CAF">
        <w:t xml:space="preserve">not more than </w:t>
      </w:r>
      <w:r w:rsidR="00D67CAF" w:rsidRPr="00C61F2A">
        <w:t>three months at a time</w:t>
      </w:r>
      <w:r w:rsidR="00D67CAF">
        <w:t>;</w:t>
      </w:r>
      <w:r w:rsidR="00D67CAF" w:rsidRPr="00C61F2A">
        <w:t xml:space="preserve"> if additional time is </w:t>
      </w:r>
      <w:proofErr w:type="gramStart"/>
      <w:r w:rsidR="00D67CAF" w:rsidRPr="00C61F2A">
        <w:t>requested</w:t>
      </w:r>
      <w:r w:rsidR="00246117">
        <w:t>,</w:t>
      </w:r>
      <w:proofErr w:type="gramEnd"/>
      <w:r w:rsidR="00D67CAF" w:rsidRPr="00C61F2A">
        <w:t xml:space="preserve"> the new extension request will be evaluated</w:t>
      </w:r>
      <w:r w:rsidR="003472A4">
        <w:t xml:space="preserve"> based on participation in activities approved in the previous extension</w:t>
      </w:r>
      <w:r w:rsidR="00D67CAF" w:rsidRPr="00C61F2A">
        <w:t>.</w:t>
      </w:r>
    </w:p>
    <w:p w:rsidR="006B7B13" w:rsidRPr="00C61F2A" w:rsidRDefault="006B7B13" w:rsidP="00D67CAF"/>
    <w:p w:rsidR="00C63D66" w:rsidRPr="00C61F2A" w:rsidRDefault="00C63D66" w:rsidP="00D67CAF">
      <w:r w:rsidRPr="00C61F2A">
        <w:t>Extensions are requested for a number of reasons, including:</w:t>
      </w:r>
    </w:p>
    <w:p w:rsidR="00C63D66" w:rsidRPr="00C61F2A" w:rsidRDefault="00C63D66" w:rsidP="00D67CAF"/>
    <w:p w:rsidR="00C63D66" w:rsidRPr="00D67CAF" w:rsidRDefault="00C63D66" w:rsidP="00744493">
      <w:pPr>
        <w:pStyle w:val="ListParagraph"/>
        <w:numPr>
          <w:ilvl w:val="0"/>
          <w:numId w:val="10"/>
        </w:numPr>
        <w:rPr>
          <w:rFonts w:ascii="Times New Roman" w:hAnsi="Times New Roman" w:cs="Times New Roman"/>
          <w:b/>
        </w:rPr>
      </w:pPr>
      <w:r w:rsidRPr="00C61F2A">
        <w:rPr>
          <w:rFonts w:ascii="Times New Roman" w:hAnsi="Times New Roman" w:cs="Times New Roman"/>
          <w:sz w:val="24"/>
          <w:szCs w:val="24"/>
        </w:rPr>
        <w:t>Not yet found employment</w:t>
      </w:r>
      <w:r w:rsidR="00D67CAF">
        <w:rPr>
          <w:rFonts w:ascii="Times New Roman" w:hAnsi="Times New Roman" w:cs="Times New Roman"/>
          <w:sz w:val="24"/>
          <w:szCs w:val="24"/>
        </w:rPr>
        <w:t>;</w:t>
      </w:r>
    </w:p>
    <w:p w:rsidR="00D67CAF" w:rsidRPr="00C61F2A" w:rsidRDefault="00D67CAF" w:rsidP="00744493">
      <w:pPr>
        <w:pStyle w:val="ListParagraph"/>
        <w:numPr>
          <w:ilvl w:val="0"/>
          <w:numId w:val="10"/>
        </w:numPr>
        <w:rPr>
          <w:rFonts w:ascii="Times New Roman" w:hAnsi="Times New Roman" w:cs="Times New Roman"/>
          <w:b/>
        </w:rPr>
      </w:pPr>
      <w:r>
        <w:rPr>
          <w:rFonts w:ascii="Times New Roman" w:hAnsi="Times New Roman" w:cs="Times New Roman"/>
          <w:sz w:val="24"/>
          <w:szCs w:val="24"/>
        </w:rPr>
        <w:t>Wages are too low;</w:t>
      </w:r>
      <w:r w:rsidR="003472A4">
        <w:rPr>
          <w:rFonts w:ascii="Times New Roman" w:hAnsi="Times New Roman" w:cs="Times New Roman"/>
          <w:sz w:val="24"/>
          <w:szCs w:val="24"/>
        </w:rPr>
        <w:t xml:space="preserve"> and</w:t>
      </w:r>
    </w:p>
    <w:p w:rsidR="00C63D66" w:rsidRPr="00C61F2A" w:rsidRDefault="00D67CAF" w:rsidP="00744493">
      <w:pPr>
        <w:pStyle w:val="ListParagraph"/>
        <w:numPr>
          <w:ilvl w:val="0"/>
          <w:numId w:val="10"/>
        </w:numPr>
        <w:rPr>
          <w:rFonts w:ascii="Times New Roman" w:hAnsi="Times New Roman" w:cs="Times New Roman"/>
          <w:b/>
        </w:rPr>
      </w:pPr>
      <w:r>
        <w:rPr>
          <w:rFonts w:ascii="Times New Roman" w:hAnsi="Times New Roman" w:cs="Times New Roman"/>
          <w:sz w:val="24"/>
          <w:szCs w:val="24"/>
        </w:rPr>
        <w:t>Completing</w:t>
      </w:r>
      <w:r w:rsidR="00C63D66" w:rsidRPr="00C61F2A">
        <w:rPr>
          <w:rFonts w:ascii="Times New Roman" w:hAnsi="Times New Roman" w:cs="Times New Roman"/>
          <w:sz w:val="24"/>
          <w:szCs w:val="24"/>
        </w:rPr>
        <w:t xml:space="preserve"> an education</w:t>
      </w:r>
      <w:r>
        <w:rPr>
          <w:rFonts w:ascii="Times New Roman" w:hAnsi="Times New Roman" w:cs="Times New Roman"/>
          <w:sz w:val="24"/>
          <w:szCs w:val="24"/>
        </w:rPr>
        <w:t>/training</w:t>
      </w:r>
      <w:r w:rsidR="00C63D66" w:rsidRPr="00C61F2A">
        <w:rPr>
          <w:rFonts w:ascii="Times New Roman" w:hAnsi="Times New Roman" w:cs="Times New Roman"/>
          <w:sz w:val="24"/>
          <w:szCs w:val="24"/>
        </w:rPr>
        <w:t xml:space="preserve"> program</w:t>
      </w:r>
      <w:r w:rsidR="003472A4">
        <w:rPr>
          <w:rFonts w:ascii="Times New Roman" w:hAnsi="Times New Roman" w:cs="Times New Roman"/>
          <w:sz w:val="24"/>
          <w:szCs w:val="24"/>
        </w:rPr>
        <w:t xml:space="preserve"> already enrolled in prior to requesting the extension.</w:t>
      </w:r>
    </w:p>
    <w:p w:rsidR="00C63D66" w:rsidRPr="00C61F2A" w:rsidRDefault="00C63D66" w:rsidP="00D67CAF">
      <w:pPr>
        <w:rPr>
          <w:b/>
        </w:rPr>
      </w:pPr>
    </w:p>
    <w:p w:rsidR="00C63D66" w:rsidRDefault="00C61F2A" w:rsidP="00D67CAF">
      <w:r>
        <w:t>In calendar year 201</w:t>
      </w:r>
      <w:r w:rsidR="00D043E2">
        <w:t>7</w:t>
      </w:r>
      <w:r w:rsidR="00C63D66" w:rsidRPr="00C61F2A">
        <w:t xml:space="preserve">, DTA received </w:t>
      </w:r>
      <w:r w:rsidR="00794134">
        <w:t>5,898</w:t>
      </w:r>
      <w:r w:rsidR="00D043E2" w:rsidRPr="00C61F2A">
        <w:t xml:space="preserve"> </w:t>
      </w:r>
      <w:r w:rsidR="00C63D66" w:rsidRPr="00C61F2A">
        <w:t xml:space="preserve">extension requests, and approved </w:t>
      </w:r>
      <w:r w:rsidR="00794134">
        <w:t>306</w:t>
      </w:r>
      <w:r w:rsidR="00D043E2" w:rsidRPr="00C61F2A">
        <w:t xml:space="preserve"> </w:t>
      </w:r>
      <w:r w:rsidR="00C63D66" w:rsidRPr="00C61F2A">
        <w:t>extensions.</w:t>
      </w:r>
    </w:p>
    <w:p w:rsidR="001349C5" w:rsidRPr="00C61F2A" w:rsidRDefault="001349C5" w:rsidP="008A3666">
      <w:pPr>
        <w:rPr>
          <w:b/>
        </w:rPr>
      </w:pPr>
    </w:p>
    <w:p w:rsidR="009B5316" w:rsidRPr="00282378" w:rsidRDefault="00282378" w:rsidP="00744493">
      <w:pPr>
        <w:pStyle w:val="Body"/>
        <w:numPr>
          <w:ilvl w:val="0"/>
          <w:numId w:val="11"/>
        </w:numPr>
        <w:spacing w:after="0" w:line="240" w:lineRule="auto"/>
        <w:rPr>
          <w:rFonts w:ascii="Times New Roman" w:hAnsi="Times New Roman" w:cs="Times New Roman"/>
          <w:b/>
          <w:bCs/>
          <w:smallCaps/>
          <w:sz w:val="24"/>
          <w:szCs w:val="24"/>
        </w:rPr>
      </w:pPr>
      <w:r w:rsidRPr="00282378">
        <w:rPr>
          <w:rFonts w:ascii="Times New Roman" w:hAnsi="Times New Roman" w:cs="Times New Roman"/>
          <w:b/>
          <w:bCs/>
          <w:smallCaps/>
          <w:sz w:val="24"/>
          <w:szCs w:val="24"/>
        </w:rPr>
        <w:t>Pathways to Self Sufficiency</w:t>
      </w:r>
    </w:p>
    <w:p w:rsidR="00F2481B" w:rsidRDefault="00F2481B" w:rsidP="00F2481B">
      <w:pPr>
        <w:pStyle w:val="Body"/>
        <w:spacing w:after="0" w:line="240" w:lineRule="auto"/>
        <w:rPr>
          <w:rFonts w:ascii="Times New Roman" w:hAnsi="Times New Roman" w:cs="Times New Roman"/>
          <w:sz w:val="24"/>
          <w:szCs w:val="24"/>
        </w:rPr>
      </w:pPr>
    </w:p>
    <w:p w:rsidR="00F2481B" w:rsidRDefault="00F2481B" w:rsidP="00F2481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DTA</w:t>
      </w:r>
      <w:r w:rsidRPr="00164F9D">
        <w:rPr>
          <w:rFonts w:ascii="Times New Roman" w:hAnsi="Times New Roman" w:cs="Times New Roman"/>
          <w:sz w:val="24"/>
          <w:szCs w:val="24"/>
        </w:rPr>
        <w:t xml:space="preserve"> believes that all clients, both those </w:t>
      </w:r>
      <w:r>
        <w:rPr>
          <w:rFonts w:ascii="Times New Roman" w:hAnsi="Times New Roman" w:cs="Times New Roman"/>
          <w:sz w:val="24"/>
          <w:szCs w:val="24"/>
        </w:rPr>
        <w:t xml:space="preserve">who are </w:t>
      </w:r>
      <w:r w:rsidR="00457011">
        <w:rPr>
          <w:rFonts w:ascii="Times New Roman" w:hAnsi="Times New Roman" w:cs="Times New Roman"/>
          <w:sz w:val="24"/>
          <w:szCs w:val="24"/>
        </w:rPr>
        <w:t xml:space="preserve">work required and those who are not, </w:t>
      </w:r>
      <w:r w:rsidRPr="00164F9D">
        <w:rPr>
          <w:rFonts w:ascii="Times New Roman" w:hAnsi="Times New Roman" w:cs="Times New Roman"/>
          <w:sz w:val="24"/>
          <w:szCs w:val="24"/>
        </w:rPr>
        <w:t xml:space="preserve">can </w:t>
      </w:r>
      <w:r w:rsidR="00457011">
        <w:rPr>
          <w:rFonts w:ascii="Times New Roman" w:hAnsi="Times New Roman" w:cs="Times New Roman"/>
          <w:sz w:val="24"/>
          <w:szCs w:val="24"/>
        </w:rPr>
        <w:t xml:space="preserve">and should </w:t>
      </w:r>
      <w:r w:rsidRPr="00164F9D">
        <w:rPr>
          <w:rFonts w:ascii="Times New Roman" w:hAnsi="Times New Roman" w:cs="Times New Roman"/>
          <w:sz w:val="24"/>
          <w:szCs w:val="24"/>
        </w:rPr>
        <w:t>be assisted in moving to a better economic position and improved quality of life</w:t>
      </w:r>
      <w:r w:rsidR="00B419BF">
        <w:rPr>
          <w:rFonts w:ascii="Times New Roman" w:hAnsi="Times New Roman" w:cs="Times New Roman"/>
          <w:sz w:val="24"/>
          <w:szCs w:val="24"/>
        </w:rPr>
        <w:t xml:space="preserve">. </w:t>
      </w:r>
      <w:r>
        <w:rPr>
          <w:rFonts w:ascii="Times New Roman" w:hAnsi="Times New Roman" w:cs="Times New Roman"/>
          <w:sz w:val="24"/>
          <w:szCs w:val="24"/>
        </w:rPr>
        <w:t>To that end</w:t>
      </w:r>
      <w:r w:rsidR="00C83732">
        <w:rPr>
          <w:rFonts w:ascii="Times New Roman" w:hAnsi="Times New Roman" w:cs="Times New Roman"/>
          <w:sz w:val="24"/>
          <w:szCs w:val="24"/>
        </w:rPr>
        <w:t>,</w:t>
      </w:r>
      <w:r>
        <w:rPr>
          <w:rFonts w:ascii="Times New Roman" w:hAnsi="Times New Roman" w:cs="Times New Roman"/>
          <w:sz w:val="24"/>
          <w:szCs w:val="24"/>
        </w:rPr>
        <w:t xml:space="preserve"> DTA </w:t>
      </w:r>
      <w:r w:rsidR="00457011">
        <w:rPr>
          <w:rFonts w:ascii="Times New Roman" w:hAnsi="Times New Roman" w:cs="Times New Roman"/>
          <w:sz w:val="24"/>
          <w:szCs w:val="24"/>
        </w:rPr>
        <w:t xml:space="preserve">launched </w:t>
      </w:r>
      <w:r>
        <w:rPr>
          <w:rFonts w:ascii="Times New Roman" w:hAnsi="Times New Roman" w:cs="Times New Roman"/>
          <w:sz w:val="24"/>
          <w:szCs w:val="24"/>
        </w:rPr>
        <w:t>Pathways to Self-Sufficiency (PSS)</w:t>
      </w:r>
      <w:r w:rsidR="00457011">
        <w:rPr>
          <w:rFonts w:ascii="Times New Roman" w:hAnsi="Times New Roman" w:cs="Times New Roman"/>
          <w:sz w:val="24"/>
          <w:szCs w:val="24"/>
        </w:rPr>
        <w:t xml:space="preserve"> in 2016</w:t>
      </w:r>
      <w:r w:rsidR="00B419BF">
        <w:rPr>
          <w:rFonts w:ascii="Times New Roman" w:hAnsi="Times New Roman" w:cs="Times New Roman"/>
          <w:sz w:val="24"/>
          <w:szCs w:val="24"/>
        </w:rPr>
        <w:t xml:space="preserve">. </w:t>
      </w:r>
      <w:r w:rsidRPr="00164F9D">
        <w:rPr>
          <w:rFonts w:ascii="Times New Roman" w:hAnsi="Times New Roman" w:cs="Times New Roman"/>
          <w:sz w:val="24"/>
          <w:szCs w:val="24"/>
        </w:rPr>
        <w:t xml:space="preserve">The goal of </w:t>
      </w:r>
      <w:r>
        <w:rPr>
          <w:rFonts w:ascii="Times New Roman" w:hAnsi="Times New Roman" w:cs="Times New Roman"/>
          <w:sz w:val="24"/>
          <w:szCs w:val="24"/>
        </w:rPr>
        <w:t>PSS</w:t>
      </w:r>
      <w:r w:rsidRPr="00164F9D">
        <w:rPr>
          <w:rFonts w:ascii="Times New Roman" w:hAnsi="Times New Roman" w:cs="Times New Roman"/>
          <w:sz w:val="24"/>
          <w:szCs w:val="24"/>
        </w:rPr>
        <w:t xml:space="preserve"> is </w:t>
      </w:r>
      <w:r>
        <w:rPr>
          <w:rFonts w:ascii="Times New Roman" w:hAnsi="Times New Roman" w:cs="Times New Roman"/>
          <w:sz w:val="24"/>
          <w:szCs w:val="24"/>
        </w:rPr>
        <w:t xml:space="preserve">positive </w:t>
      </w:r>
      <w:r w:rsidRPr="00164F9D">
        <w:rPr>
          <w:rFonts w:ascii="Times New Roman" w:hAnsi="Times New Roman" w:cs="Times New Roman"/>
          <w:sz w:val="24"/>
          <w:szCs w:val="24"/>
        </w:rPr>
        <w:t xml:space="preserve">client </w:t>
      </w:r>
      <w:r>
        <w:rPr>
          <w:rFonts w:ascii="Times New Roman" w:hAnsi="Times New Roman" w:cs="Times New Roman"/>
          <w:sz w:val="24"/>
          <w:szCs w:val="24"/>
        </w:rPr>
        <w:t>engagement and targeted supports</w:t>
      </w:r>
      <w:r w:rsidRPr="00164F9D">
        <w:rPr>
          <w:rFonts w:ascii="Times New Roman" w:hAnsi="Times New Roman" w:cs="Times New Roman"/>
          <w:sz w:val="24"/>
          <w:szCs w:val="24"/>
        </w:rPr>
        <w:t xml:space="preserve"> that lead to</w:t>
      </w:r>
      <w:r>
        <w:rPr>
          <w:rFonts w:ascii="Times New Roman" w:hAnsi="Times New Roman" w:cs="Times New Roman"/>
          <w:sz w:val="24"/>
          <w:szCs w:val="24"/>
        </w:rPr>
        <w:t xml:space="preserve"> employment, </w:t>
      </w:r>
      <w:r w:rsidRPr="00164F9D">
        <w:rPr>
          <w:rFonts w:ascii="Times New Roman" w:hAnsi="Times New Roman" w:cs="Times New Roman"/>
          <w:sz w:val="24"/>
          <w:szCs w:val="24"/>
        </w:rPr>
        <w:t>career pathways</w:t>
      </w:r>
      <w:r>
        <w:rPr>
          <w:rFonts w:ascii="Times New Roman" w:hAnsi="Times New Roman" w:cs="Times New Roman"/>
          <w:sz w:val="24"/>
          <w:szCs w:val="24"/>
        </w:rPr>
        <w:t xml:space="preserve"> </w:t>
      </w:r>
      <w:r w:rsidRPr="00164F9D">
        <w:rPr>
          <w:rFonts w:ascii="Times New Roman" w:hAnsi="Times New Roman" w:cs="Times New Roman"/>
          <w:sz w:val="24"/>
          <w:szCs w:val="24"/>
        </w:rPr>
        <w:t xml:space="preserve">and </w:t>
      </w:r>
      <w:r>
        <w:rPr>
          <w:rFonts w:ascii="Times New Roman" w:hAnsi="Times New Roman" w:cs="Times New Roman"/>
          <w:sz w:val="24"/>
          <w:szCs w:val="24"/>
        </w:rPr>
        <w:t xml:space="preserve">long term </w:t>
      </w:r>
      <w:r w:rsidRPr="00164F9D">
        <w:rPr>
          <w:rFonts w:ascii="Times New Roman" w:hAnsi="Times New Roman" w:cs="Times New Roman"/>
          <w:sz w:val="24"/>
          <w:szCs w:val="24"/>
        </w:rPr>
        <w:t>economic self-sufficiency.</w:t>
      </w:r>
    </w:p>
    <w:p w:rsidR="00F2481B" w:rsidRDefault="00F2481B" w:rsidP="00F2481B">
      <w:pPr>
        <w:pStyle w:val="Body"/>
        <w:spacing w:after="0" w:line="240" w:lineRule="auto"/>
        <w:rPr>
          <w:rFonts w:ascii="Times New Roman" w:hAnsi="Times New Roman" w:cs="Times New Roman"/>
          <w:sz w:val="24"/>
          <w:szCs w:val="24"/>
        </w:rPr>
      </w:pPr>
    </w:p>
    <w:p w:rsidR="00465B5F" w:rsidRPr="00650BC4" w:rsidRDefault="00465B5F" w:rsidP="00465B5F">
      <w:pPr>
        <w:autoSpaceDE w:val="0"/>
        <w:autoSpaceDN w:val="0"/>
        <w:adjustRightInd w:val="0"/>
      </w:pPr>
      <w:proofErr w:type="gramStart"/>
      <w:r w:rsidRPr="00650BC4">
        <w:t>Pathways to Self-Sufficiency is</w:t>
      </w:r>
      <w:proofErr w:type="gramEnd"/>
      <w:r w:rsidRPr="00650BC4">
        <w:t xml:space="preserve"> an initial and ongoing assessment tool designed to better identify a clients’ strengths and employment challenges, and to help our clients move toward economic self-sufficiency.   The key elements include:</w:t>
      </w:r>
    </w:p>
    <w:p w:rsidR="00465B5F" w:rsidRPr="007D317B" w:rsidRDefault="00465B5F" w:rsidP="00F2481B">
      <w:pPr>
        <w:pStyle w:val="Body"/>
        <w:spacing w:after="0" w:line="240" w:lineRule="auto"/>
        <w:jc w:val="center"/>
        <w:rPr>
          <w:rFonts w:ascii="Times New Roman" w:hAnsi="Times New Roman" w:cs="Times New Roman"/>
          <w:b/>
          <w:bCs/>
          <w:smallCaps/>
          <w:sz w:val="24"/>
          <w:szCs w:val="24"/>
        </w:rPr>
      </w:pPr>
    </w:p>
    <w:p w:rsidR="00465B5F" w:rsidRPr="00650BC4" w:rsidRDefault="00465B5F" w:rsidP="00650BC4">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pPr>
      <w:r w:rsidRPr="00650BC4">
        <w:t>An easier method of identifying where a client’s workplace skills are strongest and where challenges may be preventing them reaching economic self-sufficiency</w:t>
      </w:r>
      <w:r w:rsidRPr="00650BC4">
        <w:br/>
        <w:t>Strengthened referral procedures to help connect clients to the appropriate ESP activities and refer them to the appropriate agencies and / or DTA specialists</w:t>
      </w:r>
    </w:p>
    <w:p w:rsidR="00465B5F" w:rsidRPr="00650BC4" w:rsidRDefault="00465B5F" w:rsidP="00650BC4">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pPr>
      <w:proofErr w:type="gramStart"/>
      <w:r w:rsidRPr="00650BC4">
        <w:lastRenderedPageBreak/>
        <w:t>A new focus on helping exempt clients work</w:t>
      </w:r>
      <w:proofErr w:type="gramEnd"/>
      <w:r w:rsidRPr="00650BC4">
        <w:t xml:space="preserve"> to minimize their barriers to economic self-sufficiency in order to improve their family’s overall quality of life. </w:t>
      </w:r>
    </w:p>
    <w:p w:rsidR="00465B5F" w:rsidRPr="00650BC4" w:rsidRDefault="00465B5F" w:rsidP="007D317B">
      <w:pPr>
        <w:pStyle w:val="ListParagraph"/>
        <w:rPr>
          <w:rFonts w:ascii="Times New Roman" w:hAnsi="Times New Roman" w:cs="Times New Roman"/>
        </w:rPr>
      </w:pPr>
    </w:p>
    <w:p w:rsidR="00465B5F" w:rsidRPr="00650BC4" w:rsidRDefault="00465B5F" w:rsidP="007D31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650BC4">
        <w:t xml:space="preserve">The initiative also included a </w:t>
      </w:r>
      <w:r w:rsidR="007D317B">
        <w:t xml:space="preserve">required </w:t>
      </w:r>
      <w:r w:rsidRPr="00650BC4">
        <w:t>pre-bene</w:t>
      </w:r>
      <w:r w:rsidR="007D317B">
        <w:t>fit</w:t>
      </w:r>
      <w:r w:rsidRPr="00650BC4">
        <w:t xml:space="preserve"> job search period and a mandatory orientation.</w:t>
      </w:r>
    </w:p>
    <w:p w:rsidR="00F2481B" w:rsidRDefault="00F2481B"/>
    <w:p w:rsidR="00F2481B" w:rsidRDefault="00465B5F">
      <w:r>
        <w:t xml:space="preserve">Based on this new assessment process, DTA is </w:t>
      </w:r>
      <w:r w:rsidR="007D317B">
        <w:t xml:space="preserve">better </w:t>
      </w:r>
      <w:r>
        <w:t xml:space="preserve">able </w:t>
      </w:r>
      <w:r w:rsidR="007D317B">
        <w:t>to</w:t>
      </w:r>
      <w:r>
        <w:t xml:space="preserve"> identify the key challenges </w:t>
      </w:r>
      <w:r w:rsidR="00C83732">
        <w:t>cl</w:t>
      </w:r>
      <w:r w:rsidR="00F2481B" w:rsidRPr="00A81ECE">
        <w:t>ients</w:t>
      </w:r>
      <w:r w:rsidR="007D317B">
        <w:t>’</w:t>
      </w:r>
      <w:r w:rsidR="00F2481B" w:rsidRPr="00A81ECE">
        <w:t xml:space="preserve"> </w:t>
      </w:r>
      <w:r w:rsidR="00F2481B">
        <w:t>report th</w:t>
      </w:r>
      <w:r>
        <w:t xml:space="preserve">at </w:t>
      </w:r>
      <w:r w:rsidR="007D317B">
        <w:t xml:space="preserve">get </w:t>
      </w:r>
      <w:r>
        <w:t xml:space="preserve">in the way of </w:t>
      </w:r>
      <w:r w:rsidR="00F2481B" w:rsidRPr="00A81ECE">
        <w:t>obtaining gainful employment</w:t>
      </w:r>
      <w:r>
        <w:t xml:space="preserve">.  These data support DTA case managers and our employment support providers in tailoring interventions to the </w:t>
      </w:r>
      <w:r w:rsidR="007D317B">
        <w:t xml:space="preserve">specific </w:t>
      </w:r>
      <w:r>
        <w:t xml:space="preserve">needs of the client.  Based on PSS data, DTA clients identify the following top challenges: </w:t>
      </w:r>
    </w:p>
    <w:p w:rsidR="007D317B" w:rsidRPr="00A81ECE" w:rsidRDefault="007D317B"/>
    <w:p w:rsidR="00F2481B" w:rsidRPr="00A64B55" w:rsidRDefault="00F2481B">
      <w:pPr>
        <w:pStyle w:val="ListParagraph"/>
        <w:numPr>
          <w:ilvl w:val="0"/>
          <w:numId w:val="14"/>
        </w:numPr>
        <w:rPr>
          <w:rFonts w:ascii="Times New Roman" w:hAnsi="Times New Roman" w:cs="Times New Roman"/>
          <w:sz w:val="24"/>
          <w:szCs w:val="24"/>
        </w:rPr>
      </w:pPr>
      <w:r w:rsidRPr="00A64B55">
        <w:rPr>
          <w:rFonts w:ascii="Times New Roman" w:hAnsi="Times New Roman" w:cs="Times New Roman"/>
          <w:sz w:val="24"/>
          <w:szCs w:val="24"/>
        </w:rPr>
        <w:t>Lack of Skills and training</w:t>
      </w:r>
      <w:r>
        <w:rPr>
          <w:rFonts w:ascii="Times New Roman" w:hAnsi="Times New Roman" w:cs="Times New Roman"/>
          <w:sz w:val="24"/>
          <w:szCs w:val="24"/>
        </w:rPr>
        <w:t>;</w:t>
      </w:r>
    </w:p>
    <w:p w:rsidR="00F2481B" w:rsidRPr="00A64B55" w:rsidRDefault="00F2481B">
      <w:pPr>
        <w:pStyle w:val="ListParagraph"/>
        <w:numPr>
          <w:ilvl w:val="0"/>
          <w:numId w:val="14"/>
        </w:numPr>
        <w:rPr>
          <w:rFonts w:ascii="Times New Roman" w:hAnsi="Times New Roman" w:cs="Times New Roman"/>
          <w:sz w:val="24"/>
          <w:szCs w:val="24"/>
        </w:rPr>
      </w:pPr>
      <w:r w:rsidRPr="00A64B55">
        <w:rPr>
          <w:rFonts w:ascii="Times New Roman" w:hAnsi="Times New Roman" w:cs="Times New Roman"/>
          <w:sz w:val="24"/>
          <w:szCs w:val="24"/>
        </w:rPr>
        <w:t>Lack of work experience</w:t>
      </w:r>
      <w:r>
        <w:rPr>
          <w:rFonts w:ascii="Times New Roman" w:hAnsi="Times New Roman" w:cs="Times New Roman"/>
          <w:sz w:val="24"/>
          <w:szCs w:val="24"/>
        </w:rPr>
        <w:t xml:space="preserve">; </w:t>
      </w:r>
    </w:p>
    <w:p w:rsidR="00F2481B" w:rsidRDefault="00F2481B">
      <w:pPr>
        <w:pStyle w:val="ListParagraph"/>
        <w:numPr>
          <w:ilvl w:val="0"/>
          <w:numId w:val="14"/>
        </w:numPr>
        <w:rPr>
          <w:rFonts w:ascii="Times New Roman" w:hAnsi="Times New Roman" w:cs="Times New Roman"/>
          <w:sz w:val="24"/>
          <w:szCs w:val="24"/>
        </w:rPr>
      </w:pPr>
      <w:r w:rsidRPr="00A64B55">
        <w:rPr>
          <w:rFonts w:ascii="Times New Roman" w:hAnsi="Times New Roman" w:cs="Times New Roman"/>
          <w:sz w:val="24"/>
          <w:szCs w:val="24"/>
        </w:rPr>
        <w:t>Limited literacy/math skills</w:t>
      </w:r>
      <w:r>
        <w:rPr>
          <w:rFonts w:ascii="Times New Roman" w:hAnsi="Times New Roman" w:cs="Times New Roman"/>
          <w:sz w:val="24"/>
          <w:szCs w:val="24"/>
        </w:rPr>
        <w:t>;</w:t>
      </w:r>
    </w:p>
    <w:p w:rsidR="00F2481B" w:rsidRDefault="00451E64">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Health Issue</w:t>
      </w:r>
      <w:r w:rsidR="00F2481B">
        <w:rPr>
          <w:rFonts w:ascii="Times New Roman" w:hAnsi="Times New Roman" w:cs="Times New Roman"/>
          <w:sz w:val="24"/>
          <w:szCs w:val="24"/>
        </w:rPr>
        <w:t>; and</w:t>
      </w:r>
    </w:p>
    <w:p w:rsidR="00F2481B" w:rsidRPr="00A64B55" w:rsidRDefault="00451E64">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Homelessness</w:t>
      </w:r>
      <w:r w:rsidR="00F2481B">
        <w:rPr>
          <w:rFonts w:ascii="Times New Roman" w:hAnsi="Times New Roman" w:cs="Times New Roman"/>
          <w:sz w:val="24"/>
          <w:szCs w:val="24"/>
        </w:rPr>
        <w:t>.</w:t>
      </w:r>
    </w:p>
    <w:p w:rsidR="00D50AEE" w:rsidRPr="008A3666" w:rsidRDefault="00D50AEE" w:rsidP="00C61F2A">
      <w:pPr>
        <w:pStyle w:val="Body"/>
        <w:spacing w:after="0" w:line="240" w:lineRule="auto"/>
        <w:jc w:val="both"/>
        <w:rPr>
          <w:rFonts w:ascii="Times New Roman" w:hAnsi="Times New Roman" w:cs="Times New Roman"/>
          <w:i/>
          <w:color w:val="auto"/>
          <w:sz w:val="24"/>
          <w:szCs w:val="24"/>
        </w:rPr>
      </w:pPr>
    </w:p>
    <w:p w:rsidR="00D50AEE" w:rsidRPr="00650BC4" w:rsidRDefault="00465B5F" w:rsidP="00650BC4">
      <w:pPr>
        <w:pStyle w:val="Body"/>
        <w:spacing w:after="0" w:line="240" w:lineRule="auto"/>
        <w:rPr>
          <w:rFonts w:ascii="Times New Roman" w:hAnsi="Times New Roman" w:cs="Times New Roman"/>
          <w:color w:val="auto"/>
          <w:sz w:val="24"/>
          <w:szCs w:val="24"/>
        </w:rPr>
      </w:pPr>
      <w:r w:rsidRPr="00650BC4">
        <w:rPr>
          <w:rFonts w:ascii="Times New Roman" w:hAnsi="Times New Roman" w:cs="Times New Roman"/>
          <w:color w:val="auto"/>
          <w:sz w:val="24"/>
          <w:szCs w:val="24"/>
        </w:rPr>
        <w:t>The Pathways to Self Sufficiency asse</w:t>
      </w:r>
      <w:r w:rsidR="007D317B" w:rsidRPr="00650BC4">
        <w:rPr>
          <w:rFonts w:ascii="Times New Roman" w:hAnsi="Times New Roman" w:cs="Times New Roman"/>
          <w:color w:val="auto"/>
          <w:sz w:val="24"/>
          <w:szCs w:val="24"/>
        </w:rPr>
        <w:t>ss</w:t>
      </w:r>
      <w:r w:rsidRPr="00650BC4">
        <w:rPr>
          <w:rFonts w:ascii="Times New Roman" w:hAnsi="Times New Roman" w:cs="Times New Roman"/>
          <w:color w:val="auto"/>
          <w:sz w:val="24"/>
          <w:szCs w:val="24"/>
        </w:rPr>
        <w:t>ment and engagement process has laid a critical foundation for the Department</w:t>
      </w:r>
      <w:r w:rsidR="007D317B" w:rsidRPr="00650BC4">
        <w:rPr>
          <w:rFonts w:ascii="Times New Roman" w:hAnsi="Times New Roman" w:cs="Times New Roman"/>
          <w:color w:val="auto"/>
          <w:sz w:val="24"/>
          <w:szCs w:val="24"/>
        </w:rPr>
        <w:t>,</w:t>
      </w:r>
      <w:r w:rsidRPr="00650BC4">
        <w:rPr>
          <w:rFonts w:ascii="Times New Roman" w:hAnsi="Times New Roman" w:cs="Times New Roman"/>
          <w:color w:val="auto"/>
          <w:sz w:val="24"/>
          <w:szCs w:val="24"/>
        </w:rPr>
        <w:t xml:space="preserve"> as we continue to identify and implement reform</w:t>
      </w:r>
      <w:r w:rsidR="007D317B" w:rsidRPr="00650BC4">
        <w:rPr>
          <w:rFonts w:ascii="Times New Roman" w:hAnsi="Times New Roman" w:cs="Times New Roman"/>
          <w:color w:val="auto"/>
          <w:sz w:val="24"/>
          <w:szCs w:val="24"/>
        </w:rPr>
        <w:t>s</w:t>
      </w:r>
      <w:r w:rsidRPr="00650BC4">
        <w:rPr>
          <w:rFonts w:ascii="Times New Roman" w:hAnsi="Times New Roman" w:cs="Times New Roman"/>
          <w:color w:val="auto"/>
          <w:sz w:val="24"/>
          <w:szCs w:val="24"/>
        </w:rPr>
        <w:t xml:space="preserve">, policy updates and new </w:t>
      </w:r>
      <w:r w:rsidR="007D317B" w:rsidRPr="00650BC4">
        <w:rPr>
          <w:rFonts w:ascii="Times New Roman" w:hAnsi="Times New Roman" w:cs="Times New Roman"/>
          <w:color w:val="auto"/>
          <w:sz w:val="24"/>
          <w:szCs w:val="24"/>
        </w:rPr>
        <w:t>procedures</w:t>
      </w:r>
      <w:r w:rsidRPr="00650BC4">
        <w:rPr>
          <w:rFonts w:ascii="Times New Roman" w:hAnsi="Times New Roman" w:cs="Times New Roman"/>
          <w:color w:val="auto"/>
          <w:sz w:val="24"/>
          <w:szCs w:val="24"/>
        </w:rPr>
        <w:t xml:space="preserve"> that better support work and economic security for our clients. </w:t>
      </w:r>
    </w:p>
    <w:p w:rsidR="00465B5F" w:rsidRPr="007D317B" w:rsidRDefault="00465B5F" w:rsidP="00C61F2A">
      <w:pPr>
        <w:pStyle w:val="Body"/>
        <w:spacing w:after="0" w:line="240" w:lineRule="auto"/>
        <w:jc w:val="both"/>
        <w:rPr>
          <w:rFonts w:ascii="Times New Roman" w:hAnsi="Times New Roman" w:cs="Times New Roman"/>
          <w:color w:val="FF0000"/>
          <w:sz w:val="24"/>
          <w:szCs w:val="24"/>
        </w:rPr>
      </w:pPr>
    </w:p>
    <w:p w:rsidR="00B249D5" w:rsidRPr="00B249D5" w:rsidRDefault="00B249D5" w:rsidP="00744493">
      <w:pPr>
        <w:pStyle w:val="Body"/>
        <w:numPr>
          <w:ilvl w:val="0"/>
          <w:numId w:val="11"/>
        </w:numPr>
        <w:spacing w:after="0" w:line="240" w:lineRule="auto"/>
        <w:rPr>
          <w:rFonts w:ascii="Times New Roman" w:hAnsi="Times New Roman" w:cs="Times New Roman"/>
          <w:b/>
          <w:bCs/>
          <w:smallCaps/>
          <w:sz w:val="24"/>
          <w:szCs w:val="24"/>
        </w:rPr>
      </w:pPr>
      <w:r w:rsidRPr="00B249D5">
        <w:rPr>
          <w:rFonts w:ascii="Times New Roman" w:hAnsi="Times New Roman" w:cs="Times New Roman"/>
          <w:b/>
          <w:bCs/>
          <w:smallCaps/>
          <w:sz w:val="24"/>
          <w:szCs w:val="24"/>
        </w:rPr>
        <w:t>Self-Sufficiency Specialists</w:t>
      </w:r>
    </w:p>
    <w:p w:rsidR="00B249D5" w:rsidRDefault="00B249D5" w:rsidP="00B249D5">
      <w:pPr>
        <w:pStyle w:val="ListParagraph"/>
        <w:ind w:left="0"/>
      </w:pPr>
    </w:p>
    <w:p w:rsidR="00B249D5" w:rsidRPr="00F2481B" w:rsidRDefault="00B249D5" w:rsidP="00B249D5">
      <w:pPr>
        <w:pStyle w:val="ListParagraph"/>
        <w:ind w:left="0"/>
        <w:rPr>
          <w:rFonts w:ascii="Times New Roman" w:hAnsi="Times New Roman" w:cs="Times New Roman"/>
          <w:sz w:val="24"/>
          <w:szCs w:val="24"/>
        </w:rPr>
      </w:pPr>
      <w:r w:rsidRPr="00F2481B">
        <w:rPr>
          <w:rFonts w:ascii="Times New Roman" w:hAnsi="Times New Roman" w:cs="Times New Roman"/>
          <w:sz w:val="24"/>
          <w:szCs w:val="24"/>
        </w:rPr>
        <w:t xml:space="preserve">Self Sufficiency Specialists (SSS) began their role at the Department of Transitional Assistance (DTA) in December 2015. In preparation to launch this new role, a detailed job description was developed, training was conducted, and policy documentation about the new role and who it would serve was issued. </w:t>
      </w:r>
    </w:p>
    <w:p w:rsidR="00B249D5" w:rsidRPr="00F2481B" w:rsidRDefault="00B249D5" w:rsidP="00B249D5">
      <w:pPr>
        <w:pStyle w:val="ListParagraph"/>
        <w:ind w:left="0"/>
        <w:rPr>
          <w:rFonts w:ascii="Times New Roman" w:hAnsi="Times New Roman" w:cs="Times New Roman"/>
          <w:sz w:val="24"/>
          <w:szCs w:val="24"/>
        </w:rPr>
      </w:pPr>
    </w:p>
    <w:p w:rsidR="008A3666" w:rsidRPr="00F2481B" w:rsidRDefault="00B249D5" w:rsidP="008A3666">
      <w:pPr>
        <w:pStyle w:val="ListParagraph"/>
        <w:ind w:left="0"/>
        <w:rPr>
          <w:rFonts w:ascii="Times New Roman" w:hAnsi="Times New Roman" w:cs="Times New Roman"/>
          <w:sz w:val="24"/>
          <w:szCs w:val="24"/>
        </w:rPr>
      </w:pPr>
      <w:r w:rsidRPr="00F2481B">
        <w:rPr>
          <w:rFonts w:ascii="Times New Roman" w:hAnsi="Times New Roman" w:cs="Times New Roman"/>
          <w:sz w:val="24"/>
          <w:szCs w:val="24"/>
        </w:rPr>
        <w:t>Between April and June 2016, DTA conducted an assessment of how the role was functioning and identified ways to strengthen and clarify the</w:t>
      </w:r>
      <w:r w:rsidR="00C83732">
        <w:rPr>
          <w:rFonts w:ascii="Times New Roman" w:hAnsi="Times New Roman" w:cs="Times New Roman"/>
          <w:sz w:val="24"/>
          <w:szCs w:val="24"/>
        </w:rPr>
        <w:t xml:space="preserve"> SSS</w:t>
      </w:r>
      <w:r w:rsidRPr="00F2481B">
        <w:rPr>
          <w:rFonts w:ascii="Times New Roman" w:hAnsi="Times New Roman" w:cs="Times New Roman"/>
          <w:sz w:val="24"/>
          <w:szCs w:val="24"/>
        </w:rPr>
        <w:t xml:space="preserve"> role. </w:t>
      </w:r>
      <w:r w:rsidR="008A3666" w:rsidRPr="00F2481B">
        <w:rPr>
          <w:rFonts w:ascii="Times New Roman" w:hAnsi="Times New Roman" w:cs="Times New Roman"/>
          <w:sz w:val="24"/>
          <w:szCs w:val="24"/>
        </w:rPr>
        <w:t>As a result, the following recommendations were developed and implemented:</w:t>
      </w:r>
    </w:p>
    <w:p w:rsidR="008A3666" w:rsidRPr="00F2481B" w:rsidRDefault="008A3666" w:rsidP="008A3666">
      <w:pPr>
        <w:pStyle w:val="ListParagraph"/>
        <w:ind w:left="0"/>
        <w:rPr>
          <w:rFonts w:ascii="Times New Roman" w:hAnsi="Times New Roman" w:cs="Times New Roman"/>
          <w:sz w:val="24"/>
          <w:szCs w:val="24"/>
        </w:rPr>
      </w:pPr>
    </w:p>
    <w:p w:rsidR="008A3666" w:rsidRPr="00F2481B" w:rsidRDefault="008A3666" w:rsidP="008A366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F2481B">
        <w:rPr>
          <w:rFonts w:ascii="Times New Roman" w:hAnsi="Times New Roman" w:cs="Times New Roman"/>
          <w:sz w:val="24"/>
          <w:szCs w:val="24"/>
        </w:rPr>
        <w:t>SSS provide intensive case management and support to all teen parents who are heads of household, whether parenting or pregnant.</w:t>
      </w:r>
    </w:p>
    <w:p w:rsidR="008A3666" w:rsidRPr="00F2481B" w:rsidRDefault="008A3666" w:rsidP="008A366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F2481B">
        <w:rPr>
          <w:rFonts w:ascii="Times New Roman" w:hAnsi="Times New Roman" w:cs="Times New Roman"/>
          <w:sz w:val="24"/>
          <w:szCs w:val="24"/>
        </w:rPr>
        <w:t xml:space="preserve">Other clients who </w:t>
      </w:r>
      <w:r w:rsidRPr="00F2481B">
        <w:rPr>
          <w:rFonts w:ascii="Times New Roman" w:hAnsi="Times New Roman" w:cs="Times New Roman"/>
          <w:i/>
          <w:iCs/>
          <w:sz w:val="24"/>
          <w:szCs w:val="24"/>
        </w:rPr>
        <w:t>may</w:t>
      </w:r>
      <w:r w:rsidRPr="00F2481B">
        <w:rPr>
          <w:rFonts w:ascii="Times New Roman" w:hAnsi="Times New Roman" w:cs="Times New Roman"/>
          <w:sz w:val="24"/>
          <w:szCs w:val="24"/>
        </w:rPr>
        <w:t xml:space="preserve"> receive the assistance of an SSS include:</w:t>
      </w:r>
    </w:p>
    <w:p w:rsidR="008A3666" w:rsidRPr="00F2481B" w:rsidRDefault="008A3666" w:rsidP="008A366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F2481B">
        <w:rPr>
          <w:rFonts w:ascii="Times New Roman" w:hAnsi="Times New Roman" w:cs="Times New Roman"/>
          <w:sz w:val="24"/>
          <w:szCs w:val="24"/>
        </w:rPr>
        <w:t xml:space="preserve">young parents (pregnant and/or parenting heads of household under the age of 24); </w:t>
      </w:r>
      <w:r>
        <w:rPr>
          <w:rFonts w:ascii="Times New Roman" w:hAnsi="Times New Roman" w:cs="Times New Roman"/>
          <w:sz w:val="24"/>
          <w:szCs w:val="24"/>
        </w:rPr>
        <w:t>and</w:t>
      </w:r>
    </w:p>
    <w:p w:rsidR="008A3666" w:rsidRPr="00F2481B" w:rsidRDefault="008A3666" w:rsidP="008A3666">
      <w:pPr>
        <w:pStyle w:val="ListParagraph"/>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F2481B">
        <w:rPr>
          <w:rFonts w:ascii="Times New Roman" w:hAnsi="Times New Roman" w:cs="Times New Roman"/>
          <w:sz w:val="24"/>
          <w:szCs w:val="24"/>
        </w:rPr>
        <w:t>residents of emergency assistance shelter, Hotel/Motel, Congregate Shelter, Scattered Site Shelter or Domestic Violence Shelter</w:t>
      </w:r>
    </w:p>
    <w:p w:rsidR="008A3666" w:rsidRPr="00F2481B" w:rsidRDefault="008A3666" w:rsidP="008A366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F2481B">
        <w:rPr>
          <w:rFonts w:ascii="Times New Roman" w:hAnsi="Times New Roman" w:cs="Times New Roman"/>
          <w:sz w:val="24"/>
          <w:szCs w:val="24"/>
        </w:rPr>
        <w:t xml:space="preserve">In limited circumstances, and as determined by a DTA manager, SSSs may also assist other clients who have been identified as having significant challenges in moving towards self-sufficiency. </w:t>
      </w:r>
    </w:p>
    <w:p w:rsidR="008A3666" w:rsidRPr="00F2481B" w:rsidRDefault="008A3666" w:rsidP="008A366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F2481B">
        <w:rPr>
          <w:rFonts w:ascii="Times New Roman" w:hAnsi="Times New Roman" w:cs="Times New Roman"/>
          <w:sz w:val="24"/>
          <w:szCs w:val="24"/>
        </w:rPr>
        <w:t xml:space="preserve">Each TAO </w:t>
      </w:r>
      <w:r>
        <w:rPr>
          <w:rFonts w:ascii="Times New Roman" w:hAnsi="Times New Roman" w:cs="Times New Roman"/>
          <w:sz w:val="24"/>
          <w:szCs w:val="24"/>
        </w:rPr>
        <w:t>has</w:t>
      </w:r>
      <w:r w:rsidRPr="00F2481B">
        <w:rPr>
          <w:rFonts w:ascii="Times New Roman" w:hAnsi="Times New Roman" w:cs="Times New Roman"/>
          <w:sz w:val="24"/>
          <w:szCs w:val="24"/>
        </w:rPr>
        <w:t xml:space="preserve"> at least one SSS</w:t>
      </w:r>
      <w:r>
        <w:rPr>
          <w:rFonts w:ascii="Times New Roman" w:hAnsi="Times New Roman" w:cs="Times New Roman"/>
          <w:sz w:val="24"/>
          <w:szCs w:val="24"/>
        </w:rPr>
        <w:t xml:space="preserve">. </w:t>
      </w:r>
      <w:r w:rsidRPr="00F2481B">
        <w:rPr>
          <w:rFonts w:ascii="Times New Roman" w:hAnsi="Times New Roman" w:cs="Times New Roman"/>
          <w:sz w:val="24"/>
          <w:szCs w:val="24"/>
        </w:rPr>
        <w:t xml:space="preserve">Due to caseload limits, assignment of an SSS will be based on availability. </w:t>
      </w:r>
    </w:p>
    <w:p w:rsidR="008A3666" w:rsidRDefault="008A3666" w:rsidP="00B249D5">
      <w:pPr>
        <w:pStyle w:val="ListParagraph"/>
        <w:ind w:left="0"/>
        <w:rPr>
          <w:rFonts w:ascii="Times New Roman" w:hAnsi="Times New Roman" w:cs="Times New Roman"/>
          <w:sz w:val="24"/>
          <w:szCs w:val="24"/>
        </w:rPr>
      </w:pPr>
    </w:p>
    <w:p w:rsidR="00B249D5" w:rsidRPr="00F2481B" w:rsidRDefault="00B249D5" w:rsidP="00B249D5">
      <w:pPr>
        <w:pStyle w:val="ListParagraph"/>
        <w:ind w:left="0"/>
        <w:rPr>
          <w:rFonts w:ascii="Times New Roman" w:hAnsi="Times New Roman" w:cs="Times New Roman"/>
          <w:sz w:val="24"/>
          <w:szCs w:val="24"/>
        </w:rPr>
      </w:pPr>
      <w:r w:rsidRPr="00F2481B">
        <w:rPr>
          <w:rFonts w:ascii="Times New Roman" w:hAnsi="Times New Roman" w:cs="Times New Roman"/>
          <w:sz w:val="24"/>
          <w:szCs w:val="24"/>
        </w:rPr>
        <w:t xml:space="preserve">While </w:t>
      </w:r>
      <w:r w:rsidR="008A3666">
        <w:rPr>
          <w:rFonts w:ascii="Times New Roman" w:hAnsi="Times New Roman" w:cs="Times New Roman"/>
          <w:sz w:val="24"/>
          <w:szCs w:val="24"/>
        </w:rPr>
        <w:t xml:space="preserve">the role definition has improved the effectiveness of the SSSs, </w:t>
      </w:r>
      <w:r w:rsidRPr="00F2481B">
        <w:rPr>
          <w:rFonts w:ascii="Times New Roman" w:hAnsi="Times New Roman" w:cs="Times New Roman"/>
          <w:sz w:val="24"/>
          <w:szCs w:val="24"/>
        </w:rPr>
        <w:t>there remain</w:t>
      </w:r>
      <w:r w:rsidR="008A3666">
        <w:rPr>
          <w:rFonts w:ascii="Times New Roman" w:hAnsi="Times New Roman" w:cs="Times New Roman"/>
          <w:sz w:val="24"/>
          <w:szCs w:val="24"/>
        </w:rPr>
        <w:t>s</w:t>
      </w:r>
      <w:r w:rsidRPr="00F2481B">
        <w:rPr>
          <w:rFonts w:ascii="Times New Roman" w:hAnsi="Times New Roman" w:cs="Times New Roman"/>
          <w:sz w:val="24"/>
          <w:szCs w:val="24"/>
        </w:rPr>
        <w:t xml:space="preserve"> </w:t>
      </w:r>
      <w:r w:rsidR="008A3666">
        <w:rPr>
          <w:rFonts w:ascii="Times New Roman" w:hAnsi="Times New Roman" w:cs="Times New Roman"/>
          <w:sz w:val="24"/>
          <w:szCs w:val="24"/>
        </w:rPr>
        <w:t>challenges associated with the</w:t>
      </w:r>
      <w:r w:rsidRPr="00F2481B">
        <w:rPr>
          <w:rFonts w:ascii="Times New Roman" w:hAnsi="Times New Roman" w:cs="Times New Roman"/>
          <w:sz w:val="24"/>
          <w:szCs w:val="24"/>
        </w:rPr>
        <w:t xml:space="preserve"> legislatively mandated caseload caps for these workers. </w:t>
      </w:r>
      <w:r w:rsidR="008A3666">
        <w:rPr>
          <w:rFonts w:ascii="Times New Roman" w:hAnsi="Times New Roman" w:cs="Times New Roman"/>
          <w:sz w:val="24"/>
          <w:szCs w:val="24"/>
        </w:rPr>
        <w:t xml:space="preserve">The </w:t>
      </w:r>
      <w:r w:rsidR="008A3666" w:rsidRPr="00F2481B">
        <w:rPr>
          <w:rFonts w:ascii="Times New Roman" w:hAnsi="Times New Roman" w:cs="Times New Roman"/>
          <w:sz w:val="24"/>
          <w:szCs w:val="24"/>
        </w:rPr>
        <w:t xml:space="preserve">caseload cap had </w:t>
      </w:r>
      <w:r w:rsidR="008A3666" w:rsidRPr="00F2481B">
        <w:rPr>
          <w:rFonts w:ascii="Times New Roman" w:hAnsi="Times New Roman" w:cs="Times New Roman"/>
          <w:sz w:val="24"/>
          <w:szCs w:val="24"/>
        </w:rPr>
        <w:lastRenderedPageBreak/>
        <w:t>an adverse impact on DTA’s ability to manage resources and move all clients toward self-sufficiency. Ensuring all caseworkers have manageable caseloads is critical, and DTA needs the discretion to make the appropriate decisions regarding what a manageable caseload means.</w:t>
      </w:r>
    </w:p>
    <w:p w:rsidR="00B249D5" w:rsidRPr="00F2481B" w:rsidRDefault="00B249D5" w:rsidP="00B249D5">
      <w:pPr>
        <w:pStyle w:val="ListParagraph"/>
        <w:ind w:left="0"/>
        <w:rPr>
          <w:rFonts w:ascii="Times New Roman" w:hAnsi="Times New Roman" w:cs="Times New Roman"/>
          <w:sz w:val="24"/>
          <w:szCs w:val="24"/>
        </w:rPr>
      </w:pPr>
    </w:p>
    <w:p w:rsidR="00F2481B" w:rsidRDefault="00F2481B" w:rsidP="0025749B">
      <w:pPr>
        <w:pStyle w:val="Body"/>
        <w:numPr>
          <w:ilvl w:val="0"/>
          <w:numId w:val="11"/>
        </w:numPr>
        <w:spacing w:after="0" w:line="240" w:lineRule="auto"/>
        <w:rPr>
          <w:rFonts w:ascii="Times New Roman" w:hAnsi="Times New Roman" w:cs="Times New Roman"/>
          <w:b/>
          <w:bCs/>
          <w:smallCaps/>
          <w:sz w:val="24"/>
          <w:szCs w:val="24"/>
        </w:rPr>
      </w:pPr>
      <w:r>
        <w:rPr>
          <w:rFonts w:ascii="Times New Roman" w:hAnsi="Times New Roman" w:cs="Times New Roman"/>
          <w:b/>
          <w:bCs/>
          <w:smallCaps/>
          <w:sz w:val="24"/>
          <w:szCs w:val="24"/>
        </w:rPr>
        <w:t>Conclusion</w:t>
      </w:r>
    </w:p>
    <w:p w:rsidR="0025749B" w:rsidRDefault="0025749B" w:rsidP="0025749B">
      <w:pPr>
        <w:pStyle w:val="Body"/>
        <w:spacing w:after="0" w:line="240" w:lineRule="auto"/>
        <w:rPr>
          <w:rFonts w:ascii="Times New Roman" w:hAnsi="Times New Roman" w:cs="Times New Roman"/>
          <w:b/>
          <w:bCs/>
          <w:smallCaps/>
          <w:sz w:val="24"/>
          <w:szCs w:val="24"/>
        </w:rPr>
      </w:pPr>
    </w:p>
    <w:p w:rsidR="00457011" w:rsidRPr="00135DE2" w:rsidRDefault="00457011" w:rsidP="00457011">
      <w:pPr>
        <w:rPr>
          <w:rFonts w:cs="Arial"/>
        </w:rPr>
      </w:pPr>
      <w:r w:rsidRPr="00135DE2">
        <w:rPr>
          <w:rFonts w:cs="Arial"/>
        </w:rPr>
        <w:t xml:space="preserve">In support of DTA’s recently renewed emphasis on economic mobility and employment, and our work with the state’s WIOA efforts, DTA has identified a number of necessary policy reforms within the TAFDC program that can simplify and streamline program rules and requirements for working families; better incentivize and support employment and employment related activities; and ease the “cliff effect” during transition to economic self-sufficiency.  </w:t>
      </w:r>
    </w:p>
    <w:p w:rsidR="00457011" w:rsidRPr="00135DE2" w:rsidRDefault="00457011" w:rsidP="00457011">
      <w:pPr>
        <w:rPr>
          <w:rFonts w:cs="Arial"/>
        </w:rPr>
      </w:pPr>
    </w:p>
    <w:p w:rsidR="00457011" w:rsidRDefault="00457011" w:rsidP="00457011">
      <w:pPr>
        <w:rPr>
          <w:rFonts w:cs="Arial"/>
        </w:rPr>
      </w:pPr>
      <w:r>
        <w:rPr>
          <w:rFonts w:cs="Arial"/>
        </w:rPr>
        <w:t xml:space="preserve">Governor Baker’s House 2 </w:t>
      </w:r>
      <w:r w:rsidR="008A3666">
        <w:rPr>
          <w:rFonts w:cs="Arial"/>
        </w:rPr>
        <w:t>Budget P</w:t>
      </w:r>
      <w:r>
        <w:rPr>
          <w:rFonts w:cs="Arial"/>
        </w:rPr>
        <w:t>r</w:t>
      </w:r>
      <w:r w:rsidR="008A3666">
        <w:rPr>
          <w:rFonts w:cs="Arial"/>
        </w:rPr>
        <w:t>o</w:t>
      </w:r>
      <w:r>
        <w:rPr>
          <w:rFonts w:cs="Arial"/>
        </w:rPr>
        <w:t xml:space="preserve">posal includes a </w:t>
      </w:r>
      <w:r w:rsidRPr="00135DE2">
        <w:rPr>
          <w:rFonts w:cs="Arial"/>
        </w:rPr>
        <w:t xml:space="preserve">package of reforms </w:t>
      </w:r>
      <w:r>
        <w:rPr>
          <w:rFonts w:cs="Arial"/>
        </w:rPr>
        <w:t>that will</w:t>
      </w:r>
      <w:r w:rsidRPr="00135DE2">
        <w:rPr>
          <w:rFonts w:cs="Arial"/>
        </w:rPr>
        <w:t xml:space="preserve"> significantly enhance the opportunity for DTA clients to fully participate in and benefit from the state’s broader workforce development strategy, and to help meet the need for qualified workers in high demand industries.  The total cost for building incentives to support the economic mobility and employment for TAFDC clients and their families is $2.8 million, and is comprised of certain increased grants, higher asset limits, and earned income disregards.</w:t>
      </w:r>
    </w:p>
    <w:p w:rsidR="00457011" w:rsidRPr="00135DE2" w:rsidRDefault="00457011" w:rsidP="00457011">
      <w:pPr>
        <w:rPr>
          <w:rFonts w:cs="Arial"/>
        </w:rPr>
      </w:pPr>
    </w:p>
    <w:p w:rsidR="009B5316" w:rsidRPr="00C61F2A" w:rsidRDefault="009B5316" w:rsidP="00457011">
      <w:pPr>
        <w:pStyle w:val="Body"/>
        <w:spacing w:after="0" w:line="240" w:lineRule="auto"/>
        <w:rPr>
          <w:rFonts w:ascii="Times New Roman" w:hAnsi="Times New Roman" w:cs="Times New Roman"/>
        </w:rPr>
      </w:pPr>
    </w:p>
    <w:sectPr w:rsidR="009B5316" w:rsidRPr="00C61F2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26A" w:rsidRDefault="0087026A">
      <w:r>
        <w:separator/>
      </w:r>
    </w:p>
  </w:endnote>
  <w:endnote w:type="continuationSeparator" w:id="0">
    <w:p w:rsidR="0087026A" w:rsidRDefault="0087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3B" w:rsidRDefault="00714824">
    <w:pPr>
      <w:pStyle w:val="Footer"/>
      <w:jc w:val="center"/>
    </w:pPr>
    <w:r>
      <w:fldChar w:fldCharType="begin"/>
    </w:r>
    <w:r>
      <w:instrText xml:space="preserve"> PAGE </w:instrText>
    </w:r>
    <w:r>
      <w:fldChar w:fldCharType="separate"/>
    </w:r>
    <w:r w:rsidR="00EC3285">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26A" w:rsidRDefault="0087026A">
      <w:r>
        <w:separator/>
      </w:r>
    </w:p>
  </w:footnote>
  <w:footnote w:type="continuationSeparator" w:id="0">
    <w:p w:rsidR="0087026A" w:rsidRDefault="0087026A">
      <w:r>
        <w:continuationSeparator/>
      </w:r>
    </w:p>
  </w:footnote>
  <w:footnote w:type="continuationNotice" w:id="1">
    <w:p w:rsidR="0087026A" w:rsidRDefault="0087026A"/>
  </w:footnote>
  <w:footnote w:id="2">
    <w:p w:rsidR="00FC0F9F" w:rsidRDefault="00FC0F9F">
      <w:pPr>
        <w:pStyle w:val="FootnoteText"/>
      </w:pPr>
      <w:r>
        <w:rPr>
          <w:rStyle w:val="FootnoteReference"/>
        </w:rPr>
        <w:footnoteRef/>
      </w:r>
      <w:r>
        <w:t xml:space="preserve"> Caseload as of </w:t>
      </w:r>
      <w:r w:rsidR="00D043E2">
        <w:t xml:space="preserve">October </w:t>
      </w:r>
      <w:r>
        <w:t>201</w:t>
      </w:r>
      <w:r w:rsidR="00D043E2">
        <w:t>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3B" w:rsidRDefault="00AF273B">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660"/>
    <w:multiLevelType w:val="multilevel"/>
    <w:tmpl w:val="62720E0A"/>
    <w:styleLink w:val="ImportedStyle5"/>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
    <w:nsid w:val="05872D0F"/>
    <w:multiLevelType w:val="multilevel"/>
    <w:tmpl w:val="8714AD66"/>
    <w:styleLink w:val="ImportedStyle4"/>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
    <w:nsid w:val="09AA5F68"/>
    <w:multiLevelType w:val="multilevel"/>
    <w:tmpl w:val="A9C6BBF8"/>
    <w:styleLink w:val="ImportedStyle7"/>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3">
    <w:nsid w:val="145833A3"/>
    <w:multiLevelType w:val="multilevel"/>
    <w:tmpl w:val="41C23938"/>
    <w:styleLink w:val="ImportedStyle6"/>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4">
    <w:nsid w:val="2BDA7B37"/>
    <w:multiLevelType w:val="multilevel"/>
    <w:tmpl w:val="61C8C41E"/>
    <w:styleLink w:val="ImportedStyle1"/>
    <w:lvl w:ilvl="0">
      <w:numFmt w:val="bullet"/>
      <w:lvlText w:val="•"/>
      <w:lvlJc w:val="left"/>
      <w:pPr>
        <w:tabs>
          <w:tab w:val="num" w:pos="330"/>
        </w:tabs>
        <w:ind w:left="330" w:hanging="330"/>
      </w:pPr>
      <w:rPr>
        <w:rFonts w:ascii="Times New Roman" w:eastAsia="Times New Roman" w:hAnsi="Times New Roman" w:cs="Times New Roman"/>
        <w:position w:val="0"/>
      </w:rPr>
    </w:lvl>
    <w:lvl w:ilvl="1">
      <w:start w:val="1"/>
      <w:numFmt w:val="bullet"/>
      <w:lvlText w:val="o"/>
      <w:lvlJc w:val="left"/>
      <w:pPr>
        <w:tabs>
          <w:tab w:val="num" w:pos="1410"/>
        </w:tabs>
        <w:ind w:left="1410" w:hanging="330"/>
      </w:pPr>
      <w:rPr>
        <w:rFonts w:ascii="Times New Roman" w:eastAsia="Times New Roman" w:hAnsi="Times New Roman" w:cs="Times New Roman"/>
        <w:position w:val="0"/>
      </w:rPr>
    </w:lvl>
    <w:lvl w:ilvl="2">
      <w:start w:val="1"/>
      <w:numFmt w:val="bullet"/>
      <w:lvlText w:val="▪"/>
      <w:lvlJc w:val="left"/>
      <w:pPr>
        <w:tabs>
          <w:tab w:val="num" w:pos="2130"/>
        </w:tabs>
        <w:ind w:left="2130" w:hanging="330"/>
      </w:pPr>
      <w:rPr>
        <w:rFonts w:ascii="Times New Roman" w:eastAsia="Times New Roman" w:hAnsi="Times New Roman" w:cs="Times New Roman"/>
        <w:position w:val="0"/>
      </w:rPr>
    </w:lvl>
    <w:lvl w:ilvl="3">
      <w:start w:val="1"/>
      <w:numFmt w:val="bullet"/>
      <w:lvlText w:val="•"/>
      <w:lvlJc w:val="left"/>
      <w:pPr>
        <w:tabs>
          <w:tab w:val="num" w:pos="2850"/>
        </w:tabs>
        <w:ind w:left="2850" w:hanging="330"/>
      </w:pPr>
      <w:rPr>
        <w:rFonts w:ascii="Times New Roman" w:eastAsia="Times New Roman" w:hAnsi="Times New Roman" w:cs="Times New Roman"/>
        <w:position w:val="0"/>
      </w:rPr>
    </w:lvl>
    <w:lvl w:ilvl="4">
      <w:start w:val="1"/>
      <w:numFmt w:val="bullet"/>
      <w:lvlText w:val="o"/>
      <w:lvlJc w:val="left"/>
      <w:pPr>
        <w:tabs>
          <w:tab w:val="num" w:pos="3570"/>
        </w:tabs>
        <w:ind w:left="3570" w:hanging="330"/>
      </w:pPr>
      <w:rPr>
        <w:rFonts w:ascii="Times New Roman" w:eastAsia="Times New Roman" w:hAnsi="Times New Roman" w:cs="Times New Roman"/>
        <w:position w:val="0"/>
      </w:rPr>
    </w:lvl>
    <w:lvl w:ilvl="5">
      <w:start w:val="1"/>
      <w:numFmt w:val="bullet"/>
      <w:lvlText w:val="▪"/>
      <w:lvlJc w:val="left"/>
      <w:pPr>
        <w:tabs>
          <w:tab w:val="num" w:pos="4290"/>
        </w:tabs>
        <w:ind w:left="4290" w:hanging="330"/>
      </w:pPr>
      <w:rPr>
        <w:rFonts w:ascii="Times New Roman" w:eastAsia="Times New Roman" w:hAnsi="Times New Roman" w:cs="Times New Roman"/>
        <w:position w:val="0"/>
      </w:rPr>
    </w:lvl>
    <w:lvl w:ilvl="6">
      <w:start w:val="1"/>
      <w:numFmt w:val="bullet"/>
      <w:lvlText w:val="•"/>
      <w:lvlJc w:val="left"/>
      <w:pPr>
        <w:tabs>
          <w:tab w:val="num" w:pos="5010"/>
        </w:tabs>
        <w:ind w:left="5010" w:hanging="330"/>
      </w:pPr>
      <w:rPr>
        <w:rFonts w:ascii="Times New Roman" w:eastAsia="Times New Roman" w:hAnsi="Times New Roman" w:cs="Times New Roman"/>
        <w:position w:val="0"/>
      </w:rPr>
    </w:lvl>
    <w:lvl w:ilvl="7">
      <w:start w:val="1"/>
      <w:numFmt w:val="bullet"/>
      <w:lvlText w:val="o"/>
      <w:lvlJc w:val="left"/>
      <w:pPr>
        <w:tabs>
          <w:tab w:val="num" w:pos="5730"/>
        </w:tabs>
        <w:ind w:left="5730" w:hanging="330"/>
      </w:pPr>
      <w:rPr>
        <w:rFonts w:ascii="Times New Roman" w:eastAsia="Times New Roman" w:hAnsi="Times New Roman" w:cs="Times New Roman"/>
        <w:position w:val="0"/>
      </w:rPr>
    </w:lvl>
    <w:lvl w:ilvl="8">
      <w:start w:val="1"/>
      <w:numFmt w:val="bullet"/>
      <w:lvlText w:val="▪"/>
      <w:lvlJc w:val="left"/>
      <w:pPr>
        <w:tabs>
          <w:tab w:val="num" w:pos="6450"/>
        </w:tabs>
        <w:ind w:left="6450" w:hanging="330"/>
      </w:pPr>
      <w:rPr>
        <w:rFonts w:ascii="Times New Roman" w:eastAsia="Times New Roman" w:hAnsi="Times New Roman" w:cs="Times New Roman"/>
        <w:position w:val="0"/>
      </w:rPr>
    </w:lvl>
  </w:abstractNum>
  <w:abstractNum w:abstractNumId="5">
    <w:nsid w:val="2ED26101"/>
    <w:multiLevelType w:val="hybridMultilevel"/>
    <w:tmpl w:val="733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6623A"/>
    <w:multiLevelType w:val="multilevel"/>
    <w:tmpl w:val="33EC595C"/>
    <w:styleLink w:val="ImportedStyle8"/>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7">
    <w:nsid w:val="33C24A40"/>
    <w:multiLevelType w:val="hybridMultilevel"/>
    <w:tmpl w:val="7AA8EF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42A457DF"/>
    <w:multiLevelType w:val="multilevel"/>
    <w:tmpl w:val="B0B80A76"/>
    <w:styleLink w:val="ImportedStyle3"/>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9">
    <w:nsid w:val="46DD532C"/>
    <w:multiLevelType w:val="hybridMultilevel"/>
    <w:tmpl w:val="20D6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AB725F"/>
    <w:multiLevelType w:val="hybridMultilevel"/>
    <w:tmpl w:val="E1D8C8E0"/>
    <w:lvl w:ilvl="0" w:tplc="04090011">
      <w:start w:val="1"/>
      <w:numFmt w:val="decimal"/>
      <w:lvlText w:val="%1)"/>
      <w:lvlJc w:val="left"/>
      <w:pPr>
        <w:ind w:left="720" w:hanging="360"/>
      </w:pPr>
    </w:lvl>
    <w:lvl w:ilvl="1" w:tplc="BC50BF36">
      <w:start w:val="1"/>
      <w:numFmt w:val="decimal"/>
      <w:lvlText w:val="%2."/>
      <w:lvlJc w:val="left"/>
      <w:pPr>
        <w:ind w:left="1440" w:hanging="360"/>
      </w:pPr>
      <w:rPr>
        <w:rFonts w:ascii="Gill Sans MT" w:eastAsia="Calibri" w:hAnsi="Gill Sans MT"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53ED0"/>
    <w:multiLevelType w:val="hybridMultilevel"/>
    <w:tmpl w:val="4B7A04E2"/>
    <w:lvl w:ilvl="0" w:tplc="69042134">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5E5C72"/>
    <w:multiLevelType w:val="hybridMultilevel"/>
    <w:tmpl w:val="A26CA2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5A3F705D"/>
    <w:multiLevelType w:val="hybridMultilevel"/>
    <w:tmpl w:val="FD80A868"/>
    <w:lvl w:ilvl="0" w:tplc="4A1C80BC">
      <w:start w:val="1"/>
      <w:numFmt w:val="bullet"/>
      <w:lvlText w:val=""/>
      <w:lvlJc w:val="left"/>
      <w:pPr>
        <w:tabs>
          <w:tab w:val="num" w:pos="720"/>
        </w:tabs>
        <w:ind w:left="720" w:hanging="360"/>
      </w:pPr>
      <w:rPr>
        <w:rFonts w:ascii="Wingdings 2" w:hAnsi="Wingdings 2" w:hint="default"/>
      </w:rPr>
    </w:lvl>
    <w:lvl w:ilvl="1" w:tplc="4DD8ACD2">
      <w:start w:val="1"/>
      <w:numFmt w:val="bullet"/>
      <w:lvlText w:val=""/>
      <w:lvlJc w:val="left"/>
      <w:pPr>
        <w:tabs>
          <w:tab w:val="num" w:pos="1440"/>
        </w:tabs>
        <w:ind w:left="1440" w:hanging="360"/>
      </w:pPr>
      <w:rPr>
        <w:rFonts w:ascii="Wingdings 2" w:hAnsi="Wingdings 2" w:hint="default"/>
      </w:rPr>
    </w:lvl>
    <w:lvl w:ilvl="2" w:tplc="A1024022" w:tentative="1">
      <w:start w:val="1"/>
      <w:numFmt w:val="bullet"/>
      <w:lvlText w:val=""/>
      <w:lvlJc w:val="left"/>
      <w:pPr>
        <w:tabs>
          <w:tab w:val="num" w:pos="2160"/>
        </w:tabs>
        <w:ind w:left="2160" w:hanging="360"/>
      </w:pPr>
      <w:rPr>
        <w:rFonts w:ascii="Wingdings 2" w:hAnsi="Wingdings 2" w:hint="default"/>
      </w:rPr>
    </w:lvl>
    <w:lvl w:ilvl="3" w:tplc="AB8EE2EE" w:tentative="1">
      <w:start w:val="1"/>
      <w:numFmt w:val="bullet"/>
      <w:lvlText w:val=""/>
      <w:lvlJc w:val="left"/>
      <w:pPr>
        <w:tabs>
          <w:tab w:val="num" w:pos="2880"/>
        </w:tabs>
        <w:ind w:left="2880" w:hanging="360"/>
      </w:pPr>
      <w:rPr>
        <w:rFonts w:ascii="Wingdings 2" w:hAnsi="Wingdings 2" w:hint="default"/>
      </w:rPr>
    </w:lvl>
    <w:lvl w:ilvl="4" w:tplc="69CE8B5E" w:tentative="1">
      <w:start w:val="1"/>
      <w:numFmt w:val="bullet"/>
      <w:lvlText w:val=""/>
      <w:lvlJc w:val="left"/>
      <w:pPr>
        <w:tabs>
          <w:tab w:val="num" w:pos="3600"/>
        </w:tabs>
        <w:ind w:left="3600" w:hanging="360"/>
      </w:pPr>
      <w:rPr>
        <w:rFonts w:ascii="Wingdings 2" w:hAnsi="Wingdings 2" w:hint="default"/>
      </w:rPr>
    </w:lvl>
    <w:lvl w:ilvl="5" w:tplc="0B3C3C6E" w:tentative="1">
      <w:start w:val="1"/>
      <w:numFmt w:val="bullet"/>
      <w:lvlText w:val=""/>
      <w:lvlJc w:val="left"/>
      <w:pPr>
        <w:tabs>
          <w:tab w:val="num" w:pos="4320"/>
        </w:tabs>
        <w:ind w:left="4320" w:hanging="360"/>
      </w:pPr>
      <w:rPr>
        <w:rFonts w:ascii="Wingdings 2" w:hAnsi="Wingdings 2" w:hint="default"/>
      </w:rPr>
    </w:lvl>
    <w:lvl w:ilvl="6" w:tplc="D41CEFAA" w:tentative="1">
      <w:start w:val="1"/>
      <w:numFmt w:val="bullet"/>
      <w:lvlText w:val=""/>
      <w:lvlJc w:val="left"/>
      <w:pPr>
        <w:tabs>
          <w:tab w:val="num" w:pos="5040"/>
        </w:tabs>
        <w:ind w:left="5040" w:hanging="360"/>
      </w:pPr>
      <w:rPr>
        <w:rFonts w:ascii="Wingdings 2" w:hAnsi="Wingdings 2" w:hint="default"/>
      </w:rPr>
    </w:lvl>
    <w:lvl w:ilvl="7" w:tplc="16204D44" w:tentative="1">
      <w:start w:val="1"/>
      <w:numFmt w:val="bullet"/>
      <w:lvlText w:val=""/>
      <w:lvlJc w:val="left"/>
      <w:pPr>
        <w:tabs>
          <w:tab w:val="num" w:pos="5760"/>
        </w:tabs>
        <w:ind w:left="5760" w:hanging="360"/>
      </w:pPr>
      <w:rPr>
        <w:rFonts w:ascii="Wingdings 2" w:hAnsi="Wingdings 2" w:hint="default"/>
      </w:rPr>
    </w:lvl>
    <w:lvl w:ilvl="8" w:tplc="AB2A0CD6" w:tentative="1">
      <w:start w:val="1"/>
      <w:numFmt w:val="bullet"/>
      <w:lvlText w:val=""/>
      <w:lvlJc w:val="left"/>
      <w:pPr>
        <w:tabs>
          <w:tab w:val="num" w:pos="6480"/>
        </w:tabs>
        <w:ind w:left="6480" w:hanging="360"/>
      </w:pPr>
      <w:rPr>
        <w:rFonts w:ascii="Wingdings 2" w:hAnsi="Wingdings 2" w:hint="default"/>
      </w:rPr>
    </w:lvl>
  </w:abstractNum>
  <w:abstractNum w:abstractNumId="14">
    <w:nsid w:val="674513E6"/>
    <w:multiLevelType w:val="hybridMultilevel"/>
    <w:tmpl w:val="2DDA5B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nsid w:val="6FB23D13"/>
    <w:multiLevelType w:val="multilevel"/>
    <w:tmpl w:val="93468D72"/>
    <w:styleLink w:val="ImportedStyle2"/>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6">
    <w:nsid w:val="70967130"/>
    <w:multiLevelType w:val="hybridMultilevel"/>
    <w:tmpl w:val="839EC03A"/>
    <w:lvl w:ilvl="0" w:tplc="BA4CA056">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8"/>
  </w:num>
  <w:num w:numId="4">
    <w:abstractNumId w:val="1"/>
  </w:num>
  <w:num w:numId="5">
    <w:abstractNumId w:val="0"/>
  </w:num>
  <w:num w:numId="6">
    <w:abstractNumId w:val="3"/>
  </w:num>
  <w:num w:numId="7">
    <w:abstractNumId w:val="2"/>
  </w:num>
  <w:num w:numId="8">
    <w:abstractNumId w:val="6"/>
  </w:num>
  <w:num w:numId="9">
    <w:abstractNumId w:val="12"/>
  </w:num>
  <w:num w:numId="10">
    <w:abstractNumId w:val="14"/>
  </w:num>
  <w:num w:numId="11">
    <w:abstractNumId w:val="11"/>
  </w:num>
  <w:num w:numId="12">
    <w:abstractNumId w:val="13"/>
  </w:num>
  <w:num w:numId="13">
    <w:abstractNumId w:val="7"/>
  </w:num>
  <w:num w:numId="14">
    <w:abstractNumId w:val="5"/>
  </w:num>
  <w:num w:numId="15">
    <w:abstractNumId w:val="9"/>
  </w:num>
  <w:num w:numId="16">
    <w:abstractNumId w:val="16"/>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AF273B"/>
    <w:rsid w:val="00021876"/>
    <w:rsid w:val="00023700"/>
    <w:rsid w:val="00036D4B"/>
    <w:rsid w:val="000545EB"/>
    <w:rsid w:val="0007402E"/>
    <w:rsid w:val="00082664"/>
    <w:rsid w:val="00086C5D"/>
    <w:rsid w:val="0009592E"/>
    <w:rsid w:val="000B12E4"/>
    <w:rsid w:val="000B42E4"/>
    <w:rsid w:val="000B7343"/>
    <w:rsid w:val="00103986"/>
    <w:rsid w:val="00131E2E"/>
    <w:rsid w:val="001349C5"/>
    <w:rsid w:val="001378E0"/>
    <w:rsid w:val="00143625"/>
    <w:rsid w:val="001458A2"/>
    <w:rsid w:val="001A4A1F"/>
    <w:rsid w:val="001B41D4"/>
    <w:rsid w:val="001B6686"/>
    <w:rsid w:val="001C6E6B"/>
    <w:rsid w:val="001D4084"/>
    <w:rsid w:val="001F4185"/>
    <w:rsid w:val="002050C2"/>
    <w:rsid w:val="00205F78"/>
    <w:rsid w:val="002161A8"/>
    <w:rsid w:val="00220BBB"/>
    <w:rsid w:val="002417B2"/>
    <w:rsid w:val="00246117"/>
    <w:rsid w:val="0025749B"/>
    <w:rsid w:val="00257C63"/>
    <w:rsid w:val="00262FC4"/>
    <w:rsid w:val="00265B74"/>
    <w:rsid w:val="00274C1B"/>
    <w:rsid w:val="00274D62"/>
    <w:rsid w:val="00282378"/>
    <w:rsid w:val="00285724"/>
    <w:rsid w:val="002A23E1"/>
    <w:rsid w:val="002E129B"/>
    <w:rsid w:val="002E5FB7"/>
    <w:rsid w:val="002F0023"/>
    <w:rsid w:val="002F051B"/>
    <w:rsid w:val="002F6822"/>
    <w:rsid w:val="002F69A7"/>
    <w:rsid w:val="00304326"/>
    <w:rsid w:val="003103C3"/>
    <w:rsid w:val="00312C7C"/>
    <w:rsid w:val="0031749B"/>
    <w:rsid w:val="003472A4"/>
    <w:rsid w:val="00366D3F"/>
    <w:rsid w:val="0039765F"/>
    <w:rsid w:val="003A6FA8"/>
    <w:rsid w:val="003B7DEA"/>
    <w:rsid w:val="003C1725"/>
    <w:rsid w:val="003C1B1B"/>
    <w:rsid w:val="003E04E2"/>
    <w:rsid w:val="003E3330"/>
    <w:rsid w:val="004321C6"/>
    <w:rsid w:val="00451E64"/>
    <w:rsid w:val="00452675"/>
    <w:rsid w:val="00457011"/>
    <w:rsid w:val="00462781"/>
    <w:rsid w:val="00465B5F"/>
    <w:rsid w:val="004703A2"/>
    <w:rsid w:val="00473D99"/>
    <w:rsid w:val="004776EB"/>
    <w:rsid w:val="00477FA8"/>
    <w:rsid w:val="004832D6"/>
    <w:rsid w:val="0049077F"/>
    <w:rsid w:val="004964F0"/>
    <w:rsid w:val="004A03BF"/>
    <w:rsid w:val="004B43B7"/>
    <w:rsid w:val="004D7DF8"/>
    <w:rsid w:val="00505012"/>
    <w:rsid w:val="00506EBB"/>
    <w:rsid w:val="00516F7C"/>
    <w:rsid w:val="0053400D"/>
    <w:rsid w:val="00555C2D"/>
    <w:rsid w:val="00560CBE"/>
    <w:rsid w:val="00560CE3"/>
    <w:rsid w:val="005776FE"/>
    <w:rsid w:val="00580F4D"/>
    <w:rsid w:val="0058163D"/>
    <w:rsid w:val="005B3D46"/>
    <w:rsid w:val="005B56EE"/>
    <w:rsid w:val="005E179C"/>
    <w:rsid w:val="005F2F6E"/>
    <w:rsid w:val="0060463A"/>
    <w:rsid w:val="00637322"/>
    <w:rsid w:val="00650BC4"/>
    <w:rsid w:val="00653FDE"/>
    <w:rsid w:val="006639FA"/>
    <w:rsid w:val="00663F34"/>
    <w:rsid w:val="006656EA"/>
    <w:rsid w:val="00667D18"/>
    <w:rsid w:val="00673CE8"/>
    <w:rsid w:val="006833A1"/>
    <w:rsid w:val="006B471C"/>
    <w:rsid w:val="006B7B13"/>
    <w:rsid w:val="006C53AA"/>
    <w:rsid w:val="006D5374"/>
    <w:rsid w:val="006E6FB8"/>
    <w:rsid w:val="006F4F26"/>
    <w:rsid w:val="0071481D"/>
    <w:rsid w:val="00714824"/>
    <w:rsid w:val="00736211"/>
    <w:rsid w:val="00744493"/>
    <w:rsid w:val="0074454A"/>
    <w:rsid w:val="00764C5F"/>
    <w:rsid w:val="00766182"/>
    <w:rsid w:val="00794134"/>
    <w:rsid w:val="00795F14"/>
    <w:rsid w:val="007B6E6C"/>
    <w:rsid w:val="007C24E2"/>
    <w:rsid w:val="007C28E2"/>
    <w:rsid w:val="007D0FF5"/>
    <w:rsid w:val="007D317B"/>
    <w:rsid w:val="007E6D14"/>
    <w:rsid w:val="00810E9E"/>
    <w:rsid w:val="00815CF5"/>
    <w:rsid w:val="0082327E"/>
    <w:rsid w:val="008421C2"/>
    <w:rsid w:val="00843CE5"/>
    <w:rsid w:val="008662F3"/>
    <w:rsid w:val="0087026A"/>
    <w:rsid w:val="00881CB7"/>
    <w:rsid w:val="00894E9C"/>
    <w:rsid w:val="008A3666"/>
    <w:rsid w:val="008B0E9E"/>
    <w:rsid w:val="008C1E18"/>
    <w:rsid w:val="008E77FD"/>
    <w:rsid w:val="008E7DDE"/>
    <w:rsid w:val="00917BE7"/>
    <w:rsid w:val="00956614"/>
    <w:rsid w:val="00965447"/>
    <w:rsid w:val="00973512"/>
    <w:rsid w:val="00982654"/>
    <w:rsid w:val="00982B8B"/>
    <w:rsid w:val="00991549"/>
    <w:rsid w:val="00991AB4"/>
    <w:rsid w:val="009B4E7E"/>
    <w:rsid w:val="009B5316"/>
    <w:rsid w:val="009C3D2C"/>
    <w:rsid w:val="009C5AD0"/>
    <w:rsid w:val="009D0CD0"/>
    <w:rsid w:val="009E175D"/>
    <w:rsid w:val="009E717F"/>
    <w:rsid w:val="009E743A"/>
    <w:rsid w:val="009E7A6E"/>
    <w:rsid w:val="00A114CF"/>
    <w:rsid w:val="00A52A71"/>
    <w:rsid w:val="00A72453"/>
    <w:rsid w:val="00A726B9"/>
    <w:rsid w:val="00A85781"/>
    <w:rsid w:val="00AA16C9"/>
    <w:rsid w:val="00AA2C72"/>
    <w:rsid w:val="00AB3AE8"/>
    <w:rsid w:val="00AB4FF5"/>
    <w:rsid w:val="00AC22DC"/>
    <w:rsid w:val="00AE000C"/>
    <w:rsid w:val="00AE676B"/>
    <w:rsid w:val="00AF0606"/>
    <w:rsid w:val="00AF273B"/>
    <w:rsid w:val="00B249D5"/>
    <w:rsid w:val="00B30C76"/>
    <w:rsid w:val="00B33E00"/>
    <w:rsid w:val="00B34C3A"/>
    <w:rsid w:val="00B419BF"/>
    <w:rsid w:val="00B63D6F"/>
    <w:rsid w:val="00B90584"/>
    <w:rsid w:val="00B90C8F"/>
    <w:rsid w:val="00BB0FB3"/>
    <w:rsid w:val="00BE6601"/>
    <w:rsid w:val="00BF4705"/>
    <w:rsid w:val="00BF6496"/>
    <w:rsid w:val="00BF7F3A"/>
    <w:rsid w:val="00C16F3A"/>
    <w:rsid w:val="00C3073A"/>
    <w:rsid w:val="00C3309A"/>
    <w:rsid w:val="00C54372"/>
    <w:rsid w:val="00C61F2A"/>
    <w:rsid w:val="00C63D66"/>
    <w:rsid w:val="00C6407C"/>
    <w:rsid w:val="00C73512"/>
    <w:rsid w:val="00C75BF4"/>
    <w:rsid w:val="00C835C4"/>
    <w:rsid w:val="00C83732"/>
    <w:rsid w:val="00C94A1F"/>
    <w:rsid w:val="00CB74E2"/>
    <w:rsid w:val="00CC64FC"/>
    <w:rsid w:val="00CD14BB"/>
    <w:rsid w:val="00CF6182"/>
    <w:rsid w:val="00D043E2"/>
    <w:rsid w:val="00D05564"/>
    <w:rsid w:val="00D05C03"/>
    <w:rsid w:val="00D173EC"/>
    <w:rsid w:val="00D44D88"/>
    <w:rsid w:val="00D50AEE"/>
    <w:rsid w:val="00D67CAF"/>
    <w:rsid w:val="00D90954"/>
    <w:rsid w:val="00D90A01"/>
    <w:rsid w:val="00DA1177"/>
    <w:rsid w:val="00DA6873"/>
    <w:rsid w:val="00DB1B34"/>
    <w:rsid w:val="00DB41D4"/>
    <w:rsid w:val="00DC7B15"/>
    <w:rsid w:val="00DD761A"/>
    <w:rsid w:val="00DE1295"/>
    <w:rsid w:val="00E10BB2"/>
    <w:rsid w:val="00E32733"/>
    <w:rsid w:val="00E33F9E"/>
    <w:rsid w:val="00E55A91"/>
    <w:rsid w:val="00E6101B"/>
    <w:rsid w:val="00E73FDB"/>
    <w:rsid w:val="00E76EAF"/>
    <w:rsid w:val="00E86EE4"/>
    <w:rsid w:val="00E9411A"/>
    <w:rsid w:val="00EA4456"/>
    <w:rsid w:val="00EC2C77"/>
    <w:rsid w:val="00EC3285"/>
    <w:rsid w:val="00EC5A0E"/>
    <w:rsid w:val="00ED478A"/>
    <w:rsid w:val="00EE1C19"/>
    <w:rsid w:val="00EE5FA3"/>
    <w:rsid w:val="00F01EEC"/>
    <w:rsid w:val="00F0498D"/>
    <w:rsid w:val="00F12841"/>
    <w:rsid w:val="00F2481B"/>
    <w:rsid w:val="00F358A9"/>
    <w:rsid w:val="00F400CB"/>
    <w:rsid w:val="00F4481D"/>
    <w:rsid w:val="00F57FA8"/>
    <w:rsid w:val="00F6642A"/>
    <w:rsid w:val="00F71118"/>
    <w:rsid w:val="00F837F3"/>
    <w:rsid w:val="00F867AA"/>
    <w:rsid w:val="00F964F3"/>
    <w:rsid w:val="00FB5B99"/>
    <w:rsid w:val="00FC0F9F"/>
    <w:rsid w:val="00FC299D"/>
    <w:rsid w:val="00FC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pPr>
    <w:rPr>
      <w:rFonts w:eastAsia="Times New Roman"/>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NoSpacing">
    <w:name w:val="No Spacing"/>
    <w:pPr>
      <w:spacing w:after="200" w:line="276" w:lineRule="auto"/>
    </w:pPr>
    <w:rPr>
      <w:rFonts w:eastAsia="Times New Roman"/>
      <w:color w:val="000000"/>
      <w:sz w:val="24"/>
      <w:szCs w:val="24"/>
      <w:u w:color="000000"/>
    </w:rPr>
  </w:style>
  <w:style w:type="paragraph" w:styleId="FootnoteText">
    <w:name w:val="footnote text"/>
    <w:link w:val="FootnoteTextChar"/>
    <w:pPr>
      <w:spacing w:after="200" w:line="276" w:lineRule="auto"/>
    </w:pPr>
    <w:rPr>
      <w:rFonts w:ascii="Calibri" w:eastAsia="Calibri" w:hAnsi="Calibri" w:cs="Calibri"/>
      <w:color w:val="000000"/>
      <w:u w:color="000000"/>
    </w:rPr>
  </w:style>
  <w:style w:type="paragraph" w:styleId="ListParagraph">
    <w:name w:val="List Paragraph"/>
    <w:qFormat/>
    <w:pPr>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basedOn w:val="DefaultParagraphFont"/>
    <w:link w:val="BalloonText"/>
    <w:uiPriority w:val="99"/>
    <w:semiHidden/>
    <w:rsid w:val="00A52A71"/>
    <w:rPr>
      <w:rFonts w:ascii="Tahoma" w:hAnsi="Tahoma" w:cs="Tahoma"/>
      <w:sz w:val="16"/>
      <w:szCs w:val="16"/>
    </w:rPr>
  </w:style>
  <w:style w:type="character" w:styleId="FootnoteReference">
    <w:name w:val="footnote reference"/>
    <w:basedOn w:val="DefaultParagraphFont"/>
    <w:uiPriority w:val="99"/>
    <w:semiHidden/>
    <w:unhideWhenUsed/>
    <w:rsid w:val="008C1E18"/>
    <w:rPr>
      <w:vertAlign w:val="superscript"/>
    </w:rPr>
  </w:style>
  <w:style w:type="paragraph" w:customStyle="1" w:styleId="DefaultText">
    <w:name w:val="Default Text"/>
    <w:basedOn w:val="Normal"/>
    <w:rsid w:val="00506EB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Cs w:val="20"/>
      <w:bdr w:val="none" w:sz="0" w:space="0" w:color="auto"/>
    </w:rPr>
  </w:style>
  <w:style w:type="character" w:customStyle="1" w:styleId="FootnoteTextChar">
    <w:name w:val="Footnote Text Char"/>
    <w:basedOn w:val="DefaultParagraphFont"/>
    <w:link w:val="FootnoteText"/>
    <w:uiPriority w:val="99"/>
    <w:rsid w:val="00BF7F3A"/>
    <w:rPr>
      <w:rFonts w:ascii="Calibri" w:eastAsia="Calibri" w:hAnsi="Calibri" w:cs="Calibri"/>
      <w:color w:val="000000"/>
      <w:u w:color="000000"/>
    </w:rPr>
  </w:style>
  <w:style w:type="character" w:styleId="CommentReference">
    <w:name w:val="annotation reference"/>
    <w:basedOn w:val="DefaultParagraphFont"/>
    <w:uiPriority w:val="99"/>
    <w:semiHidden/>
    <w:unhideWhenUsed/>
    <w:rsid w:val="00C3309A"/>
    <w:rPr>
      <w:sz w:val="16"/>
      <w:szCs w:val="16"/>
    </w:rPr>
  </w:style>
  <w:style w:type="paragraph" w:styleId="CommentText">
    <w:name w:val="annotation text"/>
    <w:basedOn w:val="Normal"/>
    <w:link w:val="CommentTextChar"/>
    <w:uiPriority w:val="99"/>
    <w:semiHidden/>
    <w:unhideWhenUsed/>
    <w:rsid w:val="00C3309A"/>
    <w:rPr>
      <w:sz w:val="20"/>
      <w:szCs w:val="20"/>
    </w:rPr>
  </w:style>
  <w:style w:type="character" w:customStyle="1" w:styleId="CommentTextChar">
    <w:name w:val="Comment Text Char"/>
    <w:basedOn w:val="DefaultParagraphFont"/>
    <w:link w:val="CommentText"/>
    <w:uiPriority w:val="99"/>
    <w:semiHidden/>
    <w:rsid w:val="00C3309A"/>
  </w:style>
  <w:style w:type="paragraph" w:styleId="CommentSubject">
    <w:name w:val="annotation subject"/>
    <w:basedOn w:val="CommentText"/>
    <w:next w:val="CommentText"/>
    <w:link w:val="CommentSubjectChar"/>
    <w:uiPriority w:val="99"/>
    <w:semiHidden/>
    <w:unhideWhenUsed/>
    <w:rsid w:val="00C3309A"/>
    <w:rPr>
      <w:b/>
      <w:bCs/>
    </w:rPr>
  </w:style>
  <w:style w:type="character" w:customStyle="1" w:styleId="CommentSubjectChar">
    <w:name w:val="Comment Subject Char"/>
    <w:basedOn w:val="CommentTextChar"/>
    <w:link w:val="CommentSubject"/>
    <w:uiPriority w:val="99"/>
    <w:semiHidden/>
    <w:rsid w:val="00C3309A"/>
    <w:rPr>
      <w:b/>
      <w:bCs/>
    </w:rPr>
  </w:style>
  <w:style w:type="paragraph" w:styleId="PlainText">
    <w:name w:val="Plain Text"/>
    <w:basedOn w:val="Normal"/>
    <w:link w:val="PlainTextChar"/>
    <w:uiPriority w:val="99"/>
    <w:semiHidden/>
    <w:unhideWhenUsed/>
    <w:rsid w:val="004964F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character" w:customStyle="1" w:styleId="PlainTextChar">
    <w:name w:val="Plain Text Char"/>
    <w:basedOn w:val="DefaultParagraphFont"/>
    <w:link w:val="PlainText"/>
    <w:uiPriority w:val="99"/>
    <w:semiHidden/>
    <w:rsid w:val="004964F0"/>
    <w:rPr>
      <w:rFonts w:ascii="Calibri" w:eastAsia="Calibri" w:hAnsi="Calibri"/>
      <w:sz w:val="22"/>
      <w:szCs w:val="22"/>
      <w:bdr w:val="none" w:sz="0" w:space="0" w:color="auto"/>
    </w:rPr>
  </w:style>
  <w:style w:type="paragraph" w:customStyle="1" w:styleId="Default">
    <w:name w:val="Default"/>
    <w:rsid w:val="00496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mbria" w:eastAsia="Calibri" w:hAnsi="Cambria" w:cs="Cambria"/>
      <w:color w:val="000000"/>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pPr>
    <w:rPr>
      <w:rFonts w:eastAsia="Times New Roman"/>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NoSpacing">
    <w:name w:val="No Spacing"/>
    <w:pPr>
      <w:spacing w:after="200" w:line="276" w:lineRule="auto"/>
    </w:pPr>
    <w:rPr>
      <w:rFonts w:eastAsia="Times New Roman"/>
      <w:color w:val="000000"/>
      <w:sz w:val="24"/>
      <w:szCs w:val="24"/>
      <w:u w:color="000000"/>
    </w:rPr>
  </w:style>
  <w:style w:type="paragraph" w:styleId="FootnoteText">
    <w:name w:val="footnote text"/>
    <w:link w:val="FootnoteTextChar"/>
    <w:pPr>
      <w:spacing w:after="200" w:line="276" w:lineRule="auto"/>
    </w:pPr>
    <w:rPr>
      <w:rFonts w:ascii="Calibri" w:eastAsia="Calibri" w:hAnsi="Calibri" w:cs="Calibri"/>
      <w:color w:val="000000"/>
      <w:u w:color="000000"/>
    </w:rPr>
  </w:style>
  <w:style w:type="paragraph" w:styleId="ListParagraph">
    <w:name w:val="List Paragraph"/>
    <w:qFormat/>
    <w:pPr>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basedOn w:val="DefaultParagraphFont"/>
    <w:link w:val="BalloonText"/>
    <w:uiPriority w:val="99"/>
    <w:semiHidden/>
    <w:rsid w:val="00A52A71"/>
    <w:rPr>
      <w:rFonts w:ascii="Tahoma" w:hAnsi="Tahoma" w:cs="Tahoma"/>
      <w:sz w:val="16"/>
      <w:szCs w:val="16"/>
    </w:rPr>
  </w:style>
  <w:style w:type="character" w:styleId="FootnoteReference">
    <w:name w:val="footnote reference"/>
    <w:basedOn w:val="DefaultParagraphFont"/>
    <w:uiPriority w:val="99"/>
    <w:semiHidden/>
    <w:unhideWhenUsed/>
    <w:rsid w:val="008C1E18"/>
    <w:rPr>
      <w:vertAlign w:val="superscript"/>
    </w:rPr>
  </w:style>
  <w:style w:type="paragraph" w:customStyle="1" w:styleId="DefaultText">
    <w:name w:val="Default Text"/>
    <w:basedOn w:val="Normal"/>
    <w:rsid w:val="00506EB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Cs w:val="20"/>
      <w:bdr w:val="none" w:sz="0" w:space="0" w:color="auto"/>
    </w:rPr>
  </w:style>
  <w:style w:type="character" w:customStyle="1" w:styleId="FootnoteTextChar">
    <w:name w:val="Footnote Text Char"/>
    <w:basedOn w:val="DefaultParagraphFont"/>
    <w:link w:val="FootnoteText"/>
    <w:uiPriority w:val="99"/>
    <w:rsid w:val="00BF7F3A"/>
    <w:rPr>
      <w:rFonts w:ascii="Calibri" w:eastAsia="Calibri" w:hAnsi="Calibri" w:cs="Calibri"/>
      <w:color w:val="000000"/>
      <w:u w:color="000000"/>
    </w:rPr>
  </w:style>
  <w:style w:type="character" w:styleId="CommentReference">
    <w:name w:val="annotation reference"/>
    <w:basedOn w:val="DefaultParagraphFont"/>
    <w:uiPriority w:val="99"/>
    <w:semiHidden/>
    <w:unhideWhenUsed/>
    <w:rsid w:val="00C3309A"/>
    <w:rPr>
      <w:sz w:val="16"/>
      <w:szCs w:val="16"/>
    </w:rPr>
  </w:style>
  <w:style w:type="paragraph" w:styleId="CommentText">
    <w:name w:val="annotation text"/>
    <w:basedOn w:val="Normal"/>
    <w:link w:val="CommentTextChar"/>
    <w:uiPriority w:val="99"/>
    <w:semiHidden/>
    <w:unhideWhenUsed/>
    <w:rsid w:val="00C3309A"/>
    <w:rPr>
      <w:sz w:val="20"/>
      <w:szCs w:val="20"/>
    </w:rPr>
  </w:style>
  <w:style w:type="character" w:customStyle="1" w:styleId="CommentTextChar">
    <w:name w:val="Comment Text Char"/>
    <w:basedOn w:val="DefaultParagraphFont"/>
    <w:link w:val="CommentText"/>
    <w:uiPriority w:val="99"/>
    <w:semiHidden/>
    <w:rsid w:val="00C3309A"/>
  </w:style>
  <w:style w:type="paragraph" w:styleId="CommentSubject">
    <w:name w:val="annotation subject"/>
    <w:basedOn w:val="CommentText"/>
    <w:next w:val="CommentText"/>
    <w:link w:val="CommentSubjectChar"/>
    <w:uiPriority w:val="99"/>
    <w:semiHidden/>
    <w:unhideWhenUsed/>
    <w:rsid w:val="00C3309A"/>
    <w:rPr>
      <w:b/>
      <w:bCs/>
    </w:rPr>
  </w:style>
  <w:style w:type="character" w:customStyle="1" w:styleId="CommentSubjectChar">
    <w:name w:val="Comment Subject Char"/>
    <w:basedOn w:val="CommentTextChar"/>
    <w:link w:val="CommentSubject"/>
    <w:uiPriority w:val="99"/>
    <w:semiHidden/>
    <w:rsid w:val="00C3309A"/>
    <w:rPr>
      <w:b/>
      <w:bCs/>
    </w:rPr>
  </w:style>
  <w:style w:type="paragraph" w:styleId="PlainText">
    <w:name w:val="Plain Text"/>
    <w:basedOn w:val="Normal"/>
    <w:link w:val="PlainTextChar"/>
    <w:uiPriority w:val="99"/>
    <w:semiHidden/>
    <w:unhideWhenUsed/>
    <w:rsid w:val="004964F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character" w:customStyle="1" w:styleId="PlainTextChar">
    <w:name w:val="Plain Text Char"/>
    <w:basedOn w:val="DefaultParagraphFont"/>
    <w:link w:val="PlainText"/>
    <w:uiPriority w:val="99"/>
    <w:semiHidden/>
    <w:rsid w:val="004964F0"/>
    <w:rPr>
      <w:rFonts w:ascii="Calibri" w:eastAsia="Calibri" w:hAnsi="Calibri"/>
      <w:sz w:val="22"/>
      <w:szCs w:val="22"/>
      <w:bdr w:val="none" w:sz="0" w:space="0" w:color="auto"/>
    </w:rPr>
  </w:style>
  <w:style w:type="paragraph" w:customStyle="1" w:styleId="Default">
    <w:name w:val="Default"/>
    <w:rsid w:val="004964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mbria" w:eastAsia="Calibri" w:hAnsi="Cambria" w:cs="Cambria"/>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7123">
      <w:bodyDiv w:val="1"/>
      <w:marLeft w:val="0"/>
      <w:marRight w:val="0"/>
      <w:marTop w:val="0"/>
      <w:marBottom w:val="0"/>
      <w:divBdr>
        <w:top w:val="none" w:sz="0" w:space="0" w:color="auto"/>
        <w:left w:val="none" w:sz="0" w:space="0" w:color="auto"/>
        <w:bottom w:val="none" w:sz="0" w:space="0" w:color="auto"/>
        <w:right w:val="none" w:sz="0" w:space="0" w:color="auto"/>
      </w:divBdr>
      <w:divsChild>
        <w:div w:id="952830661">
          <w:marLeft w:val="1166"/>
          <w:marRight w:val="0"/>
          <w:marTop w:val="0"/>
          <w:marBottom w:val="0"/>
          <w:divBdr>
            <w:top w:val="none" w:sz="0" w:space="0" w:color="auto"/>
            <w:left w:val="none" w:sz="0" w:space="0" w:color="auto"/>
            <w:bottom w:val="none" w:sz="0" w:space="0" w:color="auto"/>
            <w:right w:val="none" w:sz="0" w:space="0" w:color="auto"/>
          </w:divBdr>
        </w:div>
        <w:div w:id="482966484">
          <w:marLeft w:val="1166"/>
          <w:marRight w:val="0"/>
          <w:marTop w:val="0"/>
          <w:marBottom w:val="0"/>
          <w:divBdr>
            <w:top w:val="none" w:sz="0" w:space="0" w:color="auto"/>
            <w:left w:val="none" w:sz="0" w:space="0" w:color="auto"/>
            <w:bottom w:val="none" w:sz="0" w:space="0" w:color="auto"/>
            <w:right w:val="none" w:sz="0" w:space="0" w:color="auto"/>
          </w:divBdr>
        </w:div>
        <w:div w:id="1704286234">
          <w:marLeft w:val="1166"/>
          <w:marRight w:val="0"/>
          <w:marTop w:val="0"/>
          <w:marBottom w:val="0"/>
          <w:divBdr>
            <w:top w:val="none" w:sz="0" w:space="0" w:color="auto"/>
            <w:left w:val="none" w:sz="0" w:space="0" w:color="auto"/>
            <w:bottom w:val="none" w:sz="0" w:space="0" w:color="auto"/>
            <w:right w:val="none" w:sz="0" w:space="0" w:color="auto"/>
          </w:divBdr>
        </w:div>
        <w:div w:id="1228498258">
          <w:marLeft w:val="1166"/>
          <w:marRight w:val="0"/>
          <w:marTop w:val="0"/>
          <w:marBottom w:val="0"/>
          <w:divBdr>
            <w:top w:val="none" w:sz="0" w:space="0" w:color="auto"/>
            <w:left w:val="none" w:sz="0" w:space="0" w:color="auto"/>
            <w:bottom w:val="none" w:sz="0" w:space="0" w:color="auto"/>
            <w:right w:val="none" w:sz="0" w:space="0" w:color="auto"/>
          </w:divBdr>
        </w:div>
      </w:divsChild>
    </w:div>
    <w:div w:id="800658229">
      <w:bodyDiv w:val="1"/>
      <w:marLeft w:val="0"/>
      <w:marRight w:val="0"/>
      <w:marTop w:val="0"/>
      <w:marBottom w:val="0"/>
      <w:divBdr>
        <w:top w:val="none" w:sz="0" w:space="0" w:color="auto"/>
        <w:left w:val="none" w:sz="0" w:space="0" w:color="auto"/>
        <w:bottom w:val="none" w:sz="0" w:space="0" w:color="auto"/>
        <w:right w:val="none" w:sz="0" w:space="0" w:color="auto"/>
      </w:divBdr>
    </w:div>
    <w:div w:id="802845158">
      <w:bodyDiv w:val="1"/>
      <w:marLeft w:val="0"/>
      <w:marRight w:val="0"/>
      <w:marTop w:val="0"/>
      <w:marBottom w:val="0"/>
      <w:divBdr>
        <w:top w:val="none" w:sz="0" w:space="0" w:color="auto"/>
        <w:left w:val="none" w:sz="0" w:space="0" w:color="auto"/>
        <w:bottom w:val="none" w:sz="0" w:space="0" w:color="auto"/>
        <w:right w:val="none" w:sz="0" w:space="0" w:color="auto"/>
      </w:divBdr>
    </w:div>
    <w:div w:id="1800488492">
      <w:bodyDiv w:val="1"/>
      <w:marLeft w:val="0"/>
      <w:marRight w:val="0"/>
      <w:marTop w:val="0"/>
      <w:marBottom w:val="0"/>
      <w:divBdr>
        <w:top w:val="none" w:sz="0" w:space="0" w:color="auto"/>
        <w:left w:val="none" w:sz="0" w:space="0" w:color="auto"/>
        <w:bottom w:val="none" w:sz="0" w:space="0" w:color="auto"/>
        <w:right w:val="none" w:sz="0" w:space="0" w:color="auto"/>
      </w:divBdr>
      <w:divsChild>
        <w:div w:id="2141065953">
          <w:marLeft w:val="1166"/>
          <w:marRight w:val="0"/>
          <w:marTop w:val="0"/>
          <w:marBottom w:val="0"/>
          <w:divBdr>
            <w:top w:val="none" w:sz="0" w:space="0" w:color="auto"/>
            <w:left w:val="none" w:sz="0" w:space="0" w:color="auto"/>
            <w:bottom w:val="none" w:sz="0" w:space="0" w:color="auto"/>
            <w:right w:val="none" w:sz="0" w:space="0" w:color="auto"/>
          </w:divBdr>
        </w:div>
        <w:div w:id="685211499">
          <w:marLeft w:val="1166"/>
          <w:marRight w:val="0"/>
          <w:marTop w:val="0"/>
          <w:marBottom w:val="0"/>
          <w:divBdr>
            <w:top w:val="none" w:sz="0" w:space="0" w:color="auto"/>
            <w:left w:val="none" w:sz="0" w:space="0" w:color="auto"/>
            <w:bottom w:val="none" w:sz="0" w:space="0" w:color="auto"/>
            <w:right w:val="none" w:sz="0" w:space="0" w:color="auto"/>
          </w:divBdr>
        </w:div>
      </w:divsChild>
    </w:div>
    <w:div w:id="1897815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F671-6A27-4F05-977D-58D39518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2061</Words>
  <Characters>11754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Reidbord, Sharon (DTA)</dc:creator>
  <cp:lastModifiedBy>Matt Crocker</cp:lastModifiedBy>
  <cp:revision>2</cp:revision>
  <cp:lastPrinted>2018-03-01T20:14:00Z</cp:lastPrinted>
  <dcterms:created xsi:type="dcterms:W3CDTF">2018-03-01T20:46:00Z</dcterms:created>
  <dcterms:modified xsi:type="dcterms:W3CDTF">2018-03-01T20:46:00Z</dcterms:modified>
</cp:coreProperties>
</file>