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A443" w14:textId="77777777" w:rsidR="00306DA7" w:rsidRPr="000213A2" w:rsidRDefault="00306DA7" w:rsidP="00306DA7">
      <w:pPr>
        <w:jc w:val="center"/>
        <w:rPr>
          <w:b/>
          <w:bCs/>
        </w:rPr>
      </w:pPr>
      <w:r w:rsidRPr="000213A2">
        <w:rPr>
          <w:b/>
          <w:bCs/>
        </w:rPr>
        <w:t>Trauma Informed Care</w:t>
      </w:r>
    </w:p>
    <w:p w14:paraId="0699D2FC" w14:textId="6B71591E" w:rsidR="00306DA7" w:rsidRDefault="00306DA7" w:rsidP="00306DA7">
      <w:pPr>
        <w:jc w:val="center"/>
      </w:pPr>
      <w:r>
        <w:t>Handout</w:t>
      </w:r>
    </w:p>
    <w:p w14:paraId="563FCFEF" w14:textId="484ECAE1" w:rsidR="00306DA7" w:rsidRDefault="00306DA7" w:rsidP="00306DA7">
      <w:pPr>
        <w:jc w:val="center"/>
      </w:pPr>
      <w:r>
        <w:t>Strengths-Based Questions</w:t>
      </w:r>
    </w:p>
    <w:p w14:paraId="11C9E319" w14:textId="77777777" w:rsidR="001B480E" w:rsidRDefault="001B480E" w:rsidP="001B480E">
      <w:pPr>
        <w:pBdr>
          <w:bottom w:val="single" w:sz="4" w:space="1" w:color="auto"/>
        </w:pBdr>
        <w:jc w:val="center"/>
      </w:pPr>
    </w:p>
    <w:p w14:paraId="157832EE" w14:textId="77777777" w:rsidR="00306DA7" w:rsidRDefault="00306DA7" w:rsidP="00EB6E81">
      <w:pPr>
        <w:jc w:val="center"/>
        <w:rPr>
          <w:b/>
          <w:bCs/>
        </w:rPr>
      </w:pPr>
    </w:p>
    <w:p w14:paraId="710C0E24" w14:textId="27C396AD" w:rsidR="00EB6E81" w:rsidRPr="00EB6E81" w:rsidRDefault="00EB6E81" w:rsidP="00EB6E81">
      <w:pPr>
        <w:jc w:val="center"/>
        <w:rPr>
          <w:b/>
          <w:bCs/>
        </w:rPr>
      </w:pPr>
      <w:r w:rsidRPr="00EB6E81">
        <w:rPr>
          <w:b/>
          <w:bCs/>
        </w:rPr>
        <w:t>Advice to Counselors and Administrators: Using Strengths-Oriented Questions</w:t>
      </w:r>
    </w:p>
    <w:p w14:paraId="732ED279" w14:textId="460A30E8" w:rsidR="004D7F8E" w:rsidRDefault="00EB6E81" w:rsidP="00EB6E81">
      <w:pPr>
        <w:jc w:val="both"/>
      </w:pPr>
      <w:r>
        <w:t>Knowing a client’s strengths can help you understand, redefine, and reframe the client’s presenting problems and challenges. By focusing and building on an individual’s strengths, counselors and other behavioral health professionals can shift the focus from “What is wrong with you?” to “What has worked for you?” It moves attention away from trauma-related problems and toward a perspective that honors and uses adaptive behaviors and strengths to move clients along in recovery.</w:t>
      </w:r>
    </w:p>
    <w:p w14:paraId="10030F9F" w14:textId="607B0A58" w:rsidR="00EB6E81" w:rsidRDefault="00EB6E81" w:rsidP="00EB6E81">
      <w:pPr>
        <w:jc w:val="both"/>
      </w:pPr>
    </w:p>
    <w:p w14:paraId="6B48CC06" w14:textId="51D4DC94" w:rsidR="00EB6E81" w:rsidRDefault="00EB6E81" w:rsidP="00EB6E81">
      <w:pPr>
        <w:pStyle w:val="ListParagraph"/>
        <w:numPr>
          <w:ilvl w:val="0"/>
          <w:numId w:val="1"/>
        </w:numPr>
        <w:jc w:val="both"/>
      </w:pPr>
      <w:r>
        <w:t>How did you manage stress today?</w:t>
      </w:r>
    </w:p>
    <w:p w14:paraId="47F09907" w14:textId="77777777" w:rsidR="00581B23" w:rsidRDefault="00581B23" w:rsidP="00581B23">
      <w:pPr>
        <w:jc w:val="both"/>
      </w:pPr>
    </w:p>
    <w:p w14:paraId="7134F872" w14:textId="77777777" w:rsidR="00581B23" w:rsidRDefault="00581B23" w:rsidP="00EB6E81">
      <w:pPr>
        <w:pStyle w:val="ListParagraph"/>
        <w:jc w:val="both"/>
      </w:pPr>
    </w:p>
    <w:p w14:paraId="340FCC21" w14:textId="742B832C" w:rsidR="00EB6E81" w:rsidRDefault="00EB6E81" w:rsidP="00EB6E81">
      <w:pPr>
        <w:pStyle w:val="ListParagraph"/>
        <w:numPr>
          <w:ilvl w:val="0"/>
          <w:numId w:val="1"/>
        </w:numPr>
        <w:jc w:val="both"/>
      </w:pPr>
      <w:r>
        <w:t>What are some of the creative ways that you deal with painful feelings?</w:t>
      </w:r>
    </w:p>
    <w:p w14:paraId="445422D3" w14:textId="4557F0AB" w:rsidR="00581B23" w:rsidRDefault="00581B23" w:rsidP="00581B23">
      <w:pPr>
        <w:jc w:val="both"/>
      </w:pPr>
    </w:p>
    <w:p w14:paraId="199A121A" w14:textId="77777777" w:rsidR="00EB6E81" w:rsidRDefault="00EB6E81" w:rsidP="00EB6E81">
      <w:pPr>
        <w:pStyle w:val="ListParagraph"/>
      </w:pPr>
    </w:p>
    <w:p w14:paraId="38AB2AEA" w14:textId="1988B4A2" w:rsidR="00EB6E81" w:rsidRDefault="00EB6E81" w:rsidP="00EB6E81">
      <w:pPr>
        <w:pStyle w:val="ListParagraph"/>
        <w:numPr>
          <w:ilvl w:val="0"/>
          <w:numId w:val="1"/>
        </w:numPr>
        <w:jc w:val="both"/>
      </w:pPr>
      <w:r>
        <w:t xml:space="preserve">Imagine for a moment that a group of people are standing behind you showing you support in some way. Who would be standing there? It doesn’t matter how briefly or when they showed up in your life, or whether or not they are currently in your life or alive. </w:t>
      </w:r>
    </w:p>
    <w:p w14:paraId="2C866094" w14:textId="6C35D6DD" w:rsidR="00581B23" w:rsidRDefault="00581B23" w:rsidP="00581B23">
      <w:pPr>
        <w:jc w:val="both"/>
      </w:pPr>
    </w:p>
    <w:p w14:paraId="4E68465C" w14:textId="77777777" w:rsidR="00EB6E81" w:rsidRDefault="00EB6E81" w:rsidP="00EB6E81">
      <w:pPr>
        <w:pStyle w:val="ListParagraph"/>
      </w:pPr>
    </w:p>
    <w:p w14:paraId="609D9831" w14:textId="117DDE04" w:rsidR="00A519AA" w:rsidRDefault="00581B23" w:rsidP="00A519AA">
      <w:pPr>
        <w:pStyle w:val="ListParagraph"/>
        <w:numPr>
          <w:ilvl w:val="0"/>
          <w:numId w:val="1"/>
        </w:numPr>
        <w:jc w:val="both"/>
      </w:pPr>
      <w:r>
        <w:t xml:space="preserve">How do you gain support </w:t>
      </w:r>
      <w:r w:rsidR="00DD1142">
        <w:t xml:space="preserve">today? </w:t>
      </w:r>
      <w:r w:rsidR="00A519AA">
        <w:t>(Possible answers include family, friends, activities, coaches, counselors, other supports, etc.)</w:t>
      </w:r>
    </w:p>
    <w:p w14:paraId="24DB491F" w14:textId="77777777" w:rsidR="00A519AA" w:rsidRDefault="00A519AA" w:rsidP="00A519AA">
      <w:pPr>
        <w:jc w:val="both"/>
      </w:pPr>
    </w:p>
    <w:p w14:paraId="4F58DB86" w14:textId="77777777" w:rsidR="00A519AA" w:rsidRDefault="00A519AA" w:rsidP="00A519AA">
      <w:pPr>
        <w:jc w:val="both"/>
      </w:pPr>
    </w:p>
    <w:p w14:paraId="6007420D" w14:textId="38B92686" w:rsidR="00A519AA" w:rsidRDefault="00A519AA" w:rsidP="00A519AA">
      <w:pPr>
        <w:pStyle w:val="ListParagraph"/>
        <w:numPr>
          <w:ilvl w:val="0"/>
          <w:numId w:val="1"/>
        </w:numPr>
        <w:jc w:val="both"/>
      </w:pPr>
      <w:r>
        <w:t>What does recovery look like for you?</w:t>
      </w:r>
    </w:p>
    <w:p w14:paraId="2DE511CD" w14:textId="77777777" w:rsidR="00A519AA" w:rsidRDefault="00A519AA" w:rsidP="00A519AA">
      <w:pPr>
        <w:jc w:val="both"/>
      </w:pPr>
    </w:p>
    <w:p w14:paraId="70634124" w14:textId="2C67C6F1" w:rsidR="00A519AA" w:rsidRDefault="00A519AA" w:rsidP="00A519AA">
      <w:pPr>
        <w:jc w:val="both"/>
      </w:pPr>
      <w:r>
        <w:rPr>
          <w:noProof/>
        </w:rPr>
        <mc:AlternateContent>
          <mc:Choice Requires="wps">
            <w:drawing>
              <wp:anchor distT="0" distB="0" distL="114300" distR="114300" simplePos="0" relativeHeight="251659264" behindDoc="0" locked="0" layoutInCell="1" allowOverlap="1" wp14:anchorId="2447E58B" wp14:editId="01A98740">
                <wp:simplePos x="0" y="0"/>
                <wp:positionH relativeFrom="column">
                  <wp:posOffset>-561975</wp:posOffset>
                </wp:positionH>
                <wp:positionV relativeFrom="paragraph">
                  <wp:posOffset>321310</wp:posOffset>
                </wp:positionV>
                <wp:extent cx="7191375" cy="6381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7191375" cy="638175"/>
                        </a:xfrm>
                        <a:prstGeom prst="rect">
                          <a:avLst/>
                        </a:prstGeom>
                        <a:solidFill>
                          <a:schemeClr val="lt1"/>
                        </a:solidFill>
                        <a:ln w="6350">
                          <a:noFill/>
                        </a:ln>
                      </wps:spPr>
                      <wps:txbx>
                        <w:txbxContent>
                          <w:p w14:paraId="78165FF2" w14:textId="24A2BF56" w:rsidR="00A519AA" w:rsidRPr="00A519AA" w:rsidRDefault="00A519AA" w:rsidP="007A0EE9">
                            <w:pPr>
                              <w:ind w:left="720"/>
                              <w:rPr>
                                <w:sz w:val="18"/>
                                <w:szCs w:val="18"/>
                              </w:rPr>
                            </w:pPr>
                            <w:r w:rsidRPr="00A519AA">
                              <w:rPr>
                                <w:rFonts w:cs="Adobe Caslon Pro"/>
                                <w:sz w:val="20"/>
                                <w:szCs w:val="19"/>
                              </w:rPr>
                              <w:t xml:space="preserve">Substance Abuse and Mental Health Services Administration. </w:t>
                            </w:r>
                            <w:r w:rsidRPr="00A519AA">
                              <w:rPr>
                                <w:rFonts w:cs="Adobe Caslon Pro"/>
                                <w:i/>
                                <w:iCs/>
                                <w:sz w:val="20"/>
                                <w:szCs w:val="19"/>
                              </w:rPr>
                              <w:t>Trauma-Informed Care in Behavioral Health Services</w:t>
                            </w:r>
                            <w:r w:rsidRPr="00A519AA">
                              <w:rPr>
                                <w:rFonts w:cs="Adobe Caslon Pro"/>
                                <w:sz w:val="20"/>
                                <w:szCs w:val="19"/>
                              </w:rPr>
                              <w:t>. Treatment Improvement Protocol (TIP) Series 57. HHS Publication No. (SMA) 28. Rockville, MD: Substance Abuse and Mental Health Services Administration,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47E58B" id="_x0000_t202" coordsize="21600,21600" o:spt="202" path="m,l,21600r21600,l21600,xe">
                <v:stroke joinstyle="miter"/>
                <v:path gradientshapeok="t" o:connecttype="rect"/>
              </v:shapetype>
              <v:shape id="Text Box 1" o:spid="_x0000_s1026" type="#_x0000_t202" style="position:absolute;left:0;text-align:left;margin-left:-44.25pt;margin-top:25.3pt;width:566.2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" fillcolor="white [3201]" stroked="f" strokeweight=".5pt">
                <v:textbox>
                  <w:txbxContent>
                    <w:p w14:paraId="78165FF2" w14:textId="24A2BF56" w:rsidR="00A519AA" w:rsidRPr="00A519AA" w:rsidRDefault="00A519AA" w:rsidP="007A0EE9">
                      <w:pPr>
                        <w:ind w:left="720"/>
                        <w:rPr>
                          <w:sz w:val="18"/>
                          <w:szCs w:val="18"/>
                        </w:rPr>
                      </w:pPr>
                      <w:r w:rsidRPr="00A519AA">
                        <w:rPr>
                          <w:rFonts w:cs="Adobe Caslon Pro"/>
                          <w:sz w:val="20"/>
                          <w:szCs w:val="19"/>
                        </w:rPr>
                        <w:t xml:space="preserve">Substance Abuse and Mental Health Services Administration. </w:t>
                      </w:r>
                      <w:r w:rsidRPr="00A519AA">
                        <w:rPr>
                          <w:rFonts w:cs="Adobe Caslon Pro"/>
                          <w:i/>
                          <w:iCs/>
                          <w:sz w:val="20"/>
                          <w:szCs w:val="19"/>
                        </w:rPr>
                        <w:t>Trauma-Informed Care in Behavioral Health Services</w:t>
                      </w:r>
                      <w:r w:rsidRPr="00A519AA">
                        <w:rPr>
                          <w:rFonts w:cs="Adobe Caslon Pro"/>
                          <w:sz w:val="20"/>
                          <w:szCs w:val="19"/>
                        </w:rPr>
                        <w:t>. Treatment Improvement Protocol (TIP) Series 57. HHS Publication No. (SMA) 28. Rockville, MD: Substance Abuse and Mental Health Services Administration, 2014.</w:t>
                      </w:r>
                    </w:p>
                  </w:txbxContent>
                </v:textbox>
              </v:shape>
            </w:pict>
          </mc:Fallback>
        </mc:AlternateContent>
      </w:r>
    </w:p>
    <w:sectPr w:rsidR="00A51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Caslon Pro">
    <w:altName w:val="Adobe Caslon Pro"/>
    <w:panose1 w:val="020B0604020202020204"/>
    <w:charset w:val="00"/>
    <w:family w:val="roman"/>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70297"/>
    <w:multiLevelType w:val="hybridMultilevel"/>
    <w:tmpl w:val="16A05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81"/>
    <w:rsid w:val="001B480E"/>
    <w:rsid w:val="00306DA7"/>
    <w:rsid w:val="00581B23"/>
    <w:rsid w:val="007849AE"/>
    <w:rsid w:val="007A0EE9"/>
    <w:rsid w:val="007E312C"/>
    <w:rsid w:val="00A519AA"/>
    <w:rsid w:val="00C27841"/>
    <w:rsid w:val="00C70B09"/>
    <w:rsid w:val="00DD1142"/>
    <w:rsid w:val="00EB6E81"/>
    <w:rsid w:val="00FD2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BB4E"/>
  <w15:chartTrackingRefBased/>
  <w15:docId w15:val="{5D8F3A30-9491-4195-86E4-22A0013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 Morgan</dc:creator>
  <cp:keywords/>
  <dc:description/>
  <cp:lastModifiedBy>Mary Ann Preskul-Ricca</cp:lastModifiedBy>
  <cp:revision>9</cp:revision>
  <dcterms:created xsi:type="dcterms:W3CDTF">2022-07-27T12:17:00Z</dcterms:created>
  <dcterms:modified xsi:type="dcterms:W3CDTF">2023-01-25T20:18:00Z</dcterms:modified>
</cp:coreProperties>
</file>