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5A58" w14:textId="77777777" w:rsidR="0022243F" w:rsidRDefault="0022243F" w:rsidP="0022243F"/>
    <w:p w14:paraId="0A9B9825" w14:textId="77777777" w:rsidR="00382012" w:rsidRPr="00382012" w:rsidRDefault="00382012" w:rsidP="005D111F">
      <w:pPr>
        <w:jc w:val="center"/>
        <w:rPr>
          <w:b/>
          <w:sz w:val="32"/>
        </w:rPr>
      </w:pPr>
      <w:r>
        <w:rPr>
          <w:b/>
          <w:sz w:val="32"/>
        </w:rPr>
        <w:t xml:space="preserve">Classification </w:t>
      </w:r>
      <w:r w:rsidR="0022243F" w:rsidRPr="00382012">
        <w:rPr>
          <w:b/>
          <w:sz w:val="32"/>
        </w:rPr>
        <w:t xml:space="preserve">of Massachusetts Agricultural Infrastructure </w:t>
      </w:r>
    </w:p>
    <w:p w14:paraId="0E28836F" w14:textId="77777777" w:rsidR="0022243F" w:rsidRPr="00382012" w:rsidRDefault="0022243F" w:rsidP="005D111F">
      <w:pPr>
        <w:jc w:val="center"/>
        <w:rPr>
          <w:b/>
          <w:sz w:val="28"/>
        </w:rPr>
      </w:pPr>
      <w:r w:rsidRPr="00382012">
        <w:rPr>
          <w:b/>
          <w:sz w:val="32"/>
        </w:rPr>
        <w:t>as Essential Services in the Commonwealth</w:t>
      </w:r>
    </w:p>
    <w:p w14:paraId="4346F172" w14:textId="77777777" w:rsidR="009F0C2A" w:rsidRDefault="009F0C2A" w:rsidP="0022243F"/>
    <w:p w14:paraId="312BD4D7" w14:textId="0F19CD3D" w:rsidR="00FA794A" w:rsidRPr="00FA794A" w:rsidRDefault="009F0C2A" w:rsidP="00FA794A">
      <w:pPr>
        <w:jc w:val="both"/>
      </w:pPr>
      <w:r>
        <w:t xml:space="preserve">On March 23, 2020, Governor Charlie Baker issued an emergency order, </w:t>
      </w:r>
      <w:r w:rsidRPr="00A91368">
        <w:rPr>
          <w:i/>
          <w:iCs/>
        </w:rPr>
        <w:t xml:space="preserve">Exhibit A </w:t>
      </w:r>
      <w:r>
        <w:rPr>
          <w:i/>
          <w:iCs/>
        </w:rPr>
        <w:t>o</w:t>
      </w:r>
      <w:r w:rsidRPr="00A91368">
        <w:rPr>
          <w:i/>
          <w:iCs/>
        </w:rPr>
        <w:t xml:space="preserve">f </w:t>
      </w:r>
      <w:r>
        <w:rPr>
          <w:i/>
          <w:iCs/>
        </w:rPr>
        <w:t>t</w:t>
      </w:r>
      <w:r w:rsidRPr="00A91368">
        <w:rPr>
          <w:i/>
          <w:iCs/>
        </w:rPr>
        <w:t xml:space="preserve">he Order </w:t>
      </w:r>
      <w:r>
        <w:rPr>
          <w:i/>
          <w:iCs/>
        </w:rPr>
        <w:t>o</w:t>
      </w:r>
      <w:r w:rsidRPr="00A91368">
        <w:rPr>
          <w:i/>
          <w:iCs/>
        </w:rPr>
        <w:t xml:space="preserve">f </w:t>
      </w:r>
      <w:r>
        <w:rPr>
          <w:i/>
          <w:iCs/>
        </w:rPr>
        <w:t>t</w:t>
      </w:r>
      <w:r w:rsidRPr="00A91368">
        <w:rPr>
          <w:i/>
          <w:iCs/>
        </w:rPr>
        <w:t xml:space="preserve">he Governor Assuring Continued Operation </w:t>
      </w:r>
      <w:r>
        <w:rPr>
          <w:i/>
          <w:iCs/>
        </w:rPr>
        <w:t>o</w:t>
      </w:r>
      <w:r w:rsidRPr="00A91368">
        <w:rPr>
          <w:i/>
          <w:iCs/>
        </w:rPr>
        <w:t xml:space="preserve">f Essential Services </w:t>
      </w:r>
      <w:r>
        <w:rPr>
          <w:i/>
          <w:iCs/>
        </w:rPr>
        <w:t>i</w:t>
      </w:r>
      <w:r w:rsidRPr="00A91368">
        <w:rPr>
          <w:i/>
          <w:iCs/>
        </w:rPr>
        <w:t xml:space="preserve">n </w:t>
      </w:r>
      <w:r>
        <w:rPr>
          <w:i/>
          <w:iCs/>
        </w:rPr>
        <w:t>t</w:t>
      </w:r>
      <w:r w:rsidRPr="00A91368">
        <w:rPr>
          <w:i/>
          <w:iCs/>
        </w:rPr>
        <w:t xml:space="preserve">he Commonwealth, Closing Certain Workplaces </w:t>
      </w:r>
      <w:r>
        <w:rPr>
          <w:i/>
          <w:iCs/>
        </w:rPr>
        <w:t>a</w:t>
      </w:r>
      <w:r w:rsidRPr="00A91368">
        <w:rPr>
          <w:i/>
          <w:iCs/>
        </w:rPr>
        <w:t xml:space="preserve">nd Prohibiting Gatherings </w:t>
      </w:r>
      <w:r>
        <w:rPr>
          <w:i/>
          <w:iCs/>
        </w:rPr>
        <w:t>o</w:t>
      </w:r>
      <w:r w:rsidRPr="00A91368">
        <w:rPr>
          <w:i/>
          <w:iCs/>
        </w:rPr>
        <w:t>f More Than 10 People</w:t>
      </w:r>
      <w:r>
        <w:t xml:space="preserve">, requiring all businesses and organizations that do not provide “COVID-19 Essential Services” to close their physical workplaces and facilities to workers, customers and the public as of Tuesday, March 24th at </w:t>
      </w:r>
      <w:r w:rsidR="00BB5ED0">
        <w:t>N</w:t>
      </w:r>
      <w:r>
        <w:t xml:space="preserve">oon until Tuesday, April 7th at </w:t>
      </w:r>
      <w:r w:rsidR="00BB5ED0">
        <w:t>N</w:t>
      </w:r>
      <w:r>
        <w:t>oon.</w:t>
      </w:r>
      <w:r w:rsidR="00FA794A">
        <w:t xml:space="preserve">  </w:t>
      </w:r>
      <w:r w:rsidR="00FA794A" w:rsidRPr="00FA794A">
        <w:t xml:space="preserve">On </w:t>
      </w:r>
      <w:bookmarkStart w:id="0" w:name="_GoBack"/>
      <w:bookmarkEnd w:id="0"/>
      <w:r w:rsidR="00FA794A" w:rsidRPr="00FA794A">
        <w:t>March 31, 2020, the Governor extended that Order until Monday, May 4</w:t>
      </w:r>
      <w:r w:rsidR="00FA794A" w:rsidRPr="00FA794A">
        <w:rPr>
          <w:vertAlign w:val="superscript"/>
        </w:rPr>
        <w:t>th</w:t>
      </w:r>
      <w:r w:rsidR="00FA794A" w:rsidRPr="00FA794A">
        <w:t xml:space="preserve"> and updated the list of “COVID-19 Essential Services.” </w:t>
      </w:r>
    </w:p>
    <w:p w14:paraId="13A97E21" w14:textId="477392FE" w:rsidR="009F0C2A" w:rsidRDefault="009F0C2A" w:rsidP="009F0C2A">
      <w:pPr>
        <w:jc w:val="both"/>
      </w:pPr>
    </w:p>
    <w:p w14:paraId="6858780D" w14:textId="77777777" w:rsidR="009F0C2A" w:rsidRDefault="009F0C2A" w:rsidP="009F0C2A">
      <w:pPr>
        <w:jc w:val="both"/>
      </w:pPr>
    </w:p>
    <w:p w14:paraId="2502702D" w14:textId="77777777" w:rsidR="0022243F" w:rsidRPr="009F0C2A" w:rsidRDefault="009F0C2A" w:rsidP="009F0C2A">
      <w:pPr>
        <w:jc w:val="both"/>
        <w:rPr>
          <w:b/>
          <w:sz w:val="24"/>
        </w:rPr>
      </w:pPr>
      <w:r w:rsidRPr="009F0C2A">
        <w:rPr>
          <w:b/>
          <w:sz w:val="24"/>
        </w:rPr>
        <w:t xml:space="preserve">Regarding </w:t>
      </w:r>
      <w:r w:rsidRPr="009F0C2A">
        <w:rPr>
          <w:b/>
          <w:bCs/>
          <w:sz w:val="24"/>
        </w:rPr>
        <w:t>agriculture</w:t>
      </w:r>
      <w:r w:rsidRPr="009F0C2A">
        <w:rPr>
          <w:b/>
          <w:sz w:val="24"/>
        </w:rPr>
        <w:t>, the following remain listed as “Essential Services”</w:t>
      </w:r>
      <w:r>
        <w:rPr>
          <w:b/>
          <w:sz w:val="24"/>
        </w:rPr>
        <w:t xml:space="preserve"> in the Commonwealth</w:t>
      </w:r>
      <w:r w:rsidRPr="009F0C2A">
        <w:rPr>
          <w:b/>
          <w:sz w:val="24"/>
        </w:rPr>
        <w:t>:</w:t>
      </w:r>
    </w:p>
    <w:p w14:paraId="699645F0" w14:textId="77777777" w:rsidR="0022243F" w:rsidRDefault="0022243F" w:rsidP="0022243F">
      <w:pPr>
        <w:pStyle w:val="ListParagraph"/>
        <w:jc w:val="both"/>
      </w:pPr>
    </w:p>
    <w:p w14:paraId="1AB76D0C" w14:textId="77777777" w:rsidR="007A1E96" w:rsidRPr="007A1E96" w:rsidRDefault="007A1E96" w:rsidP="007A1E96">
      <w:pPr>
        <w:numPr>
          <w:ilvl w:val="0"/>
          <w:numId w:val="13"/>
        </w:numPr>
      </w:pPr>
      <w:r w:rsidRPr="007A1E96">
        <w:t>Farmers, farm workers, and agribusiness support services to include those employed in auction and sales: grain and oilseed handling, processing and distribution; animal food, feed, and ingredient production, packaging, and distribution; manufacturing, packaging, and distribution of veterinary drugs; truck delivery and transport; farm and fishery labor needed to produce our food supply domestically and for export.</w:t>
      </w:r>
    </w:p>
    <w:p w14:paraId="09DF243A" w14:textId="77777777" w:rsidR="007A1E96" w:rsidRPr="007A1E96" w:rsidRDefault="007A1E96" w:rsidP="007A1E96">
      <w:pPr>
        <w:numPr>
          <w:ilvl w:val="0"/>
          <w:numId w:val="13"/>
        </w:numPr>
      </w:pPr>
      <w:r w:rsidRPr="007A1E96">
        <w:t>Farmers, farm workers, support service workers, and their supplier employees to include those engaged in producing and harvesting field crops; commodity inspection; fuel ethanol facilities; biodiesel and renewable diesel facilities; storage facilities; and other agricultural inputs.</w:t>
      </w:r>
    </w:p>
    <w:p w14:paraId="2B20BE75" w14:textId="77777777" w:rsidR="0022243F" w:rsidRDefault="0022243F" w:rsidP="0022243F"/>
    <w:p w14:paraId="223750D1" w14:textId="77777777" w:rsidR="0022243F" w:rsidRDefault="009F0C2A" w:rsidP="0022243F">
      <w:pPr>
        <w:rPr>
          <w:b/>
          <w:sz w:val="24"/>
        </w:rPr>
      </w:pPr>
      <w:r w:rsidRPr="009F0C2A">
        <w:rPr>
          <w:b/>
          <w:sz w:val="24"/>
        </w:rPr>
        <w:t>In addition,</w:t>
      </w:r>
      <w:r w:rsidRPr="009F0C2A">
        <w:rPr>
          <w:sz w:val="24"/>
        </w:rPr>
        <w:t xml:space="preserve"> </w:t>
      </w:r>
      <w:r>
        <w:rPr>
          <w:b/>
          <w:sz w:val="24"/>
        </w:rPr>
        <w:t>farm supplies and deliveries to support commerce, food and agriculture</w:t>
      </w:r>
      <w:r w:rsidRPr="009F0C2A">
        <w:rPr>
          <w:b/>
          <w:sz w:val="24"/>
        </w:rPr>
        <w:t xml:space="preserve"> are listed as “Critical Infrastructure”:</w:t>
      </w:r>
    </w:p>
    <w:p w14:paraId="3F243240" w14:textId="77777777" w:rsidR="009F0C2A" w:rsidRPr="009F0C2A" w:rsidRDefault="009F0C2A" w:rsidP="0022243F">
      <w:pPr>
        <w:rPr>
          <w:b/>
        </w:rPr>
      </w:pPr>
    </w:p>
    <w:p w14:paraId="6AA8904C" w14:textId="77777777" w:rsidR="0022243F" w:rsidRDefault="0022243F" w:rsidP="0022243F">
      <w:r>
        <w:t xml:space="preserve">1. Presidential Policy Directive 21 (PPD-21) designates the food and agriculture sector as a critical infrastructure sector whose assets, systems, and networks are considered so vital that their incapacitation or destruction would have a debilitating effect on security, national economic security, national public health, or safety. </w:t>
      </w:r>
    </w:p>
    <w:p w14:paraId="5FB4A5A6" w14:textId="77777777" w:rsidR="0022243F" w:rsidRDefault="0022243F" w:rsidP="0022243F">
      <w:r>
        <w:t xml:space="preserve"> </w:t>
      </w:r>
    </w:p>
    <w:p w14:paraId="3043BCAE" w14:textId="77777777" w:rsidR="0022243F" w:rsidRDefault="0022243F" w:rsidP="0022243F">
      <w:r>
        <w:t xml:space="preserve">2. The President’s Coronavirus Guidance published on March 16, 2020 instructs employees of Critical Infrastructure Industries, such as the food and agriculture sector, to maintain normal work patterns during the global coronavirus outbreak. </w:t>
      </w:r>
    </w:p>
    <w:p w14:paraId="31AA1DDA" w14:textId="77777777" w:rsidR="0022243F" w:rsidRDefault="0022243F" w:rsidP="0022243F">
      <w:r>
        <w:t xml:space="preserve"> </w:t>
      </w:r>
    </w:p>
    <w:p w14:paraId="66480856" w14:textId="77777777" w:rsidR="0022243F" w:rsidRDefault="0022243F" w:rsidP="009F0C2A">
      <w:r>
        <w:t>3. This document certifies that this vehicle is transporting a shipment of food and agricultural products within a sector that has been designa</w:t>
      </w:r>
      <w:r w:rsidR="009F0C2A">
        <w:t>ted as critical infrastructure.</w:t>
      </w:r>
    </w:p>
    <w:p w14:paraId="7474CAC4" w14:textId="77777777" w:rsidR="009F0C2A" w:rsidRDefault="009F0C2A" w:rsidP="009F0C2A"/>
    <w:p w14:paraId="3F93C740" w14:textId="77777777" w:rsidR="0022243F" w:rsidRDefault="0022243F" w:rsidP="0022243F">
      <w:r>
        <w:t xml:space="preserve">4. </w:t>
      </w:r>
      <w:r w:rsidR="009F0C2A">
        <w:t>Based on both State and Federal</w:t>
      </w:r>
      <w:r>
        <w:t xml:space="preserve"> Guidance </w:t>
      </w:r>
      <w:r w:rsidR="009F0C2A">
        <w:t xml:space="preserve">it is </w:t>
      </w:r>
      <w:r>
        <w:t xml:space="preserve">to allow this shipment to proceed in the federal interests of protecting the nation’s food supply chain. </w:t>
      </w:r>
    </w:p>
    <w:p w14:paraId="234FBA71" w14:textId="77777777" w:rsidR="0022243F" w:rsidRDefault="0022243F" w:rsidP="0022243F">
      <w:r>
        <w:t xml:space="preserve"> </w:t>
      </w:r>
      <w:r w:rsidR="005D111F">
        <w:t xml:space="preserve">  </w:t>
      </w:r>
    </w:p>
    <w:p w14:paraId="44B052DF" w14:textId="77777777" w:rsidR="0022243F" w:rsidRDefault="0022243F" w:rsidP="0022243F">
      <w:r>
        <w:t xml:space="preserve"> </w:t>
      </w:r>
    </w:p>
    <w:p w14:paraId="3B681C57" w14:textId="77777777" w:rsidR="0022243F" w:rsidRDefault="0022243F" w:rsidP="0022243F">
      <w:r>
        <w:t xml:space="preserve"> ___________</w:t>
      </w:r>
      <w:r w:rsidR="005D111F">
        <w:t>___________________   [Farm/Company R</w:t>
      </w:r>
      <w:r>
        <w:t xml:space="preserve">epresentative]  </w:t>
      </w:r>
    </w:p>
    <w:p w14:paraId="2413FB97" w14:textId="77777777" w:rsidR="005D111F" w:rsidRDefault="005D111F" w:rsidP="0022243F"/>
    <w:p w14:paraId="2DA79C5C" w14:textId="77777777" w:rsidR="005D111F" w:rsidRDefault="005D111F" w:rsidP="0022243F">
      <w:r>
        <w:t>_______________________________  [Contact Information/Phone Number]</w:t>
      </w:r>
    </w:p>
    <w:p w14:paraId="12263A5C" w14:textId="77777777" w:rsidR="0022243F" w:rsidRDefault="0022243F" w:rsidP="0022243F">
      <w:r>
        <w:t xml:space="preserve"> </w:t>
      </w:r>
    </w:p>
    <w:p w14:paraId="5F999318" w14:textId="77777777" w:rsidR="0022243F" w:rsidRDefault="0022243F" w:rsidP="0022243F">
      <w:r>
        <w:t xml:space="preserve">______________________________  </w:t>
      </w:r>
      <w:r w:rsidR="005D111F">
        <w:t xml:space="preserve">  </w:t>
      </w:r>
      <w:r>
        <w:t xml:space="preserve">[Vehicle license plate or identification number] </w:t>
      </w:r>
    </w:p>
    <w:p w14:paraId="21ACD7FD" w14:textId="77777777" w:rsidR="00F57F3D" w:rsidRPr="00183176" w:rsidRDefault="00F57F3D" w:rsidP="00183176"/>
    <w:sectPr w:rsidR="00F57F3D" w:rsidRPr="00183176" w:rsidSect="00950DDD">
      <w:footerReference w:type="default" r:id="rId7"/>
      <w:headerReference w:type="first" r:id="rId8"/>
      <w:pgSz w:w="12240" w:h="15840" w:code="1"/>
      <w:pgMar w:top="360" w:right="1008" w:bottom="0" w:left="1008" w:header="5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5C075" w14:textId="77777777" w:rsidR="00245062" w:rsidRDefault="00245062">
      <w:r>
        <w:separator/>
      </w:r>
    </w:p>
  </w:endnote>
  <w:endnote w:type="continuationSeparator" w:id="0">
    <w:p w14:paraId="2674D0C7" w14:textId="77777777" w:rsidR="00245062" w:rsidRDefault="0024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5F82" w14:textId="77777777" w:rsidR="00786C51" w:rsidRDefault="00786C51">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5D111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D111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D8D5" w14:textId="77777777" w:rsidR="00245062" w:rsidRDefault="00245062">
      <w:r>
        <w:separator/>
      </w:r>
    </w:p>
  </w:footnote>
  <w:footnote w:type="continuationSeparator" w:id="0">
    <w:p w14:paraId="5771CECF" w14:textId="77777777" w:rsidR="00245062" w:rsidRDefault="00245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98" w:type="dxa"/>
      <w:tblLayout w:type="fixed"/>
      <w:tblLook w:val="04A0" w:firstRow="1" w:lastRow="0" w:firstColumn="1" w:lastColumn="0" w:noHBand="0" w:noVBand="1"/>
    </w:tblPr>
    <w:tblGrid>
      <w:gridCol w:w="1190"/>
      <w:gridCol w:w="1510"/>
      <w:gridCol w:w="2610"/>
      <w:gridCol w:w="3240"/>
      <w:gridCol w:w="1516"/>
      <w:gridCol w:w="14"/>
    </w:tblGrid>
    <w:tr w:rsidR="00831289" w14:paraId="353233C0" w14:textId="77777777" w:rsidTr="00536C7E">
      <w:trPr>
        <w:gridAfter w:val="1"/>
        <w:wAfter w:w="14" w:type="dxa"/>
        <w:trHeight w:val="1011"/>
      </w:trPr>
      <w:tc>
        <w:tcPr>
          <w:tcW w:w="10066" w:type="dxa"/>
          <w:gridSpan w:val="5"/>
          <w:hideMark/>
        </w:tcPr>
        <w:p w14:paraId="373E83E3" w14:textId="77777777" w:rsidR="00831289" w:rsidRDefault="00831289" w:rsidP="00831289">
          <w:pPr>
            <w:rPr>
              <w:smallCaps/>
              <w:spacing w:val="70"/>
              <w:sz w:val="42"/>
              <w:szCs w:val="42"/>
            </w:rPr>
          </w:pPr>
          <w:r>
            <w:rPr>
              <w:smallCaps/>
              <w:spacing w:val="70"/>
              <w:sz w:val="42"/>
              <w:szCs w:val="42"/>
            </w:rPr>
            <w:t>The Commonwealth Of Massachusetts</w:t>
          </w:r>
        </w:p>
        <w:p w14:paraId="74567E24" w14:textId="77777777" w:rsidR="00831289" w:rsidRDefault="00831289" w:rsidP="00831289">
          <w:pPr>
            <w:spacing w:line="320" w:lineRule="exact"/>
            <w:rPr>
              <w:sz w:val="30"/>
              <w:szCs w:val="30"/>
            </w:rPr>
          </w:pPr>
          <w:r>
            <w:rPr>
              <w:noProof/>
            </w:rPr>
            <mc:AlternateContent>
              <mc:Choice Requires="wps">
                <w:drawing>
                  <wp:anchor distT="0" distB="0" distL="114300" distR="114300" simplePos="0" relativeHeight="251659264" behindDoc="0" locked="0" layoutInCell="1" allowOverlap="1" wp14:anchorId="136C85DE" wp14:editId="45585137">
                    <wp:simplePos x="0" y="0"/>
                    <wp:positionH relativeFrom="column">
                      <wp:posOffset>-203835</wp:posOffset>
                    </wp:positionH>
                    <wp:positionV relativeFrom="paragraph">
                      <wp:posOffset>180340</wp:posOffset>
                    </wp:positionV>
                    <wp:extent cx="974090" cy="1024890"/>
                    <wp:effectExtent l="0" t="0"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97F1F" w14:textId="77777777" w:rsidR="00831289" w:rsidRDefault="00831289" w:rsidP="00831289">
                                <w:r>
                                  <w:rPr>
                                    <w:noProof/>
                                    <w:sz w:val="20"/>
                                  </w:rPr>
                                  <w:drawing>
                                    <wp:inline distT="0" distB="0" distL="0" distR="0" wp14:anchorId="1B94B3B8" wp14:editId="32BF4CA5">
                                      <wp:extent cx="790575" cy="9334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0575" cy="9334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6C85DE" id="_x0000_t202" coordsize="21600,21600" o:spt="202" path="m,l,21600r21600,l21600,xe">
                    <v:stroke joinstyle="miter"/>
                    <v:path gradientshapeok="t" o:connecttype="rect"/>
                  </v:shapetype>
                  <v:shape id="Text Box 1" o:spid="_x0000_s1026" type="#_x0000_t202" style="position:absolute;margin-left:-16.05pt;margin-top:14.2pt;width:76.7pt;height:8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0rgIAALcFAAAOAAAAZHJzL2Uyb0RvYy54bWysVNtunDAQfa/Uf7D8TrjUuwsobLRZlqpS&#10;epGSfoAXzGIVbGQ7C2nVf+/Y7C2JKlVtebBsz/jMnJnDXN+MXYv2TGkuRYbDqwAjJkpZcbHL8NeH&#10;wosx0oaKirZSsAw/MY1vlm/fXA99yiLZyLZiCgGI0OnQZ7gxpk99X5cN66i+kj0TYKyl6qiBo9r5&#10;laIDoHetHwXB3B+kqnolS6Y13OaTES8dfl2z0nyua80MajMMuRm3Krdu7eovr2m6U7RveHlIg/5F&#10;Fh3lAoKeoHJqKHpU/BVUx0sltazNVSk7X9Y1L5njAGzC4AWb+4b2zHGB4uj+VCb9/2DLT/svCvEq&#10;wxFGgnbQogc2GnQrRxTa6gy9TsHpvgc3M8I1dNkx1f2dLL9pJOS6oWLHVkrJoWG0guzcS//i6YSj&#10;Lch2+CgrCEMfjXRAY606WzooBgJ06NLTqTM2lRIukwUJErCUYAqDiMRwgOR8mh5f90qb90x2yG4y&#10;rKDzDp3u77SZXI8uNpiQBW9b1/1WPLsAzOkGYsNTa7NZuGb+SIJkE29i4pFovvFIkOfeqlgTb16E&#10;i1n+Ll+v8/CnjRuStOFVxYQNcxRWSP6scQeJT5I4SUvLllcWzqak1W67bhXaUxB24b5DQS7c/Odp&#10;uHoBlxeUwogEt1HiFfN44ZGCzLxkEcReECa3yTwgCcmL55TuuGD/TgkN0NZZNJvE9Ftugftec6Np&#10;xw2MjpZ3GY5PTjS1EtyIyrXWUN5O+4tS2PTPpYB2HxvtBGs1OqnVjNsRUKyKt7J6AukqCcoCFcK8&#10;g00j1XeMBpgdGRYw3DBqPwgQfxISYkeNO5DZIoKDurRsLy1UlACUYYPRtF2baTw99orvGohz/N1W&#10;8MMU3Gn5nBMQsQeYDo7SYZLZ8XN5dl7nebv8BQAA//8DAFBLAwQUAAYACAAAACEAZMnmed4AAAAK&#10;AQAADwAAAGRycy9kb3ducmV2LnhtbEyPQU7DMBBF90jcwRokdq0TtyA3jVOhAmto4QBuPMRp4nEU&#10;u23g9Lgr2M1onv68X24m17MzjqH1pCCfZ8CQam9aahR8frzOJLAQNRnde0IF3xhgU93elLow/kI7&#10;PO9jw1IIhUIrsDEOBeehtuh0mPsBKd2+/Oh0TOvYcDPqSwp3PRdZ9sidbil9sHrArcW625+cApm5&#10;t65biffglj/5g90++5fhqNT93fS0BhZxin8wXPWTOlTJ6eBPZALrFcwWIk+oAiGXwK6AyBfADmmQ&#10;Kwm8Kvn/CtUvAAAA//8DAFBLAQItABQABgAIAAAAIQC2gziS/gAAAOEBAAATAAAAAAAAAAAAAAAA&#10;AAAAAABbQ29udGVudF9UeXBlc10ueG1sUEsBAi0AFAAGAAgAAAAhADj9If/WAAAAlAEAAAsAAAAA&#10;AAAAAAAAAAAALwEAAF9yZWxzLy5yZWxzUEsBAi0AFAAGAAgAAAAhAL9P1LSuAgAAtwUAAA4AAAAA&#10;AAAAAAAAAAAALgIAAGRycy9lMm9Eb2MueG1sUEsBAi0AFAAGAAgAAAAhAGTJ5nneAAAACgEAAA8A&#10;AAAAAAAAAAAAAAAACAUAAGRycy9kb3ducmV2LnhtbFBLBQYAAAAABAAEAPMAAAATBgAAAAA=&#10;" filled="f" stroked="f">
                    <v:textbox style="mso-fit-shape-to-text:t">
                      <w:txbxContent>
                        <w:p w14:paraId="53997F1F" w14:textId="77777777" w:rsidR="00831289" w:rsidRDefault="00831289" w:rsidP="00831289">
                          <w:r>
                            <w:rPr>
                              <w:noProof/>
                              <w:sz w:val="20"/>
                            </w:rPr>
                            <w:drawing>
                              <wp:inline distT="0" distB="0" distL="0" distR="0" wp14:anchorId="1B94B3B8" wp14:editId="32BF4CA5">
                                <wp:extent cx="790575" cy="9334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0575" cy="933450"/>
                                        </a:xfrm>
                                        <a:prstGeom prst="rect">
                                          <a:avLst/>
                                        </a:prstGeom>
                                        <a:noFill/>
                                        <a:ln w="9525">
                                          <a:noFill/>
                                          <a:miter lim="800000"/>
                                          <a:headEnd/>
                                          <a:tailEnd/>
                                        </a:ln>
                                      </pic:spPr>
                                    </pic:pic>
                                  </a:graphicData>
                                </a:graphic>
                              </wp:inline>
                            </w:drawing>
                          </w:r>
                        </w:p>
                      </w:txbxContent>
                    </v:textbox>
                  </v:shape>
                </w:pict>
              </mc:Fallback>
            </mc:AlternateContent>
          </w:r>
          <w:r>
            <w:rPr>
              <w:smallCaps/>
              <w:spacing w:val="30"/>
              <w:sz w:val="24"/>
              <w:szCs w:val="30"/>
            </w:rPr>
            <w:t>Executive Office Of Energy And Environmental Affairs</w:t>
          </w:r>
        </w:p>
      </w:tc>
    </w:tr>
    <w:tr w:rsidR="00831289" w14:paraId="1CAA6F17" w14:textId="77777777" w:rsidTr="00536C7E">
      <w:trPr>
        <w:gridAfter w:val="1"/>
        <w:wAfter w:w="14" w:type="dxa"/>
        <w:trHeight w:val="1287"/>
      </w:trPr>
      <w:tc>
        <w:tcPr>
          <w:tcW w:w="1190" w:type="dxa"/>
          <w:tcBorders>
            <w:top w:val="nil"/>
            <w:left w:val="nil"/>
            <w:bottom w:val="single" w:sz="4" w:space="0" w:color="auto"/>
            <w:right w:val="nil"/>
          </w:tcBorders>
        </w:tcPr>
        <w:p w14:paraId="61F80C36" w14:textId="77777777" w:rsidR="00831289" w:rsidRDefault="00831289" w:rsidP="00831289">
          <w:pPr>
            <w:ind w:left="-108"/>
          </w:pPr>
        </w:p>
      </w:tc>
      <w:tc>
        <w:tcPr>
          <w:tcW w:w="8876" w:type="dxa"/>
          <w:gridSpan w:val="4"/>
          <w:tcBorders>
            <w:top w:val="nil"/>
            <w:left w:val="nil"/>
            <w:bottom w:val="single" w:sz="4" w:space="0" w:color="auto"/>
            <w:right w:val="nil"/>
          </w:tcBorders>
          <w:hideMark/>
        </w:tcPr>
        <w:p w14:paraId="03F96E0E" w14:textId="77777777" w:rsidR="00831289" w:rsidRDefault="00831289" w:rsidP="00831289">
          <w:pPr>
            <w:pStyle w:val="Header"/>
            <w:tabs>
              <w:tab w:val="clear" w:pos="4320"/>
              <w:tab w:val="clear" w:pos="8640"/>
              <w:tab w:val="left" w:pos="8622"/>
              <w:tab w:val="left" w:pos="10962"/>
            </w:tabs>
            <w:ind w:left="72"/>
            <w:rPr>
              <w:spacing w:val="10"/>
              <w:sz w:val="36"/>
              <w:szCs w:val="34"/>
            </w:rPr>
          </w:pPr>
          <w:r>
            <w:rPr>
              <w:noProof/>
            </w:rPr>
            <mc:AlternateContent>
              <mc:Choice Requires="wps">
                <w:drawing>
                  <wp:anchor distT="0" distB="0" distL="114300" distR="114300" simplePos="0" relativeHeight="251660288" behindDoc="0" locked="0" layoutInCell="1" allowOverlap="1" wp14:anchorId="68309454" wp14:editId="2AB74331">
                    <wp:simplePos x="0" y="0"/>
                    <wp:positionH relativeFrom="column">
                      <wp:posOffset>3777615</wp:posOffset>
                    </wp:positionH>
                    <wp:positionV relativeFrom="paragraph">
                      <wp:posOffset>66675</wp:posOffset>
                    </wp:positionV>
                    <wp:extent cx="1783715" cy="596265"/>
                    <wp:effectExtent l="0" t="0"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F6186" w14:textId="77777777" w:rsidR="00831289" w:rsidRDefault="00831289" w:rsidP="00831289">
                                <w:r>
                                  <w:rPr>
                                    <w:noProof/>
                                    <w:sz w:val="20"/>
                                  </w:rPr>
                                  <w:drawing>
                                    <wp:inline distT="0" distB="0" distL="0" distR="0" wp14:anchorId="6FEC359F" wp14:editId="53D2133D">
                                      <wp:extent cx="1571625" cy="504825"/>
                                      <wp:effectExtent l="19050" t="0" r="9525" b="0"/>
                                      <wp:docPr id="6" name="Picture 6" descr="MDARlogoBandW_fo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ARlogoBandW_forltrhd"/>
                                              <pic:cNvPicPr>
                                                <a:picLocks noChangeAspect="1" noChangeArrowheads="1"/>
                                              </pic:cNvPicPr>
                                            </pic:nvPicPr>
                                            <pic:blipFill>
                                              <a:blip r:embed="rId2"/>
                                              <a:srcRect/>
                                              <a:stretch>
                                                <a:fillRect/>
                                              </a:stretch>
                                            </pic:blipFill>
                                            <pic:spPr bwMode="auto">
                                              <a:xfrm>
                                                <a:off x="0" y="0"/>
                                                <a:ext cx="1571625" cy="5048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309454" id="Text Box 2" o:spid="_x0000_s1027" type="#_x0000_t202" style="position:absolute;left:0;text-align:left;margin-left:297.45pt;margin-top:5.25pt;width:140.45pt;height:46.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VswIAAL4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DSNABWnTP9gbdyD2KbHWmUefgdDeCm9nDsfW0TPV4K+tvGgm56qjYsmul5NQx2kB2ob3pn12d&#10;cbQF2UwfZQNh6IORDmjfqsECQjEQoEOXHk+dsanUNuQifbcIY4xqsMVZEiWxC0Hz4+1RafOeyQHZ&#10;RYEVdN6h092tNjYbmh9dbDAhK973rvu9eHYAjvMJxIar1mazcM38kQXZOl2nxCNRsvZIUJbedbUi&#10;XlKFi7h8V65WZfjTxg1J3vGmYcKGOQorJH/WuIPEZ0mcpKVlzxsLZ1PSartZ9QrtKAi7ct+hIGdu&#10;/vM0XBGAywtKYUSCmyjzqiRdeKQisZctgtQLwuwmSwKSkbJ6TumWC/bvlNBU4CyO4llMv+UWuO81&#10;N5oP3MDo6PlQ4PTkRHMrwbVoXGsN5f28PiuFTf+pFNDuY6OdYK1GZ7Wa/WZ/eBkAZsW8kc0jKFhJ&#10;EBjIFMYeLDqpvmM0wQgpsIAZh1H/QcAbyEJC7MRxGxIvItioc8vm3EJFDUAFNhjNy5WZp9TDqPi2&#10;gzjHV3cN76biTtJPOR1eGwwJx+ww0OwUOt87r6exu/wFAAD//wMAUEsDBBQABgAIAAAAIQDKhVqx&#10;3AAAAAoBAAAPAAAAZHJzL2Rvd25yZXYueG1sTI/BTsMwEETvSPyDtUjcqNMqgSSNU6ECZ6DwAW68&#10;jUPidRS7beDr2Z7guDNPszPVZnaDOOEUOk8KlosEBFLjTUetgs+Pl7scRIiajB48oYJvDLCpr68q&#10;XRp/pnc87WIrOIRCqRXYGMdSytBYdDos/IjE3sFPTkc+p1aaSZ853A1ylST30umO+IPVI24tNv3u&#10;6BTkiXvt+2L1Flz6s8zs9sk/j19K3d7Mj2sQEef4B8OlPleHmjvt/ZFMEIOCrEgLRtlIMhAM5A8Z&#10;b9lfhDQFWVfy/4T6FwAA//8DAFBLAQItABQABgAIAAAAIQC2gziS/gAAAOEBAAATAAAAAAAAAAAA&#10;AAAAAAAAAABbQ29udGVudF9UeXBlc10ueG1sUEsBAi0AFAAGAAgAAAAhADj9If/WAAAAlAEAAAsA&#10;AAAAAAAAAAAAAAAALwEAAF9yZWxzLy5yZWxzUEsBAi0AFAAGAAgAAAAhAAv335WzAgAAvgUAAA4A&#10;AAAAAAAAAAAAAAAALgIAAGRycy9lMm9Eb2MueG1sUEsBAi0AFAAGAAgAAAAhAMqFWrHcAAAACgEA&#10;AA8AAAAAAAAAAAAAAAAADQUAAGRycy9kb3ducmV2LnhtbFBLBQYAAAAABAAEAPMAAAAWBgAAAAA=&#10;" filled="f" stroked="f">
                    <v:textbox style="mso-fit-shape-to-text:t">
                      <w:txbxContent>
                        <w:p w14:paraId="44AF6186" w14:textId="77777777" w:rsidR="00831289" w:rsidRDefault="00831289" w:rsidP="00831289">
                          <w:r>
                            <w:rPr>
                              <w:noProof/>
                              <w:sz w:val="20"/>
                            </w:rPr>
                            <w:drawing>
                              <wp:inline distT="0" distB="0" distL="0" distR="0" wp14:anchorId="6FEC359F" wp14:editId="53D2133D">
                                <wp:extent cx="1571625" cy="504825"/>
                                <wp:effectExtent l="19050" t="0" r="9525" b="0"/>
                                <wp:docPr id="6" name="Picture 6" descr="MDARlogoBandW_fo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ARlogoBandW_forltrhd"/>
                                        <pic:cNvPicPr>
                                          <a:picLocks noChangeAspect="1" noChangeArrowheads="1"/>
                                        </pic:cNvPicPr>
                                      </pic:nvPicPr>
                                      <pic:blipFill>
                                        <a:blip r:embed="rId2"/>
                                        <a:srcRect/>
                                        <a:stretch>
                                          <a:fillRect/>
                                        </a:stretch>
                                      </pic:blipFill>
                                      <pic:spPr bwMode="auto">
                                        <a:xfrm>
                                          <a:off x="0" y="0"/>
                                          <a:ext cx="1571625" cy="504825"/>
                                        </a:xfrm>
                                        <a:prstGeom prst="rect">
                                          <a:avLst/>
                                        </a:prstGeom>
                                        <a:noFill/>
                                        <a:ln w="9525">
                                          <a:noFill/>
                                          <a:miter lim="800000"/>
                                          <a:headEnd/>
                                          <a:tailEnd/>
                                        </a:ln>
                                      </pic:spPr>
                                    </pic:pic>
                                  </a:graphicData>
                                </a:graphic>
                              </wp:inline>
                            </w:drawing>
                          </w:r>
                        </w:p>
                      </w:txbxContent>
                    </v:textbox>
                  </v:shape>
                </w:pict>
              </mc:Fallback>
            </mc:AlternateContent>
          </w:r>
          <w:r>
            <w:rPr>
              <w:spacing w:val="10"/>
              <w:sz w:val="36"/>
              <w:szCs w:val="34"/>
            </w:rPr>
            <w:t>Department of Agricultural Resources</w:t>
          </w:r>
        </w:p>
        <w:p w14:paraId="12FFBAEC" w14:textId="77777777" w:rsidR="00831289" w:rsidRDefault="00831289" w:rsidP="00831289">
          <w:pPr>
            <w:pStyle w:val="Header"/>
            <w:tabs>
              <w:tab w:val="left" w:pos="720"/>
            </w:tabs>
            <w:ind w:left="72"/>
            <w:rPr>
              <w:sz w:val="21"/>
              <w:szCs w:val="21"/>
            </w:rPr>
          </w:pPr>
          <w:r>
            <w:rPr>
              <w:sz w:val="21"/>
              <w:szCs w:val="21"/>
            </w:rPr>
            <w:t>251 Causeway Street, Suite 500, Boston, MA 02114</w:t>
          </w:r>
        </w:p>
        <w:p w14:paraId="77B2AD2C" w14:textId="77777777" w:rsidR="00831289" w:rsidRDefault="00831289" w:rsidP="00831289">
          <w:pPr>
            <w:tabs>
              <w:tab w:val="left" w:pos="1602"/>
            </w:tabs>
            <w:ind w:left="72"/>
            <w:rPr>
              <w:rFonts w:ascii="Adobe Garamond Pro" w:hAnsi="Adobe Garamond Pro" w:cs="Arial"/>
              <w:smallCaps/>
              <w:sz w:val="28"/>
            </w:rPr>
          </w:pPr>
          <w:r>
            <w:rPr>
              <w:sz w:val="21"/>
              <w:szCs w:val="21"/>
            </w:rPr>
            <w:t>617-626-1700   fax:  617-626-1850    www.mass.gov/agr</w:t>
          </w:r>
        </w:p>
      </w:tc>
    </w:tr>
    <w:tr w:rsidR="00831289" w14:paraId="56A83BAF" w14:textId="77777777" w:rsidTr="00536C7E">
      <w:trPr>
        <w:trHeight w:val="449"/>
      </w:trPr>
      <w:tc>
        <w:tcPr>
          <w:tcW w:w="2700" w:type="dxa"/>
          <w:gridSpan w:val="2"/>
          <w:tcBorders>
            <w:top w:val="single" w:sz="4" w:space="0" w:color="auto"/>
            <w:left w:val="nil"/>
            <w:bottom w:val="nil"/>
            <w:right w:val="nil"/>
          </w:tcBorders>
          <w:vAlign w:val="bottom"/>
          <w:hideMark/>
        </w:tcPr>
        <w:p w14:paraId="517493CE" w14:textId="77777777" w:rsidR="00831289" w:rsidRDefault="00831289" w:rsidP="00831289">
          <w:pPr>
            <w:rPr>
              <w:rFonts w:ascii="Lucida Sans" w:hAnsi="Lucida Sans"/>
              <w:b/>
              <w:sz w:val="16"/>
              <w:szCs w:val="16"/>
            </w:rPr>
          </w:pPr>
          <w:r>
            <w:rPr>
              <w:rFonts w:ascii="Lucida Sans" w:hAnsi="Lucida Sans"/>
              <w:sz w:val="16"/>
              <w:szCs w:val="16"/>
            </w:rPr>
            <w:t>CHARLES D. BAKER</w:t>
          </w:r>
        </w:p>
        <w:p w14:paraId="0057267F" w14:textId="77777777" w:rsidR="00831289" w:rsidRDefault="00831289" w:rsidP="00831289">
          <w:pPr>
            <w:rPr>
              <w:rFonts w:ascii="Lucida Sans" w:hAnsi="Lucida Sans"/>
              <w:sz w:val="16"/>
              <w:szCs w:val="16"/>
            </w:rPr>
          </w:pPr>
          <w:r>
            <w:rPr>
              <w:rFonts w:ascii="Lucida Sans" w:hAnsi="Lucida Sans"/>
              <w:sz w:val="16"/>
              <w:szCs w:val="16"/>
            </w:rPr>
            <w:t>Governor</w:t>
          </w:r>
        </w:p>
      </w:tc>
      <w:tc>
        <w:tcPr>
          <w:tcW w:w="2610" w:type="dxa"/>
          <w:tcBorders>
            <w:top w:val="single" w:sz="4" w:space="0" w:color="auto"/>
            <w:left w:val="nil"/>
            <w:bottom w:val="nil"/>
            <w:right w:val="nil"/>
          </w:tcBorders>
          <w:vAlign w:val="bottom"/>
          <w:hideMark/>
        </w:tcPr>
        <w:p w14:paraId="2A6C95C1" w14:textId="77777777" w:rsidR="00831289" w:rsidRDefault="00831289" w:rsidP="00831289">
          <w:pPr>
            <w:rPr>
              <w:rFonts w:ascii="Lucida Sans" w:hAnsi="Lucida Sans"/>
              <w:sz w:val="16"/>
              <w:szCs w:val="16"/>
            </w:rPr>
          </w:pPr>
          <w:r>
            <w:rPr>
              <w:rFonts w:ascii="Lucida Sans" w:hAnsi="Lucida Sans"/>
              <w:sz w:val="16"/>
              <w:szCs w:val="16"/>
            </w:rPr>
            <w:t>KARYN E. POLITO</w:t>
          </w:r>
          <w:r>
            <w:rPr>
              <w:rFonts w:ascii="Lucida Sans" w:hAnsi="Lucida Sans"/>
              <w:sz w:val="16"/>
              <w:szCs w:val="16"/>
            </w:rPr>
            <w:br/>
          </w:r>
          <w:r w:rsidRPr="00A6503E">
            <w:rPr>
              <w:rFonts w:ascii="Lucida Sans" w:hAnsi="Lucida Sans"/>
              <w:sz w:val="16"/>
              <w:szCs w:val="16"/>
            </w:rPr>
            <w:t>Lt. Governor</w:t>
          </w:r>
        </w:p>
      </w:tc>
      <w:tc>
        <w:tcPr>
          <w:tcW w:w="3240" w:type="dxa"/>
          <w:tcBorders>
            <w:top w:val="single" w:sz="4" w:space="0" w:color="auto"/>
            <w:left w:val="nil"/>
            <w:bottom w:val="nil"/>
            <w:right w:val="nil"/>
          </w:tcBorders>
          <w:vAlign w:val="bottom"/>
          <w:hideMark/>
        </w:tcPr>
        <w:p w14:paraId="22B9C8C3" w14:textId="77777777" w:rsidR="00831289" w:rsidRDefault="00831289" w:rsidP="00831289">
          <w:pPr>
            <w:rPr>
              <w:rFonts w:ascii="Lucida Sans" w:hAnsi="Lucida Sans"/>
              <w:sz w:val="16"/>
              <w:szCs w:val="16"/>
            </w:rPr>
          </w:pPr>
          <w:r>
            <w:rPr>
              <w:rFonts w:ascii="Lucida Sans" w:hAnsi="Lucida Sans"/>
              <w:sz w:val="16"/>
              <w:szCs w:val="16"/>
            </w:rPr>
            <w:t>KATHLEEN A. THEOHARIDES</w:t>
          </w:r>
          <w:r>
            <w:rPr>
              <w:rFonts w:ascii="Lucida Sans" w:hAnsi="Lucida Sans"/>
              <w:sz w:val="16"/>
              <w:szCs w:val="16"/>
            </w:rPr>
            <w:br/>
            <w:t>Secretary</w:t>
          </w:r>
        </w:p>
      </w:tc>
      <w:tc>
        <w:tcPr>
          <w:tcW w:w="1530" w:type="dxa"/>
          <w:gridSpan w:val="2"/>
          <w:tcBorders>
            <w:top w:val="single" w:sz="4" w:space="0" w:color="auto"/>
            <w:left w:val="nil"/>
            <w:bottom w:val="nil"/>
            <w:right w:val="nil"/>
          </w:tcBorders>
          <w:vAlign w:val="bottom"/>
        </w:tcPr>
        <w:p w14:paraId="4C5792D1" w14:textId="77777777" w:rsidR="00831289" w:rsidRDefault="00831289" w:rsidP="00831289">
          <w:pPr>
            <w:rPr>
              <w:rFonts w:ascii="Lucida Sans" w:hAnsi="Lucida Sans"/>
              <w:sz w:val="16"/>
              <w:szCs w:val="16"/>
            </w:rPr>
          </w:pPr>
          <w:r>
            <w:rPr>
              <w:rFonts w:ascii="Lucida Sans" w:hAnsi="Lucida Sans"/>
              <w:sz w:val="16"/>
              <w:szCs w:val="16"/>
            </w:rPr>
            <w:t>JOHN LEBEAUX</w:t>
          </w:r>
          <w:r>
            <w:rPr>
              <w:rFonts w:ascii="Lucida Sans" w:hAnsi="Lucida Sans"/>
              <w:sz w:val="16"/>
              <w:szCs w:val="16"/>
            </w:rPr>
            <w:br/>
          </w:r>
          <w:r w:rsidRPr="007016C3">
            <w:rPr>
              <w:rFonts w:ascii="Lucida Sans" w:hAnsi="Lucida Sans"/>
              <w:sz w:val="16"/>
              <w:szCs w:val="16"/>
            </w:rPr>
            <w:t>Commissioner</w:t>
          </w:r>
        </w:p>
      </w:tc>
    </w:tr>
  </w:tbl>
  <w:p w14:paraId="0F0687A9" w14:textId="77777777" w:rsidR="00786C51" w:rsidRPr="00CD0E7B" w:rsidRDefault="00786C51" w:rsidP="00D44FC7">
    <w:pPr>
      <w:pStyle w:val="Header"/>
      <w:ind w:left="-450"/>
      <w:rPr>
        <w:rFonts w:ascii="Adobe Myungjo Std M" w:eastAsia="Adobe Myungjo Std M" w:hAnsi="Adobe Myungjo Std 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B5ACA"/>
    <w:multiLevelType w:val="singleLevel"/>
    <w:tmpl w:val="52A27FAE"/>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25A27A11"/>
    <w:multiLevelType w:val="hybridMultilevel"/>
    <w:tmpl w:val="7D32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12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2A45E8"/>
    <w:multiLevelType w:val="hybridMultilevel"/>
    <w:tmpl w:val="2488F8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14B23D7"/>
    <w:multiLevelType w:val="hybridMultilevel"/>
    <w:tmpl w:val="91829E76"/>
    <w:lvl w:ilvl="0" w:tplc="D06C3B20">
      <w:start w:val="1"/>
      <w:numFmt w:val="upperRoman"/>
      <w:lvlText w:val="%1."/>
      <w:lvlJc w:val="left"/>
      <w:pPr>
        <w:tabs>
          <w:tab w:val="num" w:pos="1080"/>
        </w:tabs>
        <w:ind w:left="1080" w:hanging="720"/>
      </w:pPr>
      <w:rPr>
        <w:rFonts w:hint="default"/>
      </w:rPr>
    </w:lvl>
    <w:lvl w:ilvl="1" w:tplc="9C9462D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875A21"/>
    <w:multiLevelType w:val="multilevel"/>
    <w:tmpl w:val="BA5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D17C72"/>
    <w:multiLevelType w:val="hybridMultilevel"/>
    <w:tmpl w:val="AF8E7096"/>
    <w:lvl w:ilvl="0" w:tplc="593EF46E">
      <w:start w:val="1"/>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7" w15:restartNumberingAfterBreak="0">
    <w:nsid w:val="53565E06"/>
    <w:multiLevelType w:val="singleLevel"/>
    <w:tmpl w:val="ADE48D40"/>
    <w:lvl w:ilvl="0">
      <w:start w:val="1"/>
      <w:numFmt w:val="decimal"/>
      <w:lvlText w:val="%1."/>
      <w:lvlJc w:val="left"/>
      <w:pPr>
        <w:tabs>
          <w:tab w:val="num" w:pos="435"/>
        </w:tabs>
        <w:ind w:left="435" w:hanging="435"/>
      </w:pPr>
      <w:rPr>
        <w:rFonts w:hint="default"/>
      </w:rPr>
    </w:lvl>
  </w:abstractNum>
  <w:abstractNum w:abstractNumId="8" w15:restartNumberingAfterBreak="0">
    <w:nsid w:val="58BB3C96"/>
    <w:multiLevelType w:val="hybridMultilevel"/>
    <w:tmpl w:val="7B8C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63BE8"/>
    <w:multiLevelType w:val="hybridMultilevel"/>
    <w:tmpl w:val="D6FE61D6"/>
    <w:lvl w:ilvl="0" w:tplc="BD6EC3BA">
      <w:start w:val="1"/>
      <w:numFmt w:val="upperLetter"/>
      <w:lvlText w:val="%1."/>
      <w:lvlJc w:val="left"/>
      <w:pPr>
        <w:tabs>
          <w:tab w:val="num" w:pos="1800"/>
        </w:tabs>
        <w:ind w:left="1800" w:hanging="360"/>
      </w:pPr>
      <w:rPr>
        <w:rFonts w:hint="default"/>
      </w:rPr>
    </w:lvl>
    <w:lvl w:ilvl="1" w:tplc="E256AA8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C4B7FF0"/>
    <w:multiLevelType w:val="hybridMultilevel"/>
    <w:tmpl w:val="FC46C9E8"/>
    <w:lvl w:ilvl="0" w:tplc="BFD6E6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1D6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B030D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2"/>
  </w:num>
  <w:num w:numId="4">
    <w:abstractNumId w:val="12"/>
  </w:num>
  <w:num w:numId="5">
    <w:abstractNumId w:val="11"/>
  </w:num>
  <w:num w:numId="6">
    <w:abstractNumId w:val="10"/>
  </w:num>
  <w:num w:numId="7">
    <w:abstractNumId w:val="4"/>
  </w:num>
  <w:num w:numId="8">
    <w:abstractNumId w:val="9"/>
  </w:num>
  <w:num w:numId="9">
    <w:abstractNumId w:val="3"/>
  </w:num>
  <w:num w:numId="10">
    <w:abstractNumId w:val="8"/>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44"/>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FEA"/>
    <w:rsid w:val="00004BF2"/>
    <w:rsid w:val="00020D67"/>
    <w:rsid w:val="000471E5"/>
    <w:rsid w:val="00056ADF"/>
    <w:rsid w:val="00057579"/>
    <w:rsid w:val="000A0709"/>
    <w:rsid w:val="000A272C"/>
    <w:rsid w:val="000A2D76"/>
    <w:rsid w:val="000A614E"/>
    <w:rsid w:val="000B0363"/>
    <w:rsid w:val="000D0AA5"/>
    <w:rsid w:val="000D74FD"/>
    <w:rsid w:val="000E67D2"/>
    <w:rsid w:val="000F56ED"/>
    <w:rsid w:val="000F690A"/>
    <w:rsid w:val="00107070"/>
    <w:rsid w:val="00117DCC"/>
    <w:rsid w:val="00132A31"/>
    <w:rsid w:val="00152A30"/>
    <w:rsid w:val="0015600C"/>
    <w:rsid w:val="00163A6F"/>
    <w:rsid w:val="00166E59"/>
    <w:rsid w:val="00183176"/>
    <w:rsid w:val="00185131"/>
    <w:rsid w:val="00192884"/>
    <w:rsid w:val="001B0A61"/>
    <w:rsid w:val="001D3034"/>
    <w:rsid w:val="001D430E"/>
    <w:rsid w:val="001D5602"/>
    <w:rsid w:val="001D718B"/>
    <w:rsid w:val="001D74B0"/>
    <w:rsid w:val="001D74E1"/>
    <w:rsid w:val="0022243F"/>
    <w:rsid w:val="00245062"/>
    <w:rsid w:val="00247265"/>
    <w:rsid w:val="00257D4D"/>
    <w:rsid w:val="00272087"/>
    <w:rsid w:val="002943CE"/>
    <w:rsid w:val="00294CEF"/>
    <w:rsid w:val="002A6AF7"/>
    <w:rsid w:val="002A7023"/>
    <w:rsid w:val="002C1883"/>
    <w:rsid w:val="002E0062"/>
    <w:rsid w:val="002E1372"/>
    <w:rsid w:val="00304F93"/>
    <w:rsid w:val="00324C88"/>
    <w:rsid w:val="0032724D"/>
    <w:rsid w:val="00327DD9"/>
    <w:rsid w:val="00333260"/>
    <w:rsid w:val="003431E6"/>
    <w:rsid w:val="00372BF9"/>
    <w:rsid w:val="00377A4E"/>
    <w:rsid w:val="00382012"/>
    <w:rsid w:val="0038712B"/>
    <w:rsid w:val="003963E4"/>
    <w:rsid w:val="003A32C9"/>
    <w:rsid w:val="003B7A84"/>
    <w:rsid w:val="003C463B"/>
    <w:rsid w:val="003D4CF1"/>
    <w:rsid w:val="00406987"/>
    <w:rsid w:val="00414751"/>
    <w:rsid w:val="0042145C"/>
    <w:rsid w:val="0043231B"/>
    <w:rsid w:val="004442C0"/>
    <w:rsid w:val="00470E68"/>
    <w:rsid w:val="00477F01"/>
    <w:rsid w:val="00483B8B"/>
    <w:rsid w:val="00486D5A"/>
    <w:rsid w:val="004A3FC7"/>
    <w:rsid w:val="004B0EDF"/>
    <w:rsid w:val="004C5439"/>
    <w:rsid w:val="004D77CA"/>
    <w:rsid w:val="004E210C"/>
    <w:rsid w:val="004E772E"/>
    <w:rsid w:val="004F552C"/>
    <w:rsid w:val="00501930"/>
    <w:rsid w:val="00511D02"/>
    <w:rsid w:val="005172E2"/>
    <w:rsid w:val="005176F8"/>
    <w:rsid w:val="00527C9E"/>
    <w:rsid w:val="00542CEF"/>
    <w:rsid w:val="00550865"/>
    <w:rsid w:val="00562F12"/>
    <w:rsid w:val="0057254C"/>
    <w:rsid w:val="005A6863"/>
    <w:rsid w:val="005B3C1D"/>
    <w:rsid w:val="005C14CF"/>
    <w:rsid w:val="005C1FA3"/>
    <w:rsid w:val="005D111F"/>
    <w:rsid w:val="005D74FE"/>
    <w:rsid w:val="005E4948"/>
    <w:rsid w:val="005E567C"/>
    <w:rsid w:val="005F2920"/>
    <w:rsid w:val="00602D18"/>
    <w:rsid w:val="00603362"/>
    <w:rsid w:val="00625596"/>
    <w:rsid w:val="00631BB9"/>
    <w:rsid w:val="006438B1"/>
    <w:rsid w:val="0064641A"/>
    <w:rsid w:val="00657328"/>
    <w:rsid w:val="006733FE"/>
    <w:rsid w:val="00680E1F"/>
    <w:rsid w:val="00681086"/>
    <w:rsid w:val="0069461A"/>
    <w:rsid w:val="006A3C67"/>
    <w:rsid w:val="006A4ACE"/>
    <w:rsid w:val="006C3CFB"/>
    <w:rsid w:val="006C67F5"/>
    <w:rsid w:val="006D52B4"/>
    <w:rsid w:val="006D7F9D"/>
    <w:rsid w:val="00704B68"/>
    <w:rsid w:val="00722A48"/>
    <w:rsid w:val="007243D8"/>
    <w:rsid w:val="007262AB"/>
    <w:rsid w:val="00733F73"/>
    <w:rsid w:val="00744238"/>
    <w:rsid w:val="007511F3"/>
    <w:rsid w:val="00774751"/>
    <w:rsid w:val="00774BFC"/>
    <w:rsid w:val="007848D8"/>
    <w:rsid w:val="00786C51"/>
    <w:rsid w:val="00793BE5"/>
    <w:rsid w:val="007940E8"/>
    <w:rsid w:val="00797F95"/>
    <w:rsid w:val="007A1E96"/>
    <w:rsid w:val="007B0320"/>
    <w:rsid w:val="007B0C50"/>
    <w:rsid w:val="007B0F3F"/>
    <w:rsid w:val="007B1C7A"/>
    <w:rsid w:val="007C2B73"/>
    <w:rsid w:val="007C42D8"/>
    <w:rsid w:val="007D1540"/>
    <w:rsid w:val="007D2227"/>
    <w:rsid w:val="007D6279"/>
    <w:rsid w:val="007E2822"/>
    <w:rsid w:val="007E5DE9"/>
    <w:rsid w:val="007F2F2E"/>
    <w:rsid w:val="007F697D"/>
    <w:rsid w:val="00802EF7"/>
    <w:rsid w:val="00806A82"/>
    <w:rsid w:val="00811079"/>
    <w:rsid w:val="00813AAD"/>
    <w:rsid w:val="0082407B"/>
    <w:rsid w:val="00831289"/>
    <w:rsid w:val="00831CD5"/>
    <w:rsid w:val="008417E0"/>
    <w:rsid w:val="008436CB"/>
    <w:rsid w:val="00844BAB"/>
    <w:rsid w:val="00856B18"/>
    <w:rsid w:val="008579F8"/>
    <w:rsid w:val="008620A7"/>
    <w:rsid w:val="00875655"/>
    <w:rsid w:val="00877150"/>
    <w:rsid w:val="008807AB"/>
    <w:rsid w:val="008843B8"/>
    <w:rsid w:val="00895271"/>
    <w:rsid w:val="008953D6"/>
    <w:rsid w:val="008B5596"/>
    <w:rsid w:val="008C4120"/>
    <w:rsid w:val="008C4E74"/>
    <w:rsid w:val="008C5174"/>
    <w:rsid w:val="008D5323"/>
    <w:rsid w:val="008F5F2E"/>
    <w:rsid w:val="008F68AA"/>
    <w:rsid w:val="008F6AEC"/>
    <w:rsid w:val="0090281D"/>
    <w:rsid w:val="00912050"/>
    <w:rsid w:val="00916CD8"/>
    <w:rsid w:val="0094368C"/>
    <w:rsid w:val="00950DDD"/>
    <w:rsid w:val="00980319"/>
    <w:rsid w:val="00983A85"/>
    <w:rsid w:val="00993CBF"/>
    <w:rsid w:val="009A2BE5"/>
    <w:rsid w:val="009A2CCB"/>
    <w:rsid w:val="009A3732"/>
    <w:rsid w:val="009C0FD2"/>
    <w:rsid w:val="009C2BCA"/>
    <w:rsid w:val="009D4380"/>
    <w:rsid w:val="009E09CB"/>
    <w:rsid w:val="009E5450"/>
    <w:rsid w:val="009F0C2A"/>
    <w:rsid w:val="00A12094"/>
    <w:rsid w:val="00A25312"/>
    <w:rsid w:val="00A340A4"/>
    <w:rsid w:val="00A35DC7"/>
    <w:rsid w:val="00A4340A"/>
    <w:rsid w:val="00A43AD4"/>
    <w:rsid w:val="00A5780B"/>
    <w:rsid w:val="00A741D4"/>
    <w:rsid w:val="00A812BD"/>
    <w:rsid w:val="00A843F0"/>
    <w:rsid w:val="00A9312A"/>
    <w:rsid w:val="00A972AA"/>
    <w:rsid w:val="00AA629C"/>
    <w:rsid w:val="00AB6DDF"/>
    <w:rsid w:val="00AD2872"/>
    <w:rsid w:val="00AD343C"/>
    <w:rsid w:val="00AD6214"/>
    <w:rsid w:val="00AF2BE1"/>
    <w:rsid w:val="00B10B6F"/>
    <w:rsid w:val="00B119E0"/>
    <w:rsid w:val="00B1436A"/>
    <w:rsid w:val="00B2024E"/>
    <w:rsid w:val="00B3463A"/>
    <w:rsid w:val="00B369BD"/>
    <w:rsid w:val="00B40240"/>
    <w:rsid w:val="00B41A76"/>
    <w:rsid w:val="00B47F6C"/>
    <w:rsid w:val="00B530CA"/>
    <w:rsid w:val="00B56349"/>
    <w:rsid w:val="00B564FB"/>
    <w:rsid w:val="00B67CD9"/>
    <w:rsid w:val="00B908DA"/>
    <w:rsid w:val="00B929A3"/>
    <w:rsid w:val="00B96BFD"/>
    <w:rsid w:val="00B97745"/>
    <w:rsid w:val="00BA58FE"/>
    <w:rsid w:val="00BA7F81"/>
    <w:rsid w:val="00BB5ED0"/>
    <w:rsid w:val="00BD0B6A"/>
    <w:rsid w:val="00BF044F"/>
    <w:rsid w:val="00BF53E4"/>
    <w:rsid w:val="00C0714D"/>
    <w:rsid w:val="00C17229"/>
    <w:rsid w:val="00C17C22"/>
    <w:rsid w:val="00C25B04"/>
    <w:rsid w:val="00C26623"/>
    <w:rsid w:val="00C3361A"/>
    <w:rsid w:val="00C6440A"/>
    <w:rsid w:val="00C72B26"/>
    <w:rsid w:val="00C767F5"/>
    <w:rsid w:val="00CB77B5"/>
    <w:rsid w:val="00CC655B"/>
    <w:rsid w:val="00CD0E7B"/>
    <w:rsid w:val="00CF2973"/>
    <w:rsid w:val="00D007B0"/>
    <w:rsid w:val="00D0400B"/>
    <w:rsid w:val="00D04A3B"/>
    <w:rsid w:val="00D12317"/>
    <w:rsid w:val="00D24812"/>
    <w:rsid w:val="00D345A2"/>
    <w:rsid w:val="00D44FC7"/>
    <w:rsid w:val="00D619EE"/>
    <w:rsid w:val="00D7138E"/>
    <w:rsid w:val="00D85E6B"/>
    <w:rsid w:val="00D95E2B"/>
    <w:rsid w:val="00D97A63"/>
    <w:rsid w:val="00D97FEA"/>
    <w:rsid w:val="00DA40FB"/>
    <w:rsid w:val="00DE4168"/>
    <w:rsid w:val="00DF1EEB"/>
    <w:rsid w:val="00DF3352"/>
    <w:rsid w:val="00DF67CA"/>
    <w:rsid w:val="00E015C2"/>
    <w:rsid w:val="00E02656"/>
    <w:rsid w:val="00E264C1"/>
    <w:rsid w:val="00E337B0"/>
    <w:rsid w:val="00E35949"/>
    <w:rsid w:val="00E45761"/>
    <w:rsid w:val="00E4757A"/>
    <w:rsid w:val="00E477FA"/>
    <w:rsid w:val="00E47855"/>
    <w:rsid w:val="00E52907"/>
    <w:rsid w:val="00E5339D"/>
    <w:rsid w:val="00E5597F"/>
    <w:rsid w:val="00E639C8"/>
    <w:rsid w:val="00E672C0"/>
    <w:rsid w:val="00E90D0A"/>
    <w:rsid w:val="00EA1B1B"/>
    <w:rsid w:val="00EA54FA"/>
    <w:rsid w:val="00ED2601"/>
    <w:rsid w:val="00EE3584"/>
    <w:rsid w:val="00EE7B57"/>
    <w:rsid w:val="00EF3892"/>
    <w:rsid w:val="00F03AB1"/>
    <w:rsid w:val="00F306AF"/>
    <w:rsid w:val="00F3459B"/>
    <w:rsid w:val="00F47BE8"/>
    <w:rsid w:val="00F51FC0"/>
    <w:rsid w:val="00F57F3D"/>
    <w:rsid w:val="00F61CD9"/>
    <w:rsid w:val="00F64F25"/>
    <w:rsid w:val="00F65CB5"/>
    <w:rsid w:val="00F67354"/>
    <w:rsid w:val="00F81D6C"/>
    <w:rsid w:val="00F83547"/>
    <w:rsid w:val="00F8423E"/>
    <w:rsid w:val="00FA36A8"/>
    <w:rsid w:val="00FA794A"/>
    <w:rsid w:val="00FB362C"/>
    <w:rsid w:val="00FD598E"/>
    <w:rsid w:val="00FE353E"/>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6DA52"/>
  <w15:docId w15:val="{1124C5E4-F618-4890-90BF-5812C4E0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1B1B"/>
    <w:rPr>
      <w:sz w:val="22"/>
    </w:rPr>
  </w:style>
  <w:style w:type="paragraph" w:styleId="Heading1">
    <w:name w:val="heading 1"/>
    <w:basedOn w:val="Normal"/>
    <w:next w:val="Normal"/>
    <w:link w:val="Heading1Char"/>
    <w:qFormat/>
    <w:rsid w:val="00EA1B1B"/>
    <w:pPr>
      <w:keepNext/>
      <w:outlineLvl w:val="0"/>
    </w:pPr>
    <w:rPr>
      <w:b/>
    </w:rPr>
  </w:style>
  <w:style w:type="paragraph" w:styleId="Heading2">
    <w:name w:val="heading 2"/>
    <w:basedOn w:val="Normal"/>
    <w:next w:val="Normal"/>
    <w:qFormat/>
    <w:rsid w:val="00EA1B1B"/>
    <w:pPr>
      <w:keepNext/>
      <w:spacing w:before="40"/>
      <w:outlineLvl w:val="1"/>
    </w:pPr>
    <w:rPr>
      <w:rFonts w:ascii="Century Schoolbook" w:hAnsi="Century Schoolbook"/>
      <w:smallCaps/>
      <w:sz w:val="28"/>
    </w:rPr>
  </w:style>
  <w:style w:type="paragraph" w:styleId="Heading3">
    <w:name w:val="heading 3"/>
    <w:basedOn w:val="Normal"/>
    <w:next w:val="Normal"/>
    <w:qFormat/>
    <w:rsid w:val="00EA1B1B"/>
    <w:pPr>
      <w:keepNext/>
      <w:spacing w:before="240" w:after="240"/>
      <w:outlineLvl w:val="2"/>
    </w:pPr>
    <w:rPr>
      <w:rFonts w:ascii="Arial" w:hAnsi="Arial"/>
      <w:b/>
    </w:rPr>
  </w:style>
  <w:style w:type="paragraph" w:styleId="Heading4">
    <w:name w:val="heading 4"/>
    <w:basedOn w:val="Normal"/>
    <w:next w:val="Normal"/>
    <w:qFormat/>
    <w:rsid w:val="00EA1B1B"/>
    <w:pPr>
      <w:keepNext/>
      <w:spacing w:before="120"/>
      <w:outlineLvl w:val="3"/>
    </w:pPr>
    <w:rPr>
      <w:rFonts w:ascii="Century Schoolbook" w:hAnsi="Century Schoolbook"/>
      <w:i/>
      <w:iCs/>
      <w:sz w:val="32"/>
    </w:rPr>
  </w:style>
  <w:style w:type="paragraph" w:styleId="Heading5">
    <w:name w:val="heading 5"/>
    <w:basedOn w:val="Normal"/>
    <w:next w:val="Normal"/>
    <w:link w:val="Heading5Char"/>
    <w:semiHidden/>
    <w:unhideWhenUsed/>
    <w:qFormat/>
    <w:rsid w:val="00722A48"/>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A1B1B"/>
    <w:pPr>
      <w:ind w:left="360" w:hanging="360"/>
    </w:pPr>
    <w:rPr>
      <w:sz w:val="20"/>
    </w:rPr>
  </w:style>
  <w:style w:type="paragraph" w:styleId="BodyText">
    <w:name w:val="Body Text"/>
    <w:basedOn w:val="Normal"/>
    <w:rsid w:val="00EA1B1B"/>
    <w:rPr>
      <w:color w:val="000000"/>
    </w:rPr>
  </w:style>
  <w:style w:type="paragraph" w:styleId="BodyText2">
    <w:name w:val="Body Text 2"/>
    <w:basedOn w:val="Normal"/>
    <w:rsid w:val="00EA1B1B"/>
    <w:pPr>
      <w:ind w:right="264"/>
    </w:pPr>
    <w:rPr>
      <w:snapToGrid w:val="0"/>
    </w:rPr>
  </w:style>
  <w:style w:type="paragraph" w:styleId="Header">
    <w:name w:val="header"/>
    <w:basedOn w:val="Normal"/>
    <w:link w:val="HeaderChar"/>
    <w:rsid w:val="00EA1B1B"/>
    <w:pPr>
      <w:tabs>
        <w:tab w:val="center" w:pos="4320"/>
        <w:tab w:val="right" w:pos="8640"/>
      </w:tabs>
    </w:pPr>
  </w:style>
  <w:style w:type="paragraph" w:styleId="Footer">
    <w:name w:val="footer"/>
    <w:basedOn w:val="Normal"/>
    <w:rsid w:val="00EA1B1B"/>
    <w:pPr>
      <w:tabs>
        <w:tab w:val="center" w:pos="4320"/>
        <w:tab w:val="right" w:pos="8640"/>
      </w:tabs>
    </w:pPr>
  </w:style>
  <w:style w:type="paragraph" w:styleId="Title">
    <w:name w:val="Title"/>
    <w:basedOn w:val="Normal"/>
    <w:qFormat/>
    <w:rsid w:val="00EA1B1B"/>
    <w:pPr>
      <w:jc w:val="center"/>
    </w:pPr>
    <w:rPr>
      <w:b/>
    </w:rPr>
  </w:style>
  <w:style w:type="paragraph" w:styleId="BodyTextIndent">
    <w:name w:val="Body Text Indent"/>
    <w:basedOn w:val="Normal"/>
    <w:rsid w:val="00EA1B1B"/>
    <w:pPr>
      <w:ind w:left="720"/>
    </w:pPr>
    <w:rPr>
      <w:snapToGrid w:val="0"/>
    </w:rPr>
  </w:style>
  <w:style w:type="character" w:styleId="PageNumber">
    <w:name w:val="page number"/>
    <w:basedOn w:val="DefaultParagraphFont"/>
    <w:rsid w:val="00EA1B1B"/>
  </w:style>
  <w:style w:type="character" w:styleId="Hyperlink">
    <w:name w:val="Hyperlink"/>
    <w:basedOn w:val="DefaultParagraphFont"/>
    <w:rsid w:val="00EA1B1B"/>
    <w:rPr>
      <w:color w:val="0000FF"/>
      <w:u w:val="single"/>
    </w:rPr>
  </w:style>
  <w:style w:type="paragraph" w:styleId="BalloonText">
    <w:name w:val="Balloon Text"/>
    <w:basedOn w:val="Normal"/>
    <w:semiHidden/>
    <w:rsid w:val="005172E2"/>
    <w:rPr>
      <w:rFonts w:ascii="Tahoma" w:hAnsi="Tahoma" w:cs="Tahoma"/>
      <w:sz w:val="16"/>
      <w:szCs w:val="16"/>
    </w:rPr>
  </w:style>
  <w:style w:type="character" w:customStyle="1" w:styleId="Heading5Char">
    <w:name w:val="Heading 5 Char"/>
    <w:basedOn w:val="DefaultParagraphFont"/>
    <w:link w:val="Heading5"/>
    <w:semiHidden/>
    <w:rsid w:val="00722A48"/>
    <w:rPr>
      <w:rFonts w:ascii="Calibri" w:eastAsia="Times New Roman" w:hAnsi="Calibri" w:cs="Times New Roman"/>
      <w:b/>
      <w:bCs/>
      <w:i/>
      <w:iCs/>
      <w:sz w:val="26"/>
      <w:szCs w:val="26"/>
    </w:rPr>
  </w:style>
  <w:style w:type="paragraph" w:styleId="BodyText3">
    <w:name w:val="Body Text 3"/>
    <w:basedOn w:val="Normal"/>
    <w:link w:val="BodyText3Char"/>
    <w:rsid w:val="00722A48"/>
    <w:pPr>
      <w:spacing w:after="120"/>
    </w:pPr>
    <w:rPr>
      <w:sz w:val="16"/>
      <w:szCs w:val="16"/>
    </w:rPr>
  </w:style>
  <w:style w:type="character" w:customStyle="1" w:styleId="BodyText3Char">
    <w:name w:val="Body Text 3 Char"/>
    <w:basedOn w:val="DefaultParagraphFont"/>
    <w:link w:val="BodyText3"/>
    <w:rsid w:val="00722A48"/>
    <w:rPr>
      <w:sz w:val="16"/>
      <w:szCs w:val="16"/>
    </w:rPr>
  </w:style>
  <w:style w:type="paragraph" w:styleId="Subtitle">
    <w:name w:val="Subtitle"/>
    <w:basedOn w:val="Normal"/>
    <w:link w:val="SubtitleChar"/>
    <w:qFormat/>
    <w:rsid w:val="009E09CB"/>
    <w:pPr>
      <w:jc w:val="center"/>
    </w:pPr>
    <w:rPr>
      <w:b/>
      <w:sz w:val="24"/>
    </w:rPr>
  </w:style>
  <w:style w:type="character" w:customStyle="1" w:styleId="SubtitleChar">
    <w:name w:val="Subtitle Char"/>
    <w:basedOn w:val="DefaultParagraphFont"/>
    <w:link w:val="Subtitle"/>
    <w:rsid w:val="009E09CB"/>
    <w:rPr>
      <w:b/>
      <w:sz w:val="24"/>
    </w:rPr>
  </w:style>
  <w:style w:type="table" w:styleId="TableGrid">
    <w:name w:val="Table Grid"/>
    <w:basedOn w:val="TableNormal"/>
    <w:rsid w:val="00602D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602D18"/>
    <w:rPr>
      <w:sz w:val="22"/>
    </w:rPr>
  </w:style>
  <w:style w:type="character" w:customStyle="1" w:styleId="Heading1Char">
    <w:name w:val="Heading 1 Char"/>
    <w:basedOn w:val="DefaultParagraphFont"/>
    <w:link w:val="Heading1"/>
    <w:rsid w:val="006733FE"/>
    <w:rPr>
      <w:b/>
      <w:sz w:val="22"/>
    </w:rPr>
  </w:style>
  <w:style w:type="paragraph" w:styleId="BlockText">
    <w:name w:val="Block Text"/>
    <w:basedOn w:val="Normal"/>
    <w:rsid w:val="006733FE"/>
    <w:pPr>
      <w:ind w:left="720" w:right="720"/>
    </w:pPr>
  </w:style>
  <w:style w:type="paragraph" w:styleId="NoSpacing">
    <w:name w:val="No Spacing"/>
    <w:uiPriority w:val="1"/>
    <w:qFormat/>
    <w:rsid w:val="005C14CF"/>
    <w:rPr>
      <w:rFonts w:ascii="Calibri" w:eastAsia="Calibri" w:hAnsi="Calibri"/>
      <w:sz w:val="22"/>
      <w:szCs w:val="22"/>
    </w:rPr>
  </w:style>
  <w:style w:type="character" w:styleId="Strong">
    <w:name w:val="Strong"/>
    <w:basedOn w:val="DefaultParagraphFont"/>
    <w:uiPriority w:val="22"/>
    <w:qFormat/>
    <w:rsid w:val="00EA54FA"/>
    <w:rPr>
      <w:b/>
      <w:bCs/>
    </w:rPr>
  </w:style>
  <w:style w:type="paragraph" w:styleId="ListParagraph">
    <w:name w:val="List Paragraph"/>
    <w:basedOn w:val="Normal"/>
    <w:uiPriority w:val="34"/>
    <w:qFormat/>
    <w:rsid w:val="00C26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0967">
      <w:bodyDiv w:val="1"/>
      <w:marLeft w:val="0"/>
      <w:marRight w:val="0"/>
      <w:marTop w:val="0"/>
      <w:marBottom w:val="0"/>
      <w:divBdr>
        <w:top w:val="none" w:sz="0" w:space="0" w:color="auto"/>
        <w:left w:val="none" w:sz="0" w:space="0" w:color="auto"/>
        <w:bottom w:val="none" w:sz="0" w:space="0" w:color="auto"/>
        <w:right w:val="none" w:sz="0" w:space="0" w:color="auto"/>
      </w:divBdr>
    </w:div>
    <w:div w:id="46496787">
      <w:bodyDiv w:val="1"/>
      <w:marLeft w:val="0"/>
      <w:marRight w:val="0"/>
      <w:marTop w:val="0"/>
      <w:marBottom w:val="0"/>
      <w:divBdr>
        <w:top w:val="none" w:sz="0" w:space="0" w:color="auto"/>
        <w:left w:val="none" w:sz="0" w:space="0" w:color="auto"/>
        <w:bottom w:val="none" w:sz="0" w:space="0" w:color="auto"/>
        <w:right w:val="none" w:sz="0" w:space="0" w:color="auto"/>
      </w:divBdr>
    </w:div>
    <w:div w:id="408892253">
      <w:bodyDiv w:val="1"/>
      <w:marLeft w:val="0"/>
      <w:marRight w:val="0"/>
      <w:marTop w:val="0"/>
      <w:marBottom w:val="0"/>
      <w:divBdr>
        <w:top w:val="none" w:sz="0" w:space="0" w:color="auto"/>
        <w:left w:val="none" w:sz="0" w:space="0" w:color="auto"/>
        <w:bottom w:val="none" w:sz="0" w:space="0" w:color="auto"/>
        <w:right w:val="none" w:sz="0" w:space="0" w:color="auto"/>
      </w:divBdr>
    </w:div>
    <w:div w:id="547183086">
      <w:bodyDiv w:val="1"/>
      <w:marLeft w:val="0"/>
      <w:marRight w:val="0"/>
      <w:marTop w:val="0"/>
      <w:marBottom w:val="0"/>
      <w:divBdr>
        <w:top w:val="none" w:sz="0" w:space="0" w:color="auto"/>
        <w:left w:val="none" w:sz="0" w:space="0" w:color="auto"/>
        <w:bottom w:val="none" w:sz="0" w:space="0" w:color="auto"/>
        <w:right w:val="none" w:sz="0" w:space="0" w:color="auto"/>
      </w:divBdr>
    </w:div>
    <w:div w:id="1324745988">
      <w:bodyDiv w:val="1"/>
      <w:marLeft w:val="0"/>
      <w:marRight w:val="0"/>
      <w:marTop w:val="0"/>
      <w:marBottom w:val="0"/>
      <w:divBdr>
        <w:top w:val="none" w:sz="0" w:space="0" w:color="auto"/>
        <w:left w:val="none" w:sz="0" w:space="0" w:color="auto"/>
        <w:bottom w:val="none" w:sz="0" w:space="0" w:color="auto"/>
        <w:right w:val="none" w:sz="0" w:space="0" w:color="auto"/>
      </w:divBdr>
    </w:div>
    <w:div w:id="1371806329">
      <w:bodyDiv w:val="1"/>
      <w:marLeft w:val="0"/>
      <w:marRight w:val="0"/>
      <w:marTop w:val="0"/>
      <w:marBottom w:val="0"/>
      <w:divBdr>
        <w:top w:val="none" w:sz="0" w:space="0" w:color="auto"/>
        <w:left w:val="none" w:sz="0" w:space="0" w:color="auto"/>
        <w:bottom w:val="none" w:sz="0" w:space="0" w:color="auto"/>
        <w:right w:val="none" w:sz="0" w:space="0" w:color="auto"/>
      </w:divBdr>
    </w:div>
    <w:div w:id="1740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Worcester Issues – BRP/CERO</vt:lpstr>
    </vt:vector>
  </TitlesOfParts>
  <Company>dep</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Issues – BRP/CERO</dc:title>
  <dc:creator>Richard LeBlanc</dc:creator>
  <cp:lastModifiedBy>Randle, Ashley (AGR)</cp:lastModifiedBy>
  <cp:revision>3</cp:revision>
  <cp:lastPrinted>2010-12-13T14:30:00Z</cp:lastPrinted>
  <dcterms:created xsi:type="dcterms:W3CDTF">2020-04-01T15:03:00Z</dcterms:created>
  <dcterms:modified xsi:type="dcterms:W3CDTF">2020-04-01T15:15:00Z</dcterms:modified>
</cp:coreProperties>
</file>