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58FAF" w14:textId="77777777" w:rsidR="0087565B" w:rsidRDefault="00EA450E" w:rsidP="00AC63EB">
      <w:pPr>
        <w:keepLines/>
        <w:pBdr>
          <w:bottom w:val="single" w:sz="18" w:space="5" w:color="BFBFBF"/>
        </w:pBdr>
        <w:tabs>
          <w:tab w:val="right" w:pos="10440"/>
        </w:tabs>
        <w:spacing w:before="360"/>
        <w:ind w:right="-360" w:hanging="360"/>
        <w:rPr>
          <w:rFonts w:ascii="Arial" w:hAnsi="Arial" w:cs="Arial"/>
          <w:b/>
          <w:bCs/>
          <w:color w:val="365F91"/>
          <w:sz w:val="28"/>
          <w:szCs w:val="28"/>
        </w:rPr>
      </w:pPr>
      <w:r w:rsidRPr="00D22816">
        <w:rPr>
          <w:i/>
          <w:noProof/>
          <w:color w:val="365F9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2B1B9" wp14:editId="1548208E">
                <wp:simplePos x="0" y="0"/>
                <wp:positionH relativeFrom="page">
                  <wp:posOffset>-8936</wp:posOffset>
                </wp:positionH>
                <wp:positionV relativeFrom="paragraph">
                  <wp:posOffset>-1422978</wp:posOffset>
                </wp:positionV>
                <wp:extent cx="7787640" cy="1924112"/>
                <wp:effectExtent l="0" t="0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7640" cy="192411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100000">
                              <a:srgbClr val="95B3D7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5969C" w14:textId="77777777" w:rsidR="003C1832" w:rsidRPr="00BE50AC" w:rsidRDefault="003C1832" w:rsidP="00BE50AC">
                            <w:pPr>
                              <w:pStyle w:val="BIDTitle"/>
                              <w:spacing w:line="276" w:lineRule="auto"/>
                              <w:jc w:val="both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5E8EF72D" w14:textId="51058620" w:rsidR="003C1832" w:rsidRDefault="003C1832" w:rsidP="005A7D62">
                            <w:pPr>
                              <w:pStyle w:val="BIDTitl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46"/>
                                <w:szCs w:val="46"/>
                              </w:rPr>
                              <w:t xml:space="preserve">   </w:t>
                            </w:r>
                            <w:r w:rsidRPr="0052528E">
                              <w:rPr>
                                <w:rFonts w:ascii="Arial" w:hAnsi="Arial" w:cs="Arial"/>
                                <w:color w:val="auto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E45B8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  <w:p w14:paraId="0097BBBA" w14:textId="0760F1F4" w:rsidR="00971AE7" w:rsidRPr="00971AE7" w:rsidRDefault="003C1832" w:rsidP="002D6F0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</w:pPr>
                            <w:r w:rsidRPr="002D6F00">
                              <w:rPr>
                                <w:rFonts w:ascii="Arial" w:hAnsi="Arial" w:cs="Arial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2D6F00" w:rsidRPr="002D6F00"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  <w:t>Treatment Regimens for Latent Tuberculosis Infection</w:t>
                            </w:r>
                            <w:r w:rsidR="002D6F00" w:rsidRPr="00971AE7"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  <w:t xml:space="preserve"> </w:t>
                            </w:r>
                            <w:r w:rsidR="00971AE7" w:rsidRPr="00971AE7"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  <w:t>in Massachusetts</w:t>
                            </w:r>
                          </w:p>
                          <w:p w14:paraId="1278D10D" w14:textId="77777777" w:rsidR="003C1832" w:rsidRDefault="003C1832" w:rsidP="004E21EC">
                            <w:pPr>
                              <w:pStyle w:val="BIDTitle"/>
                              <w:spacing w:line="240" w:lineRule="auto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                                                </w:t>
                            </w:r>
                          </w:p>
                          <w:p w14:paraId="18B9A4A2" w14:textId="77777777" w:rsidR="00B67F17" w:rsidRDefault="00B67F17" w:rsidP="004E21EC">
                            <w:pPr>
                              <w:pStyle w:val="BIDTitle"/>
                              <w:spacing w:line="240" w:lineRule="auto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3FF89034" w14:textId="77777777" w:rsidR="003C1832" w:rsidRDefault="003C1832" w:rsidP="0089021D">
                            <w:pPr>
                              <w:pStyle w:val="BIDTitl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920BC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Massachusetts Department of Public Health</w:t>
                            </w:r>
                          </w:p>
                          <w:p w14:paraId="3DC0E25F" w14:textId="77777777" w:rsidR="003C1832" w:rsidRPr="00EA450E" w:rsidRDefault="003C1832" w:rsidP="0089021D">
                            <w:pPr>
                              <w:pStyle w:val="BIDTitl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Division of Global Populations and Infectious Disease Prevention</w:t>
                            </w:r>
                          </w:p>
                          <w:p w14:paraId="2BB93B4B" w14:textId="77777777" w:rsidR="003C1832" w:rsidRPr="00285364" w:rsidRDefault="003C1832" w:rsidP="0089021D">
                            <w:pPr>
                              <w:pStyle w:val="BIDTitl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7C246B7B" w14:textId="77777777" w:rsidR="003C1832" w:rsidRDefault="003C1832" w:rsidP="0037688D">
                            <w:pPr>
                              <w:pStyle w:val="BIDTitle"/>
                              <w:spacing w:line="240" w:lineRule="auto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22B1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7pt;margin-top:-112.05pt;width:613.2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" fillcolor="#95b3d7" stroked="f">
                <v:fill color2="#eaf0f7" angle="90" focus="100%" type="gradient"/>
                <v:textbox inset=",7.2pt,,7.2pt">
                  <w:txbxContent>
                    <w:p w14:paraId="1625969C" w14:textId="77777777" w:rsidR="003C1832" w:rsidRPr="00BE50AC" w:rsidRDefault="003C1832" w:rsidP="00BE50AC">
                      <w:pPr>
                        <w:pStyle w:val="BIDTitle"/>
                        <w:spacing w:line="276" w:lineRule="auto"/>
                        <w:jc w:val="both"/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14:paraId="5E8EF72D" w14:textId="51058620" w:rsidR="003C1832" w:rsidRDefault="003C1832" w:rsidP="005A7D62">
                      <w:pPr>
                        <w:pStyle w:val="BIDTitle"/>
                        <w:spacing w:line="276" w:lineRule="auto"/>
                        <w:jc w:val="both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46"/>
                          <w:szCs w:val="46"/>
                        </w:rPr>
                        <w:t xml:space="preserve">   </w:t>
                      </w:r>
                      <w:r w:rsidRPr="0052528E">
                        <w:rPr>
                          <w:rFonts w:ascii="Arial" w:hAnsi="Arial" w:cs="Arial"/>
                          <w:color w:val="auto"/>
                          <w:sz w:val="40"/>
                          <w:szCs w:val="40"/>
                        </w:rPr>
                        <w:t xml:space="preserve"> </w:t>
                      </w:r>
                      <w:r w:rsidRPr="00EE45B8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           </w:t>
                      </w:r>
                    </w:p>
                    <w:p w14:paraId="0097BBBA" w14:textId="0760F1F4" w:rsidR="00971AE7" w:rsidRPr="00971AE7" w:rsidRDefault="003C1832" w:rsidP="002D6F00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</w:rPr>
                      </w:pPr>
                      <w:r w:rsidRPr="002D6F00">
                        <w:rPr>
                          <w:rFonts w:ascii="Arial" w:hAnsi="Arial" w:cs="Arial"/>
                          <w:color w:val="17365D" w:themeColor="text2" w:themeShade="BF"/>
                          <w:sz w:val="40"/>
                          <w:szCs w:val="40"/>
                        </w:rPr>
                        <w:t xml:space="preserve">    </w:t>
                      </w:r>
                      <w:r w:rsidR="002D6F00" w:rsidRPr="002D6F00">
                        <w:rPr>
                          <w:rFonts w:asciiTheme="minorHAnsi" w:hAnsiTheme="minorHAnsi"/>
                          <w:b/>
                          <w:sz w:val="32"/>
                        </w:rPr>
                        <w:t>Treatment Regimens for Latent Tuberculosis Infection</w:t>
                      </w:r>
                      <w:r w:rsidR="002D6F00" w:rsidRPr="00971AE7">
                        <w:rPr>
                          <w:rFonts w:asciiTheme="minorHAnsi" w:hAnsiTheme="minorHAnsi"/>
                          <w:b/>
                          <w:sz w:val="32"/>
                        </w:rPr>
                        <w:t xml:space="preserve"> </w:t>
                      </w:r>
                      <w:r w:rsidR="00971AE7" w:rsidRPr="00971AE7">
                        <w:rPr>
                          <w:rFonts w:asciiTheme="minorHAnsi" w:hAnsiTheme="minorHAnsi"/>
                          <w:b/>
                          <w:sz w:val="32"/>
                        </w:rPr>
                        <w:t>in Massachusetts</w:t>
                      </w:r>
                    </w:p>
                    <w:p w14:paraId="1278D10D" w14:textId="77777777" w:rsidR="003C1832" w:rsidRDefault="003C1832" w:rsidP="004E21EC">
                      <w:pPr>
                        <w:pStyle w:val="BIDTitle"/>
                        <w:spacing w:line="240" w:lineRule="auto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                                                </w:t>
                      </w:r>
                    </w:p>
                    <w:p w14:paraId="18B9A4A2" w14:textId="77777777" w:rsidR="00B67F17" w:rsidRDefault="00B67F17" w:rsidP="004E21EC">
                      <w:pPr>
                        <w:pStyle w:val="BIDTitle"/>
                        <w:spacing w:line="240" w:lineRule="auto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</w:p>
                    <w:p w14:paraId="3FF89034" w14:textId="77777777" w:rsidR="003C1832" w:rsidRDefault="003C1832" w:rsidP="0089021D">
                      <w:pPr>
                        <w:pStyle w:val="BIDTitle"/>
                        <w:spacing w:line="240" w:lineRule="auto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8920BC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Massachusetts Department of Public Health</w:t>
                      </w:r>
                    </w:p>
                    <w:p w14:paraId="3DC0E25F" w14:textId="77777777" w:rsidR="003C1832" w:rsidRPr="00EA450E" w:rsidRDefault="003C1832" w:rsidP="0089021D">
                      <w:pPr>
                        <w:pStyle w:val="BIDTitle"/>
                        <w:spacing w:line="240" w:lineRule="auto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Division of Global Populations and Infectious Disease Prevention</w:t>
                      </w:r>
                    </w:p>
                    <w:p w14:paraId="2BB93B4B" w14:textId="77777777" w:rsidR="003C1832" w:rsidRPr="00285364" w:rsidRDefault="003C1832" w:rsidP="0089021D">
                      <w:pPr>
                        <w:pStyle w:val="BIDTitle"/>
                        <w:spacing w:line="240" w:lineRule="auto"/>
                        <w:jc w:val="center"/>
                        <w:rPr>
                          <w:rFonts w:ascii="Arial" w:hAnsi="Arial" w:cs="Arial"/>
                          <w:color w:val="002060"/>
                          <w:sz w:val="40"/>
                          <w:szCs w:val="40"/>
                        </w:rPr>
                      </w:pPr>
                    </w:p>
                    <w:p w14:paraId="7C246B7B" w14:textId="77777777" w:rsidR="003C1832" w:rsidRDefault="003C1832" w:rsidP="0037688D">
                      <w:pPr>
                        <w:pStyle w:val="BIDTitle"/>
                        <w:spacing w:line="240" w:lineRule="auto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6AE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818FC" wp14:editId="28E37409">
                <wp:simplePos x="0" y="0"/>
                <wp:positionH relativeFrom="column">
                  <wp:posOffset>-480060</wp:posOffset>
                </wp:positionH>
                <wp:positionV relativeFrom="paragraph">
                  <wp:posOffset>-774700</wp:posOffset>
                </wp:positionV>
                <wp:extent cx="807720" cy="838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53B09" w14:textId="77777777" w:rsidR="003C1832" w:rsidRDefault="003C1832">
                            <w:r w:rsidRPr="00985D47">
                              <w:rPr>
                                <w:noProof/>
                              </w:rPr>
                              <w:drawing>
                                <wp:inline distT="0" distB="0" distL="0" distR="0" wp14:anchorId="348C7E77" wp14:editId="0CDC6CFB">
                                  <wp:extent cx="618490" cy="69008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8490" cy="69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F818FC" id="Text Box 6" o:spid="_x0000_s1027" type="#_x0000_t202" style="position:absolute;margin-left:-37.8pt;margin-top:-61pt;width:63.6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" filled="f" stroked="f" strokeweight=".5pt">
                <v:textbox>
                  <w:txbxContent>
                    <w:p w14:paraId="52453B09" w14:textId="77777777" w:rsidR="003C1832" w:rsidRDefault="003C1832">
                      <w:r w:rsidRPr="00985D47">
                        <w:rPr>
                          <w:noProof/>
                        </w:rPr>
                        <w:drawing>
                          <wp:inline distT="0" distB="0" distL="0" distR="0" wp14:anchorId="348C7E77" wp14:editId="0CDC6CFB">
                            <wp:extent cx="618490" cy="69008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8490" cy="69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26AE4">
        <w:rPr>
          <w:noProof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E733BE" wp14:editId="18B8DBE3">
                <wp:simplePos x="0" y="0"/>
                <wp:positionH relativeFrom="column">
                  <wp:posOffset>-845820</wp:posOffset>
                </wp:positionH>
                <wp:positionV relativeFrom="paragraph">
                  <wp:posOffset>-1292860</wp:posOffset>
                </wp:positionV>
                <wp:extent cx="7940040" cy="1684020"/>
                <wp:effectExtent l="0" t="0" r="2286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0040" cy="1684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14628E" w14:textId="77777777" w:rsidR="003C1832" w:rsidRDefault="003C1832" w:rsidP="00D26AE4">
                            <w:pPr>
                              <w:pStyle w:val="BIDTitl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E733BE" id="Text Box 5" o:spid="_x0000_s1028" type="#_x0000_t202" style="position:absolute;margin-left:-66.6pt;margin-top:-101.8pt;width:625.2pt;height:132.6pt;z-index:-2516556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" filled="f" strokeweight=".5pt">
                <v:textbox>
                  <w:txbxContent>
                    <w:p w14:paraId="4714628E" w14:textId="77777777" w:rsidR="003C1832" w:rsidRDefault="003C1832" w:rsidP="00D26AE4">
                      <w:pPr>
                        <w:pStyle w:val="BIDTitle"/>
                        <w:spacing w:line="240" w:lineRule="auto"/>
                        <w:jc w:val="center"/>
                        <w:rPr>
                          <w:rFonts w:ascii="Arial" w:hAnsi="Arial" w:cs="Arial"/>
                          <w:color w:val="00206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2D3" w:rsidRPr="00D22816">
        <w:rPr>
          <w:i/>
          <w:noProof/>
          <w:color w:val="365F9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86178" wp14:editId="361FEF71">
                <wp:simplePos x="0" y="0"/>
                <wp:positionH relativeFrom="column">
                  <wp:posOffset>-624840</wp:posOffset>
                </wp:positionH>
                <wp:positionV relativeFrom="paragraph">
                  <wp:posOffset>-1442085</wp:posOffset>
                </wp:positionV>
                <wp:extent cx="944880" cy="269875"/>
                <wp:effectExtent l="3810" t="0" r="381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69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DB3E2"/>
                            </a:gs>
                            <a:gs pos="10000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E60EF" w14:textId="77777777" w:rsidR="003C1832" w:rsidRDefault="003C183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D86178" id="Text Box 2" o:spid="_x0000_s1029" type="#_x0000_t202" style="position:absolute;margin-left:-49.2pt;margin-top:-113.55pt;width:74.4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" fillcolor="#8db3e2" stroked="f">
                <v:fill color2="#e8f0f9" angle="90" focus="100%" type="gradient"/>
                <v:textbox style="mso-fit-shape-to-text:t">
                  <w:txbxContent>
                    <w:p w14:paraId="029E60EF" w14:textId="77777777" w:rsidR="003C1832" w:rsidRDefault="003C1832"/>
                  </w:txbxContent>
                </v:textbox>
              </v:shape>
            </w:pict>
          </mc:Fallback>
        </mc:AlternateContent>
      </w:r>
      <w:r w:rsidR="0037688D">
        <w:rPr>
          <w:rFonts w:ascii="Arial" w:hAnsi="Arial" w:cs="Arial"/>
          <w:b/>
          <w:bCs/>
          <w:color w:val="365F91"/>
          <w:sz w:val="28"/>
          <w:szCs w:val="28"/>
        </w:rPr>
        <w:t xml:space="preserve">        </w:t>
      </w:r>
    </w:p>
    <w:p w14:paraId="1AC62F1A" w14:textId="08D2CDD9" w:rsidR="00816CBB" w:rsidRPr="007173C7" w:rsidRDefault="00F05AC8" w:rsidP="00AC63EB">
      <w:pPr>
        <w:keepLines/>
        <w:pBdr>
          <w:bottom w:val="single" w:sz="18" w:space="5" w:color="BFBFBF"/>
        </w:pBdr>
        <w:tabs>
          <w:tab w:val="right" w:pos="10440"/>
        </w:tabs>
        <w:spacing w:before="360"/>
        <w:ind w:right="-360" w:hanging="360"/>
        <w:rPr>
          <w:rFonts w:asciiTheme="minorHAnsi" w:hAnsiTheme="minorHAnsi" w:cs="Arial"/>
          <w:b/>
          <w:bCs/>
          <w:color w:val="365F91"/>
          <w:sz w:val="32"/>
          <w:szCs w:val="32"/>
        </w:rPr>
      </w:pPr>
      <w:r>
        <w:rPr>
          <w:rFonts w:asciiTheme="minorHAnsi" w:hAnsiTheme="minorHAnsi" w:cs="Arial"/>
          <w:b/>
          <w:bCs/>
          <w:color w:val="365F91"/>
          <w:sz w:val="32"/>
          <w:szCs w:val="32"/>
        </w:rPr>
        <w:t>INTRODUCTION</w:t>
      </w:r>
      <w:r w:rsidRPr="007173C7">
        <w:rPr>
          <w:rFonts w:asciiTheme="minorHAnsi" w:hAnsiTheme="minorHAnsi" w:cs="Arial"/>
          <w:b/>
          <w:bCs/>
          <w:color w:val="365F91"/>
          <w:sz w:val="32"/>
          <w:szCs w:val="32"/>
        </w:rPr>
        <w:t xml:space="preserve">                                                                                                                             </w:t>
      </w:r>
    </w:p>
    <w:p w14:paraId="4009BC1B" w14:textId="77777777" w:rsidR="00365E34" w:rsidRPr="00365E34" w:rsidRDefault="00365E34" w:rsidP="00365E34">
      <w:pPr>
        <w:autoSpaceDE w:val="0"/>
        <w:autoSpaceDN w:val="0"/>
        <w:adjustRightInd w:val="0"/>
        <w:rPr>
          <w:rFonts w:ascii="Garamond-BookCondensed" w:eastAsia="Times New Roman" w:hAnsi="Garamond-BookCondensed" w:cs="Garamond-BookCondensed"/>
          <w:sz w:val="20"/>
          <w:szCs w:val="20"/>
        </w:rPr>
      </w:pPr>
    </w:p>
    <w:p w14:paraId="65248D69" w14:textId="77777777" w:rsidR="00B67F17" w:rsidRPr="00054929" w:rsidRDefault="00B67F17" w:rsidP="00B67F17">
      <w:pPr>
        <w:rPr>
          <w:rFonts w:asciiTheme="minorHAnsi" w:hAnsiTheme="minorHAnsi" w:cs="Adobe Garamond Pro"/>
          <w:color w:val="000000"/>
        </w:rPr>
      </w:pPr>
      <w:r>
        <w:rPr>
          <w:rFonts w:asciiTheme="minorHAnsi" w:hAnsiTheme="minorHAnsi" w:cs="Adobe Garamond Pro"/>
          <w:color w:val="000000"/>
        </w:rPr>
        <w:t>Before starting any treatment for latent TB infection, a</w:t>
      </w:r>
      <w:r w:rsidRPr="00054929">
        <w:rPr>
          <w:rFonts w:asciiTheme="minorHAnsi" w:hAnsiTheme="minorHAnsi" w:cs="Adobe Garamond Pro"/>
          <w:color w:val="000000"/>
        </w:rPr>
        <w:t>ctive</w:t>
      </w:r>
      <w:r>
        <w:rPr>
          <w:rFonts w:asciiTheme="minorHAnsi" w:hAnsiTheme="minorHAnsi" w:cs="Adobe Garamond Pro"/>
          <w:color w:val="000000"/>
        </w:rPr>
        <w:t xml:space="preserve"> tuberculosis (</w:t>
      </w:r>
      <w:r w:rsidRPr="00054929">
        <w:rPr>
          <w:rFonts w:asciiTheme="minorHAnsi" w:hAnsiTheme="minorHAnsi" w:cs="Adobe Garamond Pro"/>
          <w:color w:val="000000"/>
        </w:rPr>
        <w:t>TB</w:t>
      </w:r>
      <w:r>
        <w:rPr>
          <w:rFonts w:asciiTheme="minorHAnsi" w:hAnsiTheme="minorHAnsi" w:cs="Adobe Garamond Pro"/>
          <w:color w:val="000000"/>
        </w:rPr>
        <w:t>) disease</w:t>
      </w:r>
      <w:r w:rsidRPr="00054929">
        <w:rPr>
          <w:rFonts w:asciiTheme="minorHAnsi" w:hAnsiTheme="minorHAnsi" w:cs="Adobe Garamond Pro"/>
          <w:color w:val="000000"/>
        </w:rPr>
        <w:t xml:space="preserve"> must be</w:t>
      </w:r>
      <w:r>
        <w:rPr>
          <w:rFonts w:asciiTheme="minorHAnsi" w:hAnsiTheme="minorHAnsi" w:cs="Adobe Garamond Pro"/>
          <w:color w:val="000000"/>
        </w:rPr>
        <w:t xml:space="preserve"> ruled out</w:t>
      </w:r>
      <w:r w:rsidRPr="00054929">
        <w:rPr>
          <w:rFonts w:asciiTheme="minorHAnsi" w:hAnsiTheme="minorHAnsi" w:cs="Adobe Garamond Pro"/>
          <w:color w:val="000000"/>
        </w:rPr>
        <w:t>.</w:t>
      </w:r>
      <w:r>
        <w:rPr>
          <w:rFonts w:asciiTheme="minorHAnsi" w:hAnsiTheme="minorHAnsi" w:cs="Adobe Garamond Pro"/>
          <w:color w:val="000000"/>
        </w:rPr>
        <w:t xml:space="preserve">  </w:t>
      </w:r>
    </w:p>
    <w:p w14:paraId="4651D6ED" w14:textId="77777777" w:rsidR="00B67F17" w:rsidRDefault="00B67F17" w:rsidP="00B67F17">
      <w:pPr>
        <w:rPr>
          <w:rFonts w:asciiTheme="minorHAnsi" w:hAnsiTheme="minorHAnsi" w:cs="Adobe Garamond Pro"/>
          <w:color w:val="000000"/>
        </w:rPr>
      </w:pPr>
    </w:p>
    <w:p w14:paraId="4CAF1D82" w14:textId="34A23091" w:rsidR="00B67F17" w:rsidRDefault="00B67F17" w:rsidP="00B67F17">
      <w:pPr>
        <w:rPr>
          <w:rFonts w:asciiTheme="minorHAnsi" w:hAnsiTheme="minorHAnsi" w:cs="Adobe Garamond Pro"/>
          <w:color w:val="000000"/>
        </w:rPr>
      </w:pPr>
      <w:r>
        <w:rPr>
          <w:rFonts w:asciiTheme="minorHAnsi" w:hAnsiTheme="minorHAnsi" w:cs="Adobe Garamond Pro"/>
          <w:color w:val="000000"/>
        </w:rPr>
        <w:t xml:space="preserve">There are three </w:t>
      </w:r>
      <w:r w:rsidR="00092FB2">
        <w:rPr>
          <w:rFonts w:asciiTheme="minorHAnsi" w:hAnsiTheme="minorHAnsi" w:cs="Adobe Garamond Pro"/>
          <w:color w:val="000000"/>
        </w:rPr>
        <w:t xml:space="preserve">recommended </w:t>
      </w:r>
      <w:r>
        <w:rPr>
          <w:rFonts w:asciiTheme="minorHAnsi" w:hAnsiTheme="minorHAnsi" w:cs="Adobe Garamond Pro"/>
          <w:color w:val="000000"/>
        </w:rPr>
        <w:t xml:space="preserve">regimens for the treatment of patients diagnosed with latent TB infection. The regimens are summarized in the table below and can be reviewed at </w:t>
      </w:r>
      <w:hyperlink r:id="rId10" w:history="1">
        <w:r w:rsidRPr="004348C8">
          <w:rPr>
            <w:rStyle w:val="Hyperlink"/>
            <w:rFonts w:asciiTheme="minorHAnsi" w:hAnsiTheme="minorHAnsi" w:cs="Adobe Garamond Pro"/>
          </w:rPr>
          <w:t>https://www.cdc.gov/tb/topic/treatment/ltbi.htm</w:t>
        </w:r>
      </w:hyperlink>
      <w:r>
        <w:rPr>
          <w:rStyle w:val="Hyperlink"/>
          <w:rFonts w:asciiTheme="minorHAnsi" w:hAnsiTheme="minorHAnsi" w:cs="Adobe Garamond Pro"/>
        </w:rPr>
        <w:t>.</w:t>
      </w:r>
      <w:r>
        <w:rPr>
          <w:rFonts w:asciiTheme="minorHAnsi" w:hAnsiTheme="minorHAnsi" w:cs="Adobe Garamond Pro"/>
          <w:color w:val="000000"/>
        </w:rPr>
        <w:t xml:space="preserve"> </w:t>
      </w:r>
    </w:p>
    <w:p w14:paraId="750BF524" w14:textId="77777777" w:rsidR="00B67F17" w:rsidRDefault="00B67F17" w:rsidP="00B67F17">
      <w:pPr>
        <w:rPr>
          <w:rFonts w:asciiTheme="minorHAnsi" w:hAnsiTheme="minorHAnsi" w:cs="Adobe Garamond Pro"/>
          <w:color w:val="000000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50"/>
        <w:gridCol w:w="1374"/>
        <w:gridCol w:w="1530"/>
        <w:gridCol w:w="2610"/>
      </w:tblGrid>
      <w:tr w:rsidR="00B67F17" w14:paraId="4C0385ED" w14:textId="77777777" w:rsidTr="00092FB2">
        <w:trPr>
          <w:trHeight w:val="288"/>
          <w:jc w:val="center"/>
        </w:trPr>
        <w:tc>
          <w:tcPr>
            <w:tcW w:w="1650" w:type="dxa"/>
            <w:vAlign w:val="center"/>
          </w:tcPr>
          <w:p w14:paraId="66C85C03" w14:textId="77777777" w:rsidR="00B67F17" w:rsidRPr="00FD752D" w:rsidRDefault="00B67F17" w:rsidP="00092FB2">
            <w:pPr>
              <w:spacing w:before="120" w:after="120"/>
              <w:rPr>
                <w:rFonts w:asciiTheme="minorHAnsi" w:hAnsiTheme="minorHAnsi" w:cs="Adobe Garamond Pro"/>
                <w:b/>
                <w:color w:val="000000"/>
              </w:rPr>
            </w:pPr>
            <w:r w:rsidRPr="00FD752D">
              <w:rPr>
                <w:rFonts w:asciiTheme="minorHAnsi" w:hAnsiTheme="minorHAnsi" w:cs="Adobe Garamond Pro"/>
                <w:b/>
                <w:color w:val="000000"/>
              </w:rPr>
              <w:t>Regimen</w:t>
            </w:r>
          </w:p>
        </w:tc>
        <w:tc>
          <w:tcPr>
            <w:tcW w:w="1374" w:type="dxa"/>
            <w:vAlign w:val="center"/>
          </w:tcPr>
          <w:p w14:paraId="2F7EDB8C" w14:textId="77777777" w:rsidR="00B67F17" w:rsidRPr="00FD752D" w:rsidRDefault="00B67F17" w:rsidP="00092FB2">
            <w:pPr>
              <w:spacing w:before="120" w:after="120"/>
              <w:rPr>
                <w:rFonts w:asciiTheme="minorHAnsi" w:hAnsiTheme="minorHAnsi" w:cs="Adobe Garamond Pro"/>
                <w:b/>
                <w:color w:val="000000"/>
              </w:rPr>
            </w:pPr>
            <w:r w:rsidRPr="00FD752D">
              <w:rPr>
                <w:rFonts w:asciiTheme="minorHAnsi" w:hAnsiTheme="minorHAnsi" w:cs="Adobe Garamond Pro"/>
                <w:b/>
                <w:color w:val="000000"/>
              </w:rPr>
              <w:t>Duration</w:t>
            </w:r>
          </w:p>
        </w:tc>
        <w:tc>
          <w:tcPr>
            <w:tcW w:w="1530" w:type="dxa"/>
            <w:vAlign w:val="center"/>
          </w:tcPr>
          <w:p w14:paraId="30B95863" w14:textId="77777777" w:rsidR="00B67F17" w:rsidRPr="00FD752D" w:rsidRDefault="00B67F17" w:rsidP="00092FB2">
            <w:pPr>
              <w:spacing w:before="120" w:after="120"/>
              <w:rPr>
                <w:rFonts w:asciiTheme="minorHAnsi" w:hAnsiTheme="minorHAnsi" w:cs="Adobe Garamond Pro"/>
                <w:b/>
                <w:color w:val="000000"/>
              </w:rPr>
            </w:pPr>
            <w:r w:rsidRPr="00FD752D">
              <w:rPr>
                <w:rFonts w:asciiTheme="minorHAnsi" w:hAnsiTheme="minorHAnsi" w:cs="Adobe Garamond Pro"/>
                <w:b/>
                <w:color w:val="000000"/>
              </w:rPr>
              <w:t>Interval</w:t>
            </w:r>
          </w:p>
        </w:tc>
        <w:tc>
          <w:tcPr>
            <w:tcW w:w="2610" w:type="dxa"/>
            <w:vAlign w:val="center"/>
          </w:tcPr>
          <w:p w14:paraId="51808F3A" w14:textId="77777777" w:rsidR="00B67F17" w:rsidRPr="00FD752D" w:rsidRDefault="00B67F17" w:rsidP="00092FB2">
            <w:pPr>
              <w:spacing w:before="120" w:after="120"/>
              <w:rPr>
                <w:rFonts w:asciiTheme="minorHAnsi" w:hAnsiTheme="minorHAnsi" w:cs="Adobe Garamond Pro"/>
                <w:b/>
                <w:color w:val="000000"/>
              </w:rPr>
            </w:pPr>
            <w:r w:rsidRPr="00FD752D">
              <w:rPr>
                <w:rFonts w:asciiTheme="minorHAnsi" w:hAnsiTheme="minorHAnsi" w:cs="Adobe Garamond Pro"/>
                <w:b/>
                <w:color w:val="000000"/>
              </w:rPr>
              <w:t>Administration</w:t>
            </w:r>
          </w:p>
        </w:tc>
      </w:tr>
      <w:tr w:rsidR="00B67F17" w14:paraId="7630F486" w14:textId="77777777" w:rsidTr="00092FB2">
        <w:trPr>
          <w:trHeight w:val="288"/>
          <w:jc w:val="center"/>
        </w:trPr>
        <w:tc>
          <w:tcPr>
            <w:tcW w:w="1650" w:type="dxa"/>
            <w:vAlign w:val="center"/>
          </w:tcPr>
          <w:p w14:paraId="3E35B77B" w14:textId="77777777" w:rsidR="00B67F17" w:rsidRDefault="00B67F17" w:rsidP="00092FB2">
            <w:pPr>
              <w:spacing w:before="120"/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Isoniazid +</w:t>
            </w:r>
          </w:p>
          <w:p w14:paraId="2DCCB01E" w14:textId="77777777" w:rsidR="00B67F17" w:rsidRDefault="00B67F17" w:rsidP="00092FB2">
            <w:pPr>
              <w:spacing w:after="120"/>
              <w:rPr>
                <w:rFonts w:asciiTheme="minorHAnsi" w:hAnsiTheme="minorHAnsi" w:cs="Adobe Garamond Pro"/>
                <w:color w:val="000000"/>
              </w:rPr>
            </w:pPr>
            <w:proofErr w:type="spellStart"/>
            <w:r>
              <w:rPr>
                <w:rFonts w:asciiTheme="minorHAnsi" w:hAnsiTheme="minorHAnsi" w:cs="Adobe Garamond Pro"/>
                <w:color w:val="000000"/>
              </w:rPr>
              <w:t>Rifapentine</w:t>
            </w:r>
            <w:proofErr w:type="spellEnd"/>
            <w:r>
              <w:rPr>
                <w:rFonts w:asciiTheme="minorHAnsi" w:hAnsiTheme="minorHAnsi" w:cs="Adobe Garamond Pro"/>
                <w:color w:val="000000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208D3ED9" w14:textId="77777777" w:rsidR="00B67F17" w:rsidRDefault="00B67F17" w:rsidP="00092FB2">
            <w:pPr>
              <w:spacing w:before="120" w:after="120"/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3 months</w:t>
            </w:r>
          </w:p>
        </w:tc>
        <w:tc>
          <w:tcPr>
            <w:tcW w:w="1530" w:type="dxa"/>
            <w:vAlign w:val="center"/>
          </w:tcPr>
          <w:p w14:paraId="65B0DD67" w14:textId="77777777" w:rsidR="00B67F17" w:rsidRDefault="00B67F17" w:rsidP="00092FB2">
            <w:pPr>
              <w:spacing w:before="120" w:after="120"/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Once weekly</w:t>
            </w:r>
          </w:p>
        </w:tc>
        <w:tc>
          <w:tcPr>
            <w:tcW w:w="2610" w:type="dxa"/>
            <w:vAlign w:val="center"/>
          </w:tcPr>
          <w:p w14:paraId="4D2A98B3" w14:textId="77777777" w:rsidR="00B67F17" w:rsidRDefault="00B67F17" w:rsidP="00092FB2">
            <w:pPr>
              <w:spacing w:before="120" w:after="120"/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Oral, directly observed</w:t>
            </w:r>
          </w:p>
        </w:tc>
      </w:tr>
      <w:tr w:rsidR="00B67F17" w14:paraId="3C5FCE2D" w14:textId="77777777" w:rsidTr="00092FB2">
        <w:trPr>
          <w:trHeight w:val="288"/>
          <w:jc w:val="center"/>
        </w:trPr>
        <w:tc>
          <w:tcPr>
            <w:tcW w:w="1650" w:type="dxa"/>
            <w:vAlign w:val="center"/>
          </w:tcPr>
          <w:p w14:paraId="4F21AF4A" w14:textId="77777777" w:rsidR="00B67F17" w:rsidRDefault="00B67F17" w:rsidP="00092FB2">
            <w:pPr>
              <w:spacing w:before="120" w:after="120"/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 xml:space="preserve">Rifampin </w:t>
            </w:r>
          </w:p>
        </w:tc>
        <w:tc>
          <w:tcPr>
            <w:tcW w:w="1374" w:type="dxa"/>
            <w:vAlign w:val="center"/>
          </w:tcPr>
          <w:p w14:paraId="5A4E9867" w14:textId="77777777" w:rsidR="00B67F17" w:rsidRDefault="00B67F17" w:rsidP="00092FB2">
            <w:pPr>
              <w:spacing w:before="120" w:after="120"/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4 months</w:t>
            </w:r>
          </w:p>
        </w:tc>
        <w:tc>
          <w:tcPr>
            <w:tcW w:w="1530" w:type="dxa"/>
            <w:vAlign w:val="center"/>
          </w:tcPr>
          <w:p w14:paraId="14397E30" w14:textId="77777777" w:rsidR="00B67F17" w:rsidRDefault="00B67F17" w:rsidP="00092FB2">
            <w:pPr>
              <w:spacing w:before="120" w:after="120"/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Daily</w:t>
            </w:r>
          </w:p>
        </w:tc>
        <w:tc>
          <w:tcPr>
            <w:tcW w:w="2610" w:type="dxa"/>
            <w:vAlign w:val="center"/>
          </w:tcPr>
          <w:p w14:paraId="7CAAB7F3" w14:textId="77777777" w:rsidR="00B67F17" w:rsidRDefault="00B67F17" w:rsidP="00092FB2">
            <w:pPr>
              <w:spacing w:before="120" w:after="120"/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Oral, self-administered</w:t>
            </w:r>
          </w:p>
        </w:tc>
      </w:tr>
      <w:tr w:rsidR="00B67F17" w14:paraId="6F0873F8" w14:textId="77777777" w:rsidTr="00092FB2">
        <w:trPr>
          <w:trHeight w:val="288"/>
          <w:jc w:val="center"/>
        </w:trPr>
        <w:tc>
          <w:tcPr>
            <w:tcW w:w="1650" w:type="dxa"/>
            <w:vAlign w:val="center"/>
          </w:tcPr>
          <w:p w14:paraId="42757993" w14:textId="77777777" w:rsidR="00B67F17" w:rsidRDefault="00B67F17" w:rsidP="00092FB2">
            <w:pPr>
              <w:spacing w:before="120" w:after="120"/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 xml:space="preserve">Isoniazid </w:t>
            </w:r>
          </w:p>
        </w:tc>
        <w:tc>
          <w:tcPr>
            <w:tcW w:w="1374" w:type="dxa"/>
            <w:vAlign w:val="center"/>
          </w:tcPr>
          <w:p w14:paraId="2FC5E574" w14:textId="77777777" w:rsidR="00B67F17" w:rsidRDefault="00B67F17" w:rsidP="00092FB2">
            <w:pPr>
              <w:spacing w:before="120" w:after="120"/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9 months</w:t>
            </w:r>
          </w:p>
        </w:tc>
        <w:tc>
          <w:tcPr>
            <w:tcW w:w="1530" w:type="dxa"/>
            <w:vAlign w:val="center"/>
          </w:tcPr>
          <w:p w14:paraId="56005FF1" w14:textId="77777777" w:rsidR="00B67F17" w:rsidRDefault="00B67F17" w:rsidP="00092FB2">
            <w:pPr>
              <w:spacing w:before="120" w:after="120"/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Daily</w:t>
            </w:r>
          </w:p>
        </w:tc>
        <w:tc>
          <w:tcPr>
            <w:tcW w:w="2610" w:type="dxa"/>
            <w:vAlign w:val="center"/>
          </w:tcPr>
          <w:p w14:paraId="676D815B" w14:textId="77777777" w:rsidR="00B67F17" w:rsidRDefault="00B67F17" w:rsidP="00092FB2">
            <w:pPr>
              <w:spacing w:before="120" w:after="120"/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Oral, self-administered</w:t>
            </w:r>
          </w:p>
        </w:tc>
      </w:tr>
    </w:tbl>
    <w:p w14:paraId="3255F139" w14:textId="77777777" w:rsidR="00B67F17" w:rsidRDefault="00B67F17" w:rsidP="00B67F17">
      <w:pPr>
        <w:rPr>
          <w:rFonts w:asciiTheme="minorHAnsi" w:hAnsiTheme="minorHAnsi" w:cs="Adobe Garamond Pro"/>
          <w:color w:val="000000"/>
        </w:rPr>
      </w:pPr>
    </w:p>
    <w:p w14:paraId="2613E26A" w14:textId="77777777" w:rsidR="00B67F17" w:rsidRPr="00092FB2" w:rsidRDefault="00B67F17" w:rsidP="00B67F17">
      <w:pPr>
        <w:rPr>
          <w:rFonts w:asciiTheme="minorHAnsi" w:hAnsiTheme="minorHAnsi" w:cs="Adobe Garamond Pro"/>
          <w:b/>
          <w:color w:val="000000"/>
        </w:rPr>
      </w:pPr>
      <w:r w:rsidRPr="00092FB2">
        <w:rPr>
          <w:rFonts w:asciiTheme="minorHAnsi" w:hAnsiTheme="minorHAnsi" w:cs="Adobe Garamond Pro"/>
          <w:b/>
          <w:color w:val="000000"/>
        </w:rPr>
        <w:t>Shorter course regimens are preferred because of the higher likelihood of completion of treatment.</w:t>
      </w:r>
    </w:p>
    <w:p w14:paraId="63E1B3A7" w14:textId="77777777" w:rsidR="00B67F17" w:rsidRDefault="00B67F17" w:rsidP="00B67F17">
      <w:pPr>
        <w:rPr>
          <w:rFonts w:asciiTheme="minorHAnsi" w:hAnsiTheme="minorHAnsi" w:cs="Adobe Garamond Pro"/>
          <w:color w:val="000000"/>
        </w:rPr>
      </w:pPr>
    </w:p>
    <w:p w14:paraId="64B601E1" w14:textId="7D38E39E" w:rsidR="00B67F17" w:rsidRDefault="00B67F17" w:rsidP="00B67F17">
      <w:pPr>
        <w:rPr>
          <w:rFonts w:asciiTheme="minorHAnsi" w:hAnsiTheme="minorHAnsi" w:cs="Adobe Garamond Pro"/>
          <w:color w:val="000000"/>
        </w:rPr>
      </w:pPr>
      <w:r>
        <w:rPr>
          <w:rFonts w:asciiTheme="minorHAnsi" w:hAnsiTheme="minorHAnsi" w:cs="Adobe Garamond Pro"/>
          <w:color w:val="000000"/>
        </w:rPr>
        <w:t xml:space="preserve">This document provides a brief overview of each </w:t>
      </w:r>
      <w:r w:rsidR="00092FB2">
        <w:rPr>
          <w:rFonts w:asciiTheme="minorHAnsi" w:hAnsiTheme="minorHAnsi" w:cs="Adobe Garamond Pro"/>
          <w:color w:val="000000"/>
        </w:rPr>
        <w:t>treatment</w:t>
      </w:r>
      <w:r>
        <w:rPr>
          <w:rFonts w:asciiTheme="minorHAnsi" w:hAnsiTheme="minorHAnsi" w:cs="Adobe Garamond Pro"/>
          <w:color w:val="000000"/>
        </w:rPr>
        <w:t xml:space="preserve"> regimen for latent TB infection, including for whom the regimen is recommended, dosing, monitoring, and any special considerations. Providers should refer to the product insert for contraindications and side effects.</w:t>
      </w:r>
    </w:p>
    <w:p w14:paraId="5C2A7D24" w14:textId="103F3D6F" w:rsidR="006F791E" w:rsidRPr="000D39F6" w:rsidRDefault="006F791E" w:rsidP="00971AE7">
      <w:pPr>
        <w:rPr>
          <w:rFonts w:asciiTheme="minorHAnsi" w:hAnsiTheme="minorHAnsi"/>
        </w:rPr>
      </w:pPr>
    </w:p>
    <w:p w14:paraId="6DE34405" w14:textId="77777777" w:rsidR="00167C0B" w:rsidRDefault="00167C0B">
      <w:pPr>
        <w:rPr>
          <w:rFonts w:asciiTheme="minorHAnsi" w:hAnsiTheme="minorHAnsi" w:cs="Arial"/>
          <w:b/>
          <w:bCs/>
          <w:color w:val="365F91"/>
          <w:sz w:val="32"/>
          <w:szCs w:val="32"/>
        </w:rPr>
      </w:pPr>
      <w:r>
        <w:rPr>
          <w:rFonts w:asciiTheme="minorHAnsi" w:hAnsiTheme="minorHAnsi" w:cs="Arial"/>
          <w:b/>
          <w:bCs/>
          <w:color w:val="365F91"/>
          <w:sz w:val="32"/>
          <w:szCs w:val="32"/>
        </w:rPr>
        <w:br w:type="page"/>
      </w:r>
    </w:p>
    <w:p w14:paraId="2129BBF6" w14:textId="52890720" w:rsidR="00456CE7" w:rsidRPr="007173C7" w:rsidRDefault="00B67F17" w:rsidP="00456CE7">
      <w:pPr>
        <w:keepLines/>
        <w:pBdr>
          <w:bottom w:val="single" w:sz="18" w:space="5" w:color="BFBFBF"/>
        </w:pBdr>
        <w:tabs>
          <w:tab w:val="right" w:pos="10440"/>
        </w:tabs>
        <w:spacing w:before="360"/>
        <w:ind w:right="-360" w:hanging="360"/>
        <w:rPr>
          <w:rFonts w:asciiTheme="minorHAnsi" w:hAnsiTheme="minorHAnsi" w:cs="Arial"/>
          <w:b/>
          <w:bCs/>
          <w:color w:val="365F91"/>
          <w:sz w:val="32"/>
          <w:szCs w:val="32"/>
        </w:rPr>
      </w:pPr>
      <w:r>
        <w:rPr>
          <w:rFonts w:asciiTheme="minorHAnsi" w:hAnsiTheme="minorHAnsi" w:cs="Arial"/>
          <w:b/>
          <w:bCs/>
          <w:color w:val="365F91"/>
          <w:sz w:val="32"/>
          <w:szCs w:val="32"/>
        </w:rPr>
        <w:lastRenderedPageBreak/>
        <w:t>ISONIAZID + RIFAPENTINE (3HP or INH+RPT): 3 months (12-dose), once-weekly, directly observed</w:t>
      </w:r>
      <w:r w:rsidR="00456CE7" w:rsidRPr="007173C7">
        <w:rPr>
          <w:rFonts w:asciiTheme="minorHAnsi" w:hAnsiTheme="minorHAnsi" w:cs="Arial"/>
          <w:b/>
          <w:bCs/>
          <w:color w:val="365F91"/>
          <w:sz w:val="32"/>
          <w:szCs w:val="32"/>
        </w:rPr>
        <w:t xml:space="preserve">                                                                                                                             </w:t>
      </w:r>
    </w:p>
    <w:p w14:paraId="591C8E01" w14:textId="77777777" w:rsidR="00456CE7" w:rsidRPr="00365E34" w:rsidRDefault="00456CE7" w:rsidP="00456CE7">
      <w:pPr>
        <w:autoSpaceDE w:val="0"/>
        <w:autoSpaceDN w:val="0"/>
        <w:adjustRightInd w:val="0"/>
        <w:rPr>
          <w:rFonts w:ascii="Garamond-BookCondensed" w:eastAsia="Times New Roman" w:hAnsi="Garamond-BookCondensed" w:cs="Garamond-BookCondensed"/>
          <w:sz w:val="20"/>
          <w:szCs w:val="20"/>
        </w:rPr>
      </w:pPr>
    </w:p>
    <w:p w14:paraId="63E12C9A" w14:textId="77777777" w:rsidR="00B67F17" w:rsidRDefault="00B67F17" w:rsidP="00B67F17">
      <w:pPr>
        <w:rPr>
          <w:rFonts w:asciiTheme="minorHAnsi" w:hAnsiTheme="minorHAnsi" w:cs="Adobe Garamond Pro"/>
          <w:color w:val="000000"/>
        </w:rPr>
      </w:pPr>
      <w:r w:rsidRPr="004B26C7">
        <w:rPr>
          <w:rFonts w:asciiTheme="minorHAnsi" w:hAnsiTheme="minorHAnsi" w:cs="Adobe Garamond Pro"/>
          <w:b/>
          <w:color w:val="000000"/>
        </w:rPr>
        <w:t>Recommended for</w:t>
      </w:r>
      <w:r>
        <w:rPr>
          <w:rFonts w:asciiTheme="minorHAnsi" w:hAnsiTheme="minorHAnsi" w:cs="Adobe Garamond Pro"/>
          <w:color w:val="000000"/>
        </w:rPr>
        <w:t xml:space="preserve">: </w:t>
      </w:r>
    </w:p>
    <w:p w14:paraId="54CC1CF9" w14:textId="77777777" w:rsidR="00AF1372" w:rsidRPr="00603F01" w:rsidRDefault="00AF1372" w:rsidP="00AF1372">
      <w:pPr>
        <w:ind w:left="360"/>
        <w:rPr>
          <w:rFonts w:asciiTheme="minorHAnsi" w:hAnsiTheme="minorHAnsi" w:cs="Adobe Garamond Pro"/>
          <w:color w:val="000000"/>
        </w:rPr>
      </w:pPr>
      <w:r>
        <w:rPr>
          <w:rFonts w:asciiTheme="minorHAnsi" w:hAnsiTheme="minorHAnsi" w:cs="Adobe Garamond Pro"/>
          <w:color w:val="000000"/>
        </w:rPr>
        <w:t xml:space="preserve">Healthy patients aged </w:t>
      </w:r>
      <w:r w:rsidRPr="00603F01">
        <w:rPr>
          <w:rFonts w:asciiTheme="minorHAnsi" w:hAnsiTheme="minorHAnsi" w:cs="Adobe Garamond Pro"/>
          <w:color w:val="000000"/>
        </w:rPr>
        <w:t xml:space="preserve">≥2 years </w:t>
      </w:r>
    </w:p>
    <w:p w14:paraId="35806A74" w14:textId="77777777" w:rsidR="00AF1372" w:rsidRDefault="00AF1372" w:rsidP="00AF1372">
      <w:pPr>
        <w:rPr>
          <w:rFonts w:asciiTheme="minorHAnsi" w:hAnsiTheme="minorHAnsi" w:cs="Adobe Garamond Pro"/>
          <w:color w:val="000000"/>
        </w:rPr>
      </w:pPr>
    </w:p>
    <w:p w14:paraId="1A80B07F" w14:textId="77777777" w:rsidR="00AF1372" w:rsidRPr="00AD3278" w:rsidRDefault="00AF1372" w:rsidP="00AF1372">
      <w:pPr>
        <w:ind w:left="360"/>
        <w:rPr>
          <w:rFonts w:asciiTheme="minorHAnsi" w:hAnsiTheme="minorHAnsi" w:cs="Adobe Garamond Pro"/>
        </w:rPr>
      </w:pPr>
      <w:r w:rsidRPr="00AD3278">
        <w:rPr>
          <w:rFonts w:asciiTheme="minorHAnsi" w:hAnsiTheme="minorHAnsi"/>
        </w:rPr>
        <w:t xml:space="preserve">The Isoniazid + </w:t>
      </w:r>
      <w:proofErr w:type="spellStart"/>
      <w:r w:rsidRPr="00AD3278">
        <w:rPr>
          <w:rFonts w:asciiTheme="minorHAnsi" w:hAnsiTheme="minorHAnsi"/>
        </w:rPr>
        <w:t>Rifapentine</w:t>
      </w:r>
      <w:proofErr w:type="spellEnd"/>
      <w:r w:rsidRPr="00AD3278">
        <w:rPr>
          <w:rFonts w:asciiTheme="minorHAnsi" w:hAnsiTheme="minorHAnsi"/>
        </w:rPr>
        <w:t xml:space="preserve"> regimen is </w:t>
      </w:r>
      <w:r w:rsidRPr="00AD3278">
        <w:rPr>
          <w:rFonts w:asciiTheme="minorHAnsi" w:hAnsiTheme="minorHAnsi"/>
          <w:b/>
          <w:i/>
        </w:rPr>
        <w:t>NOT recommended</w:t>
      </w:r>
      <w:r w:rsidRPr="00AD3278">
        <w:rPr>
          <w:rFonts w:asciiTheme="minorHAnsi" w:hAnsiTheme="minorHAnsi"/>
        </w:rPr>
        <w:t xml:space="preserve"> for: </w:t>
      </w:r>
    </w:p>
    <w:p w14:paraId="55FFAF22" w14:textId="77777777" w:rsidR="00AF1372" w:rsidRPr="00603F01" w:rsidRDefault="00AF1372" w:rsidP="00AF1372">
      <w:pPr>
        <w:pStyle w:val="ListParagraph"/>
        <w:numPr>
          <w:ilvl w:val="0"/>
          <w:numId w:val="32"/>
        </w:numPr>
        <w:contextualSpacing/>
        <w:rPr>
          <w:rFonts w:asciiTheme="minorHAnsi" w:hAnsiTheme="minorHAnsi" w:cs="Adobe Garamond Pro"/>
        </w:rPr>
      </w:pPr>
      <w:r w:rsidRPr="00054929">
        <w:rPr>
          <w:rFonts w:asciiTheme="minorHAnsi" w:hAnsiTheme="minorHAnsi"/>
        </w:rPr>
        <w:t>Children &lt; 2</w:t>
      </w:r>
      <w:r>
        <w:rPr>
          <w:rFonts w:asciiTheme="minorHAnsi" w:hAnsiTheme="minorHAnsi"/>
        </w:rPr>
        <w:t xml:space="preserve"> </w:t>
      </w:r>
      <w:r w:rsidRPr="00054929">
        <w:rPr>
          <w:rFonts w:asciiTheme="minorHAnsi" w:hAnsiTheme="minorHAnsi"/>
        </w:rPr>
        <w:t>years of age</w:t>
      </w:r>
      <w:r w:rsidRPr="00054929">
        <w:rPr>
          <w:rFonts w:asciiTheme="minorHAnsi" w:hAnsiTheme="minorHAnsi"/>
        </w:rPr>
        <w:tab/>
      </w:r>
      <w:r w:rsidRPr="00054929">
        <w:rPr>
          <w:rFonts w:asciiTheme="minorHAnsi" w:hAnsiTheme="minorHAnsi"/>
        </w:rPr>
        <w:tab/>
      </w:r>
      <w:r w:rsidRPr="00054929">
        <w:rPr>
          <w:rFonts w:asciiTheme="minorHAnsi" w:hAnsiTheme="minorHAnsi"/>
        </w:rPr>
        <w:tab/>
      </w:r>
    </w:p>
    <w:p w14:paraId="4CEE91A1" w14:textId="77777777" w:rsidR="00AF1372" w:rsidRPr="0001313C" w:rsidRDefault="00AF1372" w:rsidP="00AF1372">
      <w:pPr>
        <w:pStyle w:val="ListParagraph"/>
        <w:numPr>
          <w:ilvl w:val="0"/>
          <w:numId w:val="32"/>
        </w:numPr>
        <w:contextualSpacing/>
        <w:rPr>
          <w:rFonts w:asciiTheme="minorHAnsi" w:hAnsiTheme="minorHAnsi" w:cs="Adobe Garamond Pro"/>
        </w:rPr>
      </w:pPr>
      <w:r>
        <w:rPr>
          <w:rFonts w:asciiTheme="minorHAnsi" w:hAnsiTheme="minorHAnsi"/>
        </w:rPr>
        <w:t xml:space="preserve">Persons living with </w:t>
      </w:r>
      <w:r w:rsidRPr="00054929">
        <w:rPr>
          <w:rFonts w:asciiTheme="minorHAnsi" w:hAnsiTheme="minorHAnsi"/>
        </w:rPr>
        <w:t>HIV infect</w:t>
      </w:r>
      <w:r>
        <w:rPr>
          <w:rFonts w:asciiTheme="minorHAnsi" w:hAnsiTheme="minorHAnsi"/>
        </w:rPr>
        <w:t>ion who are</w:t>
      </w:r>
      <w:r w:rsidRPr="00054929">
        <w:rPr>
          <w:rFonts w:asciiTheme="minorHAnsi" w:hAnsiTheme="minorHAnsi"/>
        </w:rPr>
        <w:t xml:space="preserve"> on antiretroviral therapy </w:t>
      </w:r>
    </w:p>
    <w:p w14:paraId="7755A500" w14:textId="77777777" w:rsidR="00AF1372" w:rsidRPr="00054929" w:rsidRDefault="00AF1372" w:rsidP="00AF1372">
      <w:pPr>
        <w:pStyle w:val="ListParagraph"/>
        <w:numPr>
          <w:ilvl w:val="0"/>
          <w:numId w:val="32"/>
        </w:numPr>
        <w:contextualSpacing/>
        <w:rPr>
          <w:rFonts w:asciiTheme="minorHAnsi" w:hAnsiTheme="minorHAnsi" w:cs="Adobe Garamond Pro"/>
        </w:rPr>
      </w:pPr>
      <w:r>
        <w:rPr>
          <w:rFonts w:asciiTheme="minorHAnsi" w:hAnsiTheme="minorHAnsi"/>
        </w:rPr>
        <w:t>Persons who are presumed to be infected with</w:t>
      </w:r>
      <w:r w:rsidRPr="0005492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isoniazid</w:t>
      </w:r>
      <w:r w:rsidRPr="00054929">
        <w:rPr>
          <w:rFonts w:asciiTheme="minorHAnsi" w:hAnsiTheme="minorHAnsi"/>
        </w:rPr>
        <w:t>- or rifampin-resistant</w:t>
      </w:r>
      <w:r>
        <w:rPr>
          <w:rFonts w:asciiTheme="minorHAnsi" w:hAnsiTheme="minorHAnsi"/>
        </w:rPr>
        <w:t xml:space="preserve"> </w:t>
      </w:r>
      <w:r w:rsidRPr="0001313C">
        <w:rPr>
          <w:rFonts w:asciiTheme="minorHAnsi" w:hAnsiTheme="minorHAnsi"/>
          <w:i/>
        </w:rPr>
        <w:t>M</w:t>
      </w:r>
      <w:r>
        <w:rPr>
          <w:rFonts w:asciiTheme="minorHAnsi" w:hAnsiTheme="minorHAnsi"/>
          <w:i/>
        </w:rPr>
        <w:t>.</w:t>
      </w:r>
      <w:r w:rsidRPr="0001313C">
        <w:rPr>
          <w:rFonts w:asciiTheme="minorHAnsi" w:hAnsiTheme="minorHAnsi"/>
          <w:i/>
        </w:rPr>
        <w:t xml:space="preserve"> tuberculosis</w:t>
      </w:r>
      <w:r w:rsidRPr="00054929">
        <w:rPr>
          <w:rFonts w:asciiTheme="minorHAnsi" w:hAnsiTheme="minorHAnsi"/>
        </w:rPr>
        <w:t xml:space="preserve">  </w:t>
      </w:r>
    </w:p>
    <w:p w14:paraId="2BA7F733" w14:textId="77777777" w:rsidR="00AF1372" w:rsidRPr="00054929" w:rsidRDefault="00AF1372" w:rsidP="00AF1372">
      <w:pPr>
        <w:pStyle w:val="ListParagraph"/>
        <w:numPr>
          <w:ilvl w:val="0"/>
          <w:numId w:val="32"/>
        </w:numPr>
        <w:contextualSpacing/>
        <w:rPr>
          <w:rFonts w:asciiTheme="minorHAnsi" w:hAnsiTheme="minorHAnsi" w:cs="Adobe Garamond Pro"/>
        </w:rPr>
      </w:pPr>
      <w:r>
        <w:rPr>
          <w:rFonts w:asciiTheme="minorHAnsi" w:hAnsiTheme="minorHAnsi"/>
        </w:rPr>
        <w:t>Women who are pregnant or expect to become pregnant during treatment</w:t>
      </w:r>
      <w:r w:rsidRPr="00054929">
        <w:rPr>
          <w:rFonts w:asciiTheme="minorHAnsi" w:hAnsiTheme="minorHAnsi"/>
        </w:rPr>
        <w:t>.</w:t>
      </w:r>
    </w:p>
    <w:p w14:paraId="65C31F4A" w14:textId="77777777" w:rsidR="00AF1372" w:rsidRDefault="00AF1372" w:rsidP="00AF1372">
      <w:pPr>
        <w:ind w:left="360"/>
        <w:rPr>
          <w:rFonts w:asciiTheme="minorHAnsi" w:hAnsiTheme="minorHAnsi"/>
        </w:rPr>
      </w:pPr>
    </w:p>
    <w:p w14:paraId="099449D4" w14:textId="77777777" w:rsidR="00AF1372" w:rsidRPr="000C67BD" w:rsidRDefault="00AF1372" w:rsidP="00AF1372">
      <w:pPr>
        <w:ind w:left="360"/>
        <w:rPr>
          <w:rFonts w:asciiTheme="minorHAnsi" w:hAnsiTheme="minorHAnsi" w:cs="Adobe Garamond Pro"/>
          <w:b/>
        </w:rPr>
      </w:pPr>
      <w:r w:rsidRPr="000C67BD">
        <w:rPr>
          <w:rFonts w:asciiTheme="minorHAnsi" w:hAnsiTheme="minorHAnsi" w:cs="Adobe Garamond Pro"/>
          <w:b/>
        </w:rPr>
        <w:t xml:space="preserve">The Isoniazid + </w:t>
      </w:r>
      <w:proofErr w:type="spellStart"/>
      <w:r w:rsidRPr="000C67BD">
        <w:rPr>
          <w:rFonts w:asciiTheme="minorHAnsi" w:hAnsiTheme="minorHAnsi" w:cs="Adobe Garamond Pro"/>
          <w:b/>
        </w:rPr>
        <w:t>Rifapentine</w:t>
      </w:r>
      <w:proofErr w:type="spellEnd"/>
      <w:r w:rsidRPr="000C67BD">
        <w:rPr>
          <w:rFonts w:asciiTheme="minorHAnsi" w:hAnsiTheme="minorHAnsi" w:cs="Adobe Garamond Pro"/>
          <w:b/>
        </w:rPr>
        <w:t xml:space="preserve"> regimen should be considered in persons who are unlikely to complete longer courses of therapy. </w:t>
      </w:r>
    </w:p>
    <w:p w14:paraId="18E10BBB" w14:textId="77777777" w:rsidR="00AF1372" w:rsidRDefault="00AF1372" w:rsidP="00AF1372">
      <w:pPr>
        <w:rPr>
          <w:rFonts w:asciiTheme="minorHAnsi" w:hAnsiTheme="minorHAnsi" w:cs="Adobe Garamond Pro"/>
          <w:color w:val="000000"/>
        </w:rPr>
      </w:pPr>
    </w:p>
    <w:p w14:paraId="0C8BC3E0" w14:textId="77777777" w:rsidR="00AF1372" w:rsidRDefault="00AF1372" w:rsidP="00AF1372">
      <w:pPr>
        <w:rPr>
          <w:rFonts w:asciiTheme="minorHAnsi" w:hAnsiTheme="minorHAnsi" w:cs="Adobe Garamond Pro"/>
        </w:rPr>
      </w:pPr>
      <w:r w:rsidRPr="004B26C7">
        <w:rPr>
          <w:rFonts w:asciiTheme="minorHAnsi" w:hAnsiTheme="minorHAnsi" w:cs="Adobe Garamond Pro"/>
          <w:b/>
        </w:rPr>
        <w:t>Dosing</w:t>
      </w:r>
      <w:r>
        <w:rPr>
          <w:rFonts w:asciiTheme="minorHAnsi" w:hAnsiTheme="minorHAnsi" w:cs="Adobe Garamond Pro"/>
        </w:rPr>
        <w:t>:</w:t>
      </w:r>
    </w:p>
    <w:p w14:paraId="68E63207" w14:textId="77777777" w:rsidR="00AF1372" w:rsidRDefault="00AF1372" w:rsidP="00AF1372">
      <w:pPr>
        <w:ind w:left="720"/>
        <w:rPr>
          <w:rFonts w:asciiTheme="minorHAnsi" w:hAnsiTheme="minorHAnsi" w:cs="Adobe Garamond Pro"/>
        </w:rPr>
      </w:pPr>
      <w:r>
        <w:rPr>
          <w:rFonts w:asciiTheme="minorHAnsi" w:hAnsiTheme="minorHAnsi" w:cs="Adobe Garamond Pro"/>
        </w:rPr>
        <w:t xml:space="preserve">Isoniazid: </w:t>
      </w:r>
    </w:p>
    <w:p w14:paraId="621A2596" w14:textId="77777777" w:rsidR="00AF1372" w:rsidRDefault="00AF1372" w:rsidP="00AF1372">
      <w:pPr>
        <w:ind w:left="1440"/>
        <w:rPr>
          <w:rFonts w:asciiTheme="minorHAnsi" w:hAnsiTheme="minorHAnsi" w:cs="Adobe Garamond Pro"/>
        </w:rPr>
      </w:pPr>
      <w:r>
        <w:rPr>
          <w:rFonts w:asciiTheme="minorHAnsi" w:hAnsiTheme="minorHAnsi" w:cs="Adobe Garamond Pro"/>
        </w:rPr>
        <w:t>Adults: 15 mg/kg rounded up to the nearest 50 or 100 mg (900 mg maximum dose)</w:t>
      </w:r>
    </w:p>
    <w:p w14:paraId="2020CCAD" w14:textId="77777777" w:rsidR="00AF1372" w:rsidRDefault="00AF1372" w:rsidP="00AF1372">
      <w:pPr>
        <w:ind w:left="720" w:firstLine="720"/>
        <w:rPr>
          <w:rFonts w:asciiTheme="minorHAnsi" w:hAnsiTheme="minorHAnsi" w:cs="Adobe Garamond Pro"/>
        </w:rPr>
      </w:pPr>
      <w:r w:rsidRPr="00CD5964">
        <w:rPr>
          <w:rFonts w:asciiTheme="minorHAnsi" w:hAnsiTheme="minorHAnsi" w:cs="Adobe Garamond Pro"/>
        </w:rPr>
        <w:t>Children</w:t>
      </w:r>
      <w:r>
        <w:rPr>
          <w:rFonts w:asciiTheme="minorHAnsi" w:hAnsiTheme="minorHAnsi" w:cs="Adobe Garamond Pro"/>
        </w:rPr>
        <w:t xml:space="preserve"> age 2-11 years: </w:t>
      </w:r>
      <w:r w:rsidRPr="008A75AB">
        <w:rPr>
          <w:rFonts w:asciiTheme="minorHAnsi" w:hAnsiTheme="minorHAnsi" w:cs="Adobe Garamond Pro"/>
        </w:rPr>
        <w:t>25 mg/kg rounded to the nearest 50</w:t>
      </w:r>
      <w:r>
        <w:rPr>
          <w:rFonts w:asciiTheme="minorHAnsi" w:hAnsiTheme="minorHAnsi" w:cs="Adobe Garamond Pro"/>
        </w:rPr>
        <w:t xml:space="preserve"> or </w:t>
      </w:r>
      <w:r w:rsidRPr="008A75AB">
        <w:rPr>
          <w:rFonts w:asciiTheme="minorHAnsi" w:hAnsiTheme="minorHAnsi" w:cs="Adobe Garamond Pro"/>
        </w:rPr>
        <w:t>100 mg</w:t>
      </w:r>
      <w:r>
        <w:rPr>
          <w:rFonts w:asciiTheme="minorHAnsi" w:hAnsiTheme="minorHAnsi" w:cs="Adobe Garamond Pro"/>
        </w:rPr>
        <w:t xml:space="preserve"> </w:t>
      </w:r>
    </w:p>
    <w:p w14:paraId="2558D2E1" w14:textId="77777777" w:rsidR="00AF1372" w:rsidRDefault="00AF1372" w:rsidP="00AF1372">
      <w:pPr>
        <w:ind w:left="720"/>
        <w:rPr>
          <w:rFonts w:asciiTheme="minorHAnsi" w:hAnsiTheme="minorHAnsi" w:cs="Adobe Garamond Pro"/>
        </w:rPr>
      </w:pPr>
      <w:proofErr w:type="spellStart"/>
      <w:r>
        <w:rPr>
          <w:rFonts w:asciiTheme="minorHAnsi" w:hAnsiTheme="minorHAnsi" w:cs="Adobe Garamond Pro"/>
        </w:rPr>
        <w:t>Rifapentine</w:t>
      </w:r>
      <w:proofErr w:type="spellEnd"/>
      <w:r>
        <w:rPr>
          <w:rFonts w:asciiTheme="minorHAnsi" w:hAnsiTheme="minorHAnsi" w:cs="Adobe Garamond Pro"/>
        </w:rPr>
        <w:t xml:space="preserve">: </w:t>
      </w:r>
    </w:p>
    <w:p w14:paraId="5B9EC6E5" w14:textId="77777777" w:rsidR="00AF1372" w:rsidRDefault="00AF1372" w:rsidP="00AF1372">
      <w:pPr>
        <w:ind w:left="1440"/>
        <w:rPr>
          <w:rFonts w:asciiTheme="minorHAnsi" w:hAnsiTheme="minorHAnsi" w:cs="Adobe Garamond Pro"/>
        </w:rPr>
      </w:pPr>
      <w:r>
        <w:rPr>
          <w:rFonts w:asciiTheme="minorHAnsi" w:hAnsiTheme="minorHAnsi" w:cs="Adobe Garamond Pro"/>
        </w:rPr>
        <w:t>10.0-14.0 kg: 300 mg</w:t>
      </w:r>
    </w:p>
    <w:p w14:paraId="75413221" w14:textId="77777777" w:rsidR="00AF1372" w:rsidRDefault="00AF1372" w:rsidP="00AF1372">
      <w:pPr>
        <w:ind w:left="1440"/>
        <w:rPr>
          <w:rFonts w:asciiTheme="minorHAnsi" w:hAnsiTheme="minorHAnsi" w:cs="Adobe Garamond Pro"/>
        </w:rPr>
      </w:pPr>
      <w:r>
        <w:rPr>
          <w:rFonts w:asciiTheme="minorHAnsi" w:hAnsiTheme="minorHAnsi" w:cs="Adobe Garamond Pro"/>
        </w:rPr>
        <w:t>14.1-25.0 kg: 450 mg</w:t>
      </w:r>
    </w:p>
    <w:p w14:paraId="612D0E41" w14:textId="77777777" w:rsidR="00AF1372" w:rsidRDefault="00AF1372" w:rsidP="00AF1372">
      <w:pPr>
        <w:ind w:left="1440"/>
        <w:rPr>
          <w:rFonts w:asciiTheme="minorHAnsi" w:hAnsiTheme="minorHAnsi" w:cs="Adobe Garamond Pro"/>
        </w:rPr>
      </w:pPr>
      <w:r>
        <w:rPr>
          <w:rFonts w:asciiTheme="minorHAnsi" w:hAnsiTheme="minorHAnsi" w:cs="Adobe Garamond Pro"/>
        </w:rPr>
        <w:t>25.1-32.0 kg: 600 mg</w:t>
      </w:r>
    </w:p>
    <w:p w14:paraId="1888AD9B" w14:textId="77777777" w:rsidR="00AF1372" w:rsidRDefault="00AF1372" w:rsidP="00AF1372">
      <w:pPr>
        <w:ind w:left="1440"/>
        <w:rPr>
          <w:rFonts w:asciiTheme="minorHAnsi" w:hAnsiTheme="minorHAnsi" w:cs="Adobe Garamond Pro"/>
        </w:rPr>
      </w:pPr>
      <w:r>
        <w:rPr>
          <w:rFonts w:asciiTheme="minorHAnsi" w:hAnsiTheme="minorHAnsi" w:cs="Adobe Garamond Pro"/>
        </w:rPr>
        <w:t>32.1-49.9 kg: 750 mg</w:t>
      </w:r>
    </w:p>
    <w:p w14:paraId="4E78CC8E" w14:textId="77777777" w:rsidR="00AF1372" w:rsidRDefault="00AF1372" w:rsidP="00AF1372">
      <w:pPr>
        <w:ind w:left="1440"/>
        <w:rPr>
          <w:rFonts w:asciiTheme="minorHAnsi" w:hAnsiTheme="minorHAnsi" w:cs="Adobe Garamond Pro"/>
        </w:rPr>
      </w:pPr>
      <w:r w:rsidRPr="00B6337A">
        <w:rPr>
          <w:rFonts w:asciiTheme="minorHAnsi" w:hAnsiTheme="minorHAnsi" w:cs="Adobe Garamond Pro"/>
          <w:u w:val="single"/>
        </w:rPr>
        <w:t>&gt;</w:t>
      </w:r>
      <w:r>
        <w:rPr>
          <w:rFonts w:asciiTheme="minorHAnsi" w:hAnsiTheme="minorHAnsi" w:cs="Adobe Garamond Pro"/>
        </w:rPr>
        <w:t>50 kg: 900 mg maximum dose</w:t>
      </w:r>
    </w:p>
    <w:p w14:paraId="0B4C34BD" w14:textId="77777777" w:rsidR="00AF1372" w:rsidRDefault="00AF1372" w:rsidP="00AF1372">
      <w:pPr>
        <w:ind w:left="720"/>
        <w:rPr>
          <w:rFonts w:asciiTheme="minorHAnsi" w:hAnsiTheme="minorHAnsi" w:cs="Adobe Garamond Pro"/>
        </w:rPr>
      </w:pPr>
    </w:p>
    <w:p w14:paraId="058FDF46" w14:textId="77777777" w:rsidR="00AF1372" w:rsidRDefault="00AF1372" w:rsidP="00AF1372">
      <w:pPr>
        <w:rPr>
          <w:rFonts w:asciiTheme="minorHAnsi" w:hAnsiTheme="minorHAnsi" w:cs="Adobe Garamond Pro"/>
        </w:rPr>
      </w:pPr>
      <w:r w:rsidRPr="004B26C7">
        <w:rPr>
          <w:rFonts w:asciiTheme="minorHAnsi" w:hAnsiTheme="minorHAnsi" w:cs="Adobe Garamond Pro"/>
          <w:b/>
        </w:rPr>
        <w:t>Administration</w:t>
      </w:r>
      <w:r>
        <w:rPr>
          <w:rFonts w:asciiTheme="minorHAnsi" w:hAnsiTheme="minorHAnsi" w:cs="Adobe Garamond Pro"/>
        </w:rPr>
        <w:t xml:space="preserve">: </w:t>
      </w:r>
    </w:p>
    <w:p w14:paraId="7B754523" w14:textId="77777777" w:rsidR="00AF1372" w:rsidRDefault="00AF1372" w:rsidP="00AF1372">
      <w:pPr>
        <w:ind w:left="360"/>
        <w:rPr>
          <w:rFonts w:asciiTheme="minorHAnsi" w:hAnsiTheme="minorHAnsi" w:cs="Adobe Garamond Pro"/>
        </w:rPr>
      </w:pPr>
      <w:r w:rsidRPr="00603F01">
        <w:rPr>
          <w:rFonts w:asciiTheme="minorHAnsi" w:hAnsiTheme="minorHAnsi" w:cs="Adobe Garamond Pro"/>
        </w:rPr>
        <w:t>Once-weekly oral regimen</w:t>
      </w:r>
      <w:r>
        <w:rPr>
          <w:rFonts w:asciiTheme="minorHAnsi" w:hAnsiTheme="minorHAnsi" w:cs="Adobe Garamond Pro"/>
        </w:rPr>
        <w:t xml:space="preserve">; MDPH recommends </w:t>
      </w:r>
      <w:r w:rsidRPr="009F4190">
        <w:rPr>
          <w:rFonts w:asciiTheme="minorHAnsi" w:hAnsiTheme="minorHAnsi" w:cs="Adobe Garamond Pro"/>
        </w:rPr>
        <w:t xml:space="preserve">all doses administered under direct observation </w:t>
      </w:r>
      <w:r>
        <w:rPr>
          <w:rFonts w:asciiTheme="minorHAnsi" w:hAnsiTheme="minorHAnsi" w:cs="Adobe Garamond Pro"/>
        </w:rPr>
        <w:t>(</w:t>
      </w:r>
      <w:r w:rsidRPr="009F4190">
        <w:rPr>
          <w:rFonts w:asciiTheme="minorHAnsi" w:hAnsiTheme="minorHAnsi" w:cs="Adobe Garamond Pro"/>
        </w:rPr>
        <w:t>DOT</w:t>
      </w:r>
      <w:r>
        <w:rPr>
          <w:rFonts w:asciiTheme="minorHAnsi" w:hAnsiTheme="minorHAnsi" w:cs="Adobe Garamond Pro"/>
        </w:rPr>
        <w:t>)</w:t>
      </w:r>
      <w:r w:rsidRPr="009F4190">
        <w:rPr>
          <w:rFonts w:asciiTheme="minorHAnsi" w:hAnsiTheme="minorHAnsi" w:cs="Adobe Garamond Pro"/>
        </w:rPr>
        <w:t xml:space="preserve"> by a trained worker</w:t>
      </w:r>
      <w:r>
        <w:rPr>
          <w:rFonts w:asciiTheme="minorHAnsi" w:hAnsiTheme="minorHAnsi" w:cs="Adobe Garamond Pro"/>
        </w:rPr>
        <w:t xml:space="preserve"> or medical care provider. Pills can be crushed and administered with food.</w:t>
      </w:r>
    </w:p>
    <w:p w14:paraId="5CEA3F35" w14:textId="77777777" w:rsidR="00AF1372" w:rsidRDefault="00AF1372" w:rsidP="00AF1372">
      <w:pPr>
        <w:ind w:left="360"/>
        <w:rPr>
          <w:rFonts w:asciiTheme="minorHAnsi" w:hAnsiTheme="minorHAnsi" w:cs="Adobe Garamond Pro"/>
        </w:rPr>
      </w:pPr>
    </w:p>
    <w:p w14:paraId="2187B8E3" w14:textId="77777777" w:rsidR="00AF1372" w:rsidRDefault="00AF1372" w:rsidP="00AF1372">
      <w:pPr>
        <w:rPr>
          <w:rFonts w:asciiTheme="minorHAnsi" w:hAnsiTheme="minorHAnsi" w:cs="Adobe Garamond Pro"/>
          <w:b/>
        </w:rPr>
      </w:pPr>
      <w:r>
        <w:rPr>
          <w:rFonts w:asciiTheme="minorHAnsi" w:hAnsiTheme="minorHAnsi" w:cs="Adobe Garamond Pro"/>
          <w:b/>
        </w:rPr>
        <w:t xml:space="preserve">Important </w:t>
      </w:r>
      <w:r w:rsidRPr="00D94F07">
        <w:rPr>
          <w:rFonts w:asciiTheme="minorHAnsi" w:hAnsiTheme="minorHAnsi" w:cs="Adobe Garamond Pro"/>
          <w:b/>
        </w:rPr>
        <w:t>Side Effects</w:t>
      </w:r>
      <w:r>
        <w:rPr>
          <w:rFonts w:asciiTheme="minorHAnsi" w:hAnsiTheme="minorHAnsi" w:cs="Adobe Garamond Pro"/>
          <w:b/>
        </w:rPr>
        <w:t xml:space="preserve"> and Adverse Reactions</w:t>
      </w:r>
    </w:p>
    <w:p w14:paraId="6ECC8DC4" w14:textId="77777777" w:rsidR="00AF1372" w:rsidRPr="002F0CF5" w:rsidRDefault="00AF1372" w:rsidP="00AF1372">
      <w:pPr>
        <w:ind w:left="720"/>
        <w:rPr>
          <w:rFonts w:asciiTheme="minorHAnsi" w:hAnsiTheme="minorHAnsi" w:cs="Adobe Garamond Pro"/>
        </w:rPr>
      </w:pPr>
      <w:r w:rsidRPr="00D94F07">
        <w:rPr>
          <w:rFonts w:asciiTheme="minorHAnsi" w:hAnsiTheme="minorHAnsi" w:cs="Adobe Garamond Pro"/>
        </w:rPr>
        <w:t>Hepatitis</w:t>
      </w:r>
      <w:r>
        <w:rPr>
          <w:rFonts w:asciiTheme="minorHAnsi" w:hAnsiTheme="minorHAnsi" w:cs="Adobe Garamond Pro"/>
        </w:rPr>
        <w:t xml:space="preserve"> (occult or symptomatic), thrombocytopenia</w:t>
      </w:r>
      <w:r w:rsidRPr="00D94F07">
        <w:rPr>
          <w:rFonts w:asciiTheme="minorHAnsi" w:hAnsiTheme="minorHAnsi" w:cs="Adobe Garamond Pro"/>
        </w:rPr>
        <w:t xml:space="preserve">, </w:t>
      </w:r>
      <w:r>
        <w:rPr>
          <w:rFonts w:asciiTheme="minorHAnsi" w:hAnsiTheme="minorHAnsi" w:cs="Adobe Garamond Pro"/>
        </w:rPr>
        <w:t>nausea, vomiting, rash, flu-like syndrome, light-headedness, headache, hypotension, syncope, and drug interactions (see below).</w:t>
      </w:r>
    </w:p>
    <w:p w14:paraId="386785F9" w14:textId="77777777" w:rsidR="00AF1372" w:rsidRDefault="00AF1372" w:rsidP="00AF1372">
      <w:pPr>
        <w:rPr>
          <w:rFonts w:asciiTheme="minorHAnsi" w:hAnsiTheme="minorHAnsi" w:cs="Adobe Garamond Pro"/>
        </w:rPr>
      </w:pPr>
    </w:p>
    <w:p w14:paraId="768B7F57" w14:textId="77777777" w:rsidR="00AF1372" w:rsidRPr="00054929" w:rsidRDefault="00AF1372" w:rsidP="00AF1372">
      <w:pPr>
        <w:rPr>
          <w:rFonts w:asciiTheme="minorHAnsi" w:hAnsiTheme="minorHAnsi" w:cs="Adobe Garamond Pro"/>
          <w:b/>
          <w:color w:val="000000"/>
        </w:rPr>
      </w:pPr>
      <w:r w:rsidRPr="00054929">
        <w:rPr>
          <w:rFonts w:asciiTheme="minorHAnsi" w:hAnsiTheme="minorHAnsi" w:cs="Adobe Garamond Pro"/>
          <w:b/>
          <w:color w:val="000000"/>
        </w:rPr>
        <w:t>Monitoring</w:t>
      </w:r>
    </w:p>
    <w:p w14:paraId="60A11D4C" w14:textId="77777777" w:rsidR="00AF1372" w:rsidRPr="004B26C7" w:rsidRDefault="00AF1372" w:rsidP="00AF1372">
      <w:pPr>
        <w:ind w:left="360"/>
        <w:rPr>
          <w:rFonts w:asciiTheme="minorHAnsi" w:hAnsiTheme="minorHAnsi" w:cs="Adobe Garamond Pro"/>
        </w:rPr>
      </w:pPr>
      <w:r>
        <w:rPr>
          <w:rFonts w:asciiTheme="minorHAnsi" w:hAnsiTheme="minorHAnsi" w:cs="Adobe Garamond Pro"/>
          <w:color w:val="000000"/>
        </w:rPr>
        <w:t xml:space="preserve">Direct observation of treatment administration by a healthcare worker: </w:t>
      </w:r>
      <w:r w:rsidRPr="00054929">
        <w:rPr>
          <w:rFonts w:asciiTheme="minorHAnsi" w:hAnsiTheme="minorHAnsi" w:cs="Adobe Garamond Pro"/>
          <w:color w:val="000000"/>
        </w:rPr>
        <w:t>Because missed doses</w:t>
      </w:r>
      <w:r>
        <w:rPr>
          <w:rFonts w:asciiTheme="minorHAnsi" w:hAnsiTheme="minorHAnsi" w:cs="Adobe Garamond Pro"/>
          <w:color w:val="000000"/>
        </w:rPr>
        <w:t>,</w:t>
      </w:r>
      <w:r w:rsidRPr="00054929">
        <w:rPr>
          <w:rFonts w:asciiTheme="minorHAnsi" w:hAnsiTheme="minorHAnsi" w:cs="Adobe Garamond Pro"/>
          <w:color w:val="000000"/>
        </w:rPr>
        <w:t xml:space="preserve"> altered dosing intervals</w:t>
      </w:r>
      <w:r>
        <w:rPr>
          <w:rFonts w:asciiTheme="minorHAnsi" w:hAnsiTheme="minorHAnsi" w:cs="Adobe Garamond Pro"/>
          <w:color w:val="000000"/>
        </w:rPr>
        <w:t>,</w:t>
      </w:r>
      <w:r w:rsidRPr="00054929">
        <w:rPr>
          <w:rFonts w:asciiTheme="minorHAnsi" w:hAnsiTheme="minorHAnsi" w:cs="Adobe Garamond Pro"/>
          <w:color w:val="000000"/>
        </w:rPr>
        <w:t xml:space="preserve"> or </w:t>
      </w:r>
      <w:r w:rsidRPr="004B26C7">
        <w:rPr>
          <w:rFonts w:asciiTheme="minorHAnsi" w:hAnsiTheme="minorHAnsi" w:cs="Adobe Garamond Pro"/>
        </w:rPr>
        <w:t>amounts of drug taken cou</w:t>
      </w:r>
      <w:r w:rsidRPr="00054929">
        <w:rPr>
          <w:rFonts w:asciiTheme="minorHAnsi" w:hAnsiTheme="minorHAnsi" w:cs="Adobe Garamond Pro"/>
          <w:color w:val="000000"/>
        </w:rPr>
        <w:t xml:space="preserve">ld jeopardize efficacy or safety, the </w:t>
      </w:r>
      <w:r>
        <w:rPr>
          <w:rFonts w:asciiTheme="minorHAnsi" w:hAnsiTheme="minorHAnsi" w:cs="Adobe Garamond Pro"/>
          <w:color w:val="000000"/>
        </w:rPr>
        <w:t xml:space="preserve">Isoniazid + </w:t>
      </w:r>
      <w:proofErr w:type="spellStart"/>
      <w:r>
        <w:rPr>
          <w:rFonts w:asciiTheme="minorHAnsi" w:hAnsiTheme="minorHAnsi" w:cs="Adobe Garamond Pro"/>
          <w:color w:val="000000"/>
        </w:rPr>
        <w:t>Rifapentine</w:t>
      </w:r>
      <w:proofErr w:type="spellEnd"/>
      <w:r w:rsidRPr="00054929">
        <w:rPr>
          <w:rFonts w:asciiTheme="minorHAnsi" w:hAnsiTheme="minorHAnsi" w:cs="Adobe Garamond Pro"/>
          <w:color w:val="000000"/>
        </w:rPr>
        <w:t xml:space="preserve"> regimen should be administered by DOT. </w:t>
      </w:r>
      <w:r>
        <w:rPr>
          <w:rFonts w:asciiTheme="minorHAnsi" w:hAnsiTheme="minorHAnsi" w:cs="Adobe Garamond Pro"/>
          <w:color w:val="000000"/>
        </w:rPr>
        <w:t xml:space="preserve"> The </w:t>
      </w:r>
      <w:r w:rsidRPr="00054929">
        <w:rPr>
          <w:rFonts w:asciiTheme="minorHAnsi" w:hAnsiTheme="minorHAnsi" w:cs="Adobe Garamond Pro"/>
          <w:color w:val="000000"/>
        </w:rPr>
        <w:t>DOT can be done at the provider’s office or at a location chosen for mutual convenience (</w:t>
      </w:r>
      <w:r w:rsidRPr="00054929">
        <w:rPr>
          <w:rFonts w:asciiTheme="minorHAnsi" w:hAnsiTheme="minorHAnsi" w:cs="Adobe Garamond Pro"/>
          <w:i/>
          <w:color w:val="000000"/>
        </w:rPr>
        <w:t>e.g.</w:t>
      </w:r>
      <w:r>
        <w:rPr>
          <w:rFonts w:asciiTheme="minorHAnsi" w:hAnsiTheme="minorHAnsi" w:cs="Adobe Garamond Pro"/>
          <w:i/>
          <w:color w:val="000000"/>
        </w:rPr>
        <w:t>,</w:t>
      </w:r>
      <w:r w:rsidRPr="00054929">
        <w:rPr>
          <w:rFonts w:asciiTheme="minorHAnsi" w:hAnsiTheme="minorHAnsi" w:cs="Adobe Garamond Pro"/>
          <w:color w:val="000000"/>
        </w:rPr>
        <w:t xml:space="preserve"> home or school clinic). </w:t>
      </w:r>
    </w:p>
    <w:p w14:paraId="1FEDCDA5" w14:textId="77777777" w:rsidR="00AF1372" w:rsidRPr="00603F01" w:rsidRDefault="00AF1372" w:rsidP="00AF1372">
      <w:pPr>
        <w:numPr>
          <w:ilvl w:val="1"/>
          <w:numId w:val="33"/>
        </w:numPr>
        <w:rPr>
          <w:rFonts w:asciiTheme="minorHAnsi" w:hAnsiTheme="minorHAnsi" w:cs="Adobe Garamond Pro"/>
          <w:color w:val="000000"/>
        </w:rPr>
      </w:pPr>
      <w:r w:rsidRPr="00D94F07">
        <w:rPr>
          <w:rFonts w:asciiTheme="minorHAnsi" w:hAnsiTheme="minorHAnsi" w:cs="Adobe Garamond Pro"/>
          <w:i/>
          <w:color w:val="000000"/>
        </w:rPr>
        <w:lastRenderedPageBreak/>
        <w:t xml:space="preserve">At </w:t>
      </w:r>
      <w:r w:rsidRPr="00D94F07">
        <w:rPr>
          <w:rFonts w:asciiTheme="minorHAnsi" w:hAnsiTheme="minorHAnsi" w:cs="Adobe Garamond Pro"/>
          <w:i/>
        </w:rPr>
        <w:t>each DOT encounter</w:t>
      </w:r>
      <w:r w:rsidRPr="004B26C7">
        <w:rPr>
          <w:rFonts w:asciiTheme="minorHAnsi" w:hAnsiTheme="minorHAnsi" w:cs="Adobe Garamond Pro"/>
        </w:rPr>
        <w:t>, patients should be questioned</w:t>
      </w:r>
      <w:r>
        <w:rPr>
          <w:rFonts w:asciiTheme="minorHAnsi" w:hAnsiTheme="minorHAnsi" w:cs="Adobe Garamond Pro"/>
        </w:rPr>
        <w:t>,</w:t>
      </w:r>
      <w:r w:rsidRPr="004B26C7">
        <w:rPr>
          <w:rFonts w:asciiTheme="minorHAnsi" w:hAnsiTheme="minorHAnsi" w:cs="Adobe Garamond Pro"/>
        </w:rPr>
        <w:t xml:space="preserve"> in detail</w:t>
      </w:r>
      <w:r>
        <w:rPr>
          <w:rFonts w:asciiTheme="minorHAnsi" w:hAnsiTheme="minorHAnsi" w:cs="Adobe Garamond Pro"/>
        </w:rPr>
        <w:t>,</w:t>
      </w:r>
      <w:r w:rsidRPr="004B26C7">
        <w:rPr>
          <w:rFonts w:asciiTheme="minorHAnsi" w:hAnsiTheme="minorHAnsi" w:cs="Adobe Garamond Pro"/>
        </w:rPr>
        <w:t xml:space="preserve"> about possible side effects and inst</w:t>
      </w:r>
      <w:r w:rsidRPr="00054929">
        <w:rPr>
          <w:rFonts w:asciiTheme="minorHAnsi" w:hAnsiTheme="minorHAnsi" w:cs="Adobe Garamond Pro"/>
          <w:color w:val="000000"/>
        </w:rPr>
        <w:t xml:space="preserve">ructed to seek immediate medical attention if they have symptoms consistent with drug toxicity, such as fevers, yellow eyes/skin, abdominal pain, syncope, </w:t>
      </w:r>
      <w:r>
        <w:rPr>
          <w:rFonts w:asciiTheme="minorHAnsi" w:hAnsiTheme="minorHAnsi" w:cs="Adobe Garamond Pro"/>
          <w:color w:val="000000"/>
        </w:rPr>
        <w:t xml:space="preserve">or </w:t>
      </w:r>
      <w:r w:rsidRPr="00054929">
        <w:rPr>
          <w:rFonts w:asciiTheme="minorHAnsi" w:hAnsiTheme="minorHAnsi" w:cs="Adobe Garamond Pro"/>
          <w:color w:val="000000"/>
        </w:rPr>
        <w:t>rash.</w:t>
      </w:r>
    </w:p>
    <w:p w14:paraId="00F6EF0A" w14:textId="77777777" w:rsidR="00AF1372" w:rsidRPr="008A75AB" w:rsidRDefault="00AF1372" w:rsidP="00AF1372">
      <w:pPr>
        <w:numPr>
          <w:ilvl w:val="1"/>
          <w:numId w:val="33"/>
        </w:numPr>
        <w:rPr>
          <w:rFonts w:asciiTheme="minorHAnsi" w:hAnsiTheme="minorHAnsi" w:cs="Adobe Garamond Pro"/>
        </w:rPr>
      </w:pPr>
      <w:r w:rsidRPr="008A75AB">
        <w:rPr>
          <w:rFonts w:asciiTheme="minorHAnsi" w:hAnsiTheme="minorHAnsi" w:cs="Adobe Garamond Pro"/>
        </w:rPr>
        <w:t>In addition, if any of the above symptoms</w:t>
      </w:r>
      <w:r>
        <w:rPr>
          <w:rFonts w:asciiTheme="minorHAnsi" w:hAnsiTheme="minorHAnsi" w:cs="Adobe Garamond Pro"/>
        </w:rPr>
        <w:t>,</w:t>
      </w:r>
      <w:r w:rsidRPr="008A75AB">
        <w:rPr>
          <w:rFonts w:asciiTheme="minorHAnsi" w:hAnsiTheme="minorHAnsi" w:cs="Adobe Garamond Pro"/>
        </w:rPr>
        <w:t xml:space="preserve"> was noted following the previous dose, the subsequent dose of </w:t>
      </w:r>
      <w:r>
        <w:rPr>
          <w:rFonts w:asciiTheme="minorHAnsi" w:hAnsiTheme="minorHAnsi" w:cs="Adobe Garamond Pro"/>
        </w:rPr>
        <w:t xml:space="preserve">Isoniazid + </w:t>
      </w:r>
      <w:proofErr w:type="spellStart"/>
      <w:r>
        <w:rPr>
          <w:rFonts w:asciiTheme="minorHAnsi" w:hAnsiTheme="minorHAnsi" w:cs="Adobe Garamond Pro"/>
        </w:rPr>
        <w:t>Rifapentine</w:t>
      </w:r>
      <w:proofErr w:type="spellEnd"/>
      <w:r w:rsidRPr="008A75AB">
        <w:rPr>
          <w:rFonts w:asciiTheme="minorHAnsi" w:hAnsiTheme="minorHAnsi" w:cs="Adobe Garamond Pro"/>
        </w:rPr>
        <w:t xml:space="preserve"> should be held pending clinical evaluation.</w:t>
      </w:r>
      <w:r>
        <w:rPr>
          <w:rFonts w:asciiTheme="minorHAnsi" w:hAnsiTheme="minorHAnsi" w:cs="Adobe Garamond Pro"/>
        </w:rPr>
        <w:t xml:space="preserve"> Unexplained syncope is an important, although rare, complication of this regimen; it usually is preceded by prodromal symptoms (</w:t>
      </w:r>
      <w:r w:rsidRPr="00841D70">
        <w:rPr>
          <w:rFonts w:asciiTheme="minorHAnsi" w:hAnsiTheme="minorHAnsi" w:cs="Adobe Garamond Pro"/>
        </w:rPr>
        <w:t>nausea, dizziness, weakness, near-syncope, headache</w:t>
      </w:r>
      <w:r>
        <w:rPr>
          <w:rFonts w:asciiTheme="minorHAnsi" w:hAnsiTheme="minorHAnsi" w:cs="Adobe Garamond Pro"/>
        </w:rPr>
        <w:t xml:space="preserve">) following the dose. Subsequent doses should be held pending evaluation, if a person responds affirmatively to pre-dose questioning for any of these symptoms. </w:t>
      </w:r>
    </w:p>
    <w:p w14:paraId="1C3CF9AC" w14:textId="77777777" w:rsidR="00AF1372" w:rsidRDefault="00AF1372" w:rsidP="00AF1372">
      <w:pPr>
        <w:ind w:left="360"/>
        <w:rPr>
          <w:rFonts w:asciiTheme="minorHAnsi" w:hAnsiTheme="minorHAnsi" w:cs="Adobe Garamond Pro"/>
          <w:color w:val="000000"/>
        </w:rPr>
      </w:pPr>
    </w:p>
    <w:p w14:paraId="6A430750" w14:textId="77777777" w:rsidR="00AF1372" w:rsidRPr="00054929" w:rsidRDefault="00AF1372" w:rsidP="00AF1372">
      <w:pPr>
        <w:ind w:left="360"/>
        <w:rPr>
          <w:rFonts w:asciiTheme="minorHAnsi" w:hAnsiTheme="minorHAnsi" w:cs="Adobe Garamond Pro"/>
          <w:color w:val="000000"/>
        </w:rPr>
      </w:pPr>
      <w:r>
        <w:rPr>
          <w:rFonts w:asciiTheme="minorHAnsi" w:hAnsiTheme="minorHAnsi" w:cs="Adobe Garamond Pro"/>
          <w:color w:val="000000"/>
        </w:rPr>
        <w:t>P</w:t>
      </w:r>
      <w:r w:rsidRPr="00054929">
        <w:rPr>
          <w:rFonts w:asciiTheme="minorHAnsi" w:hAnsiTheme="minorHAnsi" w:cs="Adobe Garamond Pro"/>
          <w:color w:val="000000"/>
        </w:rPr>
        <w:t xml:space="preserve">atients should undergo a clinical assessment </w:t>
      </w:r>
      <w:r w:rsidRPr="00D94F07">
        <w:rPr>
          <w:rFonts w:asciiTheme="minorHAnsi" w:hAnsiTheme="minorHAnsi" w:cs="Adobe Garamond Pro"/>
          <w:i/>
        </w:rPr>
        <w:t>by a health care provider</w:t>
      </w:r>
      <w:r w:rsidRPr="00ED16EA">
        <w:rPr>
          <w:rFonts w:asciiTheme="minorHAnsi" w:hAnsiTheme="minorHAnsi" w:cs="Adobe Garamond Pro"/>
          <w:color w:val="000000"/>
        </w:rPr>
        <w:t xml:space="preserve"> </w:t>
      </w:r>
      <w:r w:rsidRPr="00D94F07">
        <w:rPr>
          <w:rFonts w:asciiTheme="minorHAnsi" w:hAnsiTheme="minorHAnsi" w:cs="Adobe Garamond Pro"/>
          <w:i/>
          <w:color w:val="000000"/>
        </w:rPr>
        <w:t xml:space="preserve">at least </w:t>
      </w:r>
      <w:r w:rsidRPr="00D94F07">
        <w:rPr>
          <w:rFonts w:asciiTheme="minorHAnsi" w:hAnsiTheme="minorHAnsi" w:cs="Adobe Garamond Pro"/>
          <w:i/>
        </w:rPr>
        <w:t>monthly</w:t>
      </w:r>
      <w:r>
        <w:rPr>
          <w:rFonts w:asciiTheme="minorHAnsi" w:hAnsiTheme="minorHAnsi" w:cs="Adobe Garamond Pro"/>
        </w:rPr>
        <w:t xml:space="preserve">. The assessment should </w:t>
      </w:r>
      <w:r w:rsidRPr="00054929">
        <w:rPr>
          <w:rFonts w:asciiTheme="minorHAnsi" w:hAnsiTheme="minorHAnsi" w:cs="Adobe Garamond Pro"/>
          <w:color w:val="000000"/>
        </w:rPr>
        <w:t>includ</w:t>
      </w:r>
      <w:r>
        <w:rPr>
          <w:rFonts w:asciiTheme="minorHAnsi" w:hAnsiTheme="minorHAnsi" w:cs="Adobe Garamond Pro"/>
          <w:color w:val="000000"/>
        </w:rPr>
        <w:t>e</w:t>
      </w:r>
      <w:r w:rsidRPr="00054929">
        <w:rPr>
          <w:rFonts w:asciiTheme="minorHAnsi" w:hAnsiTheme="minorHAnsi" w:cs="Adobe Garamond Pro"/>
          <w:color w:val="000000"/>
        </w:rPr>
        <w:t xml:space="preserve"> inquiries about side effects and a physical examination. </w:t>
      </w:r>
    </w:p>
    <w:p w14:paraId="287C6683" w14:textId="77777777" w:rsidR="00AF1372" w:rsidRDefault="00AF1372" w:rsidP="00AF1372">
      <w:pPr>
        <w:ind w:left="1080"/>
        <w:rPr>
          <w:rFonts w:asciiTheme="minorHAnsi" w:hAnsiTheme="minorHAnsi" w:cs="Adobe Garamond Pro"/>
          <w:color w:val="000000"/>
        </w:rPr>
      </w:pPr>
    </w:p>
    <w:p w14:paraId="477574AC" w14:textId="77777777" w:rsidR="00AF1372" w:rsidRDefault="00AF1372" w:rsidP="00AF1372">
      <w:pPr>
        <w:ind w:left="360"/>
        <w:rPr>
          <w:rFonts w:asciiTheme="minorHAnsi" w:hAnsiTheme="minorHAnsi" w:cs="Adobe Garamond Pro"/>
          <w:color w:val="000000"/>
        </w:rPr>
      </w:pPr>
      <w:r w:rsidRPr="00054929">
        <w:rPr>
          <w:rFonts w:asciiTheme="minorHAnsi" w:hAnsiTheme="minorHAnsi" w:cs="Adobe Garamond Pro"/>
          <w:color w:val="000000"/>
        </w:rPr>
        <w:t>Blood tests (CBC</w:t>
      </w:r>
      <w:r>
        <w:rPr>
          <w:rFonts w:asciiTheme="minorHAnsi" w:hAnsiTheme="minorHAnsi" w:cs="Adobe Garamond Pro"/>
          <w:color w:val="000000"/>
        </w:rPr>
        <w:t>/platelets</w:t>
      </w:r>
      <w:r w:rsidRPr="00054929">
        <w:rPr>
          <w:rFonts w:asciiTheme="minorHAnsi" w:hAnsiTheme="minorHAnsi" w:cs="Adobe Garamond Pro"/>
          <w:color w:val="000000"/>
        </w:rPr>
        <w:t xml:space="preserve"> and hepatic enzymes) are recom</w:t>
      </w:r>
      <w:r w:rsidRPr="00054929">
        <w:rPr>
          <w:rFonts w:asciiTheme="minorHAnsi" w:hAnsiTheme="minorHAnsi" w:cs="Adobe Garamond Pro"/>
          <w:color w:val="000000"/>
        </w:rPr>
        <w:softHyphen/>
        <w:t>mended</w:t>
      </w:r>
      <w:r>
        <w:rPr>
          <w:rFonts w:asciiTheme="minorHAnsi" w:hAnsiTheme="minorHAnsi" w:cs="Adobe Garamond Pro"/>
          <w:color w:val="000000"/>
        </w:rPr>
        <w:t xml:space="preserve"> at baseline f</w:t>
      </w:r>
      <w:r w:rsidRPr="00054929">
        <w:rPr>
          <w:rFonts w:asciiTheme="minorHAnsi" w:hAnsiTheme="minorHAnsi" w:cs="Adobe Garamond Pro"/>
          <w:color w:val="000000"/>
        </w:rPr>
        <w:t xml:space="preserve">or </w:t>
      </w:r>
      <w:r>
        <w:rPr>
          <w:rFonts w:asciiTheme="minorHAnsi" w:hAnsiTheme="minorHAnsi" w:cs="Adobe Garamond Pro"/>
          <w:color w:val="000000"/>
        </w:rPr>
        <w:t>patients with HIV infection, history of liver disease or regular alcohol use, and persons &gt;35 years of age.  The clinician may also elect to obtain baseline studies for their other patients. Repeat (or follow-up) measurements should be done if:</w:t>
      </w:r>
    </w:p>
    <w:p w14:paraId="0009D676" w14:textId="77777777" w:rsidR="00AF1372" w:rsidRDefault="00AF1372" w:rsidP="00AF1372">
      <w:pPr>
        <w:numPr>
          <w:ilvl w:val="1"/>
          <w:numId w:val="34"/>
        </w:numPr>
        <w:rPr>
          <w:rFonts w:asciiTheme="minorHAnsi" w:hAnsiTheme="minorHAnsi" w:cs="Adobe Garamond Pro"/>
          <w:color w:val="000000"/>
        </w:rPr>
      </w:pPr>
      <w:r>
        <w:rPr>
          <w:rFonts w:asciiTheme="minorHAnsi" w:hAnsiTheme="minorHAnsi" w:cs="Adobe Garamond Pro"/>
          <w:color w:val="000000"/>
        </w:rPr>
        <w:t>The baseline result is abnormal</w:t>
      </w:r>
    </w:p>
    <w:p w14:paraId="14751688" w14:textId="77777777" w:rsidR="00AF1372" w:rsidRDefault="00AF1372" w:rsidP="00AF1372">
      <w:pPr>
        <w:numPr>
          <w:ilvl w:val="1"/>
          <w:numId w:val="34"/>
        </w:numPr>
        <w:rPr>
          <w:rFonts w:asciiTheme="minorHAnsi" w:hAnsiTheme="minorHAnsi" w:cs="Adobe Garamond Pro"/>
          <w:color w:val="000000"/>
        </w:rPr>
      </w:pPr>
      <w:r>
        <w:rPr>
          <w:rFonts w:asciiTheme="minorHAnsi" w:hAnsiTheme="minorHAnsi" w:cs="Adobe Garamond Pro"/>
          <w:color w:val="000000"/>
        </w:rPr>
        <w:t>Patient has symptoms due to adverse reactions</w:t>
      </w:r>
      <w:r w:rsidRPr="00054929">
        <w:rPr>
          <w:rFonts w:asciiTheme="minorHAnsi" w:hAnsiTheme="minorHAnsi" w:cs="Adobe Garamond Pro"/>
          <w:color w:val="000000"/>
        </w:rPr>
        <w:t>.</w:t>
      </w:r>
    </w:p>
    <w:p w14:paraId="6AEE1295" w14:textId="77777777" w:rsidR="00AF1372" w:rsidRDefault="00AF1372" w:rsidP="00AF1372">
      <w:pPr>
        <w:ind w:left="1080"/>
        <w:rPr>
          <w:rFonts w:asciiTheme="minorHAnsi" w:hAnsiTheme="minorHAnsi" w:cs="Adobe Garamond Pro"/>
          <w:color w:val="000000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38"/>
        <w:gridCol w:w="341"/>
        <w:gridCol w:w="360"/>
        <w:gridCol w:w="360"/>
        <w:gridCol w:w="360"/>
        <w:gridCol w:w="360"/>
        <w:gridCol w:w="360"/>
        <w:gridCol w:w="360"/>
        <w:gridCol w:w="360"/>
        <w:gridCol w:w="360"/>
        <w:gridCol w:w="460"/>
        <w:gridCol w:w="460"/>
        <w:gridCol w:w="460"/>
      </w:tblGrid>
      <w:tr w:rsidR="00AF1372" w14:paraId="084BF3AF" w14:textId="77777777" w:rsidTr="001A6825">
        <w:trPr>
          <w:jc w:val="center"/>
        </w:trPr>
        <w:tc>
          <w:tcPr>
            <w:tcW w:w="2538" w:type="dxa"/>
            <w:vMerge w:val="restart"/>
          </w:tcPr>
          <w:p w14:paraId="4A4BC7F2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</w:p>
        </w:tc>
        <w:tc>
          <w:tcPr>
            <w:tcW w:w="4601" w:type="dxa"/>
            <w:gridSpan w:val="12"/>
          </w:tcPr>
          <w:p w14:paraId="5842733E" w14:textId="77777777" w:rsidR="00AF1372" w:rsidRDefault="00AF1372" w:rsidP="001A6825">
            <w:pPr>
              <w:jc w:val="center"/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Week</w:t>
            </w:r>
          </w:p>
        </w:tc>
      </w:tr>
      <w:tr w:rsidR="00AF1372" w14:paraId="3121D5D4" w14:textId="77777777" w:rsidTr="001A6825">
        <w:trPr>
          <w:jc w:val="center"/>
        </w:trPr>
        <w:tc>
          <w:tcPr>
            <w:tcW w:w="2538" w:type="dxa"/>
            <w:vMerge/>
          </w:tcPr>
          <w:p w14:paraId="64D0321A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</w:p>
        </w:tc>
        <w:tc>
          <w:tcPr>
            <w:tcW w:w="341" w:type="dxa"/>
            <w:vAlign w:val="center"/>
          </w:tcPr>
          <w:p w14:paraId="221EEBC2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14:paraId="174742ED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14:paraId="23DF4296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14:paraId="470A28B8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4</w:t>
            </w:r>
          </w:p>
        </w:tc>
        <w:tc>
          <w:tcPr>
            <w:tcW w:w="360" w:type="dxa"/>
            <w:vAlign w:val="center"/>
          </w:tcPr>
          <w:p w14:paraId="6BC8E578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5</w:t>
            </w:r>
          </w:p>
        </w:tc>
        <w:tc>
          <w:tcPr>
            <w:tcW w:w="360" w:type="dxa"/>
            <w:vAlign w:val="center"/>
          </w:tcPr>
          <w:p w14:paraId="15182981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6</w:t>
            </w:r>
          </w:p>
        </w:tc>
        <w:tc>
          <w:tcPr>
            <w:tcW w:w="360" w:type="dxa"/>
            <w:vAlign w:val="center"/>
          </w:tcPr>
          <w:p w14:paraId="5AFCE58C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7</w:t>
            </w:r>
          </w:p>
        </w:tc>
        <w:tc>
          <w:tcPr>
            <w:tcW w:w="360" w:type="dxa"/>
            <w:vAlign w:val="center"/>
          </w:tcPr>
          <w:p w14:paraId="32FF01BA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8</w:t>
            </w:r>
          </w:p>
        </w:tc>
        <w:tc>
          <w:tcPr>
            <w:tcW w:w="360" w:type="dxa"/>
            <w:vAlign w:val="center"/>
          </w:tcPr>
          <w:p w14:paraId="7BF21C8D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9</w:t>
            </w:r>
          </w:p>
        </w:tc>
        <w:tc>
          <w:tcPr>
            <w:tcW w:w="460" w:type="dxa"/>
            <w:vAlign w:val="center"/>
          </w:tcPr>
          <w:p w14:paraId="123E4137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10</w:t>
            </w:r>
          </w:p>
        </w:tc>
        <w:tc>
          <w:tcPr>
            <w:tcW w:w="460" w:type="dxa"/>
            <w:vAlign w:val="center"/>
          </w:tcPr>
          <w:p w14:paraId="79589559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11</w:t>
            </w:r>
          </w:p>
        </w:tc>
        <w:tc>
          <w:tcPr>
            <w:tcW w:w="460" w:type="dxa"/>
            <w:vAlign w:val="center"/>
          </w:tcPr>
          <w:p w14:paraId="56666447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12</w:t>
            </w:r>
          </w:p>
        </w:tc>
      </w:tr>
      <w:tr w:rsidR="00AF1372" w14:paraId="1001C863" w14:textId="77777777" w:rsidTr="001A6825">
        <w:trPr>
          <w:jc w:val="center"/>
        </w:trPr>
        <w:tc>
          <w:tcPr>
            <w:tcW w:w="2538" w:type="dxa"/>
          </w:tcPr>
          <w:p w14:paraId="7A14FE47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Medical evaluation/ monitoring</w:t>
            </w:r>
          </w:p>
        </w:tc>
        <w:tc>
          <w:tcPr>
            <w:tcW w:w="341" w:type="dxa"/>
            <w:vAlign w:val="center"/>
          </w:tcPr>
          <w:p w14:paraId="126BE8F3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x</w:t>
            </w:r>
          </w:p>
        </w:tc>
        <w:tc>
          <w:tcPr>
            <w:tcW w:w="360" w:type="dxa"/>
            <w:vAlign w:val="center"/>
          </w:tcPr>
          <w:p w14:paraId="50D46F31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00BA9E7F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125F0CA3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637479EB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x</w:t>
            </w:r>
          </w:p>
        </w:tc>
        <w:tc>
          <w:tcPr>
            <w:tcW w:w="360" w:type="dxa"/>
            <w:vAlign w:val="center"/>
          </w:tcPr>
          <w:p w14:paraId="06761443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7AF40F13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7FF349B4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335F7DB2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x</w:t>
            </w:r>
          </w:p>
        </w:tc>
        <w:tc>
          <w:tcPr>
            <w:tcW w:w="460" w:type="dxa"/>
            <w:vAlign w:val="center"/>
          </w:tcPr>
          <w:p w14:paraId="7165E084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</w:p>
        </w:tc>
        <w:tc>
          <w:tcPr>
            <w:tcW w:w="460" w:type="dxa"/>
            <w:vAlign w:val="center"/>
          </w:tcPr>
          <w:p w14:paraId="6C631366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</w:p>
        </w:tc>
        <w:tc>
          <w:tcPr>
            <w:tcW w:w="460" w:type="dxa"/>
            <w:vAlign w:val="center"/>
          </w:tcPr>
          <w:p w14:paraId="2FEC1C2D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</w:p>
        </w:tc>
      </w:tr>
      <w:tr w:rsidR="00AF1372" w14:paraId="65CDD61D" w14:textId="77777777" w:rsidTr="001A6825">
        <w:trPr>
          <w:jc w:val="center"/>
        </w:trPr>
        <w:tc>
          <w:tcPr>
            <w:tcW w:w="2538" w:type="dxa"/>
          </w:tcPr>
          <w:p w14:paraId="2F712FDE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DOT</w:t>
            </w:r>
          </w:p>
        </w:tc>
        <w:tc>
          <w:tcPr>
            <w:tcW w:w="341" w:type="dxa"/>
            <w:vAlign w:val="center"/>
          </w:tcPr>
          <w:p w14:paraId="24463071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x</w:t>
            </w:r>
          </w:p>
        </w:tc>
        <w:tc>
          <w:tcPr>
            <w:tcW w:w="360" w:type="dxa"/>
            <w:vAlign w:val="center"/>
          </w:tcPr>
          <w:p w14:paraId="33BD1BE5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x</w:t>
            </w:r>
          </w:p>
        </w:tc>
        <w:tc>
          <w:tcPr>
            <w:tcW w:w="360" w:type="dxa"/>
            <w:vAlign w:val="center"/>
          </w:tcPr>
          <w:p w14:paraId="78E3E68C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x</w:t>
            </w:r>
          </w:p>
        </w:tc>
        <w:tc>
          <w:tcPr>
            <w:tcW w:w="360" w:type="dxa"/>
            <w:vAlign w:val="center"/>
          </w:tcPr>
          <w:p w14:paraId="5A107834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x</w:t>
            </w:r>
          </w:p>
        </w:tc>
        <w:tc>
          <w:tcPr>
            <w:tcW w:w="360" w:type="dxa"/>
            <w:vAlign w:val="center"/>
          </w:tcPr>
          <w:p w14:paraId="44E039BC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x</w:t>
            </w:r>
          </w:p>
        </w:tc>
        <w:tc>
          <w:tcPr>
            <w:tcW w:w="360" w:type="dxa"/>
            <w:vAlign w:val="center"/>
          </w:tcPr>
          <w:p w14:paraId="6913A8C7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x</w:t>
            </w:r>
          </w:p>
        </w:tc>
        <w:tc>
          <w:tcPr>
            <w:tcW w:w="360" w:type="dxa"/>
            <w:vAlign w:val="center"/>
          </w:tcPr>
          <w:p w14:paraId="323EBF13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x</w:t>
            </w:r>
          </w:p>
        </w:tc>
        <w:tc>
          <w:tcPr>
            <w:tcW w:w="360" w:type="dxa"/>
            <w:vAlign w:val="center"/>
          </w:tcPr>
          <w:p w14:paraId="2C34FB25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x</w:t>
            </w:r>
          </w:p>
        </w:tc>
        <w:tc>
          <w:tcPr>
            <w:tcW w:w="360" w:type="dxa"/>
            <w:vAlign w:val="center"/>
          </w:tcPr>
          <w:p w14:paraId="0793799C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x</w:t>
            </w:r>
          </w:p>
        </w:tc>
        <w:tc>
          <w:tcPr>
            <w:tcW w:w="460" w:type="dxa"/>
            <w:vAlign w:val="center"/>
          </w:tcPr>
          <w:p w14:paraId="3FAD0DDE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x</w:t>
            </w:r>
          </w:p>
        </w:tc>
        <w:tc>
          <w:tcPr>
            <w:tcW w:w="460" w:type="dxa"/>
            <w:vAlign w:val="center"/>
          </w:tcPr>
          <w:p w14:paraId="6CF9E054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x</w:t>
            </w:r>
          </w:p>
        </w:tc>
        <w:tc>
          <w:tcPr>
            <w:tcW w:w="460" w:type="dxa"/>
            <w:vAlign w:val="center"/>
          </w:tcPr>
          <w:p w14:paraId="491FD8D2" w14:textId="77777777" w:rsidR="00AF1372" w:rsidRDefault="00AF1372" w:rsidP="001A6825">
            <w:pPr>
              <w:rPr>
                <w:rFonts w:asciiTheme="minorHAnsi" w:hAnsiTheme="minorHAnsi" w:cs="Adobe Garamond Pro"/>
                <w:color w:val="000000"/>
              </w:rPr>
            </w:pPr>
            <w:r>
              <w:rPr>
                <w:rFonts w:asciiTheme="minorHAnsi" w:hAnsiTheme="minorHAnsi" w:cs="Adobe Garamond Pro"/>
                <w:color w:val="000000"/>
              </w:rPr>
              <w:t>x</w:t>
            </w:r>
          </w:p>
        </w:tc>
      </w:tr>
    </w:tbl>
    <w:p w14:paraId="249C10F8" w14:textId="77777777" w:rsidR="00AF1372" w:rsidRPr="00054929" w:rsidRDefault="00AF1372" w:rsidP="00AF1372">
      <w:pPr>
        <w:rPr>
          <w:rFonts w:asciiTheme="minorHAnsi" w:hAnsiTheme="minorHAnsi" w:cs="Adobe Garamond Pro"/>
          <w:color w:val="000000"/>
        </w:rPr>
      </w:pPr>
    </w:p>
    <w:p w14:paraId="1243CC4B" w14:textId="77777777" w:rsidR="00AF1372" w:rsidRPr="00054929" w:rsidRDefault="00AF1372" w:rsidP="00AF1372">
      <w:pPr>
        <w:rPr>
          <w:rFonts w:asciiTheme="minorHAnsi" w:hAnsiTheme="minorHAnsi" w:cs="Adobe Garamond Pro"/>
          <w:b/>
          <w:color w:val="000000"/>
        </w:rPr>
      </w:pPr>
      <w:r w:rsidRPr="00054929">
        <w:rPr>
          <w:rFonts w:asciiTheme="minorHAnsi" w:hAnsiTheme="minorHAnsi" w:cs="Adobe Garamond Pro"/>
          <w:b/>
          <w:color w:val="000000"/>
        </w:rPr>
        <w:t>Special precautions</w:t>
      </w:r>
    </w:p>
    <w:p w14:paraId="4E0116B0" w14:textId="77777777" w:rsidR="00AF1372" w:rsidRDefault="00AF1372" w:rsidP="00AF1372">
      <w:pPr>
        <w:ind w:left="360"/>
        <w:rPr>
          <w:rFonts w:asciiTheme="minorHAnsi" w:hAnsiTheme="minorHAnsi"/>
        </w:rPr>
      </w:pPr>
      <w:proofErr w:type="spellStart"/>
      <w:r w:rsidRPr="00054929">
        <w:rPr>
          <w:rFonts w:asciiTheme="minorHAnsi" w:hAnsiTheme="minorHAnsi" w:cs="Adobe Garamond Pro"/>
          <w:i/>
          <w:color w:val="000000"/>
        </w:rPr>
        <w:t>Rifapentine</w:t>
      </w:r>
      <w:proofErr w:type="spellEnd"/>
      <w:r w:rsidRPr="00054929">
        <w:rPr>
          <w:rFonts w:asciiTheme="minorHAnsi" w:hAnsiTheme="minorHAnsi" w:cs="Adobe Garamond Pro"/>
          <w:i/>
          <w:color w:val="000000"/>
        </w:rPr>
        <w:t>, like rifampin</w:t>
      </w:r>
      <w:r w:rsidRPr="00054929">
        <w:rPr>
          <w:rFonts w:asciiTheme="minorHAnsi" w:hAnsiTheme="minorHAnsi" w:cs="Adobe Garamond Pro"/>
          <w:i/>
        </w:rPr>
        <w:t xml:space="preserve">, </w:t>
      </w:r>
      <w:r w:rsidRPr="00054929">
        <w:rPr>
          <w:rFonts w:asciiTheme="minorHAnsi" w:hAnsiTheme="minorHAnsi"/>
          <w:i/>
        </w:rPr>
        <w:t>affects the metabolism of many drugs</w:t>
      </w:r>
      <w:r w:rsidRPr="00054929">
        <w:rPr>
          <w:rFonts w:asciiTheme="minorHAnsi" w:hAnsiTheme="minorHAnsi"/>
        </w:rPr>
        <w:t xml:space="preserve">, such as hormonal contraceptives, antidepressants, oral anticonvulsants, </w:t>
      </w:r>
      <w:proofErr w:type="spellStart"/>
      <w:r>
        <w:rPr>
          <w:rFonts w:asciiTheme="minorHAnsi" w:hAnsiTheme="minorHAnsi"/>
        </w:rPr>
        <w:t>antihypertensives</w:t>
      </w:r>
      <w:proofErr w:type="spellEnd"/>
      <w:r>
        <w:rPr>
          <w:rFonts w:asciiTheme="minorHAnsi" w:hAnsiTheme="minorHAnsi"/>
        </w:rPr>
        <w:t xml:space="preserve">, </w:t>
      </w:r>
      <w:r w:rsidRPr="00054929">
        <w:rPr>
          <w:rFonts w:asciiTheme="minorHAnsi" w:hAnsiTheme="minorHAnsi"/>
        </w:rPr>
        <w:t>antiarrhythmic drugs, oral anticoagulants, methadone, and others. Appropriate adjustments must be made</w:t>
      </w:r>
      <w:r>
        <w:rPr>
          <w:rFonts w:asciiTheme="minorHAnsi" w:hAnsiTheme="minorHAnsi"/>
        </w:rPr>
        <w:t>,</w:t>
      </w:r>
      <w:r w:rsidRPr="00054929">
        <w:rPr>
          <w:rFonts w:asciiTheme="minorHAnsi" w:hAnsiTheme="minorHAnsi"/>
        </w:rPr>
        <w:t xml:space="preserve"> if treatment with </w:t>
      </w:r>
      <w:proofErr w:type="spellStart"/>
      <w:r>
        <w:rPr>
          <w:rFonts w:asciiTheme="minorHAnsi" w:hAnsiTheme="minorHAnsi"/>
        </w:rPr>
        <w:t>Rifapentine</w:t>
      </w:r>
      <w:proofErr w:type="spellEnd"/>
      <w:r w:rsidRPr="00054929">
        <w:rPr>
          <w:rFonts w:asciiTheme="minorHAnsi" w:hAnsiTheme="minorHAnsi"/>
        </w:rPr>
        <w:t xml:space="preserve"> is being considered.</w:t>
      </w:r>
    </w:p>
    <w:p w14:paraId="1AD035AE" w14:textId="77777777" w:rsidR="00AF1372" w:rsidRDefault="00AF1372" w:rsidP="00AF1372">
      <w:pPr>
        <w:ind w:left="360"/>
        <w:rPr>
          <w:rFonts w:asciiTheme="minorHAnsi" w:hAnsiTheme="minorHAnsi" w:cs="Adobe Garamond Pro"/>
        </w:rPr>
      </w:pPr>
    </w:p>
    <w:p w14:paraId="40A82296" w14:textId="77777777" w:rsidR="00AF1372" w:rsidRPr="000A610E" w:rsidRDefault="00AF1372" w:rsidP="00AF1372">
      <w:pPr>
        <w:ind w:left="360"/>
        <w:rPr>
          <w:rFonts w:asciiTheme="minorHAnsi" w:hAnsiTheme="minorHAnsi" w:cs="Adobe Garamond Pro"/>
        </w:rPr>
      </w:pPr>
      <w:r>
        <w:rPr>
          <w:rFonts w:asciiTheme="minorHAnsi" w:hAnsiTheme="minorHAnsi" w:cs="Adobe Garamond Pro"/>
        </w:rPr>
        <w:t xml:space="preserve">Patients over the age of 35 years are at increased risk of </w:t>
      </w:r>
      <w:proofErr w:type="spellStart"/>
      <w:r>
        <w:rPr>
          <w:rFonts w:asciiTheme="minorHAnsi" w:hAnsiTheme="minorHAnsi" w:cs="Adobe Garamond Pro"/>
        </w:rPr>
        <w:t>hepatoxicity</w:t>
      </w:r>
      <w:proofErr w:type="spellEnd"/>
      <w:r>
        <w:rPr>
          <w:rFonts w:asciiTheme="minorHAnsi" w:hAnsiTheme="minorHAnsi" w:cs="Adobe Garamond Pro"/>
        </w:rPr>
        <w:t>.</w:t>
      </w:r>
    </w:p>
    <w:p w14:paraId="0D43AE2F" w14:textId="77777777" w:rsidR="00AF1372" w:rsidRPr="00054929" w:rsidRDefault="00AF1372" w:rsidP="00AF1372">
      <w:pPr>
        <w:rPr>
          <w:rFonts w:asciiTheme="minorHAnsi" w:hAnsiTheme="minorHAnsi" w:cs="Adobe Garamond Pro"/>
        </w:rPr>
      </w:pPr>
      <w:r w:rsidRPr="00054929">
        <w:rPr>
          <w:rFonts w:asciiTheme="minorHAnsi" w:hAnsiTheme="minorHAnsi"/>
          <w:b/>
        </w:rPr>
        <w:t xml:space="preserve"> </w:t>
      </w:r>
    </w:p>
    <w:p w14:paraId="53F00B96" w14:textId="77777777" w:rsidR="00167C0B" w:rsidRDefault="00167C0B">
      <w:pPr>
        <w:rPr>
          <w:rFonts w:asciiTheme="minorHAnsi" w:hAnsiTheme="minorHAnsi" w:cs="Arial"/>
          <w:b/>
          <w:bCs/>
          <w:color w:val="365F91"/>
          <w:sz w:val="32"/>
          <w:szCs w:val="32"/>
        </w:rPr>
      </w:pPr>
      <w:r>
        <w:rPr>
          <w:rFonts w:asciiTheme="minorHAnsi" w:hAnsiTheme="minorHAnsi" w:cs="Arial"/>
          <w:b/>
          <w:bCs/>
          <w:color w:val="365F91"/>
          <w:sz w:val="32"/>
          <w:szCs w:val="32"/>
        </w:rPr>
        <w:br w:type="page"/>
      </w:r>
    </w:p>
    <w:p w14:paraId="12EF8B20" w14:textId="5659F3EF" w:rsidR="00AF1372" w:rsidRPr="007173C7" w:rsidRDefault="00AF1372" w:rsidP="00AF1372">
      <w:pPr>
        <w:keepLines/>
        <w:pBdr>
          <w:bottom w:val="single" w:sz="18" w:space="5" w:color="BFBFBF"/>
        </w:pBdr>
        <w:tabs>
          <w:tab w:val="right" w:pos="10440"/>
        </w:tabs>
        <w:spacing w:before="360"/>
        <w:ind w:right="-360" w:hanging="360"/>
        <w:rPr>
          <w:rFonts w:asciiTheme="minorHAnsi" w:hAnsiTheme="minorHAnsi" w:cs="Arial"/>
          <w:b/>
          <w:bCs/>
          <w:color w:val="365F91"/>
          <w:sz w:val="32"/>
          <w:szCs w:val="32"/>
        </w:rPr>
      </w:pPr>
      <w:r>
        <w:rPr>
          <w:rFonts w:asciiTheme="minorHAnsi" w:hAnsiTheme="minorHAnsi" w:cs="Arial"/>
          <w:b/>
          <w:bCs/>
          <w:color w:val="365F91"/>
          <w:sz w:val="32"/>
          <w:szCs w:val="32"/>
        </w:rPr>
        <w:lastRenderedPageBreak/>
        <w:t>RIFAMPIN (R</w:t>
      </w:r>
      <w:r w:rsidR="00B81FFD">
        <w:rPr>
          <w:rFonts w:asciiTheme="minorHAnsi" w:hAnsiTheme="minorHAnsi" w:cs="Arial"/>
          <w:b/>
          <w:bCs/>
          <w:color w:val="365F91"/>
          <w:sz w:val="32"/>
          <w:szCs w:val="32"/>
        </w:rPr>
        <w:t>IF</w:t>
      </w:r>
      <w:r>
        <w:rPr>
          <w:rFonts w:asciiTheme="minorHAnsi" w:hAnsiTheme="minorHAnsi" w:cs="Arial"/>
          <w:b/>
          <w:bCs/>
          <w:color w:val="365F91"/>
          <w:sz w:val="32"/>
          <w:szCs w:val="32"/>
        </w:rPr>
        <w:t>): 4 months, daily, self-administered</w:t>
      </w:r>
      <w:r w:rsidRPr="007173C7">
        <w:rPr>
          <w:rFonts w:asciiTheme="minorHAnsi" w:hAnsiTheme="minorHAnsi" w:cs="Arial"/>
          <w:b/>
          <w:bCs/>
          <w:color w:val="365F91"/>
          <w:sz w:val="32"/>
          <w:szCs w:val="32"/>
        </w:rPr>
        <w:t xml:space="preserve">                                                                                                                             </w:t>
      </w:r>
    </w:p>
    <w:p w14:paraId="0AB909CB" w14:textId="77777777" w:rsidR="00AF1372" w:rsidRPr="00365E34" w:rsidRDefault="00AF1372" w:rsidP="00AF1372">
      <w:pPr>
        <w:autoSpaceDE w:val="0"/>
        <w:autoSpaceDN w:val="0"/>
        <w:adjustRightInd w:val="0"/>
        <w:rPr>
          <w:rFonts w:ascii="Garamond-BookCondensed" w:eastAsia="Times New Roman" w:hAnsi="Garamond-BookCondensed" w:cs="Garamond-BookCondensed"/>
          <w:sz w:val="20"/>
          <w:szCs w:val="20"/>
        </w:rPr>
      </w:pPr>
    </w:p>
    <w:p w14:paraId="4071F45A" w14:textId="77777777" w:rsidR="00AF1372" w:rsidRDefault="00AF1372" w:rsidP="00AF1372">
      <w:pPr>
        <w:rPr>
          <w:rFonts w:asciiTheme="minorHAnsi" w:hAnsiTheme="minorHAnsi"/>
        </w:rPr>
      </w:pPr>
      <w:r w:rsidRPr="00A806F3">
        <w:rPr>
          <w:rFonts w:asciiTheme="minorHAnsi" w:hAnsiTheme="minorHAnsi"/>
          <w:b/>
        </w:rPr>
        <w:t>Recommended for</w:t>
      </w:r>
      <w:r>
        <w:rPr>
          <w:rFonts w:asciiTheme="minorHAnsi" w:hAnsiTheme="minorHAnsi"/>
        </w:rPr>
        <w:t xml:space="preserve">: </w:t>
      </w:r>
    </w:p>
    <w:p w14:paraId="6EB7F7D6" w14:textId="77777777" w:rsidR="00AF1372" w:rsidRDefault="00AF1372" w:rsidP="00AF137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Persons who reliably can take self-administered, daily therapy and have no contraindications to taking Rifampin or any </w:t>
      </w:r>
      <w:proofErr w:type="spellStart"/>
      <w:r>
        <w:rPr>
          <w:rFonts w:asciiTheme="minorHAnsi" w:hAnsiTheme="minorHAnsi"/>
        </w:rPr>
        <w:t>rifamycin</w:t>
      </w:r>
      <w:proofErr w:type="spellEnd"/>
      <w:r>
        <w:rPr>
          <w:rFonts w:asciiTheme="minorHAnsi" w:hAnsiTheme="minorHAnsi"/>
        </w:rPr>
        <w:t xml:space="preserve"> medication.  May be used in pregnant women and in children. </w:t>
      </w:r>
    </w:p>
    <w:p w14:paraId="22ABB019" w14:textId="77777777" w:rsidR="00AF1372" w:rsidRDefault="00AF1372" w:rsidP="00AF1372">
      <w:pPr>
        <w:rPr>
          <w:rFonts w:asciiTheme="minorHAnsi" w:hAnsiTheme="minorHAnsi"/>
        </w:rPr>
      </w:pPr>
    </w:p>
    <w:p w14:paraId="2F8F8387" w14:textId="77777777" w:rsidR="00AF1372" w:rsidRDefault="00AF1372" w:rsidP="00AF1372">
      <w:pPr>
        <w:rPr>
          <w:rFonts w:asciiTheme="minorHAnsi" w:hAnsiTheme="minorHAnsi"/>
        </w:rPr>
      </w:pPr>
      <w:r w:rsidRPr="00A806F3">
        <w:rPr>
          <w:rFonts w:asciiTheme="minorHAnsi" w:hAnsiTheme="minorHAnsi"/>
          <w:b/>
        </w:rPr>
        <w:t>Dosing</w:t>
      </w:r>
      <w:r>
        <w:rPr>
          <w:rFonts w:asciiTheme="minorHAnsi" w:hAnsiTheme="minorHAnsi"/>
        </w:rPr>
        <w:t xml:space="preserve">: </w:t>
      </w:r>
    </w:p>
    <w:p w14:paraId="2FB5A0B8" w14:textId="77777777" w:rsidR="00AF1372" w:rsidRDefault="00AF1372" w:rsidP="00AF1372">
      <w:pPr>
        <w:ind w:left="72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Adults: 10mg/kg/d weight-based; maximum 600mg/day </w:t>
      </w:r>
    </w:p>
    <w:p w14:paraId="65E3820A" w14:textId="77777777" w:rsidR="00AF1372" w:rsidRDefault="00AF1372" w:rsidP="00AF1372">
      <w:pPr>
        <w:ind w:left="720" w:hanging="360"/>
        <w:rPr>
          <w:rFonts w:asciiTheme="minorHAnsi" w:hAnsiTheme="minorHAnsi"/>
        </w:rPr>
      </w:pPr>
      <w:r>
        <w:rPr>
          <w:rFonts w:asciiTheme="minorHAnsi" w:hAnsiTheme="minorHAnsi"/>
        </w:rPr>
        <w:t>Children &lt;12 years: 10-20 mg/kg/d weight-based; maximum 600mg/day</w:t>
      </w:r>
    </w:p>
    <w:p w14:paraId="6400B99C" w14:textId="77777777" w:rsidR="00AF1372" w:rsidRDefault="00AF1372" w:rsidP="00AF1372">
      <w:pPr>
        <w:rPr>
          <w:rFonts w:asciiTheme="minorHAnsi" w:hAnsiTheme="minorHAnsi"/>
        </w:rPr>
      </w:pPr>
    </w:p>
    <w:p w14:paraId="0ADD78CE" w14:textId="77777777" w:rsidR="00AF1372" w:rsidRDefault="00AF1372" w:rsidP="00AF1372">
      <w:pPr>
        <w:rPr>
          <w:rFonts w:asciiTheme="minorHAnsi" w:hAnsiTheme="minorHAnsi"/>
        </w:rPr>
      </w:pPr>
      <w:r w:rsidRPr="00A806F3">
        <w:rPr>
          <w:rFonts w:asciiTheme="minorHAnsi" w:hAnsiTheme="minorHAnsi"/>
          <w:b/>
        </w:rPr>
        <w:t>Administration</w:t>
      </w:r>
      <w:r>
        <w:rPr>
          <w:rFonts w:asciiTheme="minorHAnsi" w:hAnsiTheme="minorHAnsi"/>
        </w:rPr>
        <w:t xml:space="preserve">: </w:t>
      </w:r>
    </w:p>
    <w:p w14:paraId="6D703639" w14:textId="77777777" w:rsidR="00AF1372" w:rsidRDefault="00AF1372" w:rsidP="00AF1372">
      <w:pPr>
        <w:ind w:left="720" w:hanging="360"/>
        <w:rPr>
          <w:rFonts w:asciiTheme="minorHAnsi" w:hAnsiTheme="minorHAnsi"/>
        </w:rPr>
      </w:pPr>
      <w:r>
        <w:rPr>
          <w:rFonts w:asciiTheme="minorHAnsi" w:hAnsiTheme="minorHAnsi"/>
        </w:rPr>
        <w:t>Once daily, self-administered.</w:t>
      </w:r>
    </w:p>
    <w:p w14:paraId="04DD1C2D" w14:textId="77777777" w:rsidR="00AF1372" w:rsidRDefault="00AF1372" w:rsidP="00AF1372">
      <w:pPr>
        <w:ind w:left="720" w:hanging="360"/>
        <w:rPr>
          <w:rFonts w:asciiTheme="minorHAnsi" w:hAnsiTheme="minorHAnsi"/>
        </w:rPr>
      </w:pPr>
    </w:p>
    <w:p w14:paraId="318E9A61" w14:textId="77777777" w:rsidR="00AF1372" w:rsidRDefault="00AF1372" w:rsidP="00AF1372">
      <w:pPr>
        <w:rPr>
          <w:rFonts w:asciiTheme="minorHAnsi" w:hAnsiTheme="minorHAnsi" w:cs="Adobe Garamond Pro"/>
          <w:b/>
        </w:rPr>
      </w:pPr>
      <w:r>
        <w:rPr>
          <w:rFonts w:asciiTheme="minorHAnsi" w:hAnsiTheme="minorHAnsi" w:cs="Adobe Garamond Pro"/>
          <w:b/>
        </w:rPr>
        <w:t xml:space="preserve">Important </w:t>
      </w:r>
      <w:r w:rsidRPr="00521D53">
        <w:rPr>
          <w:rFonts w:asciiTheme="minorHAnsi" w:hAnsiTheme="minorHAnsi" w:cs="Adobe Garamond Pro"/>
          <w:b/>
        </w:rPr>
        <w:t>Side Effects</w:t>
      </w:r>
      <w:r>
        <w:rPr>
          <w:rFonts w:asciiTheme="minorHAnsi" w:hAnsiTheme="minorHAnsi" w:cs="Adobe Garamond Pro"/>
          <w:b/>
        </w:rPr>
        <w:t xml:space="preserve"> and Adverse Reactions</w:t>
      </w:r>
    </w:p>
    <w:p w14:paraId="46C53F46" w14:textId="77777777" w:rsidR="00AF1372" w:rsidRDefault="00AF1372" w:rsidP="00AF1372">
      <w:pPr>
        <w:ind w:left="720"/>
        <w:rPr>
          <w:rFonts w:asciiTheme="minorHAnsi" w:hAnsiTheme="minorHAnsi"/>
        </w:rPr>
      </w:pPr>
      <w:r w:rsidRPr="00521D53">
        <w:rPr>
          <w:rFonts w:asciiTheme="minorHAnsi" w:hAnsiTheme="minorHAnsi" w:cs="Adobe Garamond Pro"/>
        </w:rPr>
        <w:t>Hepatitis</w:t>
      </w:r>
      <w:r>
        <w:rPr>
          <w:rFonts w:asciiTheme="minorHAnsi" w:hAnsiTheme="minorHAnsi" w:cs="Adobe Garamond Pro"/>
        </w:rPr>
        <w:t xml:space="preserve"> (occult or symptomatic), thrombocytopenia</w:t>
      </w:r>
      <w:r w:rsidRPr="00521D53">
        <w:rPr>
          <w:rFonts w:asciiTheme="minorHAnsi" w:hAnsiTheme="minorHAnsi" w:cs="Adobe Garamond Pro"/>
        </w:rPr>
        <w:t xml:space="preserve">, </w:t>
      </w:r>
      <w:r>
        <w:rPr>
          <w:rFonts w:asciiTheme="minorHAnsi" w:hAnsiTheme="minorHAnsi" w:cs="Adobe Garamond Pro"/>
        </w:rPr>
        <w:t>nausea, vomiting, rash, discoloration of body fluids (including tears, with possible staining of soft contact lenses), drug interactions (see below).</w:t>
      </w:r>
    </w:p>
    <w:p w14:paraId="18193793" w14:textId="77777777" w:rsidR="00AF1372" w:rsidRDefault="00AF1372" w:rsidP="00AF1372">
      <w:pPr>
        <w:rPr>
          <w:rFonts w:asciiTheme="minorHAnsi" w:hAnsiTheme="minorHAnsi"/>
          <w:b/>
        </w:rPr>
      </w:pPr>
    </w:p>
    <w:p w14:paraId="1A75BF66" w14:textId="77777777" w:rsidR="00AF1372" w:rsidRDefault="00AF1372" w:rsidP="00AF1372">
      <w:pPr>
        <w:rPr>
          <w:rFonts w:asciiTheme="minorHAnsi" w:hAnsiTheme="minorHAnsi"/>
        </w:rPr>
      </w:pPr>
      <w:r w:rsidRPr="00A806F3">
        <w:rPr>
          <w:rFonts w:asciiTheme="minorHAnsi" w:hAnsiTheme="minorHAnsi"/>
          <w:b/>
        </w:rPr>
        <w:t>Monitoring</w:t>
      </w:r>
      <w:r>
        <w:rPr>
          <w:rFonts w:asciiTheme="minorHAnsi" w:hAnsiTheme="minorHAnsi"/>
        </w:rPr>
        <w:t xml:space="preserve">: </w:t>
      </w:r>
    </w:p>
    <w:p w14:paraId="323C59FD" w14:textId="77777777" w:rsidR="00AF1372" w:rsidRPr="00FC6625" w:rsidRDefault="00AF1372" w:rsidP="00AF1372">
      <w:pPr>
        <w:ind w:left="360"/>
        <w:rPr>
          <w:rFonts w:asciiTheme="minorHAnsi" w:hAnsiTheme="minorHAnsi" w:cs="Adobe Garamond Pro"/>
        </w:rPr>
      </w:pPr>
      <w:r w:rsidRPr="00FC6625">
        <w:rPr>
          <w:rFonts w:asciiTheme="minorHAnsi" w:hAnsiTheme="minorHAnsi" w:cs="Adobe Garamond Pro"/>
        </w:rPr>
        <w:t>Patients must understand adherence and safety issues</w:t>
      </w:r>
      <w:r>
        <w:rPr>
          <w:rFonts w:asciiTheme="minorHAnsi" w:hAnsiTheme="minorHAnsi" w:cs="Adobe Garamond Pro"/>
        </w:rPr>
        <w:t xml:space="preserve">. Patients should be instructed </w:t>
      </w:r>
      <w:r w:rsidRPr="00FC6625">
        <w:rPr>
          <w:rFonts w:asciiTheme="minorHAnsi" w:hAnsiTheme="minorHAnsi" w:cs="Adobe Garamond Pro"/>
        </w:rPr>
        <w:t>to hold treatment</w:t>
      </w:r>
      <w:r>
        <w:rPr>
          <w:rFonts w:asciiTheme="minorHAnsi" w:hAnsiTheme="minorHAnsi" w:cs="Adobe Garamond Pro"/>
        </w:rPr>
        <w:t xml:space="preserve"> </w:t>
      </w:r>
      <w:r w:rsidRPr="00FC6625">
        <w:rPr>
          <w:rFonts w:asciiTheme="minorHAnsi" w:hAnsiTheme="minorHAnsi" w:cs="Adobe Garamond Pro"/>
        </w:rPr>
        <w:t xml:space="preserve">and </w:t>
      </w:r>
      <w:r>
        <w:rPr>
          <w:rFonts w:asciiTheme="minorHAnsi" w:hAnsiTheme="minorHAnsi" w:cs="Adobe Garamond Pro"/>
        </w:rPr>
        <w:t xml:space="preserve">to </w:t>
      </w:r>
      <w:r w:rsidRPr="00FC6625">
        <w:rPr>
          <w:rFonts w:asciiTheme="minorHAnsi" w:hAnsiTheme="minorHAnsi" w:cs="Adobe Garamond Pro"/>
        </w:rPr>
        <w:t xml:space="preserve">contact </w:t>
      </w:r>
      <w:r>
        <w:rPr>
          <w:rFonts w:asciiTheme="minorHAnsi" w:hAnsiTheme="minorHAnsi" w:cs="Adobe Garamond Pro"/>
        </w:rPr>
        <w:t xml:space="preserve">their medical </w:t>
      </w:r>
      <w:r w:rsidRPr="00FC6625">
        <w:rPr>
          <w:rFonts w:asciiTheme="minorHAnsi" w:hAnsiTheme="minorHAnsi" w:cs="Adobe Garamond Pro"/>
        </w:rPr>
        <w:t>provider if adverse effects are suspected.</w:t>
      </w:r>
    </w:p>
    <w:p w14:paraId="5054FFA6" w14:textId="77777777" w:rsidR="00AF1372" w:rsidRDefault="00AF1372" w:rsidP="00AF1372">
      <w:pPr>
        <w:ind w:left="360"/>
        <w:rPr>
          <w:rFonts w:asciiTheme="minorHAnsi" w:hAnsiTheme="minorHAnsi" w:cs="Adobe Garamond Pro"/>
          <w:color w:val="000000"/>
        </w:rPr>
      </w:pPr>
    </w:p>
    <w:p w14:paraId="67E05ABE" w14:textId="77777777" w:rsidR="00AF1372" w:rsidRPr="00023A53" w:rsidRDefault="00AF1372" w:rsidP="00AF1372">
      <w:pPr>
        <w:ind w:left="360"/>
        <w:rPr>
          <w:rFonts w:asciiTheme="minorHAnsi" w:hAnsiTheme="minorHAnsi" w:cs="Adobe Garamond Pro"/>
          <w:color w:val="000000"/>
        </w:rPr>
      </w:pPr>
      <w:r w:rsidRPr="00023A53">
        <w:rPr>
          <w:rFonts w:asciiTheme="minorHAnsi" w:hAnsiTheme="minorHAnsi" w:cs="Adobe Garamond Pro"/>
          <w:color w:val="000000"/>
        </w:rPr>
        <w:t xml:space="preserve">Patients should undergo a </w:t>
      </w:r>
      <w:r w:rsidRPr="00D94F07">
        <w:rPr>
          <w:rFonts w:asciiTheme="minorHAnsi" w:hAnsiTheme="minorHAnsi" w:cs="Adobe Garamond Pro"/>
          <w:i/>
          <w:color w:val="000000"/>
        </w:rPr>
        <w:t>clinical assessment</w:t>
      </w:r>
      <w:r w:rsidRPr="00023A53">
        <w:rPr>
          <w:rFonts w:asciiTheme="minorHAnsi" w:hAnsiTheme="minorHAnsi" w:cs="Adobe Garamond Pro"/>
          <w:color w:val="000000"/>
        </w:rPr>
        <w:t xml:space="preserve"> </w:t>
      </w:r>
      <w:r w:rsidRPr="00D94F07">
        <w:rPr>
          <w:rFonts w:asciiTheme="minorHAnsi" w:hAnsiTheme="minorHAnsi" w:cs="Adobe Garamond Pro"/>
          <w:i/>
          <w:color w:val="000000"/>
        </w:rPr>
        <w:t xml:space="preserve">at </w:t>
      </w:r>
      <w:r w:rsidRPr="00D94F07">
        <w:rPr>
          <w:rFonts w:asciiTheme="minorHAnsi" w:hAnsiTheme="minorHAnsi" w:cs="Adobe Garamond Pro"/>
          <w:i/>
        </w:rPr>
        <w:t xml:space="preserve">least </w:t>
      </w:r>
      <w:r w:rsidRPr="00B128C3">
        <w:rPr>
          <w:rFonts w:asciiTheme="minorHAnsi" w:hAnsiTheme="minorHAnsi" w:cs="Adobe Garamond Pro"/>
        </w:rPr>
        <w:t>monthly by a health care provider</w:t>
      </w:r>
      <w:r w:rsidRPr="00023A53">
        <w:rPr>
          <w:rFonts w:asciiTheme="minorHAnsi" w:hAnsiTheme="minorHAnsi" w:cs="Adobe Garamond Pro"/>
        </w:rPr>
        <w:t xml:space="preserve">, </w:t>
      </w:r>
      <w:r w:rsidRPr="00023A53">
        <w:rPr>
          <w:rFonts w:asciiTheme="minorHAnsi" w:hAnsiTheme="minorHAnsi" w:cs="Adobe Garamond Pro"/>
          <w:color w:val="000000"/>
        </w:rPr>
        <w:t xml:space="preserve">including inquiries about side effects and a physical examination. </w:t>
      </w:r>
    </w:p>
    <w:p w14:paraId="25062A41" w14:textId="77777777" w:rsidR="00AF1372" w:rsidRDefault="00AF1372" w:rsidP="00AF1372">
      <w:pPr>
        <w:ind w:left="1080"/>
        <w:rPr>
          <w:rFonts w:asciiTheme="minorHAnsi" w:hAnsiTheme="minorHAnsi" w:cs="Adobe Garamond Pro"/>
          <w:color w:val="000000"/>
        </w:rPr>
      </w:pPr>
    </w:p>
    <w:p w14:paraId="788FC36C" w14:textId="77777777" w:rsidR="00AF1372" w:rsidRDefault="00AF1372" w:rsidP="00AF1372">
      <w:pPr>
        <w:ind w:left="360"/>
        <w:rPr>
          <w:rFonts w:asciiTheme="minorHAnsi" w:hAnsiTheme="minorHAnsi" w:cs="Adobe Garamond Pro"/>
          <w:color w:val="000000"/>
        </w:rPr>
      </w:pPr>
      <w:r w:rsidRPr="00054929">
        <w:rPr>
          <w:rFonts w:asciiTheme="minorHAnsi" w:hAnsiTheme="minorHAnsi" w:cs="Adobe Garamond Pro"/>
          <w:color w:val="000000"/>
        </w:rPr>
        <w:t>Blood tests (CBC</w:t>
      </w:r>
      <w:r>
        <w:rPr>
          <w:rFonts w:asciiTheme="minorHAnsi" w:hAnsiTheme="minorHAnsi" w:cs="Adobe Garamond Pro"/>
          <w:color w:val="000000"/>
        </w:rPr>
        <w:t>/platelets</w:t>
      </w:r>
      <w:r w:rsidRPr="00054929">
        <w:rPr>
          <w:rFonts w:asciiTheme="minorHAnsi" w:hAnsiTheme="minorHAnsi" w:cs="Adobe Garamond Pro"/>
          <w:color w:val="000000"/>
        </w:rPr>
        <w:t xml:space="preserve"> and hepatic enzymes) are recom</w:t>
      </w:r>
      <w:r w:rsidRPr="00054929">
        <w:rPr>
          <w:rFonts w:asciiTheme="minorHAnsi" w:hAnsiTheme="minorHAnsi" w:cs="Adobe Garamond Pro"/>
          <w:color w:val="000000"/>
        </w:rPr>
        <w:softHyphen/>
        <w:t>mended</w:t>
      </w:r>
      <w:r>
        <w:rPr>
          <w:rFonts w:asciiTheme="minorHAnsi" w:hAnsiTheme="minorHAnsi" w:cs="Adobe Garamond Pro"/>
          <w:color w:val="000000"/>
        </w:rPr>
        <w:t xml:space="preserve"> at baseline f</w:t>
      </w:r>
      <w:r w:rsidRPr="00054929">
        <w:rPr>
          <w:rFonts w:asciiTheme="minorHAnsi" w:hAnsiTheme="minorHAnsi" w:cs="Adobe Garamond Pro"/>
          <w:color w:val="000000"/>
        </w:rPr>
        <w:t xml:space="preserve">or </w:t>
      </w:r>
      <w:r>
        <w:rPr>
          <w:rFonts w:asciiTheme="minorHAnsi" w:hAnsiTheme="minorHAnsi" w:cs="Adobe Garamond Pro"/>
          <w:color w:val="000000"/>
        </w:rPr>
        <w:t xml:space="preserve">patients with HIV infection, history of liver disease, regular alcohol use, or </w:t>
      </w:r>
      <w:r w:rsidRPr="000A610E">
        <w:rPr>
          <w:rFonts w:asciiTheme="minorHAnsi" w:hAnsiTheme="minorHAnsi" w:cs="Adobe Garamond Pro"/>
          <w:color w:val="000000"/>
        </w:rPr>
        <w:t>pregnancy</w:t>
      </w:r>
      <w:r>
        <w:rPr>
          <w:rFonts w:asciiTheme="minorHAnsi" w:hAnsiTheme="minorHAnsi" w:cs="Adobe Garamond Pro"/>
          <w:color w:val="000000"/>
        </w:rPr>
        <w:t>.  The clinician may also elect to obtain baseline studies for their other patients. Repeat (or follow-up) measurements should be done if:</w:t>
      </w:r>
    </w:p>
    <w:p w14:paraId="3E48EED6" w14:textId="77777777" w:rsidR="00AF1372" w:rsidRDefault="00AF1372" w:rsidP="00AF1372">
      <w:pPr>
        <w:numPr>
          <w:ilvl w:val="1"/>
          <w:numId w:val="34"/>
        </w:numPr>
        <w:rPr>
          <w:rFonts w:asciiTheme="minorHAnsi" w:hAnsiTheme="minorHAnsi" w:cs="Adobe Garamond Pro"/>
          <w:color w:val="000000"/>
        </w:rPr>
      </w:pPr>
      <w:r>
        <w:rPr>
          <w:rFonts w:asciiTheme="minorHAnsi" w:hAnsiTheme="minorHAnsi" w:cs="Adobe Garamond Pro"/>
          <w:color w:val="000000"/>
        </w:rPr>
        <w:t>The baseline result is abnormal</w:t>
      </w:r>
    </w:p>
    <w:p w14:paraId="0EFF511A" w14:textId="77777777" w:rsidR="00AF1372" w:rsidRPr="000A610E" w:rsidRDefault="00AF1372" w:rsidP="00AF1372">
      <w:pPr>
        <w:numPr>
          <w:ilvl w:val="1"/>
          <w:numId w:val="34"/>
        </w:numPr>
        <w:rPr>
          <w:rFonts w:asciiTheme="minorHAnsi" w:hAnsiTheme="minorHAnsi" w:cs="Adobe Garamond Pro"/>
          <w:color w:val="000000"/>
        </w:rPr>
      </w:pPr>
      <w:r w:rsidRPr="000A610E">
        <w:rPr>
          <w:rFonts w:asciiTheme="minorHAnsi" w:hAnsiTheme="minorHAnsi" w:cs="Adobe Garamond Pro"/>
          <w:color w:val="000000"/>
        </w:rPr>
        <w:t>Patient is pregnant</w:t>
      </w:r>
      <w:r>
        <w:rPr>
          <w:rFonts w:asciiTheme="minorHAnsi" w:hAnsiTheme="minorHAnsi" w:cs="Adobe Garamond Pro"/>
          <w:color w:val="000000"/>
        </w:rPr>
        <w:t xml:space="preserve"> or</w:t>
      </w:r>
      <w:r w:rsidRPr="000A610E">
        <w:rPr>
          <w:rFonts w:asciiTheme="minorHAnsi" w:hAnsiTheme="minorHAnsi" w:cs="Adobe Garamond Pro"/>
          <w:color w:val="000000"/>
        </w:rPr>
        <w:t xml:space="preserve"> in the immediate postpartum period, or at high risk of adverse reactions</w:t>
      </w:r>
    </w:p>
    <w:p w14:paraId="73D6FF40" w14:textId="77777777" w:rsidR="00AF1372" w:rsidRDefault="00AF1372" w:rsidP="00AF1372">
      <w:pPr>
        <w:numPr>
          <w:ilvl w:val="1"/>
          <w:numId w:val="34"/>
        </w:numPr>
        <w:rPr>
          <w:rFonts w:asciiTheme="minorHAnsi" w:hAnsiTheme="minorHAnsi" w:cs="Adobe Garamond Pro"/>
          <w:color w:val="000000"/>
        </w:rPr>
      </w:pPr>
      <w:r>
        <w:rPr>
          <w:rFonts w:asciiTheme="minorHAnsi" w:hAnsiTheme="minorHAnsi" w:cs="Adobe Garamond Pro"/>
          <w:color w:val="000000"/>
        </w:rPr>
        <w:t>Patient has symptoms of adverse reactions</w:t>
      </w:r>
    </w:p>
    <w:p w14:paraId="1A0B2BEB" w14:textId="77777777" w:rsidR="00AF1372" w:rsidRPr="00054929" w:rsidRDefault="00AF1372" w:rsidP="00AF1372">
      <w:pPr>
        <w:ind w:left="360"/>
        <w:rPr>
          <w:rFonts w:asciiTheme="minorHAnsi" w:hAnsiTheme="minorHAnsi" w:cs="Adobe Garamond Pro"/>
          <w:color w:val="000000"/>
        </w:rPr>
      </w:pPr>
    </w:p>
    <w:p w14:paraId="39A09EFA" w14:textId="77777777" w:rsidR="00AF1372" w:rsidRPr="00FC6625" w:rsidRDefault="00AF1372" w:rsidP="00AF1372">
      <w:pPr>
        <w:rPr>
          <w:rFonts w:asciiTheme="minorHAnsi" w:hAnsiTheme="minorHAnsi" w:cs="Adobe Garamond Pro"/>
          <w:color w:val="000000"/>
        </w:rPr>
      </w:pPr>
      <w:r w:rsidRPr="00A806F3">
        <w:rPr>
          <w:rFonts w:asciiTheme="minorHAnsi" w:hAnsiTheme="minorHAnsi"/>
          <w:b/>
        </w:rPr>
        <w:t>Special precautions</w:t>
      </w:r>
      <w:r>
        <w:rPr>
          <w:rFonts w:asciiTheme="minorHAnsi" w:hAnsiTheme="minorHAnsi"/>
        </w:rPr>
        <w:t xml:space="preserve">: </w:t>
      </w:r>
    </w:p>
    <w:p w14:paraId="61FFB708" w14:textId="77777777" w:rsidR="00AF1372" w:rsidRDefault="00AF1372" w:rsidP="00AF1372">
      <w:pPr>
        <w:ind w:left="360"/>
        <w:rPr>
          <w:rFonts w:asciiTheme="minorHAnsi" w:hAnsiTheme="minorHAnsi"/>
        </w:rPr>
      </w:pPr>
      <w:r>
        <w:rPr>
          <w:rFonts w:asciiTheme="minorHAnsi" w:hAnsiTheme="minorHAnsi" w:cs="Adobe Garamond Pro"/>
          <w:i/>
          <w:color w:val="000000"/>
        </w:rPr>
        <w:t>R</w:t>
      </w:r>
      <w:r w:rsidRPr="00054929">
        <w:rPr>
          <w:rFonts w:asciiTheme="minorHAnsi" w:hAnsiTheme="minorHAnsi" w:cs="Adobe Garamond Pro"/>
          <w:i/>
          <w:color w:val="000000"/>
        </w:rPr>
        <w:t>ifampin</w:t>
      </w:r>
      <w:r>
        <w:rPr>
          <w:rFonts w:asciiTheme="minorHAnsi" w:hAnsiTheme="minorHAnsi" w:cs="Adobe Garamond Pro"/>
          <w:i/>
        </w:rPr>
        <w:t xml:space="preserve"> </w:t>
      </w:r>
      <w:r w:rsidRPr="00054929">
        <w:rPr>
          <w:rFonts w:asciiTheme="minorHAnsi" w:hAnsiTheme="minorHAnsi"/>
          <w:i/>
        </w:rPr>
        <w:t>affects the metabolism of many drugs</w:t>
      </w:r>
      <w:r w:rsidRPr="00054929">
        <w:rPr>
          <w:rFonts w:asciiTheme="minorHAnsi" w:hAnsiTheme="minorHAnsi"/>
        </w:rPr>
        <w:t xml:space="preserve">, such as hormonal contraceptives, antidepressants, oral anticonvulsants, antiarrhythmic drugs, </w:t>
      </w:r>
      <w:proofErr w:type="spellStart"/>
      <w:r>
        <w:rPr>
          <w:rFonts w:asciiTheme="minorHAnsi" w:hAnsiTheme="minorHAnsi"/>
        </w:rPr>
        <w:t>antihypertensives</w:t>
      </w:r>
      <w:proofErr w:type="spellEnd"/>
      <w:r>
        <w:rPr>
          <w:rFonts w:asciiTheme="minorHAnsi" w:hAnsiTheme="minorHAnsi"/>
        </w:rPr>
        <w:t xml:space="preserve">, </w:t>
      </w:r>
      <w:r w:rsidRPr="00054929">
        <w:rPr>
          <w:rFonts w:asciiTheme="minorHAnsi" w:hAnsiTheme="minorHAnsi"/>
        </w:rPr>
        <w:t>oral anticoagulants, methadone, and others. Appropriate adjustments</w:t>
      </w:r>
      <w:r>
        <w:rPr>
          <w:rFonts w:asciiTheme="minorHAnsi" w:hAnsiTheme="minorHAnsi"/>
        </w:rPr>
        <w:t xml:space="preserve"> must be made if treatment with rifampin</w:t>
      </w:r>
      <w:r w:rsidRPr="00054929">
        <w:rPr>
          <w:rFonts w:asciiTheme="minorHAnsi" w:hAnsiTheme="minorHAnsi"/>
        </w:rPr>
        <w:t xml:space="preserve"> is being considered.</w:t>
      </w:r>
    </w:p>
    <w:p w14:paraId="2A1DA26C" w14:textId="77777777" w:rsidR="00AF1372" w:rsidRPr="00C46FBB" w:rsidRDefault="00AF1372" w:rsidP="00AF1372">
      <w:pPr>
        <w:ind w:left="360"/>
        <w:rPr>
          <w:rFonts w:asciiTheme="minorHAnsi" w:hAnsiTheme="minorHAnsi"/>
        </w:rPr>
      </w:pPr>
    </w:p>
    <w:p w14:paraId="4DECCE05" w14:textId="77777777" w:rsidR="00AF1372" w:rsidRPr="00C46FBB" w:rsidRDefault="00AF1372" w:rsidP="00AF1372">
      <w:pPr>
        <w:ind w:left="360"/>
        <w:rPr>
          <w:rFonts w:asciiTheme="minorHAnsi" w:hAnsiTheme="minorHAnsi"/>
        </w:rPr>
      </w:pPr>
      <w:r w:rsidRPr="00C46FBB">
        <w:rPr>
          <w:rFonts w:asciiTheme="minorHAnsi" w:hAnsiTheme="minorHAnsi"/>
        </w:rPr>
        <w:t>Orange discoloration of body fluids</w:t>
      </w:r>
      <w:r>
        <w:rPr>
          <w:rFonts w:asciiTheme="minorHAnsi" w:hAnsiTheme="minorHAnsi"/>
        </w:rPr>
        <w:t>, including urine,</w:t>
      </w:r>
      <w:r w:rsidRPr="00C46FBB">
        <w:rPr>
          <w:rFonts w:asciiTheme="minorHAnsi" w:hAnsiTheme="minorHAnsi"/>
        </w:rPr>
        <w:t xml:space="preserve"> is expected and harmless, but patients should be advised beforehand. Soft contact lenses and dentures may be permanently stained.</w:t>
      </w:r>
    </w:p>
    <w:p w14:paraId="1B41C81C" w14:textId="77777777" w:rsidR="00B67F17" w:rsidRDefault="00B67F17" w:rsidP="00B67F17">
      <w:pPr>
        <w:rPr>
          <w:rFonts w:asciiTheme="minorHAnsi" w:hAnsiTheme="minorHAnsi" w:cs="Adobe Garamond Pro"/>
          <w:color w:val="000000"/>
        </w:rPr>
      </w:pPr>
    </w:p>
    <w:p w14:paraId="60A55354" w14:textId="14AD8C1A" w:rsidR="00AF1372" w:rsidRPr="007173C7" w:rsidRDefault="00AF1372" w:rsidP="00AF1372">
      <w:pPr>
        <w:keepLines/>
        <w:pBdr>
          <w:bottom w:val="single" w:sz="18" w:space="5" w:color="BFBFBF"/>
        </w:pBdr>
        <w:tabs>
          <w:tab w:val="right" w:pos="10440"/>
        </w:tabs>
        <w:spacing w:before="360"/>
        <w:ind w:right="-360" w:hanging="360"/>
        <w:rPr>
          <w:rFonts w:asciiTheme="minorHAnsi" w:hAnsiTheme="minorHAnsi" w:cs="Arial"/>
          <w:b/>
          <w:bCs/>
          <w:color w:val="365F91"/>
          <w:sz w:val="32"/>
          <w:szCs w:val="32"/>
        </w:rPr>
      </w:pPr>
      <w:r>
        <w:rPr>
          <w:rFonts w:asciiTheme="minorHAnsi" w:hAnsiTheme="minorHAnsi" w:cs="Arial"/>
          <w:b/>
          <w:bCs/>
          <w:color w:val="365F91"/>
          <w:sz w:val="32"/>
          <w:szCs w:val="32"/>
        </w:rPr>
        <w:lastRenderedPageBreak/>
        <w:t>ISONIAZID (</w:t>
      </w:r>
      <w:r w:rsidR="00B81FFD">
        <w:rPr>
          <w:rFonts w:asciiTheme="minorHAnsi" w:hAnsiTheme="minorHAnsi" w:cs="Arial"/>
          <w:b/>
          <w:bCs/>
          <w:color w:val="365F91"/>
          <w:sz w:val="32"/>
          <w:szCs w:val="32"/>
        </w:rPr>
        <w:t>IN</w:t>
      </w:r>
      <w:r>
        <w:rPr>
          <w:rFonts w:asciiTheme="minorHAnsi" w:hAnsiTheme="minorHAnsi" w:cs="Arial"/>
          <w:b/>
          <w:bCs/>
          <w:color w:val="365F91"/>
          <w:sz w:val="32"/>
          <w:szCs w:val="32"/>
        </w:rPr>
        <w:t>H): 9 months, daily, self-administered</w:t>
      </w:r>
      <w:r w:rsidRPr="007173C7">
        <w:rPr>
          <w:rFonts w:asciiTheme="minorHAnsi" w:hAnsiTheme="minorHAnsi" w:cs="Arial"/>
          <w:b/>
          <w:bCs/>
          <w:color w:val="365F91"/>
          <w:sz w:val="32"/>
          <w:szCs w:val="32"/>
        </w:rPr>
        <w:t xml:space="preserve">                                                                                                                             </w:t>
      </w:r>
    </w:p>
    <w:p w14:paraId="417AAE48" w14:textId="77777777" w:rsidR="00AF1372" w:rsidRPr="00365E34" w:rsidRDefault="00AF1372" w:rsidP="00AF1372">
      <w:pPr>
        <w:autoSpaceDE w:val="0"/>
        <w:autoSpaceDN w:val="0"/>
        <w:adjustRightInd w:val="0"/>
        <w:rPr>
          <w:rFonts w:ascii="Garamond-BookCondensed" w:eastAsia="Times New Roman" w:hAnsi="Garamond-BookCondensed" w:cs="Garamond-BookCondensed"/>
          <w:sz w:val="20"/>
          <w:szCs w:val="20"/>
        </w:rPr>
      </w:pPr>
    </w:p>
    <w:p w14:paraId="172E87B6" w14:textId="77777777" w:rsidR="00AF1372" w:rsidRDefault="00AF1372" w:rsidP="00AF1372">
      <w:pPr>
        <w:rPr>
          <w:rFonts w:asciiTheme="minorHAnsi" w:hAnsiTheme="minorHAnsi"/>
        </w:rPr>
      </w:pPr>
      <w:r w:rsidRPr="00A806F3">
        <w:rPr>
          <w:rFonts w:asciiTheme="minorHAnsi" w:hAnsiTheme="minorHAnsi"/>
          <w:b/>
        </w:rPr>
        <w:t>Recommended for</w:t>
      </w:r>
      <w:r>
        <w:rPr>
          <w:rFonts w:asciiTheme="minorHAnsi" w:hAnsiTheme="minorHAnsi"/>
        </w:rPr>
        <w:t xml:space="preserve">: </w:t>
      </w:r>
    </w:p>
    <w:p w14:paraId="6F191BF8" w14:textId="77777777" w:rsidR="00AF1372" w:rsidRDefault="00AF1372" w:rsidP="00AF137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Adults and children with latent TB infection who reliably can take self-administered, daily therapy, and have no contraindication to taking isoniazid. </w:t>
      </w:r>
    </w:p>
    <w:p w14:paraId="3152E48B" w14:textId="77777777" w:rsidR="00AF1372" w:rsidRDefault="00AF1372" w:rsidP="00AF1372">
      <w:pPr>
        <w:rPr>
          <w:rFonts w:asciiTheme="minorHAnsi" w:hAnsiTheme="minorHAnsi"/>
        </w:rPr>
      </w:pPr>
    </w:p>
    <w:p w14:paraId="54166E41" w14:textId="77777777" w:rsidR="00AF1372" w:rsidRDefault="00AF1372" w:rsidP="00AF1372">
      <w:pPr>
        <w:rPr>
          <w:rFonts w:asciiTheme="minorHAnsi" w:hAnsiTheme="minorHAnsi"/>
        </w:rPr>
      </w:pPr>
      <w:r w:rsidRPr="00A806F3">
        <w:rPr>
          <w:rFonts w:asciiTheme="minorHAnsi" w:hAnsiTheme="minorHAnsi"/>
          <w:b/>
        </w:rPr>
        <w:t>Dosing</w:t>
      </w:r>
      <w:r>
        <w:rPr>
          <w:rFonts w:asciiTheme="minorHAnsi" w:hAnsiTheme="minorHAnsi"/>
        </w:rPr>
        <w:t xml:space="preserve">: </w:t>
      </w:r>
    </w:p>
    <w:p w14:paraId="7B909192" w14:textId="77777777" w:rsidR="00AF1372" w:rsidRDefault="00AF1372" w:rsidP="00AF137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Adults: 5 mg/kg/d weight-based; typical (maximum) dose is 300 mg/day</w:t>
      </w:r>
    </w:p>
    <w:p w14:paraId="742D85B2" w14:textId="77777777" w:rsidR="00AF1372" w:rsidRDefault="00AF1372" w:rsidP="00AF137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Children: 10-20 mg/kg/d weight-based; maximum dose is 300 mg/day</w:t>
      </w:r>
    </w:p>
    <w:p w14:paraId="116F0104" w14:textId="77777777" w:rsidR="00AF1372" w:rsidRPr="00C46FBB" w:rsidRDefault="00AF1372" w:rsidP="00AF1372">
      <w:pPr>
        <w:ind w:left="360"/>
        <w:rPr>
          <w:rFonts w:asciiTheme="minorHAnsi" w:hAnsiTheme="minorHAnsi"/>
          <w:highlight w:val="yellow"/>
        </w:rPr>
      </w:pPr>
    </w:p>
    <w:p w14:paraId="6A86B9F6" w14:textId="77777777" w:rsidR="00AF1372" w:rsidRPr="00C46FBB" w:rsidRDefault="00AF1372" w:rsidP="00AF137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Isoniazid is also a</w:t>
      </w:r>
      <w:r w:rsidRPr="00C46FBB">
        <w:rPr>
          <w:rFonts w:asciiTheme="minorHAnsi" w:hAnsiTheme="minorHAnsi"/>
        </w:rPr>
        <w:t>vailable in 50 mg/5 ml in 70% sorbitol syrup</w:t>
      </w:r>
      <w:r>
        <w:rPr>
          <w:rFonts w:asciiTheme="minorHAnsi" w:hAnsiTheme="minorHAnsi"/>
        </w:rPr>
        <w:t>. Because s</w:t>
      </w:r>
      <w:r w:rsidRPr="00C46FBB">
        <w:rPr>
          <w:rFonts w:asciiTheme="minorHAnsi" w:hAnsiTheme="minorHAnsi"/>
        </w:rPr>
        <w:t>orbitol may cause diarrhea</w:t>
      </w:r>
      <w:r>
        <w:rPr>
          <w:rFonts w:asciiTheme="minorHAnsi" w:hAnsiTheme="minorHAnsi"/>
        </w:rPr>
        <w:t>, crushed pills in a small quantity of food may be preferred, when possible</w:t>
      </w:r>
      <w:r w:rsidRPr="00C46FBB">
        <w:rPr>
          <w:rFonts w:asciiTheme="minorHAnsi" w:hAnsiTheme="minorHAnsi"/>
        </w:rPr>
        <w:t xml:space="preserve">. </w:t>
      </w:r>
    </w:p>
    <w:p w14:paraId="4D990575" w14:textId="77777777" w:rsidR="00AF1372" w:rsidRDefault="00AF1372" w:rsidP="00AF1372">
      <w:pPr>
        <w:ind w:left="360"/>
        <w:rPr>
          <w:rFonts w:asciiTheme="minorHAnsi" w:hAnsiTheme="minorHAnsi"/>
        </w:rPr>
      </w:pPr>
    </w:p>
    <w:p w14:paraId="02733359" w14:textId="77777777" w:rsidR="00AF1372" w:rsidRDefault="00AF1372" w:rsidP="00AF137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Pyridoxine (vitamin B6), 10-25 mg/d, may prevent peripheral neuropathy and central nervous system effects; it usually is administered with INH in children and in persons who are nutritionally deficient. </w:t>
      </w:r>
    </w:p>
    <w:p w14:paraId="188588A5" w14:textId="77777777" w:rsidR="00AF1372" w:rsidRDefault="00AF1372" w:rsidP="00AF1372">
      <w:pPr>
        <w:rPr>
          <w:rFonts w:asciiTheme="minorHAnsi" w:hAnsiTheme="minorHAnsi"/>
        </w:rPr>
      </w:pPr>
    </w:p>
    <w:p w14:paraId="55D7D4F8" w14:textId="77777777" w:rsidR="00AF1372" w:rsidRDefault="00AF1372" w:rsidP="00AF1372">
      <w:pPr>
        <w:rPr>
          <w:rFonts w:asciiTheme="minorHAnsi" w:hAnsiTheme="minorHAnsi"/>
        </w:rPr>
      </w:pPr>
      <w:r w:rsidRPr="00A806F3">
        <w:rPr>
          <w:rFonts w:asciiTheme="minorHAnsi" w:hAnsiTheme="minorHAnsi"/>
          <w:b/>
        </w:rPr>
        <w:t>Administration</w:t>
      </w:r>
      <w:r>
        <w:rPr>
          <w:rFonts w:asciiTheme="minorHAnsi" w:hAnsiTheme="minorHAnsi"/>
        </w:rPr>
        <w:t xml:space="preserve">: </w:t>
      </w:r>
    </w:p>
    <w:p w14:paraId="54121352" w14:textId="77777777" w:rsidR="00AF1372" w:rsidRDefault="00AF1372" w:rsidP="00AF1372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>Once daily, self-administered</w:t>
      </w:r>
    </w:p>
    <w:p w14:paraId="547C19D6" w14:textId="77777777" w:rsidR="00AF1372" w:rsidRDefault="00AF1372" w:rsidP="00AF1372">
      <w:pPr>
        <w:ind w:firstLine="360"/>
        <w:rPr>
          <w:rFonts w:asciiTheme="minorHAnsi" w:hAnsiTheme="minorHAnsi"/>
        </w:rPr>
      </w:pPr>
    </w:p>
    <w:p w14:paraId="37F819E8" w14:textId="77777777" w:rsidR="00AF1372" w:rsidRDefault="00AF1372" w:rsidP="00AF1372">
      <w:pPr>
        <w:rPr>
          <w:rFonts w:asciiTheme="minorHAnsi" w:hAnsiTheme="minorHAnsi" w:cs="Adobe Garamond Pro"/>
          <w:b/>
        </w:rPr>
      </w:pPr>
      <w:r>
        <w:rPr>
          <w:rFonts w:asciiTheme="minorHAnsi" w:hAnsiTheme="minorHAnsi" w:cs="Adobe Garamond Pro"/>
          <w:b/>
        </w:rPr>
        <w:t xml:space="preserve">Important </w:t>
      </w:r>
      <w:r w:rsidRPr="00521D53">
        <w:rPr>
          <w:rFonts w:asciiTheme="minorHAnsi" w:hAnsiTheme="minorHAnsi" w:cs="Adobe Garamond Pro"/>
          <w:b/>
        </w:rPr>
        <w:t>Side Effects</w:t>
      </w:r>
      <w:r>
        <w:rPr>
          <w:rFonts w:asciiTheme="minorHAnsi" w:hAnsiTheme="minorHAnsi" w:cs="Adobe Garamond Pro"/>
          <w:b/>
        </w:rPr>
        <w:t xml:space="preserve"> and Adverse Reactions</w:t>
      </w:r>
    </w:p>
    <w:p w14:paraId="4406BA17" w14:textId="77777777" w:rsidR="00AF1372" w:rsidRPr="002F0CF5" w:rsidRDefault="00AF1372" w:rsidP="00AF1372">
      <w:pPr>
        <w:ind w:left="360"/>
        <w:rPr>
          <w:rFonts w:asciiTheme="minorHAnsi" w:hAnsiTheme="minorHAnsi" w:cs="Adobe Garamond Pro"/>
        </w:rPr>
      </w:pPr>
      <w:r w:rsidRPr="00521D53">
        <w:rPr>
          <w:rFonts w:asciiTheme="minorHAnsi" w:hAnsiTheme="minorHAnsi" w:cs="Adobe Garamond Pro"/>
        </w:rPr>
        <w:t>Hepatitis</w:t>
      </w:r>
      <w:r>
        <w:rPr>
          <w:rFonts w:asciiTheme="minorHAnsi" w:hAnsiTheme="minorHAnsi" w:cs="Adobe Garamond Pro"/>
        </w:rPr>
        <w:t xml:space="preserve"> (occult or symptomatic), thrombocytopenia</w:t>
      </w:r>
      <w:r w:rsidRPr="00521D53">
        <w:rPr>
          <w:rFonts w:asciiTheme="minorHAnsi" w:hAnsiTheme="minorHAnsi" w:cs="Adobe Garamond Pro"/>
        </w:rPr>
        <w:t xml:space="preserve">, </w:t>
      </w:r>
      <w:r>
        <w:rPr>
          <w:rFonts w:asciiTheme="minorHAnsi" w:hAnsiTheme="minorHAnsi" w:cs="Adobe Garamond Pro"/>
        </w:rPr>
        <w:t>nausea, vomiting, rash, hair loss, drug interactions (see below).</w:t>
      </w:r>
    </w:p>
    <w:p w14:paraId="511DD1E8" w14:textId="77777777" w:rsidR="00AF1372" w:rsidRDefault="00AF1372" w:rsidP="00AF1372">
      <w:pPr>
        <w:ind w:firstLine="360"/>
        <w:rPr>
          <w:rFonts w:asciiTheme="minorHAnsi" w:hAnsiTheme="minorHAnsi"/>
        </w:rPr>
      </w:pPr>
    </w:p>
    <w:p w14:paraId="000A8B0D" w14:textId="77777777" w:rsidR="00AF1372" w:rsidRDefault="00AF1372" w:rsidP="00AF1372">
      <w:pPr>
        <w:rPr>
          <w:rFonts w:asciiTheme="minorHAnsi" w:hAnsiTheme="minorHAnsi"/>
        </w:rPr>
      </w:pPr>
      <w:r w:rsidRPr="00A806F3">
        <w:rPr>
          <w:rFonts w:asciiTheme="minorHAnsi" w:hAnsiTheme="minorHAnsi"/>
          <w:b/>
        </w:rPr>
        <w:t>Monitoring</w:t>
      </w:r>
      <w:r>
        <w:rPr>
          <w:rFonts w:asciiTheme="minorHAnsi" w:hAnsiTheme="minorHAnsi"/>
        </w:rPr>
        <w:t xml:space="preserve">: </w:t>
      </w:r>
    </w:p>
    <w:p w14:paraId="2F851610" w14:textId="77777777" w:rsidR="00AF1372" w:rsidRPr="00023A53" w:rsidRDefault="00AF1372" w:rsidP="00AF1372">
      <w:pPr>
        <w:ind w:left="360"/>
        <w:rPr>
          <w:rFonts w:asciiTheme="minorHAnsi" w:hAnsiTheme="minorHAnsi" w:cs="Adobe Garamond Pro"/>
        </w:rPr>
      </w:pPr>
      <w:r w:rsidRPr="00023A53">
        <w:rPr>
          <w:rFonts w:asciiTheme="minorHAnsi" w:hAnsiTheme="minorHAnsi" w:cs="Adobe Garamond Pro"/>
        </w:rPr>
        <w:t>Patients must understand adherence and safety issues and will know to hold treatment</w:t>
      </w:r>
      <w:r>
        <w:rPr>
          <w:rFonts w:asciiTheme="minorHAnsi" w:hAnsiTheme="minorHAnsi" w:cs="Adobe Garamond Pro"/>
        </w:rPr>
        <w:t xml:space="preserve"> </w:t>
      </w:r>
      <w:r w:rsidRPr="00023A53">
        <w:rPr>
          <w:rFonts w:asciiTheme="minorHAnsi" w:hAnsiTheme="minorHAnsi" w:cs="Adobe Garamond Pro"/>
        </w:rPr>
        <w:t xml:space="preserve">and contact </w:t>
      </w:r>
      <w:r>
        <w:rPr>
          <w:rFonts w:asciiTheme="minorHAnsi" w:hAnsiTheme="minorHAnsi" w:cs="Adobe Garamond Pro"/>
        </w:rPr>
        <w:t xml:space="preserve">their </w:t>
      </w:r>
      <w:r w:rsidRPr="00023A53">
        <w:rPr>
          <w:rFonts w:asciiTheme="minorHAnsi" w:hAnsiTheme="minorHAnsi" w:cs="Adobe Garamond Pro"/>
        </w:rPr>
        <w:t>provider if adverse effects are suspected.</w:t>
      </w:r>
    </w:p>
    <w:p w14:paraId="1FAC4154" w14:textId="77777777" w:rsidR="00AF1372" w:rsidRDefault="00AF1372" w:rsidP="00AF1372">
      <w:pPr>
        <w:ind w:left="360"/>
        <w:rPr>
          <w:rFonts w:asciiTheme="minorHAnsi" w:hAnsiTheme="minorHAnsi" w:cs="Adobe Garamond Pro"/>
          <w:color w:val="000000"/>
        </w:rPr>
      </w:pPr>
    </w:p>
    <w:p w14:paraId="2E52E8A4" w14:textId="77777777" w:rsidR="00AF1372" w:rsidRPr="00023A53" w:rsidRDefault="00AF1372" w:rsidP="00AF1372">
      <w:pPr>
        <w:ind w:left="360"/>
        <w:rPr>
          <w:rFonts w:asciiTheme="minorHAnsi" w:hAnsiTheme="minorHAnsi" w:cs="Adobe Garamond Pro"/>
          <w:color w:val="000000"/>
        </w:rPr>
      </w:pPr>
      <w:r w:rsidRPr="00023A53">
        <w:rPr>
          <w:rFonts w:asciiTheme="minorHAnsi" w:hAnsiTheme="minorHAnsi" w:cs="Adobe Garamond Pro"/>
          <w:color w:val="000000"/>
        </w:rPr>
        <w:t xml:space="preserve">Patients should undergo a </w:t>
      </w:r>
      <w:r w:rsidRPr="00D94F07">
        <w:rPr>
          <w:rFonts w:asciiTheme="minorHAnsi" w:hAnsiTheme="minorHAnsi" w:cs="Adobe Garamond Pro"/>
          <w:i/>
          <w:color w:val="000000"/>
        </w:rPr>
        <w:t xml:space="preserve">clinical assessment at </w:t>
      </w:r>
      <w:r w:rsidRPr="00D94F07">
        <w:rPr>
          <w:rFonts w:asciiTheme="minorHAnsi" w:hAnsiTheme="minorHAnsi" w:cs="Adobe Garamond Pro"/>
          <w:i/>
        </w:rPr>
        <w:t>least monthly by a health care provider</w:t>
      </w:r>
      <w:r w:rsidRPr="00023A53">
        <w:rPr>
          <w:rFonts w:asciiTheme="minorHAnsi" w:hAnsiTheme="minorHAnsi" w:cs="Adobe Garamond Pro"/>
        </w:rPr>
        <w:t xml:space="preserve">, </w:t>
      </w:r>
      <w:r w:rsidRPr="00023A53">
        <w:rPr>
          <w:rFonts w:asciiTheme="minorHAnsi" w:hAnsiTheme="minorHAnsi" w:cs="Adobe Garamond Pro"/>
          <w:color w:val="000000"/>
        </w:rPr>
        <w:t xml:space="preserve">including inquiries about side effects and a physical examination. </w:t>
      </w:r>
    </w:p>
    <w:p w14:paraId="3DB3AD1A" w14:textId="77777777" w:rsidR="00AF1372" w:rsidRDefault="00AF1372" w:rsidP="00AF1372">
      <w:pPr>
        <w:ind w:left="1080"/>
        <w:rPr>
          <w:rFonts w:asciiTheme="minorHAnsi" w:hAnsiTheme="minorHAnsi" w:cs="Adobe Garamond Pro"/>
          <w:color w:val="000000"/>
        </w:rPr>
      </w:pPr>
    </w:p>
    <w:p w14:paraId="310489E6" w14:textId="77777777" w:rsidR="00AF1372" w:rsidRDefault="00AF1372" w:rsidP="00AF1372">
      <w:pPr>
        <w:ind w:left="360"/>
        <w:rPr>
          <w:rFonts w:asciiTheme="minorHAnsi" w:hAnsiTheme="minorHAnsi" w:cs="Adobe Garamond Pro"/>
          <w:color w:val="000000"/>
        </w:rPr>
      </w:pPr>
      <w:r w:rsidRPr="00054929">
        <w:rPr>
          <w:rFonts w:asciiTheme="minorHAnsi" w:hAnsiTheme="minorHAnsi" w:cs="Adobe Garamond Pro"/>
          <w:color w:val="000000"/>
        </w:rPr>
        <w:t>Blood tests (CBC and hepatic enzymes) generally are not recom</w:t>
      </w:r>
      <w:r w:rsidRPr="00054929">
        <w:rPr>
          <w:rFonts w:asciiTheme="minorHAnsi" w:hAnsiTheme="minorHAnsi" w:cs="Adobe Garamond Pro"/>
          <w:color w:val="000000"/>
        </w:rPr>
        <w:softHyphen/>
        <w:t>mended</w:t>
      </w:r>
      <w:r>
        <w:rPr>
          <w:rFonts w:asciiTheme="minorHAnsi" w:hAnsiTheme="minorHAnsi" w:cs="Adobe Garamond Pro"/>
          <w:color w:val="000000"/>
        </w:rPr>
        <w:t>.  F</w:t>
      </w:r>
      <w:r w:rsidRPr="00054929">
        <w:rPr>
          <w:rFonts w:asciiTheme="minorHAnsi" w:hAnsiTheme="minorHAnsi" w:cs="Adobe Garamond Pro"/>
          <w:color w:val="000000"/>
        </w:rPr>
        <w:t xml:space="preserve">or </w:t>
      </w:r>
      <w:r>
        <w:rPr>
          <w:rFonts w:asciiTheme="minorHAnsi" w:hAnsiTheme="minorHAnsi" w:cs="Adobe Garamond Pro"/>
          <w:color w:val="000000"/>
        </w:rPr>
        <w:t>patients with HIV infection, history of liver disease, regular alcohol use, pregnancy (or 3-4 months postpartum), or age &gt;35 years, blood tests should be performed at baseline.  Repeat (or follow-up) measurements should be done if:</w:t>
      </w:r>
    </w:p>
    <w:p w14:paraId="162B1306" w14:textId="77777777" w:rsidR="00AF1372" w:rsidRDefault="00AF1372" w:rsidP="00AF1372">
      <w:pPr>
        <w:numPr>
          <w:ilvl w:val="1"/>
          <w:numId w:val="34"/>
        </w:numPr>
        <w:rPr>
          <w:rFonts w:asciiTheme="minorHAnsi" w:hAnsiTheme="minorHAnsi" w:cs="Adobe Garamond Pro"/>
          <w:color w:val="000000"/>
        </w:rPr>
      </w:pPr>
      <w:r>
        <w:rPr>
          <w:rFonts w:asciiTheme="minorHAnsi" w:hAnsiTheme="minorHAnsi" w:cs="Adobe Garamond Pro"/>
          <w:color w:val="000000"/>
        </w:rPr>
        <w:t>The baseline result is abnormal</w:t>
      </w:r>
    </w:p>
    <w:p w14:paraId="0D859830" w14:textId="77777777" w:rsidR="00AF1372" w:rsidRPr="00C254F9" w:rsidRDefault="00AF1372" w:rsidP="00AF1372">
      <w:pPr>
        <w:numPr>
          <w:ilvl w:val="1"/>
          <w:numId w:val="34"/>
        </w:numPr>
        <w:rPr>
          <w:rFonts w:asciiTheme="minorHAnsi" w:hAnsiTheme="minorHAnsi" w:cs="Adobe Garamond Pro"/>
          <w:color w:val="000000"/>
        </w:rPr>
      </w:pPr>
      <w:r w:rsidRPr="00C254F9">
        <w:rPr>
          <w:rFonts w:asciiTheme="minorHAnsi" w:hAnsiTheme="minorHAnsi" w:cs="Adobe Garamond Pro"/>
          <w:color w:val="000000"/>
        </w:rPr>
        <w:t>Patient is pregnant</w:t>
      </w:r>
      <w:r>
        <w:rPr>
          <w:rFonts w:asciiTheme="minorHAnsi" w:hAnsiTheme="minorHAnsi" w:cs="Adobe Garamond Pro"/>
          <w:color w:val="000000"/>
        </w:rPr>
        <w:t xml:space="preserve"> or i</w:t>
      </w:r>
      <w:r w:rsidRPr="00C254F9">
        <w:rPr>
          <w:rFonts w:asciiTheme="minorHAnsi" w:hAnsiTheme="minorHAnsi" w:cs="Adobe Garamond Pro"/>
          <w:color w:val="000000"/>
        </w:rPr>
        <w:t>n the immediate postpartum period, or at high risk of adverse reactions</w:t>
      </w:r>
    </w:p>
    <w:p w14:paraId="592C1618" w14:textId="77777777" w:rsidR="00AF1372" w:rsidRDefault="00AF1372" w:rsidP="00AF1372">
      <w:pPr>
        <w:numPr>
          <w:ilvl w:val="1"/>
          <w:numId w:val="34"/>
        </w:numPr>
        <w:rPr>
          <w:rFonts w:asciiTheme="minorHAnsi" w:hAnsiTheme="minorHAnsi" w:cs="Adobe Garamond Pro"/>
          <w:color w:val="000000"/>
        </w:rPr>
      </w:pPr>
      <w:r>
        <w:rPr>
          <w:rFonts w:asciiTheme="minorHAnsi" w:hAnsiTheme="minorHAnsi" w:cs="Adobe Garamond Pro"/>
          <w:color w:val="000000"/>
        </w:rPr>
        <w:t>Patient has symptoms of adverse reactions</w:t>
      </w:r>
      <w:r w:rsidRPr="00054929">
        <w:rPr>
          <w:rFonts w:asciiTheme="minorHAnsi" w:hAnsiTheme="minorHAnsi" w:cs="Adobe Garamond Pro"/>
          <w:color w:val="000000"/>
        </w:rPr>
        <w:t>.</w:t>
      </w:r>
    </w:p>
    <w:p w14:paraId="0B587A74" w14:textId="77777777" w:rsidR="00AF1372" w:rsidRDefault="00AF1372" w:rsidP="00AF1372">
      <w:pPr>
        <w:rPr>
          <w:rFonts w:asciiTheme="minorHAnsi" w:hAnsiTheme="minorHAnsi"/>
        </w:rPr>
      </w:pPr>
    </w:p>
    <w:p w14:paraId="5C5E5E8C" w14:textId="77777777" w:rsidR="00AF1372" w:rsidRDefault="00AF1372" w:rsidP="00AF1372">
      <w:pPr>
        <w:rPr>
          <w:rFonts w:asciiTheme="minorHAnsi" w:hAnsiTheme="minorHAnsi" w:cs="Arial"/>
          <w:color w:val="222222"/>
          <w:shd w:val="clear" w:color="auto" w:fill="FFFFFF"/>
        </w:rPr>
      </w:pPr>
      <w:r w:rsidRPr="00023A53">
        <w:rPr>
          <w:rFonts w:asciiTheme="minorHAnsi" w:hAnsiTheme="minorHAnsi"/>
          <w:b/>
        </w:rPr>
        <w:lastRenderedPageBreak/>
        <w:t>Special precautions</w:t>
      </w:r>
      <w:r>
        <w:rPr>
          <w:rFonts w:asciiTheme="minorHAnsi" w:hAnsiTheme="minorHAnsi"/>
        </w:rPr>
        <w:t xml:space="preserve">: Isoniazid interacts with other drugs including seizure medications (e.g., </w:t>
      </w:r>
      <w:r w:rsidRPr="00835989">
        <w:rPr>
          <w:rFonts w:asciiTheme="minorHAnsi" w:hAnsiTheme="minorHAnsi"/>
        </w:rPr>
        <w:t>c</w:t>
      </w:r>
      <w:r w:rsidRPr="00D94F07">
        <w:rPr>
          <w:rFonts w:asciiTheme="minorHAnsi" w:hAnsiTheme="minorHAnsi" w:cs="Arial"/>
          <w:color w:val="222222"/>
          <w:shd w:val="clear" w:color="auto" w:fill="FFFFFF"/>
        </w:rPr>
        <w:t xml:space="preserve">arbamazepine, </w:t>
      </w:r>
      <w:proofErr w:type="spellStart"/>
      <w:r w:rsidRPr="00D94F07">
        <w:rPr>
          <w:rFonts w:asciiTheme="minorHAnsi" w:hAnsiTheme="minorHAnsi" w:cs="Arial"/>
          <w:color w:val="222222"/>
          <w:shd w:val="clear" w:color="auto" w:fill="FFFFFF"/>
        </w:rPr>
        <w:t>valproic</w:t>
      </w:r>
      <w:proofErr w:type="spellEnd"/>
      <w:r w:rsidRPr="00D94F07">
        <w:rPr>
          <w:rFonts w:asciiTheme="minorHAnsi" w:hAnsiTheme="minorHAnsi" w:cs="Arial"/>
          <w:color w:val="222222"/>
          <w:shd w:val="clear" w:color="auto" w:fill="FFFFFF"/>
        </w:rPr>
        <w:t xml:space="preserve"> acid, phenytoin</w:t>
      </w:r>
      <w:r>
        <w:rPr>
          <w:rFonts w:asciiTheme="minorHAnsi" w:hAnsiTheme="minorHAnsi" w:cs="Arial"/>
          <w:color w:val="222222"/>
          <w:shd w:val="clear" w:color="auto" w:fill="FFFFFF"/>
        </w:rPr>
        <w:t>)</w:t>
      </w:r>
      <w:r w:rsidRPr="00D94F07">
        <w:rPr>
          <w:rFonts w:asciiTheme="minorHAnsi" w:hAnsiTheme="minorHAnsi" w:cs="Arial"/>
          <w:color w:val="222222"/>
          <w:shd w:val="clear" w:color="auto" w:fill="FFFFFF"/>
        </w:rPr>
        <w:t xml:space="preserve">, </w:t>
      </w:r>
      <w:r>
        <w:rPr>
          <w:rFonts w:asciiTheme="minorHAnsi" w:hAnsiTheme="minorHAnsi" w:cs="Arial"/>
          <w:color w:val="222222"/>
          <w:shd w:val="clear" w:color="auto" w:fill="FFFFFF"/>
        </w:rPr>
        <w:t>azole-class drugs used to treat fungal infections, theophylline.</w:t>
      </w:r>
    </w:p>
    <w:p w14:paraId="2B5E19B8" w14:textId="77777777" w:rsidR="00AF1372" w:rsidRDefault="00AF1372" w:rsidP="00AF1372">
      <w:pPr>
        <w:rPr>
          <w:rFonts w:asciiTheme="minorHAnsi" w:hAnsiTheme="minorHAnsi" w:cs="Arial"/>
          <w:color w:val="222222"/>
          <w:shd w:val="clear" w:color="auto" w:fill="FFFFFF"/>
        </w:rPr>
      </w:pPr>
    </w:p>
    <w:p w14:paraId="540D8128" w14:textId="77777777" w:rsidR="00AF1372" w:rsidRPr="009F19DC" w:rsidRDefault="00AF1372" w:rsidP="00AF1372">
      <w:pPr>
        <w:rPr>
          <w:rFonts w:asciiTheme="minorHAnsi" w:hAnsiTheme="minorHAnsi" w:cs="Adobe Garamond Pro"/>
        </w:rPr>
      </w:pPr>
      <w:r>
        <w:rPr>
          <w:rFonts w:asciiTheme="minorHAnsi" w:hAnsiTheme="minorHAnsi" w:cs="Arial"/>
          <w:color w:val="222222"/>
          <w:shd w:val="clear" w:color="auto" w:fill="FFFFFF"/>
        </w:rPr>
        <w:t xml:space="preserve">Persons taking acetaminophen or consuming alcohol are at increased risk of hepatotoxicity, as are </w:t>
      </w:r>
      <w:r>
        <w:rPr>
          <w:rFonts w:asciiTheme="minorHAnsi" w:hAnsiTheme="minorHAnsi" w:cs="Adobe Garamond Pro"/>
        </w:rPr>
        <w:t>persons over the age of 35 years and pregnant or recently postpartum women (especially Black or Hispanic women).</w:t>
      </w:r>
    </w:p>
    <w:p w14:paraId="2520C927" w14:textId="77777777" w:rsidR="00AF1372" w:rsidRPr="00B6337A" w:rsidRDefault="00AF1372" w:rsidP="00AF1372">
      <w:pPr>
        <w:rPr>
          <w:rFonts w:asciiTheme="minorHAnsi" w:hAnsiTheme="minorHAnsi"/>
        </w:rPr>
      </w:pPr>
    </w:p>
    <w:p w14:paraId="5C116701" w14:textId="77777777" w:rsidR="005A7D62" w:rsidRPr="000D39F6" w:rsidRDefault="005A7D62" w:rsidP="005A7D62">
      <w:pPr>
        <w:rPr>
          <w:rFonts w:asciiTheme="minorHAnsi" w:hAnsiTheme="minorHAnsi"/>
        </w:rPr>
      </w:pPr>
    </w:p>
    <w:p w14:paraId="21DFFDCE" w14:textId="77777777" w:rsidR="00167C0B" w:rsidRDefault="00167C0B">
      <w:pPr>
        <w:rPr>
          <w:rFonts w:asciiTheme="minorHAnsi" w:hAnsiTheme="minorHAnsi" w:cs="Arial"/>
          <w:b/>
          <w:bCs/>
          <w:color w:val="365F91"/>
          <w:sz w:val="32"/>
          <w:szCs w:val="32"/>
        </w:rPr>
      </w:pPr>
      <w:r>
        <w:rPr>
          <w:rFonts w:asciiTheme="minorHAnsi" w:hAnsiTheme="minorHAnsi" w:cs="Arial"/>
          <w:b/>
          <w:bCs/>
          <w:color w:val="365F91"/>
          <w:sz w:val="32"/>
          <w:szCs w:val="32"/>
        </w:rPr>
        <w:br w:type="page"/>
      </w:r>
    </w:p>
    <w:p w14:paraId="56B65995" w14:textId="488498A0" w:rsidR="00F52B58" w:rsidRPr="007173C7" w:rsidRDefault="00F52B58" w:rsidP="00F52B58">
      <w:pPr>
        <w:keepLines/>
        <w:pBdr>
          <w:bottom w:val="single" w:sz="18" w:space="5" w:color="BFBFBF"/>
        </w:pBdr>
        <w:tabs>
          <w:tab w:val="right" w:pos="10440"/>
        </w:tabs>
        <w:spacing w:before="360"/>
        <w:ind w:right="-360" w:hanging="360"/>
        <w:rPr>
          <w:rFonts w:asciiTheme="minorHAnsi" w:hAnsiTheme="minorHAnsi" w:cs="Arial"/>
          <w:b/>
          <w:bCs/>
          <w:color w:val="365F91"/>
          <w:sz w:val="32"/>
          <w:szCs w:val="32"/>
        </w:rPr>
      </w:pPr>
      <w:r>
        <w:rPr>
          <w:rFonts w:asciiTheme="minorHAnsi" w:hAnsiTheme="minorHAnsi" w:cs="Arial"/>
          <w:b/>
          <w:bCs/>
          <w:color w:val="365F91"/>
          <w:sz w:val="32"/>
          <w:szCs w:val="32"/>
        </w:rPr>
        <w:lastRenderedPageBreak/>
        <w:t>RESOURCE INFORMATION</w:t>
      </w:r>
    </w:p>
    <w:p w14:paraId="073359F8" w14:textId="77777777" w:rsidR="00167C0B" w:rsidRPr="00054929" w:rsidRDefault="00167C0B" w:rsidP="00167C0B">
      <w:pPr>
        <w:spacing w:before="200"/>
        <w:rPr>
          <w:rFonts w:asciiTheme="minorHAnsi" w:hAnsiTheme="minorHAnsi"/>
          <w:color w:val="000000"/>
        </w:rPr>
      </w:pPr>
      <w:r w:rsidRPr="00054929">
        <w:rPr>
          <w:rFonts w:asciiTheme="minorHAnsi" w:hAnsiTheme="minorHAnsi"/>
          <w:color w:val="000000"/>
        </w:rPr>
        <w:t>C</w:t>
      </w:r>
      <w:r>
        <w:rPr>
          <w:rFonts w:asciiTheme="minorHAnsi" w:hAnsiTheme="minorHAnsi"/>
          <w:color w:val="000000"/>
        </w:rPr>
        <w:t>enters for Disease Control and Prevention. Recommendations for use of an isoniazid-</w:t>
      </w:r>
      <w:proofErr w:type="spellStart"/>
      <w:r>
        <w:rPr>
          <w:rFonts w:asciiTheme="minorHAnsi" w:hAnsiTheme="minorHAnsi"/>
          <w:color w:val="000000"/>
        </w:rPr>
        <w:t>rifapentine</w:t>
      </w:r>
      <w:proofErr w:type="spellEnd"/>
      <w:r>
        <w:rPr>
          <w:rFonts w:asciiTheme="minorHAnsi" w:hAnsiTheme="minorHAnsi"/>
          <w:color w:val="000000"/>
        </w:rPr>
        <w:t xml:space="preserve"> regimen with direct observation to treat latent </w:t>
      </w:r>
      <w:r w:rsidRPr="000A610E">
        <w:rPr>
          <w:rFonts w:asciiTheme="minorHAnsi" w:hAnsiTheme="minorHAnsi"/>
          <w:i/>
          <w:color w:val="000000"/>
        </w:rPr>
        <w:t>Mycobacterium tuberculosis</w:t>
      </w:r>
      <w:r>
        <w:rPr>
          <w:rFonts w:asciiTheme="minorHAnsi" w:hAnsiTheme="minorHAnsi"/>
          <w:color w:val="000000"/>
        </w:rPr>
        <w:t xml:space="preserve"> infection.</w:t>
      </w:r>
      <w:r w:rsidRPr="00054929">
        <w:rPr>
          <w:rFonts w:asciiTheme="minorHAnsi" w:hAnsiTheme="minorHAnsi"/>
          <w:color w:val="000000"/>
        </w:rPr>
        <w:t xml:space="preserve"> MMWR</w:t>
      </w:r>
      <w:r>
        <w:rPr>
          <w:rFonts w:asciiTheme="minorHAnsi" w:hAnsiTheme="minorHAnsi"/>
          <w:color w:val="000000"/>
        </w:rPr>
        <w:t xml:space="preserve"> 2011;60(48) p1650-1653.</w:t>
      </w:r>
      <w:r w:rsidRPr="00054929">
        <w:rPr>
          <w:rFonts w:asciiTheme="minorHAnsi" w:hAnsiTheme="minorHAnsi"/>
          <w:color w:val="000000"/>
        </w:rPr>
        <w:t xml:space="preserve">  </w:t>
      </w:r>
      <w:hyperlink r:id="rId11" w:history="1">
        <w:r w:rsidRPr="00054929">
          <w:rPr>
            <w:rStyle w:val="Hyperlink"/>
            <w:rFonts w:asciiTheme="minorHAnsi" w:hAnsiTheme="minorHAnsi"/>
          </w:rPr>
          <w:t>http://www.cdc.gov/mmwr/pdf/wk/mm6048.pdf</w:t>
        </w:r>
      </w:hyperlink>
      <w:r w:rsidRPr="00054929">
        <w:rPr>
          <w:rFonts w:asciiTheme="minorHAnsi" w:hAnsiTheme="minorHAnsi"/>
          <w:color w:val="000000"/>
        </w:rPr>
        <w:t xml:space="preserve"> </w:t>
      </w:r>
    </w:p>
    <w:p w14:paraId="580F3FD5" w14:textId="77777777" w:rsidR="00167C0B" w:rsidRDefault="00167C0B" w:rsidP="00167C0B">
      <w:pPr>
        <w:rPr>
          <w:rFonts w:asciiTheme="minorHAnsi" w:hAnsiTheme="minorHAnsi"/>
          <w:color w:val="000000"/>
        </w:rPr>
      </w:pPr>
    </w:p>
    <w:p w14:paraId="5C10BCD0" w14:textId="11ACB0AE" w:rsidR="00167C0B" w:rsidRDefault="00167C0B" w:rsidP="00167C0B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Centers for Disease Control and Prevention. </w:t>
      </w:r>
      <w:r w:rsidRPr="00054929">
        <w:rPr>
          <w:rFonts w:asciiTheme="minorHAnsi" w:hAnsiTheme="minorHAnsi"/>
          <w:color w:val="000000"/>
        </w:rPr>
        <w:t xml:space="preserve">Targeted </w:t>
      </w:r>
      <w:r>
        <w:rPr>
          <w:rFonts w:asciiTheme="minorHAnsi" w:hAnsiTheme="minorHAnsi"/>
          <w:color w:val="000000"/>
        </w:rPr>
        <w:t>tuberculin t</w:t>
      </w:r>
      <w:r w:rsidRPr="00054929">
        <w:rPr>
          <w:rFonts w:asciiTheme="minorHAnsi" w:hAnsiTheme="minorHAnsi"/>
          <w:color w:val="000000"/>
        </w:rPr>
        <w:t xml:space="preserve">esting and </w:t>
      </w:r>
      <w:r>
        <w:rPr>
          <w:rFonts w:asciiTheme="minorHAnsi" w:hAnsiTheme="minorHAnsi"/>
          <w:color w:val="000000"/>
        </w:rPr>
        <w:t>t</w:t>
      </w:r>
      <w:r w:rsidRPr="00054929">
        <w:rPr>
          <w:rFonts w:asciiTheme="minorHAnsi" w:hAnsiTheme="minorHAnsi"/>
          <w:color w:val="000000"/>
        </w:rPr>
        <w:t xml:space="preserve">reatment of </w:t>
      </w:r>
      <w:r>
        <w:rPr>
          <w:rFonts w:asciiTheme="minorHAnsi" w:hAnsiTheme="minorHAnsi"/>
          <w:color w:val="000000"/>
        </w:rPr>
        <w:t>l</w:t>
      </w:r>
      <w:r w:rsidRPr="00054929">
        <w:rPr>
          <w:rFonts w:asciiTheme="minorHAnsi" w:hAnsiTheme="minorHAnsi"/>
          <w:color w:val="000000"/>
        </w:rPr>
        <w:t xml:space="preserve">atent </w:t>
      </w:r>
      <w:r>
        <w:rPr>
          <w:rFonts w:asciiTheme="minorHAnsi" w:hAnsiTheme="minorHAnsi"/>
          <w:color w:val="000000"/>
        </w:rPr>
        <w:t>t</w:t>
      </w:r>
      <w:r w:rsidRPr="00054929">
        <w:rPr>
          <w:rFonts w:asciiTheme="minorHAnsi" w:hAnsiTheme="minorHAnsi"/>
          <w:color w:val="000000"/>
        </w:rPr>
        <w:t xml:space="preserve">uberculosis </w:t>
      </w:r>
      <w:r>
        <w:rPr>
          <w:rFonts w:asciiTheme="minorHAnsi" w:hAnsiTheme="minorHAnsi"/>
          <w:color w:val="000000"/>
        </w:rPr>
        <w:t>i</w:t>
      </w:r>
      <w:r w:rsidRPr="00054929">
        <w:rPr>
          <w:rFonts w:asciiTheme="minorHAnsi" w:hAnsiTheme="minorHAnsi"/>
          <w:color w:val="000000"/>
        </w:rPr>
        <w:t xml:space="preserve">nfection. MMWR </w:t>
      </w:r>
      <w:r>
        <w:rPr>
          <w:rFonts w:asciiTheme="minorHAnsi" w:hAnsiTheme="minorHAnsi"/>
          <w:color w:val="000000"/>
        </w:rPr>
        <w:t>2000;49(No. RR-6</w:t>
      </w:r>
      <w:proofErr w:type="gramStart"/>
      <w:r>
        <w:rPr>
          <w:rFonts w:asciiTheme="minorHAnsi" w:hAnsiTheme="minorHAnsi"/>
          <w:color w:val="000000"/>
        </w:rPr>
        <w:t xml:space="preserve">) </w:t>
      </w:r>
      <w:r w:rsidRPr="00054929">
        <w:rPr>
          <w:rFonts w:asciiTheme="minorHAnsi" w:hAnsiTheme="minorHAnsi"/>
          <w:color w:val="000000"/>
        </w:rPr>
        <w:t xml:space="preserve"> </w:t>
      </w:r>
      <w:proofErr w:type="gramEnd"/>
      <w:hyperlink r:id="rId12" w:history="1">
        <w:r w:rsidRPr="00054929">
          <w:rPr>
            <w:rStyle w:val="Hyperlink"/>
            <w:rFonts w:asciiTheme="minorHAnsi" w:hAnsiTheme="minorHAnsi"/>
          </w:rPr>
          <w:t>http://www.cdc.gov/mmwr/PDF/rr/rr4906.pdf</w:t>
        </w:r>
      </w:hyperlink>
      <w:r w:rsidRPr="00054929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 xml:space="preserve"> </w:t>
      </w:r>
    </w:p>
    <w:p w14:paraId="09285E71" w14:textId="77777777" w:rsidR="00167C0B" w:rsidRDefault="00167C0B" w:rsidP="00167C0B">
      <w:pPr>
        <w:rPr>
          <w:rFonts w:asciiTheme="minorHAnsi" w:hAnsiTheme="minorHAnsi"/>
          <w:color w:val="000000"/>
        </w:rPr>
      </w:pPr>
    </w:p>
    <w:p w14:paraId="6CBBD796" w14:textId="77777777" w:rsidR="00167C0B" w:rsidRDefault="00167C0B" w:rsidP="00167C0B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Centers for Disease Control and Prevention, Division of Tuberculosis Elimination </w:t>
      </w:r>
    </w:p>
    <w:p w14:paraId="7D4A7AB8" w14:textId="77777777" w:rsidR="00167C0B" w:rsidRPr="009A69E1" w:rsidRDefault="00167C0B" w:rsidP="00167C0B">
      <w:pPr>
        <w:pStyle w:val="Heading1"/>
        <w:shd w:val="clear" w:color="auto" w:fill="FFFFFF"/>
        <w:spacing w:after="160" w:line="276" w:lineRule="auto"/>
        <w:ind w:left="720"/>
        <w:rPr>
          <w:rFonts w:asciiTheme="minorHAnsi" w:hAnsiTheme="minorHAnsi" w:cs="Helvetica"/>
          <w:b w:val="0"/>
          <w:bCs/>
          <w:color w:val="000000"/>
          <w:szCs w:val="24"/>
        </w:rPr>
      </w:pPr>
      <w:r w:rsidRPr="009A69E1">
        <w:rPr>
          <w:rFonts w:asciiTheme="minorHAnsi" w:hAnsiTheme="minorHAnsi" w:cs="Helvetica"/>
          <w:b w:val="0"/>
          <w:color w:val="000000"/>
          <w:szCs w:val="24"/>
        </w:rPr>
        <w:t>Lat</w:t>
      </w:r>
      <w:bookmarkStart w:id="0" w:name="_GoBack"/>
      <w:bookmarkEnd w:id="0"/>
      <w:r w:rsidRPr="009A69E1">
        <w:rPr>
          <w:rFonts w:asciiTheme="minorHAnsi" w:hAnsiTheme="minorHAnsi" w:cs="Helvetica"/>
          <w:b w:val="0"/>
          <w:color w:val="000000"/>
          <w:szCs w:val="24"/>
        </w:rPr>
        <w:t>ent Tuberculosis Infection: A Guide for Primary Health Care Providers</w:t>
      </w:r>
      <w:r>
        <w:rPr>
          <w:rFonts w:asciiTheme="minorHAnsi" w:hAnsiTheme="minorHAnsi" w:cs="Helvetica"/>
          <w:b w:val="0"/>
          <w:color w:val="000000"/>
          <w:szCs w:val="24"/>
        </w:rPr>
        <w:t xml:space="preserve">; Treatment of Latent TB Infection. </w:t>
      </w:r>
      <w:hyperlink r:id="rId13" w:history="1">
        <w:r w:rsidRPr="009A69E1">
          <w:rPr>
            <w:rStyle w:val="Hyperlink"/>
            <w:rFonts w:asciiTheme="minorHAnsi" w:hAnsiTheme="minorHAnsi" w:cs="Adobe Garamond Pro"/>
            <w:b w:val="0"/>
            <w:szCs w:val="24"/>
          </w:rPr>
          <w:t>https://www.cdc.gov/tb/publications/ltbi/treatment.htm</w:t>
        </w:r>
      </w:hyperlink>
      <w:r>
        <w:rPr>
          <w:rFonts w:asciiTheme="minorHAnsi" w:hAnsiTheme="minorHAnsi" w:cs="Adobe Garamond Pro"/>
          <w:b w:val="0"/>
          <w:color w:val="000000"/>
          <w:szCs w:val="24"/>
        </w:rPr>
        <w:t xml:space="preserve"> </w:t>
      </w:r>
    </w:p>
    <w:p w14:paraId="2D52CDF8" w14:textId="77777777" w:rsidR="00167C0B" w:rsidRDefault="00167C0B" w:rsidP="00167C0B">
      <w:pPr>
        <w:ind w:left="720"/>
        <w:rPr>
          <w:rFonts w:asciiTheme="minorHAnsi" w:hAnsiTheme="minorHAnsi" w:cs="Adobe Garamond Pro"/>
          <w:color w:val="000000"/>
        </w:rPr>
      </w:pPr>
      <w:r w:rsidRPr="006B26BE">
        <w:rPr>
          <w:rFonts w:asciiTheme="minorHAnsi" w:hAnsiTheme="minorHAnsi"/>
        </w:rPr>
        <w:t>Treatment regimens for latent TB infection.</w:t>
      </w:r>
      <w:r>
        <w:t xml:space="preserve"> </w:t>
      </w:r>
      <w:hyperlink r:id="rId14" w:history="1">
        <w:r w:rsidRPr="006B26BE">
          <w:rPr>
            <w:rStyle w:val="Hyperlink"/>
            <w:rFonts w:asciiTheme="minorHAnsi" w:hAnsiTheme="minorHAnsi" w:cs="Adobe Garamond Pro"/>
          </w:rPr>
          <w:t>https://www.cdc.gov/tb/topic/treatment/ltbi.htm</w:t>
        </w:r>
      </w:hyperlink>
      <w:r>
        <w:rPr>
          <w:rFonts w:asciiTheme="minorHAnsi" w:hAnsiTheme="minorHAnsi" w:cs="Adobe Garamond Pro"/>
          <w:color w:val="000000"/>
        </w:rPr>
        <w:t xml:space="preserve"> </w:t>
      </w:r>
    </w:p>
    <w:p w14:paraId="5CB476F0" w14:textId="77777777" w:rsidR="00167C0B" w:rsidRDefault="00167C0B" w:rsidP="00167C0B">
      <w:pPr>
        <w:rPr>
          <w:rFonts w:asciiTheme="minorHAnsi" w:hAnsiTheme="minorHAnsi" w:cs="Adobe Garamond Pro"/>
          <w:color w:val="000000"/>
        </w:rPr>
      </w:pPr>
    </w:p>
    <w:p w14:paraId="1243B8D8" w14:textId="77777777" w:rsidR="00167C0B" w:rsidRDefault="00167C0B" w:rsidP="00167C0B">
      <w:pPr>
        <w:rPr>
          <w:rFonts w:asciiTheme="minorHAnsi" w:hAnsiTheme="minorHAnsi" w:cs="Adobe Garamond Pro"/>
          <w:color w:val="000000"/>
        </w:rPr>
      </w:pPr>
      <w:r>
        <w:rPr>
          <w:rFonts w:asciiTheme="minorHAnsi" w:hAnsiTheme="minorHAnsi" w:cs="Adobe Garamond Pro"/>
          <w:color w:val="000000"/>
        </w:rPr>
        <w:t xml:space="preserve">Global TB Institute. Diagnosis and treatment of latent tuberculosis infection. 2015. </w:t>
      </w:r>
      <w:hyperlink r:id="rId15" w:history="1">
        <w:r w:rsidRPr="009305CD">
          <w:rPr>
            <w:rStyle w:val="Hyperlink"/>
            <w:rFonts w:asciiTheme="minorHAnsi" w:hAnsiTheme="minorHAnsi" w:cs="Adobe Garamond Pro"/>
          </w:rPr>
          <w:t>http://globaltb.njms.rutgers.edu/educationalmaterials/productfolder/ltbidrugcard.php</w:t>
        </w:r>
      </w:hyperlink>
      <w:r>
        <w:rPr>
          <w:rFonts w:asciiTheme="minorHAnsi" w:hAnsiTheme="minorHAnsi" w:cs="Adobe Garamond Pro"/>
          <w:color w:val="000000"/>
        </w:rPr>
        <w:t xml:space="preserve"> </w:t>
      </w:r>
    </w:p>
    <w:p w14:paraId="4C72540C" w14:textId="77777777" w:rsidR="00167C0B" w:rsidRDefault="00167C0B" w:rsidP="00167C0B">
      <w:pPr>
        <w:rPr>
          <w:rFonts w:asciiTheme="minorHAnsi" w:hAnsiTheme="minorHAnsi" w:cs="Adobe Garamond Pro"/>
          <w:color w:val="000000"/>
        </w:rPr>
      </w:pPr>
    </w:p>
    <w:p w14:paraId="091FB6A2" w14:textId="77777777" w:rsidR="003F3869" w:rsidRDefault="003F3869" w:rsidP="003F3869">
      <w:pPr>
        <w:spacing w:after="200"/>
        <w:rPr>
          <w:rFonts w:asciiTheme="minorHAnsi" w:hAnsiTheme="minorHAnsi"/>
        </w:rPr>
      </w:pPr>
      <w:r>
        <w:rPr>
          <w:rFonts w:asciiTheme="minorHAnsi" w:hAnsiTheme="minorHAnsi"/>
        </w:rPr>
        <w:t>Massachusetts Department of Public Health</w:t>
      </w:r>
      <w:r>
        <w:rPr>
          <w:rFonts w:asciiTheme="minorHAnsi" w:hAnsiTheme="minorHAnsi"/>
          <w:b/>
        </w:rPr>
        <w:t xml:space="preserve"> </w:t>
      </w:r>
      <w:hyperlink r:id="rId16" w:history="1">
        <w:r>
          <w:rPr>
            <w:rStyle w:val="Hyperlink"/>
            <w:rFonts w:asciiTheme="minorHAnsi" w:hAnsiTheme="minorHAnsi"/>
            <w:b/>
          </w:rPr>
          <w:t>TB Information for Your Patients</w:t>
        </w:r>
      </w:hyperlink>
      <w:r>
        <w:rPr>
          <w:rFonts w:asciiTheme="minorHAnsi" w:hAnsiTheme="minorHAnsi"/>
          <w:b/>
        </w:rPr>
        <w:t xml:space="preserve"> </w:t>
      </w:r>
      <w:hyperlink r:id="rId17" w:history="1">
        <w:r>
          <w:rPr>
            <w:rStyle w:val="Hyperlink"/>
            <w:rFonts w:asciiTheme="minorHAnsi" w:hAnsiTheme="minorHAnsi"/>
          </w:rPr>
          <w:t>https://www.mass.gov/lists/tb-information-for-your-patients-in-english-and-other-languages</w:t>
        </w:r>
      </w:hyperlink>
      <w:r>
        <w:rPr>
          <w:rFonts w:asciiTheme="minorHAnsi" w:hAnsiTheme="minorHAnsi"/>
        </w:rPr>
        <w:t xml:space="preserve"> </w:t>
      </w:r>
    </w:p>
    <w:p w14:paraId="7966A1E5" w14:textId="03C7B001" w:rsidR="005A7D62" w:rsidRPr="000D39F6" w:rsidRDefault="005A7D62" w:rsidP="005A7D62">
      <w:pPr>
        <w:spacing w:after="120"/>
        <w:ind w:left="180" w:hanging="180"/>
        <w:rPr>
          <w:rFonts w:asciiTheme="minorHAnsi" w:hAnsiTheme="minorHAnsi"/>
        </w:rPr>
      </w:pPr>
      <w:r w:rsidRPr="000D39F6">
        <w:rPr>
          <w:rFonts w:asciiTheme="minorHAnsi" w:hAnsiTheme="minorHAnsi"/>
        </w:rPr>
        <w:t>For further information, contact the MDPH T</w:t>
      </w:r>
      <w:r w:rsidR="0095704D">
        <w:rPr>
          <w:rFonts w:asciiTheme="minorHAnsi" w:hAnsiTheme="minorHAnsi"/>
        </w:rPr>
        <w:t>uberculosis</w:t>
      </w:r>
      <w:r w:rsidRPr="000D39F6">
        <w:rPr>
          <w:rFonts w:asciiTheme="minorHAnsi" w:hAnsiTheme="minorHAnsi"/>
        </w:rPr>
        <w:t xml:space="preserve"> Program at 617-983-6970.</w:t>
      </w:r>
    </w:p>
    <w:p w14:paraId="61AF2D56" w14:textId="77777777" w:rsidR="00F52B58" w:rsidRPr="007173C7" w:rsidRDefault="00F52B58" w:rsidP="00F52B58">
      <w:pPr>
        <w:keepLines/>
        <w:pBdr>
          <w:bottom w:val="single" w:sz="18" w:space="5" w:color="BFBFBF"/>
        </w:pBdr>
        <w:tabs>
          <w:tab w:val="right" w:pos="10440"/>
        </w:tabs>
        <w:spacing w:before="360"/>
        <w:ind w:right="-360" w:hanging="360"/>
        <w:rPr>
          <w:rFonts w:asciiTheme="minorHAnsi" w:hAnsiTheme="minorHAnsi" w:cs="Arial"/>
          <w:b/>
          <w:bCs/>
          <w:color w:val="365F91"/>
          <w:sz w:val="32"/>
          <w:szCs w:val="32"/>
        </w:rPr>
      </w:pPr>
      <w:r>
        <w:rPr>
          <w:rFonts w:asciiTheme="minorHAnsi" w:hAnsiTheme="minorHAnsi" w:cs="Arial"/>
          <w:b/>
          <w:bCs/>
          <w:color w:val="365F91"/>
          <w:sz w:val="32"/>
          <w:szCs w:val="32"/>
        </w:rPr>
        <w:t>REGULATIONS</w:t>
      </w:r>
      <w:r w:rsidRPr="007173C7">
        <w:rPr>
          <w:rFonts w:asciiTheme="minorHAnsi" w:hAnsiTheme="minorHAnsi" w:cs="Arial"/>
          <w:b/>
          <w:bCs/>
          <w:color w:val="365F91"/>
          <w:sz w:val="32"/>
          <w:szCs w:val="32"/>
        </w:rPr>
        <w:t xml:space="preserve">                                                                                                                             </w:t>
      </w:r>
    </w:p>
    <w:p w14:paraId="047B3044" w14:textId="77777777" w:rsidR="002C484A" w:rsidRDefault="002C484A" w:rsidP="00F52B58">
      <w:pPr>
        <w:rPr>
          <w:rFonts w:ascii="Calibri" w:hAnsi="Calibri"/>
          <w:color w:val="000000"/>
          <w:sz w:val="22"/>
          <w:szCs w:val="23"/>
        </w:rPr>
      </w:pPr>
    </w:p>
    <w:p w14:paraId="460580F9" w14:textId="77777777" w:rsidR="009D1DC5" w:rsidRPr="002C484A" w:rsidRDefault="009D1DC5" w:rsidP="009D1DC5">
      <w:pPr>
        <w:rPr>
          <w:rFonts w:asciiTheme="minorHAnsi" w:hAnsiTheme="minorHAnsi" w:cs="Arial"/>
          <w:b/>
        </w:rPr>
      </w:pPr>
      <w:r w:rsidRPr="002C484A">
        <w:rPr>
          <w:rFonts w:asciiTheme="minorHAnsi" w:hAnsiTheme="minorHAnsi" w:cs="Arial"/>
          <w:b/>
        </w:rPr>
        <w:t>105 CMR 300</w:t>
      </w:r>
    </w:p>
    <w:p w14:paraId="5C31B755" w14:textId="77777777" w:rsidR="009D1DC5" w:rsidRDefault="009D1DC5" w:rsidP="009D1D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Reportable diseases, surveillance, and isolation and q</w:t>
      </w:r>
      <w:r w:rsidRPr="002C484A">
        <w:rPr>
          <w:rFonts w:asciiTheme="minorHAnsi" w:hAnsiTheme="minorHAnsi" w:cs="Arial"/>
        </w:rPr>
        <w:t xml:space="preserve">uarantine </w:t>
      </w:r>
      <w:r>
        <w:rPr>
          <w:rFonts w:asciiTheme="minorHAnsi" w:hAnsiTheme="minorHAnsi" w:cs="Arial"/>
        </w:rPr>
        <w:t>r</w:t>
      </w:r>
      <w:r w:rsidRPr="002C484A"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>quirements</w:t>
      </w:r>
    </w:p>
    <w:p w14:paraId="15351EE0" w14:textId="77777777" w:rsidR="003F3869" w:rsidRDefault="003F3869" w:rsidP="003F3869">
      <w:pPr>
        <w:rPr>
          <w:rFonts w:ascii="Calibri" w:hAnsi="Calibri" w:cs="Arial"/>
        </w:rPr>
      </w:pPr>
      <w:hyperlink r:id="rId18" w:history="1">
        <w:r>
          <w:rPr>
            <w:rStyle w:val="Hyperlink"/>
            <w:rFonts w:ascii="Calibri" w:hAnsi="Calibri"/>
          </w:rPr>
          <w:t>https://www.mass.gov/regulations/105-CMR-30000-reportable-diseases-surveillance-and-isolation-and-quarantine</w:t>
        </w:r>
      </w:hyperlink>
      <w:r>
        <w:rPr>
          <w:rFonts w:ascii="Calibri" w:hAnsi="Calibri"/>
        </w:rPr>
        <w:t xml:space="preserve"> </w:t>
      </w:r>
      <w:r>
        <w:rPr>
          <w:rFonts w:ascii="Calibri" w:hAnsi="Calibri" w:cs="Arial"/>
        </w:rPr>
        <w:t xml:space="preserve"> </w:t>
      </w:r>
    </w:p>
    <w:p w14:paraId="7A5320C6" w14:textId="20AE13AF" w:rsidR="009D1DC5" w:rsidRPr="002C484A" w:rsidRDefault="009D1DC5" w:rsidP="009D1DC5">
      <w:pPr>
        <w:rPr>
          <w:rFonts w:asciiTheme="minorHAnsi" w:hAnsiTheme="minorHAnsi" w:cs="Arial"/>
        </w:rPr>
      </w:pPr>
    </w:p>
    <w:p w14:paraId="76BC93E5" w14:textId="77777777" w:rsidR="009D1DC5" w:rsidRDefault="009D1DC5" w:rsidP="009D1DC5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p w14:paraId="62A1EE1D" w14:textId="77777777" w:rsidR="00F52B58" w:rsidRPr="002C484A" w:rsidRDefault="00F52B58" w:rsidP="00F52B58">
      <w:pPr>
        <w:rPr>
          <w:rFonts w:asciiTheme="minorHAnsi" w:hAnsiTheme="minorHAnsi" w:cs="Arial"/>
        </w:rPr>
      </w:pPr>
    </w:p>
    <w:p w14:paraId="075026F4" w14:textId="103BBE70" w:rsidR="002C484A" w:rsidRPr="002C484A" w:rsidRDefault="002C484A" w:rsidP="009D1DC5">
      <w:pPr>
        <w:rPr>
          <w:rFonts w:asciiTheme="minorHAnsi" w:hAnsiTheme="minorHAnsi" w:cs="Arial"/>
        </w:rPr>
      </w:pPr>
    </w:p>
    <w:sectPr w:rsidR="002C484A" w:rsidRPr="002C484A" w:rsidSect="006F25B1">
      <w:footerReference w:type="default" r:id="rId19"/>
      <w:footerReference w:type="first" r:id="rId20"/>
      <w:pgSz w:w="12240" w:h="15840"/>
      <w:pgMar w:top="1800" w:right="1080" w:bottom="1440" w:left="1080" w:header="144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4C5BF" w14:textId="77777777" w:rsidR="00240602" w:rsidRDefault="00240602" w:rsidP="00505F11">
      <w:r>
        <w:separator/>
      </w:r>
    </w:p>
  </w:endnote>
  <w:endnote w:type="continuationSeparator" w:id="0">
    <w:p w14:paraId="0E84C01B" w14:textId="77777777" w:rsidR="00240602" w:rsidRDefault="00240602" w:rsidP="0050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-BookCondense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AEF0C" w14:textId="4A0F1993" w:rsidR="003C1832" w:rsidRDefault="003C1832" w:rsidP="007173C7">
    <w:pPr>
      <w:pStyle w:val="Footer"/>
      <w:pBdr>
        <w:top w:val="single" w:sz="4" w:space="0" w:color="BFBFBF"/>
      </w:pBdr>
      <w:tabs>
        <w:tab w:val="clear" w:pos="8640"/>
      </w:tabs>
      <w:rPr>
        <w:rFonts w:asciiTheme="minorHAnsi" w:hAnsiTheme="minorHAnsi" w:cstheme="minorHAnsi"/>
        <w:noProof/>
        <w:sz w:val="20"/>
        <w:szCs w:val="20"/>
      </w:rPr>
    </w:pPr>
    <w:r w:rsidRPr="00403DDE">
      <w:rPr>
        <w:rFonts w:ascii="Calibri" w:hAnsi="Calibri"/>
        <w:sz w:val="20"/>
        <w:szCs w:val="20"/>
      </w:rPr>
      <w:t>Bureau of Infectious Disease and Laboratory Sciences</w:t>
    </w:r>
    <w:r>
      <w:rPr>
        <w:rFonts w:ascii="Calibri" w:hAnsi="Calibri"/>
        <w:sz w:val="20"/>
        <w:szCs w:val="20"/>
      </w:rPr>
      <w:t xml:space="preserve"> | </w:t>
    </w:r>
    <w:r w:rsidRPr="00403DDE">
      <w:rPr>
        <w:rFonts w:ascii="Calibri" w:hAnsi="Calibri"/>
        <w:sz w:val="20"/>
        <w:szCs w:val="20"/>
      </w:rPr>
      <w:t>Division of Global Populations and Infectious Disease Prevention</w:t>
    </w:r>
    <w:r>
      <w:rPr>
        <w:rFonts w:ascii="Calibri" w:hAnsi="Calibri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</w:t>
    </w:r>
    <w:r w:rsidRPr="00BB4D8D">
      <w:rPr>
        <w:rFonts w:ascii="Calibri" w:hAnsi="Calibri"/>
        <w:sz w:val="20"/>
        <w:szCs w:val="20"/>
      </w:rPr>
      <w:t xml:space="preserve">305 South Street, Jamaica Plain, MA </w:t>
    </w:r>
    <w:proofErr w:type="gramStart"/>
    <w:r w:rsidRPr="00BB4D8D">
      <w:rPr>
        <w:rFonts w:ascii="Calibri" w:hAnsi="Calibri"/>
        <w:sz w:val="20"/>
        <w:szCs w:val="20"/>
      </w:rPr>
      <w:t>02130</w:t>
    </w:r>
    <w:r>
      <w:rPr>
        <w:rFonts w:ascii="Calibri" w:hAnsi="Calibri"/>
        <w:sz w:val="20"/>
        <w:szCs w:val="20"/>
      </w:rPr>
      <w:t xml:space="preserve">  </w:t>
    </w:r>
    <w:proofErr w:type="gramEnd"/>
    <w:hyperlink r:id="rId1" w:history="1">
      <w:r w:rsidRPr="00DF7229">
        <w:rPr>
          <w:rStyle w:val="Hyperlink"/>
          <w:rFonts w:ascii="Calibri" w:hAnsi="Calibri"/>
          <w:sz w:val="20"/>
          <w:szCs w:val="20"/>
        </w:rPr>
        <w:t>www.mass.gov/dph/cdc/tb</w:t>
      </w:r>
    </w:hyperlink>
    <w:r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ab/>
      <w:t xml:space="preserve">  </w:t>
    </w:r>
    <w:r>
      <w:rPr>
        <w:rFonts w:ascii="Calibri" w:hAnsi="Calibri"/>
        <w:sz w:val="20"/>
        <w:szCs w:val="20"/>
      </w:rPr>
      <w:tab/>
    </w:r>
    <w:r w:rsidRPr="00BB4D8D">
      <w:rPr>
        <w:rFonts w:asciiTheme="minorHAnsi" w:hAnsiTheme="minorHAnsi" w:cstheme="minorHAnsi"/>
        <w:sz w:val="20"/>
        <w:szCs w:val="20"/>
      </w:rPr>
      <w:t xml:space="preserve">Revised </w:t>
    </w:r>
    <w:r w:rsidR="003F3869">
      <w:rPr>
        <w:rFonts w:asciiTheme="minorHAnsi" w:hAnsiTheme="minorHAnsi" w:cstheme="minorHAnsi"/>
        <w:sz w:val="20"/>
        <w:szCs w:val="20"/>
      </w:rPr>
      <w:t>August</w:t>
    </w:r>
    <w:r w:rsidR="00197AEF">
      <w:rPr>
        <w:rFonts w:asciiTheme="minorHAnsi" w:hAnsiTheme="minorHAnsi" w:cstheme="minorHAnsi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201</w:t>
    </w:r>
    <w:r w:rsidR="002D6F00">
      <w:rPr>
        <w:rFonts w:asciiTheme="minorHAnsi" w:hAnsiTheme="minorHAnsi" w:cstheme="minorHAnsi"/>
        <w:sz w:val="20"/>
        <w:szCs w:val="20"/>
      </w:rPr>
      <w:t>8</w:t>
    </w:r>
    <w:r w:rsidRPr="00BB4D8D">
      <w:rPr>
        <w:rFonts w:asciiTheme="minorHAnsi" w:hAnsiTheme="minorHAnsi" w:cstheme="minorHAnsi"/>
        <w:sz w:val="20"/>
        <w:szCs w:val="20"/>
      </w:rPr>
      <w:t xml:space="preserve"> - Page | </w:t>
    </w:r>
    <w:r w:rsidRPr="00BB4D8D">
      <w:rPr>
        <w:rFonts w:asciiTheme="minorHAnsi" w:hAnsiTheme="minorHAnsi" w:cstheme="minorHAnsi"/>
        <w:sz w:val="20"/>
        <w:szCs w:val="20"/>
      </w:rPr>
      <w:fldChar w:fldCharType="begin"/>
    </w:r>
    <w:r w:rsidRPr="00BB4D8D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BB4D8D">
      <w:rPr>
        <w:rFonts w:asciiTheme="minorHAnsi" w:hAnsiTheme="minorHAnsi" w:cstheme="minorHAnsi"/>
        <w:sz w:val="20"/>
        <w:szCs w:val="20"/>
      </w:rPr>
      <w:fldChar w:fldCharType="separate"/>
    </w:r>
    <w:r w:rsidR="003F3869">
      <w:rPr>
        <w:rFonts w:asciiTheme="minorHAnsi" w:hAnsiTheme="minorHAnsi" w:cstheme="minorHAnsi"/>
        <w:noProof/>
        <w:sz w:val="20"/>
        <w:szCs w:val="20"/>
      </w:rPr>
      <w:t>7</w:t>
    </w:r>
    <w:r w:rsidRPr="00BB4D8D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0CA18950" w14:textId="77777777" w:rsidR="003C1832" w:rsidRDefault="003C1832" w:rsidP="007173C7">
    <w:pPr>
      <w:pStyle w:val="Footer"/>
      <w:ind w:left="720" w:hanging="1170"/>
      <w:rPr>
        <w:rFonts w:asciiTheme="minorHAnsi" w:hAnsiTheme="minorHAnsi" w:cstheme="minorHAnsi"/>
        <w:noProof/>
        <w:sz w:val="20"/>
        <w:szCs w:val="20"/>
      </w:rPr>
    </w:pPr>
  </w:p>
  <w:p w14:paraId="2C1D6F65" w14:textId="77777777" w:rsidR="003C1832" w:rsidRPr="00BB4D8D" w:rsidRDefault="003C1832" w:rsidP="007173C7">
    <w:pPr>
      <w:pStyle w:val="Footer"/>
      <w:ind w:left="720" w:hanging="1170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4CD31" w14:textId="77777777" w:rsidR="003C1832" w:rsidRDefault="003C1832" w:rsidP="004D22D3">
    <w:pPr>
      <w:pStyle w:val="Footer"/>
      <w:jc w:val="right"/>
    </w:pPr>
    <w:r>
      <w:rPr>
        <w:sz w:val="20"/>
        <w:szCs w:val="20"/>
      </w:rPr>
      <w:t>\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CADF7" w14:textId="77777777" w:rsidR="00240602" w:rsidRDefault="00240602" w:rsidP="00505F11">
      <w:r>
        <w:separator/>
      </w:r>
    </w:p>
  </w:footnote>
  <w:footnote w:type="continuationSeparator" w:id="0">
    <w:p w14:paraId="6BDC880F" w14:textId="77777777" w:rsidR="00240602" w:rsidRDefault="00240602" w:rsidP="00505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82"/>
    <w:multiLevelType w:val="hybridMultilevel"/>
    <w:tmpl w:val="62D62B1A"/>
    <w:lvl w:ilvl="0" w:tplc="752A2B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A092D"/>
    <w:multiLevelType w:val="singleLevel"/>
    <w:tmpl w:val="DA9AE6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111216FF"/>
    <w:multiLevelType w:val="hybridMultilevel"/>
    <w:tmpl w:val="B4CA316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7A0EB9"/>
    <w:multiLevelType w:val="hybridMultilevel"/>
    <w:tmpl w:val="F7448DD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DA10A5"/>
    <w:multiLevelType w:val="hybridMultilevel"/>
    <w:tmpl w:val="7B283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A7F1E"/>
    <w:multiLevelType w:val="hybridMultilevel"/>
    <w:tmpl w:val="0950C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73AC7"/>
    <w:multiLevelType w:val="hybridMultilevel"/>
    <w:tmpl w:val="2D92C30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1D656A"/>
    <w:multiLevelType w:val="hybridMultilevel"/>
    <w:tmpl w:val="CF2446E4"/>
    <w:lvl w:ilvl="0" w:tplc="C9DC8ACC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D5EBA"/>
    <w:multiLevelType w:val="hybridMultilevel"/>
    <w:tmpl w:val="F0EE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00FB0"/>
    <w:multiLevelType w:val="hybridMultilevel"/>
    <w:tmpl w:val="F6EC686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284047EA"/>
    <w:multiLevelType w:val="hybridMultilevel"/>
    <w:tmpl w:val="0E286F36"/>
    <w:lvl w:ilvl="0" w:tplc="4D922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638CF"/>
    <w:multiLevelType w:val="hybridMultilevel"/>
    <w:tmpl w:val="81760460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2">
    <w:nsid w:val="320F24A6"/>
    <w:multiLevelType w:val="hybridMultilevel"/>
    <w:tmpl w:val="40F208BE"/>
    <w:lvl w:ilvl="0" w:tplc="E696C6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D269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</w:abstractNum>
  <w:abstractNum w:abstractNumId="14">
    <w:nsid w:val="364B092D"/>
    <w:multiLevelType w:val="hybridMultilevel"/>
    <w:tmpl w:val="72A0CD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6592F85"/>
    <w:multiLevelType w:val="hybridMultilevel"/>
    <w:tmpl w:val="8922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7F27C5"/>
    <w:multiLevelType w:val="hybridMultilevel"/>
    <w:tmpl w:val="CE041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34ADC"/>
    <w:multiLevelType w:val="hybridMultilevel"/>
    <w:tmpl w:val="198A464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0400599"/>
    <w:multiLevelType w:val="hybridMultilevel"/>
    <w:tmpl w:val="FC6A3852"/>
    <w:lvl w:ilvl="0" w:tplc="4FEC89D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D637D2"/>
    <w:multiLevelType w:val="hybridMultilevel"/>
    <w:tmpl w:val="63B0C7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FEC89D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64EF0"/>
    <w:multiLevelType w:val="hybridMultilevel"/>
    <w:tmpl w:val="0276C6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786FD9"/>
    <w:multiLevelType w:val="hybridMultilevel"/>
    <w:tmpl w:val="5EFC72D6"/>
    <w:lvl w:ilvl="0" w:tplc="253264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8531D"/>
    <w:multiLevelType w:val="hybridMultilevel"/>
    <w:tmpl w:val="92B013F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09B57C7"/>
    <w:multiLevelType w:val="hybridMultilevel"/>
    <w:tmpl w:val="89DA063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E5130"/>
    <w:multiLevelType w:val="hybridMultilevel"/>
    <w:tmpl w:val="DC6A4D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45551B0"/>
    <w:multiLevelType w:val="hybridMultilevel"/>
    <w:tmpl w:val="2FB24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330FA7"/>
    <w:multiLevelType w:val="hybridMultilevel"/>
    <w:tmpl w:val="D2C2F92C"/>
    <w:lvl w:ilvl="0" w:tplc="BB227846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>
    <w:nsid w:val="67E91FAC"/>
    <w:multiLevelType w:val="hybridMultilevel"/>
    <w:tmpl w:val="82821B5C"/>
    <w:lvl w:ilvl="0" w:tplc="4FEC89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826477F"/>
    <w:multiLevelType w:val="hybridMultilevel"/>
    <w:tmpl w:val="504A7F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92B5646"/>
    <w:multiLevelType w:val="hybridMultilevel"/>
    <w:tmpl w:val="B41890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50B9D"/>
    <w:multiLevelType w:val="hybridMultilevel"/>
    <w:tmpl w:val="9B3E0F76"/>
    <w:lvl w:ilvl="0" w:tplc="594AD298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64561B"/>
    <w:multiLevelType w:val="hybridMultilevel"/>
    <w:tmpl w:val="2B36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DD649E"/>
    <w:multiLevelType w:val="hybridMultilevel"/>
    <w:tmpl w:val="B010D696"/>
    <w:lvl w:ilvl="0" w:tplc="752A2B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74036E"/>
    <w:multiLevelType w:val="hybridMultilevel"/>
    <w:tmpl w:val="A95A94E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20"/>
  </w:num>
  <w:num w:numId="4">
    <w:abstractNumId w:val="13"/>
  </w:num>
  <w:num w:numId="5">
    <w:abstractNumId w:val="1"/>
  </w:num>
  <w:num w:numId="6">
    <w:abstractNumId w:val="33"/>
  </w:num>
  <w:num w:numId="7">
    <w:abstractNumId w:val="22"/>
  </w:num>
  <w:num w:numId="8">
    <w:abstractNumId w:val="17"/>
  </w:num>
  <w:num w:numId="9">
    <w:abstractNumId w:val="25"/>
  </w:num>
  <w:num w:numId="10">
    <w:abstractNumId w:val="29"/>
  </w:num>
  <w:num w:numId="11">
    <w:abstractNumId w:val="6"/>
  </w:num>
  <w:num w:numId="12">
    <w:abstractNumId w:val="23"/>
  </w:num>
  <w:num w:numId="13">
    <w:abstractNumId w:val="8"/>
  </w:num>
  <w:num w:numId="14">
    <w:abstractNumId w:val="31"/>
  </w:num>
  <w:num w:numId="15">
    <w:abstractNumId w:val="28"/>
  </w:num>
  <w:num w:numId="16">
    <w:abstractNumId w:val="10"/>
  </w:num>
  <w:num w:numId="17">
    <w:abstractNumId w:val="27"/>
  </w:num>
  <w:num w:numId="18">
    <w:abstractNumId w:val="15"/>
  </w:num>
  <w:num w:numId="19">
    <w:abstractNumId w:val="18"/>
  </w:num>
  <w:num w:numId="20">
    <w:abstractNumId w:val="19"/>
  </w:num>
  <w:num w:numId="21">
    <w:abstractNumId w:val="30"/>
  </w:num>
  <w:num w:numId="22">
    <w:abstractNumId w:val="24"/>
  </w:num>
  <w:num w:numId="23">
    <w:abstractNumId w:val="14"/>
  </w:num>
  <w:num w:numId="24">
    <w:abstractNumId w:val="12"/>
  </w:num>
  <w:num w:numId="25">
    <w:abstractNumId w:val="7"/>
  </w:num>
  <w:num w:numId="26">
    <w:abstractNumId w:val="21"/>
  </w:num>
  <w:num w:numId="27">
    <w:abstractNumId w:val="16"/>
  </w:num>
  <w:num w:numId="28">
    <w:abstractNumId w:val="9"/>
  </w:num>
  <w:num w:numId="29">
    <w:abstractNumId w:val="4"/>
  </w:num>
  <w:num w:numId="30">
    <w:abstractNumId w:val="11"/>
  </w:num>
  <w:num w:numId="31">
    <w:abstractNumId w:val="3"/>
  </w:num>
  <w:num w:numId="32">
    <w:abstractNumId w:val="2"/>
  </w:num>
  <w:num w:numId="33">
    <w:abstractNumId w:val="32"/>
  </w:num>
  <w:num w:numId="3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7D"/>
    <w:rsid w:val="00001EE5"/>
    <w:rsid w:val="00020F99"/>
    <w:rsid w:val="00021777"/>
    <w:rsid w:val="000227DC"/>
    <w:rsid w:val="000250CA"/>
    <w:rsid w:val="00034D74"/>
    <w:rsid w:val="0003549B"/>
    <w:rsid w:val="00042AE0"/>
    <w:rsid w:val="00047D35"/>
    <w:rsid w:val="00051487"/>
    <w:rsid w:val="00054012"/>
    <w:rsid w:val="00073A1C"/>
    <w:rsid w:val="0007586A"/>
    <w:rsid w:val="000822BA"/>
    <w:rsid w:val="00082AE6"/>
    <w:rsid w:val="00082F30"/>
    <w:rsid w:val="00092FB2"/>
    <w:rsid w:val="00096CF7"/>
    <w:rsid w:val="000A61E5"/>
    <w:rsid w:val="000B0EB1"/>
    <w:rsid w:val="000D0C44"/>
    <w:rsid w:val="000E0D61"/>
    <w:rsid w:val="00102723"/>
    <w:rsid w:val="0010458A"/>
    <w:rsid w:val="0011271E"/>
    <w:rsid w:val="0011358B"/>
    <w:rsid w:val="001343D9"/>
    <w:rsid w:val="00157FB5"/>
    <w:rsid w:val="00160A49"/>
    <w:rsid w:val="00164202"/>
    <w:rsid w:val="0016480A"/>
    <w:rsid w:val="00167C0B"/>
    <w:rsid w:val="0017518A"/>
    <w:rsid w:val="00181AE6"/>
    <w:rsid w:val="001822B4"/>
    <w:rsid w:val="00185008"/>
    <w:rsid w:val="0018546D"/>
    <w:rsid w:val="00185AF9"/>
    <w:rsid w:val="00197331"/>
    <w:rsid w:val="00197AEF"/>
    <w:rsid w:val="001A0372"/>
    <w:rsid w:val="001A3DBF"/>
    <w:rsid w:val="001A6485"/>
    <w:rsid w:val="001A7C7D"/>
    <w:rsid w:val="001B1CD6"/>
    <w:rsid w:val="001B6BCA"/>
    <w:rsid w:val="001C2B61"/>
    <w:rsid w:val="001C35B3"/>
    <w:rsid w:val="001C7C32"/>
    <w:rsid w:val="001D2816"/>
    <w:rsid w:val="001E0D01"/>
    <w:rsid w:val="001E6BDE"/>
    <w:rsid w:val="001E7A4B"/>
    <w:rsid w:val="001F1060"/>
    <w:rsid w:val="001F15F1"/>
    <w:rsid w:val="001F306B"/>
    <w:rsid w:val="001F65F5"/>
    <w:rsid w:val="00201C0B"/>
    <w:rsid w:val="00206712"/>
    <w:rsid w:val="00207F24"/>
    <w:rsid w:val="00225827"/>
    <w:rsid w:val="00237185"/>
    <w:rsid w:val="0024051D"/>
    <w:rsid w:val="00240602"/>
    <w:rsid w:val="00245A49"/>
    <w:rsid w:val="002477FC"/>
    <w:rsid w:val="00255F79"/>
    <w:rsid w:val="00274480"/>
    <w:rsid w:val="00283661"/>
    <w:rsid w:val="00285364"/>
    <w:rsid w:val="00286F3B"/>
    <w:rsid w:val="002C0297"/>
    <w:rsid w:val="002C484A"/>
    <w:rsid w:val="002D6F00"/>
    <w:rsid w:val="002F014B"/>
    <w:rsid w:val="002F6C8B"/>
    <w:rsid w:val="00302A67"/>
    <w:rsid w:val="00312946"/>
    <w:rsid w:val="00315531"/>
    <w:rsid w:val="00316091"/>
    <w:rsid w:val="00316B47"/>
    <w:rsid w:val="003325B7"/>
    <w:rsid w:val="003423DF"/>
    <w:rsid w:val="00364711"/>
    <w:rsid w:val="00365C4F"/>
    <w:rsid w:val="00365E34"/>
    <w:rsid w:val="0037688D"/>
    <w:rsid w:val="003A1F0E"/>
    <w:rsid w:val="003A635E"/>
    <w:rsid w:val="003C1832"/>
    <w:rsid w:val="003D0D8C"/>
    <w:rsid w:val="003D40DC"/>
    <w:rsid w:val="003E11A2"/>
    <w:rsid w:val="003F0749"/>
    <w:rsid w:val="003F36E6"/>
    <w:rsid w:val="003F3869"/>
    <w:rsid w:val="00401BAB"/>
    <w:rsid w:val="00403DDE"/>
    <w:rsid w:val="004075A7"/>
    <w:rsid w:val="00410ED1"/>
    <w:rsid w:val="00413ED2"/>
    <w:rsid w:val="00454416"/>
    <w:rsid w:val="00456CE7"/>
    <w:rsid w:val="00467035"/>
    <w:rsid w:val="00471A6E"/>
    <w:rsid w:val="0047746B"/>
    <w:rsid w:val="0048087B"/>
    <w:rsid w:val="0049559E"/>
    <w:rsid w:val="0049737F"/>
    <w:rsid w:val="004A037E"/>
    <w:rsid w:val="004A0D57"/>
    <w:rsid w:val="004A1983"/>
    <w:rsid w:val="004C001E"/>
    <w:rsid w:val="004C382F"/>
    <w:rsid w:val="004C43FC"/>
    <w:rsid w:val="004D22D3"/>
    <w:rsid w:val="004D5F16"/>
    <w:rsid w:val="004E21EC"/>
    <w:rsid w:val="004E7CD4"/>
    <w:rsid w:val="004F6011"/>
    <w:rsid w:val="005004F5"/>
    <w:rsid w:val="00501578"/>
    <w:rsid w:val="0050323E"/>
    <w:rsid w:val="00505F11"/>
    <w:rsid w:val="00510154"/>
    <w:rsid w:val="0052528E"/>
    <w:rsid w:val="0052736D"/>
    <w:rsid w:val="00536600"/>
    <w:rsid w:val="00542121"/>
    <w:rsid w:val="005512CF"/>
    <w:rsid w:val="005623B7"/>
    <w:rsid w:val="00577B68"/>
    <w:rsid w:val="00594320"/>
    <w:rsid w:val="00595395"/>
    <w:rsid w:val="005A4487"/>
    <w:rsid w:val="005A7D62"/>
    <w:rsid w:val="005B5496"/>
    <w:rsid w:val="005C7933"/>
    <w:rsid w:val="005D37EB"/>
    <w:rsid w:val="005D5E5A"/>
    <w:rsid w:val="005E4E69"/>
    <w:rsid w:val="00606E73"/>
    <w:rsid w:val="00634FE0"/>
    <w:rsid w:val="00635295"/>
    <w:rsid w:val="0063599F"/>
    <w:rsid w:val="006445ED"/>
    <w:rsid w:val="00655EB8"/>
    <w:rsid w:val="00673183"/>
    <w:rsid w:val="0068234A"/>
    <w:rsid w:val="00683723"/>
    <w:rsid w:val="006845B9"/>
    <w:rsid w:val="006A0A23"/>
    <w:rsid w:val="006A17E7"/>
    <w:rsid w:val="006B43E0"/>
    <w:rsid w:val="006C2267"/>
    <w:rsid w:val="006F25B1"/>
    <w:rsid w:val="006F3146"/>
    <w:rsid w:val="006F3AD0"/>
    <w:rsid w:val="006F791E"/>
    <w:rsid w:val="006F7E74"/>
    <w:rsid w:val="00714FE4"/>
    <w:rsid w:val="007173C7"/>
    <w:rsid w:val="00723999"/>
    <w:rsid w:val="00742ADD"/>
    <w:rsid w:val="007456BE"/>
    <w:rsid w:val="0074586A"/>
    <w:rsid w:val="00752049"/>
    <w:rsid w:val="00752FE3"/>
    <w:rsid w:val="00763F57"/>
    <w:rsid w:val="00764C1B"/>
    <w:rsid w:val="007659D9"/>
    <w:rsid w:val="007761E7"/>
    <w:rsid w:val="00776F91"/>
    <w:rsid w:val="0078191C"/>
    <w:rsid w:val="0078403C"/>
    <w:rsid w:val="00793F7D"/>
    <w:rsid w:val="007B5C47"/>
    <w:rsid w:val="007C0FD0"/>
    <w:rsid w:val="007C1048"/>
    <w:rsid w:val="007C155E"/>
    <w:rsid w:val="007C3A03"/>
    <w:rsid w:val="007C5A1A"/>
    <w:rsid w:val="007E1629"/>
    <w:rsid w:val="007E7356"/>
    <w:rsid w:val="007F7BA1"/>
    <w:rsid w:val="00802EE8"/>
    <w:rsid w:val="00807B2D"/>
    <w:rsid w:val="00816CBB"/>
    <w:rsid w:val="00816D46"/>
    <w:rsid w:val="00817200"/>
    <w:rsid w:val="00821C6B"/>
    <w:rsid w:val="00827B7F"/>
    <w:rsid w:val="00843225"/>
    <w:rsid w:val="00846B8F"/>
    <w:rsid w:val="00850507"/>
    <w:rsid w:val="00850E70"/>
    <w:rsid w:val="00864541"/>
    <w:rsid w:val="00871304"/>
    <w:rsid w:val="00872193"/>
    <w:rsid w:val="00872E52"/>
    <w:rsid w:val="00873209"/>
    <w:rsid w:val="008754B0"/>
    <w:rsid w:val="0087565B"/>
    <w:rsid w:val="00876D26"/>
    <w:rsid w:val="00880056"/>
    <w:rsid w:val="0088372C"/>
    <w:rsid w:val="00884FF4"/>
    <w:rsid w:val="0089021D"/>
    <w:rsid w:val="00893990"/>
    <w:rsid w:val="008C6C5A"/>
    <w:rsid w:val="008D0F67"/>
    <w:rsid w:val="008E0432"/>
    <w:rsid w:val="008F73CF"/>
    <w:rsid w:val="00913595"/>
    <w:rsid w:val="009319CA"/>
    <w:rsid w:val="009324C3"/>
    <w:rsid w:val="009350B2"/>
    <w:rsid w:val="00954817"/>
    <w:rsid w:val="00954A88"/>
    <w:rsid w:val="0095704D"/>
    <w:rsid w:val="0096094E"/>
    <w:rsid w:val="009660A2"/>
    <w:rsid w:val="0096680C"/>
    <w:rsid w:val="00967B1E"/>
    <w:rsid w:val="00971AE7"/>
    <w:rsid w:val="009755FD"/>
    <w:rsid w:val="009821B0"/>
    <w:rsid w:val="0098598A"/>
    <w:rsid w:val="00985D47"/>
    <w:rsid w:val="00990C80"/>
    <w:rsid w:val="00990FDB"/>
    <w:rsid w:val="009A0812"/>
    <w:rsid w:val="009A4AF2"/>
    <w:rsid w:val="009B47F2"/>
    <w:rsid w:val="009B71A7"/>
    <w:rsid w:val="009D193E"/>
    <w:rsid w:val="009D1B53"/>
    <w:rsid w:val="009D1DC5"/>
    <w:rsid w:val="009D6742"/>
    <w:rsid w:val="009E20FF"/>
    <w:rsid w:val="00A1181C"/>
    <w:rsid w:val="00A1500E"/>
    <w:rsid w:val="00A212AB"/>
    <w:rsid w:val="00A2646C"/>
    <w:rsid w:val="00A41936"/>
    <w:rsid w:val="00A45C6D"/>
    <w:rsid w:val="00A46F0E"/>
    <w:rsid w:val="00A535C1"/>
    <w:rsid w:val="00A62C0B"/>
    <w:rsid w:val="00A63A44"/>
    <w:rsid w:val="00A66BB4"/>
    <w:rsid w:val="00A72390"/>
    <w:rsid w:val="00A801C3"/>
    <w:rsid w:val="00AA0203"/>
    <w:rsid w:val="00AA4203"/>
    <w:rsid w:val="00AB4385"/>
    <w:rsid w:val="00AB6C2D"/>
    <w:rsid w:val="00AC63EB"/>
    <w:rsid w:val="00AD3146"/>
    <w:rsid w:val="00AE41B9"/>
    <w:rsid w:val="00AE7C30"/>
    <w:rsid w:val="00AF1372"/>
    <w:rsid w:val="00B07F95"/>
    <w:rsid w:val="00B119DD"/>
    <w:rsid w:val="00B11E45"/>
    <w:rsid w:val="00B27C90"/>
    <w:rsid w:val="00B471ED"/>
    <w:rsid w:val="00B62B98"/>
    <w:rsid w:val="00B67F17"/>
    <w:rsid w:val="00B7554C"/>
    <w:rsid w:val="00B81FFD"/>
    <w:rsid w:val="00B86C54"/>
    <w:rsid w:val="00B95C8B"/>
    <w:rsid w:val="00B970AD"/>
    <w:rsid w:val="00BA2E3E"/>
    <w:rsid w:val="00BA33F3"/>
    <w:rsid w:val="00BB4D8D"/>
    <w:rsid w:val="00BB748D"/>
    <w:rsid w:val="00BC0DA9"/>
    <w:rsid w:val="00BC2D9B"/>
    <w:rsid w:val="00BE50AC"/>
    <w:rsid w:val="00BF1B40"/>
    <w:rsid w:val="00BF1BA5"/>
    <w:rsid w:val="00BF67C4"/>
    <w:rsid w:val="00C031F5"/>
    <w:rsid w:val="00C11074"/>
    <w:rsid w:val="00C158BB"/>
    <w:rsid w:val="00C26E81"/>
    <w:rsid w:val="00C405BF"/>
    <w:rsid w:val="00C500F0"/>
    <w:rsid w:val="00C50109"/>
    <w:rsid w:val="00C60D81"/>
    <w:rsid w:val="00C704D2"/>
    <w:rsid w:val="00C7386D"/>
    <w:rsid w:val="00C73C80"/>
    <w:rsid w:val="00C759B6"/>
    <w:rsid w:val="00C76E86"/>
    <w:rsid w:val="00C9096D"/>
    <w:rsid w:val="00CA00BB"/>
    <w:rsid w:val="00CA0DFD"/>
    <w:rsid w:val="00CC2299"/>
    <w:rsid w:val="00CC6AEA"/>
    <w:rsid w:val="00D1139C"/>
    <w:rsid w:val="00D11BD6"/>
    <w:rsid w:val="00D20E12"/>
    <w:rsid w:val="00D22816"/>
    <w:rsid w:val="00D26AE4"/>
    <w:rsid w:val="00D26C6E"/>
    <w:rsid w:val="00D51723"/>
    <w:rsid w:val="00D710BD"/>
    <w:rsid w:val="00D9138D"/>
    <w:rsid w:val="00D97A4D"/>
    <w:rsid w:val="00DA0E92"/>
    <w:rsid w:val="00DC2107"/>
    <w:rsid w:val="00DC3DE1"/>
    <w:rsid w:val="00DC6894"/>
    <w:rsid w:val="00DD571D"/>
    <w:rsid w:val="00DE001F"/>
    <w:rsid w:val="00DF0DE9"/>
    <w:rsid w:val="00DF0F5F"/>
    <w:rsid w:val="00DF4349"/>
    <w:rsid w:val="00E00E90"/>
    <w:rsid w:val="00E16197"/>
    <w:rsid w:val="00E16847"/>
    <w:rsid w:val="00E20043"/>
    <w:rsid w:val="00E22C96"/>
    <w:rsid w:val="00E2540B"/>
    <w:rsid w:val="00E26C6B"/>
    <w:rsid w:val="00E43FB6"/>
    <w:rsid w:val="00E518D4"/>
    <w:rsid w:val="00E65552"/>
    <w:rsid w:val="00E66479"/>
    <w:rsid w:val="00E72CAA"/>
    <w:rsid w:val="00E7333A"/>
    <w:rsid w:val="00E820CA"/>
    <w:rsid w:val="00E919A3"/>
    <w:rsid w:val="00EA450E"/>
    <w:rsid w:val="00EB63FD"/>
    <w:rsid w:val="00EC5465"/>
    <w:rsid w:val="00EE14C6"/>
    <w:rsid w:val="00EE45B8"/>
    <w:rsid w:val="00EF07EB"/>
    <w:rsid w:val="00EF584F"/>
    <w:rsid w:val="00F05AC8"/>
    <w:rsid w:val="00F128F7"/>
    <w:rsid w:val="00F20BB9"/>
    <w:rsid w:val="00F43C46"/>
    <w:rsid w:val="00F4756A"/>
    <w:rsid w:val="00F52B58"/>
    <w:rsid w:val="00F7095D"/>
    <w:rsid w:val="00F7376C"/>
    <w:rsid w:val="00F80AAF"/>
    <w:rsid w:val="00FB4295"/>
    <w:rsid w:val="00FB729F"/>
    <w:rsid w:val="00FF1C9E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E1415D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uiPriority="0"/>
    <w:lsdException w:name="macro" w:semiHidden="0" w:unhideWhenUsed="0"/>
    <w:lsdException w:name="List" w:uiPriority="0"/>
    <w:lsdException w:name="List Number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9D1B53"/>
    <w:pPr>
      <w:keepNext/>
      <w:widowControl w:val="0"/>
      <w:tabs>
        <w:tab w:val="left" w:pos="360"/>
      </w:tabs>
      <w:suppressAutoHyphens/>
      <w:outlineLvl w:val="0"/>
    </w:pPr>
    <w:rPr>
      <w:rFonts w:ascii="Times New Roman" w:eastAsia="Times New Roman" w:hAnsi="Times New Roman"/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A33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8C6C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8C6C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505F1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505F11"/>
    <w:rPr>
      <w:rFonts w:cs="Times New Roman"/>
      <w:sz w:val="24"/>
    </w:rPr>
  </w:style>
  <w:style w:type="character" w:styleId="PageNumber">
    <w:name w:val="page number"/>
    <w:uiPriority w:val="99"/>
    <w:semiHidden/>
    <w:rsid w:val="00505F11"/>
    <w:rPr>
      <w:rFonts w:cs="Times New Roman"/>
    </w:rPr>
  </w:style>
  <w:style w:type="character" w:styleId="Hyperlink">
    <w:name w:val="Hyperlink"/>
    <w:uiPriority w:val="99"/>
    <w:rsid w:val="00042AE0"/>
    <w:rPr>
      <w:rFonts w:cs="Times New Roman"/>
      <w:color w:val="0000FF"/>
      <w:u w:val="single"/>
    </w:rPr>
  </w:style>
  <w:style w:type="paragraph" w:customStyle="1" w:styleId="BIDTitle">
    <w:name w:val="BID Title"/>
    <w:basedOn w:val="Normal"/>
    <w:uiPriority w:val="99"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uiPriority w:val="99"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uiPriority w:val="99"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uiPriority w:val="99"/>
    <w:rsid w:val="00471A6E"/>
    <w:pPr>
      <w:numPr>
        <w:numId w:val="1"/>
      </w:numPr>
    </w:pPr>
  </w:style>
  <w:style w:type="paragraph" w:customStyle="1" w:styleId="BIDBODYCOPY">
    <w:name w:val="BID BODY COPY"/>
    <w:basedOn w:val="Normal"/>
    <w:uiPriority w:val="99"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uiPriority w:val="99"/>
    <w:rsid w:val="00F7376C"/>
    <w:pPr>
      <w:spacing w:before="0"/>
    </w:pPr>
  </w:style>
  <w:style w:type="paragraph" w:customStyle="1" w:styleId="BIDTEXTBOXBODYCOPY">
    <w:name w:val="BID TEXTBOX BODY COPY"/>
    <w:basedOn w:val="BIDBODYCOPY"/>
    <w:uiPriority w:val="99"/>
    <w:rsid w:val="00F7376C"/>
    <w:pPr>
      <w:ind w:right="0"/>
    </w:pPr>
  </w:style>
  <w:style w:type="paragraph" w:styleId="ListParagraph">
    <w:name w:val="List Paragraph"/>
    <w:basedOn w:val="Normal"/>
    <w:uiPriority w:val="34"/>
    <w:qFormat/>
    <w:rsid w:val="00042AE0"/>
    <w:pPr>
      <w:ind w:left="720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rsid w:val="00042AE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42AE0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75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7586A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9E20FF"/>
    <w:pPr>
      <w:widowControl w:val="0"/>
    </w:pPr>
    <w:rPr>
      <w:rFonts w:ascii="Courier New" w:hAnsi="Courier New"/>
      <w:szCs w:val="20"/>
    </w:rPr>
  </w:style>
  <w:style w:type="character" w:customStyle="1" w:styleId="EndnoteTextChar">
    <w:name w:val="Endnote Text Char"/>
    <w:link w:val="EndnoteText"/>
    <w:semiHidden/>
    <w:locked/>
    <w:rsid w:val="009E20FF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E20FF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locked/>
    <w:rsid w:val="009E20FF"/>
    <w:rPr>
      <w:rFonts w:cs="Times New Roman"/>
      <w:b/>
    </w:rPr>
  </w:style>
  <w:style w:type="paragraph" w:customStyle="1" w:styleId="Default">
    <w:name w:val="Default"/>
    <w:rsid w:val="003F07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3F0749"/>
    <w:rPr>
      <w:color w:val="auto"/>
    </w:rPr>
  </w:style>
  <w:style w:type="character" w:customStyle="1" w:styleId="BodyTextChar">
    <w:name w:val="Body Text Char"/>
    <w:link w:val="BodyText"/>
    <w:uiPriority w:val="99"/>
    <w:locked/>
    <w:rsid w:val="003F0749"/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locked/>
    <w:rsid w:val="003F0749"/>
    <w:rPr>
      <w:rFonts w:cs="Times New Roman"/>
      <w:i/>
    </w:rPr>
  </w:style>
  <w:style w:type="character" w:customStyle="1" w:styleId="Heading1Char">
    <w:name w:val="Heading 1 Char"/>
    <w:basedOn w:val="DefaultParagraphFont"/>
    <w:link w:val="Heading1"/>
    <w:rsid w:val="009D1B53"/>
    <w:rPr>
      <w:rFonts w:ascii="Times New Roman" w:eastAsia="Times New Roman" w:hAnsi="Times New Roman"/>
      <w:b/>
      <w:sz w:val="24"/>
    </w:rPr>
  </w:style>
  <w:style w:type="paragraph" w:styleId="List">
    <w:name w:val="List"/>
    <w:basedOn w:val="Normal"/>
    <w:rsid w:val="009D1B53"/>
    <w:pPr>
      <w:ind w:left="360" w:hanging="360"/>
    </w:pPr>
    <w:rPr>
      <w:rFonts w:ascii="Times New Roman" w:eastAsia="Times New Roman" w:hAnsi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BA33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890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9021D"/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89021D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8C6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8C6C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rsid w:val="008C6C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C6C5A"/>
    <w:rPr>
      <w:sz w:val="24"/>
      <w:szCs w:val="24"/>
    </w:rPr>
  </w:style>
  <w:style w:type="paragraph" w:styleId="TOC7">
    <w:name w:val="toc 7"/>
    <w:basedOn w:val="Normal"/>
    <w:next w:val="Normal"/>
    <w:autoRedefine/>
    <w:locked/>
    <w:rsid w:val="0052736D"/>
    <w:pPr>
      <w:spacing w:after="100"/>
      <w:ind w:left="1440"/>
    </w:pPr>
  </w:style>
  <w:style w:type="table" w:styleId="TableGrid">
    <w:name w:val="Table Grid"/>
    <w:basedOn w:val="TableNormal"/>
    <w:locked/>
    <w:rsid w:val="00365E34"/>
    <w:rPr>
      <w:rFonts w:ascii="Times New Roman" w:eastAsia="Times New Roman" w:hAnsi="Times New Roman"/>
      <w:lang w:bidi="km-K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AA42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A4203"/>
    <w:rPr>
      <w:rFonts w:ascii="Cambria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A4203"/>
    <w:rPr>
      <w:rFonts w:ascii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C7386D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034D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034D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034D7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37E"/>
    <w:rPr>
      <w:color w:val="808080"/>
      <w:shd w:val="clear" w:color="auto" w:fill="E6E6E6"/>
    </w:rPr>
  </w:style>
  <w:style w:type="character" w:styleId="HTMLCite">
    <w:name w:val="HTML Cite"/>
    <w:basedOn w:val="DefaultParagraphFont"/>
    <w:uiPriority w:val="99"/>
    <w:semiHidden/>
    <w:rsid w:val="005A7D62"/>
    <w:rPr>
      <w:rFonts w:cs="Times New Roman"/>
      <w:i/>
      <w:iCs/>
    </w:rPr>
  </w:style>
  <w:style w:type="character" w:customStyle="1" w:styleId="cit-auth2">
    <w:name w:val="cit-auth2"/>
    <w:basedOn w:val="DefaultParagraphFont"/>
    <w:uiPriority w:val="99"/>
    <w:rsid w:val="005A7D62"/>
    <w:rPr>
      <w:rFonts w:cs="Times New Roman"/>
    </w:rPr>
  </w:style>
  <w:style w:type="character" w:customStyle="1" w:styleId="cit-name-surname">
    <w:name w:val="cit-name-surname"/>
    <w:basedOn w:val="DefaultParagraphFont"/>
    <w:uiPriority w:val="99"/>
    <w:rsid w:val="005A7D62"/>
    <w:rPr>
      <w:rFonts w:cs="Times New Roman"/>
    </w:rPr>
  </w:style>
  <w:style w:type="character" w:customStyle="1" w:styleId="cit-name-given-names">
    <w:name w:val="cit-name-given-names"/>
    <w:basedOn w:val="DefaultParagraphFont"/>
    <w:uiPriority w:val="99"/>
    <w:rsid w:val="005A7D62"/>
    <w:rPr>
      <w:rFonts w:cs="Times New Roman"/>
    </w:rPr>
  </w:style>
  <w:style w:type="character" w:customStyle="1" w:styleId="cit-article-title">
    <w:name w:val="cit-article-title"/>
    <w:basedOn w:val="DefaultParagraphFont"/>
    <w:uiPriority w:val="99"/>
    <w:rsid w:val="005A7D62"/>
    <w:rPr>
      <w:rFonts w:cs="Times New Roman"/>
    </w:rPr>
  </w:style>
  <w:style w:type="character" w:customStyle="1" w:styleId="cit-pub-date">
    <w:name w:val="cit-pub-date"/>
    <w:basedOn w:val="DefaultParagraphFont"/>
    <w:uiPriority w:val="99"/>
    <w:rsid w:val="005A7D62"/>
    <w:rPr>
      <w:rFonts w:cs="Times New Roman"/>
    </w:rPr>
  </w:style>
  <w:style w:type="character" w:customStyle="1" w:styleId="cit-vol5">
    <w:name w:val="cit-vol5"/>
    <w:basedOn w:val="DefaultParagraphFont"/>
    <w:uiPriority w:val="99"/>
    <w:rsid w:val="005A7D62"/>
    <w:rPr>
      <w:rFonts w:cs="Times New Roman"/>
    </w:rPr>
  </w:style>
  <w:style w:type="character" w:customStyle="1" w:styleId="cit-fpage">
    <w:name w:val="cit-fpage"/>
    <w:basedOn w:val="DefaultParagraphFont"/>
    <w:uiPriority w:val="99"/>
    <w:rsid w:val="005A7D62"/>
    <w:rPr>
      <w:rFonts w:cs="Times New Roman"/>
    </w:rPr>
  </w:style>
  <w:style w:type="character" w:customStyle="1" w:styleId="cit-lpage">
    <w:name w:val="cit-lpage"/>
    <w:basedOn w:val="DefaultParagraphFont"/>
    <w:uiPriority w:val="99"/>
    <w:rsid w:val="005A7D6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uiPriority="0"/>
    <w:lsdException w:name="macro" w:semiHidden="0" w:unhideWhenUsed="0"/>
    <w:lsdException w:name="List" w:uiPriority="0"/>
    <w:lsdException w:name="List Number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9D1B53"/>
    <w:pPr>
      <w:keepNext/>
      <w:widowControl w:val="0"/>
      <w:tabs>
        <w:tab w:val="left" w:pos="360"/>
      </w:tabs>
      <w:suppressAutoHyphens/>
      <w:outlineLvl w:val="0"/>
    </w:pPr>
    <w:rPr>
      <w:rFonts w:ascii="Times New Roman" w:eastAsia="Times New Roman" w:hAnsi="Times New Roman"/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A33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8C6C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8C6C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505F1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505F11"/>
    <w:rPr>
      <w:rFonts w:cs="Times New Roman"/>
      <w:sz w:val="24"/>
    </w:rPr>
  </w:style>
  <w:style w:type="character" w:styleId="PageNumber">
    <w:name w:val="page number"/>
    <w:uiPriority w:val="99"/>
    <w:semiHidden/>
    <w:rsid w:val="00505F11"/>
    <w:rPr>
      <w:rFonts w:cs="Times New Roman"/>
    </w:rPr>
  </w:style>
  <w:style w:type="character" w:styleId="Hyperlink">
    <w:name w:val="Hyperlink"/>
    <w:uiPriority w:val="99"/>
    <w:rsid w:val="00042AE0"/>
    <w:rPr>
      <w:rFonts w:cs="Times New Roman"/>
      <w:color w:val="0000FF"/>
      <w:u w:val="single"/>
    </w:rPr>
  </w:style>
  <w:style w:type="paragraph" w:customStyle="1" w:styleId="BIDTitle">
    <w:name w:val="BID Title"/>
    <w:basedOn w:val="Normal"/>
    <w:uiPriority w:val="99"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uiPriority w:val="99"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uiPriority w:val="99"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uiPriority w:val="99"/>
    <w:rsid w:val="00471A6E"/>
    <w:pPr>
      <w:numPr>
        <w:numId w:val="1"/>
      </w:numPr>
    </w:pPr>
  </w:style>
  <w:style w:type="paragraph" w:customStyle="1" w:styleId="BIDBODYCOPY">
    <w:name w:val="BID BODY COPY"/>
    <w:basedOn w:val="Normal"/>
    <w:uiPriority w:val="99"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uiPriority w:val="99"/>
    <w:rsid w:val="00F7376C"/>
    <w:pPr>
      <w:spacing w:before="0"/>
    </w:pPr>
  </w:style>
  <w:style w:type="paragraph" w:customStyle="1" w:styleId="BIDTEXTBOXBODYCOPY">
    <w:name w:val="BID TEXTBOX BODY COPY"/>
    <w:basedOn w:val="BIDBODYCOPY"/>
    <w:uiPriority w:val="99"/>
    <w:rsid w:val="00F7376C"/>
    <w:pPr>
      <w:ind w:right="0"/>
    </w:pPr>
  </w:style>
  <w:style w:type="paragraph" w:styleId="ListParagraph">
    <w:name w:val="List Paragraph"/>
    <w:basedOn w:val="Normal"/>
    <w:uiPriority w:val="34"/>
    <w:qFormat/>
    <w:rsid w:val="00042AE0"/>
    <w:pPr>
      <w:ind w:left="720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rsid w:val="00042AE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42AE0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75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7586A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9E20FF"/>
    <w:pPr>
      <w:widowControl w:val="0"/>
    </w:pPr>
    <w:rPr>
      <w:rFonts w:ascii="Courier New" w:hAnsi="Courier New"/>
      <w:szCs w:val="20"/>
    </w:rPr>
  </w:style>
  <w:style w:type="character" w:customStyle="1" w:styleId="EndnoteTextChar">
    <w:name w:val="Endnote Text Char"/>
    <w:link w:val="EndnoteText"/>
    <w:semiHidden/>
    <w:locked/>
    <w:rsid w:val="009E20FF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E20FF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locked/>
    <w:rsid w:val="009E20FF"/>
    <w:rPr>
      <w:rFonts w:cs="Times New Roman"/>
      <w:b/>
    </w:rPr>
  </w:style>
  <w:style w:type="paragraph" w:customStyle="1" w:styleId="Default">
    <w:name w:val="Default"/>
    <w:rsid w:val="003F07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3F0749"/>
    <w:rPr>
      <w:color w:val="auto"/>
    </w:rPr>
  </w:style>
  <w:style w:type="character" w:customStyle="1" w:styleId="BodyTextChar">
    <w:name w:val="Body Text Char"/>
    <w:link w:val="BodyText"/>
    <w:uiPriority w:val="99"/>
    <w:locked/>
    <w:rsid w:val="003F0749"/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locked/>
    <w:rsid w:val="003F0749"/>
    <w:rPr>
      <w:rFonts w:cs="Times New Roman"/>
      <w:i/>
    </w:rPr>
  </w:style>
  <w:style w:type="character" w:customStyle="1" w:styleId="Heading1Char">
    <w:name w:val="Heading 1 Char"/>
    <w:basedOn w:val="DefaultParagraphFont"/>
    <w:link w:val="Heading1"/>
    <w:rsid w:val="009D1B53"/>
    <w:rPr>
      <w:rFonts w:ascii="Times New Roman" w:eastAsia="Times New Roman" w:hAnsi="Times New Roman"/>
      <w:b/>
      <w:sz w:val="24"/>
    </w:rPr>
  </w:style>
  <w:style w:type="paragraph" w:styleId="List">
    <w:name w:val="List"/>
    <w:basedOn w:val="Normal"/>
    <w:rsid w:val="009D1B53"/>
    <w:pPr>
      <w:ind w:left="360" w:hanging="360"/>
    </w:pPr>
    <w:rPr>
      <w:rFonts w:ascii="Times New Roman" w:eastAsia="Times New Roman" w:hAnsi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BA33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890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9021D"/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89021D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8C6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8C6C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rsid w:val="008C6C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C6C5A"/>
    <w:rPr>
      <w:sz w:val="24"/>
      <w:szCs w:val="24"/>
    </w:rPr>
  </w:style>
  <w:style w:type="paragraph" w:styleId="TOC7">
    <w:name w:val="toc 7"/>
    <w:basedOn w:val="Normal"/>
    <w:next w:val="Normal"/>
    <w:autoRedefine/>
    <w:locked/>
    <w:rsid w:val="0052736D"/>
    <w:pPr>
      <w:spacing w:after="100"/>
      <w:ind w:left="1440"/>
    </w:pPr>
  </w:style>
  <w:style w:type="table" w:styleId="TableGrid">
    <w:name w:val="Table Grid"/>
    <w:basedOn w:val="TableNormal"/>
    <w:locked/>
    <w:rsid w:val="00365E34"/>
    <w:rPr>
      <w:rFonts w:ascii="Times New Roman" w:eastAsia="Times New Roman" w:hAnsi="Times New Roman"/>
      <w:lang w:bidi="km-K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AA42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A4203"/>
    <w:rPr>
      <w:rFonts w:ascii="Cambria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A4203"/>
    <w:rPr>
      <w:rFonts w:ascii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C7386D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034D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034D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034D7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37E"/>
    <w:rPr>
      <w:color w:val="808080"/>
      <w:shd w:val="clear" w:color="auto" w:fill="E6E6E6"/>
    </w:rPr>
  </w:style>
  <w:style w:type="character" w:styleId="HTMLCite">
    <w:name w:val="HTML Cite"/>
    <w:basedOn w:val="DefaultParagraphFont"/>
    <w:uiPriority w:val="99"/>
    <w:semiHidden/>
    <w:rsid w:val="005A7D62"/>
    <w:rPr>
      <w:rFonts w:cs="Times New Roman"/>
      <w:i/>
      <w:iCs/>
    </w:rPr>
  </w:style>
  <w:style w:type="character" w:customStyle="1" w:styleId="cit-auth2">
    <w:name w:val="cit-auth2"/>
    <w:basedOn w:val="DefaultParagraphFont"/>
    <w:uiPriority w:val="99"/>
    <w:rsid w:val="005A7D62"/>
    <w:rPr>
      <w:rFonts w:cs="Times New Roman"/>
    </w:rPr>
  </w:style>
  <w:style w:type="character" w:customStyle="1" w:styleId="cit-name-surname">
    <w:name w:val="cit-name-surname"/>
    <w:basedOn w:val="DefaultParagraphFont"/>
    <w:uiPriority w:val="99"/>
    <w:rsid w:val="005A7D62"/>
    <w:rPr>
      <w:rFonts w:cs="Times New Roman"/>
    </w:rPr>
  </w:style>
  <w:style w:type="character" w:customStyle="1" w:styleId="cit-name-given-names">
    <w:name w:val="cit-name-given-names"/>
    <w:basedOn w:val="DefaultParagraphFont"/>
    <w:uiPriority w:val="99"/>
    <w:rsid w:val="005A7D62"/>
    <w:rPr>
      <w:rFonts w:cs="Times New Roman"/>
    </w:rPr>
  </w:style>
  <w:style w:type="character" w:customStyle="1" w:styleId="cit-article-title">
    <w:name w:val="cit-article-title"/>
    <w:basedOn w:val="DefaultParagraphFont"/>
    <w:uiPriority w:val="99"/>
    <w:rsid w:val="005A7D62"/>
    <w:rPr>
      <w:rFonts w:cs="Times New Roman"/>
    </w:rPr>
  </w:style>
  <w:style w:type="character" w:customStyle="1" w:styleId="cit-pub-date">
    <w:name w:val="cit-pub-date"/>
    <w:basedOn w:val="DefaultParagraphFont"/>
    <w:uiPriority w:val="99"/>
    <w:rsid w:val="005A7D62"/>
    <w:rPr>
      <w:rFonts w:cs="Times New Roman"/>
    </w:rPr>
  </w:style>
  <w:style w:type="character" w:customStyle="1" w:styleId="cit-vol5">
    <w:name w:val="cit-vol5"/>
    <w:basedOn w:val="DefaultParagraphFont"/>
    <w:uiPriority w:val="99"/>
    <w:rsid w:val="005A7D62"/>
    <w:rPr>
      <w:rFonts w:cs="Times New Roman"/>
    </w:rPr>
  </w:style>
  <w:style w:type="character" w:customStyle="1" w:styleId="cit-fpage">
    <w:name w:val="cit-fpage"/>
    <w:basedOn w:val="DefaultParagraphFont"/>
    <w:uiPriority w:val="99"/>
    <w:rsid w:val="005A7D62"/>
    <w:rPr>
      <w:rFonts w:cs="Times New Roman"/>
    </w:rPr>
  </w:style>
  <w:style w:type="character" w:customStyle="1" w:styleId="cit-lpage">
    <w:name w:val="cit-lpage"/>
    <w:basedOn w:val="DefaultParagraphFont"/>
    <w:uiPriority w:val="99"/>
    <w:rsid w:val="005A7D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1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0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16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64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68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cdc.gov/tb/publications/ltbi/treatment.htm" TargetMode="External"/><Relationship Id="rId18" Type="http://schemas.openxmlformats.org/officeDocument/2006/relationships/hyperlink" Target="https://www.mass.gov/regulations/105-CMR-30000-reportable-diseases-surveillance-and-isolation-and-quarantine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dc.gov/mmwr/PDF/rr/rr4906.pdf" TargetMode="External"/><Relationship Id="rId17" Type="http://schemas.openxmlformats.org/officeDocument/2006/relationships/hyperlink" Target="https://www.mass.gov/lists/tb-information-for-your-patients-in-english-and-other-languag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lists/tb-information-for-your-patients-in-english-and-other-languag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dc.gov/mmwr/pdf/wk/mm604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lobaltb.njms.rutgers.edu/educationalmaterials/productfolder/ltbidrugcard.php" TargetMode="External"/><Relationship Id="rId10" Type="http://schemas.openxmlformats.org/officeDocument/2006/relationships/hyperlink" Target="https://www.cdc.gov/tb/topic/treatment/ltbi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hyperlink" Target="https://www.cdc.gov/tb/topic/treatment/ltbi.ht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ph/cdc/t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1376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Massachusetts Department of Public Health</Company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creator>Sheila Erimez</dc:creator>
  <cp:lastModifiedBy> </cp:lastModifiedBy>
  <cp:revision>3</cp:revision>
  <cp:lastPrinted>2018-03-12T12:37:00Z</cp:lastPrinted>
  <dcterms:created xsi:type="dcterms:W3CDTF">2018-08-17T14:09:00Z</dcterms:created>
  <dcterms:modified xsi:type="dcterms:W3CDTF">2018-08-17T14:12:00Z</dcterms:modified>
</cp:coreProperties>
</file>