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4.xml" ContentType="application/vnd.openxmlformats-officedocument.drawingml.chartshapes+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5.xml" ContentType="application/vnd.openxmlformats-officedocument.drawingml.chartshapes+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drawings/drawing6.xml" ContentType="application/vnd.openxmlformats-officedocument.drawingml.chartshapes+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7.xml" ContentType="application/vnd.openxmlformats-officedocument.drawingml.chartshapes+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8.xml" ContentType="application/vnd.openxmlformats-officedocument.drawingml.chartshapes+xml"/>
  <Override PartName="/word/charts/chart11.xml" ContentType="application/vnd.openxmlformats-officedocument.drawingml.chart+xml"/>
  <Override PartName="/word/drawings/drawing9.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X="-725" w:tblpY="4673"/>
        <w:tblW w:w="10710" w:type="dxa"/>
        <w:tblCellMar>
          <w:top w:w="216" w:type="dxa"/>
          <w:left w:w="216" w:type="dxa"/>
          <w:bottom w:w="216" w:type="dxa"/>
          <w:right w:w="216" w:type="dxa"/>
        </w:tblCellMar>
        <w:tblLook w:val="04A0" w:firstRow="1" w:lastRow="0" w:firstColumn="1" w:lastColumn="0" w:noHBand="0" w:noVBand="1"/>
      </w:tblPr>
      <w:tblGrid>
        <w:gridCol w:w="1163"/>
        <w:gridCol w:w="9547"/>
      </w:tblGrid>
      <w:tr w:rsidR="00B10AAF" w14:paraId="79913960" w14:textId="77777777" w:rsidTr="00B10AAF">
        <w:trPr>
          <w:trHeight w:val="1932"/>
        </w:trPr>
        <w:tc>
          <w:tcPr>
            <w:tcW w:w="10710" w:type="dxa"/>
            <w:gridSpan w:val="2"/>
            <w:tcBorders>
              <w:top w:val="single" w:sz="4" w:space="0" w:color="auto"/>
              <w:left w:val="single" w:sz="4" w:space="0" w:color="auto"/>
              <w:bottom w:val="single" w:sz="18" w:space="0" w:color="808080" w:themeColor="background1" w:themeShade="80"/>
              <w:right w:val="single" w:sz="4" w:space="0" w:color="auto"/>
            </w:tcBorders>
            <w:shd w:val="clear" w:color="auto" w:fill="44546A" w:themeFill="text2"/>
            <w:vAlign w:val="center"/>
          </w:tcPr>
          <w:p w14:paraId="215CA0CA" w14:textId="5BF6C6E1" w:rsidR="00B10AAF" w:rsidRDefault="00D56241" w:rsidP="00B10AAF">
            <w:pPr>
              <w:pStyle w:val="NoSpacing"/>
              <w:jc w:val="center"/>
              <w:rPr>
                <w:rFonts w:asciiTheme="majorHAnsi" w:eastAsiaTheme="majorEastAsia" w:hAnsiTheme="majorHAnsi" w:cstheme="majorBidi"/>
                <w:sz w:val="36"/>
                <w:szCs w:val="36"/>
              </w:rPr>
            </w:pPr>
            <w:sdt>
              <w:sdtPr>
                <w:rPr>
                  <w:rFonts w:asciiTheme="majorHAnsi" w:eastAsiaTheme="majorEastAsia" w:hAnsiTheme="majorHAnsi" w:cstheme="majorBidi"/>
                  <w:color w:val="FFFFFF" w:themeColor="background1"/>
                  <w:sz w:val="56"/>
                  <w:szCs w:val="72"/>
                </w:rPr>
                <w:alias w:val="Title"/>
                <w:id w:val="1013574148"/>
                <w:dataBinding w:prefixMappings="xmlns:ns0='http://schemas.openxmlformats.org/package/2006/metadata/core-properties' xmlns:ns1='http://purl.org/dc/elements/1.1/'" w:xpath="/ns0:coreProperties[1]/ns1:title[1]" w:storeItemID="{6C3C8BC8-F283-45AE-878A-BAB7291924A1}"/>
                <w:text/>
              </w:sdtPr>
              <w:sdtEndPr/>
              <w:sdtContent>
                <w:r w:rsidR="00B10AAF" w:rsidRPr="002C061B">
                  <w:rPr>
                    <w:rFonts w:asciiTheme="majorHAnsi" w:eastAsiaTheme="majorEastAsia" w:hAnsiTheme="majorHAnsi" w:cstheme="majorBidi"/>
                    <w:color w:val="FFFFFF" w:themeColor="background1"/>
                    <w:sz w:val="56"/>
                    <w:szCs w:val="72"/>
                  </w:rPr>
                  <w:t>Trends in Tobacco Use and Exposure</w:t>
                </w:r>
              </w:sdtContent>
            </w:sdt>
          </w:p>
        </w:tc>
      </w:tr>
      <w:tr w:rsidR="00B10AAF" w14:paraId="76228FE5" w14:textId="77777777" w:rsidTr="00B10AAF">
        <w:trPr>
          <w:trHeight w:val="993"/>
        </w:trPr>
        <w:tc>
          <w:tcPr>
            <w:tcW w:w="10710" w:type="dxa"/>
            <w:gridSpan w:val="2"/>
            <w:tcBorders>
              <w:top w:val="single" w:sz="4" w:space="0" w:color="auto"/>
              <w:left w:val="single" w:sz="4" w:space="0" w:color="auto"/>
              <w:bottom w:val="single" w:sz="18" w:space="0" w:color="808080" w:themeColor="background1" w:themeShade="80"/>
              <w:right w:val="single" w:sz="4" w:space="0" w:color="auto"/>
            </w:tcBorders>
            <w:shd w:val="clear" w:color="auto" w:fill="FFFFFF" w:themeFill="background1"/>
            <w:vAlign w:val="center"/>
          </w:tcPr>
          <w:p w14:paraId="339F0228" w14:textId="72BB9103" w:rsidR="00B10AAF" w:rsidRPr="00B10AAF" w:rsidRDefault="00B10AAF" w:rsidP="00B10AAF">
            <w:pPr>
              <w:pStyle w:val="NoSpacing"/>
              <w:rPr>
                <w:color w:val="4472C4" w:themeColor="accent1"/>
                <w:sz w:val="32"/>
                <w:szCs w:val="32"/>
                <w14:numForm w14:val="oldStyle"/>
              </w:rPr>
            </w:pPr>
            <w:r w:rsidRPr="00B10AAF">
              <w:rPr>
                <w:color w:val="4472C4" w:themeColor="accent1"/>
                <w:sz w:val="32"/>
                <w:szCs w:val="32"/>
                <w14:numForm w14:val="oldStyle"/>
              </w:rPr>
              <w:t>Data from the 2019 Massachusetts Behavioral Risk Factor Surveillance System</w:t>
            </w:r>
          </w:p>
        </w:tc>
      </w:tr>
      <w:tr w:rsidR="00B10AAF" w14:paraId="52ADD8A2" w14:textId="77777777" w:rsidTr="00B10AAF">
        <w:tc>
          <w:tcPr>
            <w:tcW w:w="1163" w:type="dxa"/>
            <w:tcBorders>
              <w:top w:val="single" w:sz="18" w:space="0" w:color="808080" w:themeColor="background1" w:themeShade="80"/>
              <w:left w:val="single" w:sz="4" w:space="0" w:color="auto"/>
              <w:bottom w:val="single" w:sz="4" w:space="0" w:color="auto"/>
            </w:tcBorders>
            <w:vAlign w:val="center"/>
          </w:tcPr>
          <w:p w14:paraId="26F73C74" w14:textId="23810819" w:rsidR="00B10AAF" w:rsidRDefault="00B10AAF" w:rsidP="00B10AAF">
            <w:pPr>
              <w:pStyle w:val="NoSpacing"/>
            </w:pPr>
          </w:p>
        </w:tc>
        <w:tc>
          <w:tcPr>
            <w:tcW w:w="9547" w:type="dxa"/>
            <w:tcBorders>
              <w:top w:val="single" w:sz="18" w:space="0" w:color="808080" w:themeColor="background1" w:themeShade="80"/>
              <w:bottom w:val="single" w:sz="4" w:space="0" w:color="auto"/>
              <w:right w:val="single" w:sz="4" w:space="0" w:color="auto"/>
            </w:tcBorders>
            <w:vAlign w:val="center"/>
          </w:tcPr>
          <w:p w14:paraId="75D6F625" w14:textId="2E9702E9" w:rsidR="00B10AAF" w:rsidRPr="00B10AAF" w:rsidRDefault="00B10AAF" w:rsidP="00B10AAF">
            <w:pPr>
              <w:pStyle w:val="NoSpacing"/>
              <w:rPr>
                <w:rFonts w:asciiTheme="majorHAnsi" w:eastAsiaTheme="majorEastAsia" w:hAnsiTheme="majorHAnsi" w:cstheme="majorBidi"/>
                <w:sz w:val="28"/>
                <w:szCs w:val="28"/>
              </w:rPr>
            </w:pPr>
            <w:r>
              <w:rPr>
                <w:color w:val="4472C4" w:themeColor="accent1"/>
                <w:sz w:val="28"/>
                <w:szCs w:val="28"/>
                <w14:numForm w14:val="oldStyle"/>
              </w:rPr>
              <w:t xml:space="preserve">      </w:t>
            </w:r>
            <w:r w:rsidRPr="00B10AAF">
              <w:rPr>
                <w:color w:val="4472C4" w:themeColor="accent1"/>
                <w:sz w:val="28"/>
                <w:szCs w:val="28"/>
                <w14:numForm w14:val="oldStyle"/>
              </w:rPr>
              <w:t>Massachusetts Tobacco Cessation and Prevention Program</w:t>
            </w:r>
          </w:p>
        </w:tc>
      </w:tr>
    </w:tbl>
    <w:p w14:paraId="7D82D83B" w14:textId="72576CB9" w:rsidR="00F21C73" w:rsidRDefault="00D56241"/>
    <w:p w14:paraId="1EF2EB5F" w14:textId="683C6038" w:rsidR="00B10AAF" w:rsidRDefault="00B10AAF"/>
    <w:p w14:paraId="6F4433D6" w14:textId="26857D5F" w:rsidR="00B10AAF" w:rsidRDefault="00B10AAF"/>
    <w:p w14:paraId="6A277D40" w14:textId="07FCF4FE" w:rsidR="00B10AAF" w:rsidRDefault="00B10AAF"/>
    <w:p w14:paraId="0E4F679A" w14:textId="174642AF" w:rsidR="00B10AAF" w:rsidRDefault="00B10AAF"/>
    <w:p w14:paraId="7D78EED7" w14:textId="236FA1F2" w:rsidR="00B10AAF" w:rsidRDefault="00B10AAF"/>
    <w:p w14:paraId="0CA493DD" w14:textId="20C93BAF" w:rsidR="00B10AAF" w:rsidRDefault="00B10AAF"/>
    <w:p w14:paraId="63037D77" w14:textId="17F136B8" w:rsidR="00B10AAF" w:rsidRDefault="00B10AAF"/>
    <w:p w14:paraId="1BCCE752" w14:textId="1ED2EA4A" w:rsidR="00B10AAF" w:rsidRDefault="00B10AAF"/>
    <w:p w14:paraId="1C72E6E3" w14:textId="7F10494F" w:rsidR="00B10AAF" w:rsidRDefault="00B10AAF"/>
    <w:p w14:paraId="2ED95A68" w14:textId="636E0140" w:rsidR="00B10AAF" w:rsidRDefault="00B10AAF"/>
    <w:p w14:paraId="0E32DA4E" w14:textId="4FEDA4F2" w:rsidR="00B10AAF" w:rsidRDefault="00B10AAF"/>
    <w:p w14:paraId="6ADDC41C" w14:textId="58B94B19" w:rsidR="00B10AAF" w:rsidRDefault="00B10AAF"/>
    <w:p w14:paraId="5782F1B2" w14:textId="557F1DEB" w:rsidR="00B10AAF" w:rsidRDefault="00B10AAF"/>
    <w:p w14:paraId="08AB9B90" w14:textId="3A7B98F6" w:rsidR="00B10AAF" w:rsidRDefault="00B10AAF"/>
    <w:p w14:paraId="32A7F14E" w14:textId="6FE1124D" w:rsidR="00B10AAF" w:rsidRDefault="00B10AAF"/>
    <w:p w14:paraId="2888136D" w14:textId="075E1564" w:rsidR="00B10AAF" w:rsidRDefault="00B10AAF"/>
    <w:p w14:paraId="3F675A2C" w14:textId="7AFB1057" w:rsidR="00B10AAF" w:rsidRDefault="00B10AAF"/>
    <w:p w14:paraId="0CAEC8F4" w14:textId="285FE91F" w:rsidR="00B10AAF" w:rsidRDefault="00B10AAF"/>
    <w:p w14:paraId="027F11BF" w14:textId="5FD88ACD" w:rsidR="00B10AAF" w:rsidRDefault="00B10AAF"/>
    <w:p w14:paraId="1151C015" w14:textId="08429570" w:rsidR="00B10AAF" w:rsidRDefault="00B10AAF"/>
    <w:p w14:paraId="7D6B98D0" w14:textId="23D26D6F" w:rsidR="00B10AAF" w:rsidRDefault="00B10AAF"/>
    <w:p w14:paraId="5ABCF731" w14:textId="1E63F1AA" w:rsidR="00B10AAF" w:rsidRDefault="00B10AAF"/>
    <w:p w14:paraId="7B3AB895" w14:textId="16C82451" w:rsidR="00B10AAF" w:rsidRDefault="00B10AAF"/>
    <w:p w14:paraId="1725F864" w14:textId="26B6DA50" w:rsidR="00B10AAF" w:rsidRDefault="00B10AAF"/>
    <w:p w14:paraId="4FE1FB90" w14:textId="2B7CAE9D" w:rsidR="00B10AAF" w:rsidRDefault="00B10AAF"/>
    <w:p w14:paraId="694374B4" w14:textId="5BE11C05" w:rsidR="00B10AAF" w:rsidRDefault="00B10AAF"/>
    <w:p w14:paraId="65FCC49B" w14:textId="2D0F5184" w:rsidR="00B10AAF" w:rsidRDefault="00B10AAF"/>
    <w:p w14:paraId="3FB6FB50" w14:textId="69D3F50A" w:rsidR="00B10AAF" w:rsidRDefault="00B10AAF"/>
    <w:p w14:paraId="036C7DB1" w14:textId="741EA8D8" w:rsidR="00B10AAF" w:rsidRDefault="00B10AAF"/>
    <w:p w14:paraId="5740537D" w14:textId="59CFC756" w:rsidR="00B10AAF" w:rsidRDefault="00B10AAF"/>
    <w:p w14:paraId="131F21C9" w14:textId="2C5FD2F2" w:rsidR="00B10AAF" w:rsidRDefault="00B10AAF"/>
    <w:p w14:paraId="732C46DB" w14:textId="04A74190" w:rsidR="00B10AAF" w:rsidRDefault="00B10AAF"/>
    <w:p w14:paraId="1F8AEA7C" w14:textId="2F52613A" w:rsidR="00B10AAF" w:rsidRDefault="00B10AAF"/>
    <w:p w14:paraId="0668C12B" w14:textId="7BC752F4" w:rsidR="00B10AAF" w:rsidRDefault="00B10AAF"/>
    <w:p w14:paraId="28C64DA8" w14:textId="5A9DF8FA" w:rsidR="00B10AAF" w:rsidRDefault="00B10AAF"/>
    <w:p w14:paraId="6064D92D" w14:textId="3504F8D3" w:rsidR="00B10AAF" w:rsidRDefault="00B10AAF" w:rsidP="00B10AAF">
      <w:pPr>
        <w:pStyle w:val="Heading1"/>
        <w:pBdr>
          <w:bottom w:val="single" w:sz="12" w:space="1" w:color="auto"/>
        </w:pBdr>
        <w:rPr>
          <w:sz w:val="40"/>
          <w:szCs w:val="40"/>
          <w:lang w:eastAsia="ja-JP"/>
        </w:rPr>
      </w:pPr>
      <w:r w:rsidRPr="00B10AAF">
        <w:rPr>
          <w:sz w:val="40"/>
          <w:szCs w:val="40"/>
          <w:lang w:eastAsia="ja-JP"/>
        </w:rPr>
        <w:lastRenderedPageBreak/>
        <w:t>Table of Contents</w:t>
      </w:r>
    </w:p>
    <w:p w14:paraId="1ACA81BC" w14:textId="77777777" w:rsidR="00B10AAF" w:rsidRPr="00B10AAF" w:rsidRDefault="00B10AAF" w:rsidP="00B10AAF">
      <w:pPr>
        <w:rPr>
          <w:lang w:eastAsia="ja-JP"/>
        </w:rPr>
      </w:pPr>
    </w:p>
    <w:tbl>
      <w:tblPr>
        <w:tblStyle w:val="TableGrid"/>
        <w:tblW w:w="9427" w:type="dxa"/>
        <w:tblInd w:w="108" w:type="dxa"/>
        <w:tblLook w:val="04A0" w:firstRow="1" w:lastRow="0" w:firstColumn="1" w:lastColumn="0" w:noHBand="0" w:noVBand="1"/>
      </w:tblPr>
      <w:tblGrid>
        <w:gridCol w:w="8784"/>
        <w:gridCol w:w="643"/>
      </w:tblGrid>
      <w:tr w:rsidR="000363C5" w:rsidRPr="00B10AAF" w14:paraId="4DC1F472" w14:textId="77777777" w:rsidTr="00222B17">
        <w:tc>
          <w:tcPr>
            <w:tcW w:w="8784" w:type="dxa"/>
          </w:tcPr>
          <w:p w14:paraId="08A08A37" w14:textId="77777777" w:rsidR="000363C5" w:rsidRPr="00590EA0" w:rsidRDefault="000363C5" w:rsidP="00222B17">
            <w:pPr>
              <w:pStyle w:val="Subtitle"/>
              <w:rPr>
                <w:rStyle w:val="BookTitle"/>
                <w:rFonts w:cstheme="majorHAnsi"/>
                <w:bCs w:val="0"/>
                <w:i w:val="0"/>
                <w:color w:val="auto"/>
                <w:sz w:val="28"/>
                <w:szCs w:val="28"/>
              </w:rPr>
            </w:pPr>
            <w:r w:rsidRPr="00590EA0">
              <w:rPr>
                <w:rStyle w:val="BookTitle"/>
                <w:rFonts w:cstheme="majorHAnsi"/>
                <w:bCs w:val="0"/>
                <w:i w:val="0"/>
                <w:color w:val="auto"/>
                <w:sz w:val="28"/>
                <w:szCs w:val="28"/>
              </w:rPr>
              <w:t>About this report</w:t>
            </w:r>
          </w:p>
        </w:tc>
        <w:tc>
          <w:tcPr>
            <w:tcW w:w="643" w:type="dxa"/>
            <w:vAlign w:val="center"/>
          </w:tcPr>
          <w:p w14:paraId="11E3084C"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3</w:t>
            </w:r>
          </w:p>
        </w:tc>
      </w:tr>
      <w:tr w:rsidR="000363C5" w:rsidRPr="00B10AAF" w14:paraId="5D0DEA3C" w14:textId="77777777" w:rsidTr="00222B17">
        <w:tc>
          <w:tcPr>
            <w:tcW w:w="8784" w:type="dxa"/>
          </w:tcPr>
          <w:p w14:paraId="24CB9308" w14:textId="2EE28AE8" w:rsidR="000363C5" w:rsidRPr="00B10AAF" w:rsidRDefault="000363C5" w:rsidP="00222B17">
            <w:pPr>
              <w:pStyle w:val="Subtitle"/>
              <w:rPr>
                <w:rStyle w:val="BookTitle"/>
                <w:rFonts w:cstheme="majorHAnsi"/>
                <w:i w:val="0"/>
                <w:color w:val="auto"/>
                <w:sz w:val="28"/>
                <w:szCs w:val="28"/>
              </w:rPr>
            </w:pPr>
            <w:r>
              <w:rPr>
                <w:rStyle w:val="BookTitle"/>
                <w:rFonts w:cstheme="majorHAnsi"/>
                <w:i w:val="0"/>
                <w:color w:val="auto"/>
                <w:sz w:val="28"/>
                <w:szCs w:val="28"/>
              </w:rPr>
              <w:t xml:space="preserve">About </w:t>
            </w:r>
            <w:r>
              <w:rPr>
                <w:rStyle w:val="BookTitle"/>
                <w:rFonts w:cstheme="majorHAnsi"/>
                <w:i w:val="0"/>
                <w:color w:val="auto"/>
                <w:sz w:val="28"/>
                <w:szCs w:val="28"/>
              </w:rPr>
              <w:t xml:space="preserve">the </w:t>
            </w:r>
            <w:proofErr w:type="spellStart"/>
            <w:r>
              <w:rPr>
                <w:rStyle w:val="BookTitle"/>
                <w:rFonts w:cstheme="majorHAnsi"/>
                <w:i w:val="0"/>
                <w:color w:val="auto"/>
                <w:sz w:val="28"/>
                <w:szCs w:val="28"/>
              </w:rPr>
              <w:t>Brfss</w:t>
            </w:r>
            <w:proofErr w:type="spellEnd"/>
          </w:p>
        </w:tc>
        <w:tc>
          <w:tcPr>
            <w:tcW w:w="643" w:type="dxa"/>
            <w:vAlign w:val="center"/>
          </w:tcPr>
          <w:p w14:paraId="30D456AD"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4</w:t>
            </w:r>
          </w:p>
        </w:tc>
      </w:tr>
      <w:tr w:rsidR="000363C5" w:rsidRPr="00B10AAF" w14:paraId="2BF23B76" w14:textId="77777777" w:rsidTr="00222B17">
        <w:tc>
          <w:tcPr>
            <w:tcW w:w="8784" w:type="dxa"/>
          </w:tcPr>
          <w:p w14:paraId="79DFF342" w14:textId="77777777" w:rsidR="000363C5" w:rsidRPr="00590EA0" w:rsidRDefault="000363C5" w:rsidP="00222B17">
            <w:pPr>
              <w:pStyle w:val="Subtitle"/>
              <w:rPr>
                <w:rStyle w:val="BookTitle"/>
                <w:rFonts w:cstheme="majorHAnsi"/>
                <w:bCs w:val="0"/>
                <w:i w:val="0"/>
                <w:color w:val="auto"/>
                <w:sz w:val="28"/>
                <w:szCs w:val="28"/>
              </w:rPr>
            </w:pPr>
            <w:r w:rsidRPr="00590EA0">
              <w:rPr>
                <w:rStyle w:val="BookTitle"/>
                <w:rFonts w:cstheme="majorHAnsi"/>
                <w:bCs w:val="0"/>
                <w:i w:val="0"/>
                <w:color w:val="auto"/>
                <w:sz w:val="28"/>
                <w:szCs w:val="28"/>
              </w:rPr>
              <w:t>Priority Populations</w:t>
            </w:r>
          </w:p>
        </w:tc>
        <w:tc>
          <w:tcPr>
            <w:tcW w:w="643" w:type="dxa"/>
            <w:vAlign w:val="center"/>
          </w:tcPr>
          <w:p w14:paraId="1F8427A9"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4</w:t>
            </w:r>
          </w:p>
        </w:tc>
      </w:tr>
      <w:tr w:rsidR="000363C5" w:rsidRPr="00B10AAF" w14:paraId="1DD386EA" w14:textId="77777777" w:rsidTr="00222B17">
        <w:tc>
          <w:tcPr>
            <w:tcW w:w="8784" w:type="dxa"/>
          </w:tcPr>
          <w:p w14:paraId="06DFF922" w14:textId="77777777" w:rsidR="000363C5" w:rsidRPr="00590EA0" w:rsidRDefault="000363C5" w:rsidP="00222B17">
            <w:pPr>
              <w:pStyle w:val="Subtitle"/>
              <w:rPr>
                <w:rStyle w:val="BookTitle"/>
                <w:rFonts w:cstheme="majorHAnsi"/>
                <w:i w:val="0"/>
                <w:iCs w:val="0"/>
                <w:color w:val="auto"/>
                <w:sz w:val="28"/>
                <w:szCs w:val="28"/>
              </w:rPr>
            </w:pPr>
            <w:r>
              <w:rPr>
                <w:rStyle w:val="BookTitle"/>
                <w:rFonts w:cstheme="majorHAnsi"/>
                <w:i w:val="0"/>
                <w:color w:val="auto"/>
                <w:sz w:val="28"/>
                <w:szCs w:val="28"/>
              </w:rPr>
              <w:t>Shared Definitions</w:t>
            </w:r>
          </w:p>
        </w:tc>
        <w:tc>
          <w:tcPr>
            <w:tcW w:w="643" w:type="dxa"/>
            <w:vAlign w:val="center"/>
          </w:tcPr>
          <w:p w14:paraId="596549F8"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5</w:t>
            </w:r>
          </w:p>
        </w:tc>
      </w:tr>
      <w:tr w:rsidR="000363C5" w:rsidRPr="00B10AAF" w14:paraId="663A2ACB" w14:textId="77777777" w:rsidTr="00222B17">
        <w:tc>
          <w:tcPr>
            <w:tcW w:w="8784" w:type="dxa"/>
          </w:tcPr>
          <w:p w14:paraId="56EB6DFD" w14:textId="77777777" w:rsidR="000363C5" w:rsidRPr="00B10AAF" w:rsidRDefault="000363C5" w:rsidP="00222B17">
            <w:pPr>
              <w:pStyle w:val="Subtitle"/>
              <w:rPr>
                <w:rStyle w:val="BookTitle"/>
                <w:rFonts w:cstheme="majorHAnsi"/>
                <w:b w:val="0"/>
                <w:i w:val="0"/>
                <w:color w:val="auto"/>
                <w:sz w:val="28"/>
                <w:szCs w:val="28"/>
              </w:rPr>
            </w:pPr>
            <w:r w:rsidRPr="00B10AAF">
              <w:rPr>
                <w:rStyle w:val="BookTitle"/>
                <w:rFonts w:cstheme="majorHAnsi"/>
                <w:i w:val="0"/>
                <w:color w:val="auto"/>
                <w:sz w:val="28"/>
                <w:szCs w:val="28"/>
              </w:rPr>
              <w:t xml:space="preserve">Introduction </w:t>
            </w:r>
          </w:p>
        </w:tc>
        <w:tc>
          <w:tcPr>
            <w:tcW w:w="643" w:type="dxa"/>
            <w:vAlign w:val="center"/>
          </w:tcPr>
          <w:p w14:paraId="20E7587B"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6</w:t>
            </w:r>
          </w:p>
        </w:tc>
      </w:tr>
      <w:tr w:rsidR="000363C5" w:rsidRPr="00B10AAF" w14:paraId="11B8536B" w14:textId="77777777" w:rsidTr="00222B17">
        <w:tc>
          <w:tcPr>
            <w:tcW w:w="8784" w:type="dxa"/>
          </w:tcPr>
          <w:p w14:paraId="60888BDB" w14:textId="77777777" w:rsidR="000363C5" w:rsidRPr="00B10AAF" w:rsidRDefault="000363C5" w:rsidP="00222B17">
            <w:pPr>
              <w:pStyle w:val="Subtitle"/>
              <w:rPr>
                <w:rStyle w:val="BookTitle"/>
                <w:rFonts w:cstheme="majorHAnsi"/>
                <w:b w:val="0"/>
                <w:i w:val="0"/>
                <w:color w:val="auto"/>
                <w:sz w:val="28"/>
                <w:szCs w:val="28"/>
              </w:rPr>
            </w:pPr>
            <w:r w:rsidRPr="00B10AAF">
              <w:rPr>
                <w:rStyle w:val="BookTitle"/>
                <w:rFonts w:cstheme="majorHAnsi"/>
                <w:i w:val="0"/>
                <w:color w:val="auto"/>
                <w:sz w:val="28"/>
                <w:szCs w:val="28"/>
              </w:rPr>
              <w:t>Who Smokes And Why</w:t>
            </w:r>
          </w:p>
        </w:tc>
        <w:tc>
          <w:tcPr>
            <w:tcW w:w="643" w:type="dxa"/>
            <w:vAlign w:val="center"/>
          </w:tcPr>
          <w:p w14:paraId="716A2FCA"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7</w:t>
            </w:r>
          </w:p>
        </w:tc>
      </w:tr>
      <w:tr w:rsidR="000363C5" w:rsidRPr="00B10AAF" w14:paraId="38995C52" w14:textId="77777777" w:rsidTr="00222B17">
        <w:tc>
          <w:tcPr>
            <w:tcW w:w="8784" w:type="dxa"/>
          </w:tcPr>
          <w:p w14:paraId="6764ED3C"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Current Smoking Rates</w:t>
            </w:r>
          </w:p>
        </w:tc>
        <w:tc>
          <w:tcPr>
            <w:tcW w:w="643" w:type="dxa"/>
            <w:vAlign w:val="center"/>
          </w:tcPr>
          <w:p w14:paraId="25EE0DEF"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7</w:t>
            </w:r>
          </w:p>
        </w:tc>
      </w:tr>
      <w:tr w:rsidR="000363C5" w:rsidRPr="00B10AAF" w14:paraId="20F04A20" w14:textId="77777777" w:rsidTr="00222B17">
        <w:tc>
          <w:tcPr>
            <w:tcW w:w="8784" w:type="dxa"/>
          </w:tcPr>
          <w:p w14:paraId="6E778F1A"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Inequities In Smoking</w:t>
            </w:r>
          </w:p>
        </w:tc>
        <w:tc>
          <w:tcPr>
            <w:tcW w:w="643" w:type="dxa"/>
            <w:vAlign w:val="center"/>
          </w:tcPr>
          <w:p w14:paraId="7BB9C610"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7</w:t>
            </w:r>
          </w:p>
        </w:tc>
      </w:tr>
      <w:tr w:rsidR="000363C5" w:rsidRPr="00B10AAF" w14:paraId="66BB0ECD" w14:textId="77777777" w:rsidTr="00222B17">
        <w:tc>
          <w:tcPr>
            <w:tcW w:w="8784" w:type="dxa"/>
          </w:tcPr>
          <w:p w14:paraId="3D588045"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Smoking Trends Over time</w:t>
            </w:r>
          </w:p>
        </w:tc>
        <w:tc>
          <w:tcPr>
            <w:tcW w:w="643" w:type="dxa"/>
            <w:vAlign w:val="center"/>
          </w:tcPr>
          <w:p w14:paraId="073DBE52"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8</w:t>
            </w:r>
          </w:p>
        </w:tc>
      </w:tr>
      <w:tr w:rsidR="000363C5" w:rsidRPr="00B10AAF" w14:paraId="4F55AB27" w14:textId="77777777" w:rsidTr="00222B17">
        <w:tc>
          <w:tcPr>
            <w:tcW w:w="8784" w:type="dxa"/>
          </w:tcPr>
          <w:p w14:paraId="3133C576"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Use Of Other Tobacco Products (OTP)</w:t>
            </w:r>
          </w:p>
        </w:tc>
        <w:tc>
          <w:tcPr>
            <w:tcW w:w="643" w:type="dxa"/>
            <w:vAlign w:val="center"/>
          </w:tcPr>
          <w:p w14:paraId="2A2B046E"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8</w:t>
            </w:r>
          </w:p>
        </w:tc>
      </w:tr>
      <w:tr w:rsidR="000363C5" w:rsidRPr="00B10AAF" w14:paraId="138D31AD" w14:textId="77777777" w:rsidTr="00222B17">
        <w:tc>
          <w:tcPr>
            <w:tcW w:w="8784" w:type="dxa"/>
          </w:tcPr>
          <w:p w14:paraId="2493E40A"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Tobacco Industry Targeting Of Specific Populations</w:t>
            </w:r>
          </w:p>
        </w:tc>
        <w:tc>
          <w:tcPr>
            <w:tcW w:w="643" w:type="dxa"/>
            <w:vAlign w:val="center"/>
          </w:tcPr>
          <w:p w14:paraId="58A02A8C"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9</w:t>
            </w:r>
          </w:p>
        </w:tc>
      </w:tr>
      <w:tr w:rsidR="000363C5" w:rsidRPr="00B10AAF" w14:paraId="2E844E18" w14:textId="77777777" w:rsidTr="00222B17">
        <w:tc>
          <w:tcPr>
            <w:tcW w:w="8784" w:type="dxa"/>
          </w:tcPr>
          <w:p w14:paraId="2AB77425"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Spotlight On Menthol Cigarettes</w:t>
            </w:r>
          </w:p>
        </w:tc>
        <w:tc>
          <w:tcPr>
            <w:tcW w:w="643" w:type="dxa"/>
            <w:vAlign w:val="center"/>
          </w:tcPr>
          <w:p w14:paraId="5AEF6F0E"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9</w:t>
            </w:r>
          </w:p>
        </w:tc>
      </w:tr>
      <w:tr w:rsidR="000363C5" w:rsidRPr="00B10AAF" w14:paraId="3B38E755" w14:textId="77777777" w:rsidTr="00222B17">
        <w:tc>
          <w:tcPr>
            <w:tcW w:w="8784" w:type="dxa"/>
          </w:tcPr>
          <w:p w14:paraId="24B4B8AD" w14:textId="77777777" w:rsidR="000363C5" w:rsidRPr="00B10AAF" w:rsidRDefault="000363C5" w:rsidP="00222B17">
            <w:pPr>
              <w:pStyle w:val="Subtitle"/>
              <w:rPr>
                <w:rStyle w:val="BookTitle"/>
                <w:rFonts w:cstheme="majorHAnsi"/>
                <w:b w:val="0"/>
                <w:i w:val="0"/>
                <w:color w:val="auto"/>
                <w:sz w:val="28"/>
                <w:szCs w:val="28"/>
              </w:rPr>
            </w:pPr>
            <w:r w:rsidRPr="00B10AAF">
              <w:rPr>
                <w:rStyle w:val="BookTitle"/>
                <w:rFonts w:cstheme="majorHAnsi"/>
                <w:i w:val="0"/>
                <w:color w:val="auto"/>
                <w:sz w:val="28"/>
                <w:szCs w:val="28"/>
              </w:rPr>
              <w:t>Who Quits and Why</w:t>
            </w:r>
          </w:p>
        </w:tc>
        <w:tc>
          <w:tcPr>
            <w:tcW w:w="643" w:type="dxa"/>
            <w:vAlign w:val="center"/>
          </w:tcPr>
          <w:p w14:paraId="441D830A"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11</w:t>
            </w:r>
          </w:p>
        </w:tc>
      </w:tr>
      <w:tr w:rsidR="000363C5" w:rsidRPr="00B10AAF" w14:paraId="47853D3A" w14:textId="77777777" w:rsidTr="00222B17">
        <w:tc>
          <w:tcPr>
            <w:tcW w:w="8784" w:type="dxa"/>
          </w:tcPr>
          <w:p w14:paraId="110F7369"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Current Quitting Rates</w:t>
            </w:r>
          </w:p>
        </w:tc>
        <w:tc>
          <w:tcPr>
            <w:tcW w:w="643" w:type="dxa"/>
            <w:vAlign w:val="center"/>
          </w:tcPr>
          <w:p w14:paraId="18CB3A38" w14:textId="77777777" w:rsidR="000363C5" w:rsidRPr="00B10AAF" w:rsidRDefault="000363C5" w:rsidP="00222B17">
            <w:pPr>
              <w:jc w:val="center"/>
              <w:rPr>
                <w:rFonts w:asciiTheme="majorHAnsi" w:hAnsiTheme="majorHAnsi" w:cstheme="majorHAnsi"/>
                <w:sz w:val="24"/>
                <w:szCs w:val="24"/>
                <w:lang w:eastAsia="ja-JP"/>
              </w:rPr>
            </w:pPr>
            <w:r>
              <w:rPr>
                <w:rFonts w:asciiTheme="majorHAnsi" w:hAnsiTheme="majorHAnsi" w:cstheme="majorHAnsi"/>
                <w:sz w:val="24"/>
                <w:szCs w:val="24"/>
                <w:lang w:eastAsia="ja-JP"/>
              </w:rPr>
              <w:t>11</w:t>
            </w:r>
          </w:p>
        </w:tc>
      </w:tr>
      <w:tr w:rsidR="000363C5" w:rsidRPr="00B10AAF" w14:paraId="6ABE4137" w14:textId="77777777" w:rsidTr="00222B17">
        <w:tc>
          <w:tcPr>
            <w:tcW w:w="8784" w:type="dxa"/>
          </w:tcPr>
          <w:p w14:paraId="5D8AAD77"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Inequities In Quitting</w:t>
            </w:r>
          </w:p>
        </w:tc>
        <w:tc>
          <w:tcPr>
            <w:tcW w:w="643" w:type="dxa"/>
            <w:vAlign w:val="center"/>
          </w:tcPr>
          <w:p w14:paraId="2C2D8E71"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w:t>
            </w:r>
            <w:r>
              <w:rPr>
                <w:rFonts w:asciiTheme="majorHAnsi" w:hAnsiTheme="majorHAnsi" w:cstheme="majorHAnsi"/>
                <w:sz w:val="24"/>
                <w:szCs w:val="24"/>
                <w:lang w:eastAsia="ja-JP"/>
              </w:rPr>
              <w:t>2</w:t>
            </w:r>
          </w:p>
        </w:tc>
      </w:tr>
      <w:tr w:rsidR="000363C5" w:rsidRPr="00B10AAF" w14:paraId="71E725C1" w14:textId="77777777" w:rsidTr="00222B17">
        <w:tc>
          <w:tcPr>
            <w:tcW w:w="8784" w:type="dxa"/>
          </w:tcPr>
          <w:p w14:paraId="1FD8D5B7"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Quitting Trends Over Time</w:t>
            </w:r>
          </w:p>
        </w:tc>
        <w:tc>
          <w:tcPr>
            <w:tcW w:w="643" w:type="dxa"/>
            <w:vAlign w:val="center"/>
          </w:tcPr>
          <w:p w14:paraId="5C8B952F"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12</w:t>
            </w:r>
          </w:p>
        </w:tc>
      </w:tr>
      <w:tr w:rsidR="000363C5" w:rsidRPr="00B10AAF" w14:paraId="5DE12F37" w14:textId="77777777" w:rsidTr="00222B17">
        <w:tc>
          <w:tcPr>
            <w:tcW w:w="8784" w:type="dxa"/>
          </w:tcPr>
          <w:p w14:paraId="4BA05CB7"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Racial Inequities</w:t>
            </w:r>
            <w:r>
              <w:rPr>
                <w:rStyle w:val="BookTitle"/>
                <w:rFonts w:cstheme="majorHAnsi"/>
                <w:b w:val="0"/>
                <w:bCs w:val="0"/>
                <w:i w:val="0"/>
                <w:color w:val="auto"/>
                <w:sz w:val="28"/>
                <w:szCs w:val="28"/>
              </w:rPr>
              <w:t xml:space="preserve"> in quitting</w:t>
            </w:r>
          </w:p>
        </w:tc>
        <w:tc>
          <w:tcPr>
            <w:tcW w:w="643" w:type="dxa"/>
            <w:vAlign w:val="center"/>
          </w:tcPr>
          <w:p w14:paraId="6211BF35"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13</w:t>
            </w:r>
          </w:p>
        </w:tc>
      </w:tr>
      <w:tr w:rsidR="000363C5" w:rsidRPr="00B10AAF" w14:paraId="66D6951C" w14:textId="77777777" w:rsidTr="00222B17">
        <w:tc>
          <w:tcPr>
            <w:tcW w:w="8784" w:type="dxa"/>
          </w:tcPr>
          <w:p w14:paraId="22DD3E74"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Factors Leading To Racial Inequities In Quitting Success</w:t>
            </w:r>
          </w:p>
        </w:tc>
        <w:tc>
          <w:tcPr>
            <w:tcW w:w="643" w:type="dxa"/>
            <w:vAlign w:val="center"/>
          </w:tcPr>
          <w:p w14:paraId="1CB1AA14"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14</w:t>
            </w:r>
          </w:p>
        </w:tc>
      </w:tr>
      <w:tr w:rsidR="000363C5" w:rsidRPr="00B10AAF" w14:paraId="14F34AE9" w14:textId="77777777" w:rsidTr="00222B17">
        <w:tc>
          <w:tcPr>
            <w:tcW w:w="8784" w:type="dxa"/>
          </w:tcPr>
          <w:p w14:paraId="512336D3" w14:textId="77777777" w:rsidR="000363C5" w:rsidRPr="00B10AAF" w:rsidRDefault="000363C5" w:rsidP="00222B17">
            <w:pPr>
              <w:pStyle w:val="Subtitle"/>
              <w:rPr>
                <w:rStyle w:val="BookTitle"/>
                <w:rFonts w:cstheme="majorHAnsi"/>
                <w:b w:val="0"/>
                <w:i w:val="0"/>
                <w:color w:val="auto"/>
                <w:sz w:val="28"/>
                <w:szCs w:val="28"/>
              </w:rPr>
            </w:pPr>
            <w:r w:rsidRPr="00B10AAF">
              <w:rPr>
                <w:rStyle w:val="BookTitle"/>
                <w:rFonts w:cstheme="majorHAnsi"/>
                <w:i w:val="0"/>
                <w:color w:val="auto"/>
                <w:sz w:val="28"/>
                <w:szCs w:val="28"/>
              </w:rPr>
              <w:t xml:space="preserve"> Smoking Comorbidities</w:t>
            </w:r>
          </w:p>
        </w:tc>
        <w:tc>
          <w:tcPr>
            <w:tcW w:w="643" w:type="dxa"/>
            <w:vAlign w:val="center"/>
          </w:tcPr>
          <w:p w14:paraId="4EFB2CD2"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w:t>
            </w:r>
            <w:r>
              <w:rPr>
                <w:rFonts w:asciiTheme="majorHAnsi" w:hAnsiTheme="majorHAnsi" w:cstheme="majorHAnsi"/>
                <w:sz w:val="24"/>
                <w:szCs w:val="24"/>
                <w:lang w:eastAsia="ja-JP"/>
              </w:rPr>
              <w:t>6</w:t>
            </w:r>
          </w:p>
        </w:tc>
      </w:tr>
      <w:tr w:rsidR="000363C5" w:rsidRPr="00B10AAF" w14:paraId="37591187" w14:textId="77777777" w:rsidTr="00222B17">
        <w:tc>
          <w:tcPr>
            <w:tcW w:w="8784" w:type="dxa"/>
          </w:tcPr>
          <w:p w14:paraId="548D7F38"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Health Risk Behaviors</w:t>
            </w:r>
          </w:p>
        </w:tc>
        <w:tc>
          <w:tcPr>
            <w:tcW w:w="643" w:type="dxa"/>
            <w:vAlign w:val="center"/>
          </w:tcPr>
          <w:p w14:paraId="5356787C"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w:t>
            </w:r>
            <w:r>
              <w:rPr>
                <w:rFonts w:asciiTheme="majorHAnsi" w:hAnsiTheme="majorHAnsi" w:cstheme="majorHAnsi"/>
                <w:sz w:val="24"/>
                <w:szCs w:val="24"/>
                <w:lang w:eastAsia="ja-JP"/>
              </w:rPr>
              <w:t>6</w:t>
            </w:r>
          </w:p>
        </w:tc>
      </w:tr>
      <w:tr w:rsidR="000363C5" w:rsidRPr="00B10AAF" w14:paraId="1DB932E7" w14:textId="77777777" w:rsidTr="00222B17">
        <w:tc>
          <w:tcPr>
            <w:tcW w:w="8784" w:type="dxa"/>
          </w:tcPr>
          <w:p w14:paraId="6F0231C5"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Smoking Attributable Disease</w:t>
            </w:r>
          </w:p>
        </w:tc>
        <w:tc>
          <w:tcPr>
            <w:tcW w:w="643" w:type="dxa"/>
            <w:vAlign w:val="center"/>
          </w:tcPr>
          <w:p w14:paraId="423C4894"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w:t>
            </w:r>
            <w:r>
              <w:rPr>
                <w:rFonts w:asciiTheme="majorHAnsi" w:hAnsiTheme="majorHAnsi" w:cstheme="majorHAnsi"/>
                <w:sz w:val="24"/>
                <w:szCs w:val="24"/>
                <w:lang w:eastAsia="ja-JP"/>
              </w:rPr>
              <w:t>7</w:t>
            </w:r>
          </w:p>
        </w:tc>
      </w:tr>
      <w:tr w:rsidR="000363C5" w:rsidRPr="00B10AAF" w14:paraId="29DB0A8D" w14:textId="77777777" w:rsidTr="00222B17">
        <w:tc>
          <w:tcPr>
            <w:tcW w:w="8784" w:type="dxa"/>
          </w:tcPr>
          <w:p w14:paraId="64E2994A"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Racial Inequities</w:t>
            </w:r>
            <w:r>
              <w:rPr>
                <w:rStyle w:val="BookTitle"/>
                <w:rFonts w:cstheme="majorHAnsi"/>
                <w:b w:val="0"/>
                <w:bCs w:val="0"/>
                <w:i w:val="0"/>
                <w:color w:val="auto"/>
                <w:sz w:val="28"/>
                <w:szCs w:val="28"/>
              </w:rPr>
              <w:t xml:space="preserve"> in smoking attributable disease</w:t>
            </w:r>
          </w:p>
        </w:tc>
        <w:tc>
          <w:tcPr>
            <w:tcW w:w="643" w:type="dxa"/>
            <w:vAlign w:val="center"/>
          </w:tcPr>
          <w:p w14:paraId="641F8FC3"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w:t>
            </w:r>
            <w:r>
              <w:rPr>
                <w:rFonts w:asciiTheme="majorHAnsi" w:hAnsiTheme="majorHAnsi" w:cstheme="majorHAnsi"/>
                <w:sz w:val="24"/>
                <w:szCs w:val="24"/>
                <w:lang w:eastAsia="ja-JP"/>
              </w:rPr>
              <w:t>7</w:t>
            </w:r>
          </w:p>
        </w:tc>
      </w:tr>
      <w:tr w:rsidR="000363C5" w:rsidRPr="00B10AAF" w14:paraId="70AEA52D" w14:textId="77777777" w:rsidTr="00222B17">
        <w:tc>
          <w:tcPr>
            <w:tcW w:w="8784" w:type="dxa"/>
          </w:tcPr>
          <w:p w14:paraId="53308D7A"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Years Of Life Lost</w:t>
            </w:r>
          </w:p>
        </w:tc>
        <w:tc>
          <w:tcPr>
            <w:tcW w:w="643" w:type="dxa"/>
            <w:vAlign w:val="center"/>
          </w:tcPr>
          <w:p w14:paraId="08B05B63"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w:t>
            </w:r>
            <w:r>
              <w:rPr>
                <w:rFonts w:asciiTheme="majorHAnsi" w:hAnsiTheme="majorHAnsi" w:cstheme="majorHAnsi"/>
                <w:sz w:val="24"/>
                <w:szCs w:val="24"/>
                <w:lang w:eastAsia="ja-JP"/>
              </w:rPr>
              <w:t>8</w:t>
            </w:r>
          </w:p>
        </w:tc>
      </w:tr>
      <w:tr w:rsidR="000363C5" w:rsidRPr="00B10AAF" w14:paraId="127EC05B" w14:textId="77777777" w:rsidTr="00222B17">
        <w:tc>
          <w:tcPr>
            <w:tcW w:w="8784" w:type="dxa"/>
          </w:tcPr>
          <w:p w14:paraId="7703A2BC" w14:textId="77777777" w:rsidR="000363C5" w:rsidRPr="00B10AAF" w:rsidRDefault="000363C5" w:rsidP="00222B17">
            <w:pPr>
              <w:pStyle w:val="Subtitle"/>
              <w:rPr>
                <w:rStyle w:val="BookTitle"/>
                <w:rFonts w:cstheme="majorHAnsi"/>
                <w:b w:val="0"/>
                <w:i w:val="0"/>
                <w:color w:val="auto"/>
                <w:sz w:val="28"/>
                <w:szCs w:val="28"/>
              </w:rPr>
            </w:pPr>
            <w:r w:rsidRPr="00B10AAF">
              <w:rPr>
                <w:rStyle w:val="BookTitle"/>
                <w:rFonts w:cstheme="majorHAnsi"/>
                <w:i w:val="0"/>
                <w:color w:val="auto"/>
                <w:sz w:val="28"/>
                <w:szCs w:val="28"/>
              </w:rPr>
              <w:t xml:space="preserve">Secondhand Smoke At Home </w:t>
            </w:r>
          </w:p>
        </w:tc>
        <w:tc>
          <w:tcPr>
            <w:tcW w:w="643" w:type="dxa"/>
            <w:vAlign w:val="center"/>
          </w:tcPr>
          <w:p w14:paraId="6186FC02"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w:t>
            </w:r>
            <w:r>
              <w:rPr>
                <w:rFonts w:asciiTheme="majorHAnsi" w:hAnsiTheme="majorHAnsi" w:cstheme="majorHAnsi"/>
                <w:sz w:val="24"/>
                <w:szCs w:val="24"/>
                <w:lang w:eastAsia="ja-JP"/>
              </w:rPr>
              <w:t>9</w:t>
            </w:r>
          </w:p>
        </w:tc>
      </w:tr>
      <w:tr w:rsidR="000363C5" w:rsidRPr="00B10AAF" w14:paraId="0684A5BF" w14:textId="77777777" w:rsidTr="00222B17">
        <w:tc>
          <w:tcPr>
            <w:tcW w:w="8784" w:type="dxa"/>
          </w:tcPr>
          <w:p w14:paraId="23A61E8E"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Where Are People Exposed?</w:t>
            </w:r>
          </w:p>
        </w:tc>
        <w:tc>
          <w:tcPr>
            <w:tcW w:w="643" w:type="dxa"/>
            <w:vAlign w:val="center"/>
          </w:tcPr>
          <w:p w14:paraId="36EEE99B"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19</w:t>
            </w:r>
          </w:p>
        </w:tc>
      </w:tr>
      <w:tr w:rsidR="000363C5" w:rsidRPr="00B10AAF" w14:paraId="338764D4" w14:textId="77777777" w:rsidTr="00222B17">
        <w:tc>
          <w:tcPr>
            <w:tcW w:w="8784" w:type="dxa"/>
          </w:tcPr>
          <w:p w14:paraId="29D739F9"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Inequities To Exposure To Secondhand Smoke At Home</w:t>
            </w:r>
          </w:p>
        </w:tc>
        <w:tc>
          <w:tcPr>
            <w:tcW w:w="643" w:type="dxa"/>
            <w:vAlign w:val="center"/>
          </w:tcPr>
          <w:p w14:paraId="40D7D807"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20</w:t>
            </w:r>
          </w:p>
        </w:tc>
      </w:tr>
      <w:tr w:rsidR="000363C5" w:rsidRPr="00B10AAF" w14:paraId="17F79508" w14:textId="77777777" w:rsidTr="00222B17">
        <w:tc>
          <w:tcPr>
            <w:tcW w:w="8784" w:type="dxa"/>
          </w:tcPr>
          <w:p w14:paraId="6C33DC26"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Home Smoking Rules</w:t>
            </w:r>
          </w:p>
        </w:tc>
        <w:tc>
          <w:tcPr>
            <w:tcW w:w="643" w:type="dxa"/>
            <w:vAlign w:val="center"/>
          </w:tcPr>
          <w:p w14:paraId="1C91946B"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2</w:t>
            </w:r>
            <w:r>
              <w:rPr>
                <w:rFonts w:asciiTheme="majorHAnsi" w:hAnsiTheme="majorHAnsi" w:cstheme="majorHAnsi"/>
                <w:sz w:val="24"/>
                <w:szCs w:val="24"/>
                <w:lang w:eastAsia="ja-JP"/>
              </w:rPr>
              <w:t>1</w:t>
            </w:r>
          </w:p>
        </w:tc>
      </w:tr>
      <w:tr w:rsidR="000363C5" w:rsidRPr="00B10AAF" w14:paraId="2DE9BD4E" w14:textId="77777777" w:rsidTr="00222B17">
        <w:tc>
          <w:tcPr>
            <w:tcW w:w="8784" w:type="dxa"/>
          </w:tcPr>
          <w:p w14:paraId="101D0450"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Smoke-Free Housing</w:t>
            </w:r>
          </w:p>
        </w:tc>
        <w:tc>
          <w:tcPr>
            <w:tcW w:w="643" w:type="dxa"/>
            <w:vAlign w:val="center"/>
          </w:tcPr>
          <w:p w14:paraId="443B3193"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2</w:t>
            </w:r>
            <w:r>
              <w:rPr>
                <w:rFonts w:asciiTheme="majorHAnsi" w:hAnsiTheme="majorHAnsi" w:cstheme="majorHAnsi"/>
                <w:sz w:val="24"/>
                <w:szCs w:val="24"/>
                <w:lang w:eastAsia="ja-JP"/>
              </w:rPr>
              <w:t>2</w:t>
            </w:r>
          </w:p>
        </w:tc>
      </w:tr>
      <w:tr w:rsidR="000363C5" w:rsidRPr="00B10AAF" w14:paraId="67E30BB7" w14:textId="77777777" w:rsidTr="00222B17">
        <w:tc>
          <w:tcPr>
            <w:tcW w:w="8784" w:type="dxa"/>
          </w:tcPr>
          <w:p w14:paraId="7B101833" w14:textId="77777777" w:rsidR="000363C5" w:rsidRPr="00B10AAF" w:rsidRDefault="000363C5" w:rsidP="00222B17">
            <w:pPr>
              <w:pStyle w:val="Subtitle"/>
              <w:rPr>
                <w:rStyle w:val="BookTitle"/>
                <w:rFonts w:cstheme="majorHAnsi"/>
                <w:b w:val="0"/>
                <w:bCs w:val="0"/>
                <w:i w:val="0"/>
                <w:color w:val="auto"/>
                <w:sz w:val="28"/>
                <w:szCs w:val="28"/>
              </w:rPr>
            </w:pPr>
            <w:r w:rsidRPr="00B10AAF">
              <w:rPr>
                <w:rStyle w:val="BookTitle"/>
                <w:rFonts w:cstheme="majorHAnsi"/>
                <w:b w:val="0"/>
                <w:bCs w:val="0"/>
                <w:i w:val="0"/>
                <w:color w:val="auto"/>
                <w:sz w:val="28"/>
                <w:szCs w:val="28"/>
              </w:rPr>
              <w:t xml:space="preserve">          Policy Action</w:t>
            </w:r>
          </w:p>
        </w:tc>
        <w:tc>
          <w:tcPr>
            <w:tcW w:w="643" w:type="dxa"/>
            <w:vAlign w:val="center"/>
          </w:tcPr>
          <w:p w14:paraId="337D4594"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2</w:t>
            </w:r>
            <w:r>
              <w:rPr>
                <w:rFonts w:asciiTheme="majorHAnsi" w:hAnsiTheme="majorHAnsi" w:cstheme="majorHAnsi"/>
                <w:sz w:val="24"/>
                <w:szCs w:val="24"/>
                <w:lang w:eastAsia="ja-JP"/>
              </w:rPr>
              <w:t>2</w:t>
            </w:r>
          </w:p>
        </w:tc>
      </w:tr>
      <w:tr w:rsidR="000363C5" w:rsidRPr="00B10AAF" w14:paraId="1D50EBC1" w14:textId="77777777" w:rsidTr="000363C5">
        <w:tc>
          <w:tcPr>
            <w:tcW w:w="8784" w:type="dxa"/>
            <w:tcBorders>
              <w:bottom w:val="single" w:sz="4" w:space="0" w:color="auto"/>
            </w:tcBorders>
          </w:tcPr>
          <w:p w14:paraId="0C455A3A" w14:textId="77777777" w:rsidR="000363C5" w:rsidRPr="00B10AAF" w:rsidRDefault="000363C5" w:rsidP="00222B17">
            <w:pPr>
              <w:pStyle w:val="Subtitle"/>
              <w:rPr>
                <w:rStyle w:val="BookTitle"/>
                <w:rFonts w:cstheme="majorHAnsi"/>
                <w:b w:val="0"/>
                <w:i w:val="0"/>
                <w:color w:val="auto"/>
                <w:sz w:val="28"/>
                <w:szCs w:val="28"/>
              </w:rPr>
            </w:pPr>
            <w:r w:rsidRPr="00B10AAF">
              <w:rPr>
                <w:rStyle w:val="BookTitle"/>
                <w:rFonts w:cstheme="majorHAnsi"/>
                <w:i w:val="0"/>
                <w:color w:val="auto"/>
                <w:sz w:val="28"/>
                <w:szCs w:val="28"/>
              </w:rPr>
              <w:t xml:space="preserve">Resources </w:t>
            </w:r>
          </w:p>
        </w:tc>
        <w:tc>
          <w:tcPr>
            <w:tcW w:w="643" w:type="dxa"/>
            <w:tcBorders>
              <w:bottom w:val="single" w:sz="4" w:space="0" w:color="auto"/>
            </w:tcBorders>
            <w:vAlign w:val="center"/>
          </w:tcPr>
          <w:p w14:paraId="5BA32861"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2</w:t>
            </w:r>
            <w:r>
              <w:rPr>
                <w:rFonts w:asciiTheme="majorHAnsi" w:hAnsiTheme="majorHAnsi" w:cstheme="majorHAnsi"/>
                <w:sz w:val="24"/>
                <w:szCs w:val="24"/>
                <w:lang w:eastAsia="ja-JP"/>
              </w:rPr>
              <w:t>3</w:t>
            </w:r>
          </w:p>
        </w:tc>
      </w:tr>
      <w:tr w:rsidR="000363C5" w:rsidRPr="00B10AAF" w14:paraId="6F9444D0" w14:textId="77777777" w:rsidTr="000363C5">
        <w:tc>
          <w:tcPr>
            <w:tcW w:w="8784" w:type="dxa"/>
            <w:tcBorders>
              <w:bottom w:val="single" w:sz="4" w:space="0" w:color="auto"/>
            </w:tcBorders>
          </w:tcPr>
          <w:p w14:paraId="44710EC6" w14:textId="77777777" w:rsidR="000363C5" w:rsidRPr="00B10AAF" w:rsidRDefault="000363C5" w:rsidP="00222B17">
            <w:pPr>
              <w:pStyle w:val="Subtitle"/>
              <w:rPr>
                <w:rStyle w:val="BookTitle"/>
                <w:rFonts w:cstheme="majorHAnsi"/>
                <w:b w:val="0"/>
                <w:i w:val="0"/>
                <w:color w:val="auto"/>
                <w:sz w:val="28"/>
                <w:szCs w:val="28"/>
              </w:rPr>
            </w:pPr>
            <w:r w:rsidRPr="00B10AAF">
              <w:rPr>
                <w:rStyle w:val="BookTitle"/>
                <w:rFonts w:cstheme="majorHAnsi"/>
                <w:i w:val="0"/>
                <w:color w:val="auto"/>
                <w:sz w:val="28"/>
                <w:szCs w:val="28"/>
              </w:rPr>
              <w:t xml:space="preserve">References </w:t>
            </w:r>
          </w:p>
        </w:tc>
        <w:tc>
          <w:tcPr>
            <w:tcW w:w="643" w:type="dxa"/>
            <w:tcBorders>
              <w:bottom w:val="single" w:sz="4" w:space="0" w:color="auto"/>
            </w:tcBorders>
            <w:vAlign w:val="center"/>
          </w:tcPr>
          <w:p w14:paraId="40509C98" w14:textId="77777777" w:rsidR="000363C5" w:rsidRPr="00B10AAF" w:rsidRDefault="000363C5" w:rsidP="00222B17">
            <w:pPr>
              <w:jc w:val="center"/>
              <w:rPr>
                <w:rFonts w:asciiTheme="majorHAnsi" w:hAnsiTheme="majorHAnsi" w:cstheme="majorHAnsi"/>
                <w:sz w:val="24"/>
                <w:szCs w:val="24"/>
                <w:lang w:eastAsia="ja-JP"/>
              </w:rPr>
            </w:pPr>
            <w:r w:rsidRPr="00B10AAF">
              <w:rPr>
                <w:rFonts w:asciiTheme="majorHAnsi" w:hAnsiTheme="majorHAnsi" w:cstheme="majorHAnsi"/>
                <w:sz w:val="24"/>
                <w:szCs w:val="24"/>
                <w:lang w:eastAsia="ja-JP"/>
              </w:rPr>
              <w:t>25</w:t>
            </w:r>
          </w:p>
        </w:tc>
      </w:tr>
      <w:tr w:rsidR="000363C5" w:rsidRPr="00B10AAF" w14:paraId="72A5D318" w14:textId="77777777" w:rsidTr="000363C5">
        <w:tc>
          <w:tcPr>
            <w:tcW w:w="8784" w:type="dxa"/>
            <w:tcBorders>
              <w:top w:val="single" w:sz="4" w:space="0" w:color="auto"/>
              <w:left w:val="nil"/>
              <w:bottom w:val="nil"/>
              <w:right w:val="nil"/>
            </w:tcBorders>
          </w:tcPr>
          <w:p w14:paraId="40BC00C8" w14:textId="77777777" w:rsidR="000363C5" w:rsidRDefault="000363C5" w:rsidP="00222B17">
            <w:pPr>
              <w:pStyle w:val="Subtitle"/>
              <w:rPr>
                <w:rStyle w:val="BookTitle"/>
                <w:rFonts w:cstheme="majorHAnsi"/>
                <w:i w:val="0"/>
                <w:color w:val="auto"/>
                <w:sz w:val="28"/>
                <w:szCs w:val="28"/>
              </w:rPr>
            </w:pPr>
          </w:p>
          <w:p w14:paraId="72511C82" w14:textId="77777777" w:rsidR="000363C5" w:rsidRDefault="000363C5" w:rsidP="000363C5"/>
          <w:p w14:paraId="257F902F" w14:textId="0776C430" w:rsidR="000363C5" w:rsidRPr="000363C5" w:rsidRDefault="000363C5" w:rsidP="000363C5"/>
        </w:tc>
        <w:tc>
          <w:tcPr>
            <w:tcW w:w="643" w:type="dxa"/>
            <w:tcBorders>
              <w:top w:val="single" w:sz="4" w:space="0" w:color="auto"/>
              <w:left w:val="nil"/>
              <w:bottom w:val="nil"/>
              <w:right w:val="nil"/>
            </w:tcBorders>
            <w:vAlign w:val="center"/>
          </w:tcPr>
          <w:p w14:paraId="29CB2DB9" w14:textId="77777777" w:rsidR="000363C5" w:rsidRPr="00B10AAF" w:rsidRDefault="000363C5" w:rsidP="00222B17">
            <w:pPr>
              <w:jc w:val="center"/>
              <w:rPr>
                <w:rFonts w:asciiTheme="majorHAnsi" w:hAnsiTheme="majorHAnsi" w:cstheme="majorHAnsi"/>
                <w:sz w:val="24"/>
                <w:szCs w:val="24"/>
                <w:lang w:eastAsia="ja-JP"/>
              </w:rPr>
            </w:pPr>
          </w:p>
        </w:tc>
      </w:tr>
    </w:tbl>
    <w:p w14:paraId="675F6437" w14:textId="77777777" w:rsidR="00B10AAF" w:rsidRPr="008F3CAE" w:rsidRDefault="00B10AAF" w:rsidP="00B10AAF">
      <w:pPr>
        <w:pStyle w:val="Heading1"/>
        <w:pBdr>
          <w:bottom w:val="single" w:sz="12" w:space="1" w:color="auto"/>
        </w:pBdr>
        <w:rPr>
          <w:sz w:val="40"/>
        </w:rPr>
      </w:pPr>
      <w:r>
        <w:rPr>
          <w:sz w:val="40"/>
        </w:rPr>
        <w:lastRenderedPageBreak/>
        <w:t>About</w:t>
      </w:r>
      <w:r w:rsidRPr="008F3CAE">
        <w:rPr>
          <w:sz w:val="40"/>
        </w:rPr>
        <w:t xml:space="preserve"> This Report</w:t>
      </w:r>
    </w:p>
    <w:p w14:paraId="4A7F94D8" w14:textId="77777777" w:rsidR="00B10AAF" w:rsidRPr="00B10AAF" w:rsidRDefault="00B10AAF" w:rsidP="00B10AAF">
      <w:pPr>
        <w:widowControl w:val="0"/>
        <w:spacing w:line="276" w:lineRule="auto"/>
        <w:rPr>
          <w:rFonts w:asciiTheme="majorHAnsi" w:hAnsiTheme="majorHAnsi"/>
          <w:sz w:val="21"/>
          <w:szCs w:val="21"/>
        </w:rPr>
      </w:pPr>
      <w:r w:rsidRPr="00B10AAF">
        <w:rPr>
          <w:rFonts w:asciiTheme="majorHAnsi" w:hAnsiTheme="majorHAnsi"/>
          <w:sz w:val="21"/>
          <w:szCs w:val="21"/>
        </w:rPr>
        <w:t>This report aims to present a comprehensive overview of tobacco-related risk behavior, exposure, and health outcomes in Massachusetts based on annual survey data from the Massachusetts Behavioral Risk Factor Surveillance System (BRFSS).</w:t>
      </w:r>
    </w:p>
    <w:p w14:paraId="1B7DF0B2" w14:textId="77777777" w:rsidR="00B10AAF" w:rsidRPr="00B10AAF" w:rsidRDefault="00B10AAF" w:rsidP="00B10AAF">
      <w:pPr>
        <w:widowControl w:val="0"/>
        <w:spacing w:line="276" w:lineRule="auto"/>
        <w:rPr>
          <w:rFonts w:asciiTheme="majorHAnsi" w:hAnsiTheme="majorHAnsi"/>
          <w:sz w:val="21"/>
          <w:szCs w:val="21"/>
        </w:rPr>
      </w:pPr>
    </w:p>
    <w:p w14:paraId="4987A86B" w14:textId="77777777" w:rsidR="00B10AAF" w:rsidRPr="00B10AAF" w:rsidRDefault="00B10AAF" w:rsidP="00B10AAF">
      <w:pPr>
        <w:widowControl w:val="0"/>
        <w:spacing w:line="276" w:lineRule="auto"/>
        <w:rPr>
          <w:rFonts w:asciiTheme="majorHAnsi" w:hAnsiTheme="majorHAnsi"/>
          <w:sz w:val="21"/>
          <w:szCs w:val="21"/>
        </w:rPr>
      </w:pPr>
      <w:r w:rsidRPr="00B10AAF">
        <w:rPr>
          <w:rFonts w:asciiTheme="majorHAnsi" w:hAnsiTheme="majorHAnsi"/>
          <w:sz w:val="21"/>
          <w:szCs w:val="21"/>
        </w:rPr>
        <w:t xml:space="preserve">The tobacco-related metrics included in this report are split into four broad categories: </w:t>
      </w:r>
    </w:p>
    <w:p w14:paraId="7454DCD8" w14:textId="77777777" w:rsidR="00B10AAF" w:rsidRPr="00B10AAF" w:rsidRDefault="00B10AAF" w:rsidP="00B10AAF">
      <w:pPr>
        <w:pStyle w:val="ListParagraph"/>
        <w:widowControl w:val="0"/>
        <w:numPr>
          <w:ilvl w:val="0"/>
          <w:numId w:val="1"/>
        </w:numPr>
        <w:spacing w:line="276" w:lineRule="auto"/>
        <w:rPr>
          <w:rFonts w:asciiTheme="majorHAnsi" w:hAnsiTheme="majorHAnsi"/>
          <w:sz w:val="21"/>
          <w:szCs w:val="21"/>
        </w:rPr>
      </w:pPr>
      <w:r w:rsidRPr="00B10AAF">
        <w:rPr>
          <w:rFonts w:asciiTheme="majorHAnsi" w:hAnsiTheme="majorHAnsi"/>
          <w:sz w:val="21"/>
          <w:szCs w:val="21"/>
        </w:rPr>
        <w:t>Smoking and Tobacco Use: Who Smokes and Why</w:t>
      </w:r>
    </w:p>
    <w:p w14:paraId="76A951B6" w14:textId="77777777" w:rsidR="00B10AAF" w:rsidRPr="00B10AAF" w:rsidRDefault="00B10AAF" w:rsidP="00B10AAF">
      <w:pPr>
        <w:pStyle w:val="ListParagraph"/>
        <w:widowControl w:val="0"/>
        <w:numPr>
          <w:ilvl w:val="0"/>
          <w:numId w:val="1"/>
        </w:numPr>
        <w:spacing w:before="40" w:after="40" w:line="276" w:lineRule="auto"/>
        <w:rPr>
          <w:rFonts w:asciiTheme="majorHAnsi" w:hAnsiTheme="majorHAnsi"/>
          <w:sz w:val="21"/>
          <w:szCs w:val="21"/>
        </w:rPr>
      </w:pPr>
      <w:r w:rsidRPr="00B10AAF">
        <w:rPr>
          <w:rFonts w:asciiTheme="majorHAnsi" w:hAnsiTheme="majorHAnsi"/>
          <w:sz w:val="21"/>
          <w:szCs w:val="21"/>
        </w:rPr>
        <w:t>Cessation: Who Quits and Why</w:t>
      </w:r>
    </w:p>
    <w:p w14:paraId="58B0AE13" w14:textId="77777777" w:rsidR="00B10AAF" w:rsidRPr="00B10AAF" w:rsidRDefault="00B10AAF" w:rsidP="00B10AAF">
      <w:pPr>
        <w:pStyle w:val="ListParagraph"/>
        <w:widowControl w:val="0"/>
        <w:numPr>
          <w:ilvl w:val="0"/>
          <w:numId w:val="1"/>
        </w:numPr>
        <w:spacing w:before="40" w:after="40" w:line="276" w:lineRule="auto"/>
        <w:rPr>
          <w:rFonts w:asciiTheme="majorHAnsi" w:hAnsiTheme="majorHAnsi"/>
          <w:sz w:val="21"/>
          <w:szCs w:val="21"/>
        </w:rPr>
      </w:pPr>
      <w:r w:rsidRPr="00B10AAF">
        <w:rPr>
          <w:rFonts w:asciiTheme="majorHAnsi" w:hAnsiTheme="majorHAnsi"/>
          <w:sz w:val="21"/>
          <w:szCs w:val="21"/>
        </w:rPr>
        <w:t>Smoking Co-Morbidities</w:t>
      </w:r>
    </w:p>
    <w:p w14:paraId="0D12EB98" w14:textId="77777777" w:rsidR="00B10AAF" w:rsidRPr="00B10AAF" w:rsidRDefault="00B10AAF" w:rsidP="00B10AAF">
      <w:pPr>
        <w:pStyle w:val="ListParagraph"/>
        <w:widowControl w:val="0"/>
        <w:numPr>
          <w:ilvl w:val="0"/>
          <w:numId w:val="1"/>
        </w:numPr>
        <w:spacing w:before="40" w:after="40" w:line="276" w:lineRule="auto"/>
        <w:rPr>
          <w:rFonts w:asciiTheme="majorHAnsi" w:hAnsiTheme="majorHAnsi"/>
          <w:sz w:val="21"/>
          <w:szCs w:val="21"/>
        </w:rPr>
      </w:pPr>
      <w:r w:rsidRPr="00B10AAF">
        <w:rPr>
          <w:rFonts w:asciiTheme="majorHAnsi" w:hAnsiTheme="majorHAnsi"/>
          <w:sz w:val="21"/>
          <w:szCs w:val="21"/>
        </w:rPr>
        <w:t>Exposure to Secondhand Smoke at Home</w:t>
      </w:r>
    </w:p>
    <w:p w14:paraId="29E4CDC8" w14:textId="77777777" w:rsidR="00B10AAF" w:rsidRPr="00B10AAF" w:rsidRDefault="00B10AAF" w:rsidP="00B10AAF">
      <w:pPr>
        <w:widowControl w:val="0"/>
        <w:spacing w:line="276" w:lineRule="auto"/>
        <w:rPr>
          <w:rFonts w:asciiTheme="majorHAnsi" w:hAnsiTheme="majorHAnsi"/>
          <w:sz w:val="21"/>
          <w:szCs w:val="21"/>
        </w:rPr>
      </w:pPr>
    </w:p>
    <w:p w14:paraId="75C637CC" w14:textId="77777777" w:rsidR="00B10AAF" w:rsidRDefault="00B10AAF" w:rsidP="00B10AAF">
      <w:pPr>
        <w:spacing w:after="60" w:line="276" w:lineRule="auto"/>
        <w:rPr>
          <w:rFonts w:asciiTheme="majorHAnsi" w:hAnsiTheme="majorHAnsi"/>
          <w:sz w:val="21"/>
          <w:szCs w:val="21"/>
        </w:rPr>
      </w:pPr>
      <w:r w:rsidRPr="00B10AAF">
        <w:rPr>
          <w:rFonts w:asciiTheme="majorHAnsi" w:hAnsiTheme="majorHAnsi"/>
          <w:b/>
          <w:bCs/>
          <w:sz w:val="21"/>
          <w:szCs w:val="21"/>
        </w:rPr>
        <w:t>Figure 1</w:t>
      </w:r>
      <w:r w:rsidRPr="00B10AAF">
        <w:rPr>
          <w:rFonts w:asciiTheme="majorHAnsi" w:hAnsiTheme="majorHAnsi"/>
          <w:sz w:val="21"/>
          <w:szCs w:val="21"/>
        </w:rPr>
        <w:t xml:space="preserve"> presents a conceptual framework of how tobacco-related behaviors and outcome are shaped by a broad range of social, environmental, and economic conditions, which occur in the context of larger societal structures. Differences in these conditions can make it more difficult for people to achieve healthy behaviors and good health. </w:t>
      </w:r>
    </w:p>
    <w:p w14:paraId="45F2748E" w14:textId="77777777" w:rsidR="00B10AAF" w:rsidRDefault="00B10AAF" w:rsidP="00B10AAF">
      <w:pPr>
        <w:spacing w:after="60" w:line="276" w:lineRule="auto"/>
        <w:rPr>
          <w:rFonts w:asciiTheme="majorHAnsi" w:hAnsiTheme="majorHAnsi"/>
          <w:sz w:val="21"/>
          <w:szCs w:val="21"/>
        </w:rPr>
      </w:pPr>
    </w:p>
    <w:p w14:paraId="2B08BBD7" w14:textId="4DF30A32" w:rsidR="00B10AAF" w:rsidRDefault="00B10AAF" w:rsidP="00B10AAF">
      <w:pPr>
        <w:spacing w:after="60" w:line="276" w:lineRule="auto"/>
        <w:rPr>
          <w:rFonts w:asciiTheme="majorHAnsi" w:hAnsiTheme="majorHAnsi"/>
          <w:sz w:val="21"/>
          <w:szCs w:val="21"/>
        </w:rPr>
      </w:pPr>
      <w:r w:rsidRPr="00B10AAF">
        <w:rPr>
          <w:rFonts w:asciiTheme="majorHAnsi" w:hAnsiTheme="majorHAnsi"/>
          <w:sz w:val="21"/>
          <w:szCs w:val="21"/>
        </w:rPr>
        <w:t xml:space="preserve">This report not only highlights the many tobacco-related disparities that exist in Massachusetts, but also leverages historical context and peer-reviewed research to explain </w:t>
      </w:r>
      <w:r w:rsidRPr="00B10AAF">
        <w:rPr>
          <w:rFonts w:asciiTheme="majorHAnsi" w:hAnsiTheme="majorHAnsi"/>
          <w:b/>
          <w:bCs/>
          <w:sz w:val="21"/>
          <w:szCs w:val="21"/>
        </w:rPr>
        <w:t>how</w:t>
      </w:r>
      <w:r w:rsidRPr="00B10AAF">
        <w:rPr>
          <w:rFonts w:asciiTheme="majorHAnsi" w:hAnsiTheme="majorHAnsi"/>
          <w:sz w:val="21"/>
          <w:szCs w:val="21"/>
        </w:rPr>
        <w:t xml:space="preserve"> inequitable and persistent exposure to adverse social, environmental, and economic conditions have in turn put certain populations more at risk of tobacco-related risk behavior, exposure, and diseases.</w:t>
      </w:r>
    </w:p>
    <w:p w14:paraId="7FDB0A2F" w14:textId="1122AE1B" w:rsidR="008A1344" w:rsidRDefault="008A1344" w:rsidP="00B10AAF">
      <w:pPr>
        <w:spacing w:after="60" w:line="276" w:lineRule="auto"/>
        <w:rPr>
          <w:rFonts w:asciiTheme="majorHAnsi" w:hAnsiTheme="majorHAnsi"/>
          <w:sz w:val="21"/>
          <w:szCs w:val="21"/>
        </w:rPr>
      </w:pPr>
    </w:p>
    <w:p w14:paraId="7A7DED30" w14:textId="3410097B" w:rsidR="008A1344" w:rsidRPr="00B10AAF" w:rsidRDefault="008A1344" w:rsidP="00B10AAF">
      <w:pPr>
        <w:spacing w:after="60" w:line="276" w:lineRule="auto"/>
        <w:rPr>
          <w:rFonts w:asciiTheme="majorHAnsi" w:hAnsiTheme="majorHAnsi"/>
          <w:sz w:val="21"/>
          <w:szCs w:val="21"/>
        </w:rPr>
      </w:pPr>
      <w:r>
        <w:rPr>
          <w:rFonts w:asciiTheme="majorHAnsi" w:hAnsiTheme="majorHAnsi"/>
          <w:sz w:val="21"/>
          <w:szCs w:val="21"/>
        </w:rPr>
        <w:t xml:space="preserve">Finally, a summary of evidence-based tobacco control strategies and resources employed by the Massachusetts Tobacco Cessation and Prevention Program (MTCP) is presented at the end of the report. </w:t>
      </w:r>
    </w:p>
    <w:p w14:paraId="4797BACE" w14:textId="77777777" w:rsidR="00B10AAF" w:rsidRPr="008F3CAE" w:rsidRDefault="00B10AAF" w:rsidP="00B10AAF">
      <w:pPr>
        <w:widowControl w:val="0"/>
        <w:spacing w:line="276" w:lineRule="auto"/>
        <w:rPr>
          <w:rFonts w:asciiTheme="minorHAnsi" w:hAnsiTheme="minorHAnsi"/>
          <w:sz w:val="22"/>
          <w:szCs w:val="22"/>
        </w:rPr>
      </w:pPr>
    </w:p>
    <w:p w14:paraId="091AE35A" w14:textId="062AA716" w:rsidR="00B10AAF" w:rsidRDefault="00B10AAF" w:rsidP="00B10AAF">
      <w:pPr>
        <w:widowControl w:val="0"/>
      </w:pPr>
      <w:r w:rsidRPr="00E10030">
        <w:rPr>
          <w:rFonts w:asciiTheme="minorHAnsi" w:hAnsiTheme="minorHAnsi" w:cstheme="minorHAnsi"/>
          <w:b/>
          <w:sz w:val="24"/>
          <w:szCs w:val="24"/>
        </w:rPr>
        <w:t>Figure 1</w:t>
      </w:r>
      <w:r w:rsidRPr="00E10030">
        <w:rPr>
          <w:rFonts w:asciiTheme="minorHAnsi" w:hAnsiTheme="minorHAnsi" w:cstheme="minorHAnsi"/>
          <w:sz w:val="24"/>
          <w:szCs w:val="24"/>
        </w:rPr>
        <w:t xml:space="preserve">. </w:t>
      </w:r>
      <w:r w:rsidRPr="00E10030">
        <w:rPr>
          <w:rFonts w:asciiTheme="minorHAnsi" w:hAnsiTheme="minorHAnsi" w:cstheme="minorHAnsi"/>
          <w:b/>
          <w:sz w:val="24"/>
          <w:szCs w:val="24"/>
        </w:rPr>
        <w:t>Conceptual Framework Explaining Tobacco-Related Inequities</w:t>
      </w:r>
    </w:p>
    <w:p w14:paraId="6790A8AB" w14:textId="2D58A766" w:rsidR="00B10AAF" w:rsidRPr="001B3A73" w:rsidRDefault="00B10AAF" w:rsidP="00B10AAF">
      <w:r w:rsidRPr="004B049A">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7BA5F756" wp14:editId="420B384A">
                <wp:simplePos x="0" y="0"/>
                <wp:positionH relativeFrom="column">
                  <wp:posOffset>-620486</wp:posOffset>
                </wp:positionH>
                <wp:positionV relativeFrom="paragraph">
                  <wp:posOffset>147683</wp:posOffset>
                </wp:positionV>
                <wp:extent cx="7181215" cy="2690495"/>
                <wp:effectExtent l="0" t="0" r="6985" b="14605"/>
                <wp:wrapNone/>
                <wp:docPr id="662" name="Group 662"/>
                <wp:cNvGraphicFramePr/>
                <a:graphic xmlns:a="http://schemas.openxmlformats.org/drawingml/2006/main">
                  <a:graphicData uri="http://schemas.microsoft.com/office/word/2010/wordprocessingGroup">
                    <wpg:wgp>
                      <wpg:cNvGrpSpPr/>
                      <wpg:grpSpPr>
                        <a:xfrm>
                          <a:off x="0" y="0"/>
                          <a:ext cx="7181215" cy="2690495"/>
                          <a:chOff x="1" y="-64653"/>
                          <a:chExt cx="7181849" cy="2692443"/>
                        </a:xfrm>
                      </wpg:grpSpPr>
                      <wps:wsp>
                        <wps:cNvPr id="663" name="Rectangle 663"/>
                        <wps:cNvSpPr/>
                        <wps:spPr>
                          <a:xfrm>
                            <a:off x="1161640" y="-32883"/>
                            <a:ext cx="1010060" cy="2640387"/>
                          </a:xfrm>
                          <a:prstGeom prst="rect">
                            <a:avLst/>
                          </a:prstGeom>
                          <a:solidFill>
                            <a:schemeClr val="accent5">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5207F083" w14:textId="77777777" w:rsidR="00B10AAF" w:rsidRDefault="00B10AAF" w:rsidP="00B10AAF">
                              <w:pPr>
                                <w:pStyle w:val="NormalWeb"/>
                                <w:spacing w:before="0" w:beforeAutospacing="0" w:after="0" w:afterAutospacing="0"/>
                                <w:jc w:val="center"/>
                                <w:rPr>
                                  <w:rFonts w:asciiTheme="minorHAnsi" w:hAnsi="Calibri" w:cstheme="minorBidi"/>
                                  <w:b/>
                                  <w:bCs/>
                                  <w:i/>
                                  <w:iCs/>
                                  <w:color w:val="000000" w:themeColor="dark1"/>
                                  <w:kern w:val="24"/>
                                  <w:sz w:val="22"/>
                                  <w:szCs w:val="22"/>
                                </w:rPr>
                              </w:pPr>
                              <w:r>
                                <w:rPr>
                                  <w:rFonts w:asciiTheme="minorHAnsi" w:hAnsi="Calibri" w:cstheme="minorBidi"/>
                                  <w:b/>
                                  <w:bCs/>
                                  <w:i/>
                                  <w:iCs/>
                                  <w:color w:val="000000" w:themeColor="dark1"/>
                                  <w:kern w:val="24"/>
                                  <w:sz w:val="22"/>
                                  <w:szCs w:val="22"/>
                                </w:rPr>
                                <w:t>Institutional and Global Systems-Level</w:t>
                              </w:r>
                            </w:p>
                            <w:p w14:paraId="15A2A0CB" w14:textId="77777777" w:rsidR="00B10AAF" w:rsidRPr="00F26AC2"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Drivers</w:t>
                              </w:r>
                            </w:p>
                            <w:p w14:paraId="1AFF3F00" w14:textId="77777777" w:rsidR="00B10AAF" w:rsidRDefault="00B10AAF" w:rsidP="00B10AAF">
                              <w:pPr>
                                <w:pStyle w:val="NormalWeb"/>
                                <w:spacing w:before="0" w:beforeAutospacing="0" w:after="0" w:afterAutospacing="0"/>
                                <w:jc w:val="center"/>
                                <w:rPr>
                                  <w:rFonts w:asciiTheme="minorHAnsi" w:hAnsi="Calibri" w:cstheme="minorBidi"/>
                                  <w:color w:val="000000" w:themeColor="dark1"/>
                                  <w:kern w:val="24"/>
                                  <w:sz w:val="18"/>
                                  <w:szCs w:val="21"/>
                                </w:rPr>
                              </w:pPr>
                              <w:r>
                                <w:rPr>
                                  <w:rFonts w:asciiTheme="minorHAnsi" w:hAnsi="Calibri" w:cstheme="minorBidi"/>
                                  <w:color w:val="000000" w:themeColor="dark1"/>
                                  <w:kern w:val="24"/>
                                  <w:sz w:val="18"/>
                                  <w:szCs w:val="21"/>
                                </w:rPr>
                                <w:t>Economies</w:t>
                              </w:r>
                            </w:p>
                            <w:p w14:paraId="4D209FC4" w14:textId="77777777" w:rsidR="00B10AAF" w:rsidRDefault="00B10AAF" w:rsidP="00B10AAF">
                              <w:pPr>
                                <w:pStyle w:val="NormalWeb"/>
                                <w:spacing w:before="0" w:beforeAutospacing="0" w:after="0" w:afterAutospacing="0"/>
                                <w:jc w:val="center"/>
                                <w:rPr>
                                  <w:rFonts w:asciiTheme="minorHAnsi" w:hAnsi="Calibri" w:cstheme="minorBidi"/>
                                  <w:color w:val="000000" w:themeColor="dark1"/>
                                  <w:kern w:val="24"/>
                                  <w:sz w:val="18"/>
                                  <w:szCs w:val="21"/>
                                </w:rPr>
                              </w:pPr>
                              <w:r>
                                <w:rPr>
                                  <w:rFonts w:asciiTheme="minorHAnsi" w:hAnsi="Calibri" w:cstheme="minorBidi"/>
                                  <w:color w:val="000000" w:themeColor="dark1"/>
                                  <w:kern w:val="24"/>
                                  <w:sz w:val="18"/>
                                  <w:szCs w:val="21"/>
                                </w:rPr>
                                <w:t>Industries</w:t>
                              </w:r>
                            </w:p>
                            <w:p w14:paraId="779E07F4"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Government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4" name="Rectangle 664"/>
                        <wps:cNvSpPr/>
                        <wps:spPr>
                          <a:xfrm>
                            <a:off x="1" y="-64653"/>
                            <a:ext cx="422826" cy="2692442"/>
                          </a:xfrm>
                          <a:prstGeom prst="rect">
                            <a:avLst/>
                          </a:prstGeom>
                          <a:solidFill>
                            <a:schemeClr val="tx1">
                              <a:lumMod val="50000"/>
                              <a:lumOff val="50000"/>
                            </a:schemeClr>
                          </a:solidFill>
                        </wps:spPr>
                        <wps:style>
                          <a:lnRef idx="2">
                            <a:schemeClr val="dk1"/>
                          </a:lnRef>
                          <a:fillRef idx="1">
                            <a:schemeClr val="lt1"/>
                          </a:fillRef>
                          <a:effectRef idx="0">
                            <a:schemeClr val="dk1"/>
                          </a:effectRef>
                          <a:fontRef idx="minor">
                            <a:schemeClr val="dk1"/>
                          </a:fontRef>
                        </wps:style>
                        <wps:txbx>
                          <w:txbxContent>
                            <w:p w14:paraId="24E45534" w14:textId="77777777" w:rsidR="00B10AAF" w:rsidRDefault="00B10AAF" w:rsidP="00B10AAF">
                              <w:pPr>
                                <w:pStyle w:val="NormalWeb"/>
                                <w:spacing w:before="0" w:beforeAutospacing="0" w:after="0" w:afterAutospacing="0"/>
                                <w:jc w:val="center"/>
                                <w:rPr>
                                  <w:rFonts w:asciiTheme="minorHAnsi" w:hAnsi="Calibri" w:cstheme="minorBidi"/>
                                  <w:b/>
                                  <w:bCs/>
                                  <w:color w:val="000000" w:themeColor="dark1"/>
                                  <w:kern w:val="24"/>
                                  <w:sz w:val="32"/>
                                  <w:szCs w:val="32"/>
                                </w:rPr>
                              </w:pPr>
                              <w:r>
                                <w:rPr>
                                  <w:rFonts w:asciiTheme="minorHAnsi" w:hAnsi="Calibri" w:cstheme="minorBidi"/>
                                  <w:b/>
                                  <w:bCs/>
                                  <w:color w:val="000000" w:themeColor="dark1"/>
                                  <w:kern w:val="24"/>
                                  <w:sz w:val="32"/>
                                  <w:szCs w:val="32"/>
                                </w:rPr>
                                <w:t>Structural Racism</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wps:wsp>
                        <wps:cNvPr id="665" name="Rectangle 665"/>
                        <wps:cNvSpPr/>
                        <wps:spPr>
                          <a:xfrm>
                            <a:off x="2324100" y="955911"/>
                            <a:ext cx="1545375" cy="1650032"/>
                          </a:xfrm>
                          <a:prstGeom prst="rect">
                            <a:avLst/>
                          </a:prstGeom>
                          <a:solidFill>
                            <a:schemeClr val="accent5">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73C3AE3D" w14:textId="77777777" w:rsidR="00B10AAF"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Social, Environmental, and Economic Conditions</w:t>
                              </w:r>
                            </w:p>
                            <w:p w14:paraId="35003D84"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Built Environment</w:t>
                              </w:r>
                            </w:p>
                            <w:p w14:paraId="6544C565"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Housing</w:t>
                              </w:r>
                            </w:p>
                            <w:p w14:paraId="1A55A8BB"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Financial and Work Environment</w:t>
                              </w:r>
                            </w:p>
                            <w:p w14:paraId="6336DD22"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Social Environment</w:t>
                              </w:r>
                            </w:p>
                            <w:p w14:paraId="4ACE3AF7"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Access to Health Care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6" name="Rectangle 666"/>
                        <wps:cNvSpPr/>
                        <wps:spPr>
                          <a:xfrm>
                            <a:off x="2324100" y="3570"/>
                            <a:ext cx="1545378" cy="833723"/>
                          </a:xfrm>
                          <a:prstGeom prst="rect">
                            <a:avLst/>
                          </a:prstGeom>
                          <a:solidFill>
                            <a:schemeClr val="accent5">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272FF5AD" w14:textId="77777777" w:rsidR="00B10AAF" w:rsidRPr="002E03B6" w:rsidRDefault="00B10AAF" w:rsidP="00B10AAF">
                              <w:pPr>
                                <w:pStyle w:val="NormalWeb"/>
                                <w:spacing w:before="0" w:beforeAutospacing="0" w:after="0" w:afterAutospacing="0"/>
                                <w:jc w:val="center"/>
                                <w:rPr>
                                  <w:b/>
                                  <w:i/>
                                  <w:sz w:val="22"/>
                                  <w:szCs w:val="22"/>
                                </w:rPr>
                              </w:pPr>
                              <w:r w:rsidRPr="002E03B6">
                                <w:rPr>
                                  <w:rFonts w:asciiTheme="minorHAnsi" w:hAnsi="Calibri" w:cstheme="minorBidi"/>
                                  <w:b/>
                                  <w:i/>
                                  <w:color w:val="000000" w:themeColor="dark1"/>
                                  <w:kern w:val="24"/>
                                  <w:sz w:val="22"/>
                                  <w:szCs w:val="22"/>
                                </w:rPr>
                                <w:t>Stressors</w:t>
                              </w:r>
                            </w:p>
                            <w:p w14:paraId="75F0BAF2"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Stigma</w:t>
                              </w:r>
                            </w:p>
                            <w:p w14:paraId="2F40D299"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Discrimination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7" name="Rectangle 667"/>
                        <wps:cNvSpPr/>
                        <wps:spPr>
                          <a:xfrm>
                            <a:off x="4048125" y="32145"/>
                            <a:ext cx="1512159" cy="1287096"/>
                          </a:xfrm>
                          <a:prstGeom prst="rect">
                            <a:avLst/>
                          </a:prstGeom>
                          <a:solidFill>
                            <a:schemeClr val="accent2">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65455F91" w14:textId="77777777" w:rsidR="00B10AAF"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Tobacco-Related Risk Behaviors and Environmental Exposures</w:t>
                              </w:r>
                            </w:p>
                            <w:p w14:paraId="317020A8"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Smoking and Tobacco Use</w:t>
                              </w:r>
                            </w:p>
                            <w:p w14:paraId="35A1A4D9" w14:textId="77777777" w:rsidR="00B10AAF" w:rsidRDefault="00B10AAF" w:rsidP="00B10AAF">
                              <w:pPr>
                                <w:pStyle w:val="NormalWeb"/>
                                <w:spacing w:before="0" w:beforeAutospacing="0" w:after="0" w:afterAutospacing="0"/>
                                <w:jc w:val="center"/>
                                <w:rPr>
                                  <w:rFonts w:asciiTheme="minorHAnsi" w:hAnsi="Calibri" w:cstheme="minorBidi"/>
                                  <w:color w:val="000000" w:themeColor="dark1"/>
                                  <w:kern w:val="24"/>
                                  <w:sz w:val="18"/>
                                  <w:szCs w:val="21"/>
                                </w:rPr>
                              </w:pPr>
                              <w:r w:rsidRPr="00781676">
                                <w:rPr>
                                  <w:rFonts w:asciiTheme="minorHAnsi" w:hAnsi="Calibri" w:cstheme="minorBidi"/>
                                  <w:color w:val="000000" w:themeColor="dark1"/>
                                  <w:kern w:val="24"/>
                                  <w:sz w:val="18"/>
                                  <w:szCs w:val="21"/>
                                </w:rPr>
                                <w:t>Quitting Behavior</w:t>
                              </w:r>
                            </w:p>
                            <w:p w14:paraId="153DEE2E"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Secondhand Smoke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8" name="Rectangle 668"/>
                        <wps:cNvSpPr/>
                        <wps:spPr>
                          <a:xfrm>
                            <a:off x="5734050" y="232121"/>
                            <a:ext cx="1447800" cy="2375384"/>
                          </a:xfrm>
                          <a:prstGeom prst="rect">
                            <a:avLst/>
                          </a:prstGeom>
                          <a:solidFill>
                            <a:schemeClr val="accent2">
                              <a:lumMod val="60000"/>
                              <a:lumOff val="40000"/>
                            </a:schemeClr>
                          </a:solidFill>
                        </wps:spPr>
                        <wps:style>
                          <a:lnRef idx="2">
                            <a:schemeClr val="dk1"/>
                          </a:lnRef>
                          <a:fillRef idx="1">
                            <a:schemeClr val="lt1"/>
                          </a:fillRef>
                          <a:effectRef idx="0">
                            <a:schemeClr val="dk1"/>
                          </a:effectRef>
                          <a:fontRef idx="minor">
                            <a:schemeClr val="dk1"/>
                          </a:fontRef>
                        </wps:style>
                        <wps:txbx>
                          <w:txbxContent>
                            <w:p w14:paraId="5174407B" w14:textId="77777777" w:rsidR="00B10AAF" w:rsidRPr="00F26AC2"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Tobacco-Related Morbidity and M</w:t>
                              </w:r>
                              <w:r w:rsidRPr="00F26AC2">
                                <w:rPr>
                                  <w:rFonts w:asciiTheme="minorHAnsi" w:hAnsi="Calibri" w:cstheme="minorBidi"/>
                                  <w:b/>
                                  <w:bCs/>
                                  <w:i/>
                                  <w:iCs/>
                                  <w:color w:val="000000" w:themeColor="dark1"/>
                                  <w:kern w:val="24"/>
                                  <w:sz w:val="22"/>
                                  <w:szCs w:val="22"/>
                                </w:rPr>
                                <w:t>ortality</w:t>
                              </w:r>
                            </w:p>
                            <w:p w14:paraId="73DA8CCA"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Diabetes</w:t>
                              </w:r>
                            </w:p>
                            <w:p w14:paraId="225826FB"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Asthma</w:t>
                              </w:r>
                            </w:p>
                            <w:p w14:paraId="2ADC3FEE"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COPD</w:t>
                              </w:r>
                            </w:p>
                            <w:p w14:paraId="5E8D51A5"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Stroke</w:t>
                              </w:r>
                            </w:p>
                            <w:p w14:paraId="6E820C04"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Cardiovascular Disease</w:t>
                              </w:r>
                            </w:p>
                            <w:p w14:paraId="0E13F6EF"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Lung Cancer</w:t>
                              </w:r>
                            </w:p>
                            <w:p w14:paraId="2EF4DD82"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Other Cancers</w:t>
                              </w:r>
                            </w:p>
                            <w:p w14:paraId="02E27DED"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Early mortality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9" name="Rectangle 669"/>
                        <wps:cNvSpPr/>
                        <wps:spPr>
                          <a:xfrm>
                            <a:off x="4048125" y="1569868"/>
                            <a:ext cx="1507812" cy="1057922"/>
                          </a:xfrm>
                          <a:prstGeom prst="rect">
                            <a:avLst/>
                          </a:prstGeom>
                          <a:solidFill>
                            <a:schemeClr val="accent2">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024C221" w14:textId="77777777" w:rsidR="00B10AAF" w:rsidRPr="00763DF8" w:rsidRDefault="00B10AAF" w:rsidP="00B10AAF">
                              <w:pPr>
                                <w:pStyle w:val="NormalWeb"/>
                                <w:spacing w:before="0" w:beforeAutospacing="0" w:after="0" w:afterAutospacing="0"/>
                                <w:jc w:val="center"/>
                                <w:rPr>
                                  <w:sz w:val="22"/>
                                  <w:szCs w:val="22"/>
                                </w:rPr>
                              </w:pPr>
                              <w:r w:rsidRPr="00763DF8">
                                <w:rPr>
                                  <w:rFonts w:asciiTheme="minorHAnsi" w:hAnsi="Calibri" w:cstheme="minorBidi"/>
                                  <w:b/>
                                  <w:bCs/>
                                  <w:i/>
                                  <w:iCs/>
                                  <w:color w:val="000000" w:themeColor="dark1"/>
                                  <w:kern w:val="24"/>
                                  <w:sz w:val="22"/>
                                  <w:szCs w:val="22"/>
                                </w:rPr>
                                <w:t>Co-occurring</w:t>
                              </w:r>
                            </w:p>
                            <w:p w14:paraId="7D3849F2" w14:textId="77777777" w:rsidR="00B10AAF" w:rsidRPr="00763DF8" w:rsidRDefault="00B10AAF" w:rsidP="00B10AAF">
                              <w:pPr>
                                <w:pStyle w:val="NormalWeb"/>
                                <w:spacing w:before="0" w:beforeAutospacing="0" w:after="0" w:afterAutospacing="0"/>
                                <w:jc w:val="center"/>
                                <w:rPr>
                                  <w:sz w:val="22"/>
                                  <w:szCs w:val="22"/>
                                </w:rPr>
                              </w:pPr>
                              <w:r w:rsidRPr="00763DF8">
                                <w:rPr>
                                  <w:rFonts w:asciiTheme="minorHAnsi" w:hAnsi="Calibri" w:cstheme="minorBidi"/>
                                  <w:b/>
                                  <w:bCs/>
                                  <w:i/>
                                  <w:iCs/>
                                  <w:color w:val="000000" w:themeColor="dark1"/>
                                  <w:kern w:val="24"/>
                                  <w:sz w:val="22"/>
                                  <w:szCs w:val="22"/>
                                </w:rPr>
                                <w:t>Health Risk Behaviors</w:t>
                              </w:r>
                            </w:p>
                            <w:p w14:paraId="7379C092"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 xml:space="preserve">Alcohol and </w:t>
                              </w:r>
                              <w:r w:rsidRPr="00781676">
                                <w:rPr>
                                  <w:rFonts w:asciiTheme="minorHAnsi" w:hAnsi="Calibri" w:cstheme="minorBidi"/>
                                  <w:color w:val="000000" w:themeColor="dark1"/>
                                  <w:kern w:val="24"/>
                                  <w:sz w:val="18"/>
                                  <w:szCs w:val="21"/>
                                </w:rPr>
                                <w:t>Substance Use</w:t>
                              </w:r>
                            </w:p>
                            <w:p w14:paraId="20DDA464"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Nutrition</w:t>
                              </w:r>
                            </w:p>
                            <w:p w14:paraId="71F853D6"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Physical Activity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89" name="Straight Connector 689"/>
                        <wps:cNvCnPr>
                          <a:endCxn id="669" idx="1"/>
                        </wps:cNvCnPr>
                        <wps:spPr>
                          <a:xfrm>
                            <a:off x="3869479" y="2098829"/>
                            <a:ext cx="178647" cy="0"/>
                          </a:xfrm>
                          <a:prstGeom prst="line">
                            <a:avLst/>
                          </a:prstGeom>
                        </wps:spPr>
                        <wps:style>
                          <a:lnRef idx="1">
                            <a:schemeClr val="dk1"/>
                          </a:lnRef>
                          <a:fillRef idx="0">
                            <a:schemeClr val="dk1"/>
                          </a:fillRef>
                          <a:effectRef idx="0">
                            <a:schemeClr val="dk1"/>
                          </a:effectRef>
                          <a:fontRef idx="minor">
                            <a:schemeClr val="tx1"/>
                          </a:fontRef>
                        </wps:style>
                        <wps:bodyPr/>
                      </wps:wsp>
                      <wps:wsp>
                        <wps:cNvPr id="691" name="Straight Connector 691"/>
                        <wps:cNvCnPr/>
                        <wps:spPr>
                          <a:xfrm>
                            <a:off x="5562600" y="2063824"/>
                            <a:ext cx="171450" cy="0"/>
                          </a:xfrm>
                          <a:prstGeom prst="line">
                            <a:avLst/>
                          </a:prstGeom>
                        </wps:spPr>
                        <wps:style>
                          <a:lnRef idx="1">
                            <a:schemeClr val="dk1"/>
                          </a:lnRef>
                          <a:fillRef idx="0">
                            <a:schemeClr val="dk1"/>
                          </a:fillRef>
                          <a:effectRef idx="0">
                            <a:schemeClr val="dk1"/>
                          </a:effectRef>
                          <a:fontRef idx="minor">
                            <a:schemeClr val="tx1"/>
                          </a:fontRef>
                        </wps:style>
                        <wps:bodyPr/>
                      </wps:wsp>
                      <wps:wsp>
                        <wps:cNvPr id="695" name="Straight Connector 695"/>
                        <wps:cNvCnPr/>
                        <wps:spPr>
                          <a:xfrm>
                            <a:off x="2171700" y="2129327"/>
                            <a:ext cx="1524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BA5F756" id="Group 662" o:spid="_x0000_s1026" style="position:absolute;margin-left:-48.85pt;margin-top:11.65pt;width:565.45pt;height:211.85pt;z-index:251659264;mso-width-relative:margin;mso-height-relative:margin" coordorigin=",-646" coordsize="71818,269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">
                <v:rect id="Rectangle 663" o:spid="_x0000_s1027" style="position:absolute;left:11616;top:-328;width:10101;height:264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" fillcolor="#9cc2e5 [1944]" strokecolor="black [3200]" strokeweight="1pt">
                  <v:textbox>
                    <w:txbxContent>
                      <w:p w14:paraId="5207F083" w14:textId="77777777" w:rsidR="00B10AAF" w:rsidRDefault="00B10AAF" w:rsidP="00B10AAF">
                        <w:pPr>
                          <w:pStyle w:val="NormalWeb"/>
                          <w:spacing w:before="0" w:beforeAutospacing="0" w:after="0" w:afterAutospacing="0"/>
                          <w:jc w:val="center"/>
                          <w:rPr>
                            <w:rFonts w:asciiTheme="minorHAnsi" w:hAnsi="Calibri" w:cstheme="minorBidi"/>
                            <w:b/>
                            <w:bCs/>
                            <w:i/>
                            <w:iCs/>
                            <w:color w:val="000000" w:themeColor="dark1"/>
                            <w:kern w:val="24"/>
                            <w:sz w:val="22"/>
                            <w:szCs w:val="22"/>
                          </w:rPr>
                        </w:pPr>
                        <w:r>
                          <w:rPr>
                            <w:rFonts w:asciiTheme="minorHAnsi" w:hAnsi="Calibri" w:cstheme="minorBidi"/>
                            <w:b/>
                            <w:bCs/>
                            <w:i/>
                            <w:iCs/>
                            <w:color w:val="000000" w:themeColor="dark1"/>
                            <w:kern w:val="24"/>
                            <w:sz w:val="22"/>
                            <w:szCs w:val="22"/>
                          </w:rPr>
                          <w:t>Institutional and Global Systems-Level</w:t>
                        </w:r>
                      </w:p>
                      <w:p w14:paraId="15A2A0CB" w14:textId="77777777" w:rsidR="00B10AAF" w:rsidRPr="00F26AC2"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Drivers</w:t>
                        </w:r>
                      </w:p>
                      <w:p w14:paraId="1AFF3F00" w14:textId="77777777" w:rsidR="00B10AAF" w:rsidRDefault="00B10AAF" w:rsidP="00B10AAF">
                        <w:pPr>
                          <w:pStyle w:val="NormalWeb"/>
                          <w:spacing w:before="0" w:beforeAutospacing="0" w:after="0" w:afterAutospacing="0"/>
                          <w:jc w:val="center"/>
                          <w:rPr>
                            <w:rFonts w:asciiTheme="minorHAnsi" w:hAnsi="Calibri" w:cstheme="minorBidi"/>
                            <w:color w:val="000000" w:themeColor="dark1"/>
                            <w:kern w:val="24"/>
                            <w:sz w:val="18"/>
                            <w:szCs w:val="21"/>
                          </w:rPr>
                        </w:pPr>
                        <w:r>
                          <w:rPr>
                            <w:rFonts w:asciiTheme="minorHAnsi" w:hAnsi="Calibri" w:cstheme="minorBidi"/>
                            <w:color w:val="000000" w:themeColor="dark1"/>
                            <w:kern w:val="24"/>
                            <w:sz w:val="18"/>
                            <w:szCs w:val="21"/>
                          </w:rPr>
                          <w:t>Economies</w:t>
                        </w:r>
                      </w:p>
                      <w:p w14:paraId="4D209FC4" w14:textId="77777777" w:rsidR="00B10AAF" w:rsidRDefault="00B10AAF" w:rsidP="00B10AAF">
                        <w:pPr>
                          <w:pStyle w:val="NormalWeb"/>
                          <w:spacing w:before="0" w:beforeAutospacing="0" w:after="0" w:afterAutospacing="0"/>
                          <w:jc w:val="center"/>
                          <w:rPr>
                            <w:rFonts w:asciiTheme="minorHAnsi" w:hAnsi="Calibri" w:cstheme="minorBidi"/>
                            <w:color w:val="000000" w:themeColor="dark1"/>
                            <w:kern w:val="24"/>
                            <w:sz w:val="18"/>
                            <w:szCs w:val="21"/>
                          </w:rPr>
                        </w:pPr>
                        <w:r>
                          <w:rPr>
                            <w:rFonts w:asciiTheme="minorHAnsi" w:hAnsi="Calibri" w:cstheme="minorBidi"/>
                            <w:color w:val="000000" w:themeColor="dark1"/>
                            <w:kern w:val="24"/>
                            <w:sz w:val="18"/>
                            <w:szCs w:val="21"/>
                          </w:rPr>
                          <w:t>Industries</w:t>
                        </w:r>
                      </w:p>
                      <w:p w14:paraId="779E07F4"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Government</w:t>
                        </w:r>
                      </w:p>
                    </w:txbxContent>
                  </v:textbox>
                </v:rect>
                <v:rect id="Rectangle 664" o:spid="_x0000_s1028" style="position:absolute;top:-646;width:4228;height:269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" fillcolor="gray [1629]" strokecolor="black [3200]" strokeweight="1pt">
                  <v:textbox style="layout-flow:vertical;mso-layout-flow-alt:bottom-to-top">
                    <w:txbxContent>
                      <w:p w14:paraId="24E45534" w14:textId="77777777" w:rsidR="00B10AAF" w:rsidRDefault="00B10AAF" w:rsidP="00B10AAF">
                        <w:pPr>
                          <w:pStyle w:val="NormalWeb"/>
                          <w:spacing w:before="0" w:beforeAutospacing="0" w:after="0" w:afterAutospacing="0"/>
                          <w:jc w:val="center"/>
                          <w:rPr>
                            <w:rFonts w:asciiTheme="minorHAnsi" w:hAnsi="Calibri" w:cstheme="minorBidi"/>
                            <w:b/>
                            <w:bCs/>
                            <w:color w:val="000000" w:themeColor="dark1"/>
                            <w:kern w:val="24"/>
                            <w:sz w:val="32"/>
                            <w:szCs w:val="32"/>
                          </w:rPr>
                        </w:pPr>
                        <w:r>
                          <w:rPr>
                            <w:rFonts w:asciiTheme="minorHAnsi" w:hAnsi="Calibri" w:cstheme="minorBidi"/>
                            <w:b/>
                            <w:bCs/>
                            <w:color w:val="000000" w:themeColor="dark1"/>
                            <w:kern w:val="24"/>
                            <w:sz w:val="32"/>
                            <w:szCs w:val="32"/>
                          </w:rPr>
                          <w:t>Structural Racism</w:t>
                        </w:r>
                      </w:p>
                    </w:txbxContent>
                  </v:textbox>
                </v:rect>
                <v:rect id="Rectangle 665" o:spid="_x0000_s1029" style="position:absolute;left:23241;top:9559;width:15453;height:165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" fillcolor="#9cc2e5 [1944]" strokecolor="black [3200]" strokeweight="1pt">
                  <v:textbox>
                    <w:txbxContent>
                      <w:p w14:paraId="73C3AE3D" w14:textId="77777777" w:rsidR="00B10AAF"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Social, Environmental, and Economic Conditions</w:t>
                        </w:r>
                      </w:p>
                      <w:p w14:paraId="35003D84"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Built Environment</w:t>
                        </w:r>
                      </w:p>
                      <w:p w14:paraId="6544C565"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Housing</w:t>
                        </w:r>
                      </w:p>
                      <w:p w14:paraId="1A55A8BB"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Financial and Work Environment</w:t>
                        </w:r>
                      </w:p>
                      <w:p w14:paraId="6336DD22"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Social Environment</w:t>
                        </w:r>
                      </w:p>
                      <w:p w14:paraId="4ACE3AF7"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Access to Health Care</w:t>
                        </w:r>
                      </w:p>
                    </w:txbxContent>
                  </v:textbox>
                </v:rect>
                <v:rect id="Rectangle 666" o:spid="_x0000_s1030" style="position:absolute;left:23241;top:35;width:15453;height:83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" fillcolor="#9cc2e5 [1944]" strokecolor="black [3200]" strokeweight="1pt">
                  <v:textbox>
                    <w:txbxContent>
                      <w:p w14:paraId="272FF5AD" w14:textId="77777777" w:rsidR="00B10AAF" w:rsidRPr="002E03B6" w:rsidRDefault="00B10AAF" w:rsidP="00B10AAF">
                        <w:pPr>
                          <w:pStyle w:val="NormalWeb"/>
                          <w:spacing w:before="0" w:beforeAutospacing="0" w:after="0" w:afterAutospacing="0"/>
                          <w:jc w:val="center"/>
                          <w:rPr>
                            <w:b/>
                            <w:i/>
                            <w:sz w:val="22"/>
                            <w:szCs w:val="22"/>
                          </w:rPr>
                        </w:pPr>
                        <w:r w:rsidRPr="002E03B6">
                          <w:rPr>
                            <w:rFonts w:asciiTheme="minorHAnsi" w:hAnsi="Calibri" w:cstheme="minorBidi"/>
                            <w:b/>
                            <w:i/>
                            <w:color w:val="000000" w:themeColor="dark1"/>
                            <w:kern w:val="24"/>
                            <w:sz w:val="22"/>
                            <w:szCs w:val="22"/>
                          </w:rPr>
                          <w:t>Stressors</w:t>
                        </w:r>
                      </w:p>
                      <w:p w14:paraId="75F0BAF2"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Stigma</w:t>
                        </w:r>
                      </w:p>
                      <w:p w14:paraId="2F40D299"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Discrimination</w:t>
                        </w:r>
                      </w:p>
                    </w:txbxContent>
                  </v:textbox>
                </v:rect>
                <v:rect id="Rectangle 667" o:spid="_x0000_s1031" style="position:absolute;left:40481;top:321;width:15121;height:128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" fillcolor="#f4b083 [1941]" strokecolor="black [3200]" strokeweight="1pt">
                  <v:textbox>
                    <w:txbxContent>
                      <w:p w14:paraId="65455F91" w14:textId="77777777" w:rsidR="00B10AAF"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Tobacco-Related Risk Behaviors and Environmental Exposures</w:t>
                        </w:r>
                      </w:p>
                      <w:p w14:paraId="317020A8"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Smoking and Tobacco Use</w:t>
                        </w:r>
                      </w:p>
                      <w:p w14:paraId="35A1A4D9" w14:textId="77777777" w:rsidR="00B10AAF" w:rsidRDefault="00B10AAF" w:rsidP="00B10AAF">
                        <w:pPr>
                          <w:pStyle w:val="NormalWeb"/>
                          <w:spacing w:before="0" w:beforeAutospacing="0" w:after="0" w:afterAutospacing="0"/>
                          <w:jc w:val="center"/>
                          <w:rPr>
                            <w:rFonts w:asciiTheme="minorHAnsi" w:hAnsi="Calibri" w:cstheme="minorBidi"/>
                            <w:color w:val="000000" w:themeColor="dark1"/>
                            <w:kern w:val="24"/>
                            <w:sz w:val="18"/>
                            <w:szCs w:val="21"/>
                          </w:rPr>
                        </w:pPr>
                        <w:r w:rsidRPr="00781676">
                          <w:rPr>
                            <w:rFonts w:asciiTheme="minorHAnsi" w:hAnsi="Calibri" w:cstheme="minorBidi"/>
                            <w:color w:val="000000" w:themeColor="dark1"/>
                            <w:kern w:val="24"/>
                            <w:sz w:val="18"/>
                            <w:szCs w:val="21"/>
                          </w:rPr>
                          <w:t>Quitting Behavior</w:t>
                        </w:r>
                      </w:p>
                      <w:p w14:paraId="153DEE2E"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Secondhand Smoke</w:t>
                        </w:r>
                      </w:p>
                    </w:txbxContent>
                  </v:textbox>
                </v:rect>
                <v:rect id="Rectangle 668" o:spid="_x0000_s1032" style="position:absolute;left:57340;top:2321;width:14478;height:2375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" fillcolor="#f4b083 [1941]" strokecolor="black [3200]" strokeweight="1pt">
                  <v:textbox>
                    <w:txbxContent>
                      <w:p w14:paraId="5174407B" w14:textId="77777777" w:rsidR="00B10AAF" w:rsidRPr="00F26AC2" w:rsidRDefault="00B10AAF" w:rsidP="00B10AAF">
                        <w:pPr>
                          <w:pStyle w:val="NormalWeb"/>
                          <w:spacing w:before="0" w:beforeAutospacing="0" w:after="0" w:afterAutospacing="0"/>
                          <w:jc w:val="center"/>
                        </w:pPr>
                        <w:r>
                          <w:rPr>
                            <w:rFonts w:asciiTheme="minorHAnsi" w:hAnsi="Calibri" w:cstheme="minorBidi"/>
                            <w:b/>
                            <w:bCs/>
                            <w:i/>
                            <w:iCs/>
                            <w:color w:val="000000" w:themeColor="dark1"/>
                            <w:kern w:val="24"/>
                            <w:sz w:val="22"/>
                            <w:szCs w:val="22"/>
                          </w:rPr>
                          <w:t>Tobacco-Related Morbidity and M</w:t>
                        </w:r>
                        <w:r w:rsidRPr="00F26AC2">
                          <w:rPr>
                            <w:rFonts w:asciiTheme="minorHAnsi" w:hAnsi="Calibri" w:cstheme="minorBidi"/>
                            <w:b/>
                            <w:bCs/>
                            <w:i/>
                            <w:iCs/>
                            <w:color w:val="000000" w:themeColor="dark1"/>
                            <w:kern w:val="24"/>
                            <w:sz w:val="22"/>
                            <w:szCs w:val="22"/>
                          </w:rPr>
                          <w:t>ortality</w:t>
                        </w:r>
                      </w:p>
                      <w:p w14:paraId="73DA8CCA"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Diabetes</w:t>
                        </w:r>
                      </w:p>
                      <w:p w14:paraId="225826FB"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Asthma</w:t>
                        </w:r>
                      </w:p>
                      <w:p w14:paraId="2ADC3FEE"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COPD</w:t>
                        </w:r>
                      </w:p>
                      <w:p w14:paraId="5E8D51A5"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Stroke</w:t>
                        </w:r>
                      </w:p>
                      <w:p w14:paraId="6E820C04"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Cardiovascular Disease</w:t>
                        </w:r>
                      </w:p>
                      <w:p w14:paraId="0E13F6EF"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Lung Cancer</w:t>
                        </w:r>
                      </w:p>
                      <w:p w14:paraId="2EF4DD82"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Other Cancers</w:t>
                        </w:r>
                      </w:p>
                      <w:p w14:paraId="02E27DED"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Early mortality</w:t>
                        </w:r>
                      </w:p>
                    </w:txbxContent>
                  </v:textbox>
                </v:rect>
                <v:rect id="Rectangle 669" o:spid="_x0000_s1033" style="position:absolute;left:40481;top:15698;width:15078;height:105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" fillcolor="#fbe4d5 [661]" strokecolor="black [3200]" strokeweight="1pt">
                  <v:textbox>
                    <w:txbxContent>
                      <w:p w14:paraId="6024C221" w14:textId="77777777" w:rsidR="00B10AAF" w:rsidRPr="00763DF8" w:rsidRDefault="00B10AAF" w:rsidP="00B10AAF">
                        <w:pPr>
                          <w:pStyle w:val="NormalWeb"/>
                          <w:spacing w:before="0" w:beforeAutospacing="0" w:after="0" w:afterAutospacing="0"/>
                          <w:jc w:val="center"/>
                          <w:rPr>
                            <w:sz w:val="22"/>
                            <w:szCs w:val="22"/>
                          </w:rPr>
                        </w:pPr>
                        <w:r w:rsidRPr="00763DF8">
                          <w:rPr>
                            <w:rFonts w:asciiTheme="minorHAnsi" w:hAnsi="Calibri" w:cstheme="minorBidi"/>
                            <w:b/>
                            <w:bCs/>
                            <w:i/>
                            <w:iCs/>
                            <w:color w:val="000000" w:themeColor="dark1"/>
                            <w:kern w:val="24"/>
                            <w:sz w:val="22"/>
                            <w:szCs w:val="22"/>
                          </w:rPr>
                          <w:t>Co-occurring</w:t>
                        </w:r>
                      </w:p>
                      <w:p w14:paraId="7D3849F2" w14:textId="77777777" w:rsidR="00B10AAF" w:rsidRPr="00763DF8" w:rsidRDefault="00B10AAF" w:rsidP="00B10AAF">
                        <w:pPr>
                          <w:pStyle w:val="NormalWeb"/>
                          <w:spacing w:before="0" w:beforeAutospacing="0" w:after="0" w:afterAutospacing="0"/>
                          <w:jc w:val="center"/>
                          <w:rPr>
                            <w:sz w:val="22"/>
                            <w:szCs w:val="22"/>
                          </w:rPr>
                        </w:pPr>
                        <w:r w:rsidRPr="00763DF8">
                          <w:rPr>
                            <w:rFonts w:asciiTheme="minorHAnsi" w:hAnsi="Calibri" w:cstheme="minorBidi"/>
                            <w:b/>
                            <w:bCs/>
                            <w:i/>
                            <w:iCs/>
                            <w:color w:val="000000" w:themeColor="dark1"/>
                            <w:kern w:val="24"/>
                            <w:sz w:val="22"/>
                            <w:szCs w:val="22"/>
                          </w:rPr>
                          <w:t>Health Risk Behaviors</w:t>
                        </w:r>
                      </w:p>
                      <w:p w14:paraId="7379C092" w14:textId="77777777" w:rsidR="00B10AAF" w:rsidRPr="00781676" w:rsidRDefault="00B10AAF" w:rsidP="00B10AAF">
                        <w:pPr>
                          <w:pStyle w:val="NormalWeb"/>
                          <w:spacing w:before="0" w:beforeAutospacing="0" w:after="0" w:afterAutospacing="0"/>
                          <w:jc w:val="center"/>
                          <w:rPr>
                            <w:sz w:val="20"/>
                          </w:rPr>
                        </w:pPr>
                        <w:r>
                          <w:rPr>
                            <w:rFonts w:asciiTheme="minorHAnsi" w:hAnsi="Calibri" w:cstheme="minorBidi"/>
                            <w:color w:val="000000" w:themeColor="dark1"/>
                            <w:kern w:val="24"/>
                            <w:sz w:val="18"/>
                            <w:szCs w:val="21"/>
                          </w:rPr>
                          <w:t xml:space="preserve">Alcohol and </w:t>
                        </w:r>
                        <w:r w:rsidRPr="00781676">
                          <w:rPr>
                            <w:rFonts w:asciiTheme="minorHAnsi" w:hAnsi="Calibri" w:cstheme="minorBidi"/>
                            <w:color w:val="000000" w:themeColor="dark1"/>
                            <w:kern w:val="24"/>
                            <w:sz w:val="18"/>
                            <w:szCs w:val="21"/>
                          </w:rPr>
                          <w:t>Substance Use</w:t>
                        </w:r>
                      </w:p>
                      <w:p w14:paraId="20DDA464"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Nutrition</w:t>
                        </w:r>
                      </w:p>
                      <w:p w14:paraId="71F853D6" w14:textId="77777777" w:rsidR="00B10AAF" w:rsidRPr="00781676" w:rsidRDefault="00B10AAF" w:rsidP="00B10AAF">
                        <w:pPr>
                          <w:pStyle w:val="NormalWeb"/>
                          <w:spacing w:before="0" w:beforeAutospacing="0" w:after="0" w:afterAutospacing="0"/>
                          <w:jc w:val="center"/>
                          <w:rPr>
                            <w:sz w:val="20"/>
                          </w:rPr>
                        </w:pPr>
                        <w:r w:rsidRPr="00781676">
                          <w:rPr>
                            <w:rFonts w:asciiTheme="minorHAnsi" w:hAnsi="Calibri" w:cstheme="minorBidi"/>
                            <w:color w:val="000000" w:themeColor="dark1"/>
                            <w:kern w:val="24"/>
                            <w:sz w:val="18"/>
                            <w:szCs w:val="21"/>
                          </w:rPr>
                          <w:t>Physical Activity</w:t>
                        </w:r>
                      </w:p>
                    </w:txbxContent>
                  </v:textbox>
                </v:rect>
                <v:line id="Straight Connector 689" o:spid="_x0000_s1034" style="position:absolute;visibility:visible;mso-wrap-style:square" from="38694,20988" to="40481,20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" strokecolor="black [3200]" strokeweight=".5pt">
                  <v:stroke joinstyle="miter"/>
                </v:line>
                <v:line id="Straight Connector 691" o:spid="_x0000_s1035" style="position:absolute;visibility:visible;mso-wrap-style:square" from="55626,20638" to="57340,206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" strokecolor="black [3200]" strokeweight=".5pt">
                  <v:stroke joinstyle="miter"/>
                </v:line>
                <v:line id="Straight Connector 695" o:spid="_x0000_s1036" style="position:absolute;visibility:visible;mso-wrap-style:square" from="21717,21293" to="23241,212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" strokecolor="black [3200]" strokeweight=".5pt">
                  <v:stroke joinstyle="miter"/>
                </v:line>
              </v:group>
            </w:pict>
          </mc:Fallback>
        </mc:AlternateContent>
      </w:r>
    </w:p>
    <w:p w14:paraId="33A39212" w14:textId="7F580E89" w:rsidR="00B10AAF" w:rsidRDefault="00B10AAF" w:rsidP="00B10AAF">
      <w:pPr>
        <w:pStyle w:val="Heading1"/>
        <w:pBdr>
          <w:bottom w:val="single" w:sz="12" w:space="0" w:color="auto"/>
        </w:pBdr>
        <w:rPr>
          <w:sz w:val="40"/>
        </w:rPr>
      </w:pPr>
      <w:r w:rsidRPr="00E1003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844FE81" wp14:editId="0092524C">
                <wp:simplePos x="0" y="0"/>
                <wp:positionH relativeFrom="column">
                  <wp:posOffset>-97790</wp:posOffset>
                </wp:positionH>
                <wp:positionV relativeFrom="paragraph">
                  <wp:posOffset>55729</wp:posOffset>
                </wp:positionV>
                <wp:extent cx="548005" cy="2637155"/>
                <wp:effectExtent l="12700" t="12700" r="10795" b="17145"/>
                <wp:wrapNone/>
                <wp:docPr id="700" name="Rectangle 700"/>
                <wp:cNvGraphicFramePr/>
                <a:graphic xmlns:a="http://schemas.openxmlformats.org/drawingml/2006/main">
                  <a:graphicData uri="http://schemas.microsoft.com/office/word/2010/wordprocessingShape">
                    <wps:wsp>
                      <wps:cNvSpPr/>
                      <wps:spPr>
                        <a:xfrm>
                          <a:off x="0" y="0"/>
                          <a:ext cx="548005" cy="2637155"/>
                        </a:xfrm>
                        <a:prstGeom prst="rect">
                          <a:avLst/>
                        </a:prstGeom>
                        <a:solidFill>
                          <a:schemeClr val="tx1">
                            <a:lumMod val="50000"/>
                            <a:lumOff val="50000"/>
                          </a:schemeClr>
                        </a:solidFill>
                      </wps:spPr>
                      <wps:style>
                        <a:lnRef idx="2">
                          <a:schemeClr val="dk1"/>
                        </a:lnRef>
                        <a:fillRef idx="1">
                          <a:schemeClr val="lt1"/>
                        </a:fillRef>
                        <a:effectRef idx="0">
                          <a:schemeClr val="dk1"/>
                        </a:effectRef>
                        <a:fontRef idx="minor">
                          <a:schemeClr val="dk1"/>
                        </a:fontRef>
                      </wps:style>
                      <wps:txbx>
                        <w:txbxContent>
                          <w:p w14:paraId="24C08B0C" w14:textId="77777777" w:rsidR="00B10AAF" w:rsidRPr="00316EA3" w:rsidRDefault="00B10AAF" w:rsidP="00B10AAF">
                            <w:pPr>
                              <w:pStyle w:val="NormalWeb"/>
                              <w:spacing w:before="0" w:beforeAutospacing="0" w:after="0" w:afterAutospacing="0"/>
                              <w:jc w:val="center"/>
                              <w:rPr>
                                <w:rFonts w:asciiTheme="minorHAnsi" w:hAnsiTheme="minorHAnsi" w:cstheme="minorBidi"/>
                                <w:b/>
                                <w:bCs/>
                                <w:color w:val="000000" w:themeColor="dark1"/>
                                <w:kern w:val="24"/>
                                <w:sz w:val="18"/>
                                <w:szCs w:val="18"/>
                              </w:rPr>
                            </w:pPr>
                            <w:r>
                              <w:rPr>
                                <w:rFonts w:asciiTheme="minorHAnsi" w:hAnsiTheme="minorHAnsi"/>
                                <w:sz w:val="18"/>
                                <w:szCs w:val="18"/>
                              </w:rPr>
                              <w:t>Other systems of d</w:t>
                            </w:r>
                            <w:r w:rsidRPr="00316EA3">
                              <w:rPr>
                                <w:rFonts w:asciiTheme="minorHAnsi" w:hAnsiTheme="minorHAnsi"/>
                                <w:sz w:val="18"/>
                                <w:szCs w:val="18"/>
                              </w:rPr>
                              <w:t xml:space="preserve">iscrimination based on gender, class, sexual orientation, disability, etc. </w:t>
                            </w:r>
                          </w:p>
                        </w:txbxContent>
                      </wps:txbx>
                      <wps:bodyPr rot="0" spcFirstLastPara="0"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4FE81" id="Rectangle 700" o:spid="_x0000_s1037" style="position:absolute;margin-left:-7.7pt;margin-top:4.4pt;width:43.15pt;height:20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" fillcolor="gray [1629]" strokecolor="black [3200]" strokeweight="1pt">
                <v:textbox style="layout-flow:vertical;mso-layout-flow-alt:bottom-to-top">
                  <w:txbxContent>
                    <w:p w14:paraId="24C08B0C" w14:textId="77777777" w:rsidR="00B10AAF" w:rsidRPr="00316EA3" w:rsidRDefault="00B10AAF" w:rsidP="00B10AAF">
                      <w:pPr>
                        <w:pStyle w:val="NormalWeb"/>
                        <w:spacing w:before="0" w:beforeAutospacing="0" w:after="0" w:afterAutospacing="0"/>
                        <w:jc w:val="center"/>
                        <w:rPr>
                          <w:rFonts w:asciiTheme="minorHAnsi" w:hAnsiTheme="minorHAnsi" w:cstheme="minorBidi"/>
                          <w:b/>
                          <w:bCs/>
                          <w:color w:val="000000" w:themeColor="dark1"/>
                          <w:kern w:val="24"/>
                          <w:sz w:val="18"/>
                          <w:szCs w:val="18"/>
                        </w:rPr>
                      </w:pPr>
                      <w:r>
                        <w:rPr>
                          <w:rFonts w:asciiTheme="minorHAnsi" w:hAnsiTheme="minorHAnsi"/>
                          <w:sz w:val="18"/>
                          <w:szCs w:val="18"/>
                        </w:rPr>
                        <w:t>Other systems of d</w:t>
                      </w:r>
                      <w:r w:rsidRPr="00316EA3">
                        <w:rPr>
                          <w:rFonts w:asciiTheme="minorHAnsi" w:hAnsiTheme="minorHAnsi"/>
                          <w:sz w:val="18"/>
                          <w:szCs w:val="18"/>
                        </w:rPr>
                        <w:t xml:space="preserve">iscrimination based on gender, class, sexual orientation, disability, etc. </w:t>
                      </w:r>
                    </w:p>
                  </w:txbxContent>
                </v:textbox>
              </v:rect>
            </w:pict>
          </mc:Fallback>
        </mc:AlternateContent>
      </w:r>
    </w:p>
    <w:p w14:paraId="2527903C" w14:textId="63B2BDCF" w:rsidR="00B10AAF" w:rsidRDefault="00B10AAF" w:rsidP="00B10AAF"/>
    <w:p w14:paraId="79D52383" w14:textId="619DCEC0" w:rsidR="00B10AAF" w:rsidRDefault="00B10AAF" w:rsidP="00B10AAF"/>
    <w:p w14:paraId="00C05101" w14:textId="22DD10DC" w:rsidR="00B10AAF" w:rsidRDefault="00B10AAF" w:rsidP="00B10AAF"/>
    <w:p w14:paraId="6CF042F1" w14:textId="287928CC" w:rsidR="00B10AAF" w:rsidRPr="001B3A73" w:rsidRDefault="00B10AAF" w:rsidP="00B10AAF"/>
    <w:p w14:paraId="5FA86333" w14:textId="2802BBCF" w:rsidR="00B10AAF" w:rsidRDefault="00B10AAF">
      <w:pPr>
        <w:rPr>
          <w:sz w:val="28"/>
          <w:szCs w:val="28"/>
        </w:rPr>
      </w:pPr>
      <w:r>
        <w:rPr>
          <w:noProof/>
        </w:rPr>
        <mc:AlternateContent>
          <mc:Choice Requires="wps">
            <w:drawing>
              <wp:anchor distT="0" distB="0" distL="114300" distR="114300" simplePos="0" relativeHeight="251662336" behindDoc="0" locked="0" layoutInCell="1" allowOverlap="1" wp14:anchorId="0A17ECA1" wp14:editId="104C3077">
                <wp:simplePos x="0" y="0"/>
                <wp:positionH relativeFrom="column">
                  <wp:posOffset>4179570</wp:posOffset>
                </wp:positionH>
                <wp:positionV relativeFrom="paragraph">
                  <wp:posOffset>163830</wp:posOffset>
                </wp:positionV>
                <wp:extent cx="0" cy="265430"/>
                <wp:effectExtent l="0" t="0" r="12700" b="13970"/>
                <wp:wrapNone/>
                <wp:docPr id="1" name="Straight Connector 1"/>
                <wp:cNvGraphicFramePr/>
                <a:graphic xmlns:a="http://schemas.openxmlformats.org/drawingml/2006/main">
                  <a:graphicData uri="http://schemas.microsoft.com/office/word/2010/wordprocessingShape">
                    <wps:wsp>
                      <wps:cNvCnPr/>
                      <wps:spPr>
                        <a:xfrm flipH="1" flipV="1">
                          <a:off x="0" y="0"/>
                          <a:ext cx="0" cy="265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90D4D" id="Straight Connector 1"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1pt,12.9pt" to="329.1pt,3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" strokecolor="black [3200]" strokeweight=".5pt">
                <v:stroke joinstyle="miter"/>
              </v:line>
            </w:pict>
          </mc:Fallback>
        </mc:AlternateContent>
      </w:r>
    </w:p>
    <w:p w14:paraId="46569FC4" w14:textId="47ABE1D0" w:rsidR="00B10AAF" w:rsidRDefault="00B10AAF">
      <w:pPr>
        <w:rPr>
          <w:sz w:val="28"/>
          <w:szCs w:val="28"/>
        </w:rPr>
      </w:pPr>
    </w:p>
    <w:p w14:paraId="0EF2E4A2" w14:textId="5B73C7B3" w:rsidR="00B10AAF" w:rsidRDefault="00B10AAF">
      <w:pPr>
        <w:rPr>
          <w:sz w:val="28"/>
          <w:szCs w:val="28"/>
        </w:rPr>
      </w:pPr>
    </w:p>
    <w:p w14:paraId="20DDF07B" w14:textId="39F39F61" w:rsidR="00B10AAF" w:rsidRDefault="00B10AAF">
      <w:pPr>
        <w:rPr>
          <w:sz w:val="28"/>
          <w:szCs w:val="28"/>
        </w:rPr>
      </w:pPr>
    </w:p>
    <w:p w14:paraId="505518BC" w14:textId="3C57ACA1" w:rsidR="00B10AAF" w:rsidRDefault="00B10AAF">
      <w:pPr>
        <w:rPr>
          <w:sz w:val="28"/>
          <w:szCs w:val="28"/>
        </w:rPr>
      </w:pPr>
    </w:p>
    <w:p w14:paraId="5CDB1C98" w14:textId="50716F4C" w:rsidR="00B10AAF" w:rsidRDefault="00B10AAF">
      <w:pPr>
        <w:rPr>
          <w:sz w:val="28"/>
          <w:szCs w:val="28"/>
        </w:rPr>
      </w:pPr>
    </w:p>
    <w:p w14:paraId="5176004B" w14:textId="30B550C3" w:rsidR="00B10AAF" w:rsidRDefault="00B10AAF">
      <w:pPr>
        <w:rPr>
          <w:sz w:val="28"/>
          <w:szCs w:val="28"/>
        </w:rPr>
      </w:pPr>
    </w:p>
    <w:p w14:paraId="18DDC44E" w14:textId="180443EA" w:rsidR="00B10AAF" w:rsidRDefault="00B10AAF">
      <w:pPr>
        <w:rPr>
          <w:sz w:val="28"/>
          <w:szCs w:val="28"/>
        </w:rPr>
      </w:pPr>
    </w:p>
    <w:p w14:paraId="1152ACC9" w14:textId="139ABB38" w:rsidR="00B10AAF" w:rsidRDefault="00B10AAF">
      <w:pPr>
        <w:rPr>
          <w:sz w:val="28"/>
          <w:szCs w:val="28"/>
        </w:rPr>
      </w:pPr>
    </w:p>
    <w:p w14:paraId="1FC704E9" w14:textId="1DAC9FF4" w:rsidR="00B10AAF" w:rsidRDefault="00B10AAF">
      <w:pPr>
        <w:rPr>
          <w:sz w:val="28"/>
          <w:szCs w:val="28"/>
        </w:rPr>
      </w:pPr>
    </w:p>
    <w:p w14:paraId="3CE8201D" w14:textId="4D08E0A8" w:rsidR="00B10AAF" w:rsidRDefault="00B10AAF" w:rsidP="00B10AAF">
      <w:pPr>
        <w:pStyle w:val="Heading1"/>
        <w:pBdr>
          <w:bottom w:val="single" w:sz="12" w:space="1" w:color="auto"/>
        </w:pBdr>
      </w:pPr>
      <w:r>
        <w:rPr>
          <w:sz w:val="40"/>
        </w:rPr>
        <w:lastRenderedPageBreak/>
        <w:t>About BRFSS</w:t>
      </w:r>
    </w:p>
    <w:p w14:paraId="3024CE41" w14:textId="5E0A1862" w:rsidR="00B10AAF" w:rsidRPr="00CA5874" w:rsidRDefault="00B10AAF" w:rsidP="00B10AAF">
      <w:pPr>
        <w:spacing w:after="60" w:line="276" w:lineRule="auto"/>
        <w:contextualSpacing/>
        <w:rPr>
          <w:rFonts w:asciiTheme="majorHAnsi" w:hAnsiTheme="majorHAnsi"/>
          <w:sz w:val="21"/>
          <w:szCs w:val="21"/>
        </w:rPr>
      </w:pPr>
      <w:r w:rsidRPr="006471BC">
        <w:rPr>
          <w:rFonts w:asciiTheme="majorHAnsi" w:hAnsiTheme="majorHAnsi"/>
          <w:bCs/>
          <w:sz w:val="21"/>
          <w:szCs w:val="21"/>
        </w:rPr>
        <w:t>The</w:t>
      </w:r>
      <w:r w:rsidRPr="006471BC">
        <w:rPr>
          <w:rFonts w:asciiTheme="majorHAnsi" w:hAnsiTheme="majorHAnsi"/>
          <w:b/>
          <w:bCs/>
          <w:sz w:val="21"/>
          <w:szCs w:val="21"/>
        </w:rPr>
        <w:t xml:space="preserve"> Massachusetts Behavioral Risk Factor Surveillance System (BRFSS) </w:t>
      </w:r>
      <w:r w:rsidRPr="006471BC">
        <w:rPr>
          <w:rFonts w:asciiTheme="majorHAnsi" w:hAnsiTheme="majorHAnsi"/>
          <w:sz w:val="21"/>
          <w:szCs w:val="21"/>
        </w:rPr>
        <w:t xml:space="preserve">is an annual phone survey of Massachusetts adults </w:t>
      </w:r>
      <w:r>
        <w:rPr>
          <w:rFonts w:asciiTheme="majorHAnsi" w:hAnsiTheme="majorHAnsi"/>
          <w:sz w:val="21"/>
          <w:szCs w:val="21"/>
        </w:rPr>
        <w:t xml:space="preserve">(18+) </w:t>
      </w:r>
      <w:r w:rsidRPr="006471BC">
        <w:rPr>
          <w:rFonts w:asciiTheme="majorHAnsi" w:hAnsiTheme="majorHAnsi"/>
          <w:sz w:val="21"/>
          <w:szCs w:val="21"/>
        </w:rPr>
        <w:t>that looks at health-related behavioral risk factors, chronic health conditions, and use of preventative services. All data in BRFSS is self-reported by respondents. People who chose to participate in the survey ma</w:t>
      </w:r>
      <w:r>
        <w:rPr>
          <w:rFonts w:asciiTheme="majorHAnsi" w:hAnsiTheme="majorHAnsi"/>
          <w:sz w:val="21"/>
          <w:szCs w:val="21"/>
        </w:rPr>
        <w:t>y be different from those who did</w:t>
      </w:r>
      <w:r w:rsidRPr="006471BC">
        <w:rPr>
          <w:rFonts w:asciiTheme="majorHAnsi" w:hAnsiTheme="majorHAnsi"/>
          <w:sz w:val="21"/>
          <w:szCs w:val="21"/>
        </w:rPr>
        <w:t xml:space="preserve"> not participate. As BRFSS is conducted through telephone, the sample may not adequately capture those who are institutionalized, incarcerated, or live in places or households that do not have a telephone</w:t>
      </w:r>
      <w:r>
        <w:rPr>
          <w:rFonts w:asciiTheme="majorHAnsi" w:hAnsiTheme="majorHAnsi"/>
          <w:sz w:val="21"/>
          <w:szCs w:val="21"/>
        </w:rPr>
        <w:t xml:space="preserve">. </w:t>
      </w:r>
    </w:p>
    <w:p w14:paraId="11597027" w14:textId="433380CF" w:rsidR="00B10AAF" w:rsidRDefault="00B10AAF" w:rsidP="00B10AAF">
      <w:pPr>
        <w:pStyle w:val="Heading1"/>
        <w:pBdr>
          <w:bottom w:val="single" w:sz="12" w:space="1" w:color="auto"/>
        </w:pBdr>
      </w:pPr>
      <w:r>
        <w:rPr>
          <w:sz w:val="40"/>
        </w:rPr>
        <w:t>Priority Populations</w:t>
      </w:r>
    </w:p>
    <w:p w14:paraId="2F305485" w14:textId="240A77A6" w:rsidR="00B10AAF" w:rsidRDefault="00B10AAF" w:rsidP="00B10AAF">
      <w:pPr>
        <w:spacing w:after="60" w:line="276" w:lineRule="auto"/>
        <w:contextualSpacing/>
        <w:rPr>
          <w:rFonts w:asciiTheme="majorHAnsi" w:hAnsiTheme="majorHAnsi"/>
          <w:bCs/>
          <w:sz w:val="21"/>
          <w:szCs w:val="21"/>
        </w:rPr>
      </w:pPr>
      <w:r>
        <w:rPr>
          <w:rFonts w:asciiTheme="majorHAnsi" w:hAnsiTheme="majorHAnsi"/>
          <w:bCs/>
          <w:sz w:val="21"/>
          <w:szCs w:val="21"/>
        </w:rPr>
        <w:t xml:space="preserve">Many populations have long </w:t>
      </w:r>
      <w:r w:rsidR="00590EA0">
        <w:rPr>
          <w:rFonts w:asciiTheme="majorHAnsi" w:hAnsiTheme="majorHAnsi"/>
          <w:bCs/>
          <w:sz w:val="21"/>
          <w:szCs w:val="21"/>
        </w:rPr>
        <w:t>been disproportionately impacted by</w:t>
      </w:r>
      <w:r>
        <w:rPr>
          <w:rFonts w:asciiTheme="majorHAnsi" w:hAnsiTheme="majorHAnsi"/>
          <w:bCs/>
          <w:sz w:val="21"/>
          <w:szCs w:val="21"/>
        </w:rPr>
        <w:t xml:space="preserve"> </w:t>
      </w:r>
      <w:r w:rsidR="00590EA0">
        <w:rPr>
          <w:rFonts w:asciiTheme="majorHAnsi" w:hAnsiTheme="majorHAnsi"/>
          <w:bCs/>
          <w:sz w:val="21"/>
          <w:szCs w:val="21"/>
        </w:rPr>
        <w:t xml:space="preserve">adverse </w:t>
      </w:r>
      <w:r>
        <w:rPr>
          <w:rFonts w:asciiTheme="majorHAnsi" w:hAnsiTheme="majorHAnsi"/>
          <w:bCs/>
          <w:sz w:val="21"/>
          <w:szCs w:val="21"/>
        </w:rPr>
        <w:t xml:space="preserve">tobacco-related </w:t>
      </w:r>
      <w:r w:rsidR="00590EA0">
        <w:rPr>
          <w:rFonts w:asciiTheme="majorHAnsi" w:hAnsiTheme="majorHAnsi"/>
          <w:bCs/>
          <w:sz w:val="21"/>
          <w:szCs w:val="21"/>
        </w:rPr>
        <w:t>outcomes</w:t>
      </w:r>
      <w:r>
        <w:rPr>
          <w:rFonts w:asciiTheme="majorHAnsi" w:hAnsiTheme="majorHAnsi"/>
          <w:bCs/>
          <w:sz w:val="21"/>
          <w:szCs w:val="21"/>
        </w:rPr>
        <w:t xml:space="preserve">. This report highlights the experiences of some of these populations, which are defined as outlined below: </w:t>
      </w:r>
    </w:p>
    <w:p w14:paraId="440054B3" w14:textId="128C12E4" w:rsidR="00B10AAF" w:rsidRDefault="00B10AAF" w:rsidP="00B10AAF">
      <w:pPr>
        <w:spacing w:after="60" w:line="276" w:lineRule="auto"/>
        <w:contextualSpacing/>
        <w:rPr>
          <w:rFonts w:asciiTheme="majorHAnsi" w:hAnsiTheme="majorHAnsi"/>
          <w:bCs/>
          <w:sz w:val="21"/>
          <w:szCs w:val="21"/>
        </w:rPr>
      </w:pPr>
    </w:p>
    <w:tbl>
      <w:tblPr>
        <w:tblStyle w:val="TableGrid"/>
        <w:tblW w:w="9477" w:type="dxa"/>
        <w:tblLook w:val="04A0" w:firstRow="1" w:lastRow="0" w:firstColumn="1" w:lastColumn="0" w:noHBand="0" w:noVBand="1"/>
      </w:tblPr>
      <w:tblGrid>
        <w:gridCol w:w="222"/>
        <w:gridCol w:w="9255"/>
      </w:tblGrid>
      <w:tr w:rsidR="00B10AAF" w:rsidRPr="00643AFA" w14:paraId="2BB35DE0" w14:textId="77777777" w:rsidTr="001B3A73">
        <w:trPr>
          <w:trHeight w:val="591"/>
        </w:trPr>
        <w:tc>
          <w:tcPr>
            <w:tcW w:w="212" w:type="dxa"/>
            <w:tcBorders>
              <w:top w:val="nil"/>
              <w:left w:val="nil"/>
              <w:bottom w:val="nil"/>
              <w:right w:val="nil"/>
            </w:tcBorders>
            <w:shd w:val="clear" w:color="auto" w:fill="4472C4" w:themeFill="accent1"/>
          </w:tcPr>
          <w:p w14:paraId="6EC2FB1B"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49283EAF" w14:textId="0119FF20" w:rsidR="00B10AAF" w:rsidRPr="00643AFA" w:rsidRDefault="00B10AAF" w:rsidP="001B3A73">
            <w:pPr>
              <w:widowControl w:val="0"/>
              <w:spacing w:before="40" w:after="40" w:line="276" w:lineRule="auto"/>
              <w:rPr>
                <w:rFonts w:asciiTheme="minorHAnsi" w:hAnsiTheme="minorHAnsi"/>
                <w:b/>
                <w:bCs/>
                <w:sz w:val="22"/>
                <w:szCs w:val="22"/>
              </w:rPr>
            </w:pPr>
            <w:r>
              <w:rPr>
                <w:rFonts w:asciiTheme="minorHAnsi" w:hAnsiTheme="minorHAnsi"/>
                <w:b/>
                <w:bCs/>
                <w:sz w:val="22"/>
                <w:szCs w:val="22"/>
              </w:rPr>
              <w:t>Race/Ethnicity</w:t>
            </w:r>
          </w:p>
          <w:p w14:paraId="0475186B" w14:textId="77777777" w:rsidR="00B10AAF" w:rsidRPr="00034024" w:rsidRDefault="00B10AAF" w:rsidP="00B10AAF">
            <w:pPr>
              <w:widowControl w:val="0"/>
              <w:spacing w:line="276" w:lineRule="auto"/>
              <w:rPr>
                <w:rFonts w:asciiTheme="majorHAnsi" w:hAnsiTheme="majorHAnsi"/>
                <w:szCs w:val="22"/>
              </w:rPr>
            </w:pPr>
            <w:r w:rsidRPr="00034024">
              <w:rPr>
                <w:rFonts w:asciiTheme="majorHAnsi" w:hAnsiTheme="majorHAnsi"/>
                <w:szCs w:val="22"/>
              </w:rPr>
              <w:t>For the purpose of this report, data is often reported for three broad racial/ethnic categories:</w:t>
            </w:r>
          </w:p>
          <w:p w14:paraId="1B366118" w14:textId="77777777" w:rsidR="00B10AAF" w:rsidRPr="00034024" w:rsidRDefault="00B10AAF" w:rsidP="00B10AAF">
            <w:pPr>
              <w:pStyle w:val="ListParagraph"/>
              <w:widowControl w:val="0"/>
              <w:numPr>
                <w:ilvl w:val="0"/>
                <w:numId w:val="2"/>
              </w:numPr>
              <w:spacing w:line="276" w:lineRule="auto"/>
              <w:rPr>
                <w:rFonts w:asciiTheme="majorHAnsi" w:hAnsiTheme="majorHAnsi"/>
                <w:szCs w:val="22"/>
              </w:rPr>
            </w:pPr>
            <w:r>
              <w:rPr>
                <w:rFonts w:asciiTheme="majorHAnsi" w:hAnsiTheme="majorHAnsi"/>
                <w:szCs w:val="22"/>
              </w:rPr>
              <w:t>White, Non-Hispanic – h</w:t>
            </w:r>
            <w:r w:rsidRPr="00034024">
              <w:rPr>
                <w:rFonts w:asciiTheme="majorHAnsi" w:hAnsiTheme="majorHAnsi"/>
                <w:szCs w:val="22"/>
              </w:rPr>
              <w:t>ereby referred to as “White”</w:t>
            </w:r>
          </w:p>
          <w:p w14:paraId="10378D3E" w14:textId="77777777" w:rsidR="00B10AAF" w:rsidRPr="00034024" w:rsidRDefault="00B10AAF" w:rsidP="00B10AAF">
            <w:pPr>
              <w:pStyle w:val="ListParagraph"/>
              <w:widowControl w:val="0"/>
              <w:numPr>
                <w:ilvl w:val="0"/>
                <w:numId w:val="2"/>
              </w:numPr>
              <w:spacing w:line="276" w:lineRule="auto"/>
              <w:rPr>
                <w:rFonts w:asciiTheme="majorHAnsi" w:hAnsiTheme="majorHAnsi"/>
                <w:szCs w:val="22"/>
              </w:rPr>
            </w:pPr>
            <w:r w:rsidRPr="00034024">
              <w:rPr>
                <w:rFonts w:asciiTheme="majorHAnsi" w:hAnsiTheme="majorHAnsi"/>
                <w:szCs w:val="22"/>
              </w:rPr>
              <w:t>Black</w:t>
            </w:r>
            <w:r>
              <w:rPr>
                <w:rFonts w:asciiTheme="majorHAnsi" w:hAnsiTheme="majorHAnsi"/>
                <w:szCs w:val="22"/>
              </w:rPr>
              <w:t xml:space="preserve"> or African-American, Non-Hispanic – </w:t>
            </w:r>
            <w:r w:rsidRPr="00034024">
              <w:rPr>
                <w:rFonts w:asciiTheme="majorHAnsi" w:hAnsiTheme="majorHAnsi"/>
                <w:szCs w:val="22"/>
              </w:rPr>
              <w:t>hereby referred to as “Black”</w:t>
            </w:r>
          </w:p>
          <w:p w14:paraId="3E324DDA" w14:textId="77777777" w:rsidR="00B10AAF" w:rsidRPr="00034024" w:rsidRDefault="00B10AAF" w:rsidP="00B10AAF">
            <w:pPr>
              <w:pStyle w:val="ListParagraph"/>
              <w:widowControl w:val="0"/>
              <w:numPr>
                <w:ilvl w:val="0"/>
                <w:numId w:val="2"/>
              </w:numPr>
              <w:spacing w:line="276" w:lineRule="auto"/>
              <w:rPr>
                <w:rFonts w:asciiTheme="majorHAnsi" w:hAnsiTheme="majorHAnsi"/>
                <w:szCs w:val="22"/>
              </w:rPr>
            </w:pPr>
            <w:r w:rsidRPr="00034024">
              <w:rPr>
                <w:rFonts w:asciiTheme="majorHAnsi" w:hAnsiTheme="majorHAnsi"/>
                <w:szCs w:val="22"/>
              </w:rPr>
              <w:t>Hispa</w:t>
            </w:r>
            <w:r>
              <w:rPr>
                <w:rFonts w:asciiTheme="majorHAnsi" w:hAnsiTheme="majorHAnsi"/>
                <w:szCs w:val="22"/>
              </w:rPr>
              <w:t>nic or Latino of any race, which includes</w:t>
            </w:r>
            <w:r w:rsidRPr="00034024">
              <w:rPr>
                <w:rFonts w:asciiTheme="majorHAnsi" w:hAnsiTheme="majorHAnsi"/>
                <w:szCs w:val="22"/>
              </w:rPr>
              <w:t xml:space="preserve"> several ethnicities (</w:t>
            </w:r>
            <w:proofErr w:type="gramStart"/>
            <w:r w:rsidRPr="00034024">
              <w:rPr>
                <w:rFonts w:asciiTheme="majorHAnsi" w:hAnsiTheme="majorHAnsi"/>
                <w:szCs w:val="22"/>
              </w:rPr>
              <w:t>e.g.</w:t>
            </w:r>
            <w:proofErr w:type="gramEnd"/>
            <w:r w:rsidRPr="00034024">
              <w:rPr>
                <w:rFonts w:asciiTheme="majorHAnsi" w:hAnsiTheme="majorHAnsi"/>
                <w:szCs w:val="22"/>
              </w:rPr>
              <w:t xml:space="preserve"> Mexican, Puerto Rican, Cuban) – hereby referred to as “Hispanic”</w:t>
            </w:r>
          </w:p>
          <w:p w14:paraId="27F98D6D" w14:textId="79D5DC1F" w:rsidR="00B10AAF" w:rsidRPr="00B10AAF" w:rsidRDefault="00B10AAF" w:rsidP="00B10AAF">
            <w:pPr>
              <w:widowControl w:val="0"/>
              <w:spacing w:line="276" w:lineRule="auto"/>
              <w:rPr>
                <w:rFonts w:asciiTheme="majorHAnsi" w:hAnsiTheme="majorHAnsi"/>
                <w:szCs w:val="22"/>
              </w:rPr>
            </w:pPr>
            <w:r w:rsidRPr="00B10AAF">
              <w:rPr>
                <w:rFonts w:asciiTheme="majorHAnsi" w:hAnsiTheme="majorHAnsi"/>
                <w:sz w:val="18"/>
                <w:szCs w:val="21"/>
              </w:rPr>
              <w:t xml:space="preserve">Data is often not shown or reported for Non-Hispanic Asians or Pacific Islanders, Native Americans, American Indians, or Alaskan Natives due to small sample sizes. However, these racial and ethnic subgroups may be included under the broad population category of “people of color” (POC). </w:t>
            </w:r>
          </w:p>
        </w:tc>
      </w:tr>
    </w:tbl>
    <w:p w14:paraId="288E1B88" w14:textId="1F2E2329" w:rsidR="00B10AAF" w:rsidRPr="00CA5874" w:rsidRDefault="00B10AAF" w:rsidP="00B10AAF">
      <w:pPr>
        <w:spacing w:after="60" w:line="276" w:lineRule="auto"/>
        <w:contextualSpacing/>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B10AAF" w:rsidRPr="00643AFA" w14:paraId="25A87671" w14:textId="77777777" w:rsidTr="001B3A73">
        <w:trPr>
          <w:trHeight w:val="591"/>
        </w:trPr>
        <w:tc>
          <w:tcPr>
            <w:tcW w:w="212" w:type="dxa"/>
            <w:tcBorders>
              <w:top w:val="nil"/>
              <w:left w:val="nil"/>
              <w:bottom w:val="nil"/>
              <w:right w:val="nil"/>
            </w:tcBorders>
            <w:shd w:val="clear" w:color="auto" w:fill="4472C4" w:themeFill="accent1"/>
          </w:tcPr>
          <w:p w14:paraId="6F01E872"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483ADF6C" w14:textId="77777777" w:rsidR="00B10AAF" w:rsidRPr="00B10AAF" w:rsidRDefault="00B10AAF" w:rsidP="00B10AAF">
            <w:pPr>
              <w:widowControl w:val="0"/>
              <w:spacing w:before="40" w:after="40" w:line="276" w:lineRule="auto"/>
              <w:rPr>
                <w:rFonts w:asciiTheme="minorHAnsi" w:hAnsiTheme="minorHAnsi"/>
                <w:b/>
                <w:bCs/>
                <w:sz w:val="22"/>
                <w:szCs w:val="22"/>
              </w:rPr>
            </w:pPr>
            <w:r w:rsidRPr="00B10AAF">
              <w:rPr>
                <w:rFonts w:asciiTheme="minorHAnsi" w:hAnsiTheme="minorHAnsi"/>
                <w:b/>
                <w:bCs/>
                <w:sz w:val="22"/>
                <w:szCs w:val="22"/>
              </w:rPr>
              <w:t>Socioeconomic Status</w:t>
            </w:r>
          </w:p>
          <w:p w14:paraId="146FF220" w14:textId="33554E50" w:rsidR="00B10AAF" w:rsidRPr="00B10AAF" w:rsidRDefault="00B10AAF" w:rsidP="001B3A73">
            <w:pPr>
              <w:widowControl w:val="0"/>
              <w:spacing w:line="276" w:lineRule="auto"/>
              <w:rPr>
                <w:rFonts w:asciiTheme="majorHAnsi" w:hAnsiTheme="majorHAnsi"/>
                <w:szCs w:val="22"/>
              </w:rPr>
            </w:pPr>
            <w:r w:rsidRPr="00B10AAF">
              <w:rPr>
                <w:rFonts w:asciiTheme="majorHAnsi" w:hAnsiTheme="majorHAnsi"/>
                <w:szCs w:val="22"/>
              </w:rPr>
              <w:t>BRFSS captures self-reported data on years of education completed, income, and employment status. Those with lower incomes, with unstable employment, and less education tend to experience a wide range of health inequities. In this report, inequities data is presented for those with incomes below $25,000, those with a high school education or less, and those who are unemployed.</w:t>
            </w:r>
          </w:p>
        </w:tc>
      </w:tr>
    </w:tbl>
    <w:p w14:paraId="39C216C8" w14:textId="2E6EDD07" w:rsidR="00B10AAF" w:rsidRDefault="00B10AAF" w:rsidP="00B10AAF">
      <w:pPr>
        <w:widowControl w:val="0"/>
        <w:spacing w:line="276" w:lineRule="auto"/>
        <w:rPr>
          <w:rFonts w:asciiTheme="majorHAnsi" w:hAnsiTheme="majorHAnsi"/>
          <w:szCs w:val="22"/>
        </w:rPr>
      </w:pPr>
    </w:p>
    <w:tbl>
      <w:tblPr>
        <w:tblStyle w:val="TableGrid"/>
        <w:tblW w:w="9477" w:type="dxa"/>
        <w:tblLook w:val="04A0" w:firstRow="1" w:lastRow="0" w:firstColumn="1" w:lastColumn="0" w:noHBand="0" w:noVBand="1"/>
      </w:tblPr>
      <w:tblGrid>
        <w:gridCol w:w="222"/>
        <w:gridCol w:w="9255"/>
      </w:tblGrid>
      <w:tr w:rsidR="00B10AAF" w:rsidRPr="00643AFA" w14:paraId="44E34B4D" w14:textId="77777777" w:rsidTr="001B3A73">
        <w:trPr>
          <w:trHeight w:val="591"/>
        </w:trPr>
        <w:tc>
          <w:tcPr>
            <w:tcW w:w="212" w:type="dxa"/>
            <w:tcBorders>
              <w:top w:val="nil"/>
              <w:left w:val="nil"/>
              <w:bottom w:val="nil"/>
              <w:right w:val="nil"/>
            </w:tcBorders>
            <w:shd w:val="clear" w:color="auto" w:fill="4472C4" w:themeFill="accent1"/>
          </w:tcPr>
          <w:p w14:paraId="30CB50EA"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02EBDBFB" w14:textId="2D14D661" w:rsidR="00B10AAF" w:rsidRPr="00B10AAF" w:rsidRDefault="00B10AAF" w:rsidP="001B3A73">
            <w:pPr>
              <w:widowControl w:val="0"/>
              <w:spacing w:before="40" w:after="40" w:line="276" w:lineRule="auto"/>
              <w:rPr>
                <w:rFonts w:asciiTheme="minorHAnsi" w:hAnsiTheme="minorHAnsi"/>
                <w:b/>
                <w:bCs/>
                <w:sz w:val="22"/>
                <w:szCs w:val="22"/>
              </w:rPr>
            </w:pPr>
            <w:r>
              <w:rPr>
                <w:rFonts w:asciiTheme="minorHAnsi" w:hAnsiTheme="minorHAnsi"/>
                <w:b/>
                <w:bCs/>
                <w:sz w:val="22"/>
                <w:szCs w:val="22"/>
              </w:rPr>
              <w:t>Sexual Orientation and Gender Identity</w:t>
            </w:r>
          </w:p>
          <w:p w14:paraId="2D62DDCA" w14:textId="1349EB70" w:rsidR="00B10AAF" w:rsidRPr="00B10AAF" w:rsidRDefault="00B10AAF" w:rsidP="001B3A73">
            <w:pPr>
              <w:widowControl w:val="0"/>
              <w:spacing w:line="276" w:lineRule="auto"/>
              <w:rPr>
                <w:rFonts w:asciiTheme="majorHAnsi" w:hAnsiTheme="majorHAnsi"/>
                <w:szCs w:val="22"/>
              </w:rPr>
            </w:pPr>
            <w:r w:rsidRPr="00034024">
              <w:rPr>
                <w:rFonts w:asciiTheme="majorHAnsi" w:hAnsiTheme="majorHAnsi"/>
                <w:szCs w:val="22"/>
              </w:rPr>
              <w:t>Respondents for the BRFSS are asked their biological sex (</w:t>
            </w:r>
            <w:proofErr w:type="gramStart"/>
            <w:r w:rsidRPr="00034024">
              <w:rPr>
                <w:rFonts w:asciiTheme="majorHAnsi" w:hAnsiTheme="majorHAnsi"/>
                <w:szCs w:val="22"/>
              </w:rPr>
              <w:t>i.e.</w:t>
            </w:r>
            <w:proofErr w:type="gramEnd"/>
            <w:r w:rsidRPr="00034024">
              <w:rPr>
                <w:rFonts w:asciiTheme="majorHAnsi" w:hAnsiTheme="majorHAnsi"/>
                <w:szCs w:val="22"/>
              </w:rPr>
              <w:t xml:space="preserve"> binary: male or female), if they are transgender, and their sexual orientation. Those who identify as Lesbian, Gay, Bisexual or Transgender (LGBT) tend to experience significant smoking-related </w:t>
            </w:r>
            <w:r>
              <w:rPr>
                <w:rFonts w:asciiTheme="majorHAnsi" w:hAnsiTheme="majorHAnsi"/>
                <w:szCs w:val="22"/>
              </w:rPr>
              <w:t>inequities</w:t>
            </w:r>
            <w:r w:rsidRPr="00034024">
              <w:rPr>
                <w:rFonts w:asciiTheme="majorHAnsi" w:hAnsiTheme="majorHAnsi"/>
                <w:szCs w:val="22"/>
              </w:rPr>
              <w:t>. Those with sexual identities that do not fit into these broad categories have the option to choose “Other.” As with certain racial/ethnic groups, data is not disaggregated by sexual orientation or gender identity due to small sample sizes.</w:t>
            </w:r>
          </w:p>
        </w:tc>
      </w:tr>
    </w:tbl>
    <w:p w14:paraId="734877E8" w14:textId="77777777" w:rsidR="00B10AAF" w:rsidRPr="008F6B4F" w:rsidRDefault="00B10AAF" w:rsidP="00B10AAF">
      <w:pPr>
        <w:widowControl w:val="0"/>
        <w:spacing w:line="276" w:lineRule="auto"/>
        <w:rPr>
          <w:rFonts w:asciiTheme="majorHAnsi" w:hAnsiTheme="majorHAnsi"/>
          <w:szCs w:val="22"/>
        </w:rPr>
      </w:pPr>
    </w:p>
    <w:tbl>
      <w:tblPr>
        <w:tblStyle w:val="TableGrid"/>
        <w:tblW w:w="9477" w:type="dxa"/>
        <w:tblLook w:val="04A0" w:firstRow="1" w:lastRow="0" w:firstColumn="1" w:lastColumn="0" w:noHBand="0" w:noVBand="1"/>
      </w:tblPr>
      <w:tblGrid>
        <w:gridCol w:w="222"/>
        <w:gridCol w:w="9255"/>
      </w:tblGrid>
      <w:tr w:rsidR="00B10AAF" w:rsidRPr="00643AFA" w14:paraId="718156FA" w14:textId="77777777" w:rsidTr="00B10AAF">
        <w:trPr>
          <w:trHeight w:val="270"/>
        </w:trPr>
        <w:tc>
          <w:tcPr>
            <w:tcW w:w="212" w:type="dxa"/>
            <w:tcBorders>
              <w:top w:val="nil"/>
              <w:left w:val="nil"/>
              <w:bottom w:val="nil"/>
              <w:right w:val="nil"/>
            </w:tcBorders>
            <w:shd w:val="clear" w:color="auto" w:fill="4472C4" w:themeFill="accent1"/>
          </w:tcPr>
          <w:p w14:paraId="2A3A1B0E"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70FAEC51" w14:textId="77777777" w:rsidR="00B10AAF" w:rsidRPr="00B10AAF" w:rsidRDefault="00B10AAF" w:rsidP="00B10AAF">
            <w:pPr>
              <w:widowControl w:val="0"/>
              <w:spacing w:before="40" w:after="40" w:line="276" w:lineRule="auto"/>
              <w:rPr>
                <w:rFonts w:asciiTheme="minorHAnsi" w:hAnsiTheme="minorHAnsi"/>
                <w:b/>
                <w:bCs/>
                <w:sz w:val="22"/>
                <w:szCs w:val="22"/>
              </w:rPr>
            </w:pPr>
            <w:r w:rsidRPr="00B10AAF">
              <w:rPr>
                <w:rFonts w:asciiTheme="majorHAnsi" w:hAnsiTheme="majorHAnsi"/>
                <w:szCs w:val="22"/>
              </w:rPr>
              <w:t xml:space="preserve"> </w:t>
            </w:r>
            <w:r>
              <w:rPr>
                <w:rFonts w:asciiTheme="minorHAnsi" w:hAnsiTheme="minorHAnsi"/>
                <w:b/>
                <w:bCs/>
                <w:sz w:val="22"/>
                <w:szCs w:val="22"/>
              </w:rPr>
              <w:t>Self-reported Poor Mental Health</w:t>
            </w:r>
          </w:p>
          <w:p w14:paraId="576C518C" w14:textId="6548C062" w:rsidR="00B10AAF" w:rsidRPr="00B10AAF" w:rsidRDefault="00B10AAF" w:rsidP="00B10AAF">
            <w:pPr>
              <w:widowControl w:val="0"/>
              <w:spacing w:line="276" w:lineRule="auto"/>
              <w:rPr>
                <w:rFonts w:asciiTheme="majorHAnsi" w:hAnsiTheme="majorHAnsi"/>
                <w:szCs w:val="22"/>
              </w:rPr>
            </w:pPr>
            <w:r w:rsidRPr="00B10AAF">
              <w:rPr>
                <w:rFonts w:asciiTheme="majorHAnsi" w:hAnsiTheme="majorHAnsi"/>
                <w:szCs w:val="22"/>
              </w:rPr>
              <w:t>Respondents who reported 15 or more days of “poor mental health” in the past month represent a group with significant tobacco-related inequities. This data is self-reported and may include both individuals with and without a clinical diagnosis of depression</w:t>
            </w:r>
          </w:p>
        </w:tc>
      </w:tr>
    </w:tbl>
    <w:p w14:paraId="7EA87B79" w14:textId="15D9EB0D" w:rsidR="00B10AAF" w:rsidRDefault="00B10AAF" w:rsidP="00B10AAF">
      <w:pPr>
        <w:widowControl w:val="0"/>
        <w:spacing w:line="276" w:lineRule="auto"/>
        <w:rPr>
          <w:rFonts w:asciiTheme="majorHAnsi" w:hAnsiTheme="majorHAnsi"/>
          <w:sz w:val="22"/>
          <w:szCs w:val="22"/>
        </w:rPr>
      </w:pPr>
    </w:p>
    <w:p w14:paraId="2103ED55" w14:textId="5563D50E" w:rsidR="00B10AAF" w:rsidRDefault="00B10AAF" w:rsidP="00B10AAF">
      <w:pPr>
        <w:widowControl w:val="0"/>
        <w:spacing w:line="276" w:lineRule="auto"/>
        <w:rPr>
          <w:rFonts w:asciiTheme="majorHAnsi" w:hAnsiTheme="majorHAnsi"/>
          <w:szCs w:val="22"/>
        </w:rPr>
      </w:pPr>
    </w:p>
    <w:p w14:paraId="71F14C48" w14:textId="77777777" w:rsidR="00930198" w:rsidRDefault="00930198" w:rsidP="00B10AAF">
      <w:pPr>
        <w:widowControl w:val="0"/>
        <w:spacing w:line="276" w:lineRule="auto"/>
        <w:rPr>
          <w:rFonts w:asciiTheme="majorHAnsi" w:hAnsiTheme="majorHAnsi"/>
          <w:szCs w:val="22"/>
        </w:rPr>
      </w:pPr>
    </w:p>
    <w:tbl>
      <w:tblPr>
        <w:tblStyle w:val="TableGrid"/>
        <w:tblW w:w="9477" w:type="dxa"/>
        <w:tblLook w:val="04A0" w:firstRow="1" w:lastRow="0" w:firstColumn="1" w:lastColumn="0" w:noHBand="0" w:noVBand="1"/>
      </w:tblPr>
      <w:tblGrid>
        <w:gridCol w:w="222"/>
        <w:gridCol w:w="9255"/>
      </w:tblGrid>
      <w:tr w:rsidR="00B10AAF" w:rsidRPr="00643AFA" w14:paraId="1C25225C" w14:textId="77777777" w:rsidTr="001B3A73">
        <w:trPr>
          <w:trHeight w:val="591"/>
        </w:trPr>
        <w:tc>
          <w:tcPr>
            <w:tcW w:w="212" w:type="dxa"/>
            <w:tcBorders>
              <w:top w:val="nil"/>
              <w:left w:val="nil"/>
              <w:bottom w:val="nil"/>
              <w:right w:val="nil"/>
            </w:tcBorders>
            <w:shd w:val="clear" w:color="auto" w:fill="4472C4" w:themeFill="accent1"/>
          </w:tcPr>
          <w:p w14:paraId="0889FCDA"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3208CDD3" w14:textId="77777777" w:rsidR="00B10AAF" w:rsidRPr="00B10AAF" w:rsidRDefault="00B10AAF" w:rsidP="00B10AAF">
            <w:pPr>
              <w:widowControl w:val="0"/>
              <w:spacing w:before="40" w:after="40" w:line="276" w:lineRule="auto"/>
              <w:rPr>
                <w:rFonts w:asciiTheme="minorHAnsi" w:hAnsiTheme="minorHAnsi"/>
                <w:b/>
                <w:bCs/>
                <w:sz w:val="22"/>
                <w:szCs w:val="22"/>
              </w:rPr>
            </w:pPr>
            <w:r>
              <w:rPr>
                <w:rFonts w:asciiTheme="minorHAnsi" w:hAnsiTheme="minorHAnsi"/>
                <w:b/>
                <w:bCs/>
                <w:sz w:val="22"/>
                <w:szCs w:val="22"/>
              </w:rPr>
              <w:t>Disability</w:t>
            </w:r>
          </w:p>
          <w:p w14:paraId="4DED1AAC" w14:textId="11AAD715" w:rsidR="00B10AAF" w:rsidRPr="00B10AAF" w:rsidRDefault="00B10AAF" w:rsidP="00B10AAF">
            <w:pPr>
              <w:widowControl w:val="0"/>
              <w:spacing w:line="276" w:lineRule="auto"/>
              <w:rPr>
                <w:rFonts w:asciiTheme="majorHAnsi" w:hAnsiTheme="majorHAnsi"/>
                <w:szCs w:val="22"/>
              </w:rPr>
            </w:pPr>
            <w:r w:rsidRPr="00B10AAF">
              <w:rPr>
                <w:rFonts w:asciiTheme="majorHAnsi" w:hAnsiTheme="majorHAnsi"/>
                <w:szCs w:val="22"/>
              </w:rPr>
              <w:t>Those with a disability are classified as such from a combination of several questions on the BRFSS. In this report, an individual is considered as having a disability if they report being limited in any activities due to physical, mental, or emotional problems; use special equipment such as a cane or wheelchair; are blind or have difficulty seeing; are deaf or have serious difficulty hearing; experience difficulty walking or climbing stairs; experience difficulty bathing or dressing; and experience difficulty doing errands alone. Those with severe limitations or disabilities may be unable to participate in the BRFSS and therefore may not be represented.</w:t>
            </w:r>
          </w:p>
        </w:tc>
      </w:tr>
    </w:tbl>
    <w:p w14:paraId="26F10CEF" w14:textId="77777777" w:rsidR="00B10AAF" w:rsidRPr="006471BC" w:rsidRDefault="00B10AAF" w:rsidP="00B10AAF">
      <w:pPr>
        <w:widowControl w:val="0"/>
        <w:spacing w:line="276" w:lineRule="auto"/>
        <w:rPr>
          <w:rFonts w:asciiTheme="majorHAnsi" w:hAnsiTheme="majorHAnsi"/>
          <w:szCs w:val="22"/>
        </w:rPr>
      </w:pPr>
    </w:p>
    <w:p w14:paraId="7684BDDB" w14:textId="65A7BF7B" w:rsidR="00B10AAF" w:rsidRDefault="00B10AAF" w:rsidP="00B10AAF">
      <w:pPr>
        <w:pStyle w:val="Heading1"/>
        <w:pBdr>
          <w:bottom w:val="single" w:sz="12" w:space="1" w:color="auto"/>
        </w:pBdr>
        <w:spacing w:before="0"/>
        <w:rPr>
          <w:sz w:val="40"/>
        </w:rPr>
      </w:pPr>
      <w:r>
        <w:rPr>
          <w:sz w:val="40"/>
        </w:rPr>
        <w:t>Shared Definitions</w:t>
      </w:r>
    </w:p>
    <w:p w14:paraId="58FAF2F1" w14:textId="2A617DD5" w:rsidR="00590EA0" w:rsidRPr="00590EA0" w:rsidRDefault="00590EA0" w:rsidP="00590EA0">
      <w:pPr>
        <w:spacing w:after="60" w:line="276" w:lineRule="auto"/>
        <w:contextualSpacing/>
        <w:rPr>
          <w:rFonts w:asciiTheme="majorHAnsi" w:hAnsiTheme="majorHAnsi"/>
          <w:bCs/>
          <w:sz w:val="21"/>
          <w:szCs w:val="21"/>
        </w:rPr>
      </w:pPr>
      <w:r w:rsidRPr="00590EA0">
        <w:rPr>
          <w:rFonts w:asciiTheme="majorHAnsi" w:hAnsiTheme="majorHAnsi"/>
          <w:bCs/>
          <w:sz w:val="21"/>
          <w:szCs w:val="21"/>
        </w:rPr>
        <w:t xml:space="preserve">Developing </w:t>
      </w:r>
      <w:r>
        <w:rPr>
          <w:rFonts w:asciiTheme="majorHAnsi" w:hAnsiTheme="majorHAnsi"/>
          <w:bCs/>
          <w:sz w:val="21"/>
          <w:szCs w:val="21"/>
        </w:rPr>
        <w:t>shared definitions for foundational health equity concepts is key to understanding the root causes of the differences in outcomes experienced by different population groups. Key equity terms that are used throughout this report are defined below:</w:t>
      </w:r>
    </w:p>
    <w:p w14:paraId="3A0677AD" w14:textId="77777777" w:rsidR="00B10AAF" w:rsidRPr="008D2550" w:rsidRDefault="00B10AAF" w:rsidP="00B10AAF"/>
    <w:tbl>
      <w:tblPr>
        <w:tblStyle w:val="TableGrid"/>
        <w:tblW w:w="9477" w:type="dxa"/>
        <w:tblLook w:val="04A0" w:firstRow="1" w:lastRow="0" w:firstColumn="1" w:lastColumn="0" w:noHBand="0" w:noVBand="1"/>
      </w:tblPr>
      <w:tblGrid>
        <w:gridCol w:w="222"/>
        <w:gridCol w:w="9255"/>
      </w:tblGrid>
      <w:tr w:rsidR="00B10AAF" w:rsidRPr="00643AFA" w14:paraId="551F7A0A" w14:textId="77777777" w:rsidTr="00B10AAF">
        <w:trPr>
          <w:trHeight w:val="591"/>
        </w:trPr>
        <w:tc>
          <w:tcPr>
            <w:tcW w:w="212" w:type="dxa"/>
            <w:tcBorders>
              <w:top w:val="nil"/>
              <w:left w:val="nil"/>
              <w:bottom w:val="nil"/>
              <w:right w:val="nil"/>
            </w:tcBorders>
            <w:shd w:val="clear" w:color="auto" w:fill="ED7D31" w:themeFill="accent2"/>
          </w:tcPr>
          <w:p w14:paraId="5637D7CC"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375EA00D" w14:textId="77777777" w:rsidR="00B10AAF" w:rsidRPr="00643AFA" w:rsidRDefault="00B10AAF" w:rsidP="001B3A73">
            <w:pPr>
              <w:widowControl w:val="0"/>
              <w:spacing w:before="40" w:after="40" w:line="276" w:lineRule="auto"/>
              <w:rPr>
                <w:rFonts w:asciiTheme="minorHAnsi" w:hAnsiTheme="minorHAnsi"/>
                <w:b/>
                <w:bCs/>
                <w:sz w:val="22"/>
                <w:szCs w:val="22"/>
              </w:rPr>
            </w:pPr>
            <w:r w:rsidRPr="00643AFA">
              <w:rPr>
                <w:rFonts w:asciiTheme="minorHAnsi" w:hAnsiTheme="minorHAnsi"/>
                <w:b/>
                <w:bCs/>
                <w:sz w:val="22"/>
                <w:szCs w:val="22"/>
              </w:rPr>
              <w:t>Health Disparities or Inequalities</w:t>
            </w:r>
          </w:p>
          <w:p w14:paraId="442EDEA0" w14:textId="77777777" w:rsidR="00B10AAF" w:rsidRPr="00590EA0" w:rsidRDefault="00B10AAF" w:rsidP="001B3A73">
            <w:pPr>
              <w:widowControl w:val="0"/>
              <w:spacing w:before="40" w:after="40" w:line="276" w:lineRule="auto"/>
              <w:rPr>
                <w:rFonts w:asciiTheme="minorHAnsi" w:hAnsiTheme="minorHAnsi"/>
                <w:bCs/>
                <w:sz w:val="22"/>
                <w:szCs w:val="22"/>
              </w:rPr>
            </w:pPr>
            <w:r w:rsidRPr="00EC4559">
              <w:rPr>
                <w:rFonts w:asciiTheme="majorHAnsi" w:hAnsiTheme="majorHAnsi"/>
                <w:szCs w:val="22"/>
              </w:rPr>
              <w:t>Differences between the health of one population and another in measures of who gets disease, who has disease, who dies from disease, and other adverse health conditions that exist among specific population groups.</w:t>
            </w:r>
          </w:p>
        </w:tc>
      </w:tr>
    </w:tbl>
    <w:p w14:paraId="3399AA46" w14:textId="77777777" w:rsidR="00B10AAF" w:rsidRPr="00643AFA" w:rsidRDefault="00B10AAF" w:rsidP="00B10AAF">
      <w:pPr>
        <w:widowControl w:val="0"/>
        <w:spacing w:before="40" w:after="40" w:line="276" w:lineRule="auto"/>
        <w:rPr>
          <w:rFonts w:asciiTheme="minorHAnsi" w:hAnsiTheme="minorHAnsi"/>
          <w:sz w:val="22"/>
          <w:szCs w:val="22"/>
        </w:rPr>
      </w:pPr>
    </w:p>
    <w:tbl>
      <w:tblPr>
        <w:tblStyle w:val="TableGrid"/>
        <w:tblW w:w="9438" w:type="dxa"/>
        <w:tblLook w:val="04A0" w:firstRow="1" w:lastRow="0" w:firstColumn="1" w:lastColumn="0" w:noHBand="0" w:noVBand="1"/>
      </w:tblPr>
      <w:tblGrid>
        <w:gridCol w:w="222"/>
        <w:gridCol w:w="9216"/>
      </w:tblGrid>
      <w:tr w:rsidR="00B10AAF" w:rsidRPr="00643AFA" w14:paraId="2E598595" w14:textId="77777777" w:rsidTr="00590EA0">
        <w:trPr>
          <w:trHeight w:val="486"/>
        </w:trPr>
        <w:tc>
          <w:tcPr>
            <w:tcW w:w="210" w:type="dxa"/>
            <w:tcBorders>
              <w:top w:val="nil"/>
              <w:left w:val="nil"/>
              <w:bottom w:val="nil"/>
              <w:right w:val="nil"/>
            </w:tcBorders>
            <w:shd w:val="clear" w:color="auto" w:fill="ED7D31" w:themeFill="accent2"/>
          </w:tcPr>
          <w:p w14:paraId="292614B3"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28" w:type="dxa"/>
            <w:tcBorders>
              <w:top w:val="nil"/>
              <w:left w:val="nil"/>
              <w:bottom w:val="nil"/>
              <w:right w:val="nil"/>
            </w:tcBorders>
            <w:shd w:val="clear" w:color="auto" w:fill="F2F2F2" w:themeFill="background1" w:themeFillShade="F2"/>
          </w:tcPr>
          <w:p w14:paraId="34F4E5A1" w14:textId="77777777" w:rsidR="00B10AAF" w:rsidRPr="00643AFA" w:rsidRDefault="00B10AAF" w:rsidP="001B3A73">
            <w:pPr>
              <w:widowControl w:val="0"/>
              <w:spacing w:before="40" w:after="40" w:line="276" w:lineRule="auto"/>
              <w:rPr>
                <w:rFonts w:asciiTheme="minorHAnsi" w:hAnsiTheme="minorHAnsi"/>
                <w:b/>
                <w:sz w:val="22"/>
                <w:szCs w:val="22"/>
              </w:rPr>
            </w:pPr>
            <w:r w:rsidRPr="00643AFA">
              <w:rPr>
                <w:rFonts w:asciiTheme="minorHAnsi" w:hAnsiTheme="minorHAnsi"/>
                <w:b/>
                <w:sz w:val="22"/>
                <w:szCs w:val="22"/>
              </w:rPr>
              <w:t>Health Inequities</w:t>
            </w:r>
          </w:p>
          <w:p w14:paraId="321A19B8" w14:textId="77777777" w:rsidR="00B10AAF" w:rsidRPr="00643AFA" w:rsidRDefault="00B10AAF" w:rsidP="001B3A73">
            <w:pPr>
              <w:widowControl w:val="0"/>
              <w:spacing w:before="40" w:after="40" w:line="276" w:lineRule="auto"/>
              <w:rPr>
                <w:rFonts w:asciiTheme="minorHAnsi" w:hAnsiTheme="minorHAnsi"/>
                <w:sz w:val="22"/>
                <w:szCs w:val="22"/>
              </w:rPr>
            </w:pPr>
            <w:r w:rsidRPr="00EC4559">
              <w:rPr>
                <w:rFonts w:asciiTheme="majorHAnsi" w:hAnsiTheme="majorHAnsi"/>
                <w:szCs w:val="22"/>
              </w:rPr>
              <w:t>Differences in health status and mortality rates across population groups that are systemic, avoidable, unfair, and unjust. These differences are rooted in social and economic injustice, and are attributable to social, economic and environmental conditions in which people live, work, and play.</w:t>
            </w:r>
          </w:p>
        </w:tc>
      </w:tr>
    </w:tbl>
    <w:p w14:paraId="3B666186" w14:textId="77777777" w:rsidR="00B10AAF" w:rsidRPr="00643AFA" w:rsidRDefault="00B10AAF" w:rsidP="00B10AAF">
      <w:pPr>
        <w:widowControl w:val="0"/>
        <w:spacing w:before="40" w:after="40" w:line="276" w:lineRule="auto"/>
        <w:rPr>
          <w:rFonts w:asciiTheme="minorHAnsi" w:hAnsiTheme="minorHAnsi"/>
          <w:sz w:val="22"/>
          <w:szCs w:val="22"/>
        </w:rPr>
      </w:pPr>
    </w:p>
    <w:tbl>
      <w:tblPr>
        <w:tblStyle w:val="TableGrid"/>
        <w:tblW w:w="9450" w:type="dxa"/>
        <w:tblLook w:val="04A0" w:firstRow="1" w:lastRow="0" w:firstColumn="1" w:lastColumn="0" w:noHBand="0" w:noVBand="1"/>
      </w:tblPr>
      <w:tblGrid>
        <w:gridCol w:w="222"/>
        <w:gridCol w:w="9228"/>
      </w:tblGrid>
      <w:tr w:rsidR="00B10AAF" w:rsidRPr="00643AFA" w14:paraId="4A2D1F3A" w14:textId="77777777" w:rsidTr="00590EA0">
        <w:trPr>
          <w:trHeight w:val="583"/>
        </w:trPr>
        <w:tc>
          <w:tcPr>
            <w:tcW w:w="210" w:type="dxa"/>
            <w:tcBorders>
              <w:top w:val="nil"/>
              <w:left w:val="nil"/>
              <w:bottom w:val="nil"/>
              <w:right w:val="nil"/>
            </w:tcBorders>
            <w:shd w:val="clear" w:color="auto" w:fill="ED7D31" w:themeFill="accent2"/>
          </w:tcPr>
          <w:p w14:paraId="61B81497"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40" w:type="dxa"/>
            <w:tcBorders>
              <w:top w:val="nil"/>
              <w:left w:val="nil"/>
              <w:bottom w:val="nil"/>
              <w:right w:val="nil"/>
            </w:tcBorders>
            <w:shd w:val="clear" w:color="auto" w:fill="F2F2F2" w:themeFill="background1" w:themeFillShade="F2"/>
          </w:tcPr>
          <w:p w14:paraId="6DFAC68F" w14:textId="77777777" w:rsidR="00B10AAF" w:rsidRPr="00643AFA" w:rsidRDefault="00B10AAF" w:rsidP="001B3A73">
            <w:pPr>
              <w:widowControl w:val="0"/>
              <w:spacing w:before="40" w:after="40" w:line="276" w:lineRule="auto"/>
              <w:rPr>
                <w:rFonts w:asciiTheme="minorHAnsi" w:hAnsiTheme="minorHAnsi"/>
                <w:b/>
                <w:sz w:val="22"/>
                <w:szCs w:val="22"/>
              </w:rPr>
            </w:pPr>
            <w:r w:rsidRPr="00643AFA">
              <w:rPr>
                <w:rFonts w:asciiTheme="minorHAnsi" w:hAnsiTheme="minorHAnsi"/>
                <w:b/>
                <w:sz w:val="22"/>
                <w:szCs w:val="22"/>
              </w:rPr>
              <w:t>Structural Racism</w:t>
            </w:r>
          </w:p>
          <w:p w14:paraId="48A056C2" w14:textId="77777777" w:rsidR="00B10AAF" w:rsidRPr="00643AFA" w:rsidRDefault="00B10AAF" w:rsidP="001B3A73">
            <w:pPr>
              <w:widowControl w:val="0"/>
              <w:spacing w:before="40" w:after="40" w:line="276" w:lineRule="auto"/>
              <w:rPr>
                <w:rFonts w:asciiTheme="minorHAnsi" w:eastAsia="Helvetica Neue" w:hAnsiTheme="minorHAnsi" w:cs="Helvetica Neue"/>
                <w:sz w:val="22"/>
                <w:szCs w:val="22"/>
              </w:rPr>
            </w:pPr>
            <w:r w:rsidRPr="00EC4559">
              <w:rPr>
                <w:rFonts w:asciiTheme="majorHAnsi" w:hAnsiTheme="majorHAnsi"/>
                <w:szCs w:val="22"/>
              </w:rPr>
              <w:t>A system of advantage based on a socially constructed concept of race and skin color, created to justify and sustain a social, political, and economic hierarchy. Structural racism describes oppression and discrimination on the societal level and explains the harms of racism without blaming individuals.</w:t>
            </w:r>
            <w:r w:rsidRPr="00643AFA">
              <w:rPr>
                <w:rFonts w:asciiTheme="minorHAnsi" w:hAnsiTheme="minorHAnsi"/>
                <w:sz w:val="22"/>
                <w:szCs w:val="22"/>
              </w:rPr>
              <w:t xml:space="preserve"> </w:t>
            </w:r>
            <w:r>
              <w:rPr>
                <w:rFonts w:asciiTheme="minorHAnsi" w:hAnsiTheme="minorHAnsi"/>
                <w:sz w:val="22"/>
                <w:szCs w:val="22"/>
              </w:rPr>
              <w:t xml:space="preserve"> </w:t>
            </w:r>
          </w:p>
        </w:tc>
      </w:tr>
    </w:tbl>
    <w:p w14:paraId="4013CA3D" w14:textId="77777777" w:rsidR="00B10AAF" w:rsidRPr="00643AFA" w:rsidRDefault="00B10AAF" w:rsidP="00B10AAF">
      <w:pPr>
        <w:widowControl w:val="0"/>
        <w:spacing w:before="40" w:after="40" w:line="276" w:lineRule="auto"/>
        <w:rPr>
          <w:rFonts w:asciiTheme="minorHAnsi" w:hAnsiTheme="minorHAnsi"/>
          <w:sz w:val="22"/>
          <w:szCs w:val="22"/>
        </w:rPr>
      </w:pPr>
    </w:p>
    <w:tbl>
      <w:tblPr>
        <w:tblStyle w:val="TableGrid"/>
        <w:tblW w:w="9463" w:type="dxa"/>
        <w:tblLook w:val="04A0" w:firstRow="1" w:lastRow="0" w:firstColumn="1" w:lastColumn="0" w:noHBand="0" w:noVBand="1"/>
      </w:tblPr>
      <w:tblGrid>
        <w:gridCol w:w="222"/>
        <w:gridCol w:w="9241"/>
      </w:tblGrid>
      <w:tr w:rsidR="00B10AAF" w:rsidRPr="00643AFA" w14:paraId="2D2EEFD7" w14:textId="77777777" w:rsidTr="00590EA0">
        <w:trPr>
          <w:trHeight w:val="513"/>
        </w:trPr>
        <w:tc>
          <w:tcPr>
            <w:tcW w:w="210" w:type="dxa"/>
            <w:tcBorders>
              <w:top w:val="nil"/>
              <w:left w:val="nil"/>
              <w:bottom w:val="nil"/>
              <w:right w:val="nil"/>
            </w:tcBorders>
            <w:shd w:val="clear" w:color="auto" w:fill="ED7D31" w:themeFill="accent2"/>
          </w:tcPr>
          <w:p w14:paraId="52425BA7" w14:textId="77777777" w:rsidR="00B10AAF" w:rsidRPr="00643AFA" w:rsidRDefault="00B10AAF" w:rsidP="001B3A73">
            <w:pPr>
              <w:widowControl w:val="0"/>
              <w:spacing w:before="40" w:after="40" w:line="276" w:lineRule="auto"/>
              <w:rPr>
                <w:rFonts w:asciiTheme="minorHAnsi" w:hAnsiTheme="minorHAnsi"/>
                <w:sz w:val="22"/>
                <w:szCs w:val="22"/>
              </w:rPr>
            </w:pPr>
          </w:p>
        </w:tc>
        <w:tc>
          <w:tcPr>
            <w:tcW w:w="9253" w:type="dxa"/>
            <w:tcBorders>
              <w:top w:val="nil"/>
              <w:left w:val="nil"/>
              <w:bottom w:val="nil"/>
              <w:right w:val="nil"/>
            </w:tcBorders>
            <w:shd w:val="clear" w:color="auto" w:fill="F2F2F2" w:themeFill="background1" w:themeFillShade="F2"/>
          </w:tcPr>
          <w:p w14:paraId="56C2F92C" w14:textId="77777777" w:rsidR="00B10AAF" w:rsidRPr="00643AFA" w:rsidRDefault="00B10AAF" w:rsidP="001B3A73">
            <w:pPr>
              <w:widowControl w:val="0"/>
              <w:spacing w:before="40" w:after="40" w:line="276" w:lineRule="auto"/>
              <w:rPr>
                <w:rFonts w:asciiTheme="minorHAnsi" w:hAnsiTheme="minorHAnsi"/>
                <w:b/>
                <w:sz w:val="22"/>
                <w:szCs w:val="22"/>
              </w:rPr>
            </w:pPr>
            <w:r w:rsidRPr="00643AFA">
              <w:rPr>
                <w:rFonts w:asciiTheme="minorHAnsi" w:hAnsiTheme="minorHAnsi"/>
                <w:b/>
                <w:sz w:val="22"/>
                <w:szCs w:val="22"/>
              </w:rPr>
              <w:t>Social Determinants of Health</w:t>
            </w:r>
            <w:r>
              <w:rPr>
                <w:rFonts w:asciiTheme="minorHAnsi" w:hAnsiTheme="minorHAnsi"/>
                <w:b/>
                <w:sz w:val="22"/>
                <w:szCs w:val="22"/>
              </w:rPr>
              <w:t xml:space="preserve"> (SDOH)</w:t>
            </w:r>
          </w:p>
          <w:p w14:paraId="10DDEF38" w14:textId="77777777" w:rsidR="00B10AAF" w:rsidRPr="00643AFA" w:rsidRDefault="00B10AAF" w:rsidP="001B3A73">
            <w:pPr>
              <w:widowControl w:val="0"/>
              <w:spacing w:before="40" w:after="40" w:line="276" w:lineRule="auto"/>
              <w:rPr>
                <w:rFonts w:asciiTheme="minorHAnsi" w:eastAsia="Helvetica Neue" w:hAnsiTheme="minorHAnsi" w:cs="Helvetica Neue"/>
                <w:sz w:val="22"/>
                <w:szCs w:val="22"/>
              </w:rPr>
            </w:pPr>
            <w:r w:rsidRPr="00EC4559">
              <w:rPr>
                <w:rFonts w:asciiTheme="majorHAnsi" w:hAnsiTheme="majorHAnsi"/>
                <w:szCs w:val="22"/>
              </w:rPr>
              <w:t>The circumstances in which people are born, grow, live, work, play, and age that influence access to resources and opportunities that promote and support health. The social determinants of health include housing, education, employment, environmental exposure, health care, public safety, food access, income, and health and social services. In this report, SDOH are described as social, environmental, and economic conditions.</w:t>
            </w:r>
          </w:p>
        </w:tc>
      </w:tr>
    </w:tbl>
    <w:p w14:paraId="7CB3E34B" w14:textId="77777777" w:rsidR="00B10AAF" w:rsidRDefault="00B10AAF" w:rsidP="00B10AAF">
      <w:pPr>
        <w:widowControl w:val="0"/>
        <w:tabs>
          <w:tab w:val="left" w:pos="7944"/>
        </w:tabs>
        <w:spacing w:before="40" w:after="40" w:line="276" w:lineRule="auto"/>
        <w:rPr>
          <w:rFonts w:asciiTheme="minorHAnsi" w:hAnsiTheme="minorHAnsi"/>
          <w:sz w:val="22"/>
          <w:szCs w:val="22"/>
        </w:rPr>
      </w:pPr>
      <w:r>
        <w:rPr>
          <w:rFonts w:asciiTheme="minorHAnsi" w:hAnsiTheme="minorHAnsi"/>
          <w:sz w:val="22"/>
          <w:szCs w:val="22"/>
        </w:rPr>
        <w:tab/>
      </w:r>
    </w:p>
    <w:p w14:paraId="1C23AC6F" w14:textId="77777777" w:rsidR="00B10AAF" w:rsidRPr="00031A0F" w:rsidRDefault="00B10AAF" w:rsidP="00B10AAF">
      <w:pPr>
        <w:spacing w:after="200"/>
        <w:ind w:right="-360"/>
        <w:jc w:val="center"/>
        <w:rPr>
          <w:rFonts w:asciiTheme="majorHAnsi" w:eastAsia="Helvetica Neue" w:hAnsiTheme="majorHAnsi" w:cs="Helvetica Neue"/>
          <w:b/>
          <w:i/>
          <w:sz w:val="16"/>
          <w:szCs w:val="16"/>
        </w:rPr>
      </w:pPr>
      <w:r w:rsidRPr="00031A0F">
        <w:rPr>
          <w:rFonts w:asciiTheme="majorHAnsi" w:hAnsiTheme="majorHAnsi"/>
          <w:i/>
          <w:sz w:val="16"/>
          <w:szCs w:val="16"/>
        </w:rPr>
        <w:t xml:space="preserve">Definitions adapted from the </w:t>
      </w:r>
      <w:r w:rsidRPr="00031A0F">
        <w:rPr>
          <w:rFonts w:asciiTheme="majorHAnsi" w:eastAsia="Helvetica Neue" w:hAnsiTheme="majorHAnsi" w:cs="Helvetica Neue"/>
          <w:b/>
          <w:i/>
          <w:sz w:val="16"/>
          <w:szCs w:val="16"/>
        </w:rPr>
        <w:t xml:space="preserve">Living Glossary for Racial Justice, Equity &amp; Inclusion </w:t>
      </w:r>
      <w:r w:rsidRPr="008F6B4F">
        <w:rPr>
          <w:rFonts w:asciiTheme="majorHAnsi" w:eastAsia="Helvetica Neue" w:hAnsiTheme="majorHAnsi" w:cs="Helvetica Neue"/>
          <w:i/>
          <w:sz w:val="16"/>
          <w:szCs w:val="16"/>
        </w:rPr>
        <w:t>compiled by</w:t>
      </w:r>
      <w:r w:rsidRPr="00031A0F">
        <w:rPr>
          <w:rFonts w:asciiTheme="majorHAnsi" w:eastAsia="Helvetica Neue" w:hAnsiTheme="majorHAnsi" w:cs="Helvetica Neue"/>
          <w:b/>
          <w:i/>
          <w:sz w:val="16"/>
          <w:szCs w:val="16"/>
        </w:rPr>
        <w:t xml:space="preserve"> Southern Jamaica Plain Health Center and Racial Reconciliation and Healing</w:t>
      </w:r>
    </w:p>
    <w:p w14:paraId="5E1D1D22" w14:textId="792528D2" w:rsidR="00B10AAF" w:rsidRDefault="00B10AAF">
      <w:pPr>
        <w:rPr>
          <w:sz w:val="28"/>
          <w:szCs w:val="28"/>
        </w:rPr>
      </w:pPr>
    </w:p>
    <w:p w14:paraId="43C9A511" w14:textId="77777777" w:rsidR="00590EA0" w:rsidRPr="00666794" w:rsidRDefault="00590EA0" w:rsidP="00590EA0">
      <w:pPr>
        <w:pStyle w:val="Heading1"/>
        <w:pBdr>
          <w:bottom w:val="single" w:sz="12" w:space="1" w:color="auto"/>
        </w:pBdr>
        <w:rPr>
          <w:sz w:val="40"/>
        </w:rPr>
      </w:pPr>
      <w:r w:rsidRPr="00666794">
        <w:rPr>
          <w:sz w:val="40"/>
        </w:rPr>
        <w:lastRenderedPageBreak/>
        <w:t>In</w:t>
      </w:r>
      <w:r>
        <w:rPr>
          <w:sz w:val="40"/>
        </w:rPr>
        <w:t>troduction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2"/>
      </w:tblGrid>
      <w:tr w:rsidR="00590EA0" w14:paraId="6DF26ED8" w14:textId="77777777" w:rsidTr="001B3A73">
        <w:trPr>
          <w:trHeight w:val="720"/>
        </w:trPr>
        <w:tc>
          <w:tcPr>
            <w:tcW w:w="10800" w:type="dxa"/>
            <w:shd w:val="clear" w:color="auto" w:fill="44546A" w:themeFill="text2"/>
          </w:tcPr>
          <w:p w14:paraId="29CE6481" w14:textId="77777777" w:rsidR="00590EA0" w:rsidRPr="00582488" w:rsidRDefault="00590EA0" w:rsidP="001B3A73">
            <w:pPr>
              <w:pStyle w:val="Subtitle"/>
              <w:jc w:val="center"/>
              <w:rPr>
                <w:color w:val="D9E2F3" w:themeColor="accent1" w:themeTint="33"/>
                <w:sz w:val="28"/>
              </w:rPr>
            </w:pPr>
            <w:r w:rsidRPr="00582488">
              <w:rPr>
                <w:color w:val="D9E2F3" w:themeColor="accent1" w:themeTint="33"/>
                <w:sz w:val="32"/>
              </w:rPr>
              <w:t>Smoking remains the leading cause of preventable death and disease in Massachusetts.</w:t>
            </w:r>
          </w:p>
        </w:tc>
      </w:tr>
    </w:tbl>
    <w:p w14:paraId="44FE9CA8" w14:textId="77777777" w:rsidR="00590EA0" w:rsidRDefault="00590EA0" w:rsidP="00590EA0">
      <w:pPr>
        <w:spacing w:line="276" w:lineRule="auto"/>
        <w:rPr>
          <w:rFonts w:asciiTheme="minorHAnsi" w:hAnsiTheme="minorHAnsi"/>
          <w:sz w:val="22"/>
          <w:szCs w:val="22"/>
        </w:rPr>
      </w:pPr>
    </w:p>
    <w:p w14:paraId="2A0576F7" w14:textId="254EEBE8" w:rsidR="00930198" w:rsidRDefault="00590EA0" w:rsidP="00590EA0">
      <w:pPr>
        <w:spacing w:line="276" w:lineRule="auto"/>
        <w:rPr>
          <w:rFonts w:asciiTheme="majorHAnsi" w:hAnsiTheme="majorHAnsi"/>
          <w:sz w:val="21"/>
          <w:szCs w:val="21"/>
        </w:rPr>
      </w:pPr>
      <w:r w:rsidRPr="00590EA0">
        <w:rPr>
          <w:rFonts w:asciiTheme="majorHAnsi" w:hAnsiTheme="majorHAnsi"/>
          <w:sz w:val="21"/>
          <w:szCs w:val="21"/>
        </w:rPr>
        <w:t>Smoking remains the leading cause of preventable death and disease in the United States, with nearly 500,000 Americans dying prematurely each year due to smoking.</w:t>
      </w:r>
      <w:r>
        <w:rPr>
          <w:rFonts w:asciiTheme="majorHAnsi" w:hAnsiTheme="majorHAnsi"/>
          <w:sz w:val="21"/>
          <w:szCs w:val="21"/>
        </w:rPr>
        <w:t xml:space="preserve"> </w:t>
      </w:r>
      <w:r w:rsidRPr="00590EA0">
        <w:rPr>
          <w:rFonts w:asciiTheme="majorHAnsi" w:hAnsiTheme="majorHAnsi"/>
          <w:sz w:val="21"/>
          <w:szCs w:val="21"/>
        </w:rPr>
        <w:t xml:space="preserve"> Smoking affects nearly every organ in the body and is associated with multiple preventable chronic diseases including coronary heart disease, stroke, type 2 diabetes, chronic obstructive pulmonary disease, asthma, and numerous types of cancer.</w:t>
      </w:r>
      <w:r w:rsidR="00C6380B">
        <w:rPr>
          <w:rStyle w:val="EndnoteReference"/>
          <w:rFonts w:asciiTheme="majorHAnsi" w:hAnsiTheme="majorHAnsi"/>
          <w:sz w:val="21"/>
          <w:szCs w:val="21"/>
        </w:rPr>
        <w:endnoteReference w:id="1"/>
      </w:r>
      <w:r w:rsidRPr="00590EA0">
        <w:rPr>
          <w:rFonts w:asciiTheme="majorHAnsi" w:hAnsiTheme="majorHAnsi"/>
          <w:sz w:val="21"/>
          <w:szCs w:val="21"/>
        </w:rPr>
        <w:t xml:space="preserve"> Nicotine is addictive and has the potential to severely compromise the long-term health of the brain, particularly for individuals under the age of 26 for whom the brain is still developing.</w:t>
      </w:r>
      <w:r w:rsidR="00C6380B">
        <w:rPr>
          <w:rStyle w:val="EndnoteReference"/>
          <w:rFonts w:asciiTheme="majorHAnsi" w:hAnsiTheme="majorHAnsi"/>
          <w:sz w:val="21"/>
          <w:szCs w:val="21"/>
        </w:rPr>
        <w:endnoteReference w:id="2"/>
      </w:r>
      <w:r w:rsidRPr="00590EA0">
        <w:rPr>
          <w:rFonts w:asciiTheme="majorHAnsi" w:hAnsiTheme="majorHAnsi"/>
          <w:sz w:val="21"/>
          <w:szCs w:val="21"/>
        </w:rPr>
        <w:t xml:space="preserve"> </w:t>
      </w:r>
    </w:p>
    <w:p w14:paraId="3FA24B2D" w14:textId="77777777" w:rsidR="00930198" w:rsidRDefault="00930198" w:rsidP="00590EA0">
      <w:pPr>
        <w:spacing w:line="276" w:lineRule="auto"/>
        <w:rPr>
          <w:rFonts w:asciiTheme="majorHAnsi" w:hAnsiTheme="majorHAnsi"/>
          <w:sz w:val="21"/>
          <w:szCs w:val="21"/>
        </w:rPr>
      </w:pPr>
    </w:p>
    <w:p w14:paraId="422B59EC" w14:textId="475C360C" w:rsidR="00930198" w:rsidRDefault="00590EA0" w:rsidP="00590EA0">
      <w:pPr>
        <w:spacing w:line="276" w:lineRule="auto"/>
        <w:rPr>
          <w:rFonts w:asciiTheme="majorHAnsi" w:hAnsiTheme="majorHAnsi"/>
          <w:sz w:val="21"/>
          <w:szCs w:val="21"/>
        </w:rPr>
      </w:pPr>
      <w:r w:rsidRPr="00590EA0">
        <w:rPr>
          <w:rFonts w:asciiTheme="majorHAnsi" w:hAnsiTheme="majorHAnsi"/>
          <w:sz w:val="21"/>
          <w:szCs w:val="21"/>
        </w:rPr>
        <w:t>In Massachusetts, the total medical cost incurred from smoking is more than $4 billion annually. More than $1.26 billion is incurred by Medicaid alone as a result of the high proportion of smokers covered by MassHealth insurance. This amount does not include health costs caused by exposure to secondhand smoke, smoking-caused fires, and use of other tobacco products such as smokeless tobacco, cigars, and pipe tobacco.</w:t>
      </w:r>
      <w:r w:rsidR="00D81D9D">
        <w:rPr>
          <w:rStyle w:val="EndnoteReference"/>
          <w:rFonts w:asciiTheme="majorHAnsi" w:hAnsiTheme="majorHAnsi"/>
          <w:sz w:val="21"/>
          <w:szCs w:val="21"/>
        </w:rPr>
        <w:endnoteReference w:id="3"/>
      </w:r>
      <w:r w:rsidR="00D81D9D">
        <w:rPr>
          <w:rFonts w:asciiTheme="majorHAnsi" w:hAnsiTheme="majorHAnsi"/>
          <w:sz w:val="21"/>
          <w:szCs w:val="21"/>
          <w:vertAlign w:val="superscript"/>
        </w:rPr>
        <w:t>,</w:t>
      </w:r>
      <w:r w:rsidR="00D81D9D">
        <w:rPr>
          <w:rStyle w:val="EndnoteReference"/>
          <w:rFonts w:asciiTheme="majorHAnsi" w:hAnsiTheme="majorHAnsi"/>
          <w:sz w:val="21"/>
          <w:szCs w:val="21"/>
        </w:rPr>
        <w:endnoteReference w:id="4"/>
      </w:r>
    </w:p>
    <w:p w14:paraId="601636BF" w14:textId="77777777" w:rsidR="00930198" w:rsidRDefault="00930198" w:rsidP="00590EA0">
      <w:pPr>
        <w:spacing w:line="276" w:lineRule="auto"/>
        <w:rPr>
          <w:rFonts w:asciiTheme="majorHAnsi" w:hAnsiTheme="majorHAnsi"/>
          <w:sz w:val="21"/>
          <w:szCs w:val="21"/>
        </w:rPr>
      </w:pPr>
    </w:p>
    <w:p w14:paraId="4D1320F8" w14:textId="77777777" w:rsidR="00930198" w:rsidRDefault="00590EA0" w:rsidP="00590EA0">
      <w:pPr>
        <w:spacing w:line="276" w:lineRule="auto"/>
        <w:rPr>
          <w:rFonts w:asciiTheme="majorHAnsi" w:hAnsiTheme="majorHAnsi"/>
          <w:sz w:val="21"/>
          <w:szCs w:val="21"/>
        </w:rPr>
      </w:pPr>
      <w:r w:rsidRPr="00590EA0">
        <w:rPr>
          <w:rFonts w:asciiTheme="majorHAnsi" w:hAnsiTheme="majorHAnsi"/>
          <w:sz w:val="21"/>
          <w:szCs w:val="21"/>
        </w:rPr>
        <w:t xml:space="preserve">Significant gaps in the prevalence of smoking and quitting exist among different populations. Higher smoking rates, lower quit rates, and/or higher rates of tobacco-related health outcomes are reported more for the following groups of people than the Massachusetts overall population: </w:t>
      </w:r>
    </w:p>
    <w:p w14:paraId="6C6C7D51" w14:textId="77777777" w:rsidR="00930198" w:rsidRPr="00930198" w:rsidRDefault="00930198" w:rsidP="00930198">
      <w:pPr>
        <w:pStyle w:val="ListParagraph"/>
        <w:numPr>
          <w:ilvl w:val="0"/>
          <w:numId w:val="3"/>
        </w:numPr>
        <w:spacing w:line="276" w:lineRule="auto"/>
        <w:rPr>
          <w:rFonts w:asciiTheme="majorHAnsi" w:hAnsiTheme="majorHAnsi"/>
          <w:sz w:val="21"/>
          <w:szCs w:val="21"/>
        </w:rPr>
      </w:pPr>
      <w:r w:rsidRPr="00930198">
        <w:rPr>
          <w:rFonts w:asciiTheme="majorHAnsi" w:hAnsiTheme="majorHAnsi"/>
          <w:sz w:val="21"/>
          <w:szCs w:val="21"/>
        </w:rPr>
        <w:t>Black non-Hispanics and Hispanics</w:t>
      </w:r>
    </w:p>
    <w:p w14:paraId="19108F2E" w14:textId="77777777" w:rsidR="00930198" w:rsidRPr="00930198" w:rsidRDefault="00930198" w:rsidP="00930198">
      <w:pPr>
        <w:pStyle w:val="ListParagraph"/>
        <w:numPr>
          <w:ilvl w:val="0"/>
          <w:numId w:val="3"/>
        </w:numPr>
        <w:spacing w:line="276" w:lineRule="auto"/>
        <w:rPr>
          <w:rFonts w:asciiTheme="majorHAnsi" w:hAnsiTheme="majorHAnsi"/>
          <w:sz w:val="21"/>
          <w:szCs w:val="21"/>
        </w:rPr>
      </w:pPr>
      <w:r w:rsidRPr="00930198">
        <w:rPr>
          <w:rFonts w:asciiTheme="majorHAnsi" w:hAnsiTheme="majorHAnsi"/>
          <w:sz w:val="21"/>
          <w:szCs w:val="21"/>
        </w:rPr>
        <w:t>Individuals that have MassHealth insurance</w:t>
      </w:r>
    </w:p>
    <w:p w14:paraId="2B5189D7" w14:textId="77777777" w:rsidR="00930198" w:rsidRPr="00930198" w:rsidRDefault="00930198" w:rsidP="00930198">
      <w:pPr>
        <w:pStyle w:val="ListParagraph"/>
        <w:numPr>
          <w:ilvl w:val="0"/>
          <w:numId w:val="3"/>
        </w:numPr>
        <w:spacing w:line="276" w:lineRule="auto"/>
        <w:rPr>
          <w:rFonts w:asciiTheme="majorHAnsi" w:hAnsiTheme="majorHAnsi"/>
          <w:sz w:val="21"/>
          <w:szCs w:val="21"/>
        </w:rPr>
      </w:pPr>
      <w:r w:rsidRPr="00930198">
        <w:rPr>
          <w:rFonts w:asciiTheme="majorHAnsi" w:hAnsiTheme="majorHAnsi"/>
          <w:sz w:val="21"/>
          <w:szCs w:val="21"/>
        </w:rPr>
        <w:t>Individuals with lower income</w:t>
      </w:r>
    </w:p>
    <w:p w14:paraId="7221C46F" w14:textId="77777777" w:rsidR="00930198" w:rsidRPr="00930198" w:rsidRDefault="00930198" w:rsidP="00930198">
      <w:pPr>
        <w:pStyle w:val="ListParagraph"/>
        <w:numPr>
          <w:ilvl w:val="0"/>
          <w:numId w:val="3"/>
        </w:numPr>
        <w:spacing w:line="276" w:lineRule="auto"/>
        <w:rPr>
          <w:rFonts w:asciiTheme="majorHAnsi" w:hAnsiTheme="majorHAnsi"/>
          <w:sz w:val="21"/>
          <w:szCs w:val="21"/>
        </w:rPr>
      </w:pPr>
      <w:r w:rsidRPr="00930198">
        <w:rPr>
          <w:rFonts w:asciiTheme="majorHAnsi" w:hAnsiTheme="majorHAnsi"/>
          <w:sz w:val="21"/>
          <w:szCs w:val="21"/>
        </w:rPr>
        <w:t>Individuals with less than a high school education</w:t>
      </w:r>
    </w:p>
    <w:p w14:paraId="1479D388" w14:textId="77777777" w:rsidR="00930198" w:rsidRPr="00930198" w:rsidRDefault="00930198" w:rsidP="00930198">
      <w:pPr>
        <w:pStyle w:val="ListParagraph"/>
        <w:numPr>
          <w:ilvl w:val="0"/>
          <w:numId w:val="3"/>
        </w:numPr>
        <w:spacing w:line="276" w:lineRule="auto"/>
        <w:rPr>
          <w:rFonts w:asciiTheme="majorHAnsi" w:hAnsiTheme="majorHAnsi"/>
          <w:sz w:val="21"/>
          <w:szCs w:val="21"/>
        </w:rPr>
      </w:pPr>
      <w:r w:rsidRPr="00930198">
        <w:rPr>
          <w:rFonts w:asciiTheme="majorHAnsi" w:hAnsiTheme="majorHAnsi"/>
          <w:sz w:val="21"/>
          <w:szCs w:val="21"/>
        </w:rPr>
        <w:t>Persons with disabilities</w:t>
      </w:r>
    </w:p>
    <w:p w14:paraId="20B4CFF7" w14:textId="77777777" w:rsidR="00930198" w:rsidRPr="00930198" w:rsidRDefault="00930198" w:rsidP="00930198">
      <w:pPr>
        <w:pStyle w:val="ListParagraph"/>
        <w:numPr>
          <w:ilvl w:val="0"/>
          <w:numId w:val="3"/>
        </w:numPr>
        <w:spacing w:line="276" w:lineRule="auto"/>
        <w:rPr>
          <w:rFonts w:asciiTheme="majorHAnsi" w:hAnsiTheme="majorHAnsi"/>
          <w:sz w:val="21"/>
          <w:szCs w:val="21"/>
        </w:rPr>
      </w:pPr>
      <w:r w:rsidRPr="00930198">
        <w:rPr>
          <w:rFonts w:asciiTheme="majorHAnsi" w:hAnsiTheme="majorHAnsi"/>
          <w:sz w:val="21"/>
          <w:szCs w:val="21"/>
        </w:rPr>
        <w:t>Individuals experiencing poor mental health</w:t>
      </w:r>
    </w:p>
    <w:p w14:paraId="68994C93" w14:textId="2672FD5E" w:rsidR="00590EA0" w:rsidRDefault="00930198" w:rsidP="00930198">
      <w:pPr>
        <w:pStyle w:val="ListParagraph"/>
        <w:numPr>
          <w:ilvl w:val="0"/>
          <w:numId w:val="3"/>
        </w:numPr>
        <w:spacing w:line="276" w:lineRule="auto"/>
        <w:rPr>
          <w:rFonts w:asciiTheme="majorHAnsi" w:hAnsiTheme="majorHAnsi"/>
          <w:sz w:val="21"/>
          <w:szCs w:val="21"/>
        </w:rPr>
      </w:pPr>
      <w:r w:rsidRPr="00930198">
        <w:rPr>
          <w:rFonts w:asciiTheme="majorHAnsi" w:hAnsiTheme="majorHAnsi"/>
          <w:sz w:val="21"/>
          <w:szCs w:val="21"/>
        </w:rPr>
        <w:t>Individuals who identify as LGBTQ</w:t>
      </w:r>
      <w:r>
        <w:rPr>
          <w:rFonts w:asciiTheme="majorHAnsi" w:hAnsiTheme="majorHAnsi"/>
          <w:sz w:val="21"/>
          <w:szCs w:val="21"/>
        </w:rPr>
        <w:t>+</w:t>
      </w:r>
    </w:p>
    <w:p w14:paraId="7DD66F26" w14:textId="77777777" w:rsidR="00930198" w:rsidRPr="00930198" w:rsidRDefault="00930198" w:rsidP="00930198">
      <w:pPr>
        <w:pStyle w:val="ListParagraph"/>
        <w:spacing w:line="276" w:lineRule="auto"/>
        <w:rPr>
          <w:rFonts w:asciiTheme="majorHAnsi" w:hAnsiTheme="majorHAnsi"/>
          <w:sz w:val="21"/>
          <w:szCs w:val="21"/>
        </w:rPr>
      </w:pPr>
    </w:p>
    <w:p w14:paraId="335DF7A5" w14:textId="0E5EAF13" w:rsidR="00930198" w:rsidRDefault="00930198" w:rsidP="00590EA0">
      <w:pPr>
        <w:spacing w:line="276" w:lineRule="auto"/>
        <w:rPr>
          <w:rFonts w:asciiTheme="majorHAnsi" w:hAnsiTheme="majorHAnsi"/>
          <w:sz w:val="21"/>
          <w:szCs w:val="21"/>
        </w:rPr>
      </w:pPr>
      <w:r>
        <w:rPr>
          <w:rFonts w:asciiTheme="majorHAnsi" w:hAnsiTheme="majorHAnsi"/>
          <w:sz w:val="21"/>
          <w:szCs w:val="21"/>
        </w:rPr>
        <w:t>Social</w:t>
      </w:r>
      <w:r w:rsidRPr="00930198">
        <w:rPr>
          <w:rFonts w:asciiTheme="majorHAnsi" w:hAnsiTheme="majorHAnsi"/>
          <w:sz w:val="21"/>
          <w:szCs w:val="21"/>
        </w:rPr>
        <w:t>, environmental, and economic conditions of health such as education, employment, access to health care and quality of care, support from families and peers, and the built environment and housing impact health risk behaviors and long-term health outcomes. Differences in these conditions can make it more difficult for people to achieve healthy behaviors and good health. Historical policies that have perpetuated segregation and wealth inequities have led to inequities in many social, environmental, and economic conditions, such as greater tobacco retail density in neighborhoods of color, and decreased access to health insurance and quality health care among people of color.</w:t>
      </w:r>
    </w:p>
    <w:p w14:paraId="0452D38C" w14:textId="77777777" w:rsidR="00930198" w:rsidRDefault="00930198" w:rsidP="00590EA0">
      <w:pPr>
        <w:spacing w:line="276" w:lineRule="auto"/>
        <w:rPr>
          <w:rFonts w:asciiTheme="majorHAnsi" w:hAnsiTheme="majorHAnsi"/>
          <w:sz w:val="21"/>
          <w:szCs w:val="21"/>
        </w:rPr>
      </w:pPr>
    </w:p>
    <w:p w14:paraId="08934756" w14:textId="67927F72" w:rsidR="00590EA0" w:rsidRPr="00590EA0" w:rsidRDefault="00590EA0" w:rsidP="00590EA0">
      <w:pPr>
        <w:spacing w:line="276" w:lineRule="auto"/>
        <w:rPr>
          <w:rFonts w:asciiTheme="majorHAnsi" w:hAnsiTheme="majorHAnsi"/>
          <w:sz w:val="21"/>
          <w:szCs w:val="21"/>
        </w:rPr>
      </w:pPr>
      <w:r w:rsidRPr="00590EA0">
        <w:rPr>
          <w:rFonts w:asciiTheme="majorHAnsi" w:hAnsiTheme="majorHAnsi"/>
          <w:sz w:val="21"/>
          <w:szCs w:val="21"/>
        </w:rPr>
        <w:t xml:space="preserve">Over the past 20 years, Massachusetts has increased </w:t>
      </w:r>
      <w:r w:rsidR="00930198">
        <w:rPr>
          <w:rFonts w:asciiTheme="majorHAnsi" w:hAnsiTheme="majorHAnsi"/>
          <w:sz w:val="21"/>
          <w:szCs w:val="21"/>
        </w:rPr>
        <w:t xml:space="preserve">the </w:t>
      </w:r>
      <w:r w:rsidRPr="00590EA0">
        <w:rPr>
          <w:rFonts w:asciiTheme="majorHAnsi" w:hAnsiTheme="majorHAnsi"/>
          <w:sz w:val="21"/>
          <w:szCs w:val="21"/>
        </w:rPr>
        <w:t xml:space="preserve">passage of statewide and local tobacco control policies and protections that have reduced </w:t>
      </w:r>
      <w:r w:rsidR="00930198">
        <w:rPr>
          <w:rFonts w:asciiTheme="majorHAnsi" w:hAnsiTheme="majorHAnsi"/>
          <w:sz w:val="21"/>
          <w:szCs w:val="21"/>
        </w:rPr>
        <w:t xml:space="preserve">the </w:t>
      </w:r>
      <w:r w:rsidRPr="00590EA0">
        <w:rPr>
          <w:rFonts w:asciiTheme="majorHAnsi" w:hAnsiTheme="majorHAnsi"/>
          <w:sz w:val="21"/>
          <w:szCs w:val="21"/>
        </w:rPr>
        <w:t>availability of tobacco products and tobacco advertising and decreased smoke in the air. However, these protections are less likely to cover areas where people of color and other groups experiencing systemic discrimination live, work, and play, contributing to the inequities we continue to see in smoking rates, quitting rates, exposure to secondhand smoke, and smoking-attributable disease.</w:t>
      </w:r>
    </w:p>
    <w:p w14:paraId="60E8F8CB" w14:textId="356CA2CA" w:rsidR="00930198" w:rsidRPr="00666794" w:rsidRDefault="00930198" w:rsidP="00930198">
      <w:pPr>
        <w:pStyle w:val="Heading1"/>
        <w:pBdr>
          <w:bottom w:val="single" w:sz="12" w:space="1" w:color="auto"/>
        </w:pBdr>
        <w:rPr>
          <w:sz w:val="40"/>
        </w:rPr>
      </w:pPr>
      <w:r>
        <w:rPr>
          <w:sz w:val="40"/>
        </w:rPr>
        <w:lastRenderedPageBreak/>
        <w:t>Who Smokes and Why?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2"/>
      </w:tblGrid>
      <w:tr w:rsidR="00930198" w14:paraId="04559295" w14:textId="77777777" w:rsidTr="00F053F2">
        <w:trPr>
          <w:trHeight w:val="720"/>
        </w:trPr>
        <w:tc>
          <w:tcPr>
            <w:tcW w:w="10800" w:type="dxa"/>
            <w:shd w:val="clear" w:color="auto" w:fill="44546A" w:themeFill="text2"/>
          </w:tcPr>
          <w:p w14:paraId="649D5F15" w14:textId="2DBA2E7C" w:rsidR="00930198" w:rsidRPr="00930198" w:rsidRDefault="00930198" w:rsidP="00930198">
            <w:pPr>
              <w:pStyle w:val="Subtitle"/>
              <w:jc w:val="center"/>
              <w:rPr>
                <w:color w:val="D9E2F3" w:themeColor="accent1" w:themeTint="33"/>
                <w:sz w:val="32"/>
              </w:rPr>
            </w:pPr>
            <w:r w:rsidRPr="00930198">
              <w:rPr>
                <w:color w:val="D9E2F3" w:themeColor="accent1" w:themeTint="33"/>
                <w:sz w:val="32"/>
              </w:rPr>
              <w:t>Smoking is often shaped by a broad range of unequal social and environmental factors beyond</w:t>
            </w:r>
            <w:r>
              <w:rPr>
                <w:color w:val="D9E2F3" w:themeColor="accent1" w:themeTint="33"/>
                <w:sz w:val="32"/>
              </w:rPr>
              <w:t xml:space="preserve"> an</w:t>
            </w:r>
            <w:r w:rsidRPr="00930198">
              <w:rPr>
                <w:color w:val="D9E2F3" w:themeColor="accent1" w:themeTint="33"/>
                <w:sz w:val="32"/>
              </w:rPr>
              <w:t xml:space="preserve"> </w:t>
            </w:r>
            <w:r>
              <w:rPr>
                <w:color w:val="D9E2F3" w:themeColor="accent1" w:themeTint="33"/>
                <w:sz w:val="32"/>
              </w:rPr>
              <w:t xml:space="preserve">individual’s </w:t>
            </w:r>
            <w:r w:rsidRPr="00930198">
              <w:rPr>
                <w:color w:val="D9E2F3" w:themeColor="accent1" w:themeTint="33"/>
                <w:sz w:val="32"/>
              </w:rPr>
              <w:t>choice.</w:t>
            </w:r>
          </w:p>
        </w:tc>
      </w:tr>
    </w:tbl>
    <w:p w14:paraId="61E50B75" w14:textId="66C241EE" w:rsidR="00930198" w:rsidRDefault="00930198" w:rsidP="00930198">
      <w:pPr>
        <w:spacing w:line="276" w:lineRule="auto"/>
        <w:rPr>
          <w:rFonts w:asciiTheme="minorHAnsi" w:hAnsiTheme="minorHAnsi"/>
          <w:sz w:val="22"/>
          <w:szCs w:val="22"/>
        </w:rPr>
      </w:pPr>
    </w:p>
    <w:p w14:paraId="45683262" w14:textId="1F1D49B2" w:rsidR="00930198" w:rsidRPr="00930198" w:rsidRDefault="00930198" w:rsidP="00930198">
      <w:pPr>
        <w:pStyle w:val="Subtitle"/>
      </w:pPr>
      <w:r w:rsidRPr="005931C0">
        <w:t>Segregation and Tobacco Industry Targeting</w:t>
      </w:r>
    </w:p>
    <w:p w14:paraId="15247341" w14:textId="2908E47A" w:rsidR="00590EA0" w:rsidRPr="00930198" w:rsidRDefault="00930198" w:rsidP="00590EA0">
      <w:pPr>
        <w:spacing w:line="276" w:lineRule="auto"/>
        <w:rPr>
          <w:rFonts w:asciiTheme="majorHAnsi" w:hAnsiTheme="majorHAnsi"/>
          <w:sz w:val="21"/>
          <w:szCs w:val="21"/>
        </w:rPr>
      </w:pPr>
      <w:r w:rsidRPr="00930198">
        <w:rPr>
          <w:rFonts w:asciiTheme="majorHAnsi" w:hAnsiTheme="majorHAnsi"/>
          <w:sz w:val="21"/>
          <w:szCs w:val="21"/>
        </w:rPr>
        <w:t>Since the 19th century, state and federal governments engaged in systematic efforts to segregate people into distinct neighborhoods on the basis of race. These policies resulted in the systematic divestment of resources, such as education, employment, and health care, away from communities of color. Segregated neighborhoods have made it possible for tobacco companies to more easily target people of color, such as the marketing of menthol cigarettes to Black populations. Consequently, these conditions have led to disproportionate rates of smoking-attributable illness and mortality among these populations.</w:t>
      </w:r>
    </w:p>
    <w:p w14:paraId="71343A53" w14:textId="2096BBED" w:rsidR="00930198" w:rsidRPr="00FE6FD3" w:rsidRDefault="00930198" w:rsidP="00930198">
      <w:pPr>
        <w:spacing w:line="276" w:lineRule="auto"/>
        <w:rPr>
          <w:rFonts w:ascii="Tahoma" w:hAnsi="Tahoma" w:cs="Tahoma"/>
          <w:color w:val="FFFFFF" w:themeColor="background1"/>
          <w:sz w:val="22"/>
          <w:szCs w:val="22"/>
        </w:rPr>
      </w:pPr>
    </w:p>
    <w:p w14:paraId="09F047C8" w14:textId="4CF285E2" w:rsidR="00930198" w:rsidRPr="00930198" w:rsidRDefault="00930198" w:rsidP="00930198">
      <w:pPr>
        <w:pStyle w:val="Subtitle"/>
      </w:pPr>
      <w:r>
        <w:t>Current Cigarette Smoking Rates</w:t>
      </w:r>
    </w:p>
    <w:p w14:paraId="7CDB0F7F" w14:textId="7AEE768A" w:rsidR="00930198" w:rsidRPr="00930198" w:rsidRDefault="00930198" w:rsidP="00930198">
      <w:pPr>
        <w:spacing w:line="276" w:lineRule="auto"/>
        <w:rPr>
          <w:rFonts w:asciiTheme="majorHAnsi" w:hAnsiTheme="majorHAnsi"/>
          <w:sz w:val="21"/>
          <w:szCs w:val="21"/>
        </w:rPr>
      </w:pPr>
      <w:r>
        <w:rPr>
          <w:rFonts w:asciiTheme="majorHAnsi" w:hAnsiTheme="majorHAnsi"/>
          <w:sz w:val="21"/>
          <w:szCs w:val="21"/>
        </w:rPr>
        <w:t>In 2019, 12% of Massachusetts adults (or an estimated 638,490 residents) were current smokers, a historic low.</w:t>
      </w:r>
    </w:p>
    <w:tbl>
      <w:tblPr>
        <w:tblStyle w:val="TableGrid"/>
        <w:tblW w:w="944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830"/>
      </w:tblGrid>
      <w:tr w:rsidR="00930198" w:rsidRPr="009702E8" w14:paraId="69D3EFBD" w14:textId="77777777" w:rsidTr="00930198">
        <w:trPr>
          <w:trHeight w:val="1511"/>
        </w:trPr>
        <w:tc>
          <w:tcPr>
            <w:tcW w:w="4618" w:type="dxa"/>
            <w:tcBorders>
              <w:top w:val="dashSmallGap" w:sz="4" w:space="0" w:color="44546A" w:themeColor="text2"/>
              <w:left w:val="dashSmallGap" w:sz="4" w:space="0" w:color="44546A" w:themeColor="text2"/>
              <w:bottom w:val="dashSmallGap" w:sz="4" w:space="0" w:color="44546A" w:themeColor="text2"/>
              <w:right w:val="dashSmallGap" w:sz="4" w:space="0" w:color="44546A" w:themeColor="text2"/>
            </w:tcBorders>
          </w:tcPr>
          <w:p w14:paraId="189E5B7C" w14:textId="77777777" w:rsidR="00930198" w:rsidRPr="00930198" w:rsidRDefault="00930198" w:rsidP="00F053F2">
            <w:pPr>
              <w:spacing w:line="276" w:lineRule="auto"/>
              <w:rPr>
                <w:rFonts w:asciiTheme="majorHAnsi" w:hAnsiTheme="majorHAnsi" w:cstheme="majorHAnsi"/>
                <w:b/>
                <w:color w:val="4472C4" w:themeColor="accent1"/>
                <w:sz w:val="21"/>
                <w:szCs w:val="21"/>
              </w:rPr>
            </w:pPr>
            <w:r w:rsidRPr="00930198">
              <w:rPr>
                <w:rFonts w:asciiTheme="majorHAnsi" w:hAnsiTheme="majorHAnsi" w:cstheme="majorHAnsi"/>
                <w:b/>
                <w:color w:val="4472C4" w:themeColor="accent1"/>
                <w:sz w:val="21"/>
                <w:szCs w:val="21"/>
              </w:rPr>
              <w:t>Gender</w:t>
            </w:r>
          </w:p>
          <w:p w14:paraId="0E285188" w14:textId="77777777" w:rsidR="00930198" w:rsidRPr="00930198" w:rsidRDefault="00930198" w:rsidP="00930198">
            <w:pPr>
              <w:pStyle w:val="ListParagraph"/>
              <w:numPr>
                <w:ilvl w:val="0"/>
                <w:numId w:val="5"/>
              </w:numPr>
              <w:rPr>
                <w:rFonts w:asciiTheme="majorHAnsi" w:hAnsiTheme="majorHAnsi" w:cstheme="majorHAnsi"/>
                <w:sz w:val="21"/>
                <w:szCs w:val="21"/>
              </w:rPr>
            </w:pPr>
            <w:r w:rsidRPr="00930198">
              <w:rPr>
                <w:rFonts w:asciiTheme="majorHAnsi" w:hAnsiTheme="majorHAnsi" w:cstheme="majorHAnsi"/>
                <w:sz w:val="21"/>
                <w:szCs w:val="21"/>
              </w:rPr>
              <w:t>14.5% (95% CI: 12.9%-16.1%) of men smoke.</w:t>
            </w:r>
          </w:p>
          <w:p w14:paraId="3BCC8BB3" w14:textId="77777777" w:rsidR="00930198" w:rsidRPr="00930198" w:rsidRDefault="00930198" w:rsidP="00930198">
            <w:pPr>
              <w:pStyle w:val="ListParagraph"/>
              <w:numPr>
                <w:ilvl w:val="0"/>
                <w:numId w:val="5"/>
              </w:numPr>
              <w:rPr>
                <w:rFonts w:asciiTheme="majorHAnsi" w:hAnsiTheme="majorHAnsi" w:cstheme="majorHAnsi"/>
                <w:sz w:val="21"/>
                <w:szCs w:val="21"/>
              </w:rPr>
            </w:pPr>
            <w:r w:rsidRPr="00930198">
              <w:rPr>
                <w:rFonts w:asciiTheme="majorHAnsi" w:hAnsiTheme="majorHAnsi" w:cstheme="majorHAnsi"/>
                <w:sz w:val="21"/>
                <w:szCs w:val="21"/>
              </w:rPr>
              <w:t>9.9% (95% CI: 8.6%-11.0%) of women smoke.</w:t>
            </w:r>
          </w:p>
        </w:tc>
        <w:tc>
          <w:tcPr>
            <w:tcW w:w="4830" w:type="dxa"/>
            <w:tcBorders>
              <w:top w:val="dashSmallGap" w:sz="4" w:space="0" w:color="44546A" w:themeColor="text2"/>
              <w:left w:val="dashSmallGap" w:sz="4" w:space="0" w:color="44546A" w:themeColor="text2"/>
              <w:bottom w:val="dashSmallGap" w:sz="4" w:space="0" w:color="44546A" w:themeColor="text2"/>
              <w:right w:val="dashSmallGap" w:sz="4" w:space="0" w:color="44546A" w:themeColor="text2"/>
            </w:tcBorders>
          </w:tcPr>
          <w:p w14:paraId="31181BD5" w14:textId="77777777" w:rsidR="00930198" w:rsidRPr="00930198" w:rsidRDefault="00930198" w:rsidP="00F053F2">
            <w:pPr>
              <w:spacing w:line="276" w:lineRule="auto"/>
              <w:rPr>
                <w:rFonts w:asciiTheme="majorHAnsi" w:hAnsiTheme="majorHAnsi" w:cstheme="majorHAnsi"/>
                <w:b/>
                <w:color w:val="4472C4" w:themeColor="accent1"/>
                <w:sz w:val="22"/>
                <w:szCs w:val="22"/>
              </w:rPr>
            </w:pPr>
            <w:r w:rsidRPr="00930198">
              <w:rPr>
                <w:rFonts w:asciiTheme="majorHAnsi" w:hAnsiTheme="majorHAnsi" w:cstheme="majorHAnsi"/>
                <w:b/>
                <w:color w:val="4472C4" w:themeColor="accent1"/>
                <w:sz w:val="22"/>
                <w:szCs w:val="22"/>
              </w:rPr>
              <w:t>Race/Ethnicity</w:t>
            </w:r>
          </w:p>
          <w:p w14:paraId="04F09100" w14:textId="77777777" w:rsidR="00930198" w:rsidRPr="00930198" w:rsidRDefault="00930198" w:rsidP="00930198">
            <w:pPr>
              <w:pStyle w:val="ListParagraph"/>
              <w:numPr>
                <w:ilvl w:val="0"/>
                <w:numId w:val="6"/>
              </w:numPr>
              <w:rPr>
                <w:rFonts w:asciiTheme="majorHAnsi" w:hAnsiTheme="majorHAnsi" w:cstheme="majorHAnsi"/>
                <w:sz w:val="21"/>
                <w:szCs w:val="21"/>
              </w:rPr>
            </w:pPr>
            <w:r w:rsidRPr="00930198">
              <w:rPr>
                <w:rFonts w:asciiTheme="majorHAnsi" w:hAnsiTheme="majorHAnsi" w:cstheme="majorHAnsi"/>
                <w:sz w:val="21"/>
                <w:szCs w:val="21"/>
              </w:rPr>
              <w:t>12.3% (95% CI: 11.2%-13.5%) of Whites smoke.</w:t>
            </w:r>
          </w:p>
          <w:p w14:paraId="1BF75F94" w14:textId="77777777" w:rsidR="00930198" w:rsidRPr="00930198" w:rsidRDefault="00930198" w:rsidP="00930198">
            <w:pPr>
              <w:pStyle w:val="ListParagraph"/>
              <w:numPr>
                <w:ilvl w:val="0"/>
                <w:numId w:val="6"/>
              </w:numPr>
              <w:rPr>
                <w:rFonts w:asciiTheme="majorHAnsi" w:hAnsiTheme="majorHAnsi" w:cstheme="majorHAnsi"/>
                <w:sz w:val="21"/>
                <w:szCs w:val="21"/>
              </w:rPr>
            </w:pPr>
            <w:r w:rsidRPr="00930198">
              <w:rPr>
                <w:rFonts w:asciiTheme="majorHAnsi" w:hAnsiTheme="majorHAnsi" w:cstheme="majorHAnsi"/>
                <w:sz w:val="21"/>
                <w:szCs w:val="21"/>
              </w:rPr>
              <w:t>14.4% (95% CI: 9.8%-19.0%) of Blacks smoke.</w:t>
            </w:r>
          </w:p>
          <w:p w14:paraId="7C1A7B8A" w14:textId="77777777" w:rsidR="00930198" w:rsidRPr="00930198" w:rsidRDefault="00930198" w:rsidP="00930198">
            <w:pPr>
              <w:pStyle w:val="ListParagraph"/>
              <w:numPr>
                <w:ilvl w:val="0"/>
                <w:numId w:val="6"/>
              </w:numPr>
              <w:rPr>
                <w:rFonts w:asciiTheme="majorHAnsi" w:hAnsiTheme="majorHAnsi" w:cstheme="majorHAnsi"/>
                <w:sz w:val="21"/>
                <w:szCs w:val="21"/>
              </w:rPr>
            </w:pPr>
            <w:r w:rsidRPr="00930198">
              <w:rPr>
                <w:rFonts w:asciiTheme="majorHAnsi" w:hAnsiTheme="majorHAnsi" w:cstheme="majorHAnsi"/>
                <w:sz w:val="21"/>
                <w:szCs w:val="21"/>
              </w:rPr>
              <w:t>12.3% (95% CI: 9.3%-15.3%) of Hispanics smoke.</w:t>
            </w:r>
          </w:p>
          <w:p w14:paraId="1F0267FA" w14:textId="77777777" w:rsidR="00930198" w:rsidRPr="00930198" w:rsidRDefault="00930198" w:rsidP="00F053F2">
            <w:pPr>
              <w:pStyle w:val="ListParagraph"/>
              <w:ind w:left="360"/>
              <w:rPr>
                <w:rFonts w:asciiTheme="majorHAnsi" w:hAnsiTheme="majorHAnsi" w:cstheme="majorHAnsi"/>
                <w:sz w:val="6"/>
                <w:szCs w:val="6"/>
              </w:rPr>
            </w:pPr>
          </w:p>
          <w:p w14:paraId="3A5BABA0" w14:textId="77777777" w:rsidR="00930198" w:rsidRPr="00930198" w:rsidRDefault="00930198" w:rsidP="00F053F2">
            <w:pPr>
              <w:rPr>
                <w:rFonts w:asciiTheme="majorHAnsi" w:hAnsiTheme="majorHAnsi" w:cstheme="majorHAnsi"/>
                <w:sz w:val="16"/>
              </w:rPr>
            </w:pPr>
            <w:r w:rsidRPr="00930198">
              <w:rPr>
                <w:rFonts w:asciiTheme="majorHAnsi" w:hAnsiTheme="majorHAnsi" w:cstheme="majorHAnsi"/>
                <w:sz w:val="16"/>
              </w:rPr>
              <w:t xml:space="preserve">Differences in smoking rates between racial and ethnic groups are not statistically significant. </w:t>
            </w:r>
          </w:p>
        </w:tc>
      </w:tr>
      <w:tr w:rsidR="00930198" w:rsidRPr="009702E8" w14:paraId="327AF57D" w14:textId="77777777" w:rsidTr="00930198">
        <w:trPr>
          <w:trHeight w:val="904"/>
        </w:trPr>
        <w:tc>
          <w:tcPr>
            <w:tcW w:w="9448" w:type="dxa"/>
            <w:gridSpan w:val="2"/>
            <w:tcBorders>
              <w:left w:val="dashSmallGap" w:sz="4" w:space="0" w:color="44546A" w:themeColor="text2"/>
              <w:bottom w:val="dashSmallGap" w:sz="4" w:space="0" w:color="44546A" w:themeColor="text2"/>
              <w:right w:val="dashSmallGap" w:sz="4" w:space="0" w:color="44546A" w:themeColor="text2"/>
            </w:tcBorders>
          </w:tcPr>
          <w:p w14:paraId="02A124F8" w14:textId="77777777" w:rsidR="00930198" w:rsidRPr="00930198" w:rsidRDefault="00930198" w:rsidP="00F053F2">
            <w:pPr>
              <w:spacing w:line="276" w:lineRule="auto"/>
              <w:rPr>
                <w:rFonts w:asciiTheme="majorHAnsi" w:hAnsiTheme="majorHAnsi" w:cstheme="majorHAnsi"/>
                <w:b/>
                <w:color w:val="4472C4" w:themeColor="accent1"/>
                <w:sz w:val="21"/>
                <w:szCs w:val="21"/>
              </w:rPr>
            </w:pPr>
            <w:r w:rsidRPr="00930198">
              <w:rPr>
                <w:rFonts w:asciiTheme="majorHAnsi" w:hAnsiTheme="majorHAnsi" w:cstheme="majorHAnsi"/>
                <w:b/>
                <w:color w:val="4472C4" w:themeColor="accent1"/>
                <w:sz w:val="21"/>
                <w:szCs w:val="21"/>
              </w:rPr>
              <w:t>Age</w:t>
            </w:r>
          </w:p>
          <w:p w14:paraId="7B13E281" w14:textId="77777777" w:rsidR="00930198" w:rsidRPr="00930198" w:rsidRDefault="00930198" w:rsidP="00930198">
            <w:pPr>
              <w:pStyle w:val="ListParagraph"/>
              <w:numPr>
                <w:ilvl w:val="0"/>
                <w:numId w:val="7"/>
              </w:numPr>
              <w:rPr>
                <w:rFonts w:asciiTheme="majorHAnsi" w:hAnsiTheme="majorHAnsi" w:cstheme="majorHAnsi"/>
                <w:sz w:val="21"/>
                <w:szCs w:val="21"/>
              </w:rPr>
            </w:pPr>
            <w:r w:rsidRPr="00930198">
              <w:rPr>
                <w:rFonts w:asciiTheme="majorHAnsi" w:hAnsiTheme="majorHAnsi" w:cstheme="majorHAnsi"/>
                <w:sz w:val="21"/>
                <w:szCs w:val="21"/>
              </w:rPr>
              <w:t xml:space="preserve">14.9% of adults ages 25-34 smoke, the highest of any age group. </w:t>
            </w:r>
          </w:p>
          <w:p w14:paraId="44E579B5" w14:textId="77777777" w:rsidR="00930198" w:rsidRPr="00930198" w:rsidRDefault="00930198" w:rsidP="00930198">
            <w:pPr>
              <w:pStyle w:val="ListParagraph"/>
              <w:numPr>
                <w:ilvl w:val="0"/>
                <w:numId w:val="7"/>
              </w:numPr>
              <w:rPr>
                <w:rFonts w:asciiTheme="majorHAnsi" w:hAnsiTheme="majorHAnsi" w:cstheme="majorHAnsi"/>
                <w:sz w:val="21"/>
                <w:szCs w:val="21"/>
              </w:rPr>
            </w:pPr>
            <w:r w:rsidRPr="00930198">
              <w:rPr>
                <w:rFonts w:asciiTheme="majorHAnsi" w:hAnsiTheme="majorHAnsi" w:cstheme="majorHAnsi"/>
                <w:sz w:val="21"/>
                <w:szCs w:val="21"/>
              </w:rPr>
              <w:t>7.9% of adults ages 18-24 smoke. However, this rate does not reflect use of other tobacco products (</w:t>
            </w:r>
            <w:proofErr w:type="gramStart"/>
            <w:r w:rsidRPr="00930198">
              <w:rPr>
                <w:rFonts w:asciiTheme="majorHAnsi" w:hAnsiTheme="majorHAnsi" w:cstheme="majorHAnsi"/>
                <w:sz w:val="21"/>
                <w:szCs w:val="21"/>
              </w:rPr>
              <w:t>e.g.</w:t>
            </w:r>
            <w:proofErr w:type="gramEnd"/>
            <w:r w:rsidRPr="00930198">
              <w:rPr>
                <w:rFonts w:asciiTheme="majorHAnsi" w:hAnsiTheme="majorHAnsi" w:cstheme="majorHAnsi"/>
                <w:sz w:val="21"/>
                <w:szCs w:val="21"/>
              </w:rPr>
              <w:t xml:space="preserve"> little cigars, e-cigarettes, etc.), which may be more prevalent among this age group.</w:t>
            </w:r>
            <w:r w:rsidRPr="00930198">
              <w:rPr>
                <w:rStyle w:val="EndnoteReference"/>
                <w:rFonts w:asciiTheme="majorHAnsi" w:hAnsiTheme="majorHAnsi" w:cstheme="majorHAnsi"/>
                <w:sz w:val="21"/>
                <w:szCs w:val="21"/>
              </w:rPr>
              <w:endnoteReference w:id="5"/>
            </w:r>
          </w:p>
        </w:tc>
      </w:tr>
    </w:tbl>
    <w:p w14:paraId="29D8FB5B" w14:textId="4795B1AD" w:rsidR="00930198" w:rsidRDefault="00930198" w:rsidP="00930198">
      <w:pPr>
        <w:spacing w:line="276" w:lineRule="auto"/>
        <w:rPr>
          <w:rFonts w:asciiTheme="majorHAnsi" w:hAnsiTheme="majorHAnsi"/>
          <w:sz w:val="21"/>
          <w:szCs w:val="21"/>
        </w:rPr>
      </w:pPr>
    </w:p>
    <w:p w14:paraId="01A7EF2C" w14:textId="56031C34" w:rsidR="00930198" w:rsidRDefault="00930198" w:rsidP="00930198">
      <w:pPr>
        <w:pStyle w:val="Subtitle"/>
      </w:pPr>
      <w:r>
        <w:t>Smoking Inequities</w:t>
      </w:r>
    </w:p>
    <w:p w14:paraId="3FF14EF6" w14:textId="665B3B58" w:rsidR="00930198" w:rsidRDefault="00930198" w:rsidP="00930198">
      <w:pPr>
        <w:spacing w:line="276" w:lineRule="auto"/>
        <w:rPr>
          <w:rFonts w:asciiTheme="majorHAnsi" w:hAnsiTheme="majorHAnsi"/>
          <w:sz w:val="21"/>
          <w:szCs w:val="21"/>
        </w:rPr>
      </w:pPr>
      <w:r w:rsidRPr="00930198">
        <w:rPr>
          <w:rFonts w:asciiTheme="majorHAnsi" w:hAnsiTheme="majorHAnsi"/>
          <w:sz w:val="21"/>
          <w:szCs w:val="21"/>
        </w:rPr>
        <w:t>Smoking rates are highest among people who report poor mental health, low socioeconomic status (high school or less education or an income less than $25,000), people with MassHealth insurance, people with disabilities, and people who identify as LGBT (Figure 2). All subgroup smoking rates other than LGBT and having private health insurance are significantly different from the rate for all Massachusetts adults.</w:t>
      </w:r>
    </w:p>
    <w:p w14:paraId="71336D7A" w14:textId="77777777" w:rsidR="00FE6FD3" w:rsidRPr="00FE6FD3" w:rsidRDefault="00FE6FD3" w:rsidP="00FE6FD3">
      <w:pPr>
        <w:ind w:right="630"/>
        <w:rPr>
          <w:rFonts w:asciiTheme="majorHAnsi" w:hAnsiTheme="majorHAnsi"/>
          <w:sz w:val="21"/>
          <w:szCs w:val="21"/>
        </w:rPr>
      </w:pPr>
    </w:p>
    <w:p w14:paraId="29C888BF" w14:textId="4E187961" w:rsidR="00930198" w:rsidRPr="00930198" w:rsidRDefault="00930198" w:rsidP="00930198">
      <w:pPr>
        <w:rPr>
          <w:rFonts w:asciiTheme="majorHAnsi" w:hAnsiTheme="majorHAnsi"/>
          <w:sz w:val="21"/>
          <w:szCs w:val="21"/>
        </w:rPr>
      </w:pPr>
      <w:r w:rsidRPr="00930198">
        <w:rPr>
          <w:rFonts w:asciiTheme="majorHAnsi" w:hAnsiTheme="majorHAnsi"/>
          <w:noProof/>
          <w:sz w:val="21"/>
          <w:szCs w:val="21"/>
        </w:rPr>
        <mc:AlternateContent>
          <mc:Choice Requires="wps">
            <w:drawing>
              <wp:anchor distT="0" distB="0" distL="114300" distR="114300" simplePos="0" relativeHeight="251664384" behindDoc="0" locked="0" layoutInCell="1" allowOverlap="1" wp14:anchorId="7562B624" wp14:editId="7B569790">
                <wp:simplePos x="0" y="0"/>
                <wp:positionH relativeFrom="column">
                  <wp:posOffset>4334608</wp:posOffset>
                </wp:positionH>
                <wp:positionV relativeFrom="paragraph">
                  <wp:posOffset>346515</wp:posOffset>
                </wp:positionV>
                <wp:extent cx="0" cy="1519408"/>
                <wp:effectExtent l="12700" t="12700" r="12700" b="5080"/>
                <wp:wrapNone/>
                <wp:docPr id="677" name="Straight Connector 677"/>
                <wp:cNvGraphicFramePr/>
                <a:graphic xmlns:a="http://schemas.openxmlformats.org/drawingml/2006/main">
                  <a:graphicData uri="http://schemas.microsoft.com/office/word/2010/wordprocessingShape">
                    <wps:wsp>
                      <wps:cNvCnPr/>
                      <wps:spPr>
                        <a:xfrm flipV="1">
                          <a:off x="0" y="0"/>
                          <a:ext cx="0" cy="1519408"/>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9D8CE8" id="Straight Connector 677"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1.3pt,27.3pt" to="341.3pt,146.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" strokecolor="black [3213]" strokeweight="1.5pt">
                <v:stroke dashstyle="dash" joinstyle="miter"/>
              </v:line>
            </w:pict>
          </mc:Fallback>
        </mc:AlternateContent>
      </w:r>
      <w:r>
        <w:rPr>
          <w:noProof/>
        </w:rPr>
        <mc:AlternateContent>
          <mc:Choice Requires="wps">
            <w:drawing>
              <wp:anchor distT="0" distB="0" distL="114300" distR="114300" simplePos="0" relativeHeight="251668480" behindDoc="0" locked="0" layoutInCell="1" allowOverlap="1" wp14:anchorId="26B216BB" wp14:editId="63BA43A3">
                <wp:simplePos x="0" y="0"/>
                <wp:positionH relativeFrom="column">
                  <wp:posOffset>4475529</wp:posOffset>
                </wp:positionH>
                <wp:positionV relativeFrom="paragraph">
                  <wp:posOffset>443962</wp:posOffset>
                </wp:positionV>
                <wp:extent cx="1506855" cy="25009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506855" cy="250093"/>
                        </a:xfrm>
                        <a:prstGeom prst="rect">
                          <a:avLst/>
                        </a:prstGeom>
                        <a:noFill/>
                        <a:ln w="6350">
                          <a:noFill/>
                        </a:ln>
                      </wps:spPr>
                      <wps:txbx>
                        <w:txbxContent>
                          <w:p w14:paraId="538AD2F7" w14:textId="068E34FB" w:rsidR="00930198" w:rsidRPr="00930198" w:rsidRDefault="00930198" w:rsidP="00930198">
                            <w:pPr>
                              <w:rPr>
                                <w:b/>
                                <w:bCs/>
                                <w:sz w:val="18"/>
                                <w:szCs w:val="18"/>
                              </w:rPr>
                            </w:pPr>
                            <w:r>
                              <w:rPr>
                                <w:b/>
                                <w:bCs/>
                                <w:sz w:val="18"/>
                                <w:szCs w:val="18"/>
                              </w:rPr>
                              <w:t>Less</w:t>
                            </w:r>
                            <w:r w:rsidRPr="00930198">
                              <w:rPr>
                                <w:b/>
                                <w:bCs/>
                                <w:sz w:val="18"/>
                                <w:szCs w:val="18"/>
                              </w:rPr>
                              <w:t xml:space="preserve"> likely to smoke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216BB" id="_x0000_t202" coordsize="21600,21600" o:spt="202" path="m,l,21600r21600,l21600,xe">
                <v:stroke joinstyle="miter"/>
                <v:path gradientshapeok="t" o:connecttype="rect"/>
              </v:shapetype>
              <v:shape id="Text Box 17" o:spid="_x0000_s1038" type="#_x0000_t202" style="position:absolute;margin-left:352.4pt;margin-top:34.95pt;width:118.65pt;height:19.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" filled="f" stroked="f" strokeweight=".5pt">
                <v:textbox>
                  <w:txbxContent>
                    <w:p w14:paraId="538AD2F7" w14:textId="068E34FB" w:rsidR="00930198" w:rsidRPr="00930198" w:rsidRDefault="00930198" w:rsidP="00930198">
                      <w:pPr>
                        <w:rPr>
                          <w:b/>
                          <w:bCs/>
                          <w:sz w:val="18"/>
                          <w:szCs w:val="18"/>
                        </w:rPr>
                      </w:pPr>
                      <w:r>
                        <w:rPr>
                          <w:b/>
                          <w:bCs/>
                          <w:sz w:val="18"/>
                          <w:szCs w:val="18"/>
                        </w:rPr>
                        <w:t>Less</w:t>
                      </w:r>
                      <w:r w:rsidRPr="00930198">
                        <w:rPr>
                          <w:b/>
                          <w:bCs/>
                          <w:sz w:val="18"/>
                          <w:szCs w:val="18"/>
                        </w:rPr>
                        <w:t xml:space="preserve"> likely to smoke</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AB2C15E" wp14:editId="0D4A53C5">
                <wp:simplePos x="0" y="0"/>
                <wp:positionH relativeFrom="column">
                  <wp:posOffset>1500554</wp:posOffset>
                </wp:positionH>
                <wp:positionV relativeFrom="paragraph">
                  <wp:posOffset>440299</wp:posOffset>
                </wp:positionV>
                <wp:extent cx="1506855" cy="250093"/>
                <wp:effectExtent l="0" t="0" r="0" b="0"/>
                <wp:wrapNone/>
                <wp:docPr id="679" name="Text Box 679"/>
                <wp:cNvGraphicFramePr/>
                <a:graphic xmlns:a="http://schemas.openxmlformats.org/drawingml/2006/main">
                  <a:graphicData uri="http://schemas.microsoft.com/office/word/2010/wordprocessingShape">
                    <wps:wsp>
                      <wps:cNvSpPr txBox="1"/>
                      <wps:spPr>
                        <a:xfrm>
                          <a:off x="0" y="0"/>
                          <a:ext cx="1506855" cy="250093"/>
                        </a:xfrm>
                        <a:prstGeom prst="rect">
                          <a:avLst/>
                        </a:prstGeom>
                        <a:noFill/>
                        <a:ln w="6350">
                          <a:noFill/>
                        </a:ln>
                      </wps:spPr>
                      <wps:txbx>
                        <w:txbxContent>
                          <w:p w14:paraId="160C0ABD" w14:textId="77777777" w:rsidR="00930198" w:rsidRPr="00930198" w:rsidRDefault="00930198" w:rsidP="00930198">
                            <w:pPr>
                              <w:rPr>
                                <w:b/>
                                <w:bCs/>
                                <w:sz w:val="18"/>
                                <w:szCs w:val="18"/>
                              </w:rPr>
                            </w:pPr>
                            <w:r w:rsidRPr="00930198">
                              <w:rPr>
                                <w:b/>
                                <w:bCs/>
                                <w:sz w:val="18"/>
                                <w:szCs w:val="18"/>
                              </w:rPr>
                              <w:t>More likely to smoke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B2C15E" id="Text Box 679" o:spid="_x0000_s1039" type="#_x0000_t202" style="position:absolute;margin-left:118.15pt;margin-top:34.65pt;width:118.65pt;height:1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" filled="f" stroked="f" strokeweight=".5pt">
                <v:textbox>
                  <w:txbxContent>
                    <w:p w14:paraId="160C0ABD" w14:textId="77777777" w:rsidR="00930198" w:rsidRPr="00930198" w:rsidRDefault="00930198" w:rsidP="00930198">
                      <w:pPr>
                        <w:rPr>
                          <w:b/>
                          <w:bCs/>
                          <w:sz w:val="18"/>
                          <w:szCs w:val="18"/>
                        </w:rPr>
                      </w:pPr>
                      <w:r w:rsidRPr="00930198">
                        <w:rPr>
                          <w:b/>
                          <w:bCs/>
                          <w:sz w:val="18"/>
                          <w:szCs w:val="18"/>
                        </w:rPr>
                        <w:t>More likely to smoke</w:t>
                      </w:r>
                    </w:p>
                  </w:txbxContent>
                </v:textbox>
              </v:shape>
            </w:pict>
          </mc:Fallback>
        </mc:AlternateContent>
      </w:r>
      <w:r>
        <w:rPr>
          <w:noProof/>
        </w:rPr>
        <w:drawing>
          <wp:inline distT="0" distB="0" distL="0" distR="0" wp14:anchorId="2892C277" wp14:editId="5BD734B9">
            <wp:extent cx="5978769" cy="2488565"/>
            <wp:effectExtent l="0" t="0" r="317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92134" cy="2535751"/>
                    </a:xfrm>
                    <a:prstGeom prst="rect">
                      <a:avLst/>
                    </a:prstGeom>
                  </pic:spPr>
                </pic:pic>
              </a:graphicData>
            </a:graphic>
          </wp:inline>
        </w:drawing>
      </w:r>
    </w:p>
    <w:p w14:paraId="48A99AFE" w14:textId="3CD95FA7" w:rsidR="00930198" w:rsidRDefault="00930198" w:rsidP="00930198">
      <w:pPr>
        <w:pStyle w:val="Subtitle"/>
      </w:pPr>
      <w:r>
        <w:lastRenderedPageBreak/>
        <w:t>Cigarette Smoking Trends Over Time</w:t>
      </w:r>
    </w:p>
    <w:p w14:paraId="2E4D256D" w14:textId="77777777" w:rsidR="00930198" w:rsidRDefault="00930198" w:rsidP="00930198">
      <w:pPr>
        <w:spacing w:line="276" w:lineRule="auto"/>
        <w:rPr>
          <w:rFonts w:asciiTheme="majorHAnsi" w:hAnsiTheme="majorHAnsi"/>
          <w:sz w:val="21"/>
          <w:szCs w:val="21"/>
        </w:rPr>
      </w:pPr>
      <w:r>
        <w:rPr>
          <w:rFonts w:asciiTheme="majorHAnsi" w:hAnsiTheme="majorHAnsi"/>
          <w:sz w:val="21"/>
          <w:szCs w:val="21"/>
        </w:rPr>
        <w:t>Although</w:t>
      </w:r>
      <w:r w:rsidRPr="00930198">
        <w:rPr>
          <w:rFonts w:asciiTheme="majorHAnsi" w:hAnsiTheme="majorHAnsi"/>
          <w:sz w:val="21"/>
          <w:szCs w:val="21"/>
        </w:rPr>
        <w:t xml:space="preserve"> all smoking rates have declined since 1996, some population subgroups report consistently higher rates compared to the state average, including people with poor mental health and low socioeconomic status (Figure 3). Due to methodological changes in the survey, recent estimates of smoking are not directly comparable to data collected before 2011.</w:t>
      </w:r>
      <w:r w:rsidRPr="00A710DF">
        <w:rPr>
          <w:rFonts w:asciiTheme="majorHAnsi" w:hAnsiTheme="majorHAnsi"/>
          <w:sz w:val="21"/>
          <w:szCs w:val="21"/>
          <w:vertAlign w:val="superscript"/>
        </w:rPr>
        <w:endnoteReference w:id="6"/>
      </w:r>
      <w:r w:rsidRPr="00930198">
        <w:rPr>
          <w:rFonts w:asciiTheme="majorHAnsi" w:hAnsiTheme="majorHAnsi"/>
          <w:sz w:val="21"/>
          <w:szCs w:val="21"/>
        </w:rPr>
        <w:t xml:space="preserve"> </w:t>
      </w:r>
    </w:p>
    <w:p w14:paraId="3266E7F1" w14:textId="77777777" w:rsidR="00930198" w:rsidRDefault="00930198" w:rsidP="00930198">
      <w:pPr>
        <w:rPr>
          <w:rFonts w:asciiTheme="majorHAnsi" w:hAnsiTheme="majorHAnsi"/>
          <w:sz w:val="21"/>
          <w:szCs w:val="21"/>
        </w:rPr>
      </w:pPr>
    </w:p>
    <w:p w14:paraId="128D7236" w14:textId="4A3E6353" w:rsidR="00930198" w:rsidRPr="00930198" w:rsidRDefault="00930198" w:rsidP="00930198">
      <w:pPr>
        <w:rPr>
          <w:rFonts w:asciiTheme="majorHAnsi" w:hAnsiTheme="majorHAnsi"/>
          <w:sz w:val="21"/>
          <w:szCs w:val="21"/>
        </w:rPr>
      </w:pPr>
      <w:r w:rsidRPr="00930198">
        <w:rPr>
          <w:rFonts w:asciiTheme="majorHAnsi" w:hAnsiTheme="majorHAnsi"/>
          <w:noProof/>
          <w:sz w:val="21"/>
          <w:szCs w:val="21"/>
        </w:rPr>
        <w:drawing>
          <wp:anchor distT="0" distB="0" distL="114300" distR="114300" simplePos="0" relativeHeight="251670528" behindDoc="1" locked="0" layoutInCell="1" allowOverlap="1" wp14:anchorId="19EF7425" wp14:editId="400F2AC6">
            <wp:simplePos x="0" y="0"/>
            <wp:positionH relativeFrom="margin">
              <wp:posOffset>-31750</wp:posOffset>
            </wp:positionH>
            <wp:positionV relativeFrom="paragraph">
              <wp:posOffset>961390</wp:posOffset>
            </wp:positionV>
            <wp:extent cx="6361430" cy="3297555"/>
            <wp:effectExtent l="0" t="0" r="13970" b="17145"/>
            <wp:wrapTight wrapText="bothSides">
              <wp:wrapPolygon edited="0">
                <wp:start x="0" y="0"/>
                <wp:lineTo x="0" y="21629"/>
                <wp:lineTo x="21604" y="21629"/>
                <wp:lineTo x="21604" y="0"/>
                <wp:lineTo x="0" y="0"/>
              </wp:wrapPolygon>
            </wp:wrapTight>
            <wp:docPr id="5" name="Chart 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Pr="00930198">
        <w:rPr>
          <w:rFonts w:asciiTheme="majorHAnsi" w:hAnsiTheme="majorHAnsi"/>
          <w:sz w:val="21"/>
          <w:szCs w:val="21"/>
        </w:rPr>
        <w:t xml:space="preserve">Smoking rates are also higher for people with disabilities, the LGBT population, and people with MassHealth insurance, but trends for these subgroups are not reported below due to insufficient sample sizes, underreporting, and/or changes in eligibility criteria (MassHealth), from year to year. </w:t>
      </w:r>
      <w:r>
        <w:rPr>
          <w:rFonts w:asciiTheme="majorHAnsi" w:hAnsiTheme="majorHAnsi"/>
          <w:sz w:val="21"/>
          <w:szCs w:val="21"/>
        </w:rPr>
        <w:t>These populations</w:t>
      </w:r>
      <w:r w:rsidRPr="00930198">
        <w:rPr>
          <w:rFonts w:asciiTheme="majorHAnsi" w:hAnsiTheme="majorHAnsi"/>
          <w:sz w:val="21"/>
          <w:szCs w:val="21"/>
        </w:rPr>
        <w:t xml:space="preserve"> may face barriers in accessing the health care system for cessation benefits or education on how to quit smoking (See: </w:t>
      </w:r>
      <w:r w:rsidRPr="00A710DF">
        <w:rPr>
          <w:rFonts w:asciiTheme="majorHAnsi" w:hAnsiTheme="majorHAnsi"/>
          <w:i/>
          <w:iCs/>
          <w:sz w:val="21"/>
          <w:szCs w:val="21"/>
        </w:rPr>
        <w:t>Who Quits and Why</w:t>
      </w:r>
      <w:r w:rsidRPr="00930198">
        <w:rPr>
          <w:rFonts w:asciiTheme="majorHAnsi" w:hAnsiTheme="majorHAnsi"/>
          <w:sz w:val="21"/>
          <w:szCs w:val="21"/>
        </w:rPr>
        <w:t xml:space="preserve">). </w:t>
      </w:r>
    </w:p>
    <w:p w14:paraId="06490677" w14:textId="6D0BD5A5" w:rsidR="00930198" w:rsidRDefault="00930198" w:rsidP="00930198">
      <w:pPr>
        <w:pStyle w:val="Subtitle"/>
        <w:ind w:left="5760" w:firstLine="720"/>
      </w:pPr>
      <w:r>
        <w:rPr>
          <w:noProof/>
        </w:rPr>
        <w:drawing>
          <wp:anchor distT="0" distB="0" distL="114300" distR="114300" simplePos="0" relativeHeight="251679744" behindDoc="1" locked="0" layoutInCell="1" allowOverlap="1" wp14:anchorId="1D999FED" wp14:editId="092B0F28">
            <wp:simplePos x="0" y="0"/>
            <wp:positionH relativeFrom="column">
              <wp:posOffset>-31750</wp:posOffset>
            </wp:positionH>
            <wp:positionV relativeFrom="paragraph">
              <wp:posOffset>3719195</wp:posOffset>
            </wp:positionV>
            <wp:extent cx="4603115" cy="2524125"/>
            <wp:effectExtent l="0" t="0" r="0" b="3175"/>
            <wp:wrapTight wrapText="bothSides">
              <wp:wrapPolygon edited="0">
                <wp:start x="0" y="0"/>
                <wp:lineTo x="0" y="21518"/>
                <wp:lineTo x="21514" y="21518"/>
                <wp:lineTo x="2151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603115" cy="2524125"/>
                    </a:xfrm>
                    <a:prstGeom prst="rect">
                      <a:avLst/>
                    </a:prstGeom>
                  </pic:spPr>
                </pic:pic>
              </a:graphicData>
            </a:graphic>
            <wp14:sizeRelH relativeFrom="page">
              <wp14:pctWidth>0</wp14:pctWidth>
            </wp14:sizeRelH>
            <wp14:sizeRelV relativeFrom="page">
              <wp14:pctHeight>0</wp14:pctHeight>
            </wp14:sizeRelV>
          </wp:anchor>
        </w:drawing>
      </w:r>
    </w:p>
    <w:p w14:paraId="65B03EC4" w14:textId="081C788F" w:rsidR="00930198" w:rsidRDefault="00930198" w:rsidP="00930198">
      <w:pPr>
        <w:pStyle w:val="Subtitle"/>
        <w:ind w:left="5760"/>
      </w:pPr>
      <w:r>
        <w:t>U</w:t>
      </w:r>
      <w:r w:rsidRPr="00CB44D4">
        <w:t>se of Other Tobacco Products</w:t>
      </w:r>
    </w:p>
    <w:p w14:paraId="3564D812" w14:textId="5BAF4B51" w:rsidR="00930198" w:rsidRPr="00930198" w:rsidRDefault="00930198" w:rsidP="00930198">
      <w:pPr>
        <w:rPr>
          <w:rFonts w:asciiTheme="majorHAnsi" w:hAnsiTheme="majorHAnsi"/>
          <w:sz w:val="21"/>
          <w:szCs w:val="21"/>
        </w:rPr>
      </w:pPr>
      <w:r w:rsidRPr="00930198">
        <w:rPr>
          <w:rFonts w:asciiTheme="majorHAnsi" w:hAnsiTheme="majorHAnsi"/>
          <w:sz w:val="21"/>
          <w:szCs w:val="21"/>
        </w:rPr>
        <w:t>While smoking rates among adults have declined, cigarette use rates are still the highest among any tobacco product for Massachusetts adults (Figure 4). 14.7% of adults reported current use of any tobacco product (defined as cigarettes, cigars, smokeless tobacco and e-cigarettes). Only 6.9% of adults reported using electronic cigarettes in the past 30 days despite a high prevalence among youth users.</w:t>
      </w:r>
    </w:p>
    <w:p w14:paraId="5EC237AE" w14:textId="0E1DF634" w:rsidR="00930198" w:rsidRDefault="00930198" w:rsidP="00930198">
      <w:pPr>
        <w:spacing w:line="276" w:lineRule="auto"/>
        <w:rPr>
          <w:rFonts w:asciiTheme="majorHAnsi" w:hAnsiTheme="majorHAnsi"/>
          <w:sz w:val="21"/>
          <w:szCs w:val="21"/>
        </w:rPr>
      </w:pPr>
    </w:p>
    <w:tbl>
      <w:tblPr>
        <w:tblStyle w:val="LightShading-Accent1"/>
        <w:tblW w:w="0" w:type="auto"/>
        <w:tblLook w:val="04A0" w:firstRow="1" w:lastRow="0" w:firstColumn="1" w:lastColumn="0" w:noHBand="0" w:noVBand="1"/>
      </w:tblPr>
      <w:tblGrid>
        <w:gridCol w:w="9360"/>
      </w:tblGrid>
      <w:tr w:rsidR="00930198" w14:paraId="3B3EBE37" w14:textId="77777777" w:rsidTr="00930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116A6F5B" w14:textId="5BC16B7D" w:rsidR="00930198" w:rsidRDefault="00930198" w:rsidP="00F053F2">
            <w:pPr>
              <w:pStyle w:val="Subtitle"/>
              <w:jc w:val="center"/>
              <w:rPr>
                <w:b w:val="0"/>
              </w:rPr>
            </w:pPr>
            <w:r>
              <w:rPr>
                <w:b w:val="0"/>
              </w:rPr>
              <w:lastRenderedPageBreak/>
              <w:t>INEQUITY ALERT</w:t>
            </w:r>
          </w:p>
        </w:tc>
      </w:tr>
      <w:tr w:rsidR="00930198" w:rsidRPr="00F467BC" w14:paraId="290B0B51" w14:textId="77777777" w:rsidTr="00BC4C0D">
        <w:trPr>
          <w:cnfStyle w:val="000000100000" w:firstRow="0" w:lastRow="0" w:firstColumn="0" w:lastColumn="0" w:oddVBand="0" w:evenVBand="0" w:oddHBand="1" w:evenHBand="0" w:firstRowFirstColumn="0" w:firstRowLastColumn="0" w:lastRowFirstColumn="0" w:lastRowLastColumn="0"/>
          <w:trHeight w:val="2455"/>
        </w:trPr>
        <w:tc>
          <w:tcPr>
            <w:cnfStyle w:val="001000000000" w:firstRow="0" w:lastRow="0" w:firstColumn="1" w:lastColumn="0" w:oddVBand="0" w:evenVBand="0" w:oddHBand="0" w:evenHBand="0" w:firstRowFirstColumn="0" w:firstRowLastColumn="0" w:lastRowFirstColumn="0" w:lastRowLastColumn="0"/>
            <w:tcW w:w="9360" w:type="dxa"/>
          </w:tcPr>
          <w:p w14:paraId="71141ABF" w14:textId="5BFDD496" w:rsidR="00930198" w:rsidRPr="00930198" w:rsidRDefault="00930198" w:rsidP="00F053F2">
            <w:pPr>
              <w:spacing w:before="120" w:after="120"/>
              <w:rPr>
                <w:rFonts w:asciiTheme="majorHAnsi" w:hAnsiTheme="majorHAnsi" w:cs="Tahoma"/>
                <w:b w:val="0"/>
                <w:color w:val="auto"/>
                <w:sz w:val="21"/>
                <w:szCs w:val="21"/>
              </w:rPr>
            </w:pPr>
            <w:r w:rsidRPr="00930198">
              <w:rPr>
                <w:rFonts w:asciiTheme="majorHAnsi" w:hAnsiTheme="majorHAnsi"/>
                <w:b w:val="0"/>
                <w:color w:val="auto"/>
                <w:sz w:val="21"/>
                <w:szCs w:val="21"/>
              </w:rPr>
              <w:t xml:space="preserve">While use rates for tobacco products tend to be similar among different racial and ethnic groups, there are differences among </w:t>
            </w:r>
            <w:r w:rsidRPr="00930198">
              <w:rPr>
                <w:rFonts w:asciiTheme="majorHAnsi" w:hAnsiTheme="majorHAnsi"/>
                <w:bCs w:val="0"/>
                <w:color w:val="auto"/>
                <w:sz w:val="21"/>
                <w:szCs w:val="21"/>
              </w:rPr>
              <w:t>cigar use</w:t>
            </w:r>
            <w:r w:rsidRPr="00930198">
              <w:rPr>
                <w:rFonts w:asciiTheme="majorHAnsi" w:hAnsiTheme="majorHAnsi"/>
                <w:b w:val="0"/>
                <w:color w:val="auto"/>
                <w:sz w:val="21"/>
                <w:szCs w:val="21"/>
              </w:rPr>
              <w:t xml:space="preserve">. </w:t>
            </w:r>
            <w:r w:rsidRPr="00930198">
              <w:rPr>
                <w:rFonts w:asciiTheme="majorHAnsi" w:hAnsiTheme="majorHAnsi"/>
                <w:bCs w:val="0"/>
                <w:color w:val="auto"/>
                <w:sz w:val="21"/>
                <w:szCs w:val="21"/>
              </w:rPr>
              <w:t>1 in 10 Blacks</w:t>
            </w:r>
            <w:r>
              <w:rPr>
                <w:rFonts w:asciiTheme="majorHAnsi" w:hAnsiTheme="majorHAnsi"/>
                <w:b w:val="0"/>
                <w:color w:val="auto"/>
                <w:sz w:val="21"/>
                <w:szCs w:val="21"/>
              </w:rPr>
              <w:t xml:space="preserve"> in Massachusetts reported current use of cigars (</w:t>
            </w:r>
            <w:r w:rsidRPr="00930198">
              <w:rPr>
                <w:rFonts w:asciiTheme="majorHAnsi" w:hAnsiTheme="majorHAnsi" w:cs="Tahoma"/>
                <w:b w:val="0"/>
                <w:color w:val="auto"/>
                <w:sz w:val="21"/>
                <w:szCs w:val="21"/>
              </w:rPr>
              <w:t>10.3%</w:t>
            </w:r>
            <w:r>
              <w:rPr>
                <w:rFonts w:asciiTheme="majorHAnsi" w:hAnsiTheme="majorHAnsi" w:cs="Tahoma"/>
                <w:b w:val="0"/>
                <w:color w:val="auto"/>
                <w:sz w:val="21"/>
                <w:szCs w:val="21"/>
              </w:rPr>
              <w:t xml:space="preserve">, </w:t>
            </w:r>
            <w:r w:rsidRPr="00930198">
              <w:rPr>
                <w:rFonts w:asciiTheme="majorHAnsi" w:hAnsiTheme="majorHAnsi" w:cs="Tahoma"/>
                <w:b w:val="0"/>
                <w:color w:val="auto"/>
                <w:sz w:val="21"/>
                <w:szCs w:val="21"/>
              </w:rPr>
              <w:t xml:space="preserve">95% CI: 3.6%-17.0%) compared to </w:t>
            </w:r>
            <w:r w:rsidRPr="00930198">
              <w:rPr>
                <w:rFonts w:asciiTheme="majorHAnsi" w:hAnsiTheme="majorHAnsi" w:cs="Tahoma"/>
                <w:bCs w:val="0"/>
                <w:color w:val="auto"/>
                <w:sz w:val="21"/>
                <w:szCs w:val="21"/>
              </w:rPr>
              <w:t>1 in 20 Whites</w:t>
            </w:r>
            <w:r>
              <w:rPr>
                <w:rFonts w:asciiTheme="majorHAnsi" w:hAnsiTheme="majorHAnsi" w:cs="Tahoma"/>
                <w:b w:val="0"/>
                <w:color w:val="auto"/>
                <w:sz w:val="21"/>
                <w:szCs w:val="21"/>
              </w:rPr>
              <w:t xml:space="preserve"> (</w:t>
            </w:r>
            <w:r w:rsidRPr="00930198">
              <w:rPr>
                <w:rFonts w:asciiTheme="majorHAnsi" w:hAnsiTheme="majorHAnsi" w:cs="Tahoma"/>
                <w:b w:val="0"/>
                <w:color w:val="auto"/>
                <w:sz w:val="21"/>
                <w:szCs w:val="21"/>
              </w:rPr>
              <w:t>4.7%</w:t>
            </w:r>
            <w:r>
              <w:rPr>
                <w:rFonts w:asciiTheme="majorHAnsi" w:hAnsiTheme="majorHAnsi" w:cs="Tahoma"/>
                <w:b w:val="0"/>
                <w:color w:val="auto"/>
                <w:sz w:val="21"/>
                <w:szCs w:val="21"/>
              </w:rPr>
              <w:t xml:space="preserve">, </w:t>
            </w:r>
            <w:r w:rsidRPr="00930198">
              <w:rPr>
                <w:rFonts w:asciiTheme="majorHAnsi" w:hAnsiTheme="majorHAnsi" w:cs="Tahoma"/>
                <w:b w:val="0"/>
                <w:color w:val="auto"/>
                <w:sz w:val="21"/>
                <w:szCs w:val="21"/>
              </w:rPr>
              <w:t xml:space="preserve">95% CI: 3.2%-6.1%), and </w:t>
            </w:r>
            <w:r>
              <w:rPr>
                <w:rFonts w:asciiTheme="majorHAnsi" w:hAnsiTheme="majorHAnsi" w:cs="Tahoma"/>
                <w:b w:val="0"/>
                <w:color w:val="auto"/>
                <w:sz w:val="21"/>
                <w:szCs w:val="21"/>
              </w:rPr>
              <w:t>1 in 25 Hispanics (</w:t>
            </w:r>
            <w:r w:rsidRPr="00930198">
              <w:rPr>
                <w:rFonts w:asciiTheme="majorHAnsi" w:hAnsiTheme="majorHAnsi" w:cs="Tahoma"/>
                <w:b w:val="0"/>
                <w:color w:val="auto"/>
                <w:sz w:val="21"/>
                <w:szCs w:val="21"/>
              </w:rPr>
              <w:t>4.0%</w:t>
            </w:r>
            <w:r>
              <w:rPr>
                <w:rFonts w:asciiTheme="majorHAnsi" w:hAnsiTheme="majorHAnsi" w:cs="Tahoma"/>
                <w:b w:val="0"/>
                <w:color w:val="auto"/>
                <w:sz w:val="21"/>
                <w:szCs w:val="21"/>
              </w:rPr>
              <w:t xml:space="preserve">, </w:t>
            </w:r>
            <w:r w:rsidRPr="00930198">
              <w:rPr>
                <w:rFonts w:asciiTheme="majorHAnsi" w:hAnsiTheme="majorHAnsi" w:cs="Tahoma"/>
                <w:b w:val="0"/>
                <w:color w:val="auto"/>
                <w:sz w:val="21"/>
                <w:szCs w:val="21"/>
              </w:rPr>
              <w:t>95% CI: 0%-8.2%).</w:t>
            </w:r>
          </w:p>
          <w:p w14:paraId="2B52F844" w14:textId="77777777" w:rsidR="00930198" w:rsidRPr="00F467BC" w:rsidRDefault="00930198" w:rsidP="00F053F2">
            <w:pPr>
              <w:rPr>
                <w:color w:val="44546A" w:themeColor="text2"/>
                <w:sz w:val="22"/>
                <w:szCs w:val="22"/>
              </w:rPr>
            </w:pPr>
            <w:r w:rsidRPr="00930198">
              <w:rPr>
                <w:rFonts w:asciiTheme="majorHAnsi" w:hAnsiTheme="majorHAnsi"/>
                <w:b w:val="0"/>
                <w:color w:val="auto"/>
                <w:sz w:val="21"/>
                <w:szCs w:val="21"/>
              </w:rPr>
              <w:t>A study of tobacco retailers in Washington D.C. found that advertising and availability for little cigars and cigarillos was significantly more prevalent in African-American neighborhoods.</w:t>
            </w:r>
            <w:r w:rsidRPr="00930198">
              <w:rPr>
                <w:rStyle w:val="EndnoteReference"/>
                <w:rFonts w:asciiTheme="majorHAnsi" w:hAnsiTheme="majorHAnsi"/>
                <w:b w:val="0"/>
                <w:color w:val="auto"/>
                <w:sz w:val="21"/>
                <w:szCs w:val="21"/>
              </w:rPr>
              <w:endnoteReference w:id="7"/>
            </w:r>
            <w:r w:rsidRPr="00930198">
              <w:rPr>
                <w:rFonts w:asciiTheme="majorHAnsi" w:hAnsiTheme="majorHAnsi"/>
                <w:b w:val="0"/>
                <w:color w:val="auto"/>
                <w:sz w:val="21"/>
                <w:szCs w:val="21"/>
              </w:rPr>
              <w:t xml:space="preserve"> Data from the National Youth Tobacco Survey showed an increase in current cigar use among Black high school youth from 4.7% in 2009 to 9.5% in 2016.</w:t>
            </w:r>
            <w:r w:rsidRPr="00930198">
              <w:rPr>
                <w:rStyle w:val="EndnoteReference"/>
                <w:rFonts w:asciiTheme="majorHAnsi" w:hAnsiTheme="majorHAnsi"/>
                <w:b w:val="0"/>
                <w:color w:val="auto"/>
                <w:sz w:val="21"/>
                <w:szCs w:val="21"/>
              </w:rPr>
              <w:endnoteReference w:id="8"/>
            </w:r>
          </w:p>
        </w:tc>
      </w:tr>
    </w:tbl>
    <w:p w14:paraId="54CE1928" w14:textId="66216D51" w:rsidR="00930198" w:rsidRDefault="00930198" w:rsidP="00930198">
      <w:pPr>
        <w:spacing w:line="276" w:lineRule="auto"/>
        <w:rPr>
          <w:rFonts w:asciiTheme="majorHAnsi" w:hAnsiTheme="majorHAnsi"/>
          <w:sz w:val="21"/>
          <w:szCs w:val="21"/>
        </w:rPr>
      </w:pPr>
    </w:p>
    <w:p w14:paraId="74142C9A" w14:textId="77777777" w:rsidR="00930198" w:rsidRDefault="00930198" w:rsidP="00930198">
      <w:pPr>
        <w:pStyle w:val="Subtitle"/>
      </w:pPr>
      <w:r>
        <w:t>Tobacco Industry Targeting of Specific Populations</w:t>
      </w:r>
    </w:p>
    <w:p w14:paraId="44FFFFD0" w14:textId="57BFB132" w:rsidR="00930198" w:rsidRPr="00930198" w:rsidRDefault="00930198" w:rsidP="00930198">
      <w:pPr>
        <w:spacing w:line="276" w:lineRule="auto"/>
        <w:rPr>
          <w:rFonts w:asciiTheme="majorHAnsi" w:hAnsiTheme="majorHAnsi"/>
          <w:sz w:val="21"/>
          <w:szCs w:val="21"/>
        </w:rPr>
      </w:pPr>
      <w:r w:rsidRPr="00930198">
        <w:rPr>
          <w:rFonts w:asciiTheme="majorHAnsi" w:hAnsiTheme="majorHAnsi"/>
          <w:sz w:val="21"/>
          <w:szCs w:val="21"/>
        </w:rPr>
        <w:t>Tobacco industry documents reveal the deliberate targeting of the LGBT population, low-income communities and communities of color.</w:t>
      </w:r>
      <w:r w:rsidRPr="00A710DF">
        <w:rPr>
          <w:rFonts w:asciiTheme="majorHAnsi" w:hAnsiTheme="majorHAnsi"/>
          <w:sz w:val="21"/>
          <w:szCs w:val="21"/>
          <w:vertAlign w:val="superscript"/>
        </w:rPr>
        <w:endnoteReference w:id="9"/>
      </w:r>
      <w:r w:rsidRPr="00A710DF">
        <w:rPr>
          <w:rFonts w:asciiTheme="majorHAnsi" w:hAnsiTheme="majorHAnsi"/>
          <w:sz w:val="21"/>
          <w:szCs w:val="21"/>
          <w:vertAlign w:val="superscript"/>
        </w:rPr>
        <w:t>,</w:t>
      </w:r>
      <w:r w:rsidRPr="00A710DF">
        <w:rPr>
          <w:rFonts w:asciiTheme="majorHAnsi" w:hAnsiTheme="majorHAnsi"/>
          <w:sz w:val="21"/>
          <w:szCs w:val="21"/>
          <w:vertAlign w:val="superscript"/>
        </w:rPr>
        <w:endnoteReference w:id="10"/>
      </w:r>
      <w:r w:rsidRPr="00A710DF">
        <w:rPr>
          <w:rFonts w:asciiTheme="majorHAnsi" w:hAnsiTheme="majorHAnsi"/>
          <w:sz w:val="21"/>
          <w:szCs w:val="21"/>
          <w:vertAlign w:val="superscript"/>
        </w:rPr>
        <w:t>,</w:t>
      </w:r>
      <w:r w:rsidR="00290A82">
        <w:rPr>
          <w:rFonts w:asciiTheme="majorHAnsi" w:hAnsiTheme="majorHAnsi"/>
          <w:sz w:val="21"/>
          <w:szCs w:val="21"/>
          <w:vertAlign w:val="superscript"/>
        </w:rPr>
        <w:t>11</w:t>
      </w:r>
      <w:r w:rsidRPr="00A710DF">
        <w:rPr>
          <w:rFonts w:asciiTheme="majorHAnsi" w:hAnsiTheme="majorHAnsi"/>
          <w:sz w:val="21"/>
          <w:szCs w:val="21"/>
          <w:vertAlign w:val="superscript"/>
        </w:rPr>
        <w:t xml:space="preserve"> </w:t>
      </w:r>
      <w:r w:rsidRPr="00930198">
        <w:rPr>
          <w:rFonts w:asciiTheme="majorHAnsi" w:hAnsiTheme="majorHAnsi"/>
          <w:sz w:val="21"/>
          <w:szCs w:val="21"/>
        </w:rPr>
        <w:t>High rates of cigarette use within the LGBT community are due in part to the aggressive marketing tactics by tobacco companies that sponsored events and advertised in LGBT spaces such as gay bars, pride parades, and gay magazines.</w:t>
      </w:r>
      <w:r w:rsidRPr="00290A82">
        <w:rPr>
          <w:rFonts w:asciiTheme="majorHAnsi" w:hAnsiTheme="majorHAnsi"/>
          <w:sz w:val="21"/>
          <w:szCs w:val="21"/>
          <w:vertAlign w:val="superscript"/>
        </w:rPr>
        <w:endnoteReference w:id="11"/>
      </w:r>
      <w:r w:rsidRPr="00930198">
        <w:rPr>
          <w:rFonts w:asciiTheme="majorHAnsi" w:hAnsiTheme="majorHAnsi"/>
          <w:sz w:val="21"/>
          <w:szCs w:val="21"/>
        </w:rPr>
        <w:t xml:space="preserve"> Similarly, the industry also targeted Black Americans in magazine advertisements, event sponsorships</w:t>
      </w:r>
      <w:r w:rsidR="00290A82">
        <w:rPr>
          <w:rFonts w:asciiTheme="majorHAnsi" w:hAnsiTheme="majorHAnsi"/>
          <w:sz w:val="21"/>
          <w:szCs w:val="21"/>
        </w:rPr>
        <w:t>,</w:t>
      </w:r>
      <w:r w:rsidRPr="00930198">
        <w:rPr>
          <w:rFonts w:asciiTheme="majorHAnsi" w:hAnsiTheme="majorHAnsi"/>
          <w:sz w:val="21"/>
          <w:szCs w:val="21"/>
        </w:rPr>
        <w:t xml:space="preserve"> and the provision of funding for Black organizations.</w:t>
      </w:r>
      <w:r w:rsidRPr="00290A82">
        <w:rPr>
          <w:rFonts w:asciiTheme="majorHAnsi" w:hAnsiTheme="majorHAnsi"/>
          <w:sz w:val="21"/>
          <w:szCs w:val="21"/>
          <w:vertAlign w:val="superscript"/>
        </w:rPr>
        <w:endnoteReference w:id="12"/>
      </w:r>
      <w:r w:rsidRPr="00930198">
        <w:rPr>
          <w:rFonts w:asciiTheme="majorHAnsi" w:hAnsiTheme="majorHAnsi"/>
          <w:sz w:val="21"/>
          <w:szCs w:val="21"/>
        </w:rPr>
        <w:t xml:space="preserve"> In particular, historical policies such as segregation have made it possible for tobacco companies to target menthol cigarettes to people of color in the places where they live.</w:t>
      </w:r>
      <w:r w:rsidRPr="00290A82">
        <w:rPr>
          <w:rFonts w:asciiTheme="majorHAnsi" w:hAnsiTheme="majorHAnsi"/>
          <w:sz w:val="21"/>
          <w:szCs w:val="21"/>
          <w:vertAlign w:val="superscript"/>
        </w:rPr>
        <w:endnoteReference w:id="13"/>
      </w:r>
    </w:p>
    <w:p w14:paraId="57DDD3D3" w14:textId="00BFADF4" w:rsidR="00930198" w:rsidRDefault="00930198" w:rsidP="00930198">
      <w:pPr>
        <w:spacing w:line="276" w:lineRule="auto"/>
        <w:rPr>
          <w:rFonts w:asciiTheme="majorHAnsi" w:hAnsiTheme="majorHAnsi"/>
          <w:sz w:val="21"/>
          <w:szCs w:val="21"/>
        </w:rPr>
      </w:pPr>
    </w:p>
    <w:p w14:paraId="375D72B5" w14:textId="00286942" w:rsidR="00930198" w:rsidRDefault="00930198" w:rsidP="00930198">
      <w:pPr>
        <w:pStyle w:val="Subtitle"/>
      </w:pPr>
      <w:r>
        <w:t>Spotlight on Menthol Cigarettes</w:t>
      </w:r>
    </w:p>
    <w:p w14:paraId="3773C3B0" w14:textId="5140857A" w:rsidR="00930198" w:rsidRDefault="00930198" w:rsidP="00930198">
      <w:pPr>
        <w:spacing w:line="276" w:lineRule="auto"/>
        <w:rPr>
          <w:rFonts w:asciiTheme="majorHAnsi" w:hAnsiTheme="majorHAnsi"/>
          <w:sz w:val="21"/>
          <w:szCs w:val="21"/>
        </w:rPr>
      </w:pPr>
      <w:r w:rsidRPr="00930198">
        <w:rPr>
          <w:rFonts w:asciiTheme="majorHAnsi" w:hAnsiTheme="majorHAnsi"/>
          <w:sz w:val="21"/>
          <w:szCs w:val="21"/>
        </w:rPr>
        <w:t>National data indicates that both Black youth and adults smoke menthol cigarettes at higher rates than Whites.</w:t>
      </w:r>
      <w:r w:rsidR="005774A5">
        <w:rPr>
          <w:rStyle w:val="EndnoteReference"/>
          <w:rFonts w:asciiTheme="majorHAnsi" w:hAnsiTheme="majorHAnsi"/>
          <w:sz w:val="21"/>
          <w:szCs w:val="21"/>
        </w:rPr>
        <w:endnoteReference w:id="14"/>
      </w:r>
      <w:r w:rsidRPr="00930198">
        <w:rPr>
          <w:rFonts w:asciiTheme="majorHAnsi" w:hAnsiTheme="majorHAnsi"/>
          <w:sz w:val="21"/>
          <w:szCs w:val="21"/>
        </w:rPr>
        <w:t xml:space="preserve"> In Massachusetts, in 2019, </w:t>
      </w:r>
      <w:r w:rsidRPr="00930198">
        <w:rPr>
          <w:rFonts w:asciiTheme="majorHAnsi" w:hAnsiTheme="majorHAnsi"/>
          <w:b/>
          <w:bCs/>
          <w:sz w:val="21"/>
          <w:szCs w:val="21"/>
        </w:rPr>
        <w:t>80% of Black smokers</w:t>
      </w:r>
      <w:r w:rsidRPr="00930198">
        <w:rPr>
          <w:rFonts w:asciiTheme="majorHAnsi" w:hAnsiTheme="majorHAnsi"/>
          <w:sz w:val="21"/>
          <w:szCs w:val="21"/>
        </w:rPr>
        <w:t xml:space="preserve"> reported using menthol cigarettes compared to 31% of White smokers (MA BRFSS). One analysis of national data found that those who identified as LGBT had higher odds of using menthol cigarettes than their heterosexual counterparts. This was also seen for Black LGBT smokers.</w:t>
      </w:r>
      <w:r w:rsidR="005774A5">
        <w:rPr>
          <w:rFonts w:asciiTheme="majorHAnsi" w:hAnsiTheme="majorHAnsi"/>
          <w:sz w:val="21"/>
          <w:szCs w:val="21"/>
          <w:vertAlign w:val="superscript"/>
        </w:rPr>
        <w:t>14</w:t>
      </w:r>
      <w:r w:rsidRPr="00930198">
        <w:rPr>
          <w:rFonts w:asciiTheme="majorHAnsi" w:hAnsiTheme="majorHAnsi"/>
          <w:sz w:val="21"/>
          <w:szCs w:val="21"/>
        </w:rPr>
        <w:t xml:space="preserve"> </w:t>
      </w:r>
    </w:p>
    <w:p w14:paraId="1141D5C1" w14:textId="77777777" w:rsidR="00930198" w:rsidRPr="00930198" w:rsidRDefault="00930198" w:rsidP="00930198">
      <w:pPr>
        <w:spacing w:line="276" w:lineRule="auto"/>
        <w:rPr>
          <w:rFonts w:asciiTheme="majorHAnsi" w:hAnsiTheme="majorHAnsi"/>
          <w:sz w:val="21"/>
          <w:szCs w:val="21"/>
        </w:rPr>
      </w:pPr>
    </w:p>
    <w:p w14:paraId="6F26F5F3" w14:textId="2D68157A" w:rsidR="00930198" w:rsidRPr="00930198" w:rsidRDefault="00930198" w:rsidP="00930198">
      <w:pPr>
        <w:spacing w:line="276" w:lineRule="auto"/>
        <w:rPr>
          <w:rFonts w:asciiTheme="majorHAnsi" w:hAnsiTheme="majorHAnsi"/>
          <w:sz w:val="21"/>
          <w:szCs w:val="21"/>
        </w:rPr>
      </w:pPr>
      <w:r w:rsidRPr="00930198">
        <w:rPr>
          <w:rFonts w:asciiTheme="majorHAnsi" w:hAnsiTheme="majorHAnsi"/>
          <w:sz w:val="21"/>
          <w:szCs w:val="21"/>
        </w:rPr>
        <w:t>Higher rates of menthol use among Black and LGBT populations are concerning as menthol cigarettes are more addictive and harder to quit than non-menthol cigarettes. Studies have shown that menthol smokers reported greater difficulty in refraining from smoking in smoke-free environments, as well as greater social and environmental cues to smoke.</w:t>
      </w:r>
      <w:r w:rsidR="005774A5">
        <w:rPr>
          <w:rFonts w:asciiTheme="majorHAnsi" w:hAnsiTheme="majorHAnsi"/>
          <w:sz w:val="21"/>
          <w:szCs w:val="21"/>
          <w:vertAlign w:val="superscript"/>
        </w:rPr>
        <w:t>14</w:t>
      </w:r>
    </w:p>
    <w:p w14:paraId="54811061" w14:textId="77777777" w:rsidR="00930198" w:rsidRDefault="00930198" w:rsidP="00930198">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930198" w:rsidRPr="00643AFA" w14:paraId="7C9DBDB2" w14:textId="77777777" w:rsidTr="00930198">
        <w:trPr>
          <w:trHeight w:val="591"/>
        </w:trPr>
        <w:tc>
          <w:tcPr>
            <w:tcW w:w="212" w:type="dxa"/>
            <w:tcBorders>
              <w:top w:val="nil"/>
              <w:left w:val="nil"/>
              <w:bottom w:val="nil"/>
              <w:right w:val="nil"/>
            </w:tcBorders>
            <w:shd w:val="clear" w:color="auto" w:fill="70AD47" w:themeFill="accent6"/>
          </w:tcPr>
          <w:p w14:paraId="1475717C" w14:textId="77777777" w:rsidR="00930198" w:rsidRPr="00643AFA" w:rsidRDefault="00930198" w:rsidP="00F053F2">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788F5D63" w14:textId="1BC823D3" w:rsidR="00930198" w:rsidRPr="00643AFA" w:rsidRDefault="00930198" w:rsidP="00F053F2">
            <w:pPr>
              <w:widowControl w:val="0"/>
              <w:spacing w:before="40" w:after="40" w:line="276" w:lineRule="auto"/>
              <w:rPr>
                <w:rFonts w:asciiTheme="minorHAnsi" w:hAnsiTheme="minorHAnsi"/>
                <w:b/>
                <w:bCs/>
                <w:sz w:val="22"/>
                <w:szCs w:val="22"/>
              </w:rPr>
            </w:pPr>
            <w:r>
              <w:rPr>
                <w:rFonts w:asciiTheme="minorHAnsi" w:hAnsiTheme="minorHAnsi"/>
                <w:b/>
                <w:bCs/>
                <w:sz w:val="22"/>
                <w:szCs w:val="22"/>
              </w:rPr>
              <w:t>Retail Density and Marketing</w:t>
            </w:r>
          </w:p>
          <w:p w14:paraId="19340B2F" w14:textId="45FC3BEA" w:rsidR="00930198" w:rsidRPr="00B10AAF" w:rsidRDefault="00930198" w:rsidP="00F053F2">
            <w:pPr>
              <w:widowControl w:val="0"/>
              <w:spacing w:line="276" w:lineRule="auto"/>
              <w:rPr>
                <w:rFonts w:asciiTheme="majorHAnsi" w:hAnsiTheme="majorHAnsi"/>
                <w:szCs w:val="22"/>
              </w:rPr>
            </w:pPr>
            <w:r>
              <w:rPr>
                <w:rFonts w:asciiTheme="majorHAnsi" w:hAnsiTheme="majorHAnsi"/>
                <w:szCs w:val="22"/>
              </w:rPr>
              <w:t>Neighborhoods of color have greater numbers of tobacco retailers, more tobacco marketing, and extensive marketing of menthol products. Studies in Washington D.C., St. Louis, Los Angeles, and nationally have shown there is more tobacco marketing in Black neighborhoods. Menthol advertisements are more common in areas with greater proportions of Blacks and low-income populations.</w:t>
            </w:r>
            <w:r w:rsidR="005774A5">
              <w:rPr>
                <w:rFonts w:asciiTheme="majorHAnsi" w:hAnsiTheme="majorHAnsi"/>
                <w:szCs w:val="22"/>
                <w:vertAlign w:val="superscript"/>
              </w:rPr>
              <w:t>14</w:t>
            </w:r>
            <w:r w:rsidRPr="00B10AAF">
              <w:rPr>
                <w:rFonts w:asciiTheme="majorHAnsi" w:hAnsiTheme="majorHAnsi"/>
                <w:sz w:val="18"/>
                <w:szCs w:val="21"/>
              </w:rPr>
              <w:t xml:space="preserve"> </w:t>
            </w:r>
          </w:p>
        </w:tc>
      </w:tr>
    </w:tbl>
    <w:p w14:paraId="4A835BA3" w14:textId="77777777" w:rsidR="00930198" w:rsidRPr="00CA5874" w:rsidRDefault="00930198" w:rsidP="00930198">
      <w:pPr>
        <w:spacing w:after="60" w:line="276" w:lineRule="auto"/>
        <w:contextualSpacing/>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930198" w:rsidRPr="00643AFA" w14:paraId="463A825A" w14:textId="77777777" w:rsidTr="00930198">
        <w:trPr>
          <w:trHeight w:val="591"/>
        </w:trPr>
        <w:tc>
          <w:tcPr>
            <w:tcW w:w="222" w:type="dxa"/>
            <w:tcBorders>
              <w:top w:val="nil"/>
              <w:left w:val="nil"/>
              <w:bottom w:val="nil"/>
              <w:right w:val="nil"/>
            </w:tcBorders>
            <w:shd w:val="clear" w:color="auto" w:fill="70AD47" w:themeFill="accent6"/>
          </w:tcPr>
          <w:p w14:paraId="2C5F4D5D" w14:textId="77777777" w:rsidR="00930198" w:rsidRPr="00643AFA" w:rsidRDefault="00930198" w:rsidP="00F053F2">
            <w:pPr>
              <w:widowControl w:val="0"/>
              <w:spacing w:before="40" w:after="40" w:line="276" w:lineRule="auto"/>
              <w:rPr>
                <w:rFonts w:asciiTheme="minorHAnsi" w:hAnsiTheme="minorHAnsi"/>
                <w:sz w:val="22"/>
                <w:szCs w:val="22"/>
              </w:rPr>
            </w:pPr>
          </w:p>
        </w:tc>
        <w:tc>
          <w:tcPr>
            <w:tcW w:w="9255" w:type="dxa"/>
            <w:tcBorders>
              <w:top w:val="nil"/>
              <w:left w:val="nil"/>
              <w:bottom w:val="nil"/>
              <w:right w:val="nil"/>
            </w:tcBorders>
            <w:shd w:val="clear" w:color="auto" w:fill="F2F2F2" w:themeFill="background1" w:themeFillShade="F2"/>
          </w:tcPr>
          <w:p w14:paraId="5F27B7C2" w14:textId="3BB66B8D" w:rsidR="00930198" w:rsidRPr="00B10AAF" w:rsidRDefault="000B7811" w:rsidP="00F053F2">
            <w:pPr>
              <w:widowControl w:val="0"/>
              <w:spacing w:before="40" w:after="40" w:line="276" w:lineRule="auto"/>
              <w:rPr>
                <w:rFonts w:asciiTheme="minorHAnsi" w:hAnsiTheme="minorHAnsi"/>
                <w:b/>
                <w:bCs/>
                <w:sz w:val="22"/>
                <w:szCs w:val="22"/>
              </w:rPr>
            </w:pPr>
            <w:r>
              <w:rPr>
                <w:rFonts w:asciiTheme="minorHAnsi" w:hAnsiTheme="minorHAnsi"/>
                <w:b/>
                <w:bCs/>
                <w:sz w:val="22"/>
                <w:szCs w:val="22"/>
              </w:rPr>
              <w:t>Pricing and Availability</w:t>
            </w:r>
          </w:p>
          <w:p w14:paraId="11C1788D" w14:textId="6BFD7EBB" w:rsidR="00930198" w:rsidRPr="000B7811" w:rsidRDefault="000B7811" w:rsidP="00F053F2">
            <w:pPr>
              <w:widowControl w:val="0"/>
              <w:spacing w:line="276" w:lineRule="auto"/>
              <w:rPr>
                <w:rFonts w:asciiTheme="majorHAnsi" w:hAnsiTheme="majorHAnsi"/>
                <w:szCs w:val="22"/>
                <w:vertAlign w:val="superscript"/>
              </w:rPr>
            </w:pPr>
            <w:r w:rsidRPr="000B7811">
              <w:rPr>
                <w:rFonts w:asciiTheme="majorHAnsi" w:hAnsiTheme="majorHAnsi"/>
                <w:szCs w:val="22"/>
              </w:rPr>
              <w:t>In a survey of 4129 tobacco retailers across Massachusetts (about 55% of tobacco retailers in the state) in fiscal year 2016 (July 2015-June 2016), Newport Green, a mentholated cigarette, was the second most available cigarette brand, seen in 95% of stores. Marlboro remains the most available brand in 96% of stores. In Massachusetts, Newport cigarettes tend to be cheaper than Marlboro cigarettes; their average price in fiscal year 2016 was $9.68 compared to $9.75 for Marlboros.</w:t>
            </w:r>
            <w:r w:rsidRPr="000B7811">
              <w:rPr>
                <w:rFonts w:asciiTheme="majorHAnsi" w:hAnsiTheme="majorHAnsi"/>
                <w:szCs w:val="22"/>
                <w:vertAlign w:val="superscript"/>
              </w:rPr>
              <w:endnoteReference w:id="15"/>
            </w:r>
          </w:p>
        </w:tc>
      </w:tr>
    </w:tbl>
    <w:p w14:paraId="4DA79B53" w14:textId="5B68844A" w:rsidR="00930198" w:rsidRDefault="00930198" w:rsidP="00930198">
      <w:pPr>
        <w:widowControl w:val="0"/>
        <w:spacing w:line="276" w:lineRule="auto"/>
        <w:rPr>
          <w:rFonts w:asciiTheme="majorHAnsi" w:hAnsiTheme="majorHAnsi"/>
          <w:szCs w:val="22"/>
        </w:rPr>
      </w:pPr>
    </w:p>
    <w:p w14:paraId="53A7EE29" w14:textId="77777777" w:rsidR="00BC4C0D" w:rsidRDefault="00BC4C0D" w:rsidP="00930198">
      <w:pPr>
        <w:widowControl w:val="0"/>
        <w:spacing w:line="276" w:lineRule="auto"/>
        <w:rPr>
          <w:rFonts w:asciiTheme="majorHAnsi" w:hAnsiTheme="majorHAnsi"/>
          <w:szCs w:val="22"/>
        </w:rPr>
      </w:pPr>
    </w:p>
    <w:tbl>
      <w:tblPr>
        <w:tblStyle w:val="TableGrid"/>
        <w:tblW w:w="9477" w:type="dxa"/>
        <w:tblLook w:val="04A0" w:firstRow="1" w:lastRow="0" w:firstColumn="1" w:lastColumn="0" w:noHBand="0" w:noVBand="1"/>
      </w:tblPr>
      <w:tblGrid>
        <w:gridCol w:w="222"/>
        <w:gridCol w:w="9255"/>
      </w:tblGrid>
      <w:tr w:rsidR="00930198" w:rsidRPr="00643AFA" w14:paraId="596192AE" w14:textId="77777777" w:rsidTr="00930198">
        <w:trPr>
          <w:trHeight w:val="591"/>
        </w:trPr>
        <w:tc>
          <w:tcPr>
            <w:tcW w:w="212" w:type="dxa"/>
            <w:tcBorders>
              <w:top w:val="nil"/>
              <w:left w:val="nil"/>
              <w:bottom w:val="nil"/>
              <w:right w:val="nil"/>
            </w:tcBorders>
            <w:shd w:val="clear" w:color="auto" w:fill="70AD47" w:themeFill="accent6"/>
          </w:tcPr>
          <w:p w14:paraId="31FE96D2" w14:textId="77777777" w:rsidR="00930198" w:rsidRPr="00643AFA" w:rsidRDefault="00930198" w:rsidP="00F053F2">
            <w:pPr>
              <w:widowControl w:val="0"/>
              <w:spacing w:before="40" w:after="40" w:line="276" w:lineRule="auto"/>
              <w:rPr>
                <w:rFonts w:asciiTheme="minorHAnsi" w:hAnsiTheme="minorHAnsi"/>
                <w:sz w:val="22"/>
                <w:szCs w:val="22"/>
                <w:lang w:eastAsia="zh-CN"/>
              </w:rPr>
            </w:pPr>
          </w:p>
        </w:tc>
        <w:tc>
          <w:tcPr>
            <w:tcW w:w="9265" w:type="dxa"/>
            <w:tcBorders>
              <w:top w:val="nil"/>
              <w:left w:val="nil"/>
              <w:bottom w:val="nil"/>
              <w:right w:val="nil"/>
            </w:tcBorders>
            <w:shd w:val="clear" w:color="auto" w:fill="F2F2F2" w:themeFill="background1" w:themeFillShade="F2"/>
          </w:tcPr>
          <w:p w14:paraId="0EECBDB3" w14:textId="33D0D591" w:rsidR="00930198" w:rsidRPr="00B10AAF" w:rsidRDefault="000B7811" w:rsidP="00F053F2">
            <w:pPr>
              <w:widowControl w:val="0"/>
              <w:spacing w:before="40" w:after="40" w:line="276" w:lineRule="auto"/>
              <w:rPr>
                <w:rFonts w:asciiTheme="minorHAnsi" w:hAnsiTheme="minorHAnsi"/>
                <w:b/>
                <w:bCs/>
                <w:sz w:val="22"/>
                <w:szCs w:val="22"/>
              </w:rPr>
            </w:pPr>
            <w:r>
              <w:rPr>
                <w:rFonts w:asciiTheme="minorHAnsi" w:hAnsiTheme="minorHAnsi"/>
                <w:b/>
                <w:bCs/>
                <w:sz w:val="22"/>
                <w:szCs w:val="22"/>
              </w:rPr>
              <w:t>Targeting in Massachusetts</w:t>
            </w:r>
          </w:p>
          <w:p w14:paraId="2B36337A" w14:textId="17E15C34" w:rsidR="00930198" w:rsidRPr="00B10AAF" w:rsidRDefault="00BC4C0D" w:rsidP="00F053F2">
            <w:pPr>
              <w:widowControl w:val="0"/>
              <w:spacing w:line="276" w:lineRule="auto"/>
              <w:rPr>
                <w:rFonts w:asciiTheme="majorHAnsi" w:hAnsiTheme="majorHAnsi"/>
                <w:szCs w:val="22"/>
              </w:rPr>
            </w:pPr>
            <w:r w:rsidRPr="00BC4C0D">
              <w:rPr>
                <w:rFonts w:asciiTheme="majorHAnsi" w:hAnsiTheme="majorHAnsi"/>
                <w:szCs w:val="22"/>
              </w:rPr>
              <w:t>A 2010 study in the city of Boston found that tobacco retail density near schools was higher in low-income communities and communities of color.</w:t>
            </w:r>
            <w:r w:rsidRPr="00BC4C0D">
              <w:rPr>
                <w:rFonts w:asciiTheme="majorHAnsi" w:hAnsiTheme="majorHAnsi"/>
                <w:szCs w:val="22"/>
                <w:vertAlign w:val="superscript"/>
              </w:rPr>
              <w:endnoteReference w:id="16"/>
            </w:r>
            <w:r w:rsidRPr="00BC4C0D">
              <w:rPr>
                <w:rFonts w:asciiTheme="majorHAnsi" w:hAnsiTheme="majorHAnsi"/>
                <w:szCs w:val="22"/>
                <w:vertAlign w:val="superscript"/>
              </w:rPr>
              <w:t xml:space="preserve"> </w:t>
            </w:r>
            <w:r w:rsidRPr="00BC4C0D">
              <w:rPr>
                <w:rFonts w:asciiTheme="majorHAnsi" w:hAnsiTheme="majorHAnsi"/>
                <w:szCs w:val="22"/>
              </w:rPr>
              <w:t>Another study examining tobacco availability and advertising in communities of color found that there was more tobacco availability, more tobacco advertising and more menthol advertising in predominately Black or Hispanic neighborhoods in a sample of Massachusetts neighborhoods.</w:t>
            </w:r>
            <w:r w:rsidRPr="00BC4C0D">
              <w:rPr>
                <w:rFonts w:asciiTheme="majorHAnsi" w:hAnsiTheme="majorHAnsi"/>
                <w:szCs w:val="22"/>
                <w:vertAlign w:val="superscript"/>
              </w:rPr>
              <w:endnoteReference w:id="17"/>
            </w:r>
            <w:r w:rsidRPr="00BC4C0D">
              <w:rPr>
                <w:rFonts w:asciiTheme="majorHAnsi" w:hAnsiTheme="majorHAnsi"/>
                <w:szCs w:val="22"/>
              </w:rPr>
              <w:t>Additionally, a 2019 study of block groups in the city of Boston found a significant decrease in the price of menthol cigarettes as the proportion of Black residents increased.</w:t>
            </w:r>
            <w:r w:rsidRPr="00BC4C0D">
              <w:rPr>
                <w:rFonts w:asciiTheme="majorHAnsi" w:hAnsiTheme="majorHAnsi"/>
                <w:szCs w:val="22"/>
                <w:vertAlign w:val="superscript"/>
              </w:rPr>
              <w:endnoteReference w:id="18"/>
            </w:r>
          </w:p>
        </w:tc>
      </w:tr>
    </w:tbl>
    <w:p w14:paraId="28987B97" w14:textId="68FFAE60" w:rsidR="00930198" w:rsidRDefault="00930198" w:rsidP="00930198">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0B7811" w:rsidRPr="00643AFA" w14:paraId="100E901D" w14:textId="77777777" w:rsidTr="00222B17">
        <w:trPr>
          <w:trHeight w:val="591"/>
        </w:trPr>
        <w:tc>
          <w:tcPr>
            <w:tcW w:w="212" w:type="dxa"/>
            <w:tcBorders>
              <w:top w:val="nil"/>
              <w:left w:val="nil"/>
              <w:bottom w:val="nil"/>
              <w:right w:val="nil"/>
            </w:tcBorders>
            <w:shd w:val="clear" w:color="auto" w:fill="70AD47" w:themeFill="accent6"/>
          </w:tcPr>
          <w:p w14:paraId="086C42A7" w14:textId="77777777" w:rsidR="000B7811" w:rsidRPr="00643AFA" w:rsidRDefault="000B7811" w:rsidP="00222B17">
            <w:pPr>
              <w:widowControl w:val="0"/>
              <w:spacing w:before="40" w:after="40" w:line="276" w:lineRule="auto"/>
              <w:rPr>
                <w:rFonts w:asciiTheme="minorHAnsi" w:hAnsiTheme="minorHAnsi"/>
                <w:sz w:val="22"/>
                <w:szCs w:val="22"/>
                <w:lang w:eastAsia="zh-CN"/>
              </w:rPr>
            </w:pPr>
          </w:p>
        </w:tc>
        <w:tc>
          <w:tcPr>
            <w:tcW w:w="9265" w:type="dxa"/>
            <w:tcBorders>
              <w:top w:val="nil"/>
              <w:left w:val="nil"/>
              <w:bottom w:val="nil"/>
              <w:right w:val="nil"/>
            </w:tcBorders>
            <w:shd w:val="clear" w:color="auto" w:fill="F2F2F2" w:themeFill="background1" w:themeFillShade="F2"/>
          </w:tcPr>
          <w:p w14:paraId="3C45ADDA" w14:textId="65632814" w:rsidR="000B7811" w:rsidRPr="00B10AAF" w:rsidRDefault="00BC4C0D"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Poorer Health Outcomes</w:t>
            </w:r>
          </w:p>
          <w:p w14:paraId="582B4BFA" w14:textId="1271004C" w:rsidR="000B7811" w:rsidRPr="00B10AAF" w:rsidRDefault="00BC4C0D" w:rsidP="00222B17">
            <w:pPr>
              <w:widowControl w:val="0"/>
              <w:spacing w:line="276" w:lineRule="auto"/>
              <w:rPr>
                <w:rFonts w:asciiTheme="majorHAnsi" w:hAnsiTheme="majorHAnsi"/>
                <w:szCs w:val="22"/>
              </w:rPr>
            </w:pPr>
            <w:r w:rsidRPr="00BC4C0D">
              <w:rPr>
                <w:rFonts w:asciiTheme="majorHAnsi" w:hAnsiTheme="majorHAnsi"/>
                <w:szCs w:val="22"/>
              </w:rPr>
              <w:t xml:space="preserve">Deliberate tobacco industry targeting of menthol to Black populations has contributed to a much higher use rate of menthol cigarettes as well as inequities in cessation and smoking-attributable death and disease, as Black adults are less likely to successfully quit smoking and disproportionately suffer from smoking attributable diseases such as asthma, lung cancer, heart disease and stroke (See: </w:t>
            </w:r>
            <w:r w:rsidRPr="00BC4C0D">
              <w:rPr>
                <w:rFonts w:asciiTheme="majorHAnsi" w:hAnsiTheme="majorHAnsi"/>
                <w:i/>
                <w:szCs w:val="22"/>
              </w:rPr>
              <w:t>Who Quits and Why</w:t>
            </w:r>
            <w:r w:rsidRPr="00BC4C0D">
              <w:rPr>
                <w:rFonts w:asciiTheme="majorHAnsi" w:hAnsiTheme="majorHAnsi"/>
                <w:szCs w:val="22"/>
              </w:rPr>
              <w:t>).</w:t>
            </w:r>
          </w:p>
        </w:tc>
      </w:tr>
    </w:tbl>
    <w:p w14:paraId="33D18872" w14:textId="356154D1" w:rsidR="000B7811" w:rsidRDefault="000B7811" w:rsidP="00930198">
      <w:pPr>
        <w:spacing w:line="276" w:lineRule="auto"/>
        <w:rPr>
          <w:rFonts w:asciiTheme="majorHAnsi" w:hAnsiTheme="majorHAnsi"/>
          <w:sz w:val="21"/>
          <w:szCs w:val="21"/>
        </w:rPr>
      </w:pPr>
    </w:p>
    <w:p w14:paraId="71FFA93E" w14:textId="780CAF20" w:rsidR="00FE6FD3" w:rsidRDefault="00FE6FD3" w:rsidP="00930198">
      <w:pPr>
        <w:spacing w:line="276" w:lineRule="auto"/>
        <w:rPr>
          <w:rFonts w:asciiTheme="majorHAnsi" w:hAnsiTheme="majorHAnsi"/>
          <w:sz w:val="21"/>
          <w:szCs w:val="21"/>
        </w:rPr>
      </w:pPr>
    </w:p>
    <w:p w14:paraId="19A7455B" w14:textId="411C68BC" w:rsidR="00FE6FD3" w:rsidRDefault="00FE6FD3" w:rsidP="00930198">
      <w:pPr>
        <w:spacing w:line="276" w:lineRule="auto"/>
        <w:rPr>
          <w:rFonts w:asciiTheme="majorHAnsi" w:hAnsiTheme="majorHAnsi"/>
          <w:sz w:val="21"/>
          <w:szCs w:val="21"/>
        </w:rPr>
      </w:pPr>
    </w:p>
    <w:p w14:paraId="79EAC25E" w14:textId="3E2F9AB1" w:rsidR="00FE6FD3" w:rsidRDefault="00FE6FD3" w:rsidP="00930198">
      <w:pPr>
        <w:spacing w:line="276" w:lineRule="auto"/>
        <w:rPr>
          <w:rFonts w:asciiTheme="majorHAnsi" w:hAnsiTheme="majorHAnsi"/>
          <w:sz w:val="21"/>
          <w:szCs w:val="21"/>
        </w:rPr>
      </w:pPr>
    </w:p>
    <w:p w14:paraId="434E4C98" w14:textId="2DDD4A52" w:rsidR="00FE6FD3" w:rsidRDefault="00FE6FD3" w:rsidP="00930198">
      <w:pPr>
        <w:spacing w:line="276" w:lineRule="auto"/>
        <w:rPr>
          <w:rFonts w:asciiTheme="majorHAnsi" w:hAnsiTheme="majorHAnsi"/>
          <w:sz w:val="21"/>
          <w:szCs w:val="21"/>
        </w:rPr>
      </w:pPr>
    </w:p>
    <w:p w14:paraId="1D79033C" w14:textId="467DC74C" w:rsidR="00FE6FD3" w:rsidRDefault="00FE6FD3" w:rsidP="00930198">
      <w:pPr>
        <w:spacing w:line="276" w:lineRule="auto"/>
        <w:rPr>
          <w:rFonts w:asciiTheme="majorHAnsi" w:hAnsiTheme="majorHAnsi"/>
          <w:sz w:val="21"/>
          <w:szCs w:val="21"/>
        </w:rPr>
      </w:pPr>
    </w:p>
    <w:p w14:paraId="625398C8" w14:textId="3C191942" w:rsidR="00FE6FD3" w:rsidRDefault="00FE6FD3" w:rsidP="00930198">
      <w:pPr>
        <w:spacing w:line="276" w:lineRule="auto"/>
        <w:rPr>
          <w:rFonts w:asciiTheme="majorHAnsi" w:hAnsiTheme="majorHAnsi"/>
          <w:sz w:val="21"/>
          <w:szCs w:val="21"/>
        </w:rPr>
      </w:pPr>
    </w:p>
    <w:p w14:paraId="29EAC255" w14:textId="2E2E0A0D" w:rsidR="00FE6FD3" w:rsidRDefault="00FE6FD3" w:rsidP="00930198">
      <w:pPr>
        <w:spacing w:line="276" w:lineRule="auto"/>
        <w:rPr>
          <w:rFonts w:asciiTheme="majorHAnsi" w:hAnsiTheme="majorHAnsi"/>
          <w:sz w:val="21"/>
          <w:szCs w:val="21"/>
        </w:rPr>
      </w:pPr>
    </w:p>
    <w:p w14:paraId="37446007" w14:textId="5524B513" w:rsidR="00FE6FD3" w:rsidRDefault="00FE6FD3" w:rsidP="00930198">
      <w:pPr>
        <w:spacing w:line="276" w:lineRule="auto"/>
        <w:rPr>
          <w:rFonts w:asciiTheme="majorHAnsi" w:hAnsiTheme="majorHAnsi"/>
          <w:sz w:val="21"/>
          <w:szCs w:val="21"/>
        </w:rPr>
      </w:pPr>
    </w:p>
    <w:p w14:paraId="7C436D25" w14:textId="41BF1D14" w:rsidR="00FE6FD3" w:rsidRDefault="00FE6FD3" w:rsidP="00930198">
      <w:pPr>
        <w:spacing w:line="276" w:lineRule="auto"/>
        <w:rPr>
          <w:rFonts w:asciiTheme="majorHAnsi" w:hAnsiTheme="majorHAnsi"/>
          <w:sz w:val="21"/>
          <w:szCs w:val="21"/>
        </w:rPr>
      </w:pPr>
    </w:p>
    <w:p w14:paraId="5BCB4CD3" w14:textId="214F1C36" w:rsidR="00FE6FD3" w:rsidRDefault="00FE6FD3" w:rsidP="00930198">
      <w:pPr>
        <w:spacing w:line="276" w:lineRule="auto"/>
        <w:rPr>
          <w:rFonts w:asciiTheme="majorHAnsi" w:hAnsiTheme="majorHAnsi"/>
          <w:sz w:val="21"/>
          <w:szCs w:val="21"/>
        </w:rPr>
      </w:pPr>
    </w:p>
    <w:p w14:paraId="72FA0A1F" w14:textId="7D63448A" w:rsidR="00FE6FD3" w:rsidRDefault="00FE6FD3" w:rsidP="00930198">
      <w:pPr>
        <w:spacing w:line="276" w:lineRule="auto"/>
        <w:rPr>
          <w:rFonts w:asciiTheme="majorHAnsi" w:hAnsiTheme="majorHAnsi"/>
          <w:sz w:val="21"/>
          <w:szCs w:val="21"/>
        </w:rPr>
      </w:pPr>
    </w:p>
    <w:p w14:paraId="644956F2" w14:textId="6C9962A5" w:rsidR="00FE6FD3" w:rsidRDefault="00FE6FD3" w:rsidP="00930198">
      <w:pPr>
        <w:spacing w:line="276" w:lineRule="auto"/>
        <w:rPr>
          <w:rFonts w:asciiTheme="majorHAnsi" w:hAnsiTheme="majorHAnsi"/>
          <w:sz w:val="21"/>
          <w:szCs w:val="21"/>
        </w:rPr>
      </w:pPr>
    </w:p>
    <w:p w14:paraId="536A40E3" w14:textId="2E482280" w:rsidR="00FE6FD3" w:rsidRDefault="00FE6FD3" w:rsidP="00930198">
      <w:pPr>
        <w:spacing w:line="276" w:lineRule="auto"/>
        <w:rPr>
          <w:rFonts w:asciiTheme="majorHAnsi" w:hAnsiTheme="majorHAnsi"/>
          <w:sz w:val="21"/>
          <w:szCs w:val="21"/>
        </w:rPr>
      </w:pPr>
    </w:p>
    <w:p w14:paraId="206060C5" w14:textId="2C6D17FF" w:rsidR="00FE6FD3" w:rsidRDefault="00FE6FD3" w:rsidP="00930198">
      <w:pPr>
        <w:spacing w:line="276" w:lineRule="auto"/>
        <w:rPr>
          <w:rFonts w:asciiTheme="majorHAnsi" w:hAnsiTheme="majorHAnsi"/>
          <w:sz w:val="21"/>
          <w:szCs w:val="21"/>
        </w:rPr>
      </w:pPr>
    </w:p>
    <w:p w14:paraId="703E4E7A" w14:textId="21558B0B" w:rsidR="00FE6FD3" w:rsidRDefault="00FE6FD3" w:rsidP="00930198">
      <w:pPr>
        <w:spacing w:line="276" w:lineRule="auto"/>
        <w:rPr>
          <w:rFonts w:asciiTheme="majorHAnsi" w:hAnsiTheme="majorHAnsi"/>
          <w:sz w:val="21"/>
          <w:szCs w:val="21"/>
        </w:rPr>
      </w:pPr>
    </w:p>
    <w:p w14:paraId="69C3EE0D" w14:textId="1C904663" w:rsidR="00FE6FD3" w:rsidRDefault="00FE6FD3" w:rsidP="00930198">
      <w:pPr>
        <w:spacing w:line="276" w:lineRule="auto"/>
        <w:rPr>
          <w:rFonts w:asciiTheme="majorHAnsi" w:hAnsiTheme="majorHAnsi"/>
          <w:sz w:val="21"/>
          <w:szCs w:val="21"/>
        </w:rPr>
      </w:pPr>
    </w:p>
    <w:p w14:paraId="65E8F963" w14:textId="35B4385C" w:rsidR="00FE6FD3" w:rsidRDefault="00FE6FD3" w:rsidP="00930198">
      <w:pPr>
        <w:spacing w:line="276" w:lineRule="auto"/>
        <w:rPr>
          <w:rFonts w:asciiTheme="majorHAnsi" w:hAnsiTheme="majorHAnsi"/>
          <w:sz w:val="21"/>
          <w:szCs w:val="21"/>
        </w:rPr>
      </w:pPr>
    </w:p>
    <w:p w14:paraId="5DE302C1" w14:textId="68ED7E14" w:rsidR="00FE6FD3" w:rsidRDefault="00FE6FD3" w:rsidP="00930198">
      <w:pPr>
        <w:spacing w:line="276" w:lineRule="auto"/>
        <w:rPr>
          <w:rFonts w:asciiTheme="majorHAnsi" w:hAnsiTheme="majorHAnsi"/>
          <w:sz w:val="21"/>
          <w:szCs w:val="21"/>
        </w:rPr>
      </w:pPr>
    </w:p>
    <w:p w14:paraId="7A0AA88B" w14:textId="05F0D030" w:rsidR="00FE6FD3" w:rsidRDefault="00FE6FD3" w:rsidP="00930198">
      <w:pPr>
        <w:spacing w:line="276" w:lineRule="auto"/>
        <w:rPr>
          <w:rFonts w:asciiTheme="majorHAnsi" w:hAnsiTheme="majorHAnsi"/>
          <w:sz w:val="21"/>
          <w:szCs w:val="21"/>
        </w:rPr>
      </w:pPr>
    </w:p>
    <w:p w14:paraId="026F864D" w14:textId="0B7FE8AE" w:rsidR="00FE6FD3" w:rsidRDefault="00FE6FD3" w:rsidP="00930198">
      <w:pPr>
        <w:spacing w:line="276" w:lineRule="auto"/>
        <w:rPr>
          <w:rFonts w:asciiTheme="majorHAnsi" w:hAnsiTheme="majorHAnsi"/>
          <w:sz w:val="21"/>
          <w:szCs w:val="21"/>
        </w:rPr>
      </w:pPr>
    </w:p>
    <w:p w14:paraId="450E113D" w14:textId="47B81A35" w:rsidR="00FE6FD3" w:rsidRDefault="00FE6FD3" w:rsidP="00930198">
      <w:pPr>
        <w:spacing w:line="276" w:lineRule="auto"/>
        <w:rPr>
          <w:rFonts w:asciiTheme="majorHAnsi" w:hAnsiTheme="majorHAnsi"/>
          <w:sz w:val="21"/>
          <w:szCs w:val="21"/>
        </w:rPr>
      </w:pPr>
    </w:p>
    <w:p w14:paraId="7CD231A0" w14:textId="26C6C72E" w:rsidR="00FE6FD3" w:rsidRDefault="00FE6FD3" w:rsidP="00930198">
      <w:pPr>
        <w:spacing w:line="276" w:lineRule="auto"/>
        <w:rPr>
          <w:rFonts w:asciiTheme="majorHAnsi" w:hAnsiTheme="majorHAnsi"/>
          <w:sz w:val="21"/>
          <w:szCs w:val="21"/>
        </w:rPr>
      </w:pPr>
    </w:p>
    <w:p w14:paraId="32D3F386" w14:textId="08321DEC" w:rsidR="00FE6FD3" w:rsidRDefault="00FE6FD3" w:rsidP="00930198">
      <w:pPr>
        <w:spacing w:line="276" w:lineRule="auto"/>
        <w:rPr>
          <w:rFonts w:asciiTheme="majorHAnsi" w:hAnsiTheme="majorHAnsi"/>
          <w:sz w:val="21"/>
          <w:szCs w:val="21"/>
        </w:rPr>
      </w:pPr>
    </w:p>
    <w:p w14:paraId="05B289BB" w14:textId="2D5A77BE" w:rsidR="00FE6FD3" w:rsidRDefault="00FE6FD3" w:rsidP="00930198">
      <w:pPr>
        <w:spacing w:line="276" w:lineRule="auto"/>
        <w:rPr>
          <w:rFonts w:asciiTheme="majorHAnsi" w:hAnsiTheme="majorHAnsi"/>
          <w:sz w:val="21"/>
          <w:szCs w:val="21"/>
        </w:rPr>
      </w:pPr>
    </w:p>
    <w:p w14:paraId="02B07F55" w14:textId="4811820C" w:rsidR="00FE6FD3" w:rsidRDefault="00FE6FD3" w:rsidP="00930198">
      <w:pPr>
        <w:spacing w:line="276" w:lineRule="auto"/>
        <w:rPr>
          <w:rFonts w:asciiTheme="majorHAnsi" w:hAnsiTheme="majorHAnsi"/>
          <w:sz w:val="21"/>
          <w:szCs w:val="21"/>
        </w:rPr>
      </w:pPr>
    </w:p>
    <w:p w14:paraId="62B6D99B" w14:textId="1BC6F896" w:rsidR="00FE6FD3" w:rsidRDefault="00FE6FD3" w:rsidP="00930198">
      <w:pPr>
        <w:spacing w:line="276" w:lineRule="auto"/>
        <w:rPr>
          <w:rFonts w:asciiTheme="majorHAnsi" w:hAnsiTheme="majorHAnsi"/>
          <w:sz w:val="21"/>
          <w:szCs w:val="21"/>
        </w:rPr>
      </w:pPr>
    </w:p>
    <w:p w14:paraId="3B3B4DD6" w14:textId="6D25DF2F" w:rsidR="00FE6FD3" w:rsidRDefault="00FE6FD3" w:rsidP="00930198">
      <w:pPr>
        <w:spacing w:line="276" w:lineRule="auto"/>
        <w:rPr>
          <w:rFonts w:asciiTheme="majorHAnsi" w:hAnsiTheme="majorHAnsi"/>
          <w:sz w:val="21"/>
          <w:szCs w:val="21"/>
        </w:rPr>
      </w:pPr>
    </w:p>
    <w:p w14:paraId="60F0031C" w14:textId="72B43EE2" w:rsidR="00FE6FD3" w:rsidRDefault="00FE6FD3" w:rsidP="00930198">
      <w:pPr>
        <w:spacing w:line="276" w:lineRule="auto"/>
        <w:rPr>
          <w:rFonts w:asciiTheme="majorHAnsi" w:hAnsiTheme="majorHAnsi"/>
          <w:sz w:val="21"/>
          <w:szCs w:val="21"/>
        </w:rPr>
      </w:pPr>
    </w:p>
    <w:p w14:paraId="07DD4BA8" w14:textId="4FAC20B5" w:rsidR="00FE6FD3" w:rsidRDefault="00FE6FD3" w:rsidP="00930198">
      <w:pPr>
        <w:spacing w:line="276" w:lineRule="auto"/>
        <w:rPr>
          <w:rFonts w:asciiTheme="majorHAnsi" w:hAnsiTheme="majorHAnsi"/>
          <w:sz w:val="21"/>
          <w:szCs w:val="21"/>
        </w:rPr>
      </w:pPr>
    </w:p>
    <w:p w14:paraId="196F8DD5" w14:textId="67A0E231" w:rsidR="00FE6FD3" w:rsidRDefault="00FE6FD3" w:rsidP="00930198">
      <w:pPr>
        <w:spacing w:line="276" w:lineRule="auto"/>
        <w:rPr>
          <w:rFonts w:asciiTheme="majorHAnsi" w:hAnsiTheme="majorHAnsi"/>
          <w:sz w:val="21"/>
          <w:szCs w:val="21"/>
        </w:rPr>
      </w:pPr>
    </w:p>
    <w:p w14:paraId="22126C63" w14:textId="37D4CBBC" w:rsidR="00FE6FD3" w:rsidRDefault="00FE6FD3" w:rsidP="00930198">
      <w:pPr>
        <w:spacing w:line="276" w:lineRule="auto"/>
        <w:rPr>
          <w:rFonts w:asciiTheme="majorHAnsi" w:hAnsiTheme="majorHAnsi"/>
          <w:sz w:val="21"/>
          <w:szCs w:val="21"/>
        </w:rPr>
      </w:pPr>
    </w:p>
    <w:p w14:paraId="7998C6DB" w14:textId="7511BE69" w:rsidR="00FE6FD3" w:rsidRDefault="00FE6FD3" w:rsidP="00930198">
      <w:pPr>
        <w:spacing w:line="276" w:lineRule="auto"/>
        <w:rPr>
          <w:rFonts w:asciiTheme="majorHAnsi" w:hAnsiTheme="majorHAnsi"/>
          <w:sz w:val="21"/>
          <w:szCs w:val="21"/>
        </w:rPr>
      </w:pPr>
    </w:p>
    <w:p w14:paraId="7BE381E4" w14:textId="3593A6B2" w:rsidR="00FE6FD3" w:rsidRPr="00666794" w:rsidRDefault="00FE6FD3" w:rsidP="00FE6FD3">
      <w:pPr>
        <w:pStyle w:val="Heading1"/>
        <w:pBdr>
          <w:bottom w:val="single" w:sz="12" w:space="1" w:color="auto"/>
        </w:pBdr>
        <w:rPr>
          <w:sz w:val="40"/>
        </w:rPr>
      </w:pPr>
      <w:r>
        <w:rPr>
          <w:sz w:val="40"/>
        </w:rPr>
        <w:lastRenderedPageBreak/>
        <w:t>Who Quits and Why?</w:t>
      </w:r>
    </w:p>
    <w:p w14:paraId="13E423CA" w14:textId="77777777" w:rsidR="00FE6FD3" w:rsidRDefault="00FE6FD3" w:rsidP="00FE6FD3">
      <w:pPr>
        <w:spacing w:line="276" w:lineRule="auto"/>
        <w:rPr>
          <w:rFonts w:asciiTheme="minorHAnsi" w:hAnsiTheme="minorHAnsi"/>
          <w:sz w:val="22"/>
          <w:szCs w:val="22"/>
        </w:rPr>
      </w:pPr>
    </w:p>
    <w:p w14:paraId="167323FD" w14:textId="77777777" w:rsidR="00FE6FD3" w:rsidRDefault="00FE6FD3" w:rsidP="00FE6FD3">
      <w:pPr>
        <w:spacing w:line="276" w:lineRule="auto"/>
        <w:rPr>
          <w:rFonts w:asciiTheme="majorHAnsi" w:eastAsiaTheme="majorEastAsia" w:hAnsiTheme="majorHAnsi" w:cstheme="majorBidi"/>
          <w:i/>
          <w:iCs/>
          <w:color w:val="4472C4" w:themeColor="accent1"/>
          <w:spacing w:val="15"/>
          <w:sz w:val="24"/>
          <w:szCs w:val="24"/>
        </w:rPr>
      </w:pPr>
      <w:r w:rsidRPr="00FE6FD3">
        <w:rPr>
          <w:rFonts w:asciiTheme="majorHAnsi" w:eastAsiaTheme="majorEastAsia" w:hAnsiTheme="majorHAnsi" w:cstheme="majorBidi"/>
          <w:i/>
          <w:iCs/>
          <w:color w:val="4472C4" w:themeColor="accent1"/>
          <w:spacing w:val="15"/>
          <w:sz w:val="24"/>
          <w:szCs w:val="24"/>
        </w:rPr>
        <w:t>Why are some smokers less likely to quit than others?</w:t>
      </w:r>
    </w:p>
    <w:p w14:paraId="406010BD" w14:textId="77777777" w:rsidR="00FE6FD3" w:rsidRPr="00FE6FD3" w:rsidRDefault="00FE6FD3" w:rsidP="00FE6FD3">
      <w:pPr>
        <w:spacing w:line="276" w:lineRule="auto"/>
        <w:rPr>
          <w:rFonts w:asciiTheme="majorHAnsi" w:hAnsiTheme="majorHAnsi"/>
          <w:sz w:val="21"/>
          <w:szCs w:val="21"/>
        </w:rPr>
      </w:pPr>
      <w:r w:rsidRPr="00FE6FD3">
        <w:rPr>
          <w:rFonts w:asciiTheme="majorHAnsi" w:hAnsiTheme="majorHAnsi"/>
          <w:sz w:val="21"/>
          <w:szCs w:val="21"/>
        </w:rPr>
        <w:t>Despite an overall increase in successful quitting over the past 20 years, some population subgroups consistently quit smoking at much lower rates than the general population in Massachusetts. Similar to smoking initiation, an individual’s ability to quit and stay quit is determined by more than just choice.</w:t>
      </w:r>
    </w:p>
    <w:p w14:paraId="44C2AFEA" w14:textId="34CA61CE" w:rsidR="00FE6FD3" w:rsidRDefault="00FE6FD3" w:rsidP="00930198">
      <w:pPr>
        <w:spacing w:line="276" w:lineRule="auto"/>
        <w:rPr>
          <w:rFonts w:asciiTheme="majorHAnsi" w:hAnsiTheme="majorHAnsi"/>
          <w:sz w:val="21"/>
          <w:szCs w:val="21"/>
        </w:rPr>
      </w:pPr>
    </w:p>
    <w:p w14:paraId="5316EFFB" w14:textId="0C317907" w:rsidR="00FE6FD3" w:rsidRDefault="00FE6FD3" w:rsidP="00930198">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Social, economic, and environmental conditions that impact quitting</w:t>
      </w:r>
    </w:p>
    <w:p w14:paraId="60FCC128" w14:textId="67BEB0C7" w:rsidR="00873E49" w:rsidRDefault="002F6548" w:rsidP="00930198">
      <w:pPr>
        <w:spacing w:line="276" w:lineRule="auto"/>
        <w:rPr>
          <w:rFonts w:asciiTheme="majorHAnsi" w:hAnsiTheme="majorHAnsi"/>
          <w:sz w:val="21"/>
          <w:szCs w:val="21"/>
        </w:rPr>
      </w:pPr>
      <w:r>
        <w:rPr>
          <w:rFonts w:asciiTheme="majorHAnsi" w:hAnsiTheme="majorHAnsi"/>
          <w:sz w:val="21"/>
          <w:szCs w:val="21"/>
        </w:rPr>
        <w:t>M</w:t>
      </w:r>
      <w:r w:rsidR="00873E49">
        <w:rPr>
          <w:rFonts w:asciiTheme="majorHAnsi" w:hAnsiTheme="majorHAnsi"/>
          <w:sz w:val="21"/>
          <w:szCs w:val="21"/>
        </w:rPr>
        <w:t>any individuals</w:t>
      </w:r>
      <w:r>
        <w:rPr>
          <w:rFonts w:asciiTheme="majorHAnsi" w:hAnsiTheme="majorHAnsi"/>
          <w:sz w:val="21"/>
          <w:szCs w:val="21"/>
        </w:rPr>
        <w:t xml:space="preserve"> live at the intersection of multiple adverse conditions that make quitting smoking much more difficult to attain.</w:t>
      </w:r>
      <w:r w:rsidR="00873E49">
        <w:rPr>
          <w:rFonts w:asciiTheme="majorHAnsi" w:hAnsiTheme="majorHAnsi"/>
          <w:sz w:val="21"/>
          <w:szCs w:val="21"/>
        </w:rPr>
        <w:t xml:space="preserve"> </w:t>
      </w:r>
    </w:p>
    <w:p w14:paraId="1990AFC4" w14:textId="77777777" w:rsidR="002F6548" w:rsidRPr="002F6548" w:rsidRDefault="002F6548" w:rsidP="00930198">
      <w:pPr>
        <w:spacing w:line="276" w:lineRule="auto"/>
        <w:rPr>
          <w:rFonts w:asciiTheme="majorHAnsi" w:eastAsiaTheme="majorEastAsia" w:hAnsiTheme="majorHAnsi" w:cstheme="majorBidi"/>
          <w:i/>
          <w:iCs/>
          <w:color w:val="4472C4" w:themeColor="accent1"/>
          <w:spacing w:val="15"/>
          <w:sz w:val="10"/>
          <w:szCs w:val="10"/>
        </w:rPr>
      </w:pPr>
    </w:p>
    <w:tbl>
      <w:tblPr>
        <w:tblStyle w:val="TableGrid"/>
        <w:tblW w:w="9477" w:type="dxa"/>
        <w:tblLook w:val="04A0" w:firstRow="1" w:lastRow="0" w:firstColumn="1" w:lastColumn="0" w:noHBand="0" w:noVBand="1"/>
      </w:tblPr>
      <w:tblGrid>
        <w:gridCol w:w="222"/>
        <w:gridCol w:w="9255"/>
      </w:tblGrid>
      <w:tr w:rsidR="00FE6FD3" w:rsidRPr="00643AFA" w14:paraId="5993A831" w14:textId="77777777" w:rsidTr="00FE6FD3">
        <w:trPr>
          <w:trHeight w:val="591"/>
        </w:trPr>
        <w:tc>
          <w:tcPr>
            <w:tcW w:w="212" w:type="dxa"/>
            <w:tcBorders>
              <w:top w:val="nil"/>
              <w:left w:val="nil"/>
              <w:bottom w:val="nil"/>
              <w:right w:val="nil"/>
            </w:tcBorders>
            <w:shd w:val="clear" w:color="auto" w:fill="FFC000" w:themeFill="accent4"/>
          </w:tcPr>
          <w:p w14:paraId="6F9D01C2" w14:textId="77777777" w:rsidR="00FE6FD3" w:rsidRPr="00643AFA" w:rsidRDefault="00FE6FD3" w:rsidP="00222B17">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755951C8" w14:textId="628865D1" w:rsidR="00FE6FD3" w:rsidRPr="00643AFA" w:rsidRDefault="00FE6FD3"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Financial and Work Environment</w:t>
            </w:r>
          </w:p>
          <w:p w14:paraId="7EA34B7B" w14:textId="78D53995" w:rsidR="00FE6FD3" w:rsidRPr="00B10AAF" w:rsidRDefault="00FE6FD3" w:rsidP="00222B17">
            <w:pPr>
              <w:widowControl w:val="0"/>
              <w:spacing w:line="276" w:lineRule="auto"/>
              <w:rPr>
                <w:rFonts w:asciiTheme="majorHAnsi" w:hAnsiTheme="majorHAnsi"/>
                <w:szCs w:val="22"/>
              </w:rPr>
            </w:pPr>
            <w:r w:rsidRPr="00FE6FD3">
              <w:rPr>
                <w:rFonts w:asciiTheme="majorHAnsi" w:hAnsiTheme="majorHAnsi"/>
                <w:szCs w:val="22"/>
              </w:rPr>
              <w:t>Completing fewer years of education can reduce an individual’s ability to secure stable, high paying jobs. Economic instability can lead to increased stress, and may help sustain smoking behaviors as a coping mechanism.</w:t>
            </w:r>
            <w:r w:rsidRPr="00FE6FD3">
              <w:rPr>
                <w:rFonts w:asciiTheme="majorHAnsi" w:hAnsiTheme="majorHAnsi"/>
                <w:szCs w:val="22"/>
                <w:vertAlign w:val="superscript"/>
              </w:rPr>
              <w:endnoteReference w:id="19"/>
            </w:r>
          </w:p>
        </w:tc>
      </w:tr>
    </w:tbl>
    <w:p w14:paraId="4F2C02E8" w14:textId="725C6CBC" w:rsidR="00FE6FD3" w:rsidRDefault="00FE6FD3" w:rsidP="00930198">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FE6FD3" w:rsidRPr="00643AFA" w14:paraId="67332D1B" w14:textId="77777777" w:rsidTr="00222B17">
        <w:trPr>
          <w:trHeight w:val="591"/>
        </w:trPr>
        <w:tc>
          <w:tcPr>
            <w:tcW w:w="212" w:type="dxa"/>
            <w:tcBorders>
              <w:top w:val="nil"/>
              <w:left w:val="nil"/>
              <w:bottom w:val="nil"/>
              <w:right w:val="nil"/>
            </w:tcBorders>
            <w:shd w:val="clear" w:color="auto" w:fill="FFC000" w:themeFill="accent4"/>
          </w:tcPr>
          <w:p w14:paraId="2C40B269" w14:textId="77777777" w:rsidR="00FE6FD3" w:rsidRPr="00643AFA" w:rsidRDefault="00FE6FD3" w:rsidP="00222B17">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490920E3" w14:textId="6FDFF04D" w:rsidR="00FE6FD3" w:rsidRPr="00643AFA" w:rsidRDefault="00FE6FD3"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Built Environment</w:t>
            </w:r>
          </w:p>
          <w:p w14:paraId="7E3F8DE3" w14:textId="0FFB4861" w:rsidR="00FE6FD3" w:rsidRPr="00B10AAF" w:rsidRDefault="00873E49" w:rsidP="00222B17">
            <w:pPr>
              <w:widowControl w:val="0"/>
              <w:spacing w:line="276" w:lineRule="auto"/>
              <w:rPr>
                <w:rFonts w:asciiTheme="majorHAnsi" w:hAnsiTheme="majorHAnsi"/>
                <w:szCs w:val="22"/>
              </w:rPr>
            </w:pPr>
            <w:r w:rsidRPr="00873E49">
              <w:rPr>
                <w:rFonts w:asciiTheme="majorHAnsi" w:hAnsiTheme="majorHAnsi"/>
                <w:szCs w:val="22"/>
              </w:rPr>
              <w:t xml:space="preserve">Tobacco retail density is higher in </w:t>
            </w:r>
            <w:r>
              <w:rPr>
                <w:rFonts w:asciiTheme="majorHAnsi" w:hAnsiTheme="majorHAnsi"/>
                <w:szCs w:val="22"/>
              </w:rPr>
              <w:t>lower-income</w:t>
            </w:r>
            <w:r w:rsidRPr="00873E49">
              <w:rPr>
                <w:rFonts w:asciiTheme="majorHAnsi" w:hAnsiTheme="majorHAnsi"/>
                <w:szCs w:val="22"/>
              </w:rPr>
              <w:t xml:space="preserve"> neighborhoods, and neighborhoods with a higher proportion of residents of color, which increases exposure to tobacco and environmental cues to smoke.</w:t>
            </w:r>
            <w:r w:rsidRPr="00873E49">
              <w:rPr>
                <w:rFonts w:asciiTheme="majorHAnsi" w:hAnsiTheme="majorHAnsi"/>
                <w:szCs w:val="22"/>
                <w:vertAlign w:val="superscript"/>
              </w:rPr>
              <w:endnoteReference w:id="20"/>
            </w:r>
            <w:r w:rsidRPr="00873E49">
              <w:rPr>
                <w:rFonts w:asciiTheme="majorHAnsi" w:hAnsiTheme="majorHAnsi"/>
                <w:szCs w:val="22"/>
              </w:rPr>
              <w:t xml:space="preserve"> In addition, there is increased advertising, and lower prices of menthol cigarettes in neighborhoods with more residents of color.</w:t>
            </w:r>
            <w:r w:rsidRPr="00873E49">
              <w:rPr>
                <w:rFonts w:asciiTheme="majorHAnsi" w:hAnsiTheme="majorHAnsi"/>
                <w:szCs w:val="22"/>
                <w:vertAlign w:val="superscript"/>
              </w:rPr>
              <w:endnoteReference w:id="21"/>
            </w:r>
            <w:r w:rsidRPr="00873E49">
              <w:rPr>
                <w:rFonts w:asciiTheme="majorHAnsi" w:hAnsiTheme="majorHAnsi"/>
                <w:szCs w:val="22"/>
              </w:rPr>
              <w:t xml:space="preserve"> Menthol cigarettes are more addictive and harder to quit than non-menthol cigarettes.</w:t>
            </w:r>
            <w:r w:rsidRPr="00873E49">
              <w:rPr>
                <w:rFonts w:asciiTheme="majorHAnsi" w:hAnsiTheme="majorHAnsi"/>
                <w:szCs w:val="22"/>
                <w:vertAlign w:val="superscript"/>
              </w:rPr>
              <w:endnoteReference w:id="22"/>
            </w:r>
          </w:p>
        </w:tc>
      </w:tr>
    </w:tbl>
    <w:p w14:paraId="5EC45012" w14:textId="58688D0A" w:rsidR="00FE6FD3" w:rsidRDefault="00FE6FD3" w:rsidP="00930198">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FE6FD3" w:rsidRPr="00643AFA" w14:paraId="034D39E4" w14:textId="77777777" w:rsidTr="00222B17">
        <w:trPr>
          <w:trHeight w:val="591"/>
        </w:trPr>
        <w:tc>
          <w:tcPr>
            <w:tcW w:w="212" w:type="dxa"/>
            <w:tcBorders>
              <w:top w:val="nil"/>
              <w:left w:val="nil"/>
              <w:bottom w:val="nil"/>
              <w:right w:val="nil"/>
            </w:tcBorders>
            <w:shd w:val="clear" w:color="auto" w:fill="FFC000" w:themeFill="accent4"/>
          </w:tcPr>
          <w:p w14:paraId="5F982829" w14:textId="77777777" w:rsidR="00FE6FD3" w:rsidRPr="00643AFA" w:rsidRDefault="00FE6FD3" w:rsidP="00222B17">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6B498CBA" w14:textId="546518ED" w:rsidR="00FE6FD3" w:rsidRPr="00643AFA" w:rsidRDefault="00873E49"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Social</w:t>
            </w:r>
            <w:r w:rsidR="00FE6FD3">
              <w:rPr>
                <w:rFonts w:asciiTheme="minorHAnsi" w:hAnsiTheme="minorHAnsi"/>
                <w:b/>
                <w:bCs/>
                <w:sz w:val="22"/>
                <w:szCs w:val="22"/>
              </w:rPr>
              <w:t xml:space="preserve"> Environment</w:t>
            </w:r>
          </w:p>
          <w:p w14:paraId="7FA8A19E" w14:textId="0BC49FE8" w:rsidR="00FE6FD3" w:rsidRPr="00B10AAF" w:rsidRDefault="00873E49" w:rsidP="00222B17">
            <w:pPr>
              <w:widowControl w:val="0"/>
              <w:spacing w:line="276" w:lineRule="auto"/>
              <w:rPr>
                <w:rFonts w:asciiTheme="majorHAnsi" w:hAnsiTheme="majorHAnsi"/>
                <w:szCs w:val="22"/>
              </w:rPr>
            </w:pPr>
            <w:r w:rsidRPr="00873E49">
              <w:rPr>
                <w:rFonts w:asciiTheme="majorHAnsi" w:hAnsiTheme="majorHAnsi"/>
                <w:szCs w:val="22"/>
              </w:rPr>
              <w:t>Population subgroups living in government-subsidized multi-unit housing (MUH), such as those experiencing lower socioeconomic status, and some racial/ethnic groups, are more likely to live in close proximity to other smokers and be exposed to secondhand smoke.</w:t>
            </w:r>
            <w:r w:rsidRPr="00873E49">
              <w:rPr>
                <w:rFonts w:asciiTheme="majorHAnsi" w:hAnsiTheme="majorHAnsi"/>
                <w:szCs w:val="22"/>
                <w:vertAlign w:val="superscript"/>
              </w:rPr>
              <w:endnoteReference w:id="23"/>
            </w:r>
            <w:r w:rsidRPr="00873E49">
              <w:rPr>
                <w:rFonts w:asciiTheme="majorHAnsi" w:hAnsiTheme="majorHAnsi"/>
                <w:szCs w:val="22"/>
              </w:rPr>
              <w:t xml:space="preserve"> These factors serve as environmental cues that help sustain smoking behaviors.</w:t>
            </w:r>
          </w:p>
        </w:tc>
      </w:tr>
    </w:tbl>
    <w:p w14:paraId="3DF79EE9" w14:textId="58D23802" w:rsidR="00FE6FD3" w:rsidRDefault="00FE6FD3" w:rsidP="00930198">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FE6FD3" w:rsidRPr="00643AFA" w14:paraId="24DF04CA" w14:textId="77777777" w:rsidTr="00222B17">
        <w:trPr>
          <w:trHeight w:val="591"/>
        </w:trPr>
        <w:tc>
          <w:tcPr>
            <w:tcW w:w="212" w:type="dxa"/>
            <w:tcBorders>
              <w:top w:val="nil"/>
              <w:left w:val="nil"/>
              <w:bottom w:val="nil"/>
              <w:right w:val="nil"/>
            </w:tcBorders>
            <w:shd w:val="clear" w:color="auto" w:fill="FFC000" w:themeFill="accent4"/>
          </w:tcPr>
          <w:p w14:paraId="3DA27433" w14:textId="77777777" w:rsidR="00FE6FD3" w:rsidRPr="00643AFA" w:rsidRDefault="00FE6FD3" w:rsidP="00222B17">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1C50A24B" w14:textId="13DFCB37" w:rsidR="00FE6FD3" w:rsidRPr="00643AFA" w:rsidRDefault="00873E49"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Healthcare</w:t>
            </w:r>
            <w:r w:rsidR="00FE6FD3">
              <w:rPr>
                <w:rFonts w:asciiTheme="minorHAnsi" w:hAnsiTheme="minorHAnsi"/>
                <w:b/>
                <w:bCs/>
                <w:sz w:val="22"/>
                <w:szCs w:val="22"/>
              </w:rPr>
              <w:t xml:space="preserve"> Environment</w:t>
            </w:r>
          </w:p>
          <w:p w14:paraId="5C6EE1F3" w14:textId="1253AE80" w:rsidR="00FE6FD3" w:rsidRPr="00B10AAF" w:rsidRDefault="00873E49" w:rsidP="00222B17">
            <w:pPr>
              <w:widowControl w:val="0"/>
              <w:spacing w:line="276" w:lineRule="auto"/>
              <w:rPr>
                <w:rFonts w:asciiTheme="majorHAnsi" w:hAnsiTheme="majorHAnsi"/>
                <w:szCs w:val="22"/>
              </w:rPr>
            </w:pPr>
            <w:bookmarkStart w:id="0" w:name="_Hlk51761652"/>
            <w:r w:rsidRPr="00873E49">
              <w:rPr>
                <w:rFonts w:asciiTheme="majorHAnsi" w:hAnsiTheme="majorHAnsi"/>
                <w:szCs w:val="22"/>
              </w:rPr>
              <w:t>Many population subgroups, such as those experiencing poor mental health or low socioeconomic status, are less likely to receive support for quitting from a health care or service provider.</w:t>
            </w:r>
            <w:r w:rsidRPr="00873E49">
              <w:rPr>
                <w:rFonts w:asciiTheme="majorHAnsi" w:hAnsiTheme="majorHAnsi"/>
                <w:szCs w:val="22"/>
                <w:vertAlign w:val="superscript"/>
              </w:rPr>
              <w:endnoteReference w:id="24"/>
            </w:r>
            <w:r w:rsidRPr="00873E49">
              <w:rPr>
                <w:rFonts w:asciiTheme="majorHAnsi" w:hAnsiTheme="majorHAnsi"/>
                <w:szCs w:val="22"/>
              </w:rPr>
              <w:t xml:space="preserve"> In addition, Black smokers are less likely to receive screening for tobacco use and evidence-based treatments for cessation from a health care professional compared to smokers of other race/ethnicities.</w:t>
            </w:r>
            <w:r w:rsidRPr="00873E49">
              <w:rPr>
                <w:rFonts w:asciiTheme="majorHAnsi" w:hAnsiTheme="majorHAnsi"/>
                <w:szCs w:val="22"/>
                <w:vertAlign w:val="superscript"/>
              </w:rPr>
              <w:endnoteReference w:id="25"/>
            </w:r>
            <w:bookmarkEnd w:id="0"/>
          </w:p>
        </w:tc>
      </w:tr>
    </w:tbl>
    <w:p w14:paraId="13FBCADE" w14:textId="2F129CED" w:rsidR="00FE6FD3" w:rsidRDefault="00FE6FD3" w:rsidP="00930198">
      <w:pPr>
        <w:spacing w:line="276" w:lineRule="auto"/>
        <w:rPr>
          <w:rFonts w:asciiTheme="majorHAnsi" w:hAnsiTheme="majorHAnsi"/>
          <w:sz w:val="21"/>
          <w:szCs w:val="21"/>
        </w:rPr>
      </w:pPr>
    </w:p>
    <w:p w14:paraId="7B7B9D3C" w14:textId="3EBC92F9" w:rsidR="002F6548" w:rsidRDefault="002F6548" w:rsidP="002F6548">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Quitting Rates</w:t>
      </w:r>
    </w:p>
    <w:p w14:paraId="4BCC7051" w14:textId="4EEA0599" w:rsidR="002F6548" w:rsidRDefault="002F6548" w:rsidP="002F6548">
      <w:pPr>
        <w:spacing w:line="276" w:lineRule="auto"/>
        <w:rPr>
          <w:rFonts w:asciiTheme="majorHAnsi" w:hAnsiTheme="majorHAnsi"/>
          <w:sz w:val="21"/>
          <w:szCs w:val="21"/>
        </w:rPr>
      </w:pPr>
      <w:r w:rsidRPr="002F6548">
        <w:rPr>
          <w:rFonts w:asciiTheme="majorHAnsi" w:hAnsiTheme="majorHAnsi"/>
          <w:sz w:val="21"/>
          <w:szCs w:val="21"/>
        </w:rPr>
        <w:t xml:space="preserve">Sixty percent (60%) of cigarette smokers in Massachusetts made a quit attempt (stopped smoking one day or longer) in the past year and sixty-six percent (66%) of adults who ever smoked have now successfully quit smoking (have smoked 100+ cigarettes in their lifetime, but no longer smoke). </w:t>
      </w:r>
    </w:p>
    <w:p w14:paraId="02E59B0C" w14:textId="77777777" w:rsidR="002F6548" w:rsidRPr="002F6548" w:rsidRDefault="002F6548" w:rsidP="002F6548">
      <w:pPr>
        <w:spacing w:line="276" w:lineRule="auto"/>
        <w:rPr>
          <w:rFonts w:asciiTheme="majorHAnsi" w:hAnsiTheme="majorHAnsi"/>
          <w:sz w:val="21"/>
          <w:szCs w:val="21"/>
        </w:rPr>
      </w:pPr>
    </w:p>
    <w:p w14:paraId="7CFDBAAC" w14:textId="77777777" w:rsidR="002F6548" w:rsidRPr="002F6548" w:rsidRDefault="002F6548" w:rsidP="002F6548">
      <w:pPr>
        <w:spacing w:line="276" w:lineRule="auto"/>
        <w:rPr>
          <w:rFonts w:asciiTheme="majorHAnsi" w:hAnsiTheme="majorHAnsi"/>
          <w:sz w:val="21"/>
          <w:szCs w:val="21"/>
        </w:rPr>
      </w:pPr>
      <w:r w:rsidRPr="002F6548">
        <w:rPr>
          <w:rFonts w:asciiTheme="majorHAnsi" w:hAnsiTheme="majorHAnsi"/>
          <w:sz w:val="21"/>
          <w:szCs w:val="21"/>
        </w:rPr>
        <w:t>Successful quitting is dependent on a variety of factors including: social support, the presence of environmental triggers, stresses that help sustain smoking behavior, and access to appropriate, evidence-based care.  In Massachusetts:</w:t>
      </w:r>
    </w:p>
    <w:p w14:paraId="2CEF643A" w14:textId="0BDE79CB" w:rsidR="002F6548" w:rsidRPr="002F6548" w:rsidRDefault="002F6548" w:rsidP="002F6548">
      <w:pPr>
        <w:numPr>
          <w:ilvl w:val="0"/>
          <w:numId w:val="8"/>
        </w:numPr>
        <w:spacing w:line="276" w:lineRule="auto"/>
        <w:rPr>
          <w:rFonts w:asciiTheme="majorHAnsi" w:hAnsiTheme="majorHAnsi"/>
          <w:sz w:val="21"/>
          <w:szCs w:val="21"/>
        </w:rPr>
      </w:pPr>
      <w:r w:rsidRPr="002F6548">
        <w:rPr>
          <w:rFonts w:asciiTheme="majorHAnsi" w:hAnsiTheme="majorHAnsi"/>
          <w:sz w:val="21"/>
          <w:szCs w:val="21"/>
        </w:rPr>
        <w:t xml:space="preserve">Sub-groups with disproportionately higher smoking rates (See: </w:t>
      </w:r>
      <w:r w:rsidRPr="002F6548">
        <w:rPr>
          <w:rFonts w:asciiTheme="majorHAnsi" w:hAnsiTheme="majorHAnsi"/>
          <w:i/>
          <w:sz w:val="21"/>
          <w:szCs w:val="21"/>
        </w:rPr>
        <w:t>Who Smokes and Why)</w:t>
      </w:r>
      <w:r w:rsidRPr="002F6548">
        <w:rPr>
          <w:rFonts w:asciiTheme="majorHAnsi" w:hAnsiTheme="majorHAnsi"/>
          <w:sz w:val="21"/>
          <w:szCs w:val="21"/>
        </w:rPr>
        <w:t xml:space="preserve"> also have lower rates of </w:t>
      </w:r>
      <w:r w:rsidR="00677724">
        <w:rPr>
          <w:rFonts w:asciiTheme="majorHAnsi" w:hAnsiTheme="majorHAnsi"/>
          <w:sz w:val="21"/>
          <w:szCs w:val="21"/>
        </w:rPr>
        <w:t>successfully</w:t>
      </w:r>
      <w:r w:rsidRPr="002F6548">
        <w:rPr>
          <w:rFonts w:asciiTheme="majorHAnsi" w:hAnsiTheme="majorHAnsi"/>
          <w:sz w:val="21"/>
          <w:szCs w:val="21"/>
        </w:rPr>
        <w:t xml:space="preserve"> quitting compared to the general population (Figure 5).</w:t>
      </w:r>
    </w:p>
    <w:p w14:paraId="76E4D5C4" w14:textId="77777777" w:rsidR="002F6548" w:rsidRPr="002F6548" w:rsidRDefault="002F6548" w:rsidP="002F6548">
      <w:pPr>
        <w:numPr>
          <w:ilvl w:val="0"/>
          <w:numId w:val="8"/>
        </w:numPr>
        <w:spacing w:line="276" w:lineRule="auto"/>
        <w:rPr>
          <w:rFonts w:asciiTheme="majorHAnsi" w:hAnsiTheme="majorHAnsi"/>
          <w:sz w:val="21"/>
          <w:szCs w:val="21"/>
        </w:rPr>
      </w:pPr>
      <w:r w:rsidRPr="002F6548">
        <w:rPr>
          <w:rFonts w:asciiTheme="majorHAnsi" w:hAnsiTheme="majorHAnsi"/>
          <w:sz w:val="21"/>
          <w:szCs w:val="21"/>
        </w:rPr>
        <w:lastRenderedPageBreak/>
        <w:t>Those with a low socioeconomic status or who reported poor mental health tend to have lower quit rates than average, a trend seen over time (Figure 6).</w:t>
      </w:r>
    </w:p>
    <w:p w14:paraId="43E9B218" w14:textId="77777777" w:rsidR="002F6548" w:rsidRPr="002F6548" w:rsidRDefault="002F6548" w:rsidP="002F6548">
      <w:pPr>
        <w:numPr>
          <w:ilvl w:val="0"/>
          <w:numId w:val="8"/>
        </w:numPr>
        <w:spacing w:line="276" w:lineRule="auto"/>
        <w:rPr>
          <w:rFonts w:asciiTheme="majorHAnsi" w:hAnsiTheme="majorHAnsi"/>
          <w:sz w:val="21"/>
          <w:szCs w:val="21"/>
        </w:rPr>
      </w:pPr>
      <w:r w:rsidRPr="002F6548">
        <w:rPr>
          <w:rFonts w:asciiTheme="majorHAnsi" w:hAnsiTheme="majorHAnsi"/>
          <w:sz w:val="21"/>
          <w:szCs w:val="21"/>
        </w:rPr>
        <w:t xml:space="preserve">Trends over time indicate that people of color are consistently less likely to report successful smoking cessation compared to White smokers (Figure 7). This trend sustains over time, despite people of color smoking at similar rates and making similar numbers of quit attempts to Whites (See: </w:t>
      </w:r>
      <w:r w:rsidRPr="002F6548">
        <w:rPr>
          <w:rFonts w:asciiTheme="majorHAnsi" w:hAnsiTheme="majorHAnsi"/>
          <w:i/>
          <w:sz w:val="21"/>
          <w:szCs w:val="21"/>
        </w:rPr>
        <w:t>Who Smokes and Why</w:t>
      </w:r>
      <w:r w:rsidRPr="002F6548">
        <w:rPr>
          <w:rFonts w:asciiTheme="majorHAnsi" w:hAnsiTheme="majorHAnsi"/>
          <w:sz w:val="21"/>
          <w:szCs w:val="21"/>
        </w:rPr>
        <w:t>).</w:t>
      </w:r>
    </w:p>
    <w:p w14:paraId="781AED63" w14:textId="7EB55FCF" w:rsidR="002F6548" w:rsidRDefault="002F6548" w:rsidP="00930198">
      <w:pPr>
        <w:spacing w:line="276" w:lineRule="auto"/>
        <w:rPr>
          <w:rFonts w:asciiTheme="majorHAnsi" w:hAnsiTheme="majorHAnsi"/>
          <w:sz w:val="21"/>
          <w:szCs w:val="21"/>
        </w:rPr>
      </w:pPr>
    </w:p>
    <w:p w14:paraId="671359AA" w14:textId="4F52D016" w:rsidR="002F6548" w:rsidRDefault="002F6548" w:rsidP="002F6548">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Inequities in Quitting</w:t>
      </w:r>
    </w:p>
    <w:p w14:paraId="2C3C268D" w14:textId="427245C0" w:rsidR="00873E49" w:rsidRDefault="002F6548" w:rsidP="00930198">
      <w:pPr>
        <w:spacing w:line="276" w:lineRule="auto"/>
        <w:rPr>
          <w:rFonts w:asciiTheme="majorHAnsi" w:hAnsiTheme="majorHAnsi"/>
          <w:sz w:val="21"/>
          <w:szCs w:val="21"/>
        </w:rPr>
      </w:pPr>
      <w:r w:rsidRPr="002F6548">
        <w:rPr>
          <w:rFonts w:asciiTheme="majorHAnsi" w:hAnsiTheme="majorHAnsi"/>
          <w:sz w:val="21"/>
          <w:szCs w:val="21"/>
        </w:rPr>
        <w:t>Some population subgroups consistently quit smoking at much lower rates than the general population in Massachusetts (Figure 5). Successful rates of quitting are lower among smokers with poor mental health, MassHealth insurance, low socioeconomic status, those who live in multi-unit housing, those who identify as LGBT, and those who identify as non-Hispanic Black or Hispanic. All subgroup quitting rates other than disability and identifying as non-Hispanic White are significantly different from the rate for all Massachusetts adults.</w:t>
      </w:r>
    </w:p>
    <w:p w14:paraId="50AA9653" w14:textId="4EA1E2DB" w:rsidR="002F6548" w:rsidRDefault="002F6548" w:rsidP="00930198">
      <w:pPr>
        <w:spacing w:line="276" w:lineRule="auto"/>
        <w:rPr>
          <w:rFonts w:asciiTheme="majorHAnsi" w:hAnsiTheme="majorHAnsi"/>
          <w:sz w:val="21"/>
          <w:szCs w:val="21"/>
        </w:rPr>
      </w:pPr>
    </w:p>
    <w:p w14:paraId="09CB9BAE" w14:textId="37FF6A46" w:rsidR="00873E49" w:rsidRDefault="00677724" w:rsidP="00930198">
      <w:pPr>
        <w:spacing w:line="276" w:lineRule="auto"/>
        <w:rPr>
          <w:rFonts w:asciiTheme="majorHAnsi" w:hAnsiTheme="majorHAnsi"/>
          <w:sz w:val="21"/>
          <w:szCs w:val="21"/>
        </w:rPr>
      </w:pPr>
      <w:r>
        <w:rPr>
          <w:rFonts w:asciiTheme="minorHAnsi" w:hAnsiTheme="minorHAnsi"/>
          <w:noProof/>
          <w:sz w:val="22"/>
          <w:szCs w:val="22"/>
        </w:rPr>
        <mc:AlternateContent>
          <mc:Choice Requires="wps">
            <w:drawing>
              <wp:anchor distT="0" distB="0" distL="114300" distR="114300" simplePos="0" relativeHeight="251742208" behindDoc="0" locked="0" layoutInCell="1" allowOverlap="1" wp14:anchorId="5C9CDA8B" wp14:editId="6C7E3B97">
                <wp:simplePos x="0" y="0"/>
                <wp:positionH relativeFrom="column">
                  <wp:posOffset>4757530</wp:posOffset>
                </wp:positionH>
                <wp:positionV relativeFrom="paragraph">
                  <wp:posOffset>3075112</wp:posOffset>
                </wp:positionV>
                <wp:extent cx="1477618" cy="18050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477618" cy="180505"/>
                        </a:xfrm>
                        <a:prstGeom prst="rect">
                          <a:avLst/>
                        </a:prstGeom>
                        <a:solidFill>
                          <a:schemeClr val="lt1"/>
                        </a:solidFill>
                        <a:ln w="6350">
                          <a:noFill/>
                        </a:ln>
                      </wps:spPr>
                      <wps:txbx>
                        <w:txbxContent>
                          <w:p w14:paraId="1F8B1D31" w14:textId="67CB59E1" w:rsidR="00677724" w:rsidRPr="00677724" w:rsidRDefault="00677724">
                            <w:pPr>
                              <w:rPr>
                                <w:sz w:val="11"/>
                                <w:szCs w:val="11"/>
                              </w:rPr>
                            </w:pPr>
                            <w:r w:rsidRPr="00677724">
                              <w:rPr>
                                <w:sz w:val="13"/>
                                <w:szCs w:val="13"/>
                              </w:rPr>
                              <w:t>Source: M</w:t>
                            </w:r>
                            <w:r>
                              <w:rPr>
                                <w:sz w:val="13"/>
                                <w:szCs w:val="13"/>
                              </w:rPr>
                              <w:t>assachusetts BRFSS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9CDA8B" id="Text Box 27" o:spid="_x0000_s1040" type="#_x0000_t202" style="position:absolute;margin-left:374.6pt;margin-top:242.15pt;width:116.35pt;height:14.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" fillcolor="white [3201]" stroked="f" strokeweight=".5pt">
                <v:textbox>
                  <w:txbxContent>
                    <w:p w14:paraId="1F8B1D31" w14:textId="67CB59E1" w:rsidR="00677724" w:rsidRPr="00677724" w:rsidRDefault="00677724">
                      <w:pPr>
                        <w:rPr>
                          <w:sz w:val="11"/>
                          <w:szCs w:val="11"/>
                        </w:rPr>
                      </w:pPr>
                      <w:r w:rsidRPr="00677724">
                        <w:rPr>
                          <w:sz w:val="13"/>
                          <w:szCs w:val="13"/>
                        </w:rPr>
                        <w:t>Source: M</w:t>
                      </w:r>
                      <w:r>
                        <w:rPr>
                          <w:sz w:val="13"/>
                          <w:szCs w:val="13"/>
                        </w:rPr>
                        <w:t>assachusetts BRFSS</w:t>
                      </w:r>
                    </w:p>
                  </w:txbxContent>
                </v:textbox>
              </v:shape>
            </w:pict>
          </mc:Fallback>
        </mc:AlternateContent>
      </w:r>
      <w:r w:rsidR="00291F8D" w:rsidRPr="00BE3A71">
        <w:rPr>
          <w:rFonts w:asciiTheme="minorHAnsi" w:hAnsiTheme="minorHAnsi"/>
          <w:noProof/>
          <w:sz w:val="22"/>
          <w:szCs w:val="22"/>
        </w:rPr>
        <mc:AlternateContent>
          <mc:Choice Requires="wps">
            <w:drawing>
              <wp:anchor distT="0" distB="0" distL="114300" distR="114300" simplePos="0" relativeHeight="251683840" behindDoc="0" locked="0" layoutInCell="1" allowOverlap="1" wp14:anchorId="150C0298" wp14:editId="0C7429E3">
                <wp:simplePos x="0" y="0"/>
                <wp:positionH relativeFrom="margin">
                  <wp:posOffset>4665295</wp:posOffset>
                </wp:positionH>
                <wp:positionV relativeFrom="paragraph">
                  <wp:posOffset>558851</wp:posOffset>
                </wp:positionV>
                <wp:extent cx="1762964" cy="333955"/>
                <wp:effectExtent l="0" t="0" r="0" b="0"/>
                <wp:wrapNone/>
                <wp:docPr id="3" name="TextBox 2"/>
                <wp:cNvGraphicFramePr/>
                <a:graphic xmlns:a="http://schemas.openxmlformats.org/drawingml/2006/main">
                  <a:graphicData uri="http://schemas.microsoft.com/office/word/2010/wordprocessingShape">
                    <wps:wsp>
                      <wps:cNvSpPr txBox="1"/>
                      <wps:spPr>
                        <a:xfrm>
                          <a:off x="0" y="0"/>
                          <a:ext cx="1762964" cy="333955"/>
                        </a:xfrm>
                        <a:prstGeom prst="rect">
                          <a:avLst/>
                        </a:prstGeom>
                      </wps:spPr>
                      <wps:txbx>
                        <w:txbxContent>
                          <w:p w14:paraId="704713D8" w14:textId="2D140024" w:rsidR="00291F8D" w:rsidRPr="00E10030" w:rsidRDefault="00291F8D" w:rsidP="00291F8D">
                            <w:pPr>
                              <w:pStyle w:val="NormalWeb"/>
                              <w:spacing w:before="0" w:beforeAutospacing="0" w:after="0" w:afterAutospacing="0"/>
                              <w:rPr>
                                <w:rFonts w:asciiTheme="minorHAnsi" w:hAnsiTheme="minorHAnsi" w:cstheme="minorHAnsi"/>
                              </w:rPr>
                            </w:pPr>
                            <w:r w:rsidRPr="00E10030">
                              <w:rPr>
                                <w:rFonts w:asciiTheme="minorHAnsi" w:hAnsiTheme="minorHAnsi" w:cstheme="minorHAnsi"/>
                                <w:sz w:val="16"/>
                                <w:szCs w:val="16"/>
                              </w:rPr>
                              <w:t xml:space="preserve">               </w:t>
                            </w:r>
                            <w:r>
                              <w:rPr>
                                <w:rFonts w:asciiTheme="minorHAnsi" w:hAnsiTheme="minorHAnsi" w:cstheme="minorHAnsi"/>
                                <w:sz w:val="20"/>
                                <w:szCs w:val="20"/>
                              </w:rPr>
                              <w:t>More</w:t>
                            </w:r>
                            <w:r w:rsidRPr="00E10030">
                              <w:rPr>
                                <w:rFonts w:asciiTheme="minorHAnsi" w:hAnsiTheme="minorHAnsi" w:cstheme="minorHAnsi"/>
                                <w:sz w:val="20"/>
                                <w:szCs w:val="20"/>
                              </w:rPr>
                              <w:t xml:space="preserve"> Likely to Quit                                                                                       </w:t>
                            </w:r>
                            <w:r>
                              <w:rPr>
                                <w:rFonts w:asciiTheme="minorHAnsi" w:hAnsiTheme="minorHAnsi" w:cstheme="minorHAnsi"/>
                                <w:sz w:val="20"/>
                                <w:szCs w:val="20"/>
                              </w:rPr>
                              <w:tab/>
                              <w:t xml:space="preserve">       </w:t>
                            </w:r>
                            <w:r w:rsidRPr="00E10030">
                              <w:rPr>
                                <w:rFonts w:asciiTheme="minorHAnsi" w:hAnsiTheme="minorHAnsi" w:cstheme="minorHAnsi"/>
                                <w:sz w:val="20"/>
                                <w:szCs w:val="20"/>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50C0298" id="TextBox 2" o:spid="_x0000_s1041" type="#_x0000_t202" style="position:absolute;margin-left:367.35pt;margin-top:44pt;width:138.8pt;height:26.3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" filled="f" stroked="f">
                <v:textbox>
                  <w:txbxContent>
                    <w:p w14:paraId="704713D8" w14:textId="2D140024" w:rsidR="00291F8D" w:rsidRPr="00E10030" w:rsidRDefault="00291F8D" w:rsidP="00291F8D">
                      <w:pPr>
                        <w:pStyle w:val="NormalWeb"/>
                        <w:spacing w:before="0" w:beforeAutospacing="0" w:after="0" w:afterAutospacing="0"/>
                        <w:rPr>
                          <w:rFonts w:asciiTheme="minorHAnsi" w:hAnsiTheme="minorHAnsi" w:cstheme="minorHAnsi"/>
                        </w:rPr>
                      </w:pPr>
                      <w:r w:rsidRPr="00E10030">
                        <w:rPr>
                          <w:rFonts w:asciiTheme="minorHAnsi" w:hAnsiTheme="minorHAnsi" w:cstheme="minorHAnsi"/>
                          <w:sz w:val="16"/>
                          <w:szCs w:val="16"/>
                        </w:rPr>
                        <w:t xml:space="preserve">               </w:t>
                      </w:r>
                      <w:r>
                        <w:rPr>
                          <w:rFonts w:asciiTheme="minorHAnsi" w:hAnsiTheme="minorHAnsi" w:cstheme="minorHAnsi"/>
                          <w:sz w:val="20"/>
                          <w:szCs w:val="20"/>
                        </w:rPr>
                        <w:t>More</w:t>
                      </w:r>
                      <w:r w:rsidRPr="00E10030">
                        <w:rPr>
                          <w:rFonts w:asciiTheme="minorHAnsi" w:hAnsiTheme="minorHAnsi" w:cstheme="minorHAnsi"/>
                          <w:sz w:val="20"/>
                          <w:szCs w:val="20"/>
                        </w:rPr>
                        <w:t xml:space="preserve"> Likely to Quit                                                                                       </w:t>
                      </w:r>
                      <w:r>
                        <w:rPr>
                          <w:rFonts w:asciiTheme="minorHAnsi" w:hAnsiTheme="minorHAnsi" w:cstheme="minorHAnsi"/>
                          <w:sz w:val="20"/>
                          <w:szCs w:val="20"/>
                        </w:rPr>
                        <w:tab/>
                        <w:t xml:space="preserve">       </w:t>
                      </w:r>
                      <w:r w:rsidRPr="00E10030">
                        <w:rPr>
                          <w:rFonts w:asciiTheme="minorHAnsi" w:hAnsiTheme="minorHAnsi" w:cstheme="minorHAnsi"/>
                          <w:sz w:val="20"/>
                          <w:szCs w:val="20"/>
                        </w:rPr>
                        <w:t xml:space="preserve">  </w:t>
                      </w:r>
                    </w:p>
                  </w:txbxContent>
                </v:textbox>
                <w10:wrap anchorx="margin"/>
              </v:shape>
            </w:pict>
          </mc:Fallback>
        </mc:AlternateContent>
      </w:r>
      <w:r w:rsidR="00291F8D" w:rsidRPr="00BE3A71">
        <w:rPr>
          <w:rFonts w:asciiTheme="minorHAnsi" w:hAnsiTheme="minorHAnsi"/>
          <w:noProof/>
          <w:sz w:val="22"/>
          <w:szCs w:val="22"/>
        </w:rPr>
        <mc:AlternateContent>
          <mc:Choice Requires="wps">
            <w:drawing>
              <wp:anchor distT="0" distB="0" distL="114300" distR="114300" simplePos="0" relativeHeight="251681792" behindDoc="0" locked="0" layoutInCell="1" allowOverlap="1" wp14:anchorId="0247D6CC" wp14:editId="13571914">
                <wp:simplePos x="0" y="0"/>
                <wp:positionH relativeFrom="margin">
                  <wp:posOffset>1799133</wp:posOffset>
                </wp:positionH>
                <wp:positionV relativeFrom="paragraph">
                  <wp:posOffset>560146</wp:posOffset>
                </wp:positionV>
                <wp:extent cx="1762964" cy="333955"/>
                <wp:effectExtent l="0" t="0" r="0" b="0"/>
                <wp:wrapNone/>
                <wp:docPr id="38" name="TextBox 2"/>
                <wp:cNvGraphicFramePr/>
                <a:graphic xmlns:a="http://schemas.openxmlformats.org/drawingml/2006/main">
                  <a:graphicData uri="http://schemas.microsoft.com/office/word/2010/wordprocessingShape">
                    <wps:wsp>
                      <wps:cNvSpPr txBox="1"/>
                      <wps:spPr>
                        <a:xfrm>
                          <a:off x="0" y="0"/>
                          <a:ext cx="1762964" cy="333955"/>
                        </a:xfrm>
                        <a:prstGeom prst="rect">
                          <a:avLst/>
                        </a:prstGeom>
                      </wps:spPr>
                      <wps:txbx>
                        <w:txbxContent>
                          <w:p w14:paraId="71394116" w14:textId="16FA5722" w:rsidR="00291F8D" w:rsidRPr="00E10030" w:rsidRDefault="00291F8D" w:rsidP="00291F8D">
                            <w:pPr>
                              <w:pStyle w:val="NormalWeb"/>
                              <w:spacing w:before="0" w:beforeAutospacing="0" w:after="0" w:afterAutospacing="0"/>
                              <w:rPr>
                                <w:rFonts w:asciiTheme="minorHAnsi" w:hAnsiTheme="minorHAnsi" w:cstheme="minorHAnsi"/>
                              </w:rPr>
                            </w:pPr>
                            <w:r w:rsidRPr="00E10030">
                              <w:rPr>
                                <w:rFonts w:asciiTheme="minorHAnsi" w:hAnsiTheme="minorHAnsi" w:cstheme="minorHAnsi"/>
                                <w:sz w:val="16"/>
                                <w:szCs w:val="16"/>
                              </w:rPr>
                              <w:t xml:space="preserve">               </w:t>
                            </w:r>
                            <w:r w:rsidRPr="00E10030">
                              <w:rPr>
                                <w:rFonts w:asciiTheme="minorHAnsi" w:hAnsiTheme="minorHAnsi" w:cstheme="minorHAnsi"/>
                                <w:sz w:val="20"/>
                                <w:szCs w:val="20"/>
                              </w:rPr>
                              <w:t xml:space="preserve">Less Likely to Quit                                                                                       </w:t>
                            </w:r>
                            <w:r>
                              <w:rPr>
                                <w:rFonts w:asciiTheme="minorHAnsi" w:hAnsiTheme="minorHAnsi" w:cstheme="minorHAnsi"/>
                                <w:sz w:val="20"/>
                                <w:szCs w:val="20"/>
                              </w:rPr>
                              <w:tab/>
                              <w:t xml:space="preserve">       </w:t>
                            </w:r>
                            <w:r w:rsidRPr="00E10030">
                              <w:rPr>
                                <w:rFonts w:asciiTheme="minorHAnsi" w:hAnsiTheme="minorHAnsi" w:cstheme="minorHAnsi"/>
                                <w:sz w:val="20"/>
                                <w:szCs w:val="20"/>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47D6CC" id="_x0000_s1042" type="#_x0000_t202" style="position:absolute;margin-left:141.65pt;margin-top:44.1pt;width:138.8pt;height:26.3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" filled="f" stroked="f">
                <v:textbox>
                  <w:txbxContent>
                    <w:p w14:paraId="71394116" w14:textId="16FA5722" w:rsidR="00291F8D" w:rsidRPr="00E10030" w:rsidRDefault="00291F8D" w:rsidP="00291F8D">
                      <w:pPr>
                        <w:pStyle w:val="NormalWeb"/>
                        <w:spacing w:before="0" w:beforeAutospacing="0" w:after="0" w:afterAutospacing="0"/>
                        <w:rPr>
                          <w:rFonts w:asciiTheme="minorHAnsi" w:hAnsiTheme="minorHAnsi" w:cstheme="minorHAnsi"/>
                        </w:rPr>
                      </w:pPr>
                      <w:r w:rsidRPr="00E10030">
                        <w:rPr>
                          <w:rFonts w:asciiTheme="minorHAnsi" w:hAnsiTheme="minorHAnsi" w:cstheme="minorHAnsi"/>
                          <w:sz w:val="16"/>
                          <w:szCs w:val="16"/>
                        </w:rPr>
                        <w:t xml:space="preserve">               </w:t>
                      </w:r>
                      <w:r w:rsidRPr="00E10030">
                        <w:rPr>
                          <w:rFonts w:asciiTheme="minorHAnsi" w:hAnsiTheme="minorHAnsi" w:cstheme="minorHAnsi"/>
                          <w:sz w:val="20"/>
                          <w:szCs w:val="20"/>
                        </w:rPr>
                        <w:t xml:space="preserve">Less Likely to Quit                                                                                       </w:t>
                      </w:r>
                      <w:r>
                        <w:rPr>
                          <w:rFonts w:asciiTheme="minorHAnsi" w:hAnsiTheme="minorHAnsi" w:cstheme="minorHAnsi"/>
                          <w:sz w:val="20"/>
                          <w:szCs w:val="20"/>
                        </w:rPr>
                        <w:tab/>
                        <w:t xml:space="preserve">       </w:t>
                      </w:r>
                      <w:r w:rsidRPr="00E10030">
                        <w:rPr>
                          <w:rFonts w:asciiTheme="minorHAnsi" w:hAnsiTheme="minorHAnsi" w:cstheme="minorHAnsi"/>
                          <w:sz w:val="20"/>
                          <w:szCs w:val="20"/>
                        </w:rPr>
                        <w:t xml:space="preserve">  </w:t>
                      </w:r>
                    </w:p>
                  </w:txbxContent>
                </v:textbox>
                <w10:wrap anchorx="margin"/>
              </v:shape>
            </w:pict>
          </mc:Fallback>
        </mc:AlternateContent>
      </w:r>
      <w:r w:rsidR="002F6548">
        <w:rPr>
          <w:noProof/>
        </w:rPr>
        <w:drawing>
          <wp:inline distT="0" distB="0" distL="0" distR="0" wp14:anchorId="445CE02C" wp14:editId="0CFCDA95">
            <wp:extent cx="6269126" cy="3255264"/>
            <wp:effectExtent l="0" t="0" r="17780" b="8890"/>
            <wp:docPr id="684" name="Chart 684">
              <a:extLst xmlns:a="http://schemas.openxmlformats.org/drawingml/2006/main">
                <a:ext uri="{FF2B5EF4-FFF2-40B4-BE49-F238E27FC236}">
                  <a16:creationId xmlns:a16="http://schemas.microsoft.com/office/drawing/2014/main" id="{5C4EC356-F173-4A4A-B53F-F0E9C6627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13EE414" w14:textId="07367A35" w:rsidR="00873E49" w:rsidRDefault="00873E49" w:rsidP="00930198">
      <w:pPr>
        <w:spacing w:line="276" w:lineRule="auto"/>
        <w:rPr>
          <w:rFonts w:asciiTheme="majorHAnsi" w:hAnsiTheme="majorHAnsi"/>
          <w:sz w:val="21"/>
          <w:szCs w:val="21"/>
        </w:rPr>
      </w:pPr>
    </w:p>
    <w:p w14:paraId="41A302CD" w14:textId="023AA08C" w:rsidR="00291F8D" w:rsidRDefault="00291F8D" w:rsidP="00291F8D">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Quitting Trends Over Time</w:t>
      </w:r>
    </w:p>
    <w:p w14:paraId="17EA9C0F" w14:textId="77777777" w:rsidR="00291F8D" w:rsidRPr="00291F8D" w:rsidRDefault="00291F8D" w:rsidP="00291F8D">
      <w:pPr>
        <w:spacing w:line="276" w:lineRule="auto"/>
        <w:rPr>
          <w:rFonts w:asciiTheme="majorHAnsi" w:hAnsiTheme="majorHAnsi"/>
          <w:sz w:val="21"/>
          <w:szCs w:val="21"/>
        </w:rPr>
      </w:pPr>
      <w:r w:rsidRPr="00291F8D">
        <w:rPr>
          <w:rFonts w:asciiTheme="majorHAnsi" w:hAnsiTheme="majorHAnsi"/>
          <w:sz w:val="21"/>
          <w:szCs w:val="21"/>
        </w:rPr>
        <w:t>While all rates of successful quitting have increased since 1996, some subgroups report consistently lower rates compared to the state average, including smokers with mental illness and low socioeconomic status (Figure 6). Barriers to quitting for these subgroups are similar, and include using smoking as a coping mechanism for stress, not receiving support for quitting from health care providers, and community acceptance of smoking behaviors.</w:t>
      </w:r>
      <w:r w:rsidRPr="00291F8D">
        <w:rPr>
          <w:rFonts w:asciiTheme="majorHAnsi" w:hAnsiTheme="majorHAnsi"/>
          <w:sz w:val="21"/>
          <w:szCs w:val="21"/>
          <w:vertAlign w:val="superscript"/>
        </w:rPr>
        <w:endnoteReference w:id="26"/>
      </w:r>
    </w:p>
    <w:p w14:paraId="4FFAFEAC" w14:textId="79D77E2D" w:rsidR="00291F8D" w:rsidRDefault="00291F8D" w:rsidP="00930198">
      <w:pPr>
        <w:spacing w:line="276" w:lineRule="auto"/>
        <w:rPr>
          <w:rFonts w:asciiTheme="majorHAnsi" w:hAnsiTheme="majorHAnsi"/>
          <w:sz w:val="21"/>
          <w:szCs w:val="21"/>
        </w:rPr>
      </w:pPr>
    </w:p>
    <w:p w14:paraId="2571B31C" w14:textId="77777777" w:rsidR="00291F8D" w:rsidRPr="00291F8D" w:rsidRDefault="00291F8D" w:rsidP="00291F8D">
      <w:pPr>
        <w:spacing w:line="276" w:lineRule="auto"/>
        <w:rPr>
          <w:rFonts w:asciiTheme="majorHAnsi" w:hAnsiTheme="majorHAnsi"/>
          <w:sz w:val="21"/>
          <w:szCs w:val="21"/>
        </w:rPr>
      </w:pPr>
      <w:r w:rsidRPr="00291F8D">
        <w:rPr>
          <w:rFonts w:asciiTheme="majorHAnsi" w:hAnsiTheme="majorHAnsi"/>
          <w:sz w:val="21"/>
          <w:szCs w:val="21"/>
        </w:rPr>
        <w:t xml:space="preserve">Quitting rates are also lower for smokers with disabilities, smokers with MassHealth insurance, and LGBT smokers, but trends for these subgroups are not reported below due to insufficient sample sizes, underreporting, and/or changes in eligibility criteria (MassHealth), from year to year. These subgroups also report consistently higher smoking rates compared to the state average, and barriers to quitting may be </w:t>
      </w:r>
      <w:r w:rsidRPr="00291F8D">
        <w:rPr>
          <w:rFonts w:asciiTheme="majorHAnsi" w:hAnsiTheme="majorHAnsi"/>
          <w:sz w:val="21"/>
          <w:szCs w:val="21"/>
        </w:rPr>
        <w:lastRenderedPageBreak/>
        <w:t xml:space="preserve">similar to factors leading to initiation, such as coping with stress and difficulties in accessing health care (See: </w:t>
      </w:r>
      <w:r w:rsidRPr="00291F8D">
        <w:rPr>
          <w:rFonts w:asciiTheme="majorHAnsi" w:hAnsiTheme="majorHAnsi"/>
          <w:i/>
          <w:sz w:val="21"/>
          <w:szCs w:val="21"/>
        </w:rPr>
        <w:t>Who Smokes and Why</w:t>
      </w:r>
      <w:r w:rsidRPr="00291F8D">
        <w:rPr>
          <w:rFonts w:asciiTheme="majorHAnsi" w:hAnsiTheme="majorHAnsi"/>
          <w:sz w:val="21"/>
          <w:szCs w:val="21"/>
        </w:rPr>
        <w:t xml:space="preserve">). </w:t>
      </w:r>
    </w:p>
    <w:p w14:paraId="5B109003" w14:textId="7DE44B0D" w:rsidR="00291F8D" w:rsidRDefault="00291F8D" w:rsidP="00930198">
      <w:pPr>
        <w:spacing w:line="276" w:lineRule="auto"/>
        <w:rPr>
          <w:rFonts w:asciiTheme="majorHAnsi" w:hAnsiTheme="majorHAnsi"/>
          <w:sz w:val="21"/>
          <w:szCs w:val="21"/>
        </w:rPr>
      </w:pPr>
    </w:p>
    <w:p w14:paraId="3A203CF1" w14:textId="7C2EDD45" w:rsidR="003635BE" w:rsidRDefault="003635BE" w:rsidP="00930198">
      <w:pPr>
        <w:spacing w:line="276" w:lineRule="auto"/>
        <w:rPr>
          <w:rFonts w:asciiTheme="majorHAnsi" w:hAnsiTheme="majorHAnsi"/>
          <w:sz w:val="21"/>
          <w:szCs w:val="21"/>
        </w:rPr>
      </w:pPr>
      <w:r w:rsidRPr="003B1910">
        <w:rPr>
          <w:noProof/>
          <w:sz w:val="16"/>
          <w:szCs w:val="16"/>
        </w:rPr>
        <w:drawing>
          <wp:inline distT="0" distB="0" distL="0" distR="0" wp14:anchorId="16B84BF0" wp14:editId="0D2F37E1">
            <wp:extent cx="5939942" cy="4319270"/>
            <wp:effectExtent l="0" t="0" r="16510" b="11430"/>
            <wp:docPr id="685" name="Chart 685">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EB91CF" w14:textId="644581D9" w:rsidR="004C7118" w:rsidRDefault="004C7118" w:rsidP="00930198">
      <w:pPr>
        <w:spacing w:line="276" w:lineRule="auto"/>
        <w:rPr>
          <w:rFonts w:asciiTheme="majorHAnsi" w:hAnsiTheme="majorHAnsi"/>
          <w:sz w:val="21"/>
          <w:szCs w:val="21"/>
        </w:rPr>
      </w:pPr>
    </w:p>
    <w:p w14:paraId="59933EE4" w14:textId="105EC642" w:rsidR="004C7118" w:rsidRDefault="004C7118" w:rsidP="00930198">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Racial Inequities in Quitting</w:t>
      </w:r>
    </w:p>
    <w:p w14:paraId="0882FCCD" w14:textId="07E6E701" w:rsidR="004C7118" w:rsidRDefault="004C7118" w:rsidP="004C7118">
      <w:pPr>
        <w:spacing w:line="276" w:lineRule="auto"/>
        <w:rPr>
          <w:rFonts w:asciiTheme="majorHAnsi" w:hAnsiTheme="majorHAnsi"/>
          <w:sz w:val="21"/>
          <w:szCs w:val="21"/>
        </w:rPr>
      </w:pPr>
      <w:r w:rsidRPr="004C7118">
        <w:rPr>
          <w:rFonts w:asciiTheme="majorHAnsi" w:hAnsiTheme="majorHAnsi"/>
          <w:sz w:val="21"/>
          <w:szCs w:val="21"/>
        </w:rPr>
        <w:t xml:space="preserve">BRFSS data does not allow for analysis of quitting rates by individual racial/ethnic categories due to small sample sizes within each category. However, data does allow for comparisons between Whites and people of color (all other racial/ethnic categories combined). People of color do not smoke at higher rates than those who identify as White (See: </w:t>
      </w:r>
      <w:r w:rsidRPr="004C7118">
        <w:rPr>
          <w:rFonts w:asciiTheme="majorHAnsi" w:hAnsiTheme="majorHAnsi"/>
          <w:i/>
          <w:sz w:val="21"/>
          <w:szCs w:val="21"/>
        </w:rPr>
        <w:t>Who Smokes and Why</w:t>
      </w:r>
      <w:r w:rsidRPr="004C7118">
        <w:rPr>
          <w:rFonts w:asciiTheme="majorHAnsi" w:hAnsiTheme="majorHAnsi"/>
          <w:sz w:val="21"/>
          <w:szCs w:val="21"/>
        </w:rPr>
        <w:t>). Furthermore, people of color attempt to quit smoking at rates comparable (or higher) than Whites. In 2019, 60.2% (95%CI: 50.9-69.4) of people of color reported making a quit attempt compared to 54.1</w:t>
      </w:r>
      <w:proofErr w:type="gramStart"/>
      <w:r w:rsidRPr="004C7118">
        <w:rPr>
          <w:rFonts w:asciiTheme="majorHAnsi" w:hAnsiTheme="majorHAnsi"/>
          <w:sz w:val="21"/>
          <w:szCs w:val="21"/>
        </w:rPr>
        <w:t>%  (</w:t>
      </w:r>
      <w:proofErr w:type="gramEnd"/>
      <w:r w:rsidRPr="004C7118">
        <w:rPr>
          <w:rFonts w:asciiTheme="majorHAnsi" w:hAnsiTheme="majorHAnsi"/>
          <w:sz w:val="21"/>
          <w:szCs w:val="21"/>
        </w:rPr>
        <w:t>95%CI: 49.1 – 59.1) of Whites. However, despite similar rates of quit attempts, trends over time show that people of color have consistently lower rates of</w:t>
      </w:r>
      <w:r w:rsidRPr="004C7118">
        <w:rPr>
          <w:rFonts w:asciiTheme="majorHAnsi" w:hAnsiTheme="majorHAnsi"/>
          <w:i/>
          <w:sz w:val="21"/>
          <w:szCs w:val="21"/>
        </w:rPr>
        <w:t xml:space="preserve"> successful</w:t>
      </w:r>
      <w:r w:rsidRPr="004C7118">
        <w:rPr>
          <w:rFonts w:asciiTheme="majorHAnsi" w:hAnsiTheme="majorHAnsi"/>
          <w:sz w:val="21"/>
          <w:szCs w:val="21"/>
        </w:rPr>
        <w:t xml:space="preserve"> quitting than Whites (Figure 7). After accounting for income, people of color still have lower quitting rates than Whites in Massachusetts (Figure 8). National literature </w:t>
      </w:r>
      <w:proofErr w:type="gramStart"/>
      <w:r w:rsidRPr="004C7118">
        <w:rPr>
          <w:rFonts w:asciiTheme="majorHAnsi" w:hAnsiTheme="majorHAnsi"/>
          <w:sz w:val="21"/>
          <w:szCs w:val="21"/>
        </w:rPr>
        <w:t>echo</w:t>
      </w:r>
      <w:proofErr w:type="gramEnd"/>
      <w:r w:rsidRPr="004C7118">
        <w:rPr>
          <w:rFonts w:asciiTheme="majorHAnsi" w:hAnsiTheme="majorHAnsi"/>
          <w:sz w:val="21"/>
          <w:szCs w:val="21"/>
        </w:rPr>
        <w:t xml:space="preserve"> these results: even after adjusting for income, studies have shown that Black smokers are less likely to have successfully quit smoking, compared to Whites.</w:t>
      </w:r>
      <w:r w:rsidRPr="004C7118">
        <w:rPr>
          <w:rFonts w:asciiTheme="majorHAnsi" w:hAnsiTheme="majorHAnsi"/>
          <w:sz w:val="21"/>
          <w:szCs w:val="21"/>
          <w:vertAlign w:val="superscript"/>
        </w:rPr>
        <w:endnoteReference w:id="27"/>
      </w:r>
      <w:r w:rsidRPr="004C7118">
        <w:rPr>
          <w:rFonts w:asciiTheme="majorHAnsi" w:hAnsiTheme="majorHAnsi"/>
          <w:sz w:val="21"/>
          <w:szCs w:val="21"/>
        </w:rPr>
        <w:t xml:space="preserve"> </w:t>
      </w:r>
    </w:p>
    <w:p w14:paraId="3DD9110D" w14:textId="77777777" w:rsidR="00A0021B" w:rsidRDefault="00A0021B" w:rsidP="004C7118">
      <w:pPr>
        <w:spacing w:line="276" w:lineRule="auto"/>
        <w:rPr>
          <w:rFonts w:asciiTheme="majorHAnsi" w:hAnsiTheme="majorHAnsi"/>
          <w:sz w:val="21"/>
          <w:szCs w:val="21"/>
        </w:rPr>
      </w:pPr>
    </w:p>
    <w:p w14:paraId="23190BBA" w14:textId="77777777" w:rsidR="00A0021B" w:rsidRDefault="00A0021B" w:rsidP="004C7118">
      <w:pPr>
        <w:spacing w:line="276" w:lineRule="auto"/>
        <w:rPr>
          <w:rFonts w:asciiTheme="majorHAnsi" w:hAnsiTheme="majorHAnsi"/>
          <w:sz w:val="21"/>
          <w:szCs w:val="21"/>
        </w:rPr>
      </w:pPr>
    </w:p>
    <w:p w14:paraId="32E45B39" w14:textId="77777777" w:rsidR="00A0021B" w:rsidRDefault="00A0021B" w:rsidP="004C7118">
      <w:pPr>
        <w:spacing w:line="276" w:lineRule="auto"/>
        <w:rPr>
          <w:rFonts w:asciiTheme="majorHAnsi" w:hAnsiTheme="majorHAnsi"/>
          <w:sz w:val="21"/>
          <w:szCs w:val="21"/>
        </w:rPr>
      </w:pPr>
    </w:p>
    <w:p w14:paraId="661C7BCD" w14:textId="2620E46A" w:rsidR="004C7118" w:rsidRDefault="004C7118" w:rsidP="004C7118">
      <w:pPr>
        <w:spacing w:line="276" w:lineRule="auto"/>
        <w:rPr>
          <w:rFonts w:asciiTheme="majorHAnsi" w:hAnsiTheme="majorHAnsi"/>
          <w:sz w:val="21"/>
          <w:szCs w:val="21"/>
        </w:rPr>
      </w:pPr>
      <w:r w:rsidRPr="00620AA8">
        <w:rPr>
          <w:rFonts w:asciiTheme="minorHAnsi" w:hAnsiTheme="minorHAnsi"/>
          <w:noProof/>
        </w:rPr>
        <w:lastRenderedPageBreak/>
        <w:drawing>
          <wp:anchor distT="0" distB="0" distL="114300" distR="114300" simplePos="0" relativeHeight="251685888" behindDoc="0" locked="0" layoutInCell="1" allowOverlap="1" wp14:anchorId="3C41B830" wp14:editId="1395A034">
            <wp:simplePos x="0" y="0"/>
            <wp:positionH relativeFrom="margin">
              <wp:posOffset>0</wp:posOffset>
            </wp:positionH>
            <wp:positionV relativeFrom="paragraph">
              <wp:posOffset>189865</wp:posOffset>
            </wp:positionV>
            <wp:extent cx="6093460" cy="3745230"/>
            <wp:effectExtent l="0" t="0" r="15240" b="13970"/>
            <wp:wrapSquare wrapText="bothSides"/>
            <wp:docPr id="682" name="Chart 682">
              <a:extLst xmlns:a="http://schemas.openxmlformats.org/drawingml/2006/main">
                <a:ext uri="{FF2B5EF4-FFF2-40B4-BE49-F238E27FC236}">
                  <a16:creationId xmlns:a16="http://schemas.microsoft.com/office/drawing/2014/main" id="{30DDB7C6-5A40-43E0-B649-93768342C3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r w:rsidR="00A0021B">
        <w:rPr>
          <w:rFonts w:asciiTheme="majorHAnsi" w:hAnsiTheme="majorHAnsi"/>
          <w:sz w:val="21"/>
          <w:szCs w:val="21"/>
        </w:rPr>
        <w:tab/>
      </w:r>
    </w:p>
    <w:p w14:paraId="32569ED1" w14:textId="40178075" w:rsidR="00A0021B" w:rsidRDefault="00A0021B" w:rsidP="004C7118">
      <w:pPr>
        <w:spacing w:line="276" w:lineRule="auto"/>
        <w:rPr>
          <w:rFonts w:asciiTheme="majorHAnsi" w:hAnsiTheme="majorHAnsi"/>
          <w:sz w:val="21"/>
          <w:szCs w:val="21"/>
        </w:rPr>
      </w:pPr>
    </w:p>
    <w:p w14:paraId="60A7DBBF" w14:textId="13A0D0E4" w:rsidR="00A0021B" w:rsidRDefault="00A0021B" w:rsidP="004C7118">
      <w:pPr>
        <w:spacing w:line="276" w:lineRule="auto"/>
        <w:rPr>
          <w:rFonts w:asciiTheme="majorHAnsi" w:hAnsiTheme="majorHAnsi"/>
          <w:sz w:val="21"/>
          <w:szCs w:val="21"/>
        </w:rPr>
      </w:pPr>
      <w:r>
        <w:rPr>
          <w:noProof/>
        </w:rPr>
        <w:drawing>
          <wp:inline distT="0" distB="0" distL="0" distR="0" wp14:anchorId="028D5371" wp14:editId="6AEEF0A9">
            <wp:extent cx="6093460" cy="2414016"/>
            <wp:effectExtent l="0" t="0" r="15240" b="12065"/>
            <wp:docPr id="31" name="Chart 31">
              <a:extLst xmlns:a="http://schemas.openxmlformats.org/drawingml/2006/main">
                <a:ext uri="{FF2B5EF4-FFF2-40B4-BE49-F238E27FC236}">
                  <a16:creationId xmlns:a16="http://schemas.microsoft.com/office/drawing/2014/main" id="{7D1C1F51-653B-4CB0-A94A-199EDA4AC6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7A6504" w14:textId="4182080B" w:rsidR="00943AB1" w:rsidRDefault="00943AB1" w:rsidP="004C7118">
      <w:pPr>
        <w:spacing w:line="276" w:lineRule="auto"/>
        <w:rPr>
          <w:rFonts w:asciiTheme="majorHAnsi" w:hAnsiTheme="majorHAnsi"/>
          <w:sz w:val="21"/>
          <w:szCs w:val="21"/>
        </w:rPr>
      </w:pPr>
    </w:p>
    <w:p w14:paraId="335B4748" w14:textId="171643DC" w:rsidR="00107483" w:rsidRPr="00107483" w:rsidRDefault="00107483" w:rsidP="00943AB1">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Factors leading to racial inequities in quitting success</w:t>
      </w:r>
    </w:p>
    <w:p w14:paraId="6357B7C6" w14:textId="6B937AE7" w:rsidR="00943AB1" w:rsidRDefault="00943AB1" w:rsidP="00943AB1">
      <w:pPr>
        <w:spacing w:line="276" w:lineRule="auto"/>
        <w:rPr>
          <w:rFonts w:asciiTheme="majorHAnsi" w:hAnsiTheme="majorHAnsi"/>
          <w:sz w:val="21"/>
          <w:szCs w:val="21"/>
        </w:rPr>
      </w:pPr>
      <w:r w:rsidRPr="00943AB1">
        <w:rPr>
          <w:rFonts w:asciiTheme="majorHAnsi" w:hAnsiTheme="majorHAnsi"/>
          <w:noProof/>
          <w:sz w:val="21"/>
          <w:szCs w:val="21"/>
        </w:rPr>
        <mc:AlternateContent>
          <mc:Choice Requires="wps">
            <w:drawing>
              <wp:anchor distT="0" distB="0" distL="114300" distR="114300" simplePos="0" relativeHeight="251687936" behindDoc="0" locked="0" layoutInCell="1" allowOverlap="1" wp14:anchorId="37320318" wp14:editId="14AD733B">
                <wp:simplePos x="0" y="0"/>
                <wp:positionH relativeFrom="column">
                  <wp:posOffset>-2619375</wp:posOffset>
                </wp:positionH>
                <wp:positionV relativeFrom="paragraph">
                  <wp:posOffset>42545</wp:posOffset>
                </wp:positionV>
                <wp:extent cx="0" cy="1919605"/>
                <wp:effectExtent l="0" t="0" r="19050" b="23495"/>
                <wp:wrapNone/>
                <wp:docPr id="647" name="Straight Connector 1"/>
                <wp:cNvGraphicFramePr/>
                <a:graphic xmlns:a="http://schemas.openxmlformats.org/drawingml/2006/main">
                  <a:graphicData uri="http://schemas.microsoft.com/office/word/2010/wordprocessingShape">
                    <wps:wsp>
                      <wps:cNvCnPr/>
                      <wps:spPr>
                        <a:xfrm flipV="1">
                          <a:off x="0" y="0"/>
                          <a:ext cx="0" cy="191960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7153E7B" id="Straight Connector 1" o:spid="_x0000_s1026" style="position:absolute;flip:y;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25pt,3.35pt" to="-206.25pt,1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" strokecolor="black [3213]" strokeweight=".5pt">
                <v:stroke dashstyle="3 1" joinstyle="miter"/>
              </v:line>
            </w:pict>
          </mc:Fallback>
        </mc:AlternateContent>
      </w:r>
      <w:r w:rsidRPr="00943AB1">
        <w:rPr>
          <w:rFonts w:asciiTheme="majorHAnsi" w:hAnsiTheme="majorHAnsi"/>
          <w:sz w:val="21"/>
          <w:szCs w:val="21"/>
        </w:rPr>
        <w:t>A number of environmental, economic, and social factors can contribute to lower rates of quitting among people of color compared to Whites (see Figure 9). Structural racism is embedded in all social determinants of health, such as increased stress and discrimination among people of color compared to Whites, which can lead to not only tobacco initiation but also difficulties with quitting.</w:t>
      </w:r>
      <w:r w:rsidRPr="00943AB1">
        <w:rPr>
          <w:rFonts w:asciiTheme="majorHAnsi" w:hAnsiTheme="majorHAnsi"/>
          <w:sz w:val="21"/>
          <w:szCs w:val="21"/>
          <w:vertAlign w:val="superscript"/>
        </w:rPr>
        <w:endnoteReference w:id="28"/>
      </w:r>
      <w:r w:rsidRPr="00943AB1">
        <w:rPr>
          <w:rFonts w:asciiTheme="majorHAnsi" w:hAnsiTheme="majorHAnsi"/>
          <w:sz w:val="21"/>
          <w:szCs w:val="21"/>
        </w:rPr>
        <w:t xml:space="preserve">  People of color are also more likely to have lower levels of educational attainment and more economic stress than Whites, which can help sustain smoking behaviors.</w:t>
      </w:r>
      <w:r w:rsidRPr="00943AB1">
        <w:rPr>
          <w:rFonts w:asciiTheme="majorHAnsi" w:hAnsiTheme="majorHAnsi"/>
          <w:sz w:val="21"/>
          <w:szCs w:val="21"/>
          <w:vertAlign w:val="superscript"/>
        </w:rPr>
        <w:endnoteReference w:id="29"/>
      </w:r>
      <w:r w:rsidRPr="00943AB1">
        <w:rPr>
          <w:rFonts w:asciiTheme="majorHAnsi" w:hAnsiTheme="majorHAnsi"/>
          <w:sz w:val="21"/>
          <w:szCs w:val="21"/>
        </w:rPr>
        <w:t xml:space="preserve"> In addition, menthol cigarettes are disproportionately marketed towards Blacks, which has led to a higher rate of menthol cigarette use among Blacks compared to any other racial and ethnic group.</w:t>
      </w:r>
      <w:r w:rsidRPr="00943AB1">
        <w:rPr>
          <w:rFonts w:asciiTheme="majorHAnsi" w:hAnsiTheme="majorHAnsi"/>
          <w:sz w:val="21"/>
          <w:szCs w:val="21"/>
          <w:vertAlign w:val="superscript"/>
        </w:rPr>
        <w:endnoteReference w:id="30"/>
      </w:r>
      <w:r w:rsidRPr="00943AB1">
        <w:rPr>
          <w:rFonts w:asciiTheme="majorHAnsi" w:hAnsiTheme="majorHAnsi"/>
          <w:sz w:val="21"/>
          <w:szCs w:val="21"/>
        </w:rPr>
        <w:t xml:space="preserve"> Menthol </w:t>
      </w:r>
      <w:r w:rsidRPr="00943AB1">
        <w:rPr>
          <w:rFonts w:asciiTheme="majorHAnsi" w:hAnsiTheme="majorHAnsi"/>
          <w:sz w:val="21"/>
          <w:szCs w:val="21"/>
        </w:rPr>
        <w:lastRenderedPageBreak/>
        <w:t xml:space="preserve">cigarettes are biologically more addictive and harder to quit (for more information on menthol cigarettes, see </w:t>
      </w:r>
      <w:r w:rsidRPr="00943AB1">
        <w:rPr>
          <w:rFonts w:asciiTheme="majorHAnsi" w:hAnsiTheme="majorHAnsi"/>
          <w:i/>
          <w:sz w:val="21"/>
          <w:szCs w:val="21"/>
        </w:rPr>
        <w:t>Who Smokes and Why</w:t>
      </w:r>
      <w:r w:rsidRPr="00943AB1">
        <w:rPr>
          <w:rFonts w:asciiTheme="majorHAnsi" w:hAnsiTheme="majorHAnsi"/>
          <w:sz w:val="21"/>
          <w:szCs w:val="21"/>
        </w:rPr>
        <w:t>).</w:t>
      </w:r>
      <w:r w:rsidRPr="00943AB1">
        <w:rPr>
          <w:rFonts w:asciiTheme="majorHAnsi" w:hAnsiTheme="majorHAnsi"/>
          <w:sz w:val="21"/>
          <w:szCs w:val="21"/>
          <w:vertAlign w:val="superscript"/>
        </w:rPr>
        <w:endnoteReference w:id="31"/>
      </w:r>
      <w:r w:rsidRPr="00943AB1">
        <w:rPr>
          <w:rFonts w:asciiTheme="majorHAnsi" w:hAnsiTheme="majorHAnsi"/>
          <w:sz w:val="21"/>
          <w:szCs w:val="21"/>
        </w:rPr>
        <w:t xml:space="preserve"> </w:t>
      </w:r>
    </w:p>
    <w:p w14:paraId="1A857538" w14:textId="0CEE9527" w:rsidR="00943AB1" w:rsidRDefault="00943AB1" w:rsidP="00943AB1">
      <w:pPr>
        <w:spacing w:line="276" w:lineRule="auto"/>
        <w:rPr>
          <w:rFonts w:asciiTheme="majorHAnsi" w:hAnsiTheme="majorHAnsi"/>
          <w:sz w:val="21"/>
          <w:szCs w:val="21"/>
        </w:rPr>
      </w:pPr>
    </w:p>
    <w:p w14:paraId="37DCA84C" w14:textId="2A72A1CF" w:rsidR="00943AB1" w:rsidRDefault="00943AB1" w:rsidP="00943AB1">
      <w:pPr>
        <w:spacing w:line="276" w:lineRule="auto"/>
        <w:rPr>
          <w:rFonts w:asciiTheme="majorHAnsi" w:hAnsiTheme="majorHAnsi"/>
          <w:sz w:val="21"/>
          <w:szCs w:val="21"/>
        </w:rPr>
      </w:pPr>
      <w:r w:rsidRPr="00943AB1">
        <w:rPr>
          <w:rFonts w:asciiTheme="majorHAnsi" w:hAnsiTheme="majorHAnsi"/>
          <w:sz w:val="21"/>
          <w:szCs w:val="21"/>
        </w:rPr>
        <w:t>Racial/ethnic differences in access to health care and quality of care also exist. Nationally, people of color are less likely to receive quitting advice from a health care professional, and are less likely to be prescribed and use evidence-based cessation treatments, such as nicotine-replacement therapy (NRT), compared to Whites.  In Massachusetts, among those who smoked within the past year, only 15.9% of Blacks and 16.4% of Hispanics reported using NRT, compared to 28.1% of Whites.</w:t>
      </w:r>
    </w:p>
    <w:p w14:paraId="03290D35" w14:textId="58EC53D7" w:rsidR="00E81C3A" w:rsidRDefault="00E81C3A" w:rsidP="00943AB1">
      <w:pPr>
        <w:spacing w:line="276" w:lineRule="auto"/>
        <w:rPr>
          <w:rFonts w:asciiTheme="majorHAnsi" w:hAnsiTheme="majorHAnsi"/>
          <w:sz w:val="21"/>
          <w:szCs w:val="21"/>
        </w:rPr>
      </w:pPr>
    </w:p>
    <w:p w14:paraId="2565B314" w14:textId="77777777" w:rsidR="00E81C3A" w:rsidRPr="006D18B7" w:rsidRDefault="00E81C3A" w:rsidP="00E81C3A">
      <w:pPr>
        <w:pStyle w:val="Header"/>
        <w:spacing w:line="276" w:lineRule="auto"/>
        <w:rPr>
          <w:rFonts w:asciiTheme="minorHAnsi" w:hAnsiTheme="minorHAnsi" w:cstheme="minorHAnsi"/>
          <w:b/>
          <w:sz w:val="24"/>
          <w:szCs w:val="24"/>
        </w:rPr>
      </w:pPr>
      <w:r w:rsidRPr="006D18B7">
        <w:rPr>
          <w:rFonts w:asciiTheme="minorHAnsi" w:hAnsiTheme="minorHAnsi" w:cstheme="minorHAnsi"/>
          <w:b/>
          <w:sz w:val="24"/>
          <w:szCs w:val="24"/>
        </w:rPr>
        <w:t xml:space="preserve">Figure 9. Factors Leading to Racial Inequities in Quitting Success </w:t>
      </w:r>
      <w:r w:rsidRPr="006D18B7">
        <w:rPr>
          <w:rStyle w:val="EndnoteReference"/>
          <w:rFonts w:asciiTheme="minorHAnsi" w:hAnsiTheme="minorHAnsi" w:cstheme="minorHAnsi"/>
          <w:b/>
          <w:sz w:val="24"/>
          <w:szCs w:val="24"/>
        </w:rPr>
        <w:endnoteReference w:id="32"/>
      </w:r>
    </w:p>
    <w:p w14:paraId="4993D876" w14:textId="77777777" w:rsidR="00E81C3A" w:rsidRPr="00E10030" w:rsidRDefault="00E81C3A" w:rsidP="00E81C3A">
      <w:pPr>
        <w:pStyle w:val="Header"/>
        <w:spacing w:line="276" w:lineRule="auto"/>
        <w:rPr>
          <w:rFonts w:asciiTheme="minorHAnsi" w:hAnsiTheme="minorHAnsi" w:cstheme="minorHAnsi"/>
          <w:sz w:val="22"/>
          <w:szCs w:val="22"/>
        </w:rPr>
      </w:pPr>
      <w:r w:rsidRPr="00E10030">
        <w:rPr>
          <w:rFonts w:asciiTheme="minorHAnsi" w:hAnsiTheme="minorHAnsi" w:cstheme="minorHAnsi"/>
          <w:noProof/>
          <w:sz w:val="22"/>
          <w:szCs w:val="22"/>
        </w:rPr>
        <mc:AlternateContent>
          <mc:Choice Requires="wps">
            <w:drawing>
              <wp:anchor distT="0" distB="0" distL="114300" distR="114300" simplePos="0" relativeHeight="251709440" behindDoc="0" locked="0" layoutInCell="1" allowOverlap="1" wp14:anchorId="393ACDB1" wp14:editId="1FF1E129">
                <wp:simplePos x="0" y="0"/>
                <wp:positionH relativeFrom="column">
                  <wp:posOffset>515620</wp:posOffset>
                </wp:positionH>
                <wp:positionV relativeFrom="paragraph">
                  <wp:posOffset>139065</wp:posOffset>
                </wp:positionV>
                <wp:extent cx="5562600" cy="468269"/>
                <wp:effectExtent l="0" t="0" r="19050" b="273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468269"/>
                        </a:xfrm>
                        <a:prstGeom prst="rect">
                          <a:avLst/>
                        </a:prstGeom>
                        <a:solidFill>
                          <a:srgbClr val="FFFFFF"/>
                        </a:solidFill>
                        <a:ln w="19050">
                          <a:solidFill>
                            <a:srgbClr val="000000"/>
                          </a:solidFill>
                          <a:miter lim="800000"/>
                          <a:headEnd/>
                          <a:tailEnd/>
                        </a:ln>
                      </wps:spPr>
                      <wps:txbx>
                        <w:txbxContent>
                          <w:p w14:paraId="61D3B122" w14:textId="77777777" w:rsidR="00E81C3A" w:rsidRPr="00E81C3A" w:rsidRDefault="00E81C3A" w:rsidP="00E81C3A">
                            <w:pPr>
                              <w:pStyle w:val="Header"/>
                              <w:spacing w:line="300" w:lineRule="auto"/>
                              <w:jc w:val="center"/>
                              <w:rPr>
                                <w:b/>
                                <w:sz w:val="22"/>
                                <w:szCs w:val="22"/>
                              </w:rPr>
                            </w:pPr>
                            <w:r w:rsidRPr="00E81C3A">
                              <w:rPr>
                                <w:b/>
                                <w:sz w:val="22"/>
                                <w:szCs w:val="22"/>
                              </w:rPr>
                              <w:t xml:space="preserve">Racism  </w:t>
                            </w:r>
                          </w:p>
                          <w:p w14:paraId="113F45CA" w14:textId="77777777" w:rsidR="00E81C3A" w:rsidRPr="00E81C3A" w:rsidRDefault="00E81C3A" w:rsidP="00E81C3A">
                            <w:pPr>
                              <w:pStyle w:val="Header"/>
                              <w:spacing w:line="300" w:lineRule="auto"/>
                              <w:jc w:val="center"/>
                              <w:rPr>
                                <w:b/>
                              </w:rPr>
                            </w:pPr>
                            <w:r w:rsidRPr="00E81C3A">
                              <w:rPr>
                                <w:sz w:val="18"/>
                                <w:szCs w:val="18"/>
                              </w:rPr>
                              <w:sym w:font="Wingdings" w:char="F076"/>
                            </w:r>
                            <w:r w:rsidRPr="00E81C3A">
                              <w:t xml:space="preserve">Increased stress                        </w:t>
                            </w:r>
                            <w:r w:rsidRPr="00E81C3A">
                              <w:sym w:font="Wingdings" w:char="F076"/>
                            </w:r>
                            <w:r w:rsidRPr="00E81C3A">
                              <w:t xml:space="preserve"> Discrimination                   </w:t>
                            </w:r>
                            <w:r w:rsidRPr="00E81C3A">
                              <w:sym w:font="Wingdings" w:char="F076"/>
                            </w:r>
                            <w:r w:rsidRPr="00E81C3A">
                              <w:t>Distrust in health care professionals</w:t>
                            </w:r>
                          </w:p>
                          <w:p w14:paraId="43650118" w14:textId="77777777" w:rsidR="00E81C3A" w:rsidRPr="00E81C3A" w:rsidRDefault="00E81C3A" w:rsidP="00E81C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3ACDB1" id="Text Box 2" o:spid="_x0000_s1043" type="#_x0000_t202" style="position:absolute;margin-left:40.6pt;margin-top:10.95pt;width:438pt;height:36.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" strokeweight="1.5pt">
                <v:textbox>
                  <w:txbxContent>
                    <w:p w14:paraId="61D3B122" w14:textId="77777777" w:rsidR="00E81C3A" w:rsidRPr="00E81C3A" w:rsidRDefault="00E81C3A" w:rsidP="00E81C3A">
                      <w:pPr>
                        <w:pStyle w:val="Header"/>
                        <w:spacing w:line="300" w:lineRule="auto"/>
                        <w:jc w:val="center"/>
                        <w:rPr>
                          <w:b/>
                          <w:sz w:val="22"/>
                          <w:szCs w:val="22"/>
                        </w:rPr>
                      </w:pPr>
                      <w:r w:rsidRPr="00E81C3A">
                        <w:rPr>
                          <w:b/>
                          <w:sz w:val="22"/>
                          <w:szCs w:val="22"/>
                        </w:rPr>
                        <w:t xml:space="preserve">Racism  </w:t>
                      </w:r>
                    </w:p>
                    <w:p w14:paraId="113F45CA" w14:textId="77777777" w:rsidR="00E81C3A" w:rsidRPr="00E81C3A" w:rsidRDefault="00E81C3A" w:rsidP="00E81C3A">
                      <w:pPr>
                        <w:pStyle w:val="Header"/>
                        <w:spacing w:line="300" w:lineRule="auto"/>
                        <w:jc w:val="center"/>
                        <w:rPr>
                          <w:b/>
                        </w:rPr>
                      </w:pPr>
                      <w:r w:rsidRPr="00E81C3A">
                        <w:rPr>
                          <w:sz w:val="18"/>
                          <w:szCs w:val="18"/>
                        </w:rPr>
                        <w:sym w:font="Wingdings" w:char="F076"/>
                      </w:r>
                      <w:r w:rsidRPr="00E81C3A">
                        <w:t xml:space="preserve">Increased stress                        </w:t>
                      </w:r>
                      <w:r w:rsidRPr="00E81C3A">
                        <w:sym w:font="Wingdings" w:char="F076"/>
                      </w:r>
                      <w:r w:rsidRPr="00E81C3A">
                        <w:t xml:space="preserve"> Discrimination                   </w:t>
                      </w:r>
                      <w:r w:rsidRPr="00E81C3A">
                        <w:sym w:font="Wingdings" w:char="F076"/>
                      </w:r>
                      <w:r w:rsidRPr="00E81C3A">
                        <w:t>Distrust in health care professionals</w:t>
                      </w:r>
                    </w:p>
                    <w:p w14:paraId="43650118" w14:textId="77777777" w:rsidR="00E81C3A" w:rsidRPr="00E81C3A" w:rsidRDefault="00E81C3A" w:rsidP="00E81C3A"/>
                  </w:txbxContent>
                </v:textbox>
              </v:shape>
            </w:pict>
          </mc:Fallback>
        </mc:AlternateContent>
      </w:r>
    </w:p>
    <w:p w14:paraId="47E40AAC" w14:textId="77777777" w:rsidR="00E81C3A" w:rsidRPr="00E10030" w:rsidRDefault="00E81C3A" w:rsidP="00E81C3A">
      <w:pPr>
        <w:pStyle w:val="Header"/>
        <w:spacing w:line="276" w:lineRule="auto"/>
        <w:rPr>
          <w:rFonts w:asciiTheme="minorHAnsi" w:hAnsiTheme="minorHAnsi" w:cstheme="minorHAnsi"/>
          <w:sz w:val="22"/>
          <w:szCs w:val="22"/>
        </w:rPr>
      </w:pPr>
      <w:r w:rsidRPr="00E10030">
        <w:rPr>
          <w:rFonts w:asciiTheme="minorHAnsi" w:hAnsiTheme="minorHAnsi" w:cstheme="minorHAnsi"/>
          <w:noProof/>
          <w:sz w:val="22"/>
          <w:szCs w:val="22"/>
        </w:rPr>
        <mc:AlternateContent>
          <mc:Choice Requires="wps">
            <w:drawing>
              <wp:anchor distT="0" distB="0" distL="114300" distR="114300" simplePos="0" relativeHeight="251715584" behindDoc="0" locked="0" layoutInCell="1" allowOverlap="1" wp14:anchorId="1D579DEA" wp14:editId="4551E071">
                <wp:simplePos x="0" y="0"/>
                <wp:positionH relativeFrom="column">
                  <wp:posOffset>182245</wp:posOffset>
                </wp:positionH>
                <wp:positionV relativeFrom="paragraph">
                  <wp:posOffset>151130</wp:posOffset>
                </wp:positionV>
                <wp:extent cx="0" cy="314325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0" cy="31432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27B3DB" id="Straight Connector 10" o:spid="_x0000_s1026" style="position:absolute;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35pt,11.9pt" to="14.35pt,25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" strokecolor="black [3213]" strokeweight="1pt">
                <v:stroke joinstyle="miter"/>
              </v:lin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21728" behindDoc="0" locked="0" layoutInCell="1" allowOverlap="1" wp14:anchorId="711C1EFF" wp14:editId="5EDE1592">
                <wp:simplePos x="0" y="0"/>
                <wp:positionH relativeFrom="column">
                  <wp:posOffset>182245</wp:posOffset>
                </wp:positionH>
                <wp:positionV relativeFrom="paragraph">
                  <wp:posOffset>151130</wp:posOffset>
                </wp:positionV>
                <wp:extent cx="333375" cy="0"/>
                <wp:effectExtent l="0" t="0" r="9525" b="19050"/>
                <wp:wrapNone/>
                <wp:docPr id="11" name="Straight Connector 11"/>
                <wp:cNvGraphicFramePr/>
                <a:graphic xmlns:a="http://schemas.openxmlformats.org/drawingml/2006/main">
                  <a:graphicData uri="http://schemas.microsoft.com/office/word/2010/wordprocessingShape">
                    <wps:wsp>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0388B9" id="Straight Connector 11"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4.35pt,11.9pt" to="40.6pt,1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" strokecolor="black [3200]" strokeweight=".5pt">
                <v:stroke joinstyle="miter"/>
              </v:lin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17632" behindDoc="0" locked="0" layoutInCell="1" allowOverlap="1" wp14:anchorId="08EE627A" wp14:editId="3C448D08">
                <wp:simplePos x="0" y="0"/>
                <wp:positionH relativeFrom="column">
                  <wp:posOffset>182245</wp:posOffset>
                </wp:positionH>
                <wp:positionV relativeFrom="paragraph">
                  <wp:posOffset>3294380</wp:posOffset>
                </wp:positionV>
                <wp:extent cx="3333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3333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690D4A" id="Straight Connector 12" o:spid="_x0000_s1026" style="position:absolute;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pt,259.4pt" to="40.6pt,25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" strokecolor="black [3213]" strokeweight="1pt">
                <v:stroke joinstyle="miter"/>
              </v:lin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16608" behindDoc="0" locked="0" layoutInCell="1" allowOverlap="1" wp14:anchorId="2CE333EA" wp14:editId="234B60D7">
                <wp:simplePos x="0" y="0"/>
                <wp:positionH relativeFrom="column">
                  <wp:posOffset>182245</wp:posOffset>
                </wp:positionH>
                <wp:positionV relativeFrom="paragraph">
                  <wp:posOffset>1466215</wp:posOffset>
                </wp:positionV>
                <wp:extent cx="361950" cy="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3619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FD68D9" id="Straight Connector 13"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pt,115.45pt" to="42.85pt,11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" strokecolor="black [3213]" strokeweight="1pt">
                <v:stroke joinstyle="miter"/>
              </v:lin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20704" behindDoc="0" locked="0" layoutInCell="1" allowOverlap="1" wp14:anchorId="1DCEE0DD" wp14:editId="24954013">
                <wp:simplePos x="0" y="0"/>
                <wp:positionH relativeFrom="column">
                  <wp:posOffset>6078220</wp:posOffset>
                </wp:positionH>
                <wp:positionV relativeFrom="paragraph">
                  <wp:posOffset>151130</wp:posOffset>
                </wp:positionV>
                <wp:extent cx="333375" cy="0"/>
                <wp:effectExtent l="0" t="0" r="9525" b="19050"/>
                <wp:wrapNone/>
                <wp:docPr id="14" name="Straight Connector 14"/>
                <wp:cNvGraphicFramePr/>
                <a:graphic xmlns:a="http://schemas.openxmlformats.org/drawingml/2006/main">
                  <a:graphicData uri="http://schemas.microsoft.com/office/word/2010/wordprocessingShape">
                    <wps:wsp>
                      <wps:cNvCnPr/>
                      <wps:spPr>
                        <a:xfrm>
                          <a:off x="0" y="0"/>
                          <a:ext cx="333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A2DE3A" id="Straight Connector 14"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8.6pt,11.9pt" to="504.85pt,1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" strokecolor="black [3200]" strokeweight=".5pt">
                <v:stroke joinstyle="miter"/>
              </v:lin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14560" behindDoc="0" locked="0" layoutInCell="1" allowOverlap="1" wp14:anchorId="0CC7DED0" wp14:editId="6ABB9718">
                <wp:simplePos x="0" y="0"/>
                <wp:positionH relativeFrom="column">
                  <wp:posOffset>6411595</wp:posOffset>
                </wp:positionH>
                <wp:positionV relativeFrom="paragraph">
                  <wp:posOffset>151765</wp:posOffset>
                </wp:positionV>
                <wp:extent cx="0" cy="3152775"/>
                <wp:effectExtent l="0" t="0" r="19050" b="9525"/>
                <wp:wrapNone/>
                <wp:docPr id="15" name="Straight Connector 15"/>
                <wp:cNvGraphicFramePr/>
                <a:graphic xmlns:a="http://schemas.openxmlformats.org/drawingml/2006/main">
                  <a:graphicData uri="http://schemas.microsoft.com/office/word/2010/wordprocessingShape">
                    <wps:wsp>
                      <wps:cNvCnPr/>
                      <wps:spPr>
                        <a:xfrm>
                          <a:off x="0" y="0"/>
                          <a:ext cx="0" cy="31527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DC8F5" id="Straight Connector 1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85pt,11.95pt" to="504.85pt,26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" strokecolor="black [3213]" strokeweight="1pt">
                <v:stroke joinstyle="miter"/>
              </v:lin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19680" behindDoc="0" locked="0" layoutInCell="1" allowOverlap="1" wp14:anchorId="39A06323" wp14:editId="59081360">
                <wp:simplePos x="0" y="0"/>
                <wp:positionH relativeFrom="column">
                  <wp:posOffset>5982970</wp:posOffset>
                </wp:positionH>
                <wp:positionV relativeFrom="paragraph">
                  <wp:posOffset>3304540</wp:posOffset>
                </wp:positionV>
                <wp:extent cx="428625" cy="0"/>
                <wp:effectExtent l="0" t="0" r="9525" b="19050"/>
                <wp:wrapNone/>
                <wp:docPr id="20" name="Straight Connector 20"/>
                <wp:cNvGraphicFramePr/>
                <a:graphic xmlns:a="http://schemas.openxmlformats.org/drawingml/2006/main">
                  <a:graphicData uri="http://schemas.microsoft.com/office/word/2010/wordprocessingShape">
                    <wps:wsp>
                      <wps:cNvCnPr/>
                      <wps:spPr>
                        <a:xfrm>
                          <a:off x="0" y="0"/>
                          <a:ext cx="428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2981DA" id="Straight Connector 20"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71.1pt,260.2pt" to="504.85pt,260.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" strokecolor="black [3213]" strokeweight="1pt">
                <v:stroke joinstyle="miter"/>
              </v:line>
            </w:pict>
          </mc:Fallback>
        </mc:AlternateContent>
      </w:r>
    </w:p>
    <w:p w14:paraId="127A403A" w14:textId="77777777" w:rsidR="00E81C3A" w:rsidRPr="00E10030" w:rsidRDefault="00E81C3A" w:rsidP="00E81C3A">
      <w:pPr>
        <w:pStyle w:val="Header"/>
        <w:spacing w:line="276" w:lineRule="auto"/>
        <w:rPr>
          <w:rFonts w:asciiTheme="minorHAnsi" w:hAnsiTheme="minorHAnsi" w:cstheme="minorHAnsi"/>
          <w:sz w:val="22"/>
          <w:szCs w:val="22"/>
        </w:rPr>
      </w:pPr>
    </w:p>
    <w:p w14:paraId="76FEBF71" w14:textId="77777777" w:rsidR="00E81C3A" w:rsidRPr="00E10030" w:rsidRDefault="00E81C3A" w:rsidP="00E81C3A">
      <w:pPr>
        <w:pStyle w:val="Header"/>
        <w:spacing w:line="276" w:lineRule="auto"/>
        <w:rPr>
          <w:rFonts w:asciiTheme="minorHAnsi" w:hAnsiTheme="minorHAnsi" w:cstheme="minorHAnsi"/>
          <w:sz w:val="22"/>
          <w:szCs w:val="22"/>
        </w:rPr>
      </w:pPr>
      <w:r w:rsidRPr="00E10030">
        <w:rPr>
          <w:rFonts w:asciiTheme="minorHAnsi" w:hAnsiTheme="minorHAnsi" w:cstheme="minorHAnsi"/>
          <w:noProof/>
          <w:sz w:val="22"/>
          <w:szCs w:val="22"/>
        </w:rPr>
        <mc:AlternateContent>
          <mc:Choice Requires="wps">
            <w:drawing>
              <wp:anchor distT="0" distB="0" distL="114300" distR="114300" simplePos="0" relativeHeight="251711488" behindDoc="0" locked="0" layoutInCell="1" allowOverlap="1" wp14:anchorId="25DC25AA" wp14:editId="099DB1CB">
                <wp:simplePos x="0" y="0"/>
                <wp:positionH relativeFrom="column">
                  <wp:posOffset>3441065</wp:posOffset>
                </wp:positionH>
                <wp:positionV relativeFrom="paragraph">
                  <wp:posOffset>104775</wp:posOffset>
                </wp:positionV>
                <wp:extent cx="2544445" cy="1486535"/>
                <wp:effectExtent l="0" t="0" r="27305" b="1841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486535"/>
                        </a:xfrm>
                        <a:prstGeom prst="rect">
                          <a:avLst/>
                        </a:prstGeom>
                        <a:solidFill>
                          <a:srgbClr val="FFFFFF"/>
                        </a:solidFill>
                        <a:ln w="19050">
                          <a:solidFill>
                            <a:srgbClr val="000000"/>
                          </a:solidFill>
                          <a:miter lim="800000"/>
                          <a:headEnd/>
                          <a:tailEnd/>
                        </a:ln>
                      </wps:spPr>
                      <wps:txbx>
                        <w:txbxContent>
                          <w:p w14:paraId="19665167" w14:textId="77777777" w:rsidR="00E81C3A" w:rsidRPr="00924696" w:rsidRDefault="00E81C3A" w:rsidP="00E81C3A">
                            <w:pPr>
                              <w:pStyle w:val="Header"/>
                              <w:spacing w:line="300" w:lineRule="auto"/>
                              <w:jc w:val="center"/>
                              <w:rPr>
                                <w:b/>
                                <w:sz w:val="22"/>
                                <w:szCs w:val="22"/>
                              </w:rPr>
                            </w:pPr>
                            <w:r w:rsidRPr="00924696">
                              <w:rPr>
                                <w:b/>
                                <w:sz w:val="22"/>
                                <w:szCs w:val="22"/>
                              </w:rPr>
                              <w:t>Education-Income-Employment</w:t>
                            </w:r>
                          </w:p>
                          <w:p w14:paraId="054DA52D" w14:textId="77777777" w:rsidR="00E81C3A" w:rsidRPr="0094750C" w:rsidRDefault="00E81C3A" w:rsidP="00E81C3A">
                            <w:pPr>
                              <w:spacing w:line="276" w:lineRule="auto"/>
                              <w:jc w:val="center"/>
                            </w:pPr>
                            <w:r w:rsidRPr="0094750C">
                              <w:sym w:font="Wingdings" w:char="F076"/>
                            </w:r>
                            <w:r w:rsidRPr="0094750C">
                              <w:t>Less education completed</w:t>
                            </w:r>
                          </w:p>
                          <w:p w14:paraId="0EC67123" w14:textId="77777777" w:rsidR="00E81C3A" w:rsidRPr="0094750C" w:rsidRDefault="00E81C3A" w:rsidP="00E81C3A">
                            <w:pPr>
                              <w:spacing w:line="276" w:lineRule="auto"/>
                              <w:jc w:val="center"/>
                            </w:pPr>
                            <w:r w:rsidRPr="0094750C">
                              <w:sym w:font="Wingdings" w:char="F076"/>
                            </w:r>
                            <w:r w:rsidRPr="0094750C">
                              <w:t>Job instability</w:t>
                            </w:r>
                          </w:p>
                          <w:p w14:paraId="6DEF119F" w14:textId="77777777" w:rsidR="00E81C3A" w:rsidRPr="0094750C" w:rsidRDefault="00E81C3A" w:rsidP="00E81C3A">
                            <w:pPr>
                              <w:spacing w:line="276" w:lineRule="auto"/>
                              <w:jc w:val="center"/>
                            </w:pPr>
                            <w:r w:rsidRPr="0094750C">
                              <w:sym w:font="Wingdings" w:char="F076"/>
                            </w:r>
                            <w:r w:rsidRPr="0094750C">
                              <w:t>Lower income</w:t>
                            </w:r>
                          </w:p>
                          <w:p w14:paraId="0783ECAA" w14:textId="77777777" w:rsidR="00E81C3A" w:rsidRPr="0094750C" w:rsidRDefault="00E81C3A" w:rsidP="00E81C3A">
                            <w:pPr>
                              <w:spacing w:line="276" w:lineRule="auto"/>
                              <w:jc w:val="center"/>
                            </w:pPr>
                            <w:r w:rsidRPr="0094750C">
                              <w:sym w:font="Wingdings" w:char="F076"/>
                            </w:r>
                            <w:r w:rsidRPr="0094750C">
                              <w:t>Health insurance plans with limited benefits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C25AA" id="_x0000_s1044" type="#_x0000_t202" style="position:absolute;margin-left:270.95pt;margin-top:8.25pt;width:200.35pt;height:117.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" strokeweight="1.5pt">
                <v:textbox>
                  <w:txbxContent>
                    <w:p w14:paraId="19665167" w14:textId="77777777" w:rsidR="00E81C3A" w:rsidRPr="00924696" w:rsidRDefault="00E81C3A" w:rsidP="00E81C3A">
                      <w:pPr>
                        <w:pStyle w:val="Header"/>
                        <w:spacing w:line="300" w:lineRule="auto"/>
                        <w:jc w:val="center"/>
                        <w:rPr>
                          <w:b/>
                          <w:sz w:val="22"/>
                          <w:szCs w:val="22"/>
                        </w:rPr>
                      </w:pPr>
                      <w:r w:rsidRPr="00924696">
                        <w:rPr>
                          <w:b/>
                          <w:sz w:val="22"/>
                          <w:szCs w:val="22"/>
                        </w:rPr>
                        <w:t>Education-Income-Employment</w:t>
                      </w:r>
                    </w:p>
                    <w:p w14:paraId="054DA52D" w14:textId="77777777" w:rsidR="00E81C3A" w:rsidRPr="0094750C" w:rsidRDefault="00E81C3A" w:rsidP="00E81C3A">
                      <w:pPr>
                        <w:spacing w:line="276" w:lineRule="auto"/>
                        <w:jc w:val="center"/>
                      </w:pPr>
                      <w:r w:rsidRPr="0094750C">
                        <w:sym w:font="Wingdings" w:char="F076"/>
                      </w:r>
                      <w:r w:rsidRPr="0094750C">
                        <w:t>Less education completed</w:t>
                      </w:r>
                    </w:p>
                    <w:p w14:paraId="0EC67123" w14:textId="77777777" w:rsidR="00E81C3A" w:rsidRPr="0094750C" w:rsidRDefault="00E81C3A" w:rsidP="00E81C3A">
                      <w:pPr>
                        <w:spacing w:line="276" w:lineRule="auto"/>
                        <w:jc w:val="center"/>
                      </w:pPr>
                      <w:r w:rsidRPr="0094750C">
                        <w:sym w:font="Wingdings" w:char="F076"/>
                      </w:r>
                      <w:r w:rsidRPr="0094750C">
                        <w:t>Job instability</w:t>
                      </w:r>
                    </w:p>
                    <w:p w14:paraId="6DEF119F" w14:textId="77777777" w:rsidR="00E81C3A" w:rsidRPr="0094750C" w:rsidRDefault="00E81C3A" w:rsidP="00E81C3A">
                      <w:pPr>
                        <w:spacing w:line="276" w:lineRule="auto"/>
                        <w:jc w:val="center"/>
                      </w:pPr>
                      <w:r w:rsidRPr="0094750C">
                        <w:sym w:font="Wingdings" w:char="F076"/>
                      </w:r>
                      <w:r w:rsidRPr="0094750C">
                        <w:t>Lower income</w:t>
                      </w:r>
                    </w:p>
                    <w:p w14:paraId="0783ECAA" w14:textId="77777777" w:rsidR="00E81C3A" w:rsidRPr="0094750C" w:rsidRDefault="00E81C3A" w:rsidP="00E81C3A">
                      <w:pPr>
                        <w:spacing w:line="276" w:lineRule="auto"/>
                        <w:jc w:val="center"/>
                      </w:pPr>
                      <w:r w:rsidRPr="0094750C">
                        <w:sym w:font="Wingdings" w:char="F076"/>
                      </w:r>
                      <w:r w:rsidRPr="0094750C">
                        <w:t>Health insurance plans with limited benefits</w:t>
                      </w:r>
                    </w:p>
                  </w:txbxContent>
                </v:textbox>
              </v:shap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10464" behindDoc="0" locked="0" layoutInCell="1" allowOverlap="1" wp14:anchorId="01BA73B8" wp14:editId="68F60B72">
                <wp:simplePos x="0" y="0"/>
                <wp:positionH relativeFrom="column">
                  <wp:posOffset>547370</wp:posOffset>
                </wp:positionH>
                <wp:positionV relativeFrom="paragraph">
                  <wp:posOffset>104775</wp:posOffset>
                </wp:positionV>
                <wp:extent cx="2535555" cy="1486535"/>
                <wp:effectExtent l="0" t="0" r="17145" b="1841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5555" cy="1486535"/>
                        </a:xfrm>
                        <a:prstGeom prst="rect">
                          <a:avLst/>
                        </a:prstGeom>
                        <a:solidFill>
                          <a:srgbClr val="FFFFFF"/>
                        </a:solidFill>
                        <a:ln w="19050">
                          <a:solidFill>
                            <a:srgbClr val="000000"/>
                          </a:solidFill>
                          <a:miter lim="800000"/>
                          <a:headEnd/>
                          <a:tailEnd/>
                        </a:ln>
                      </wps:spPr>
                      <wps:txbx>
                        <w:txbxContent>
                          <w:p w14:paraId="7FEE916F" w14:textId="77777777" w:rsidR="00E81C3A" w:rsidRPr="00924696" w:rsidRDefault="00E81C3A" w:rsidP="00E81C3A">
                            <w:pPr>
                              <w:pStyle w:val="Header"/>
                              <w:spacing w:line="300" w:lineRule="auto"/>
                              <w:jc w:val="center"/>
                              <w:rPr>
                                <w:b/>
                                <w:sz w:val="22"/>
                                <w:szCs w:val="22"/>
                              </w:rPr>
                            </w:pPr>
                            <w:r w:rsidRPr="00924696">
                              <w:rPr>
                                <w:b/>
                                <w:sz w:val="22"/>
                                <w:szCs w:val="22"/>
                              </w:rPr>
                              <w:t>Health Care</w:t>
                            </w:r>
                          </w:p>
                          <w:p w14:paraId="7E4E519F" w14:textId="77777777" w:rsidR="00E81C3A" w:rsidRPr="0094750C" w:rsidRDefault="00E81C3A" w:rsidP="00E81C3A">
                            <w:pPr>
                              <w:pStyle w:val="Header"/>
                              <w:spacing w:line="276" w:lineRule="auto"/>
                              <w:jc w:val="center"/>
                            </w:pPr>
                            <w:r w:rsidRPr="00924696">
                              <w:rPr>
                                <w:sz w:val="18"/>
                                <w:szCs w:val="18"/>
                              </w:rPr>
                              <w:sym w:font="Wingdings" w:char="F076"/>
                            </w:r>
                            <w:r w:rsidRPr="0094750C">
                              <w:t>Less likely to have a regular source of care</w:t>
                            </w:r>
                          </w:p>
                          <w:p w14:paraId="1D9E3C2C" w14:textId="77777777" w:rsidR="00E81C3A" w:rsidRPr="0094750C" w:rsidRDefault="00E81C3A" w:rsidP="00E81C3A">
                            <w:pPr>
                              <w:pStyle w:val="Header"/>
                              <w:spacing w:line="276" w:lineRule="auto"/>
                              <w:jc w:val="center"/>
                            </w:pPr>
                            <w:r w:rsidRPr="0094750C">
                              <w:sym w:font="Wingdings" w:char="F076"/>
                            </w:r>
                            <w:r w:rsidRPr="0094750C">
                              <w:t>Less likely to receive quitting advice</w:t>
                            </w:r>
                          </w:p>
                          <w:p w14:paraId="5A771DC1" w14:textId="77777777" w:rsidR="00E81C3A" w:rsidRPr="0094750C" w:rsidRDefault="00E81C3A" w:rsidP="00E81C3A">
                            <w:pPr>
                              <w:pStyle w:val="Header"/>
                              <w:spacing w:line="276" w:lineRule="auto"/>
                              <w:jc w:val="center"/>
                            </w:pPr>
                            <w:r w:rsidRPr="0094750C">
                              <w:sym w:font="Wingdings" w:char="F076"/>
                            </w:r>
                            <w:r w:rsidRPr="0094750C">
                              <w:t>Less likely to be prescribed and receive evidence-based treatments</w:t>
                            </w:r>
                          </w:p>
                          <w:p w14:paraId="26BD50AD" w14:textId="77777777" w:rsidR="00E81C3A" w:rsidRPr="0094750C" w:rsidRDefault="00E81C3A" w:rsidP="00E81C3A">
                            <w:pPr>
                              <w:pStyle w:val="Header"/>
                              <w:spacing w:line="276" w:lineRule="auto"/>
                              <w:jc w:val="center"/>
                            </w:pPr>
                            <w:r w:rsidRPr="0094750C">
                              <w:sym w:font="Wingdings" w:char="F076"/>
                            </w:r>
                            <w:r w:rsidRPr="0094750C">
                              <w:t>Decreased enrollment in clinical trials</w:t>
                            </w:r>
                          </w:p>
                          <w:p w14:paraId="47CCD556" w14:textId="77777777" w:rsidR="00E81C3A" w:rsidRPr="0094750C" w:rsidRDefault="00E81C3A" w:rsidP="00E81C3A">
                            <w:pPr>
                              <w:spacing w:line="276" w:lineRule="auto"/>
                              <w:jc w:val="center"/>
                            </w:pPr>
                            <w:r w:rsidRPr="0094750C">
                              <w:sym w:font="Wingdings" w:char="F076"/>
                            </w:r>
                            <w:r w:rsidRPr="0094750C">
                              <w:t>Lower quality of care received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A73B8" id="_x0000_s1045" type="#_x0000_t202" style="position:absolute;margin-left:43.1pt;margin-top:8.25pt;width:199.65pt;height:117.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" strokeweight="1.5pt">
                <v:textbox>
                  <w:txbxContent>
                    <w:p w14:paraId="7FEE916F" w14:textId="77777777" w:rsidR="00E81C3A" w:rsidRPr="00924696" w:rsidRDefault="00E81C3A" w:rsidP="00E81C3A">
                      <w:pPr>
                        <w:pStyle w:val="Header"/>
                        <w:spacing w:line="300" w:lineRule="auto"/>
                        <w:jc w:val="center"/>
                        <w:rPr>
                          <w:b/>
                          <w:sz w:val="22"/>
                          <w:szCs w:val="22"/>
                        </w:rPr>
                      </w:pPr>
                      <w:r w:rsidRPr="00924696">
                        <w:rPr>
                          <w:b/>
                          <w:sz w:val="22"/>
                          <w:szCs w:val="22"/>
                        </w:rPr>
                        <w:t>Health Care</w:t>
                      </w:r>
                    </w:p>
                    <w:p w14:paraId="7E4E519F" w14:textId="77777777" w:rsidR="00E81C3A" w:rsidRPr="0094750C" w:rsidRDefault="00E81C3A" w:rsidP="00E81C3A">
                      <w:pPr>
                        <w:pStyle w:val="Header"/>
                        <w:spacing w:line="276" w:lineRule="auto"/>
                        <w:jc w:val="center"/>
                      </w:pPr>
                      <w:r w:rsidRPr="00924696">
                        <w:rPr>
                          <w:sz w:val="18"/>
                          <w:szCs w:val="18"/>
                        </w:rPr>
                        <w:sym w:font="Wingdings" w:char="F076"/>
                      </w:r>
                      <w:r w:rsidRPr="0094750C">
                        <w:t>Less likely to have a regular source of care</w:t>
                      </w:r>
                    </w:p>
                    <w:p w14:paraId="1D9E3C2C" w14:textId="77777777" w:rsidR="00E81C3A" w:rsidRPr="0094750C" w:rsidRDefault="00E81C3A" w:rsidP="00E81C3A">
                      <w:pPr>
                        <w:pStyle w:val="Header"/>
                        <w:spacing w:line="276" w:lineRule="auto"/>
                        <w:jc w:val="center"/>
                      </w:pPr>
                      <w:r w:rsidRPr="0094750C">
                        <w:sym w:font="Wingdings" w:char="F076"/>
                      </w:r>
                      <w:r w:rsidRPr="0094750C">
                        <w:t>Less likely to receive quitting advice</w:t>
                      </w:r>
                    </w:p>
                    <w:p w14:paraId="5A771DC1" w14:textId="77777777" w:rsidR="00E81C3A" w:rsidRPr="0094750C" w:rsidRDefault="00E81C3A" w:rsidP="00E81C3A">
                      <w:pPr>
                        <w:pStyle w:val="Header"/>
                        <w:spacing w:line="276" w:lineRule="auto"/>
                        <w:jc w:val="center"/>
                      </w:pPr>
                      <w:r w:rsidRPr="0094750C">
                        <w:sym w:font="Wingdings" w:char="F076"/>
                      </w:r>
                      <w:r w:rsidRPr="0094750C">
                        <w:t>Less likely to be prescribed and receive evidence-based treatments</w:t>
                      </w:r>
                    </w:p>
                    <w:p w14:paraId="26BD50AD" w14:textId="77777777" w:rsidR="00E81C3A" w:rsidRPr="0094750C" w:rsidRDefault="00E81C3A" w:rsidP="00E81C3A">
                      <w:pPr>
                        <w:pStyle w:val="Header"/>
                        <w:spacing w:line="276" w:lineRule="auto"/>
                        <w:jc w:val="center"/>
                      </w:pPr>
                      <w:r w:rsidRPr="0094750C">
                        <w:sym w:font="Wingdings" w:char="F076"/>
                      </w:r>
                      <w:r w:rsidRPr="0094750C">
                        <w:t>Decreased enrollment in clinical trials</w:t>
                      </w:r>
                    </w:p>
                    <w:p w14:paraId="47CCD556" w14:textId="77777777" w:rsidR="00E81C3A" w:rsidRPr="0094750C" w:rsidRDefault="00E81C3A" w:rsidP="00E81C3A">
                      <w:pPr>
                        <w:spacing w:line="276" w:lineRule="auto"/>
                        <w:jc w:val="center"/>
                      </w:pPr>
                      <w:r w:rsidRPr="0094750C">
                        <w:sym w:font="Wingdings" w:char="F076"/>
                      </w:r>
                      <w:r w:rsidRPr="0094750C">
                        <w:t>Lower quality of care received</w:t>
                      </w:r>
                    </w:p>
                  </w:txbxContent>
                </v:textbox>
              </v:shape>
            </w:pict>
          </mc:Fallback>
        </mc:AlternateContent>
      </w:r>
    </w:p>
    <w:p w14:paraId="2603521B" w14:textId="77777777" w:rsidR="00E81C3A" w:rsidRPr="00E10030" w:rsidRDefault="00E81C3A" w:rsidP="00E81C3A">
      <w:pPr>
        <w:pStyle w:val="Header"/>
        <w:spacing w:line="276" w:lineRule="auto"/>
        <w:rPr>
          <w:rFonts w:asciiTheme="minorHAnsi" w:hAnsiTheme="minorHAnsi" w:cstheme="minorHAnsi"/>
          <w:sz w:val="22"/>
          <w:szCs w:val="22"/>
        </w:rPr>
      </w:pPr>
    </w:p>
    <w:p w14:paraId="6871999E" w14:textId="77777777" w:rsidR="00E81C3A" w:rsidRPr="00E10030" w:rsidRDefault="00E81C3A" w:rsidP="00E81C3A">
      <w:pPr>
        <w:pStyle w:val="Header"/>
        <w:spacing w:line="276" w:lineRule="auto"/>
        <w:ind w:left="-180"/>
        <w:rPr>
          <w:rFonts w:asciiTheme="minorHAnsi" w:hAnsiTheme="minorHAnsi" w:cstheme="minorHAnsi"/>
          <w:sz w:val="22"/>
          <w:szCs w:val="22"/>
        </w:rPr>
      </w:pPr>
    </w:p>
    <w:p w14:paraId="691F2AFF" w14:textId="77777777" w:rsidR="00E81C3A" w:rsidRPr="00E10030" w:rsidRDefault="00E81C3A" w:rsidP="00E81C3A">
      <w:pPr>
        <w:pStyle w:val="Header"/>
        <w:spacing w:line="276" w:lineRule="auto"/>
        <w:rPr>
          <w:rFonts w:asciiTheme="minorHAnsi" w:hAnsiTheme="minorHAnsi" w:cstheme="minorHAnsi"/>
          <w:sz w:val="22"/>
          <w:szCs w:val="22"/>
        </w:rPr>
      </w:pPr>
    </w:p>
    <w:p w14:paraId="6BC1685A" w14:textId="77777777" w:rsidR="00E81C3A" w:rsidRPr="00E10030" w:rsidRDefault="00E81C3A" w:rsidP="00E81C3A">
      <w:pPr>
        <w:pStyle w:val="Header"/>
        <w:spacing w:line="276" w:lineRule="auto"/>
        <w:rPr>
          <w:rFonts w:asciiTheme="minorHAnsi" w:hAnsiTheme="minorHAnsi" w:cstheme="minorHAnsi"/>
          <w:sz w:val="22"/>
          <w:szCs w:val="22"/>
        </w:rPr>
      </w:pPr>
      <w:r w:rsidRPr="00E10030">
        <w:rPr>
          <w:rFonts w:asciiTheme="minorHAnsi" w:hAnsiTheme="minorHAnsi" w:cstheme="minorHAnsi"/>
          <w:noProof/>
          <w:sz w:val="22"/>
          <w:szCs w:val="22"/>
        </w:rPr>
        <mc:AlternateContent>
          <mc:Choice Requires="wps">
            <w:drawing>
              <wp:anchor distT="0" distB="0" distL="114300" distR="114300" simplePos="0" relativeHeight="251718656" behindDoc="0" locked="0" layoutInCell="1" allowOverlap="1" wp14:anchorId="4221F7B2" wp14:editId="2C284BFF">
                <wp:simplePos x="0" y="0"/>
                <wp:positionH relativeFrom="column">
                  <wp:posOffset>5982970</wp:posOffset>
                </wp:positionH>
                <wp:positionV relativeFrom="paragraph">
                  <wp:posOffset>163830</wp:posOffset>
                </wp:positionV>
                <wp:extent cx="428625" cy="0"/>
                <wp:effectExtent l="0" t="0" r="9525" b="19050"/>
                <wp:wrapNone/>
                <wp:docPr id="23" name="Straight Connector 23"/>
                <wp:cNvGraphicFramePr/>
                <a:graphic xmlns:a="http://schemas.openxmlformats.org/drawingml/2006/main">
                  <a:graphicData uri="http://schemas.microsoft.com/office/word/2010/wordprocessingShape">
                    <wps:wsp>
                      <wps:cNvCnPr/>
                      <wps:spPr>
                        <a:xfrm>
                          <a:off x="0" y="0"/>
                          <a:ext cx="4286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061B06A" id="Straight Connector 23" o:spid="_x0000_s1026"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1.1pt,12.9pt" to="504.85pt,1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" strokecolor="black [3213]" strokeweight="1pt">
                <v:stroke joinstyle="miter"/>
              </v:line>
            </w:pict>
          </mc:Fallback>
        </mc:AlternateContent>
      </w:r>
    </w:p>
    <w:p w14:paraId="75CD3E3A" w14:textId="77777777" w:rsidR="00E81C3A" w:rsidRPr="00E10030" w:rsidRDefault="00E81C3A" w:rsidP="00E81C3A">
      <w:pPr>
        <w:pStyle w:val="Header"/>
        <w:spacing w:line="276" w:lineRule="auto"/>
        <w:rPr>
          <w:rFonts w:asciiTheme="minorHAnsi" w:hAnsiTheme="minorHAnsi" w:cstheme="minorHAnsi"/>
          <w:sz w:val="22"/>
          <w:szCs w:val="22"/>
        </w:rPr>
      </w:pPr>
    </w:p>
    <w:p w14:paraId="5DD928E3" w14:textId="77777777" w:rsidR="00E81C3A" w:rsidRPr="00E10030" w:rsidRDefault="00E81C3A" w:rsidP="00E81C3A">
      <w:pPr>
        <w:pStyle w:val="Header"/>
        <w:spacing w:line="276" w:lineRule="auto"/>
        <w:rPr>
          <w:rFonts w:asciiTheme="minorHAnsi" w:hAnsiTheme="minorHAnsi" w:cstheme="minorHAnsi"/>
          <w:sz w:val="22"/>
          <w:szCs w:val="22"/>
        </w:rPr>
      </w:pPr>
    </w:p>
    <w:p w14:paraId="6F026301" w14:textId="77777777" w:rsidR="00E81C3A" w:rsidRPr="00E10030" w:rsidRDefault="00E81C3A" w:rsidP="00E81C3A">
      <w:pPr>
        <w:pStyle w:val="Header"/>
        <w:spacing w:line="276" w:lineRule="auto"/>
        <w:rPr>
          <w:rFonts w:asciiTheme="minorHAnsi" w:hAnsiTheme="minorHAnsi" w:cstheme="minorHAnsi"/>
          <w:sz w:val="22"/>
          <w:szCs w:val="22"/>
        </w:rPr>
      </w:pPr>
    </w:p>
    <w:p w14:paraId="499D15B3" w14:textId="77777777" w:rsidR="00E81C3A" w:rsidRPr="00E10030" w:rsidRDefault="00E81C3A" w:rsidP="00E81C3A">
      <w:pPr>
        <w:pStyle w:val="Header"/>
        <w:spacing w:line="276" w:lineRule="auto"/>
        <w:rPr>
          <w:rFonts w:asciiTheme="minorHAnsi" w:hAnsiTheme="minorHAnsi" w:cstheme="minorHAnsi"/>
          <w:sz w:val="22"/>
          <w:szCs w:val="22"/>
        </w:rPr>
      </w:pPr>
      <w:r w:rsidRPr="00E10030">
        <w:rPr>
          <w:rFonts w:asciiTheme="minorHAnsi" w:hAnsiTheme="minorHAnsi" w:cstheme="minorHAnsi"/>
          <w:noProof/>
          <w:sz w:val="22"/>
          <w:szCs w:val="22"/>
        </w:rPr>
        <mc:AlternateContent>
          <mc:Choice Requires="wps">
            <w:drawing>
              <wp:anchor distT="0" distB="0" distL="114300" distR="114300" simplePos="0" relativeHeight="251713536" behindDoc="0" locked="0" layoutInCell="1" allowOverlap="1" wp14:anchorId="20F8316F" wp14:editId="6C8D20D9">
                <wp:simplePos x="0" y="0"/>
                <wp:positionH relativeFrom="column">
                  <wp:posOffset>3441065</wp:posOffset>
                </wp:positionH>
                <wp:positionV relativeFrom="paragraph">
                  <wp:posOffset>74930</wp:posOffset>
                </wp:positionV>
                <wp:extent cx="2544445" cy="1496060"/>
                <wp:effectExtent l="0" t="0" r="27305" b="2794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496060"/>
                        </a:xfrm>
                        <a:prstGeom prst="rect">
                          <a:avLst/>
                        </a:prstGeom>
                        <a:solidFill>
                          <a:srgbClr val="FFFFFF"/>
                        </a:solidFill>
                        <a:ln w="19050">
                          <a:solidFill>
                            <a:srgbClr val="000000"/>
                          </a:solidFill>
                          <a:miter lim="800000"/>
                          <a:headEnd/>
                          <a:tailEnd/>
                        </a:ln>
                      </wps:spPr>
                      <wps:txbx>
                        <w:txbxContent>
                          <w:p w14:paraId="4C859B07" w14:textId="77777777" w:rsidR="00E81C3A" w:rsidRPr="00924696" w:rsidRDefault="00E81C3A" w:rsidP="00E81C3A">
                            <w:pPr>
                              <w:pStyle w:val="Header"/>
                              <w:spacing w:line="300" w:lineRule="auto"/>
                              <w:jc w:val="center"/>
                              <w:rPr>
                                <w:b/>
                                <w:sz w:val="22"/>
                                <w:szCs w:val="22"/>
                              </w:rPr>
                            </w:pPr>
                            <w:r w:rsidRPr="00924696">
                              <w:rPr>
                                <w:b/>
                                <w:sz w:val="22"/>
                                <w:szCs w:val="22"/>
                              </w:rPr>
                              <w:t>Social Environment</w:t>
                            </w:r>
                          </w:p>
                          <w:p w14:paraId="3C994963" w14:textId="77777777" w:rsidR="00E81C3A" w:rsidRPr="0094750C" w:rsidRDefault="00E81C3A" w:rsidP="00E81C3A">
                            <w:pPr>
                              <w:spacing w:line="276" w:lineRule="auto"/>
                              <w:jc w:val="center"/>
                            </w:pPr>
                            <w:r w:rsidRPr="0094750C">
                              <w:sym w:font="Wingdings" w:char="F076"/>
                            </w:r>
                            <w:r w:rsidRPr="0094750C">
                              <w:t>Less family and social support for quitting</w:t>
                            </w:r>
                          </w:p>
                          <w:p w14:paraId="5FA13FBE" w14:textId="77777777" w:rsidR="00E81C3A" w:rsidRPr="0094750C" w:rsidRDefault="00E81C3A" w:rsidP="00E81C3A">
                            <w:pPr>
                              <w:spacing w:line="276" w:lineRule="auto"/>
                              <w:jc w:val="center"/>
                            </w:pPr>
                            <w:r w:rsidRPr="0094750C">
                              <w:sym w:font="Wingdings" w:char="F076"/>
                            </w:r>
                            <w:r w:rsidRPr="0094750C">
                              <w:t>More likely to be surrounded by other smokers/tobacco users</w:t>
                            </w:r>
                          </w:p>
                          <w:p w14:paraId="481741A0" w14:textId="77777777" w:rsidR="00E81C3A" w:rsidRPr="00A432F6" w:rsidRDefault="00E81C3A" w:rsidP="00E81C3A">
                            <w:pPr>
                              <w:spacing w:line="276" w:lineRule="auto"/>
                              <w:jc w:val="center"/>
                              <w:rPr>
                                <w:rFonts w:ascii="Book Antiqua" w:hAnsi="Book Antiq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F8316F" id="_x0000_s1046" type="#_x0000_t202" style="position:absolute;margin-left:270.95pt;margin-top:5.9pt;width:200.35pt;height:117.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" strokeweight="1.5pt">
                <v:textbox>
                  <w:txbxContent>
                    <w:p w14:paraId="4C859B07" w14:textId="77777777" w:rsidR="00E81C3A" w:rsidRPr="00924696" w:rsidRDefault="00E81C3A" w:rsidP="00E81C3A">
                      <w:pPr>
                        <w:pStyle w:val="Header"/>
                        <w:spacing w:line="300" w:lineRule="auto"/>
                        <w:jc w:val="center"/>
                        <w:rPr>
                          <w:b/>
                          <w:sz w:val="22"/>
                          <w:szCs w:val="22"/>
                        </w:rPr>
                      </w:pPr>
                      <w:r w:rsidRPr="00924696">
                        <w:rPr>
                          <w:b/>
                          <w:sz w:val="22"/>
                          <w:szCs w:val="22"/>
                        </w:rPr>
                        <w:t>Social Environment</w:t>
                      </w:r>
                    </w:p>
                    <w:p w14:paraId="3C994963" w14:textId="77777777" w:rsidR="00E81C3A" w:rsidRPr="0094750C" w:rsidRDefault="00E81C3A" w:rsidP="00E81C3A">
                      <w:pPr>
                        <w:spacing w:line="276" w:lineRule="auto"/>
                        <w:jc w:val="center"/>
                      </w:pPr>
                      <w:r w:rsidRPr="0094750C">
                        <w:sym w:font="Wingdings" w:char="F076"/>
                      </w:r>
                      <w:r w:rsidRPr="0094750C">
                        <w:t>Less family and social support for quitting</w:t>
                      </w:r>
                    </w:p>
                    <w:p w14:paraId="5FA13FBE" w14:textId="77777777" w:rsidR="00E81C3A" w:rsidRPr="0094750C" w:rsidRDefault="00E81C3A" w:rsidP="00E81C3A">
                      <w:pPr>
                        <w:spacing w:line="276" w:lineRule="auto"/>
                        <w:jc w:val="center"/>
                      </w:pPr>
                      <w:r w:rsidRPr="0094750C">
                        <w:sym w:font="Wingdings" w:char="F076"/>
                      </w:r>
                      <w:r w:rsidRPr="0094750C">
                        <w:t>More likely to be surrounded by other smokers/tobacco users</w:t>
                      </w:r>
                    </w:p>
                    <w:p w14:paraId="481741A0" w14:textId="77777777" w:rsidR="00E81C3A" w:rsidRPr="00A432F6" w:rsidRDefault="00E81C3A" w:rsidP="00E81C3A">
                      <w:pPr>
                        <w:spacing w:line="276" w:lineRule="auto"/>
                        <w:jc w:val="center"/>
                        <w:rPr>
                          <w:rFonts w:ascii="Book Antiqua" w:hAnsi="Book Antiqua"/>
                        </w:rPr>
                      </w:pPr>
                    </w:p>
                  </w:txbxContent>
                </v:textbox>
              </v:shape>
            </w:pict>
          </mc:Fallback>
        </mc:AlternateContent>
      </w:r>
      <w:r w:rsidRPr="00E10030">
        <w:rPr>
          <w:rFonts w:asciiTheme="minorHAnsi" w:hAnsiTheme="minorHAnsi" w:cstheme="minorHAnsi"/>
          <w:noProof/>
          <w:sz w:val="22"/>
          <w:szCs w:val="22"/>
        </w:rPr>
        <mc:AlternateContent>
          <mc:Choice Requires="wps">
            <w:drawing>
              <wp:anchor distT="0" distB="0" distL="114300" distR="114300" simplePos="0" relativeHeight="251712512" behindDoc="0" locked="0" layoutInCell="1" allowOverlap="1" wp14:anchorId="7D322781" wp14:editId="082277AD">
                <wp:simplePos x="0" y="0"/>
                <wp:positionH relativeFrom="column">
                  <wp:posOffset>527050</wp:posOffset>
                </wp:positionH>
                <wp:positionV relativeFrom="paragraph">
                  <wp:posOffset>74930</wp:posOffset>
                </wp:positionV>
                <wp:extent cx="2562225" cy="1496695"/>
                <wp:effectExtent l="0" t="0" r="28575" b="2730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496695"/>
                        </a:xfrm>
                        <a:prstGeom prst="rect">
                          <a:avLst/>
                        </a:prstGeom>
                        <a:solidFill>
                          <a:srgbClr val="FFFFFF"/>
                        </a:solidFill>
                        <a:ln w="19050">
                          <a:solidFill>
                            <a:srgbClr val="000000"/>
                          </a:solidFill>
                          <a:miter lim="800000"/>
                          <a:headEnd/>
                          <a:tailEnd/>
                        </a:ln>
                      </wps:spPr>
                      <wps:txbx>
                        <w:txbxContent>
                          <w:p w14:paraId="34E3F13A" w14:textId="77777777" w:rsidR="00E81C3A" w:rsidRPr="00924696" w:rsidRDefault="00E81C3A" w:rsidP="00E81C3A">
                            <w:pPr>
                              <w:pStyle w:val="Header"/>
                              <w:spacing w:line="300" w:lineRule="auto"/>
                              <w:jc w:val="center"/>
                              <w:rPr>
                                <w:b/>
                                <w:sz w:val="22"/>
                                <w:szCs w:val="22"/>
                              </w:rPr>
                            </w:pPr>
                            <w:r w:rsidRPr="00924696">
                              <w:rPr>
                                <w:b/>
                                <w:sz w:val="22"/>
                                <w:szCs w:val="22"/>
                              </w:rPr>
                              <w:t>Built Environment</w:t>
                            </w:r>
                          </w:p>
                          <w:p w14:paraId="27AA20C1" w14:textId="77777777" w:rsidR="00E81C3A" w:rsidRPr="0094750C" w:rsidRDefault="00E81C3A" w:rsidP="00E81C3A">
                            <w:pPr>
                              <w:spacing w:line="276" w:lineRule="auto"/>
                              <w:jc w:val="center"/>
                              <w:rPr>
                                <w:szCs w:val="18"/>
                              </w:rPr>
                            </w:pPr>
                            <w:r w:rsidRPr="0094750C">
                              <w:rPr>
                                <w:szCs w:val="18"/>
                              </w:rPr>
                              <w:sym w:font="Wingdings" w:char="F076"/>
                            </w:r>
                            <w:r w:rsidRPr="0094750C">
                              <w:rPr>
                                <w:szCs w:val="18"/>
                              </w:rPr>
                              <w:t>Increased housing density and exposure to other tobacco users and secondhand smoke</w:t>
                            </w:r>
                          </w:p>
                          <w:p w14:paraId="44B7480E" w14:textId="77777777" w:rsidR="00E81C3A" w:rsidRPr="0094750C" w:rsidRDefault="00E81C3A" w:rsidP="00E81C3A">
                            <w:pPr>
                              <w:spacing w:line="276" w:lineRule="auto"/>
                              <w:jc w:val="center"/>
                              <w:rPr>
                                <w:szCs w:val="18"/>
                              </w:rPr>
                            </w:pPr>
                            <w:r w:rsidRPr="0094750C">
                              <w:rPr>
                                <w:szCs w:val="18"/>
                              </w:rPr>
                              <w:sym w:font="Wingdings" w:char="F076"/>
                            </w:r>
                            <w:r w:rsidRPr="0094750C">
                              <w:rPr>
                                <w:szCs w:val="18"/>
                              </w:rPr>
                              <w:t>Increased neighborhood tobacco retail density and exposure to tobacco and advertising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22781" id="_x0000_s1047" type="#_x0000_t202" style="position:absolute;margin-left:41.5pt;margin-top:5.9pt;width:201.75pt;height:117.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" strokeweight="1.5pt">
                <v:textbox>
                  <w:txbxContent>
                    <w:p w14:paraId="34E3F13A" w14:textId="77777777" w:rsidR="00E81C3A" w:rsidRPr="00924696" w:rsidRDefault="00E81C3A" w:rsidP="00E81C3A">
                      <w:pPr>
                        <w:pStyle w:val="Header"/>
                        <w:spacing w:line="300" w:lineRule="auto"/>
                        <w:jc w:val="center"/>
                        <w:rPr>
                          <w:b/>
                          <w:sz w:val="22"/>
                          <w:szCs w:val="22"/>
                        </w:rPr>
                      </w:pPr>
                      <w:r w:rsidRPr="00924696">
                        <w:rPr>
                          <w:b/>
                          <w:sz w:val="22"/>
                          <w:szCs w:val="22"/>
                        </w:rPr>
                        <w:t>Built Environment</w:t>
                      </w:r>
                    </w:p>
                    <w:p w14:paraId="27AA20C1" w14:textId="77777777" w:rsidR="00E81C3A" w:rsidRPr="0094750C" w:rsidRDefault="00E81C3A" w:rsidP="00E81C3A">
                      <w:pPr>
                        <w:spacing w:line="276" w:lineRule="auto"/>
                        <w:jc w:val="center"/>
                        <w:rPr>
                          <w:szCs w:val="18"/>
                        </w:rPr>
                      </w:pPr>
                      <w:r w:rsidRPr="0094750C">
                        <w:rPr>
                          <w:szCs w:val="18"/>
                        </w:rPr>
                        <w:sym w:font="Wingdings" w:char="F076"/>
                      </w:r>
                      <w:r w:rsidRPr="0094750C">
                        <w:rPr>
                          <w:szCs w:val="18"/>
                        </w:rPr>
                        <w:t>Increased housing density and exposure to other tobacco users and secondhand smoke</w:t>
                      </w:r>
                    </w:p>
                    <w:p w14:paraId="44B7480E" w14:textId="77777777" w:rsidR="00E81C3A" w:rsidRPr="0094750C" w:rsidRDefault="00E81C3A" w:rsidP="00E81C3A">
                      <w:pPr>
                        <w:spacing w:line="276" w:lineRule="auto"/>
                        <w:jc w:val="center"/>
                        <w:rPr>
                          <w:szCs w:val="18"/>
                        </w:rPr>
                      </w:pPr>
                      <w:r w:rsidRPr="0094750C">
                        <w:rPr>
                          <w:szCs w:val="18"/>
                        </w:rPr>
                        <w:sym w:font="Wingdings" w:char="F076"/>
                      </w:r>
                      <w:r w:rsidRPr="0094750C">
                        <w:rPr>
                          <w:szCs w:val="18"/>
                        </w:rPr>
                        <w:t>Increased neighborhood tobacco retail density and exposure to tobacco and advertising</w:t>
                      </w:r>
                    </w:p>
                  </w:txbxContent>
                </v:textbox>
              </v:shape>
            </w:pict>
          </mc:Fallback>
        </mc:AlternateContent>
      </w:r>
    </w:p>
    <w:p w14:paraId="2A564314" w14:textId="77777777" w:rsidR="00E81C3A" w:rsidRPr="00E10030" w:rsidRDefault="00E81C3A" w:rsidP="00E81C3A">
      <w:pPr>
        <w:pStyle w:val="Header"/>
        <w:spacing w:line="276" w:lineRule="auto"/>
        <w:rPr>
          <w:rFonts w:asciiTheme="minorHAnsi" w:hAnsiTheme="minorHAnsi" w:cstheme="minorHAnsi"/>
          <w:sz w:val="22"/>
          <w:szCs w:val="22"/>
        </w:rPr>
      </w:pPr>
    </w:p>
    <w:p w14:paraId="4A5821F1" w14:textId="77777777" w:rsidR="00E81C3A" w:rsidRPr="00E10030" w:rsidRDefault="00E81C3A" w:rsidP="00E81C3A">
      <w:pPr>
        <w:pStyle w:val="Header"/>
        <w:spacing w:line="276" w:lineRule="auto"/>
        <w:rPr>
          <w:rFonts w:asciiTheme="minorHAnsi" w:hAnsiTheme="minorHAnsi" w:cstheme="minorHAnsi"/>
          <w:sz w:val="22"/>
          <w:szCs w:val="22"/>
        </w:rPr>
      </w:pPr>
    </w:p>
    <w:p w14:paraId="321B05ED" w14:textId="77777777" w:rsidR="00E81C3A" w:rsidRPr="00E10030" w:rsidRDefault="00E81C3A" w:rsidP="00E81C3A">
      <w:pPr>
        <w:pStyle w:val="Header"/>
        <w:spacing w:line="276" w:lineRule="auto"/>
        <w:rPr>
          <w:rFonts w:asciiTheme="minorHAnsi" w:hAnsiTheme="minorHAnsi" w:cstheme="minorHAnsi"/>
          <w:sz w:val="22"/>
          <w:szCs w:val="22"/>
        </w:rPr>
      </w:pPr>
    </w:p>
    <w:p w14:paraId="51BF13BD" w14:textId="77777777" w:rsidR="00E81C3A" w:rsidRPr="00E10030" w:rsidRDefault="00E81C3A" w:rsidP="00E81C3A">
      <w:pPr>
        <w:pStyle w:val="Header"/>
        <w:spacing w:line="276" w:lineRule="auto"/>
        <w:rPr>
          <w:rFonts w:asciiTheme="minorHAnsi" w:hAnsiTheme="minorHAnsi" w:cstheme="minorHAnsi"/>
          <w:sz w:val="22"/>
          <w:szCs w:val="22"/>
        </w:rPr>
      </w:pPr>
    </w:p>
    <w:p w14:paraId="2A650DCE" w14:textId="77777777" w:rsidR="00E81C3A" w:rsidRPr="00E10030" w:rsidRDefault="00E81C3A" w:rsidP="00E81C3A">
      <w:pPr>
        <w:pStyle w:val="Header"/>
        <w:spacing w:line="276" w:lineRule="auto"/>
        <w:rPr>
          <w:rFonts w:asciiTheme="minorHAnsi" w:hAnsiTheme="minorHAnsi" w:cstheme="minorHAnsi"/>
          <w:sz w:val="22"/>
          <w:szCs w:val="22"/>
        </w:rPr>
      </w:pPr>
    </w:p>
    <w:p w14:paraId="01CF7101" w14:textId="77777777" w:rsidR="00E81C3A" w:rsidRPr="00E10030" w:rsidRDefault="00E81C3A" w:rsidP="00E81C3A">
      <w:pPr>
        <w:pStyle w:val="Header"/>
        <w:spacing w:line="276" w:lineRule="auto"/>
        <w:rPr>
          <w:rFonts w:asciiTheme="minorHAnsi" w:hAnsiTheme="minorHAnsi" w:cstheme="minorHAnsi"/>
          <w:b/>
          <w:sz w:val="22"/>
          <w:szCs w:val="22"/>
        </w:rPr>
      </w:pPr>
    </w:p>
    <w:p w14:paraId="0E2EECB0" w14:textId="77777777" w:rsidR="00E81C3A" w:rsidRPr="004B049A" w:rsidRDefault="00E81C3A" w:rsidP="00E81C3A">
      <w:pPr>
        <w:pStyle w:val="Header"/>
        <w:spacing w:line="276" w:lineRule="auto"/>
        <w:rPr>
          <w:rFonts w:asciiTheme="minorHAnsi" w:hAnsiTheme="minorHAnsi" w:cstheme="minorHAnsi"/>
          <w:sz w:val="22"/>
          <w:szCs w:val="22"/>
        </w:rPr>
      </w:pPr>
    </w:p>
    <w:p w14:paraId="7D5931AD" w14:textId="77777777" w:rsidR="00E81C3A" w:rsidRDefault="00E81C3A" w:rsidP="00943AB1">
      <w:pPr>
        <w:spacing w:line="276" w:lineRule="auto"/>
        <w:rPr>
          <w:rFonts w:asciiTheme="majorHAnsi" w:hAnsiTheme="majorHAnsi"/>
          <w:sz w:val="21"/>
          <w:szCs w:val="21"/>
        </w:rPr>
      </w:pPr>
    </w:p>
    <w:p w14:paraId="74DEAEE2" w14:textId="63188517" w:rsidR="00E81C3A" w:rsidRDefault="00E81C3A" w:rsidP="004C7118">
      <w:pPr>
        <w:spacing w:line="276" w:lineRule="auto"/>
        <w:rPr>
          <w:rFonts w:asciiTheme="majorHAnsi" w:hAnsiTheme="majorHAnsi"/>
          <w:sz w:val="21"/>
          <w:szCs w:val="21"/>
        </w:rPr>
      </w:pPr>
      <w:r w:rsidRPr="00E81C3A">
        <w:rPr>
          <w:rFonts w:asciiTheme="majorHAnsi" w:hAnsiTheme="majorHAnsi"/>
          <w:sz w:val="21"/>
          <w:szCs w:val="21"/>
        </w:rPr>
        <w:t>Racial/ethnic inequities in quitting and access to/quality of care also lead to inequities in health outcomes. Rates of many tobacco and smoking-related chronic conditions and diseases are higher among people of color compared to Whites. In addition, people of color are more likely to be diagnosed with disease at increased stages of severity than Whites, and are more likely to die earlier from disease than Whites (for more information, see</w:t>
      </w:r>
      <w:r w:rsidR="00677724">
        <w:rPr>
          <w:rFonts w:asciiTheme="majorHAnsi" w:hAnsiTheme="majorHAnsi"/>
          <w:sz w:val="21"/>
          <w:szCs w:val="21"/>
        </w:rPr>
        <w:t xml:space="preserve"> </w:t>
      </w:r>
      <w:r w:rsidRPr="00677724">
        <w:rPr>
          <w:rFonts w:asciiTheme="majorHAnsi" w:hAnsiTheme="majorHAnsi"/>
          <w:i/>
          <w:iCs/>
          <w:sz w:val="21"/>
          <w:szCs w:val="21"/>
        </w:rPr>
        <w:t>Smoking Co-morbidities</w:t>
      </w:r>
      <w:r w:rsidRPr="00E81C3A">
        <w:rPr>
          <w:rFonts w:asciiTheme="majorHAnsi" w:hAnsiTheme="majorHAnsi"/>
          <w:sz w:val="21"/>
          <w:szCs w:val="21"/>
        </w:rPr>
        <w:t>).</w:t>
      </w:r>
    </w:p>
    <w:p w14:paraId="7B1A4FC6" w14:textId="3B735ADD" w:rsidR="00E81C3A" w:rsidRDefault="00E81C3A" w:rsidP="004C7118">
      <w:pPr>
        <w:spacing w:line="276" w:lineRule="auto"/>
        <w:rPr>
          <w:rFonts w:asciiTheme="majorHAnsi" w:hAnsiTheme="majorHAnsi"/>
          <w:sz w:val="21"/>
          <w:szCs w:val="21"/>
        </w:rPr>
      </w:pPr>
    </w:p>
    <w:p w14:paraId="5371948B" w14:textId="475C848B" w:rsidR="00E81C3A" w:rsidRDefault="00E81C3A" w:rsidP="004C7118">
      <w:pPr>
        <w:spacing w:line="276" w:lineRule="auto"/>
        <w:rPr>
          <w:rFonts w:asciiTheme="majorHAnsi" w:hAnsiTheme="majorHAnsi"/>
          <w:sz w:val="21"/>
          <w:szCs w:val="21"/>
        </w:rPr>
      </w:pPr>
    </w:p>
    <w:p w14:paraId="43559F7D" w14:textId="46D453D4" w:rsidR="00E81C3A" w:rsidRDefault="00E81C3A" w:rsidP="004C7118">
      <w:pPr>
        <w:spacing w:line="276" w:lineRule="auto"/>
        <w:rPr>
          <w:rFonts w:asciiTheme="majorHAnsi" w:hAnsiTheme="majorHAnsi"/>
          <w:sz w:val="21"/>
          <w:szCs w:val="21"/>
        </w:rPr>
      </w:pPr>
    </w:p>
    <w:p w14:paraId="5AA0C88D" w14:textId="653AAF93" w:rsidR="00E81C3A" w:rsidRDefault="00E81C3A" w:rsidP="004C7118">
      <w:pPr>
        <w:spacing w:line="276" w:lineRule="auto"/>
        <w:rPr>
          <w:rFonts w:asciiTheme="majorHAnsi" w:hAnsiTheme="majorHAnsi"/>
          <w:sz w:val="21"/>
          <w:szCs w:val="21"/>
        </w:rPr>
      </w:pPr>
    </w:p>
    <w:p w14:paraId="176E78E4" w14:textId="0420782E" w:rsidR="00E81C3A" w:rsidRDefault="00E81C3A" w:rsidP="004C7118">
      <w:pPr>
        <w:spacing w:line="276" w:lineRule="auto"/>
        <w:rPr>
          <w:rFonts w:asciiTheme="majorHAnsi" w:hAnsiTheme="majorHAnsi"/>
          <w:sz w:val="21"/>
          <w:szCs w:val="21"/>
        </w:rPr>
      </w:pPr>
    </w:p>
    <w:p w14:paraId="6CAF3CC6" w14:textId="19BB5D63" w:rsidR="00E81C3A" w:rsidRDefault="00E81C3A" w:rsidP="004C7118">
      <w:pPr>
        <w:spacing w:line="276" w:lineRule="auto"/>
        <w:rPr>
          <w:rFonts w:asciiTheme="majorHAnsi" w:hAnsiTheme="majorHAnsi"/>
          <w:sz w:val="21"/>
          <w:szCs w:val="21"/>
        </w:rPr>
      </w:pPr>
    </w:p>
    <w:p w14:paraId="43FA5058" w14:textId="74E90E57" w:rsidR="00E81C3A" w:rsidRDefault="00E81C3A" w:rsidP="004C7118">
      <w:pPr>
        <w:spacing w:line="276" w:lineRule="auto"/>
        <w:rPr>
          <w:rFonts w:asciiTheme="majorHAnsi" w:hAnsiTheme="majorHAnsi"/>
          <w:sz w:val="21"/>
          <w:szCs w:val="21"/>
        </w:rPr>
      </w:pPr>
    </w:p>
    <w:p w14:paraId="2BD81FA9" w14:textId="1D435A35" w:rsidR="00E81C3A" w:rsidRDefault="00E81C3A" w:rsidP="004C7118">
      <w:pPr>
        <w:spacing w:line="276" w:lineRule="auto"/>
        <w:rPr>
          <w:rFonts w:asciiTheme="majorHAnsi" w:hAnsiTheme="majorHAnsi"/>
          <w:sz w:val="21"/>
          <w:szCs w:val="21"/>
        </w:rPr>
      </w:pPr>
    </w:p>
    <w:p w14:paraId="3BE8657E" w14:textId="5D8A5C20" w:rsidR="00E81C3A" w:rsidRDefault="00E81C3A" w:rsidP="004C7118">
      <w:pPr>
        <w:spacing w:line="276" w:lineRule="auto"/>
        <w:rPr>
          <w:rFonts w:asciiTheme="majorHAnsi" w:hAnsiTheme="majorHAnsi"/>
          <w:sz w:val="21"/>
          <w:szCs w:val="21"/>
        </w:rPr>
      </w:pPr>
    </w:p>
    <w:p w14:paraId="1FFD3129" w14:textId="4F53BD32" w:rsidR="00E81C3A" w:rsidRDefault="00E81C3A" w:rsidP="004C7118">
      <w:pPr>
        <w:spacing w:line="276" w:lineRule="auto"/>
        <w:rPr>
          <w:rFonts w:asciiTheme="majorHAnsi" w:hAnsiTheme="majorHAnsi"/>
          <w:sz w:val="21"/>
          <w:szCs w:val="21"/>
        </w:rPr>
      </w:pPr>
    </w:p>
    <w:p w14:paraId="5F99974B" w14:textId="792F01CE" w:rsidR="00EB71A3" w:rsidRPr="00666794" w:rsidRDefault="00EB71A3" w:rsidP="00EB71A3">
      <w:pPr>
        <w:pStyle w:val="Heading1"/>
        <w:pBdr>
          <w:bottom w:val="single" w:sz="12" w:space="1" w:color="auto"/>
        </w:pBdr>
        <w:rPr>
          <w:sz w:val="40"/>
        </w:rPr>
      </w:pPr>
      <w:r>
        <w:rPr>
          <w:sz w:val="40"/>
        </w:rPr>
        <w:lastRenderedPageBreak/>
        <w:t>Smoking Co-morbidities</w:t>
      </w:r>
    </w:p>
    <w:p w14:paraId="4AC9AB76" w14:textId="77777777" w:rsidR="00EB71A3" w:rsidRPr="00EB71A3" w:rsidRDefault="00EB71A3" w:rsidP="00EB71A3">
      <w:pPr>
        <w:spacing w:line="276" w:lineRule="auto"/>
        <w:rPr>
          <w:rFonts w:asciiTheme="majorHAnsi" w:hAnsiTheme="majorHAnsi"/>
          <w:sz w:val="21"/>
          <w:szCs w:val="21"/>
        </w:rPr>
      </w:pPr>
      <w:r w:rsidRPr="00EB71A3">
        <w:rPr>
          <w:rFonts w:asciiTheme="majorHAnsi" w:hAnsiTheme="majorHAnsi"/>
          <w:sz w:val="21"/>
          <w:szCs w:val="21"/>
        </w:rPr>
        <w:t>Smoking is the leading cause of a multitude of preventable diseases. Furthermore, smoking contributes to and co-occurs with health risk behaviors and chronic diseases, but not all smokers have the same health risk factors and health outcomes. Both directly and indirectly, structural racism and other systems of discrimination shape the way that social, environmental, and economic conditions impact health risk behaviors and long-term health, leading to inequities in tobacco and smoking-attributable disease.</w:t>
      </w:r>
    </w:p>
    <w:p w14:paraId="7D638DC5" w14:textId="77777777" w:rsidR="00EB71A3" w:rsidRDefault="00EB71A3" w:rsidP="00EB71A3">
      <w:pPr>
        <w:spacing w:line="276" w:lineRule="auto"/>
        <w:rPr>
          <w:rFonts w:asciiTheme="majorHAnsi" w:hAnsiTheme="majorHAnsi"/>
          <w:sz w:val="21"/>
          <w:szCs w:val="21"/>
        </w:rPr>
      </w:pPr>
    </w:p>
    <w:p w14:paraId="4FCDDCBF" w14:textId="6B81649D" w:rsidR="00E81C3A" w:rsidRDefault="00EB71A3" w:rsidP="004C7118">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Social, environmental, and economic conditions contributing to co-morbidities</w:t>
      </w:r>
    </w:p>
    <w:p w14:paraId="75CDA79E" w14:textId="77777777" w:rsidR="00EB71A3" w:rsidRPr="00EB71A3" w:rsidRDefault="00EB71A3" w:rsidP="00EB71A3">
      <w:pPr>
        <w:spacing w:line="276" w:lineRule="auto"/>
        <w:rPr>
          <w:rFonts w:asciiTheme="majorHAnsi" w:hAnsiTheme="majorHAnsi"/>
          <w:sz w:val="21"/>
          <w:szCs w:val="21"/>
        </w:rPr>
      </w:pPr>
      <w:r w:rsidRPr="00EB71A3">
        <w:rPr>
          <w:rFonts w:asciiTheme="majorHAnsi" w:hAnsiTheme="majorHAnsi"/>
          <w:sz w:val="21"/>
          <w:szCs w:val="21"/>
        </w:rPr>
        <w:t>Many individuals experience inequities in multiple conditions. These individuals tend to have worse health outcomes, increased burden of disease management, and greater health care costs.</w:t>
      </w:r>
      <w:r w:rsidRPr="00EB71A3">
        <w:rPr>
          <w:rFonts w:asciiTheme="majorHAnsi" w:hAnsiTheme="majorHAnsi"/>
          <w:sz w:val="21"/>
          <w:szCs w:val="21"/>
          <w:vertAlign w:val="superscript"/>
        </w:rPr>
        <w:endnoteReference w:id="33"/>
      </w:r>
      <w:r w:rsidRPr="00EB71A3">
        <w:rPr>
          <w:rFonts w:asciiTheme="majorHAnsi" w:hAnsiTheme="majorHAnsi"/>
          <w:sz w:val="21"/>
          <w:szCs w:val="21"/>
        </w:rPr>
        <w:t xml:space="preserve"> Therefore, it is essential to examine relationships between smoking, risk behaviors, and chronic disease outcomes.</w:t>
      </w:r>
    </w:p>
    <w:p w14:paraId="5DFDC43C" w14:textId="14AEF73C" w:rsidR="00EB71A3" w:rsidRDefault="00EB71A3" w:rsidP="00EB71A3">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EB71A3" w:rsidRPr="00643AFA" w14:paraId="011822B6" w14:textId="77777777" w:rsidTr="00DB5BF3">
        <w:trPr>
          <w:trHeight w:val="591"/>
        </w:trPr>
        <w:tc>
          <w:tcPr>
            <w:tcW w:w="212" w:type="dxa"/>
            <w:tcBorders>
              <w:top w:val="nil"/>
              <w:left w:val="nil"/>
              <w:bottom w:val="nil"/>
              <w:right w:val="nil"/>
            </w:tcBorders>
            <w:shd w:val="clear" w:color="auto" w:fill="C00000"/>
          </w:tcPr>
          <w:p w14:paraId="0BD36F98" w14:textId="77777777" w:rsidR="00EB71A3" w:rsidRPr="00643AFA" w:rsidRDefault="00EB71A3" w:rsidP="00222B17">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496CC77A" w14:textId="268BE97C" w:rsidR="00EB71A3" w:rsidRPr="00643AFA" w:rsidRDefault="00DB5BF3"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Built</w:t>
            </w:r>
            <w:r w:rsidR="00EB71A3">
              <w:rPr>
                <w:rFonts w:asciiTheme="minorHAnsi" w:hAnsiTheme="minorHAnsi"/>
                <w:b/>
                <w:bCs/>
                <w:sz w:val="22"/>
                <w:szCs w:val="22"/>
              </w:rPr>
              <w:t xml:space="preserve"> Environment</w:t>
            </w:r>
          </w:p>
          <w:p w14:paraId="6D2D6211" w14:textId="5DCA6217" w:rsidR="00EB71A3" w:rsidRPr="00B10AAF" w:rsidRDefault="00DB5BF3" w:rsidP="00222B17">
            <w:pPr>
              <w:widowControl w:val="0"/>
              <w:spacing w:line="276" w:lineRule="auto"/>
              <w:rPr>
                <w:rFonts w:asciiTheme="majorHAnsi" w:hAnsiTheme="majorHAnsi"/>
                <w:szCs w:val="22"/>
              </w:rPr>
            </w:pPr>
            <w:r w:rsidRPr="00DB5BF3">
              <w:rPr>
                <w:rFonts w:asciiTheme="majorHAnsi" w:hAnsiTheme="majorHAnsi"/>
                <w:szCs w:val="22"/>
              </w:rPr>
              <w:t xml:space="preserve">In addition to increased tobacco retail density (See: </w:t>
            </w:r>
            <w:r w:rsidRPr="00DB5BF3">
              <w:rPr>
                <w:rFonts w:asciiTheme="majorHAnsi" w:hAnsiTheme="majorHAnsi"/>
                <w:i/>
                <w:szCs w:val="22"/>
              </w:rPr>
              <w:t>Who Quits and Why</w:t>
            </w:r>
            <w:r w:rsidRPr="00DB5BF3">
              <w:rPr>
                <w:rFonts w:asciiTheme="majorHAnsi" w:hAnsiTheme="majorHAnsi"/>
                <w:szCs w:val="22"/>
              </w:rPr>
              <w:t>), lower income neighborhoods and neighborhoods with greater proportions of residents of color, are more likely to have a higher fast-food outlet density, and fewer safe outdoor spaces to walk and exercise, which can also increase the likelihood of chronic disease.</w:t>
            </w:r>
            <w:r w:rsidRPr="00DB5BF3">
              <w:rPr>
                <w:rFonts w:asciiTheme="majorHAnsi" w:hAnsiTheme="majorHAnsi"/>
                <w:szCs w:val="22"/>
                <w:vertAlign w:val="superscript"/>
              </w:rPr>
              <w:endnoteReference w:id="34"/>
            </w:r>
            <w:r w:rsidRPr="00DB5BF3">
              <w:rPr>
                <w:rFonts w:asciiTheme="majorHAnsi" w:hAnsiTheme="majorHAnsi"/>
                <w:szCs w:val="22"/>
                <w:vertAlign w:val="superscript"/>
              </w:rPr>
              <w:t>,</w:t>
            </w:r>
            <w:r w:rsidRPr="00DB5BF3">
              <w:rPr>
                <w:rFonts w:asciiTheme="majorHAnsi" w:hAnsiTheme="majorHAnsi"/>
                <w:szCs w:val="22"/>
                <w:vertAlign w:val="superscript"/>
              </w:rPr>
              <w:endnoteReference w:id="35"/>
            </w:r>
          </w:p>
        </w:tc>
      </w:tr>
    </w:tbl>
    <w:p w14:paraId="174F8633" w14:textId="365F6F4A" w:rsidR="00EB71A3" w:rsidRDefault="00EB71A3" w:rsidP="00EB71A3">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DB5BF3" w:rsidRPr="00643AFA" w14:paraId="72F5FB4D" w14:textId="77777777" w:rsidTr="00222B17">
        <w:trPr>
          <w:trHeight w:val="591"/>
        </w:trPr>
        <w:tc>
          <w:tcPr>
            <w:tcW w:w="212" w:type="dxa"/>
            <w:tcBorders>
              <w:top w:val="nil"/>
              <w:left w:val="nil"/>
              <w:bottom w:val="nil"/>
              <w:right w:val="nil"/>
            </w:tcBorders>
            <w:shd w:val="clear" w:color="auto" w:fill="C00000"/>
          </w:tcPr>
          <w:p w14:paraId="7595B64F" w14:textId="77777777" w:rsidR="00DB5BF3" w:rsidRPr="00643AFA" w:rsidRDefault="00DB5BF3" w:rsidP="00222B17">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0B7FF368" w14:textId="77777777" w:rsidR="00DB5BF3" w:rsidRPr="00643AFA" w:rsidRDefault="00DB5BF3"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Social Environment</w:t>
            </w:r>
          </w:p>
          <w:p w14:paraId="46A99640" w14:textId="5189A599" w:rsidR="00DB5BF3" w:rsidRPr="00B10AAF" w:rsidRDefault="00DB5BF3" w:rsidP="00222B17">
            <w:pPr>
              <w:widowControl w:val="0"/>
              <w:spacing w:line="276" w:lineRule="auto"/>
              <w:rPr>
                <w:rFonts w:asciiTheme="majorHAnsi" w:hAnsiTheme="majorHAnsi"/>
                <w:szCs w:val="22"/>
              </w:rPr>
            </w:pPr>
            <w:r w:rsidRPr="00DB5BF3">
              <w:rPr>
                <w:rFonts w:asciiTheme="majorHAnsi" w:hAnsiTheme="majorHAnsi"/>
                <w:szCs w:val="22"/>
              </w:rPr>
              <w:t>People of color are more likely to report experiencing emotional and physical stress due to treatment based on race, compared to Whites. Experiencing stress as a result of perceived racism is associated with more days of self-reported poor physical health or poor mental health.</w:t>
            </w:r>
            <w:r w:rsidRPr="00DB5BF3">
              <w:rPr>
                <w:rFonts w:asciiTheme="majorHAnsi" w:hAnsiTheme="majorHAnsi"/>
                <w:szCs w:val="22"/>
                <w:vertAlign w:val="superscript"/>
              </w:rPr>
              <w:endnoteReference w:id="36"/>
            </w:r>
          </w:p>
        </w:tc>
      </w:tr>
    </w:tbl>
    <w:p w14:paraId="063D37E3" w14:textId="366FAD30" w:rsidR="00DB5BF3" w:rsidRDefault="00DB5BF3" w:rsidP="00EB71A3">
      <w:pPr>
        <w:spacing w:line="276" w:lineRule="auto"/>
        <w:rPr>
          <w:rFonts w:asciiTheme="majorHAnsi" w:hAnsiTheme="majorHAnsi"/>
          <w:sz w:val="21"/>
          <w:szCs w:val="21"/>
        </w:rPr>
      </w:pPr>
    </w:p>
    <w:tbl>
      <w:tblPr>
        <w:tblStyle w:val="TableGrid"/>
        <w:tblW w:w="9477" w:type="dxa"/>
        <w:tblLook w:val="04A0" w:firstRow="1" w:lastRow="0" w:firstColumn="1" w:lastColumn="0" w:noHBand="0" w:noVBand="1"/>
      </w:tblPr>
      <w:tblGrid>
        <w:gridCol w:w="222"/>
        <w:gridCol w:w="9255"/>
      </w:tblGrid>
      <w:tr w:rsidR="00DB5BF3" w:rsidRPr="00643AFA" w14:paraId="690CAA8E" w14:textId="77777777" w:rsidTr="00222B17">
        <w:trPr>
          <w:trHeight w:val="591"/>
        </w:trPr>
        <w:tc>
          <w:tcPr>
            <w:tcW w:w="212" w:type="dxa"/>
            <w:tcBorders>
              <w:top w:val="nil"/>
              <w:left w:val="nil"/>
              <w:bottom w:val="nil"/>
              <w:right w:val="nil"/>
            </w:tcBorders>
            <w:shd w:val="clear" w:color="auto" w:fill="C00000"/>
          </w:tcPr>
          <w:p w14:paraId="2B5E4C84" w14:textId="77777777" w:rsidR="00DB5BF3" w:rsidRPr="00643AFA" w:rsidRDefault="00DB5BF3" w:rsidP="00222B17">
            <w:pPr>
              <w:widowControl w:val="0"/>
              <w:spacing w:before="40" w:after="40" w:line="276" w:lineRule="auto"/>
              <w:rPr>
                <w:rFonts w:asciiTheme="minorHAnsi" w:hAnsiTheme="minorHAnsi"/>
                <w:sz w:val="22"/>
                <w:szCs w:val="22"/>
              </w:rPr>
            </w:pPr>
          </w:p>
        </w:tc>
        <w:tc>
          <w:tcPr>
            <w:tcW w:w="9265" w:type="dxa"/>
            <w:tcBorders>
              <w:top w:val="nil"/>
              <w:left w:val="nil"/>
              <w:bottom w:val="nil"/>
              <w:right w:val="nil"/>
            </w:tcBorders>
            <w:shd w:val="clear" w:color="auto" w:fill="F2F2F2" w:themeFill="background1" w:themeFillShade="F2"/>
          </w:tcPr>
          <w:p w14:paraId="5BAA1B53" w14:textId="354322BC" w:rsidR="00DB5BF3" w:rsidRPr="00643AFA" w:rsidRDefault="00DB5BF3" w:rsidP="00222B17">
            <w:pPr>
              <w:widowControl w:val="0"/>
              <w:spacing w:before="40" w:after="40" w:line="276" w:lineRule="auto"/>
              <w:rPr>
                <w:rFonts w:asciiTheme="minorHAnsi" w:hAnsiTheme="minorHAnsi"/>
                <w:b/>
                <w:bCs/>
                <w:sz w:val="22"/>
                <w:szCs w:val="22"/>
              </w:rPr>
            </w:pPr>
            <w:r>
              <w:rPr>
                <w:rFonts w:asciiTheme="minorHAnsi" w:hAnsiTheme="minorHAnsi"/>
                <w:b/>
                <w:bCs/>
                <w:sz w:val="22"/>
                <w:szCs w:val="22"/>
              </w:rPr>
              <w:t>Healthcare Environment</w:t>
            </w:r>
          </w:p>
          <w:p w14:paraId="27E721E9" w14:textId="4AEC757B" w:rsidR="00DB5BF3" w:rsidRPr="00B10AAF" w:rsidRDefault="00DB5BF3" w:rsidP="00222B17">
            <w:pPr>
              <w:widowControl w:val="0"/>
              <w:spacing w:line="276" w:lineRule="auto"/>
              <w:rPr>
                <w:rFonts w:asciiTheme="majorHAnsi" w:hAnsiTheme="majorHAnsi"/>
                <w:szCs w:val="22"/>
              </w:rPr>
            </w:pPr>
            <w:r w:rsidRPr="00DB5BF3">
              <w:rPr>
                <w:rFonts w:asciiTheme="majorHAnsi" w:hAnsiTheme="majorHAnsi"/>
                <w:szCs w:val="22"/>
              </w:rPr>
              <w:t>People with lower paying or unstable employment are more likely to have health insurance with prohibitive costs, or to not have health insurance at all, which can lead to delayed treatment of disease, and lower quality of care received. In addition, people of color may wait longer than Whites to seek out care, are less likely than Whites to receive recommendations for surgery, and are also less likely to be enrolled in clinical trials (limiting research on the most effective race-specific treatments).</w:t>
            </w:r>
            <w:r w:rsidRPr="00DB5BF3">
              <w:rPr>
                <w:rFonts w:asciiTheme="majorHAnsi" w:hAnsiTheme="majorHAnsi"/>
                <w:szCs w:val="22"/>
                <w:vertAlign w:val="superscript"/>
              </w:rPr>
              <w:endnoteReference w:id="37"/>
            </w:r>
          </w:p>
        </w:tc>
      </w:tr>
    </w:tbl>
    <w:p w14:paraId="7553CFF8" w14:textId="330A70B1" w:rsidR="00DB5BF3" w:rsidRDefault="00DB5BF3" w:rsidP="00EB71A3">
      <w:pPr>
        <w:spacing w:line="276" w:lineRule="auto"/>
        <w:rPr>
          <w:rFonts w:asciiTheme="majorHAnsi" w:hAnsiTheme="majorHAnsi"/>
          <w:sz w:val="21"/>
          <w:szCs w:val="21"/>
        </w:rPr>
      </w:pPr>
    </w:p>
    <w:p w14:paraId="329204FA" w14:textId="1CDFA4B9" w:rsidR="00DB5BF3" w:rsidRDefault="00DB5BF3" w:rsidP="00EB71A3">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Health risk behaviors</w:t>
      </w:r>
    </w:p>
    <w:p w14:paraId="776018EB" w14:textId="77777777" w:rsidR="00DB5BF3" w:rsidRPr="00DB5BF3" w:rsidRDefault="00DB5BF3" w:rsidP="00DB5BF3">
      <w:pPr>
        <w:spacing w:line="276" w:lineRule="auto"/>
        <w:rPr>
          <w:rFonts w:asciiTheme="majorHAnsi" w:hAnsiTheme="majorHAnsi"/>
          <w:sz w:val="21"/>
          <w:szCs w:val="21"/>
        </w:rPr>
      </w:pPr>
      <w:r w:rsidRPr="00DB5BF3">
        <w:rPr>
          <w:rFonts w:asciiTheme="majorHAnsi" w:hAnsiTheme="majorHAnsi"/>
          <w:sz w:val="21"/>
          <w:szCs w:val="21"/>
        </w:rPr>
        <w:t>In Massachusetts, significantly more current smokers reported having poor mental health, being heavy drinkers, and engaging in less physical exercise compared to former smokers and never smokers (Figure 10).</w:t>
      </w:r>
    </w:p>
    <w:p w14:paraId="4ABEFC1D" w14:textId="1F08EC81" w:rsidR="00DB5BF3" w:rsidRDefault="00DB5BF3" w:rsidP="00DB5BF3">
      <w:pPr>
        <w:spacing w:line="276" w:lineRule="auto"/>
        <w:rPr>
          <w:rFonts w:asciiTheme="majorHAnsi" w:hAnsiTheme="majorHAnsi"/>
          <w:sz w:val="21"/>
          <w:szCs w:val="21"/>
        </w:rPr>
      </w:pPr>
    </w:p>
    <w:p w14:paraId="0379089C" w14:textId="5AF2E9BE" w:rsidR="00DB5BF3" w:rsidRDefault="00677724" w:rsidP="00DB5BF3">
      <w:pPr>
        <w:spacing w:line="276" w:lineRule="auto"/>
        <w:rPr>
          <w:rFonts w:asciiTheme="majorHAnsi" w:hAnsiTheme="majorHAnsi"/>
          <w:sz w:val="21"/>
          <w:szCs w:val="21"/>
        </w:rPr>
      </w:pPr>
      <w:r w:rsidRPr="0015763B">
        <w:rPr>
          <w:rFonts w:ascii="Calibri" w:hAnsi="Calibri" w:cs="Tahoma"/>
          <w:noProof/>
          <w:color w:val="3A4972"/>
          <w:sz w:val="22"/>
          <w:szCs w:val="22"/>
        </w:rPr>
        <w:lastRenderedPageBreak/>
        <mc:AlternateContent>
          <mc:Choice Requires="wps">
            <w:drawing>
              <wp:anchor distT="0" distB="0" distL="114300" distR="114300" simplePos="0" relativeHeight="251725824" behindDoc="0" locked="0" layoutInCell="1" allowOverlap="1" wp14:anchorId="5D5D3614" wp14:editId="28735D79">
                <wp:simplePos x="0" y="0"/>
                <wp:positionH relativeFrom="page">
                  <wp:posOffset>947530</wp:posOffset>
                </wp:positionH>
                <wp:positionV relativeFrom="paragraph">
                  <wp:posOffset>2405270</wp:posOffset>
                </wp:positionV>
                <wp:extent cx="4565015" cy="473654"/>
                <wp:effectExtent l="0" t="0" r="0" b="0"/>
                <wp:wrapNone/>
                <wp:docPr id="688" name="Text Box 1"/>
                <wp:cNvGraphicFramePr/>
                <a:graphic xmlns:a="http://schemas.openxmlformats.org/drawingml/2006/main">
                  <a:graphicData uri="http://schemas.microsoft.com/office/word/2010/wordprocessingShape">
                    <wps:wsp>
                      <wps:cNvSpPr txBox="1"/>
                      <wps:spPr>
                        <a:xfrm>
                          <a:off x="0" y="0"/>
                          <a:ext cx="4565015" cy="473654"/>
                        </a:xfrm>
                        <a:prstGeom prst="rect">
                          <a:avLst/>
                        </a:prstGeom>
                      </wps:spPr>
                      <wps:txbx>
                        <w:txbxContent>
                          <w:p w14:paraId="48DB7BA5" w14:textId="77777777" w:rsidR="00DB5BF3" w:rsidRDefault="00DB5BF3" w:rsidP="00DB5BF3">
                            <w:pPr>
                              <w:pStyle w:val="NormalWeb"/>
                              <w:spacing w:before="0" w:beforeAutospacing="0" w:after="0" w:afterAutospacing="0"/>
                              <w:rPr>
                                <w:rFonts w:asciiTheme="minorHAnsi" w:hAnsiTheme="minorHAnsi" w:cstheme="minorHAnsi"/>
                                <w:bCs/>
                                <w:sz w:val="16"/>
                                <w:szCs w:val="16"/>
                              </w:rPr>
                            </w:pPr>
                            <w:r w:rsidRPr="00D535BD">
                              <w:rPr>
                                <w:rFonts w:asciiTheme="minorHAnsi" w:hAnsiTheme="minorHAnsi" w:cstheme="minorHAnsi"/>
                                <w:bCs/>
                                <w:sz w:val="16"/>
                                <w:szCs w:val="16"/>
                              </w:rPr>
                              <w:t>*Adjusted to control for older average age of former smokers (compared to current and never smokers). Rates are based on six age groups (18-24, 25-34, 35-44, 45-54, 55-64, 65+), and standard age proportions were calculated using 2000 Census data.</w:t>
                            </w:r>
                          </w:p>
                          <w:p w14:paraId="0F77FC50" w14:textId="70443BE5" w:rsidR="00DB5BF3" w:rsidRPr="00D535BD" w:rsidRDefault="00DB5BF3" w:rsidP="006D18B7">
                            <w:pPr>
                              <w:pStyle w:val="NormalWeb"/>
                              <w:spacing w:before="0" w:beforeAutospacing="0" w:after="0" w:afterAutospacing="0"/>
                              <w:ind w:right="320"/>
                              <w:rPr>
                                <w:rFonts w:asciiTheme="minorHAnsi" w:hAnsiTheme="minorHAnsi" w:cstheme="minorHAnsi"/>
                                <w:sz w:val="16"/>
                                <w:szCs w:val="16"/>
                              </w:rPr>
                            </w:pPr>
                          </w:p>
                        </w:txbxContent>
                      </wps:txbx>
                      <wps:bodyPr vert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5D5D3614" id="Text Box 1" o:spid="_x0000_s1048" type="#_x0000_t202" style="position:absolute;margin-left:74.6pt;margin-top:189.4pt;width:359.45pt;height:37.3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" filled="f" stroked="f">
                <v:textbox>
                  <w:txbxContent>
                    <w:p w14:paraId="48DB7BA5" w14:textId="77777777" w:rsidR="00DB5BF3" w:rsidRDefault="00DB5BF3" w:rsidP="00DB5BF3">
                      <w:pPr>
                        <w:pStyle w:val="NormalWeb"/>
                        <w:spacing w:before="0" w:beforeAutospacing="0" w:after="0" w:afterAutospacing="0"/>
                        <w:rPr>
                          <w:rFonts w:asciiTheme="minorHAnsi" w:hAnsiTheme="minorHAnsi" w:cstheme="minorHAnsi"/>
                          <w:bCs/>
                          <w:sz w:val="16"/>
                          <w:szCs w:val="16"/>
                        </w:rPr>
                      </w:pPr>
                      <w:r w:rsidRPr="00D535BD">
                        <w:rPr>
                          <w:rFonts w:asciiTheme="minorHAnsi" w:hAnsiTheme="minorHAnsi" w:cstheme="minorHAnsi"/>
                          <w:bCs/>
                          <w:sz w:val="16"/>
                          <w:szCs w:val="16"/>
                        </w:rPr>
                        <w:t>*Adjusted to control for older average age of former smokers (compared to current and never smokers). Rates are based on six age groups (18-24, 25-34, 35-44, 45-54, 55-64, 65+), and standard age proportions were calculated using 2000 Census data.</w:t>
                      </w:r>
                    </w:p>
                    <w:p w14:paraId="0F77FC50" w14:textId="70443BE5" w:rsidR="00DB5BF3" w:rsidRPr="00D535BD" w:rsidRDefault="00DB5BF3" w:rsidP="006D18B7">
                      <w:pPr>
                        <w:pStyle w:val="NormalWeb"/>
                        <w:spacing w:before="0" w:beforeAutospacing="0" w:after="0" w:afterAutospacing="0"/>
                        <w:ind w:right="320"/>
                        <w:rPr>
                          <w:rFonts w:asciiTheme="minorHAnsi" w:hAnsiTheme="minorHAnsi" w:cstheme="minorHAnsi"/>
                          <w:sz w:val="16"/>
                          <w:szCs w:val="16"/>
                        </w:rPr>
                      </w:pPr>
                    </w:p>
                  </w:txbxContent>
                </v:textbox>
                <w10:wrap anchorx="page"/>
              </v:shape>
            </w:pict>
          </mc:Fallback>
        </mc:AlternateContent>
      </w:r>
      <w:r>
        <w:rPr>
          <w:rFonts w:ascii="Calibri" w:hAnsi="Calibri" w:cs="Tahoma"/>
          <w:noProof/>
          <w:color w:val="3A4972"/>
          <w:sz w:val="22"/>
          <w:szCs w:val="22"/>
        </w:rPr>
        <mc:AlternateContent>
          <mc:Choice Requires="wps">
            <w:drawing>
              <wp:anchor distT="0" distB="0" distL="114300" distR="114300" simplePos="0" relativeHeight="251743232" behindDoc="0" locked="0" layoutInCell="1" allowOverlap="1" wp14:anchorId="671B13D8" wp14:editId="33FDF958">
                <wp:simplePos x="0" y="0"/>
                <wp:positionH relativeFrom="column">
                  <wp:posOffset>4936436</wp:posOffset>
                </wp:positionH>
                <wp:positionV relativeFrom="paragraph">
                  <wp:posOffset>2617304</wp:posOffset>
                </wp:positionV>
                <wp:extent cx="1533470" cy="262173"/>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533470" cy="262173"/>
                        </a:xfrm>
                        <a:prstGeom prst="rect">
                          <a:avLst/>
                        </a:prstGeom>
                        <a:noFill/>
                        <a:ln w="6350">
                          <a:noFill/>
                        </a:ln>
                      </wps:spPr>
                      <wps:txbx>
                        <w:txbxContent>
                          <w:p w14:paraId="543510C9" w14:textId="1FF61459" w:rsidR="00677724" w:rsidRPr="00677724" w:rsidRDefault="00677724">
                            <w:pPr>
                              <w:rPr>
                                <w:sz w:val="8"/>
                                <w:szCs w:val="8"/>
                              </w:rPr>
                            </w:pPr>
                            <w:r w:rsidRPr="00677724">
                              <w:rPr>
                                <w:sz w:val="15"/>
                                <w:szCs w:val="15"/>
                              </w:rPr>
                              <w:t>Source: Massachusetts BRFSS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13D8" id="Text Box 32" o:spid="_x0000_s1049" type="#_x0000_t202" style="position:absolute;margin-left:388.7pt;margin-top:206.1pt;width:120.75pt;height:20.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" filled="f" stroked="f" strokeweight=".5pt">
                <v:textbox>
                  <w:txbxContent>
                    <w:p w14:paraId="543510C9" w14:textId="1FF61459" w:rsidR="00677724" w:rsidRPr="00677724" w:rsidRDefault="00677724">
                      <w:pPr>
                        <w:rPr>
                          <w:sz w:val="8"/>
                          <w:szCs w:val="8"/>
                        </w:rPr>
                      </w:pPr>
                      <w:r w:rsidRPr="00677724">
                        <w:rPr>
                          <w:sz w:val="15"/>
                          <w:szCs w:val="15"/>
                        </w:rPr>
                        <w:t>Source: Massachusetts BRFSS</w:t>
                      </w:r>
                    </w:p>
                  </w:txbxContent>
                </v:textbox>
              </v:shape>
            </w:pict>
          </mc:Fallback>
        </mc:AlternateContent>
      </w:r>
      <w:r w:rsidR="00DB5BF3">
        <w:rPr>
          <w:noProof/>
        </w:rPr>
        <w:drawing>
          <wp:anchor distT="0" distB="0" distL="114300" distR="114300" simplePos="0" relativeHeight="251723776" behindDoc="0" locked="0" layoutInCell="1" allowOverlap="1" wp14:anchorId="5FCFE712" wp14:editId="14EB9BC7">
            <wp:simplePos x="0" y="0"/>
            <wp:positionH relativeFrom="margin">
              <wp:posOffset>0</wp:posOffset>
            </wp:positionH>
            <wp:positionV relativeFrom="paragraph">
              <wp:posOffset>190500</wp:posOffset>
            </wp:positionV>
            <wp:extent cx="6470015" cy="2687320"/>
            <wp:effectExtent l="0" t="0" r="6985" b="17780"/>
            <wp:wrapSquare wrapText="bothSides"/>
            <wp:docPr id="30" name="Chart 30">
              <a:extLst xmlns:a="http://schemas.openxmlformats.org/drawingml/2006/main">
                <a:ext uri="{FF2B5EF4-FFF2-40B4-BE49-F238E27FC236}">
                  <a16:creationId xmlns:a16="http://schemas.microsoft.com/office/drawing/2014/main" id="{030B6C70-6200-4624-8CEF-EA90D5BA71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r w:rsidR="00DB5BF3">
        <w:rPr>
          <w:rFonts w:asciiTheme="majorHAnsi" w:hAnsiTheme="majorHAnsi"/>
          <w:sz w:val="21"/>
          <w:szCs w:val="21"/>
        </w:rPr>
        <w:tab/>
      </w:r>
    </w:p>
    <w:p w14:paraId="111AB69A" w14:textId="006E69F3" w:rsidR="00DB5BF3" w:rsidRDefault="00DB5BF3" w:rsidP="00DB5BF3">
      <w:pPr>
        <w:spacing w:line="276" w:lineRule="auto"/>
        <w:rPr>
          <w:rFonts w:asciiTheme="majorHAnsi" w:hAnsiTheme="majorHAnsi"/>
          <w:sz w:val="21"/>
          <w:szCs w:val="21"/>
        </w:rPr>
      </w:pPr>
    </w:p>
    <w:p w14:paraId="70B1417D" w14:textId="575DCD2D" w:rsidR="00714136" w:rsidRDefault="00714136" w:rsidP="00714136">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Smoking-attributable Disease</w:t>
      </w:r>
    </w:p>
    <w:p w14:paraId="6E4C471D" w14:textId="77777777" w:rsidR="00714136" w:rsidRPr="00714136" w:rsidRDefault="00714136" w:rsidP="00714136">
      <w:pPr>
        <w:spacing w:line="276" w:lineRule="auto"/>
        <w:rPr>
          <w:rFonts w:asciiTheme="majorHAnsi" w:hAnsiTheme="majorHAnsi"/>
          <w:sz w:val="21"/>
          <w:szCs w:val="21"/>
        </w:rPr>
      </w:pPr>
      <w:r w:rsidRPr="00714136">
        <w:rPr>
          <w:rFonts w:asciiTheme="majorHAnsi" w:hAnsiTheme="majorHAnsi"/>
          <w:sz w:val="21"/>
          <w:szCs w:val="21"/>
        </w:rPr>
        <mc:AlternateContent>
          <mc:Choice Requires="wps">
            <w:drawing>
              <wp:anchor distT="0" distB="0" distL="114300" distR="114300" simplePos="0" relativeHeight="251728896" behindDoc="0" locked="0" layoutInCell="1" allowOverlap="1" wp14:anchorId="632605D3" wp14:editId="44BA5914">
                <wp:simplePos x="0" y="0"/>
                <wp:positionH relativeFrom="column">
                  <wp:posOffset>-6484620</wp:posOffset>
                </wp:positionH>
                <wp:positionV relativeFrom="paragraph">
                  <wp:posOffset>179070</wp:posOffset>
                </wp:positionV>
                <wp:extent cx="5324475" cy="441960"/>
                <wp:effectExtent l="0" t="0" r="0" b="0"/>
                <wp:wrapNone/>
                <wp:docPr id="26" name="Text Box 1"/>
                <wp:cNvGraphicFramePr/>
                <a:graphic xmlns:a="http://schemas.openxmlformats.org/drawingml/2006/main">
                  <a:graphicData uri="http://schemas.microsoft.com/office/word/2010/wordprocessingShape">
                    <wps:wsp>
                      <wps:cNvSpPr txBox="1"/>
                      <wps:spPr>
                        <a:xfrm>
                          <a:off x="0" y="0"/>
                          <a:ext cx="5324475" cy="441960"/>
                        </a:xfrm>
                        <a:prstGeom prst="rect">
                          <a:avLst/>
                        </a:prstGeom>
                      </wps:spPr>
                      <wps:txbx>
                        <w:txbxContent>
                          <w:p w14:paraId="1A88FA4E" w14:textId="77777777" w:rsidR="00714136" w:rsidRPr="00941BE0" w:rsidRDefault="00714136" w:rsidP="00714136">
                            <w:pPr>
                              <w:pStyle w:val="NormalWeb"/>
                              <w:spacing w:before="0" w:beforeAutospacing="0" w:after="0" w:afterAutospacing="0"/>
                              <w:jc w:val="right"/>
                            </w:pPr>
                            <w:r w:rsidRPr="00941BE0">
                              <w:rPr>
                                <w:rFonts w:ascii="Arial" w:hAnsi="Arial" w:cs="Arial"/>
                                <w:bCs/>
                                <w:sz w:val="16"/>
                                <w:szCs w:val="16"/>
                              </w:rPr>
                              <w:t>*Adjusted to control for older average age of former smokers (compared to current and never smokers).                  Rates are based on six age groups (18-24, 25-34, 35-44, 45-54, 55-64, 65+), and standard age proportions were calculated using 2000 Census data.</w:t>
                            </w:r>
                          </w:p>
                        </w:txbxContent>
                      </wps:txbx>
                      <wps:bodyPr vertOverflow="clip" wrap="square" rtlCol="0"/>
                    </wps:wsp>
                  </a:graphicData>
                </a:graphic>
              </wp:anchor>
            </w:drawing>
          </mc:Choice>
          <mc:Fallback>
            <w:pict>
              <v:shape w14:anchorId="632605D3" id="_x0000_s1050" type="#_x0000_t202" style="position:absolute;margin-left:-510.6pt;margin-top:14.1pt;width:419.25pt;height:34.8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" filled="f" stroked="f">
                <v:textbox>
                  <w:txbxContent>
                    <w:p w14:paraId="1A88FA4E" w14:textId="77777777" w:rsidR="00714136" w:rsidRPr="00941BE0" w:rsidRDefault="00714136" w:rsidP="00714136">
                      <w:pPr>
                        <w:pStyle w:val="NormalWeb"/>
                        <w:spacing w:before="0" w:beforeAutospacing="0" w:after="0" w:afterAutospacing="0"/>
                        <w:jc w:val="right"/>
                      </w:pPr>
                      <w:r w:rsidRPr="00941BE0">
                        <w:rPr>
                          <w:rFonts w:ascii="Arial" w:hAnsi="Arial" w:cs="Arial"/>
                          <w:bCs/>
                          <w:sz w:val="16"/>
                          <w:szCs w:val="16"/>
                        </w:rPr>
                        <w:t>*Adjusted to control for older average age of former smokers (compared to current and never smokers).                  Rates are based on six age groups (18-24, 25-34, 35-44, 45-54, 55-64, 65+), and standard age proportions were calculated using 2000 Census data.</w:t>
                      </w:r>
                    </w:p>
                  </w:txbxContent>
                </v:textbox>
              </v:shape>
            </w:pict>
          </mc:Fallback>
        </mc:AlternateContent>
      </w:r>
      <w:r w:rsidRPr="00714136">
        <w:rPr>
          <w:rFonts w:asciiTheme="majorHAnsi" w:hAnsiTheme="majorHAnsi"/>
          <w:sz w:val="21"/>
          <w:szCs w:val="21"/>
        </w:rPr>
        <mc:AlternateContent>
          <mc:Choice Requires="wps">
            <w:drawing>
              <wp:anchor distT="0" distB="0" distL="114300" distR="114300" simplePos="0" relativeHeight="251727872" behindDoc="0" locked="0" layoutInCell="1" allowOverlap="1" wp14:anchorId="3BF81D8C" wp14:editId="38925010">
                <wp:simplePos x="0" y="0"/>
                <wp:positionH relativeFrom="column">
                  <wp:posOffset>-6800215</wp:posOffset>
                </wp:positionH>
                <wp:positionV relativeFrom="paragraph">
                  <wp:posOffset>3169285</wp:posOffset>
                </wp:positionV>
                <wp:extent cx="5324475" cy="441960"/>
                <wp:effectExtent l="0" t="0" r="0" b="0"/>
                <wp:wrapNone/>
                <wp:docPr id="28" name="Text Box 1"/>
                <wp:cNvGraphicFramePr/>
                <a:graphic xmlns:a="http://schemas.openxmlformats.org/drawingml/2006/main">
                  <a:graphicData uri="http://schemas.microsoft.com/office/word/2010/wordprocessingShape">
                    <wps:wsp>
                      <wps:cNvSpPr txBox="1"/>
                      <wps:spPr>
                        <a:xfrm>
                          <a:off x="0" y="0"/>
                          <a:ext cx="5324475" cy="441960"/>
                        </a:xfrm>
                        <a:prstGeom prst="rect">
                          <a:avLst/>
                        </a:prstGeom>
                      </wps:spPr>
                      <wps:txbx>
                        <w:txbxContent>
                          <w:p w14:paraId="114D9668" w14:textId="77777777" w:rsidR="00714136" w:rsidRPr="00941BE0" w:rsidRDefault="00714136" w:rsidP="00714136">
                            <w:pPr>
                              <w:pStyle w:val="NormalWeb"/>
                              <w:spacing w:before="0" w:beforeAutospacing="0" w:after="0" w:afterAutospacing="0"/>
                              <w:jc w:val="right"/>
                            </w:pPr>
                            <w:r w:rsidRPr="00941BE0">
                              <w:rPr>
                                <w:rFonts w:ascii="Arial" w:hAnsi="Arial" w:cs="Arial"/>
                                <w:bCs/>
                                <w:sz w:val="16"/>
                                <w:szCs w:val="16"/>
                              </w:rPr>
                              <w:t>*Adjusted to control for older average age of former smokers (compared to current and never smokers).                  Rates are based on six age groups (18-24, 25-34, 35-44, 45-54, 55-64, 65+), and standard age proportions were calculated using 2000 Census data.</w:t>
                            </w:r>
                          </w:p>
                        </w:txbxContent>
                      </wps:txbx>
                      <wps:bodyPr vertOverflow="clip" wrap="square" rtlCol="0"/>
                    </wps:wsp>
                  </a:graphicData>
                </a:graphic>
              </wp:anchor>
            </w:drawing>
          </mc:Choice>
          <mc:Fallback>
            <w:pict>
              <v:shape w14:anchorId="3BF81D8C" id="_x0000_s1051" type="#_x0000_t202" style="position:absolute;margin-left:-535.45pt;margin-top:249.55pt;width:419.25pt;height:34.8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" filled="f" stroked="f">
                <v:textbox>
                  <w:txbxContent>
                    <w:p w14:paraId="114D9668" w14:textId="77777777" w:rsidR="00714136" w:rsidRPr="00941BE0" w:rsidRDefault="00714136" w:rsidP="00714136">
                      <w:pPr>
                        <w:pStyle w:val="NormalWeb"/>
                        <w:spacing w:before="0" w:beforeAutospacing="0" w:after="0" w:afterAutospacing="0"/>
                        <w:jc w:val="right"/>
                      </w:pPr>
                      <w:r w:rsidRPr="00941BE0">
                        <w:rPr>
                          <w:rFonts w:ascii="Arial" w:hAnsi="Arial" w:cs="Arial"/>
                          <w:bCs/>
                          <w:sz w:val="16"/>
                          <w:szCs w:val="16"/>
                        </w:rPr>
                        <w:t>*Adjusted to control for older average age of former smokers (compared to current and never smokers).                  Rates are based on six age groups (18-24, 25-34, 35-44, 45-54, 55-64, 65+), and standard age proportions were calculated using 2000 Census data.</w:t>
                      </w:r>
                    </w:p>
                  </w:txbxContent>
                </v:textbox>
              </v:shape>
            </w:pict>
          </mc:Fallback>
        </mc:AlternateContent>
      </w:r>
      <w:r w:rsidRPr="00714136">
        <w:rPr>
          <w:rFonts w:asciiTheme="majorHAnsi" w:hAnsiTheme="majorHAnsi"/>
          <w:sz w:val="21"/>
          <w:szCs w:val="21"/>
        </w:rPr>
        <w:t xml:space="preserve">Prevalence of select smoking-attributable diseases is also higher among current smokers (Figure 11). </w:t>
      </w:r>
    </w:p>
    <w:p w14:paraId="7F510B28" w14:textId="77777777" w:rsidR="00714136" w:rsidRPr="00714136" w:rsidRDefault="00714136" w:rsidP="00714136">
      <w:pPr>
        <w:spacing w:line="276" w:lineRule="auto"/>
        <w:rPr>
          <w:rFonts w:asciiTheme="majorHAnsi" w:hAnsiTheme="majorHAnsi"/>
          <w:sz w:val="21"/>
          <w:szCs w:val="21"/>
        </w:rPr>
      </w:pPr>
      <w:r w:rsidRPr="00714136">
        <w:rPr>
          <w:rFonts w:asciiTheme="majorHAnsi" w:hAnsiTheme="majorHAnsi"/>
          <w:sz w:val="21"/>
          <w:szCs w:val="21"/>
        </w:rPr>
        <w:t xml:space="preserve">Prevalence of most smoking-attributable diseases is higher for former smokers compared to never smokers, but the risk of developing these diseases is lower for former smokers than current smokers. Between former smokers and current smokers, the difference in prevalence of COPD (Chronic obstructive pulmonary disease) is statistically significant. For some conditions, such as heart attack and stroke, prevalence for former and current smokers is similar. However, this is likely due to </w:t>
      </w:r>
      <w:bookmarkStart w:id="1" w:name="_Hlk80082603"/>
      <w:r w:rsidRPr="00714136">
        <w:rPr>
          <w:rFonts w:asciiTheme="majorHAnsi" w:hAnsiTheme="majorHAnsi"/>
          <w:sz w:val="21"/>
          <w:szCs w:val="21"/>
        </w:rPr>
        <w:t>smokers changing their smoking behavior after diagnosis</w:t>
      </w:r>
      <w:bookmarkEnd w:id="1"/>
      <w:r w:rsidRPr="00714136">
        <w:rPr>
          <w:rFonts w:asciiTheme="majorHAnsi" w:hAnsiTheme="majorHAnsi"/>
          <w:sz w:val="21"/>
          <w:szCs w:val="21"/>
        </w:rPr>
        <w:t>; one study found that about 50% of smokers quit after being diagnosed with cardiovascular disease.</w:t>
      </w:r>
      <w:r w:rsidRPr="00714136">
        <w:rPr>
          <w:rFonts w:asciiTheme="majorHAnsi" w:hAnsiTheme="majorHAnsi"/>
          <w:sz w:val="21"/>
          <w:szCs w:val="21"/>
          <w:vertAlign w:val="superscript"/>
        </w:rPr>
        <w:endnoteReference w:id="38"/>
      </w:r>
      <w:r w:rsidRPr="00714136">
        <w:rPr>
          <w:rFonts w:asciiTheme="majorHAnsi" w:hAnsiTheme="majorHAnsi"/>
          <w:sz w:val="21"/>
          <w:szCs w:val="21"/>
        </w:rPr>
        <w:t xml:space="preserve"> </w:t>
      </w:r>
    </w:p>
    <w:p w14:paraId="395BB69F" w14:textId="66EB7AA9" w:rsidR="00DB5BF3" w:rsidRDefault="00DB5BF3" w:rsidP="00DB5BF3">
      <w:pPr>
        <w:spacing w:line="276" w:lineRule="auto"/>
        <w:rPr>
          <w:rFonts w:asciiTheme="majorHAnsi" w:hAnsiTheme="majorHAnsi"/>
          <w:sz w:val="21"/>
          <w:szCs w:val="21"/>
        </w:rPr>
      </w:pPr>
    </w:p>
    <w:p w14:paraId="72CD86B9" w14:textId="311A1960" w:rsidR="00714136" w:rsidRDefault="00714136" w:rsidP="00DB5BF3">
      <w:pPr>
        <w:spacing w:line="276" w:lineRule="auto"/>
        <w:rPr>
          <w:rFonts w:asciiTheme="majorHAnsi" w:hAnsiTheme="majorHAnsi"/>
          <w:sz w:val="21"/>
          <w:szCs w:val="21"/>
        </w:rPr>
      </w:pPr>
      <w:r>
        <w:rPr>
          <w:noProof/>
        </w:rPr>
        <w:drawing>
          <wp:inline distT="0" distB="0" distL="0" distR="0" wp14:anchorId="34BBAC50" wp14:editId="15F1459D">
            <wp:extent cx="5943600" cy="2602413"/>
            <wp:effectExtent l="0" t="0" r="12700" b="13970"/>
            <wp:docPr id="674" name="Chart 674">
              <a:extLst xmlns:a="http://schemas.openxmlformats.org/drawingml/2006/main">
                <a:ext uri="{FF2B5EF4-FFF2-40B4-BE49-F238E27FC236}">
                  <a16:creationId xmlns:a16="http://schemas.microsoft.com/office/drawing/2014/main" id="{4A7D0FAF-E372-40C2-919E-52718BEDFE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FB23AC">
        <w:rPr>
          <w:rFonts w:asciiTheme="majorHAnsi" w:hAnsiTheme="majorHAnsi"/>
          <w:sz w:val="21"/>
          <w:szCs w:val="21"/>
        </w:rPr>
        <w:br/>
      </w:r>
    </w:p>
    <w:p w14:paraId="6A1D40CB" w14:textId="19A77451" w:rsidR="00FB23AC" w:rsidRDefault="00FB23AC" w:rsidP="00FB23AC">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Racial inequities in s</w:t>
      </w:r>
      <w:r>
        <w:rPr>
          <w:rFonts w:asciiTheme="majorHAnsi" w:eastAsiaTheme="majorEastAsia" w:hAnsiTheme="majorHAnsi" w:cstheme="majorBidi"/>
          <w:i/>
          <w:iCs/>
          <w:color w:val="4472C4" w:themeColor="accent1"/>
          <w:spacing w:val="15"/>
          <w:sz w:val="24"/>
          <w:szCs w:val="24"/>
        </w:rPr>
        <w:t xml:space="preserve">moking-attributable </w:t>
      </w:r>
      <w:r>
        <w:rPr>
          <w:rFonts w:asciiTheme="majorHAnsi" w:eastAsiaTheme="majorEastAsia" w:hAnsiTheme="majorHAnsi" w:cstheme="majorBidi"/>
          <w:i/>
          <w:iCs/>
          <w:color w:val="4472C4" w:themeColor="accent1"/>
          <w:spacing w:val="15"/>
          <w:sz w:val="24"/>
          <w:szCs w:val="24"/>
        </w:rPr>
        <w:t>d</w:t>
      </w:r>
      <w:r>
        <w:rPr>
          <w:rFonts w:asciiTheme="majorHAnsi" w:eastAsiaTheme="majorEastAsia" w:hAnsiTheme="majorHAnsi" w:cstheme="majorBidi"/>
          <w:i/>
          <w:iCs/>
          <w:color w:val="4472C4" w:themeColor="accent1"/>
          <w:spacing w:val="15"/>
          <w:sz w:val="24"/>
          <w:szCs w:val="24"/>
        </w:rPr>
        <w:t>isease</w:t>
      </w:r>
    </w:p>
    <w:p w14:paraId="32B7D1A8" w14:textId="77777777" w:rsidR="00FB23AC" w:rsidRPr="00FB23AC" w:rsidRDefault="00FB23AC" w:rsidP="00FB23AC">
      <w:pPr>
        <w:spacing w:line="276" w:lineRule="auto"/>
        <w:rPr>
          <w:rFonts w:asciiTheme="majorHAnsi" w:hAnsiTheme="majorHAnsi"/>
          <w:sz w:val="21"/>
          <w:szCs w:val="21"/>
        </w:rPr>
      </w:pPr>
      <w:r w:rsidRPr="00FB23AC">
        <w:rPr>
          <w:rFonts w:asciiTheme="majorHAnsi" w:hAnsiTheme="majorHAnsi"/>
          <w:sz w:val="21"/>
          <w:szCs w:val="21"/>
        </w:rPr>
        <w:t xml:space="preserve">Structural racism contributes to inequities in smoking-attributable morbidity and mortality.  In health care institutions, diagnosis and treatment can vary for people of different races.  Blacks and Hispanics are also less likely to be on health insurance plans with comprehensive health benefits compared to Whites, and may be </w:t>
      </w:r>
      <w:r w:rsidRPr="00FB23AC">
        <w:rPr>
          <w:rFonts w:asciiTheme="majorHAnsi" w:hAnsiTheme="majorHAnsi"/>
          <w:sz w:val="21"/>
          <w:szCs w:val="21"/>
        </w:rPr>
        <w:lastRenderedPageBreak/>
        <w:t>less likely to seek out treatment.</w:t>
      </w:r>
      <w:r w:rsidRPr="00FB23AC">
        <w:rPr>
          <w:rFonts w:asciiTheme="majorHAnsi" w:hAnsiTheme="majorHAnsi"/>
          <w:sz w:val="21"/>
          <w:szCs w:val="21"/>
          <w:vertAlign w:val="superscript"/>
        </w:rPr>
        <w:endnoteReference w:id="39"/>
      </w:r>
      <w:r w:rsidRPr="00FB23AC">
        <w:rPr>
          <w:rFonts w:asciiTheme="majorHAnsi" w:hAnsiTheme="majorHAnsi"/>
          <w:sz w:val="21"/>
          <w:szCs w:val="21"/>
        </w:rPr>
        <w:t xml:space="preserve"> This is reflected in Massachusetts data; in 2019, the percent of Blacks and Hispanics who reported having an annual check-up was similar to Whites, but inequities exist in non-routine visits. Blacks (15.5%) and Hispanics (15.5%) are significantly more likely than Whites (7%) to report cost as a reason that they could not see a doctor at some point in the past year. Additional barriers to care among people of color include: lack of culturally competent care, distrust of health care providers and/or the health care system, and lack of transportation to services.</w:t>
      </w:r>
      <w:r w:rsidRPr="00FB23AC">
        <w:rPr>
          <w:rFonts w:asciiTheme="majorHAnsi" w:hAnsiTheme="majorHAnsi"/>
          <w:sz w:val="21"/>
          <w:szCs w:val="21"/>
          <w:vertAlign w:val="superscript"/>
        </w:rPr>
        <w:endnoteReference w:id="40"/>
      </w:r>
    </w:p>
    <w:p w14:paraId="514C3AC9" w14:textId="62B8C36D" w:rsidR="00FB23AC" w:rsidRDefault="00FB23AC" w:rsidP="00DB5BF3">
      <w:pPr>
        <w:spacing w:line="276" w:lineRule="auto"/>
        <w:rPr>
          <w:rFonts w:asciiTheme="majorHAnsi" w:hAnsiTheme="majorHAnsi"/>
          <w:sz w:val="21"/>
          <w:szCs w:val="21"/>
        </w:rPr>
      </w:pPr>
    </w:p>
    <w:p w14:paraId="343ACB85" w14:textId="77777777" w:rsidR="00FB23AC" w:rsidRPr="00FB23AC" w:rsidRDefault="00FB23AC" w:rsidP="00FB23AC">
      <w:pPr>
        <w:spacing w:line="276" w:lineRule="auto"/>
        <w:rPr>
          <w:rFonts w:asciiTheme="majorHAnsi" w:hAnsiTheme="majorHAnsi"/>
          <w:sz w:val="21"/>
          <w:szCs w:val="21"/>
        </w:rPr>
      </w:pPr>
      <w:r w:rsidRPr="00FB23AC">
        <w:rPr>
          <w:rFonts w:asciiTheme="majorHAnsi" w:hAnsiTheme="majorHAnsi"/>
          <w:sz w:val="21"/>
          <w:szCs w:val="21"/>
        </w:rPr>
        <w:t>BRFSS data does not allow for analysis of smoking co-morbidities by individual racial/ethnic categories (</w:t>
      </w:r>
      <w:proofErr w:type="gramStart"/>
      <w:r w:rsidRPr="00FB23AC">
        <w:rPr>
          <w:rFonts w:asciiTheme="majorHAnsi" w:hAnsiTheme="majorHAnsi"/>
          <w:sz w:val="21"/>
          <w:szCs w:val="21"/>
        </w:rPr>
        <w:t>e.g.</w:t>
      </w:r>
      <w:proofErr w:type="gramEnd"/>
      <w:r w:rsidRPr="00FB23AC">
        <w:rPr>
          <w:rFonts w:asciiTheme="majorHAnsi" w:hAnsiTheme="majorHAnsi"/>
          <w:sz w:val="21"/>
          <w:szCs w:val="21"/>
        </w:rPr>
        <w:t xml:space="preserve"> Black, Hispanic, Asian), due to small sample sizes within each category. However, data does allow for comparisons between Whites and people of color (all other racial/ethnic categories combined):</w:t>
      </w:r>
    </w:p>
    <w:p w14:paraId="4E9E886E" w14:textId="77777777" w:rsidR="00FB23AC" w:rsidRPr="00677724" w:rsidRDefault="00FB23AC" w:rsidP="00677724">
      <w:pPr>
        <w:pStyle w:val="ListParagraph"/>
        <w:numPr>
          <w:ilvl w:val="0"/>
          <w:numId w:val="15"/>
        </w:numPr>
        <w:spacing w:line="276" w:lineRule="auto"/>
        <w:rPr>
          <w:rFonts w:asciiTheme="majorHAnsi" w:hAnsiTheme="majorHAnsi"/>
          <w:sz w:val="21"/>
          <w:szCs w:val="21"/>
        </w:rPr>
      </w:pPr>
      <w:r w:rsidRPr="00677724">
        <w:rPr>
          <w:rFonts w:asciiTheme="majorHAnsi" w:hAnsiTheme="majorHAnsi"/>
          <w:sz w:val="21"/>
          <w:szCs w:val="21"/>
        </w:rPr>
        <w:t>Among smokers, rates of diabetes are significantly higher for people of color (POC) than Whites (Figure 12; 2017-2019 age-adjusted rates)</w:t>
      </w:r>
    </w:p>
    <w:p w14:paraId="32E4B901" w14:textId="77777777" w:rsidR="00FB23AC" w:rsidRPr="00677724" w:rsidRDefault="00FB23AC" w:rsidP="00677724">
      <w:pPr>
        <w:pStyle w:val="ListParagraph"/>
        <w:numPr>
          <w:ilvl w:val="0"/>
          <w:numId w:val="15"/>
        </w:numPr>
        <w:spacing w:line="276" w:lineRule="auto"/>
        <w:rPr>
          <w:rFonts w:asciiTheme="majorHAnsi" w:hAnsiTheme="majorHAnsi"/>
          <w:sz w:val="21"/>
          <w:szCs w:val="21"/>
        </w:rPr>
      </w:pPr>
      <w:r w:rsidRPr="00677724">
        <w:rPr>
          <w:rFonts w:asciiTheme="majorHAnsi" w:hAnsiTheme="majorHAnsi"/>
          <w:sz w:val="21"/>
          <w:szCs w:val="21"/>
        </w:rPr>
        <w:t>In addition, though COPD rates are higher for White smokers compared to POC smokers, among former smokers, rates of COPD drop by 58% in Whites, but only by 48% among POC.</w:t>
      </w:r>
    </w:p>
    <w:p w14:paraId="652E1725" w14:textId="30B11762" w:rsidR="00FB23AC" w:rsidRDefault="00FB23AC" w:rsidP="00DB5BF3">
      <w:pPr>
        <w:spacing w:line="276" w:lineRule="auto"/>
        <w:rPr>
          <w:rFonts w:asciiTheme="majorHAnsi" w:hAnsiTheme="majorHAnsi"/>
          <w:sz w:val="21"/>
          <w:szCs w:val="21"/>
        </w:rPr>
      </w:pPr>
    </w:p>
    <w:p w14:paraId="14DAC739" w14:textId="27ED970D" w:rsidR="00FB23AC" w:rsidRDefault="00FB23AC" w:rsidP="00DB5BF3">
      <w:pPr>
        <w:spacing w:line="276" w:lineRule="auto"/>
        <w:rPr>
          <w:rFonts w:asciiTheme="majorHAnsi" w:hAnsiTheme="majorHAnsi"/>
          <w:sz w:val="21"/>
          <w:szCs w:val="21"/>
        </w:rPr>
      </w:pPr>
      <w:r>
        <w:rPr>
          <w:noProof/>
        </w:rPr>
        <w:drawing>
          <wp:inline distT="0" distB="0" distL="0" distR="0" wp14:anchorId="5CE7C6FC" wp14:editId="79D2849B">
            <wp:extent cx="6100445" cy="3379622"/>
            <wp:effectExtent l="0" t="0" r="8255" b="11430"/>
            <wp:docPr id="2" name="Chart 2">
              <a:extLst xmlns:a="http://schemas.openxmlformats.org/drawingml/2006/main">
                <a:ext uri="{FF2B5EF4-FFF2-40B4-BE49-F238E27FC236}">
                  <a16:creationId xmlns:a16="http://schemas.microsoft.com/office/drawing/2014/main" id="{15B789E8-F236-4F90-9653-AB48090EA7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0C896C7" w14:textId="05A066A7" w:rsidR="006D18B7" w:rsidRDefault="006D18B7" w:rsidP="00DB5BF3">
      <w:pPr>
        <w:spacing w:line="276" w:lineRule="auto"/>
        <w:rPr>
          <w:rFonts w:asciiTheme="majorHAnsi" w:hAnsiTheme="majorHAnsi"/>
          <w:sz w:val="21"/>
          <w:szCs w:val="21"/>
        </w:rPr>
      </w:pPr>
    </w:p>
    <w:p w14:paraId="3B78A443" w14:textId="77777777" w:rsidR="006D18B7" w:rsidRPr="006D18B7" w:rsidRDefault="006D18B7" w:rsidP="006D18B7">
      <w:pPr>
        <w:spacing w:line="276" w:lineRule="auto"/>
        <w:rPr>
          <w:rFonts w:asciiTheme="majorHAnsi" w:hAnsiTheme="majorHAnsi"/>
          <w:sz w:val="21"/>
          <w:szCs w:val="21"/>
        </w:rPr>
      </w:pPr>
      <w:r w:rsidRPr="006D18B7">
        <w:rPr>
          <w:rFonts w:asciiTheme="majorHAnsi" w:hAnsiTheme="majorHAnsi"/>
          <w:sz w:val="21"/>
          <w:szCs w:val="21"/>
        </w:rPr>
        <mc:AlternateContent>
          <mc:Choice Requires="wpg">
            <w:drawing>
              <wp:anchor distT="0" distB="0" distL="114300" distR="114300" simplePos="0" relativeHeight="251730944" behindDoc="0" locked="0" layoutInCell="1" allowOverlap="1" wp14:anchorId="1E426081" wp14:editId="737CF73F">
                <wp:simplePos x="0" y="0"/>
                <wp:positionH relativeFrom="column">
                  <wp:posOffset>-6477000</wp:posOffset>
                </wp:positionH>
                <wp:positionV relativeFrom="paragraph">
                  <wp:posOffset>981710</wp:posOffset>
                </wp:positionV>
                <wp:extent cx="139065" cy="141605"/>
                <wp:effectExtent l="0" t="0" r="32385" b="29845"/>
                <wp:wrapNone/>
                <wp:docPr id="43" name="Group 1"/>
                <wp:cNvGraphicFramePr/>
                <a:graphic xmlns:a="http://schemas.openxmlformats.org/drawingml/2006/main">
                  <a:graphicData uri="http://schemas.microsoft.com/office/word/2010/wordprocessingGroup">
                    <wpg:wgp>
                      <wpg:cNvGrpSpPr/>
                      <wpg:grpSpPr>
                        <a:xfrm>
                          <a:off x="0" y="0"/>
                          <a:ext cx="139065" cy="141605"/>
                          <a:chOff x="0" y="0"/>
                          <a:chExt cx="147972" cy="159453"/>
                        </a:xfrm>
                      </wpg:grpSpPr>
                      <wps:wsp>
                        <wps:cNvPr id="53" name="Straight Connector 53"/>
                        <wps:cNvCnPr/>
                        <wps:spPr>
                          <a:xfrm>
                            <a:off x="11070" y="0"/>
                            <a:ext cx="136902" cy="74414"/>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54" name="Straight Connector 54"/>
                        <wps:cNvCnPr/>
                        <wps:spPr>
                          <a:xfrm>
                            <a:off x="0" y="85039"/>
                            <a:ext cx="136961" cy="74414"/>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69D5806C" id="Group 1" o:spid="_x0000_s1026" style="position:absolute;margin-left:-510pt;margin-top:77.3pt;width:10.95pt;height:11.15pt;z-index:251730944" coordsize="147972,1594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">
                <v:line id="Straight Connector 53" o:spid="_x0000_s1027" style="position:absolute;visibility:visible;mso-wrap-style:square" from="11070,0" to="147972,744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" strokecolor="black [3213]" strokeweight="1pt">
                  <v:stroke joinstyle="miter"/>
                </v:line>
                <v:line id="Straight Connector 54" o:spid="_x0000_s1028" style="position:absolute;visibility:visible;mso-wrap-style:square" from="0,85039" to="136961,15945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" strokecolor="black [3213]" strokeweight="1pt">
                  <v:stroke joinstyle="miter"/>
                </v:line>
              </v:group>
            </w:pict>
          </mc:Fallback>
        </mc:AlternateContent>
      </w:r>
      <w:r w:rsidRPr="006D18B7">
        <w:rPr>
          <w:rFonts w:asciiTheme="majorHAnsi" w:hAnsiTheme="majorHAnsi"/>
          <w:sz w:val="21"/>
          <w:szCs w:val="21"/>
        </w:rPr>
        <w:t>Similarly, when looking at cancer outcomes, Blacks have lower survival rates than Whites. These differences may be attributed in part to later diagnosis of cancer when treatment options are less effective and higher rates of co-morbid health conditions among Blacks compared to Whites.</w:t>
      </w:r>
      <w:r w:rsidRPr="006D18B7">
        <w:rPr>
          <w:rFonts w:asciiTheme="majorHAnsi" w:hAnsiTheme="majorHAnsi"/>
          <w:sz w:val="21"/>
          <w:szCs w:val="21"/>
          <w:vertAlign w:val="superscript"/>
        </w:rPr>
        <w:endnoteReference w:id="41"/>
      </w:r>
    </w:p>
    <w:p w14:paraId="758EB6E8" w14:textId="690E1468" w:rsidR="006D18B7" w:rsidRDefault="006D18B7" w:rsidP="00DB5BF3">
      <w:pPr>
        <w:spacing w:line="276" w:lineRule="auto"/>
        <w:rPr>
          <w:rFonts w:asciiTheme="majorHAnsi" w:hAnsiTheme="majorHAnsi"/>
          <w:sz w:val="21"/>
          <w:szCs w:val="21"/>
        </w:rPr>
      </w:pPr>
    </w:p>
    <w:p w14:paraId="45FF6767" w14:textId="056860BA" w:rsidR="006D18B7" w:rsidRDefault="006D18B7" w:rsidP="006D18B7">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Years of life lost</w:t>
      </w:r>
    </w:p>
    <w:p w14:paraId="3A9ED898" w14:textId="77777777" w:rsidR="006D18B7" w:rsidRPr="006D18B7" w:rsidRDefault="006D18B7" w:rsidP="006D18B7">
      <w:pPr>
        <w:spacing w:line="276" w:lineRule="auto"/>
        <w:rPr>
          <w:rFonts w:asciiTheme="majorHAnsi" w:hAnsiTheme="majorHAnsi"/>
          <w:sz w:val="21"/>
          <w:szCs w:val="21"/>
        </w:rPr>
      </w:pPr>
      <w:r w:rsidRPr="006D18B7">
        <w:rPr>
          <w:rFonts w:asciiTheme="majorHAnsi" w:hAnsiTheme="majorHAnsi"/>
          <w:sz w:val="21"/>
          <w:szCs w:val="21"/>
        </w:rPr>
        <w:t>In 2006, an analysis on the impact of smoking-attributable morbidity and mortality in Massachusetts found that smoking contributed to a collective total of 104,752 years of potential life lost due to smoking–attributable disease. This represented an average of 12.8 years of life lost for every smoker in Massachusetts.</w:t>
      </w:r>
      <w:r w:rsidRPr="006D18B7">
        <w:rPr>
          <w:rFonts w:asciiTheme="majorHAnsi" w:hAnsiTheme="majorHAnsi"/>
          <w:sz w:val="21"/>
          <w:szCs w:val="21"/>
          <w:vertAlign w:val="superscript"/>
        </w:rPr>
        <w:endnoteReference w:id="42"/>
      </w:r>
      <w:r w:rsidRPr="006D18B7">
        <w:rPr>
          <w:rFonts w:asciiTheme="majorHAnsi" w:hAnsiTheme="majorHAnsi"/>
          <w:sz w:val="21"/>
          <w:szCs w:val="21"/>
        </w:rPr>
        <w:t xml:space="preserve"> Other states have conducted similar analyses and found racial inequities in years of life lost.  For example, an analysis conducted in Missouri found that from 2003-2007, Black smokers had an 18% higher rate of potential life lost due to smoking–attributable disease than Whites.</w:t>
      </w:r>
      <w:r w:rsidRPr="006D18B7">
        <w:rPr>
          <w:rFonts w:asciiTheme="majorHAnsi" w:hAnsiTheme="majorHAnsi"/>
          <w:sz w:val="21"/>
          <w:szCs w:val="21"/>
          <w:vertAlign w:val="superscript"/>
        </w:rPr>
        <w:endnoteReference w:id="43"/>
      </w:r>
    </w:p>
    <w:p w14:paraId="00D55817" w14:textId="6B8B0720" w:rsidR="007666C9" w:rsidRPr="00666794" w:rsidRDefault="007666C9" w:rsidP="007666C9">
      <w:pPr>
        <w:pStyle w:val="Heading1"/>
        <w:pBdr>
          <w:bottom w:val="single" w:sz="12" w:space="1" w:color="auto"/>
        </w:pBdr>
        <w:rPr>
          <w:sz w:val="40"/>
        </w:rPr>
      </w:pPr>
      <w:r>
        <w:rPr>
          <w:sz w:val="40"/>
        </w:rPr>
        <w:lastRenderedPageBreak/>
        <w:t>Secondhand Smoke at Home</w:t>
      </w:r>
    </w:p>
    <w:p w14:paraId="20556E3E" w14:textId="77777777" w:rsidR="007666C9" w:rsidRPr="007666C9" w:rsidRDefault="007666C9" w:rsidP="007666C9">
      <w:pPr>
        <w:spacing w:line="276" w:lineRule="auto"/>
        <w:rPr>
          <w:rFonts w:asciiTheme="majorHAnsi" w:hAnsiTheme="majorHAnsi"/>
          <w:sz w:val="21"/>
          <w:szCs w:val="21"/>
        </w:rPr>
      </w:pPr>
      <w:r w:rsidRPr="007666C9">
        <w:rPr>
          <w:rFonts w:asciiTheme="majorHAnsi" w:hAnsiTheme="majorHAnsi"/>
          <w:sz w:val="21"/>
          <w:szCs w:val="21"/>
        </w:rPr>
        <w:t>Housing is one environmental condition that contributes to an individual’s health status. Historically, housing patterns in Massachusetts have been linked to practices such as segregation and racial redlining that resulted in the systematic divestment of resources, such as education, employment, and health care away from communities of color. These practices have historically, and continue to, contribute to poor housing conditions that have been linked to health risk behaviors, such as smoking and tobacco use, as well as exposure to harmful elements such as secondhand smoke.</w:t>
      </w:r>
      <w:r w:rsidRPr="007666C9">
        <w:rPr>
          <w:rFonts w:asciiTheme="majorHAnsi" w:hAnsiTheme="majorHAnsi"/>
          <w:sz w:val="21"/>
          <w:szCs w:val="21"/>
          <w:vertAlign w:val="superscript"/>
        </w:rPr>
        <w:endnoteReference w:id="44"/>
      </w:r>
    </w:p>
    <w:p w14:paraId="5C31B950" w14:textId="4EF100B9" w:rsidR="006D18B7" w:rsidRDefault="006D18B7" w:rsidP="00DB5BF3">
      <w:pPr>
        <w:spacing w:line="276" w:lineRule="auto"/>
        <w:rPr>
          <w:rFonts w:asciiTheme="majorHAnsi" w:hAnsiTheme="majorHAnsi"/>
          <w:sz w:val="21"/>
          <w:szCs w:val="21"/>
        </w:rPr>
      </w:pPr>
    </w:p>
    <w:p w14:paraId="1C5A8ACE" w14:textId="61C62E0C" w:rsidR="007666C9" w:rsidRDefault="007666C9" w:rsidP="007666C9">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Where do people live and why?</w:t>
      </w:r>
    </w:p>
    <w:p w14:paraId="047FB1CA" w14:textId="77777777" w:rsidR="00C11D52" w:rsidRPr="00C11D52" w:rsidRDefault="00C11D52" w:rsidP="00C11D52">
      <w:pPr>
        <w:spacing w:line="276" w:lineRule="auto"/>
        <w:rPr>
          <w:rFonts w:asciiTheme="majorHAnsi" w:hAnsiTheme="majorHAnsi"/>
          <w:sz w:val="21"/>
          <w:szCs w:val="21"/>
        </w:rPr>
      </w:pPr>
      <w:r w:rsidRPr="00C11D52">
        <w:rPr>
          <w:rFonts w:asciiTheme="majorHAnsi" w:hAnsiTheme="majorHAnsi"/>
          <w:sz w:val="21"/>
          <w:szCs w:val="21"/>
        </w:rPr>
        <w:t>Segregation and racial redlining have determined where people of color can live.</w:t>
      </w:r>
      <w:r w:rsidRPr="00C11D52">
        <w:rPr>
          <w:rFonts w:asciiTheme="majorHAnsi" w:hAnsiTheme="majorHAnsi"/>
          <w:sz w:val="21"/>
          <w:szCs w:val="21"/>
          <w:vertAlign w:val="superscript"/>
        </w:rPr>
        <w:endnoteReference w:id="45"/>
      </w:r>
      <w:r w:rsidRPr="00C11D52">
        <w:rPr>
          <w:rFonts w:asciiTheme="majorHAnsi" w:hAnsiTheme="majorHAnsi"/>
          <w:sz w:val="21"/>
          <w:szCs w:val="21"/>
          <w:vertAlign w:val="superscript"/>
        </w:rPr>
        <w:t xml:space="preserve"> </w:t>
      </w:r>
      <w:r w:rsidRPr="00C11D52">
        <w:rPr>
          <w:rFonts w:asciiTheme="majorHAnsi" w:hAnsiTheme="majorHAnsi"/>
          <w:sz w:val="21"/>
          <w:szCs w:val="21"/>
        </w:rPr>
        <w:t>A lack of affordable housing may limit people’s choices in where they can live in Massachusetts and a lack of income and good credit can prevent home ownership among certain populations.</w:t>
      </w:r>
      <w:r w:rsidRPr="00C11D52">
        <w:rPr>
          <w:rFonts w:asciiTheme="majorHAnsi" w:hAnsiTheme="majorHAnsi"/>
          <w:sz w:val="21"/>
          <w:szCs w:val="21"/>
          <w:vertAlign w:val="superscript"/>
        </w:rPr>
        <w:endnoteReference w:id="46"/>
      </w:r>
      <w:r w:rsidRPr="00C11D52">
        <w:rPr>
          <w:rFonts w:asciiTheme="majorHAnsi" w:hAnsiTheme="majorHAnsi"/>
          <w:sz w:val="21"/>
          <w:szCs w:val="21"/>
          <w:vertAlign w:val="superscript"/>
        </w:rPr>
        <w:t xml:space="preserve"> </w:t>
      </w:r>
      <w:r w:rsidRPr="00C11D52">
        <w:rPr>
          <w:rFonts w:asciiTheme="majorHAnsi" w:hAnsiTheme="majorHAnsi"/>
          <w:sz w:val="21"/>
          <w:szCs w:val="21"/>
        </w:rPr>
        <w:t>In Massachusetts, those who are Black, Hispanic, low-income, have less education, have MassHealth insurance, have a disability or identify as LGBT (lesbian, gay, bisexual, or transgender) are more likely to report living in multi-unit housing.</w:t>
      </w:r>
    </w:p>
    <w:p w14:paraId="31D44004" w14:textId="77777777" w:rsidR="00C11D52" w:rsidRPr="00C11D52" w:rsidRDefault="00C11D52" w:rsidP="00C11D52">
      <w:pPr>
        <w:spacing w:line="276" w:lineRule="auto"/>
        <w:rPr>
          <w:rFonts w:asciiTheme="majorHAnsi" w:hAnsiTheme="majorHAnsi"/>
          <w:sz w:val="21"/>
          <w:szCs w:val="21"/>
        </w:rPr>
      </w:pPr>
    </w:p>
    <w:p w14:paraId="36A8A4AF" w14:textId="77777777" w:rsidR="00C11D52" w:rsidRPr="00C11D52" w:rsidRDefault="00C11D52" w:rsidP="00C11D52">
      <w:pPr>
        <w:spacing w:line="276" w:lineRule="auto"/>
        <w:rPr>
          <w:rFonts w:asciiTheme="majorHAnsi" w:hAnsiTheme="majorHAnsi"/>
          <w:sz w:val="21"/>
          <w:szCs w:val="21"/>
        </w:rPr>
      </w:pPr>
      <w:r w:rsidRPr="00C11D52">
        <w:rPr>
          <w:rFonts w:asciiTheme="majorHAnsi" w:hAnsiTheme="majorHAnsi"/>
          <w:sz w:val="21"/>
          <w:szCs w:val="21"/>
        </w:rPr>
        <w:t xml:space="preserve">Many of these same populations who live in multi-unit housing also report more exposure to secondhand smoke at home. Communities of color and </w:t>
      </w:r>
      <w:proofErr w:type="gramStart"/>
      <w:r w:rsidRPr="00C11D52">
        <w:rPr>
          <w:rFonts w:asciiTheme="majorHAnsi" w:hAnsiTheme="majorHAnsi"/>
          <w:sz w:val="21"/>
          <w:szCs w:val="21"/>
        </w:rPr>
        <w:t>low income</w:t>
      </w:r>
      <w:proofErr w:type="gramEnd"/>
      <w:r w:rsidRPr="00C11D52">
        <w:rPr>
          <w:rFonts w:asciiTheme="majorHAnsi" w:hAnsiTheme="majorHAnsi"/>
          <w:sz w:val="21"/>
          <w:szCs w:val="21"/>
        </w:rPr>
        <w:t xml:space="preserve"> populations are more likely to rent instead of own. Renters may lack control over their housing environment, including differential quality and exposure to hazards, such as environmental smoke. </w:t>
      </w:r>
    </w:p>
    <w:p w14:paraId="0EB58DE1" w14:textId="77777777" w:rsidR="007666C9" w:rsidRDefault="007666C9" w:rsidP="00DB5BF3">
      <w:pPr>
        <w:spacing w:line="276" w:lineRule="auto"/>
        <w:rPr>
          <w:rFonts w:asciiTheme="majorHAnsi" w:hAnsiTheme="majorHAnsi"/>
          <w:sz w:val="21"/>
          <w:szCs w:val="21"/>
        </w:rPr>
      </w:pPr>
    </w:p>
    <w:p w14:paraId="54709A7E" w14:textId="6F132687" w:rsidR="00FB23AC" w:rsidRDefault="00C11D52" w:rsidP="00DB5BF3">
      <w:pPr>
        <w:spacing w:line="276" w:lineRule="auto"/>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Secondhand smoke exposure and health</w:t>
      </w:r>
    </w:p>
    <w:p w14:paraId="1421D454" w14:textId="77777777" w:rsidR="00C11D52" w:rsidRPr="00C11D52" w:rsidRDefault="00C11D52" w:rsidP="00C11D52">
      <w:pPr>
        <w:spacing w:line="276" w:lineRule="auto"/>
        <w:rPr>
          <w:rFonts w:asciiTheme="majorHAnsi" w:hAnsiTheme="majorHAnsi"/>
          <w:sz w:val="21"/>
          <w:szCs w:val="21"/>
        </w:rPr>
      </w:pPr>
      <w:r w:rsidRPr="00C11D52">
        <w:rPr>
          <w:rFonts w:asciiTheme="majorHAnsi" w:hAnsiTheme="majorHAnsi"/>
          <w:sz w:val="21"/>
          <w:szCs w:val="21"/>
        </w:rPr>
        <w:t>Although Massachusetts established a Smoke-Free Workplace Law in 2004 that has drastically reduced the amount of exposure to secondhand smoke for residents of the Commonwealth, many people are still exposed to secondhand smoke in their homes. Among those who allow smoking inside their single-family homes and those who live in multi-unit housing without a smoke-free policy, over 1.4 million people may still be exposed to secondhand smoke at home (1.2 million adults and 167,000 children).</w:t>
      </w:r>
      <w:r w:rsidRPr="00C11D52">
        <w:rPr>
          <w:rFonts w:asciiTheme="majorHAnsi" w:hAnsiTheme="majorHAnsi"/>
          <w:sz w:val="21"/>
          <w:szCs w:val="21"/>
          <w:vertAlign w:val="superscript"/>
        </w:rPr>
        <w:endnoteReference w:id="47"/>
      </w:r>
      <w:r w:rsidRPr="00C11D52">
        <w:rPr>
          <w:rFonts w:asciiTheme="majorHAnsi" w:hAnsiTheme="majorHAnsi"/>
          <w:sz w:val="21"/>
          <w:szCs w:val="21"/>
        </w:rPr>
        <w:t xml:space="preserve"> According to the Centers for Disease Control and Prevention, the home remains the primary exposure to secondhand smoke for both adults and children.</w:t>
      </w:r>
      <w:r w:rsidRPr="00C11D52">
        <w:rPr>
          <w:rFonts w:asciiTheme="majorHAnsi" w:hAnsiTheme="majorHAnsi"/>
          <w:sz w:val="21"/>
          <w:szCs w:val="21"/>
          <w:vertAlign w:val="superscript"/>
        </w:rPr>
        <w:endnoteReference w:id="48"/>
      </w:r>
      <w:r w:rsidRPr="00C11D52">
        <w:rPr>
          <w:rFonts w:asciiTheme="majorHAnsi" w:hAnsiTheme="majorHAnsi"/>
          <w:sz w:val="21"/>
          <w:szCs w:val="21"/>
          <w:vertAlign w:val="superscript"/>
        </w:rPr>
        <w:t xml:space="preserve"> </w:t>
      </w:r>
      <w:r w:rsidRPr="00C11D52">
        <w:rPr>
          <w:rFonts w:asciiTheme="majorHAnsi" w:hAnsiTheme="majorHAnsi"/>
          <w:sz w:val="21"/>
          <w:szCs w:val="21"/>
        </w:rPr>
        <w:t>This represents an important public health issue as there is no safe amount of exposure to secondhand smoke. Secondhand smoke can cause a number of adverse effects in infants, children and adults that have never smoked including cardiovascular disease, lung cancer, sudden infant death syndrome, asthma and bronchitis.</w:t>
      </w:r>
      <w:r w:rsidRPr="00C11D52">
        <w:rPr>
          <w:rFonts w:asciiTheme="majorHAnsi" w:hAnsiTheme="majorHAnsi"/>
          <w:sz w:val="21"/>
          <w:szCs w:val="21"/>
          <w:vertAlign w:val="superscript"/>
        </w:rPr>
        <w:endnoteReference w:id="49"/>
      </w:r>
    </w:p>
    <w:p w14:paraId="4CB9EF65" w14:textId="6EAC4E45" w:rsidR="00C11D52" w:rsidRDefault="00C11D52" w:rsidP="00C11D52">
      <w:pPr>
        <w:rPr>
          <w:rFonts w:asciiTheme="majorHAnsi" w:hAnsiTheme="majorHAnsi"/>
          <w:sz w:val="21"/>
          <w:szCs w:val="21"/>
        </w:rPr>
      </w:pPr>
    </w:p>
    <w:p w14:paraId="6343B2BD" w14:textId="45D58273" w:rsidR="00C11D52" w:rsidRDefault="00C11D52" w:rsidP="00C11D52">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Where are people exposed to secondhand smoke?</w:t>
      </w:r>
    </w:p>
    <w:p w14:paraId="5DD628B3" w14:textId="77777777" w:rsidR="00C11D52" w:rsidRPr="00C11D52" w:rsidRDefault="00C11D52" w:rsidP="00C11D52">
      <w:pPr>
        <w:spacing w:line="276" w:lineRule="auto"/>
        <w:rPr>
          <w:rFonts w:asciiTheme="majorHAnsi" w:hAnsiTheme="majorHAnsi"/>
          <w:sz w:val="21"/>
          <w:szCs w:val="21"/>
        </w:rPr>
      </w:pPr>
      <w:r w:rsidRPr="00C11D52">
        <w:rPr>
          <w:rFonts w:asciiTheme="majorHAnsi" w:hAnsiTheme="majorHAnsi"/>
          <w:sz w:val="21"/>
          <w:szCs w:val="21"/>
        </w:rPr>
        <w:t>Those who live in multi-unit homes are 2.19 times more likely to be exposed to secondhand smoke at home than those in single-family homes.</w:t>
      </w:r>
      <w:r w:rsidRPr="00C11D52">
        <w:rPr>
          <w:rFonts w:asciiTheme="majorHAnsi" w:hAnsiTheme="majorHAnsi"/>
          <w:sz w:val="21"/>
          <w:szCs w:val="21"/>
          <w:vertAlign w:val="superscript"/>
        </w:rPr>
        <w:endnoteReference w:id="50"/>
      </w:r>
      <w:r w:rsidRPr="00C11D52">
        <w:rPr>
          <w:rFonts w:asciiTheme="majorHAnsi" w:hAnsiTheme="majorHAnsi"/>
          <w:sz w:val="21"/>
          <w:szCs w:val="21"/>
        </w:rPr>
        <w:t xml:space="preserve">  Smoking rates are also significantly higher among residents of multi-unit homes compared to single-family homes (17.1% of residents in multi-unit homes smoke compared to 8.7% of residents in single-family homes). Almost a third of Massachusetts BRFSS respondents reported that they lived in multi-unit housing, such as apartments, condos or duplexes (31.7%, 95% CI: 29.7%-33.7%). Those who live in multi-unit households are especially vulnerable to secondhand smoke because 55.6% of these residents did not live in buildings with a smoke-free policy in place in 2019.</w:t>
      </w:r>
    </w:p>
    <w:p w14:paraId="2AFA4281" w14:textId="7F1AA8A7" w:rsidR="00C11D52" w:rsidRDefault="00C11D52" w:rsidP="00C11D52">
      <w:pPr>
        <w:rPr>
          <w:rFonts w:asciiTheme="majorHAnsi" w:hAnsiTheme="majorHAnsi"/>
          <w:sz w:val="21"/>
          <w:szCs w:val="21"/>
        </w:rPr>
      </w:pPr>
    </w:p>
    <w:p w14:paraId="706AC0A6" w14:textId="77777777" w:rsidR="00C11D52" w:rsidRPr="00C11D52" w:rsidRDefault="00C11D52" w:rsidP="00C11D52">
      <w:pPr>
        <w:rPr>
          <w:rFonts w:asciiTheme="majorHAnsi" w:hAnsiTheme="majorHAnsi"/>
          <w:sz w:val="21"/>
          <w:szCs w:val="21"/>
        </w:rPr>
      </w:pPr>
      <w:r w:rsidRPr="00C11D52">
        <w:rPr>
          <w:rFonts w:asciiTheme="majorHAnsi" w:hAnsiTheme="majorHAnsi"/>
          <w:sz w:val="21"/>
          <w:szCs w:val="21"/>
        </w:rPr>
        <w:t xml:space="preserve">Examining housing type is important as housing in Massachusetts is not achievable to everyone in an equitable way. Certain populations are more likely to live in multi-unit housing than in single-family homes (Figure 13). In 2019, 61.8% of low-income respondents and 59.2% of respondents with less than a high school education </w:t>
      </w:r>
      <w:r w:rsidRPr="00C11D52">
        <w:rPr>
          <w:rFonts w:asciiTheme="majorHAnsi" w:hAnsiTheme="majorHAnsi"/>
          <w:sz w:val="21"/>
          <w:szCs w:val="21"/>
        </w:rPr>
        <w:lastRenderedPageBreak/>
        <w:t>reported living in multi-unit housing. Additionally, 64.1% of Hispanics and 49.8% of Blacks reported living in multi-unit housing compared to 24.0% of Whites.</w:t>
      </w:r>
    </w:p>
    <w:p w14:paraId="3CC5195C" w14:textId="74D6BE47" w:rsidR="00C11D52" w:rsidRDefault="00C11D52" w:rsidP="00C11D52">
      <w:pPr>
        <w:rPr>
          <w:rFonts w:asciiTheme="majorHAnsi" w:hAnsiTheme="majorHAnsi"/>
          <w:sz w:val="21"/>
          <w:szCs w:val="21"/>
        </w:rPr>
      </w:pPr>
    </w:p>
    <w:p w14:paraId="4ED86A4C" w14:textId="645A312D" w:rsidR="00C11D52" w:rsidRDefault="005112DA" w:rsidP="00C11D52">
      <w:pPr>
        <w:rPr>
          <w:rFonts w:asciiTheme="majorHAnsi" w:hAnsiTheme="majorHAnsi"/>
          <w:sz w:val="21"/>
          <w:szCs w:val="21"/>
        </w:rPr>
      </w:pPr>
      <w:r w:rsidRPr="00CD66FE">
        <w:rPr>
          <w:i/>
          <w:iCs/>
          <w:noProof/>
          <w:color w:val="44546A" w:themeColor="text2"/>
        </w:rPr>
        <mc:AlternateContent>
          <mc:Choice Requires="wps">
            <w:drawing>
              <wp:anchor distT="0" distB="0" distL="114300" distR="114300" simplePos="0" relativeHeight="251732992" behindDoc="0" locked="0" layoutInCell="1" allowOverlap="1" wp14:anchorId="145DC435" wp14:editId="54CB1922">
                <wp:simplePos x="0" y="0"/>
                <wp:positionH relativeFrom="column">
                  <wp:posOffset>4548124</wp:posOffset>
                </wp:positionH>
                <wp:positionV relativeFrom="paragraph">
                  <wp:posOffset>477291</wp:posOffset>
                </wp:positionV>
                <wp:extent cx="0" cy="2122424"/>
                <wp:effectExtent l="12700" t="0" r="12700" b="0"/>
                <wp:wrapNone/>
                <wp:docPr id="678" name="Straight Connector 9"/>
                <wp:cNvGraphicFramePr/>
                <a:graphic xmlns:a="http://schemas.openxmlformats.org/drawingml/2006/main">
                  <a:graphicData uri="http://schemas.microsoft.com/office/word/2010/wordprocessingShape">
                    <wps:wsp>
                      <wps:cNvCnPr/>
                      <wps:spPr>
                        <a:xfrm>
                          <a:off x="0" y="0"/>
                          <a:ext cx="0" cy="2122424"/>
                        </a:xfrm>
                        <a:prstGeom prst="line">
                          <a:avLst/>
                        </a:prstGeom>
                        <a:ln w="254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D3E3BE7" id="Straight Connector 9" o:spid="_x0000_s1026" style="position:absolute;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1pt,37.6pt" to="358.1pt,204.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" strokecolor="black [3213]" strokeweight="2pt">
                <v:stroke dashstyle="dash" joinstyle="miter"/>
              </v:line>
            </w:pict>
          </mc:Fallback>
        </mc:AlternateContent>
      </w:r>
      <w:r w:rsidR="00BD24D4" w:rsidRPr="00CD66FE">
        <w:rPr>
          <w:i/>
          <w:iCs/>
          <w:noProof/>
          <w:color w:val="44546A" w:themeColor="text2"/>
        </w:rPr>
        <mc:AlternateContent>
          <mc:Choice Requires="wps">
            <w:drawing>
              <wp:anchor distT="0" distB="0" distL="114300" distR="114300" simplePos="0" relativeHeight="251737088" behindDoc="0" locked="0" layoutInCell="1" allowOverlap="1" wp14:anchorId="2A48C841" wp14:editId="731D7153">
                <wp:simplePos x="0" y="0"/>
                <wp:positionH relativeFrom="column">
                  <wp:posOffset>4593946</wp:posOffset>
                </wp:positionH>
                <wp:positionV relativeFrom="paragraph">
                  <wp:posOffset>477291</wp:posOffset>
                </wp:positionV>
                <wp:extent cx="1528572" cy="248285"/>
                <wp:effectExtent l="0" t="0" r="0" b="0"/>
                <wp:wrapNone/>
                <wp:docPr id="4" name="TextBox 1"/>
                <wp:cNvGraphicFramePr/>
                <a:graphic xmlns:a="http://schemas.openxmlformats.org/drawingml/2006/main">
                  <a:graphicData uri="http://schemas.microsoft.com/office/word/2010/wordprocessingShape">
                    <wps:wsp>
                      <wps:cNvSpPr txBox="1"/>
                      <wps:spPr>
                        <a:xfrm>
                          <a:off x="0" y="0"/>
                          <a:ext cx="1528572" cy="248285"/>
                        </a:xfrm>
                        <a:prstGeom prst="rect">
                          <a:avLst/>
                        </a:prstGeom>
                        <a:noFill/>
                      </wps:spPr>
                      <wps:txbx>
                        <w:txbxContent>
                          <w:p w14:paraId="60E16320" w14:textId="34323D3B" w:rsidR="00C11D52" w:rsidRPr="00C11D52" w:rsidRDefault="00C11D52" w:rsidP="00C11D52">
                            <w:pPr>
                              <w:shd w:val="clear" w:color="auto" w:fill="FFFFFF" w:themeFill="background1"/>
                              <w:jc w:val="center"/>
                              <w:rPr>
                                <w:rFonts w:asciiTheme="majorHAnsi" w:hAnsiTheme="majorHAnsi" w:cstheme="majorHAnsi"/>
                                <w:sz w:val="21"/>
                                <w:szCs w:val="21"/>
                              </w:rPr>
                            </w:pPr>
                            <w:r>
                              <w:rPr>
                                <w:rFonts w:asciiTheme="majorHAnsi" w:hAnsiTheme="majorHAnsi" w:cstheme="majorHAnsi"/>
                                <w:sz w:val="21"/>
                                <w:szCs w:val="21"/>
                              </w:rPr>
                              <w:t>Less</w:t>
                            </w:r>
                            <w:r w:rsidRPr="00C11D52">
                              <w:rPr>
                                <w:rFonts w:asciiTheme="majorHAnsi" w:hAnsiTheme="majorHAnsi" w:cstheme="majorHAnsi"/>
                                <w:sz w:val="21"/>
                                <w:szCs w:val="21"/>
                              </w:rPr>
                              <w:t xml:space="preserve"> likely to live in MUH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A48C841" id="TextBox 1" o:spid="_x0000_s1052" type="#_x0000_t202" style="position:absolute;margin-left:361.75pt;margin-top:37.6pt;width:120.35pt;height:19.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" filled="f" stroked="f">
                <v:textbox>
                  <w:txbxContent>
                    <w:p w14:paraId="60E16320" w14:textId="34323D3B" w:rsidR="00C11D52" w:rsidRPr="00C11D52" w:rsidRDefault="00C11D52" w:rsidP="00C11D52">
                      <w:pPr>
                        <w:shd w:val="clear" w:color="auto" w:fill="FFFFFF" w:themeFill="background1"/>
                        <w:jc w:val="center"/>
                        <w:rPr>
                          <w:rFonts w:asciiTheme="majorHAnsi" w:hAnsiTheme="majorHAnsi" w:cstheme="majorHAnsi"/>
                          <w:sz w:val="21"/>
                          <w:szCs w:val="21"/>
                        </w:rPr>
                      </w:pPr>
                      <w:r>
                        <w:rPr>
                          <w:rFonts w:asciiTheme="majorHAnsi" w:hAnsiTheme="majorHAnsi" w:cstheme="majorHAnsi"/>
                          <w:sz w:val="21"/>
                          <w:szCs w:val="21"/>
                        </w:rPr>
                        <w:t>Less</w:t>
                      </w:r>
                      <w:r w:rsidRPr="00C11D52">
                        <w:rPr>
                          <w:rFonts w:asciiTheme="majorHAnsi" w:hAnsiTheme="majorHAnsi" w:cstheme="majorHAnsi"/>
                          <w:sz w:val="21"/>
                          <w:szCs w:val="21"/>
                        </w:rPr>
                        <w:t xml:space="preserve"> likely to live in MUH</w:t>
                      </w:r>
                    </w:p>
                  </w:txbxContent>
                </v:textbox>
              </v:shape>
            </w:pict>
          </mc:Fallback>
        </mc:AlternateContent>
      </w:r>
      <w:r w:rsidR="00C11D52" w:rsidRPr="00CD66FE">
        <w:rPr>
          <w:i/>
          <w:iCs/>
          <w:noProof/>
          <w:color w:val="44546A" w:themeColor="text2"/>
        </w:rPr>
        <mc:AlternateContent>
          <mc:Choice Requires="wps">
            <w:drawing>
              <wp:anchor distT="0" distB="0" distL="114300" distR="114300" simplePos="0" relativeHeight="251735040" behindDoc="0" locked="0" layoutInCell="1" allowOverlap="1" wp14:anchorId="6A4D1CB5" wp14:editId="20CAD7A0">
                <wp:simplePos x="0" y="0"/>
                <wp:positionH relativeFrom="column">
                  <wp:posOffset>1762785</wp:posOffset>
                </wp:positionH>
                <wp:positionV relativeFrom="paragraph">
                  <wp:posOffset>476809</wp:posOffset>
                </wp:positionV>
                <wp:extent cx="1638605" cy="248716"/>
                <wp:effectExtent l="0" t="0" r="0" b="0"/>
                <wp:wrapNone/>
                <wp:docPr id="675" name="TextBox 1"/>
                <wp:cNvGraphicFramePr/>
                <a:graphic xmlns:a="http://schemas.openxmlformats.org/drawingml/2006/main">
                  <a:graphicData uri="http://schemas.microsoft.com/office/word/2010/wordprocessingShape">
                    <wps:wsp>
                      <wps:cNvSpPr txBox="1"/>
                      <wps:spPr>
                        <a:xfrm>
                          <a:off x="0" y="0"/>
                          <a:ext cx="1638605" cy="248716"/>
                        </a:xfrm>
                        <a:prstGeom prst="rect">
                          <a:avLst/>
                        </a:prstGeom>
                        <a:noFill/>
                      </wps:spPr>
                      <wps:txbx>
                        <w:txbxContent>
                          <w:p w14:paraId="65F854F4" w14:textId="4300BADD" w:rsidR="00C11D52" w:rsidRPr="00C11D52" w:rsidRDefault="00C11D52" w:rsidP="00C11D52">
                            <w:pPr>
                              <w:shd w:val="clear" w:color="auto" w:fill="FFFFFF" w:themeFill="background1"/>
                              <w:jc w:val="center"/>
                              <w:rPr>
                                <w:rFonts w:asciiTheme="majorHAnsi" w:hAnsiTheme="majorHAnsi" w:cstheme="majorHAnsi"/>
                                <w:sz w:val="21"/>
                                <w:szCs w:val="21"/>
                              </w:rPr>
                            </w:pPr>
                            <w:r w:rsidRPr="00C11D52">
                              <w:rPr>
                                <w:rFonts w:asciiTheme="majorHAnsi" w:hAnsiTheme="majorHAnsi" w:cstheme="majorHAnsi"/>
                                <w:sz w:val="21"/>
                                <w:szCs w:val="21"/>
                              </w:rPr>
                              <w:t>More likely to live in MUH</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4D1CB5" id="_x0000_s1053" type="#_x0000_t202" style="position:absolute;margin-left:138.8pt;margin-top:37.55pt;width:129pt;height:19.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" filled="f" stroked="f">
                <v:textbox>
                  <w:txbxContent>
                    <w:p w14:paraId="65F854F4" w14:textId="4300BADD" w:rsidR="00C11D52" w:rsidRPr="00C11D52" w:rsidRDefault="00C11D52" w:rsidP="00C11D52">
                      <w:pPr>
                        <w:shd w:val="clear" w:color="auto" w:fill="FFFFFF" w:themeFill="background1"/>
                        <w:jc w:val="center"/>
                        <w:rPr>
                          <w:rFonts w:asciiTheme="majorHAnsi" w:hAnsiTheme="majorHAnsi" w:cstheme="majorHAnsi"/>
                          <w:sz w:val="21"/>
                          <w:szCs w:val="21"/>
                        </w:rPr>
                      </w:pPr>
                      <w:r w:rsidRPr="00C11D52">
                        <w:rPr>
                          <w:rFonts w:asciiTheme="majorHAnsi" w:hAnsiTheme="majorHAnsi" w:cstheme="majorHAnsi"/>
                          <w:sz w:val="21"/>
                          <w:szCs w:val="21"/>
                        </w:rPr>
                        <w:t>More likely to live in MUH</w:t>
                      </w:r>
                    </w:p>
                  </w:txbxContent>
                </v:textbox>
              </v:shape>
            </w:pict>
          </mc:Fallback>
        </mc:AlternateContent>
      </w:r>
      <w:r w:rsidR="00C11D52" w:rsidRPr="00CD66FE">
        <w:rPr>
          <w:i/>
          <w:iCs/>
          <w:noProof/>
          <w:color w:val="44546A" w:themeColor="text2"/>
        </w:rPr>
        <w:drawing>
          <wp:inline distT="0" distB="0" distL="0" distR="0" wp14:anchorId="0A7292D4" wp14:editId="0FF15DCB">
            <wp:extent cx="6064250" cy="3306471"/>
            <wp:effectExtent l="0" t="0" r="6350" b="8255"/>
            <wp:docPr id="681" name="Chart 681">
              <a:extLst xmlns:a="http://schemas.openxmlformats.org/drawingml/2006/main">
                <a:ext uri="{FF2B5EF4-FFF2-40B4-BE49-F238E27FC236}">
                  <a16:creationId xmlns:a16="http://schemas.microsoft.com/office/drawing/2014/main" id="{9230ECDD-CDCB-4894-8B5C-F07AF78D72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22FB47B" w14:textId="176D6855" w:rsidR="00BD24D4" w:rsidRDefault="00BD24D4" w:rsidP="00C11D52">
      <w:pPr>
        <w:rPr>
          <w:rFonts w:asciiTheme="majorHAnsi" w:hAnsiTheme="majorHAnsi"/>
          <w:sz w:val="21"/>
          <w:szCs w:val="21"/>
        </w:rPr>
      </w:pPr>
    </w:p>
    <w:p w14:paraId="5B483342" w14:textId="63060C3D" w:rsidR="00BD24D4" w:rsidRDefault="00BD24D4" w:rsidP="00C11D52">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Inequities in exposure to secondhand smoke at home</w:t>
      </w:r>
    </w:p>
    <w:p w14:paraId="61A6F4AB" w14:textId="0671224F" w:rsidR="00BD24D4" w:rsidRPr="00BD24D4" w:rsidRDefault="00BD24D4" w:rsidP="00BD24D4">
      <w:pPr>
        <w:rPr>
          <w:rFonts w:asciiTheme="majorHAnsi" w:hAnsiTheme="majorHAnsi"/>
          <w:sz w:val="21"/>
          <w:szCs w:val="21"/>
        </w:rPr>
      </w:pPr>
      <w:r w:rsidRPr="00BD24D4">
        <w:rPr>
          <w:rFonts w:asciiTheme="majorHAnsi" w:hAnsiTheme="majorHAnsi"/>
          <w:sz w:val="21"/>
          <w:szCs w:val="21"/>
        </w:rPr>
        <w:t>Given policies such as redlining and residential segregation, data shows that people of color and other populations are more likely to live in multi-unit homes.</w:t>
      </w:r>
      <w:r w:rsidRPr="00BD24D4">
        <w:rPr>
          <w:rFonts w:asciiTheme="majorHAnsi" w:hAnsiTheme="majorHAnsi"/>
          <w:sz w:val="21"/>
          <w:szCs w:val="21"/>
          <w:vertAlign w:val="superscript"/>
        </w:rPr>
        <w:endnoteReference w:id="51"/>
      </w:r>
      <w:r w:rsidRPr="00BD24D4">
        <w:rPr>
          <w:rFonts w:asciiTheme="majorHAnsi" w:hAnsiTheme="majorHAnsi"/>
          <w:sz w:val="21"/>
          <w:szCs w:val="21"/>
        </w:rPr>
        <w:t xml:space="preserve"> Accordingly, exposure to secondhand smoke at home is greater among Blacks, low socioeconomic groups, those with MassHealth insurance, those reporting poor mental health, those with disabilities, and those who identify as LGBT (Figure 14). </w:t>
      </w:r>
    </w:p>
    <w:p w14:paraId="7A1062B0" w14:textId="27874B58" w:rsidR="00BD24D4" w:rsidRDefault="00BD24D4" w:rsidP="00BD24D4">
      <w:pPr>
        <w:rPr>
          <w:rFonts w:asciiTheme="majorHAnsi" w:hAnsiTheme="majorHAnsi"/>
          <w:sz w:val="21"/>
          <w:szCs w:val="21"/>
        </w:rPr>
      </w:pPr>
    </w:p>
    <w:p w14:paraId="519150DB" w14:textId="773AC732" w:rsidR="00BD24D4" w:rsidRDefault="00BD24D4" w:rsidP="00BD24D4">
      <w:pPr>
        <w:rPr>
          <w:rFonts w:asciiTheme="majorHAnsi" w:hAnsiTheme="majorHAnsi"/>
          <w:sz w:val="21"/>
          <w:szCs w:val="21"/>
        </w:rPr>
      </w:pPr>
      <w:r w:rsidRPr="004A2233">
        <w:rPr>
          <w:rFonts w:ascii="Calibri" w:hAnsi="Calibri" w:cs="Tahoma"/>
          <w:noProof/>
        </w:rPr>
        <mc:AlternateContent>
          <mc:Choice Requires="wps">
            <w:drawing>
              <wp:anchor distT="45720" distB="45720" distL="114300" distR="114300" simplePos="0" relativeHeight="251739136" behindDoc="0" locked="0" layoutInCell="1" allowOverlap="1" wp14:anchorId="68676025" wp14:editId="707D8E42">
                <wp:simplePos x="0" y="0"/>
                <wp:positionH relativeFrom="column">
                  <wp:posOffset>299922</wp:posOffset>
                </wp:positionH>
                <wp:positionV relativeFrom="paragraph">
                  <wp:posOffset>59030</wp:posOffset>
                </wp:positionV>
                <wp:extent cx="5375707" cy="309880"/>
                <wp:effectExtent l="0" t="0" r="9525"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707" cy="309880"/>
                        </a:xfrm>
                        <a:prstGeom prst="rect">
                          <a:avLst/>
                        </a:prstGeom>
                        <a:solidFill>
                          <a:srgbClr val="FFFFFF"/>
                        </a:solidFill>
                        <a:ln w="9525">
                          <a:solidFill>
                            <a:schemeClr val="bg1"/>
                          </a:solidFill>
                          <a:miter lim="800000"/>
                          <a:headEnd/>
                          <a:tailEnd/>
                        </a:ln>
                      </wps:spPr>
                      <wps:txbx>
                        <w:txbxContent>
                          <w:p w14:paraId="23DB845B" w14:textId="4A5D262F" w:rsidR="00BD24D4" w:rsidRPr="00BD24D4" w:rsidRDefault="00BD24D4" w:rsidP="00BD24D4">
                            <w:pPr>
                              <w:jc w:val="center"/>
                              <w:rPr>
                                <w:rFonts w:asciiTheme="minorHAnsi" w:hAnsiTheme="minorHAnsi" w:cstheme="minorHAnsi"/>
                                <w:b/>
                                <w:bCs/>
                                <w:sz w:val="24"/>
                                <w:szCs w:val="24"/>
                              </w:rPr>
                            </w:pPr>
                            <w:r w:rsidRPr="00BD24D4">
                              <w:rPr>
                                <w:rFonts w:asciiTheme="minorHAnsi" w:hAnsiTheme="minorHAnsi" w:cstheme="minorHAnsi"/>
                                <w:b/>
                                <w:bCs/>
                                <w:sz w:val="24"/>
                                <w:szCs w:val="24"/>
                              </w:rPr>
                              <w:t>Figure 14. Exposure to Secondhand Smoke</w:t>
                            </w:r>
                            <w:r w:rsidR="005112DA">
                              <w:rPr>
                                <w:rFonts w:asciiTheme="minorHAnsi" w:hAnsiTheme="minorHAnsi" w:cstheme="minorHAnsi"/>
                                <w:b/>
                                <w:bCs/>
                                <w:sz w:val="24"/>
                                <w:szCs w:val="24"/>
                              </w:rPr>
                              <w:t xml:space="preserve"> at Home</w:t>
                            </w:r>
                            <w:r w:rsidR="008D54B2">
                              <w:rPr>
                                <w:rFonts w:asciiTheme="minorHAnsi" w:hAnsiTheme="minorHAnsi" w:cstheme="minorHAnsi"/>
                                <w:b/>
                                <w:bCs/>
                                <w:sz w:val="24"/>
                                <w:szCs w:val="24"/>
                              </w:rPr>
                              <w:t>,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676025" id="_x0000_s1054" type="#_x0000_t202" style="position:absolute;margin-left:23.6pt;margin-top:4.65pt;width:423.3pt;height:24.4pt;z-index:25173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" strokecolor="white [3212]">
                <v:textbox>
                  <w:txbxContent>
                    <w:p w14:paraId="23DB845B" w14:textId="4A5D262F" w:rsidR="00BD24D4" w:rsidRPr="00BD24D4" w:rsidRDefault="00BD24D4" w:rsidP="00BD24D4">
                      <w:pPr>
                        <w:jc w:val="center"/>
                        <w:rPr>
                          <w:rFonts w:asciiTheme="minorHAnsi" w:hAnsiTheme="minorHAnsi" w:cstheme="minorHAnsi"/>
                          <w:b/>
                          <w:bCs/>
                          <w:sz w:val="24"/>
                          <w:szCs w:val="24"/>
                        </w:rPr>
                      </w:pPr>
                      <w:r w:rsidRPr="00BD24D4">
                        <w:rPr>
                          <w:rFonts w:asciiTheme="minorHAnsi" w:hAnsiTheme="minorHAnsi" w:cstheme="minorHAnsi"/>
                          <w:b/>
                          <w:bCs/>
                          <w:sz w:val="24"/>
                          <w:szCs w:val="24"/>
                        </w:rPr>
                        <w:t>Figure 14. Exposure to Secondhand Smoke</w:t>
                      </w:r>
                      <w:r w:rsidR="005112DA">
                        <w:rPr>
                          <w:rFonts w:asciiTheme="minorHAnsi" w:hAnsiTheme="minorHAnsi" w:cstheme="minorHAnsi"/>
                          <w:b/>
                          <w:bCs/>
                          <w:sz w:val="24"/>
                          <w:szCs w:val="24"/>
                        </w:rPr>
                        <w:t xml:space="preserve"> at Home</w:t>
                      </w:r>
                      <w:r w:rsidR="008D54B2">
                        <w:rPr>
                          <w:rFonts w:asciiTheme="minorHAnsi" w:hAnsiTheme="minorHAnsi" w:cstheme="minorHAnsi"/>
                          <w:b/>
                          <w:bCs/>
                          <w:sz w:val="24"/>
                          <w:szCs w:val="24"/>
                        </w:rPr>
                        <w:t>, 2019</w:t>
                      </w:r>
                    </w:p>
                  </w:txbxContent>
                </v:textbox>
              </v:shape>
            </w:pict>
          </mc:Fallback>
        </mc:AlternateContent>
      </w:r>
      <w:r w:rsidRPr="00B22794">
        <w:rPr>
          <w:rFonts w:ascii="Calibri" w:hAnsi="Calibri" w:cs="Tahoma"/>
          <w:noProof/>
        </w:rPr>
        <w:drawing>
          <wp:inline distT="0" distB="0" distL="0" distR="0" wp14:anchorId="47EC0AD1" wp14:editId="7552A6BC">
            <wp:extent cx="5943600" cy="3482035"/>
            <wp:effectExtent l="0" t="0" r="12700" b="10795"/>
            <wp:docPr id="6" name="Chart 6">
              <a:extLst xmlns:a="http://schemas.openxmlformats.org/drawingml/2006/main">
                <a:ext uri="{FF2B5EF4-FFF2-40B4-BE49-F238E27FC236}">
                  <a16:creationId xmlns:a16="http://schemas.microsoft.com/office/drawing/2014/main" id="{37F19451-A15F-4273-A471-DA377E33D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F8D37C" w14:textId="18A57967" w:rsidR="005112DA" w:rsidRDefault="005112DA" w:rsidP="00BD24D4">
      <w:pPr>
        <w:rPr>
          <w:rFonts w:asciiTheme="majorHAnsi" w:hAnsiTheme="majorHAnsi"/>
          <w:sz w:val="21"/>
          <w:szCs w:val="21"/>
        </w:rPr>
      </w:pPr>
    </w:p>
    <w:tbl>
      <w:tblPr>
        <w:tblStyle w:val="LightShading-Accent1"/>
        <w:tblW w:w="0" w:type="auto"/>
        <w:tblLook w:val="04A0" w:firstRow="1" w:lastRow="0" w:firstColumn="1" w:lastColumn="0" w:noHBand="0" w:noVBand="1"/>
      </w:tblPr>
      <w:tblGrid>
        <w:gridCol w:w="9360"/>
      </w:tblGrid>
      <w:tr w:rsidR="008D54B2" w14:paraId="58EFBD44" w14:textId="77777777" w:rsidTr="00222B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Pr>
          <w:p w14:paraId="52170A37" w14:textId="10E01755" w:rsidR="008D54B2" w:rsidRDefault="008D54B2" w:rsidP="00222B17">
            <w:pPr>
              <w:pStyle w:val="Subtitle"/>
              <w:jc w:val="center"/>
              <w:rPr>
                <w:b w:val="0"/>
              </w:rPr>
            </w:pPr>
            <w:r>
              <w:rPr>
                <w:b w:val="0"/>
              </w:rPr>
              <w:lastRenderedPageBreak/>
              <w:t>PROTECTIVE FACTOR SPOTLIGHT</w:t>
            </w:r>
          </w:p>
        </w:tc>
      </w:tr>
      <w:tr w:rsidR="008D54B2" w:rsidRPr="00F467BC" w14:paraId="73D45607" w14:textId="77777777" w:rsidTr="008D54B2">
        <w:trPr>
          <w:cnfStyle w:val="000000100000" w:firstRow="0" w:lastRow="0" w:firstColumn="0" w:lastColumn="0" w:oddVBand="0" w:evenVBand="0" w:oddHBand="1" w:evenHBand="0" w:firstRowFirstColumn="0" w:firstRowLastColumn="0" w:lastRowFirstColumn="0" w:lastRowLastColumn="0"/>
          <w:trHeight w:val="1735"/>
        </w:trPr>
        <w:tc>
          <w:tcPr>
            <w:cnfStyle w:val="001000000000" w:firstRow="0" w:lastRow="0" w:firstColumn="1" w:lastColumn="0" w:oddVBand="0" w:evenVBand="0" w:oddHBand="0" w:evenHBand="0" w:firstRowFirstColumn="0" w:firstRowLastColumn="0" w:lastRowFirstColumn="0" w:lastRowLastColumn="0"/>
            <w:tcW w:w="9360" w:type="dxa"/>
          </w:tcPr>
          <w:p w14:paraId="6016F826" w14:textId="77777777" w:rsidR="008D54B2" w:rsidRDefault="008D54B2" w:rsidP="00222B17">
            <w:pPr>
              <w:rPr>
                <w:rFonts w:asciiTheme="majorHAnsi" w:hAnsiTheme="majorHAnsi"/>
                <w:bCs w:val="0"/>
                <w:color w:val="auto"/>
                <w:sz w:val="21"/>
                <w:szCs w:val="21"/>
              </w:rPr>
            </w:pPr>
          </w:p>
          <w:p w14:paraId="2350E3D6" w14:textId="77777777" w:rsidR="008D54B2" w:rsidRDefault="008D54B2" w:rsidP="008D54B2">
            <w:pPr>
              <w:jc w:val="center"/>
              <w:rPr>
                <w:rFonts w:asciiTheme="majorHAnsi" w:hAnsiTheme="majorHAnsi"/>
                <w:bCs w:val="0"/>
                <w:color w:val="auto"/>
                <w:sz w:val="21"/>
                <w:szCs w:val="21"/>
              </w:rPr>
            </w:pPr>
            <w:r w:rsidRPr="008D54B2">
              <w:rPr>
                <w:rFonts w:asciiTheme="majorHAnsi" w:hAnsiTheme="majorHAnsi"/>
                <w:b w:val="0"/>
                <w:color w:val="auto"/>
                <w:sz w:val="21"/>
                <w:szCs w:val="21"/>
              </w:rPr>
              <w:t xml:space="preserve">Although the majority of Hispanic respondents reported living in multi-unit housing in Massachusetts, fewer than 1 in 10 Hispanic respondents reported exposure to secondhand smoke at home. Qualitative data collection from a California study found that Hispanic respondents who lived in multi-unit housing favored smoke-free policies. Cultural values such as </w:t>
            </w:r>
            <w:proofErr w:type="spellStart"/>
            <w:r w:rsidRPr="008D54B2">
              <w:rPr>
                <w:rFonts w:asciiTheme="majorHAnsi" w:hAnsiTheme="majorHAnsi"/>
                <w:b w:val="0"/>
                <w:i/>
                <w:color w:val="auto"/>
                <w:sz w:val="21"/>
                <w:szCs w:val="21"/>
              </w:rPr>
              <w:t>familismo</w:t>
            </w:r>
            <w:proofErr w:type="spellEnd"/>
            <w:r w:rsidRPr="008D54B2">
              <w:rPr>
                <w:rFonts w:asciiTheme="majorHAnsi" w:hAnsiTheme="majorHAnsi"/>
                <w:b w:val="0"/>
                <w:i/>
                <w:color w:val="auto"/>
                <w:sz w:val="21"/>
                <w:szCs w:val="21"/>
              </w:rPr>
              <w:t xml:space="preserve"> </w:t>
            </w:r>
            <w:r w:rsidRPr="008D54B2">
              <w:rPr>
                <w:rFonts w:asciiTheme="majorHAnsi" w:hAnsiTheme="majorHAnsi"/>
                <w:b w:val="0"/>
                <w:iCs/>
                <w:color w:val="auto"/>
                <w:sz w:val="21"/>
                <w:szCs w:val="21"/>
              </w:rPr>
              <w:t>(</w:t>
            </w:r>
            <w:r w:rsidRPr="008D54B2">
              <w:rPr>
                <w:rFonts w:asciiTheme="majorHAnsi" w:hAnsiTheme="majorHAnsi"/>
                <w:b w:val="0"/>
                <w:color w:val="auto"/>
                <w:sz w:val="21"/>
                <w:szCs w:val="21"/>
              </w:rPr>
              <w:t xml:space="preserve">dedication and loyalty to family) and </w:t>
            </w:r>
            <w:proofErr w:type="spellStart"/>
            <w:r w:rsidRPr="008D54B2">
              <w:rPr>
                <w:rFonts w:asciiTheme="majorHAnsi" w:hAnsiTheme="majorHAnsi"/>
                <w:b w:val="0"/>
                <w:i/>
                <w:color w:val="auto"/>
                <w:sz w:val="21"/>
                <w:szCs w:val="21"/>
              </w:rPr>
              <w:t>respeto</w:t>
            </w:r>
            <w:proofErr w:type="spellEnd"/>
            <w:r w:rsidRPr="008D54B2">
              <w:rPr>
                <w:rFonts w:asciiTheme="majorHAnsi" w:hAnsiTheme="majorHAnsi"/>
                <w:b w:val="0"/>
                <w:color w:val="auto"/>
                <w:sz w:val="21"/>
                <w:szCs w:val="21"/>
              </w:rPr>
              <w:t xml:space="preserve"> (respect) motivated respondents to protect their families from secondhand smoke. Those who smoked favored separate smoking areas away from the home.</w:t>
            </w:r>
            <w:r w:rsidRPr="008D54B2">
              <w:rPr>
                <w:rFonts w:asciiTheme="majorHAnsi" w:hAnsiTheme="majorHAnsi"/>
                <w:b w:val="0"/>
                <w:color w:val="auto"/>
                <w:sz w:val="21"/>
                <w:szCs w:val="21"/>
                <w:vertAlign w:val="superscript"/>
              </w:rPr>
              <w:endnoteReference w:id="52"/>
            </w:r>
          </w:p>
          <w:p w14:paraId="349283BA" w14:textId="6C3AB579" w:rsidR="008D54B2" w:rsidRPr="00F467BC" w:rsidRDefault="008D54B2" w:rsidP="00222B17">
            <w:pPr>
              <w:rPr>
                <w:color w:val="44546A" w:themeColor="text2"/>
                <w:sz w:val="22"/>
                <w:szCs w:val="22"/>
              </w:rPr>
            </w:pPr>
          </w:p>
        </w:tc>
      </w:tr>
    </w:tbl>
    <w:p w14:paraId="1F2F33EB" w14:textId="71414C66" w:rsidR="005112DA" w:rsidRDefault="005112DA" w:rsidP="00BD24D4">
      <w:pPr>
        <w:rPr>
          <w:rFonts w:asciiTheme="majorHAnsi" w:hAnsiTheme="majorHAnsi"/>
          <w:sz w:val="21"/>
          <w:szCs w:val="21"/>
        </w:rPr>
      </w:pPr>
    </w:p>
    <w:p w14:paraId="0B5A66DD" w14:textId="49A30140" w:rsidR="008D54B2" w:rsidRDefault="008D54B2" w:rsidP="008D54B2">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Home smoking rules</w:t>
      </w:r>
    </w:p>
    <w:p w14:paraId="2AC0A970" w14:textId="4E03039E" w:rsidR="008D54B2" w:rsidRPr="008D54B2" w:rsidRDefault="008D54B2" w:rsidP="008D54B2">
      <w:pPr>
        <w:rPr>
          <w:rFonts w:asciiTheme="majorHAnsi" w:hAnsiTheme="majorHAnsi"/>
          <w:sz w:val="21"/>
          <w:szCs w:val="21"/>
        </w:rPr>
      </w:pPr>
      <w:r w:rsidRPr="008D54B2">
        <w:rPr>
          <w:rFonts w:asciiTheme="majorHAnsi" w:hAnsiTheme="majorHAnsi"/>
          <w:sz w:val="21"/>
          <w:szCs w:val="21"/>
        </w:rPr>
        <w:t>In 2019, 83.5% of Massachusetts BRFSS respondents and 88.4% of respondents with children did not permit any kind of smoking inside their homes. While a large majority of respondents protect their homes from secondhand smoke, there are still those who may permit smoking in some places inside their homes. Total home bans of smoking may delay the initiation of youth smoking and reduce exposure to secondhand smoke.</w:t>
      </w:r>
      <w:r w:rsidRPr="008D54B2">
        <w:rPr>
          <w:rFonts w:asciiTheme="majorHAnsi" w:hAnsiTheme="majorHAnsi"/>
          <w:sz w:val="21"/>
          <w:szCs w:val="21"/>
          <w:vertAlign w:val="superscript"/>
        </w:rPr>
        <w:endnoteReference w:id="53"/>
      </w:r>
    </w:p>
    <w:p w14:paraId="3C30F7A4" w14:textId="77777777" w:rsidR="008D54B2" w:rsidRPr="008D54B2" w:rsidRDefault="008D54B2" w:rsidP="008D54B2">
      <w:pPr>
        <w:rPr>
          <w:rFonts w:asciiTheme="majorHAnsi" w:hAnsiTheme="majorHAnsi"/>
          <w:sz w:val="21"/>
          <w:szCs w:val="21"/>
        </w:rPr>
      </w:pPr>
    </w:p>
    <w:p w14:paraId="3D993322" w14:textId="77777777" w:rsidR="008D54B2" w:rsidRPr="008D54B2" w:rsidRDefault="008D54B2" w:rsidP="008D54B2">
      <w:pPr>
        <w:rPr>
          <w:rFonts w:asciiTheme="majorHAnsi" w:hAnsiTheme="majorHAnsi"/>
          <w:sz w:val="21"/>
          <w:szCs w:val="21"/>
        </w:rPr>
      </w:pPr>
      <w:r w:rsidRPr="008D54B2">
        <w:rPr>
          <w:rFonts w:asciiTheme="majorHAnsi" w:hAnsiTheme="majorHAnsi"/>
          <w:sz w:val="21"/>
          <w:szCs w:val="21"/>
        </w:rPr>
        <w:t>Individuals with a household income less than $25,000 and individuals with disabilities were significantly more likely to allow smoking in some places or anywhere in the home. Differences in cultural norms or differential exposure to messaging about secondhand smoke may explain why some populations are less likely to have a total home smoking ban.</w:t>
      </w:r>
      <w:r w:rsidRPr="008D54B2">
        <w:rPr>
          <w:rFonts w:asciiTheme="majorHAnsi" w:hAnsiTheme="majorHAnsi"/>
          <w:sz w:val="21"/>
          <w:szCs w:val="21"/>
          <w:vertAlign w:val="superscript"/>
        </w:rPr>
        <w:endnoteReference w:id="54"/>
      </w:r>
    </w:p>
    <w:p w14:paraId="711CE614" w14:textId="02709A5F" w:rsidR="008D54B2" w:rsidRDefault="008D54B2" w:rsidP="008D54B2">
      <w:pPr>
        <w:rPr>
          <w:rFonts w:asciiTheme="majorHAnsi" w:hAnsiTheme="majorHAnsi"/>
          <w:sz w:val="21"/>
          <w:szCs w:val="21"/>
        </w:rPr>
      </w:pPr>
    </w:p>
    <w:p w14:paraId="6681EDB8" w14:textId="77777777" w:rsidR="00C932AA" w:rsidRPr="00C932AA" w:rsidRDefault="00C932AA" w:rsidP="00C932AA">
      <w:pPr>
        <w:rPr>
          <w:rFonts w:asciiTheme="majorHAnsi" w:hAnsiTheme="majorHAnsi"/>
          <w:sz w:val="21"/>
          <w:szCs w:val="21"/>
        </w:rPr>
      </w:pPr>
      <w:r w:rsidRPr="00C932AA">
        <w:rPr>
          <w:rFonts w:asciiTheme="majorHAnsi" w:hAnsiTheme="majorHAnsi"/>
          <w:sz w:val="21"/>
          <w:szCs w:val="21"/>
        </w:rPr>
        <w:t xml:space="preserve">Home smoking rules vary by housing type as those in single family homes report significantly lower rates of permitting smoking inside compared to multi-unit homes (Figure 15). Adults in multi-unit households are 1.78 times more likely to allow smoking inside as those in single-family homes (CI: 1.38-2.29, p &lt;0.01). </w:t>
      </w:r>
    </w:p>
    <w:p w14:paraId="34DEE848" w14:textId="4C7FF97D" w:rsidR="00C932AA" w:rsidRDefault="00C932AA" w:rsidP="008D54B2">
      <w:pPr>
        <w:rPr>
          <w:rFonts w:asciiTheme="majorHAnsi" w:hAnsiTheme="majorHAnsi"/>
          <w:sz w:val="21"/>
          <w:szCs w:val="21"/>
        </w:rPr>
      </w:pPr>
      <w:r w:rsidRPr="00B0303D">
        <w:rPr>
          <w:rFonts w:asciiTheme="minorHAnsi" w:hAnsiTheme="minorHAnsi"/>
          <w:noProof/>
          <w:sz w:val="22"/>
          <w:szCs w:val="22"/>
        </w:rPr>
        <w:drawing>
          <wp:anchor distT="0" distB="0" distL="114300" distR="114300" simplePos="0" relativeHeight="251741184" behindDoc="0" locked="0" layoutInCell="1" allowOverlap="1" wp14:anchorId="66514EF5" wp14:editId="78F5E561">
            <wp:simplePos x="0" y="0"/>
            <wp:positionH relativeFrom="margin">
              <wp:posOffset>-635</wp:posOffset>
            </wp:positionH>
            <wp:positionV relativeFrom="paragraph">
              <wp:posOffset>324485</wp:posOffset>
            </wp:positionV>
            <wp:extent cx="6005195" cy="3461385"/>
            <wp:effectExtent l="0" t="0" r="14605" b="18415"/>
            <wp:wrapSquare wrapText="bothSides"/>
            <wp:docPr id="683" name="Chart 68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4756FD35" w14:textId="5A484382" w:rsidR="00C932AA" w:rsidRDefault="00C932AA" w:rsidP="008D54B2">
      <w:pPr>
        <w:rPr>
          <w:rFonts w:asciiTheme="majorHAnsi" w:hAnsiTheme="majorHAnsi"/>
          <w:sz w:val="21"/>
          <w:szCs w:val="21"/>
        </w:rPr>
      </w:pPr>
    </w:p>
    <w:p w14:paraId="5A45CF45" w14:textId="5B8CB18D" w:rsidR="00C932AA" w:rsidRDefault="00C932AA" w:rsidP="008D54B2">
      <w:pPr>
        <w:rPr>
          <w:rFonts w:asciiTheme="majorHAnsi" w:hAnsiTheme="majorHAnsi"/>
          <w:sz w:val="21"/>
          <w:szCs w:val="21"/>
        </w:rPr>
      </w:pPr>
    </w:p>
    <w:p w14:paraId="3F8462BD" w14:textId="54CCB172" w:rsidR="00C932AA" w:rsidRDefault="00C932AA" w:rsidP="008D54B2">
      <w:pPr>
        <w:rPr>
          <w:rFonts w:asciiTheme="majorHAnsi" w:hAnsiTheme="majorHAnsi"/>
          <w:sz w:val="21"/>
          <w:szCs w:val="21"/>
        </w:rPr>
      </w:pPr>
    </w:p>
    <w:p w14:paraId="4BC03283" w14:textId="77777777" w:rsidR="00C932AA" w:rsidRDefault="00C932AA" w:rsidP="008D54B2">
      <w:pPr>
        <w:rPr>
          <w:rFonts w:asciiTheme="majorHAnsi" w:hAnsiTheme="majorHAnsi"/>
          <w:sz w:val="21"/>
          <w:szCs w:val="21"/>
        </w:rPr>
      </w:pPr>
    </w:p>
    <w:p w14:paraId="588E70BA" w14:textId="6159766B" w:rsidR="00C932AA" w:rsidRDefault="00C932AA" w:rsidP="00C932AA">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lastRenderedPageBreak/>
        <w:t>Smoke-free Housing</w:t>
      </w:r>
    </w:p>
    <w:p w14:paraId="78BD781C" w14:textId="77777777" w:rsidR="00C932AA" w:rsidRPr="00C932AA" w:rsidRDefault="00C932AA" w:rsidP="00C932AA">
      <w:pPr>
        <w:rPr>
          <w:rFonts w:asciiTheme="majorHAnsi" w:hAnsiTheme="majorHAnsi"/>
          <w:sz w:val="21"/>
          <w:szCs w:val="21"/>
        </w:rPr>
      </w:pPr>
      <w:r w:rsidRPr="00C932AA">
        <w:rPr>
          <w:rFonts w:asciiTheme="majorHAnsi" w:hAnsiTheme="majorHAnsi"/>
          <w:sz w:val="21"/>
          <w:szCs w:val="21"/>
        </w:rPr>
        <w:t>An increasing number of private and public properties have instituted smoke-free policies that prohibit smoking indoors in an effort to curb home exposure to secondhand smoke. Residents of multi-unit homes who do not allow smoking within their unit remain at risk from secondhand smoke from other units if their building does not have a smoke-free policy in place. In recent years, support for smoke-free policies has increased among residents (MA BRFSS 2018):</w:t>
      </w:r>
    </w:p>
    <w:p w14:paraId="17B5B16D" w14:textId="77777777" w:rsidR="00C932AA" w:rsidRPr="00C932AA" w:rsidRDefault="00C932AA" w:rsidP="00C932AA">
      <w:pPr>
        <w:numPr>
          <w:ilvl w:val="0"/>
          <w:numId w:val="10"/>
        </w:numPr>
        <w:rPr>
          <w:rFonts w:asciiTheme="majorHAnsi" w:hAnsiTheme="majorHAnsi"/>
          <w:sz w:val="21"/>
          <w:szCs w:val="21"/>
        </w:rPr>
      </w:pPr>
      <w:r w:rsidRPr="00C932AA">
        <w:rPr>
          <w:rFonts w:asciiTheme="majorHAnsi" w:hAnsiTheme="majorHAnsi"/>
          <w:sz w:val="21"/>
          <w:szCs w:val="21"/>
        </w:rPr>
        <w:t>83% of those living in smoke-free housing support a policy that bans smoking in all personal living spaces.</w:t>
      </w:r>
    </w:p>
    <w:p w14:paraId="306461C3" w14:textId="77777777" w:rsidR="00C932AA" w:rsidRPr="00C932AA" w:rsidRDefault="00C932AA" w:rsidP="00C932AA">
      <w:pPr>
        <w:numPr>
          <w:ilvl w:val="0"/>
          <w:numId w:val="10"/>
        </w:numPr>
        <w:rPr>
          <w:rFonts w:asciiTheme="majorHAnsi" w:hAnsiTheme="majorHAnsi"/>
          <w:sz w:val="21"/>
          <w:szCs w:val="21"/>
        </w:rPr>
      </w:pPr>
      <w:r w:rsidRPr="00C932AA">
        <w:rPr>
          <w:rFonts w:asciiTheme="majorHAnsi" w:hAnsiTheme="majorHAnsi"/>
          <w:sz w:val="21"/>
          <w:szCs w:val="21"/>
        </w:rPr>
        <w:t>47% of those not currently living in smoke-free housing would support this type of policy.</w:t>
      </w:r>
    </w:p>
    <w:p w14:paraId="16075467" w14:textId="77777777" w:rsidR="00C932AA" w:rsidRPr="00C932AA" w:rsidRDefault="00C932AA" w:rsidP="00C932AA">
      <w:pPr>
        <w:rPr>
          <w:rFonts w:asciiTheme="majorHAnsi" w:hAnsiTheme="majorHAnsi"/>
          <w:sz w:val="21"/>
          <w:szCs w:val="21"/>
        </w:rPr>
      </w:pPr>
    </w:p>
    <w:p w14:paraId="323DAFBD" w14:textId="77777777" w:rsidR="00C932AA" w:rsidRPr="00C932AA" w:rsidRDefault="00C932AA" w:rsidP="00C932AA">
      <w:pPr>
        <w:rPr>
          <w:rFonts w:asciiTheme="majorHAnsi" w:hAnsiTheme="majorHAnsi"/>
          <w:sz w:val="21"/>
          <w:szCs w:val="21"/>
        </w:rPr>
      </w:pPr>
      <w:r w:rsidRPr="00C932AA">
        <w:rPr>
          <w:rFonts w:asciiTheme="majorHAnsi" w:hAnsiTheme="majorHAnsi"/>
          <w:sz w:val="21"/>
          <w:szCs w:val="21"/>
        </w:rPr>
        <w:t>With assistance from the Massachusetts Tobacco Cessation and Prevention Program, many municipal housing authorities across the state have already implemented a smoke-free policy that prohibits smoking inside any unit.</w:t>
      </w:r>
    </w:p>
    <w:p w14:paraId="66B3A7DE" w14:textId="0710DE97" w:rsidR="00C932AA" w:rsidRDefault="00C932AA" w:rsidP="008D54B2">
      <w:pPr>
        <w:rPr>
          <w:rFonts w:asciiTheme="majorHAnsi" w:hAnsiTheme="majorHAnsi"/>
          <w:sz w:val="21"/>
          <w:szCs w:val="21"/>
        </w:rPr>
      </w:pPr>
    </w:p>
    <w:p w14:paraId="2D380A98" w14:textId="551B70F6" w:rsidR="00C932AA" w:rsidRDefault="00C932AA" w:rsidP="008D54B2">
      <w:pPr>
        <w:rPr>
          <w:rFonts w:asciiTheme="majorHAnsi" w:hAnsiTheme="majorHAnsi"/>
          <w:sz w:val="21"/>
          <w:szCs w:val="21"/>
        </w:rPr>
      </w:pPr>
      <w:r>
        <w:rPr>
          <w:rFonts w:asciiTheme="majorHAnsi" w:hAnsiTheme="majorHAnsi"/>
          <w:sz w:val="21"/>
          <w:szCs w:val="21"/>
        </w:rPr>
        <w:t>As of January 2020:</w:t>
      </w:r>
    </w:p>
    <w:p w14:paraId="03B1E3E3" w14:textId="77777777" w:rsidR="00C932AA" w:rsidRPr="00C932AA" w:rsidRDefault="00C932AA" w:rsidP="00C932AA">
      <w:pPr>
        <w:numPr>
          <w:ilvl w:val="0"/>
          <w:numId w:val="11"/>
        </w:numPr>
        <w:rPr>
          <w:rFonts w:asciiTheme="majorHAnsi" w:hAnsiTheme="majorHAnsi"/>
          <w:sz w:val="21"/>
          <w:szCs w:val="21"/>
        </w:rPr>
      </w:pPr>
      <w:r w:rsidRPr="00C932AA">
        <w:rPr>
          <w:rFonts w:asciiTheme="majorHAnsi" w:hAnsiTheme="majorHAnsi"/>
          <w:sz w:val="21"/>
          <w:szCs w:val="21"/>
        </w:rPr>
        <w:t>147 public housing authorities, spanning 150 Massachusetts communities have implemented smoke-free policies.</w:t>
      </w:r>
    </w:p>
    <w:p w14:paraId="5A8035D5" w14:textId="77777777" w:rsidR="00C932AA" w:rsidRPr="00C932AA" w:rsidRDefault="00C932AA" w:rsidP="00C932AA">
      <w:pPr>
        <w:numPr>
          <w:ilvl w:val="0"/>
          <w:numId w:val="11"/>
        </w:numPr>
        <w:rPr>
          <w:rFonts w:asciiTheme="majorHAnsi" w:hAnsiTheme="majorHAnsi"/>
          <w:sz w:val="21"/>
          <w:szCs w:val="21"/>
        </w:rPr>
      </w:pPr>
      <w:r w:rsidRPr="00C932AA">
        <w:rPr>
          <w:rFonts w:asciiTheme="majorHAnsi" w:hAnsiTheme="majorHAnsi"/>
          <w:sz w:val="21"/>
          <w:szCs w:val="21"/>
        </w:rPr>
        <w:t>These policies cover over 62,000 individual units, protecting residents from indoor exposure to secondhand smoke.</w:t>
      </w:r>
    </w:p>
    <w:p w14:paraId="342BB55F" w14:textId="2293615F" w:rsidR="00C932AA" w:rsidRDefault="00C932AA" w:rsidP="008D54B2">
      <w:pPr>
        <w:rPr>
          <w:rFonts w:asciiTheme="majorHAnsi" w:hAnsiTheme="majorHAnsi"/>
          <w:sz w:val="21"/>
          <w:szCs w:val="21"/>
        </w:rPr>
      </w:pPr>
    </w:p>
    <w:p w14:paraId="53285BDC" w14:textId="3A1C9A43" w:rsidR="00C932AA" w:rsidRDefault="00C932AA" w:rsidP="00C932AA">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Policy Action</w:t>
      </w:r>
    </w:p>
    <w:p w14:paraId="5D5EA003" w14:textId="77777777" w:rsidR="00C932AA" w:rsidRPr="00C932AA" w:rsidRDefault="00C932AA" w:rsidP="00C932AA">
      <w:pPr>
        <w:numPr>
          <w:ilvl w:val="0"/>
          <w:numId w:val="12"/>
        </w:numPr>
        <w:rPr>
          <w:rFonts w:asciiTheme="majorHAnsi" w:hAnsiTheme="majorHAnsi"/>
          <w:sz w:val="21"/>
          <w:szCs w:val="21"/>
        </w:rPr>
      </w:pPr>
      <w:r w:rsidRPr="00C932AA">
        <w:rPr>
          <w:rFonts w:asciiTheme="majorHAnsi" w:hAnsiTheme="majorHAnsi"/>
          <w:sz w:val="21"/>
          <w:szCs w:val="21"/>
        </w:rPr>
        <w:t>As of August 1, 2018, the US Department of Housing and Urban Development (HUD) requires all federally-aided housing authority buildings to be smoke-free. In April 2014, the Massachusetts Department of Housing and Community Development encouraged housing authorities to make all of their buildings smoke-free.</w:t>
      </w:r>
    </w:p>
    <w:p w14:paraId="122D6810" w14:textId="77777777" w:rsidR="00C932AA" w:rsidRPr="00C932AA" w:rsidRDefault="00C932AA" w:rsidP="00C932AA">
      <w:pPr>
        <w:numPr>
          <w:ilvl w:val="0"/>
          <w:numId w:val="12"/>
        </w:numPr>
        <w:rPr>
          <w:rFonts w:asciiTheme="majorHAnsi" w:hAnsiTheme="majorHAnsi"/>
          <w:sz w:val="21"/>
          <w:szCs w:val="21"/>
        </w:rPr>
      </w:pPr>
      <w:r w:rsidRPr="00C932AA">
        <w:rPr>
          <w:rFonts w:asciiTheme="majorHAnsi" w:hAnsiTheme="majorHAnsi"/>
          <w:sz w:val="21"/>
          <w:szCs w:val="21"/>
        </w:rPr>
        <w:t>The statewide smoke-free workplace law was changed in 2018 and includes all electronic nicotine delivery or vaping devices as of December 31, 2018.  The use of electronic nicotine delivery or vaping devices is prohibited in all enclosed common entrance ways, stairways, and hallways in multiunit buildings.  Many towns and cities have passed similar restrictions at the local level.</w:t>
      </w:r>
    </w:p>
    <w:p w14:paraId="0B0B3742" w14:textId="485385DD" w:rsidR="00C932AA" w:rsidRDefault="00C932AA" w:rsidP="008D54B2">
      <w:pPr>
        <w:rPr>
          <w:rFonts w:asciiTheme="majorHAnsi" w:hAnsiTheme="majorHAnsi"/>
          <w:sz w:val="21"/>
          <w:szCs w:val="21"/>
        </w:rPr>
      </w:pPr>
    </w:p>
    <w:p w14:paraId="5E43BA74" w14:textId="6754CD61" w:rsidR="00EC4559" w:rsidRDefault="00EC4559" w:rsidP="00EC4559">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Future Directions</w:t>
      </w:r>
    </w:p>
    <w:p w14:paraId="3E5E3FBD" w14:textId="77777777" w:rsidR="00EC4559" w:rsidRPr="00EC4559" w:rsidRDefault="00EC4559" w:rsidP="00EC4559">
      <w:pPr>
        <w:rPr>
          <w:rFonts w:asciiTheme="majorHAnsi" w:hAnsiTheme="majorHAnsi"/>
          <w:sz w:val="21"/>
          <w:szCs w:val="21"/>
        </w:rPr>
      </w:pPr>
      <w:r w:rsidRPr="00EC4559">
        <w:rPr>
          <w:rFonts w:asciiTheme="majorHAnsi" w:hAnsiTheme="majorHAnsi"/>
          <w:sz w:val="21"/>
          <w:szCs w:val="21"/>
        </w:rPr>
        <w:t xml:space="preserve">Strategies that focus on the reduction of secondhand smoke at home need to acknowledge that built environment and housing quality can often determine who is and is not exposed. While changing social norms may influence an individual’s behavior of smoking inside the home, and rules around smoking within the home, the vast majority of those exposed at home lack control over their living conditions and exposure to secondhand smoke at home. Future directions should look to mitigate the effects of racial residential segregation and promote smoke-free housing policies. </w:t>
      </w:r>
    </w:p>
    <w:p w14:paraId="4743538A" w14:textId="7CE8B051" w:rsidR="00C932AA" w:rsidRDefault="00C932AA" w:rsidP="008D54B2">
      <w:pPr>
        <w:rPr>
          <w:rFonts w:asciiTheme="majorHAnsi" w:hAnsiTheme="majorHAnsi"/>
          <w:sz w:val="21"/>
          <w:szCs w:val="21"/>
        </w:rPr>
      </w:pPr>
    </w:p>
    <w:p w14:paraId="05C115CE" w14:textId="5B6E3569" w:rsidR="00C932AA" w:rsidRDefault="00C932AA" w:rsidP="008D54B2">
      <w:pPr>
        <w:rPr>
          <w:rFonts w:asciiTheme="majorHAnsi" w:hAnsiTheme="majorHAnsi"/>
          <w:sz w:val="21"/>
          <w:szCs w:val="21"/>
        </w:rPr>
      </w:pPr>
    </w:p>
    <w:p w14:paraId="2E03D21D" w14:textId="63A07B9F" w:rsidR="00C932AA" w:rsidRDefault="00C932AA" w:rsidP="008D54B2">
      <w:pPr>
        <w:rPr>
          <w:rFonts w:asciiTheme="majorHAnsi" w:hAnsiTheme="majorHAnsi"/>
          <w:sz w:val="21"/>
          <w:szCs w:val="21"/>
        </w:rPr>
      </w:pPr>
    </w:p>
    <w:p w14:paraId="1EB381D8" w14:textId="6788F157" w:rsidR="00C932AA" w:rsidRDefault="00C932AA" w:rsidP="008D54B2">
      <w:pPr>
        <w:rPr>
          <w:rFonts w:asciiTheme="majorHAnsi" w:hAnsiTheme="majorHAnsi"/>
          <w:sz w:val="21"/>
          <w:szCs w:val="21"/>
        </w:rPr>
      </w:pPr>
    </w:p>
    <w:p w14:paraId="0B9F8773" w14:textId="021C0F63" w:rsidR="00C932AA" w:rsidRDefault="00C932AA" w:rsidP="008D54B2">
      <w:pPr>
        <w:rPr>
          <w:rFonts w:asciiTheme="majorHAnsi" w:hAnsiTheme="majorHAnsi"/>
          <w:sz w:val="21"/>
          <w:szCs w:val="21"/>
        </w:rPr>
      </w:pPr>
    </w:p>
    <w:p w14:paraId="0986FCD2" w14:textId="1A9DAC15" w:rsidR="00C932AA" w:rsidRDefault="00C932AA" w:rsidP="008D54B2">
      <w:pPr>
        <w:rPr>
          <w:rFonts w:asciiTheme="majorHAnsi" w:hAnsiTheme="majorHAnsi"/>
          <w:sz w:val="21"/>
          <w:szCs w:val="21"/>
        </w:rPr>
      </w:pPr>
    </w:p>
    <w:p w14:paraId="2DDF570B" w14:textId="6C1B1F24" w:rsidR="00C932AA" w:rsidRDefault="00C932AA" w:rsidP="008D54B2">
      <w:pPr>
        <w:rPr>
          <w:rFonts w:asciiTheme="majorHAnsi" w:hAnsiTheme="majorHAnsi"/>
          <w:sz w:val="21"/>
          <w:szCs w:val="21"/>
        </w:rPr>
      </w:pPr>
    </w:p>
    <w:p w14:paraId="67869DFA" w14:textId="326765A6" w:rsidR="00C932AA" w:rsidRDefault="00C932AA" w:rsidP="008D54B2">
      <w:pPr>
        <w:rPr>
          <w:rFonts w:asciiTheme="majorHAnsi" w:hAnsiTheme="majorHAnsi"/>
          <w:sz w:val="21"/>
          <w:szCs w:val="21"/>
        </w:rPr>
      </w:pPr>
    </w:p>
    <w:p w14:paraId="43B36560" w14:textId="5DA1CBC0" w:rsidR="00C932AA" w:rsidRDefault="00C932AA" w:rsidP="008D54B2">
      <w:pPr>
        <w:rPr>
          <w:rFonts w:asciiTheme="majorHAnsi" w:hAnsiTheme="majorHAnsi"/>
          <w:sz w:val="21"/>
          <w:szCs w:val="21"/>
        </w:rPr>
      </w:pPr>
    </w:p>
    <w:p w14:paraId="23126F4D" w14:textId="15449BB1" w:rsidR="00EC4559" w:rsidRDefault="00EC4559" w:rsidP="008D54B2">
      <w:pPr>
        <w:rPr>
          <w:rFonts w:asciiTheme="majorHAnsi" w:hAnsiTheme="majorHAnsi"/>
          <w:sz w:val="21"/>
          <w:szCs w:val="21"/>
        </w:rPr>
      </w:pPr>
    </w:p>
    <w:p w14:paraId="04158A0E" w14:textId="495DE9C4" w:rsidR="00EC4559" w:rsidRDefault="00EC4559" w:rsidP="008D54B2">
      <w:pPr>
        <w:rPr>
          <w:rFonts w:asciiTheme="majorHAnsi" w:hAnsiTheme="majorHAnsi"/>
          <w:sz w:val="21"/>
          <w:szCs w:val="21"/>
        </w:rPr>
      </w:pPr>
    </w:p>
    <w:p w14:paraId="32DDE443" w14:textId="058AB2F0" w:rsidR="00EC4559" w:rsidRDefault="00EC4559" w:rsidP="008D54B2">
      <w:pPr>
        <w:rPr>
          <w:rFonts w:asciiTheme="majorHAnsi" w:hAnsiTheme="majorHAnsi"/>
          <w:sz w:val="21"/>
          <w:szCs w:val="21"/>
        </w:rPr>
      </w:pPr>
    </w:p>
    <w:p w14:paraId="34FF5770" w14:textId="42CA2AA5" w:rsidR="00EC4559" w:rsidRDefault="00EC4559" w:rsidP="008D54B2">
      <w:pPr>
        <w:rPr>
          <w:rFonts w:asciiTheme="majorHAnsi" w:hAnsiTheme="majorHAnsi"/>
          <w:sz w:val="21"/>
          <w:szCs w:val="21"/>
        </w:rPr>
      </w:pPr>
    </w:p>
    <w:p w14:paraId="60D2D64E" w14:textId="13744A6D" w:rsidR="00EC4559" w:rsidRDefault="00EC4559" w:rsidP="008D54B2">
      <w:pPr>
        <w:rPr>
          <w:rFonts w:asciiTheme="majorHAnsi" w:hAnsiTheme="majorHAnsi"/>
          <w:sz w:val="21"/>
          <w:szCs w:val="21"/>
        </w:rPr>
      </w:pPr>
    </w:p>
    <w:p w14:paraId="1C3DD9EE" w14:textId="10EDDEDC" w:rsidR="00EC4559" w:rsidRPr="00666794" w:rsidRDefault="00D24630" w:rsidP="00EC4559">
      <w:pPr>
        <w:pStyle w:val="Heading1"/>
        <w:pBdr>
          <w:bottom w:val="single" w:sz="12" w:space="1" w:color="auto"/>
        </w:pBdr>
        <w:rPr>
          <w:sz w:val="40"/>
        </w:rPr>
      </w:pPr>
      <w:r>
        <w:rPr>
          <w:sz w:val="40"/>
        </w:rPr>
        <w:lastRenderedPageBreak/>
        <w:t xml:space="preserve">Strategies and </w:t>
      </w:r>
      <w:r w:rsidR="00EC4559">
        <w:rPr>
          <w:sz w:val="40"/>
        </w:rPr>
        <w:t>Resources</w:t>
      </w:r>
    </w:p>
    <w:p w14:paraId="02F029F6" w14:textId="77777777" w:rsidR="00EC4559" w:rsidRPr="00EC4559" w:rsidRDefault="00EC4559" w:rsidP="00EC4559">
      <w:pPr>
        <w:spacing w:line="276" w:lineRule="auto"/>
        <w:rPr>
          <w:rFonts w:asciiTheme="majorHAnsi" w:hAnsiTheme="majorHAnsi"/>
          <w:sz w:val="21"/>
          <w:szCs w:val="21"/>
        </w:rPr>
      </w:pPr>
      <w:r w:rsidRPr="00EC4559">
        <w:rPr>
          <w:rFonts w:asciiTheme="majorHAnsi" w:hAnsiTheme="majorHAnsi"/>
          <w:sz w:val="21"/>
          <w:szCs w:val="21"/>
        </w:rPr>
        <w:t>The Massachusetts Tobacco Cessation and Prevention Program (MTCP) focuses on reducing the health and economic burden of tobacco use by preventing young people from starting to use tobacco and nicotine products, helping current tobacco and nicotine users to quit, protecting children and adults from secondhand smoke, and identifying and eliminating tobacco-related disparities.</w:t>
      </w:r>
    </w:p>
    <w:p w14:paraId="52867551" w14:textId="77777777" w:rsidR="00EC4559" w:rsidRPr="00EC4559" w:rsidRDefault="00EC4559" w:rsidP="00EC4559">
      <w:pPr>
        <w:spacing w:line="276" w:lineRule="auto"/>
        <w:rPr>
          <w:rFonts w:asciiTheme="majorHAnsi" w:hAnsiTheme="majorHAnsi"/>
          <w:sz w:val="21"/>
          <w:szCs w:val="21"/>
        </w:rPr>
      </w:pPr>
    </w:p>
    <w:p w14:paraId="0B4F920D" w14:textId="3ED2977A" w:rsidR="00EC4559" w:rsidRPr="00EC4559" w:rsidRDefault="00EC4559" w:rsidP="00EC4559">
      <w:pPr>
        <w:spacing w:line="276" w:lineRule="auto"/>
        <w:rPr>
          <w:rFonts w:asciiTheme="majorHAnsi" w:hAnsiTheme="majorHAnsi"/>
          <w:sz w:val="21"/>
          <w:szCs w:val="21"/>
        </w:rPr>
      </w:pPr>
      <w:r w:rsidRPr="00EC4559">
        <w:rPr>
          <w:rFonts w:asciiTheme="majorHAnsi" w:hAnsiTheme="majorHAnsi"/>
          <w:sz w:val="21"/>
          <w:szCs w:val="21"/>
        </w:rPr>
        <w:t>MTCP will invest in and work with communities, especially with historically-oppressed communities, to reverse unjust policies, share decision-making power, and build community capacity to live a life free of commercial tobacco and nicotine.</w:t>
      </w:r>
    </w:p>
    <w:p w14:paraId="66497360" w14:textId="668A0203" w:rsidR="00EC4559" w:rsidRDefault="00EC4559" w:rsidP="00EC4559">
      <w:pPr>
        <w:spacing w:line="276" w:lineRule="auto"/>
        <w:rPr>
          <w:rFonts w:asciiTheme="majorHAnsi" w:hAnsiTheme="majorHAnsi"/>
          <w:sz w:val="21"/>
          <w:szCs w:val="21"/>
        </w:rPr>
      </w:pPr>
    </w:p>
    <w:p w14:paraId="577C27F9" w14:textId="1205BBCF" w:rsidR="00EC4559" w:rsidRPr="00EC4559" w:rsidRDefault="00EC4559" w:rsidP="00EC4559">
      <w:pPr>
        <w:pStyle w:val="Heading2"/>
        <w:rPr>
          <w:sz w:val="32"/>
          <w:szCs w:val="32"/>
        </w:rPr>
      </w:pPr>
      <w:r w:rsidRPr="00EC4559">
        <w:rPr>
          <w:sz w:val="32"/>
          <w:szCs w:val="32"/>
        </w:rPr>
        <w:t>Prevention</w:t>
      </w:r>
    </w:p>
    <w:p w14:paraId="5D12B317" w14:textId="7C16B6CC" w:rsidR="00EC4559" w:rsidRPr="00EC4559" w:rsidRDefault="00EC4559" w:rsidP="00EC4559">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Local policies</w:t>
      </w:r>
    </w:p>
    <w:p w14:paraId="6000D39C" w14:textId="0AB81D0B" w:rsidR="00EC4559" w:rsidRPr="00EC4559" w:rsidRDefault="00EC4559" w:rsidP="00EC4559">
      <w:pPr>
        <w:rPr>
          <w:rFonts w:asciiTheme="majorHAnsi" w:hAnsiTheme="majorHAnsi"/>
          <w:sz w:val="21"/>
          <w:szCs w:val="21"/>
        </w:rPr>
      </w:pPr>
      <w:r w:rsidRPr="00EC4559">
        <w:rPr>
          <w:rFonts w:asciiTheme="majorHAnsi" w:hAnsiTheme="majorHAnsi"/>
          <w:sz w:val="21"/>
          <w:szCs w:val="21"/>
        </w:rPr>
        <w:t xml:space="preserve">Strategies aimed at preventing youth </w:t>
      </w:r>
      <w:r w:rsidR="00677724">
        <w:rPr>
          <w:rFonts w:asciiTheme="majorHAnsi" w:hAnsiTheme="majorHAnsi"/>
          <w:sz w:val="21"/>
          <w:szCs w:val="21"/>
        </w:rPr>
        <w:t>initiation</w:t>
      </w:r>
      <w:r w:rsidRPr="00EC4559">
        <w:rPr>
          <w:rFonts w:asciiTheme="majorHAnsi" w:hAnsiTheme="majorHAnsi"/>
          <w:sz w:val="21"/>
          <w:szCs w:val="21"/>
        </w:rPr>
        <w:t xml:space="preserve"> of tobacco products include local policies that change the retail environment where youth frequent. Municipalities can pass policies that raise the minimum price of cigars and can pass policies that limit the number of tobacco retailers per town (capping). To learn more about policies in your community, visit: </w:t>
      </w:r>
      <w:hyperlink r:id="rId22" w:history="1">
        <w:r w:rsidRPr="00EC4559">
          <w:rPr>
            <w:rStyle w:val="Hyperlink"/>
            <w:rFonts w:asciiTheme="majorHAnsi" w:hAnsiTheme="majorHAnsi" w:cs="Arial"/>
            <w:sz w:val="21"/>
            <w:szCs w:val="21"/>
          </w:rPr>
          <w:t>http://makesmokinghistory.org/my-community/</w:t>
        </w:r>
      </w:hyperlink>
    </w:p>
    <w:p w14:paraId="723B2457" w14:textId="61EE1BB5" w:rsidR="00C932AA" w:rsidRDefault="00C932AA" w:rsidP="008D54B2">
      <w:pPr>
        <w:rPr>
          <w:rFonts w:asciiTheme="majorHAnsi" w:hAnsiTheme="majorHAnsi"/>
          <w:sz w:val="21"/>
          <w:szCs w:val="21"/>
        </w:rPr>
      </w:pPr>
    </w:p>
    <w:p w14:paraId="5B0C521E" w14:textId="4067027D" w:rsidR="00EC4559" w:rsidRPr="00EC4559" w:rsidRDefault="00EC4559" w:rsidP="00EC4559">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Statewide policies</w:t>
      </w:r>
    </w:p>
    <w:p w14:paraId="3EA3D778" w14:textId="60118BAD" w:rsidR="00EC4559" w:rsidRPr="00EC4559" w:rsidRDefault="00EC4559" w:rsidP="00EC4559">
      <w:pPr>
        <w:rPr>
          <w:rFonts w:asciiTheme="majorHAnsi" w:hAnsiTheme="majorHAnsi"/>
          <w:sz w:val="21"/>
          <w:szCs w:val="21"/>
        </w:rPr>
      </w:pPr>
      <w:r w:rsidRPr="00EC4559">
        <w:rPr>
          <w:rFonts w:asciiTheme="majorHAnsi" w:hAnsiTheme="majorHAnsi"/>
          <w:sz w:val="21"/>
          <w:szCs w:val="21"/>
        </w:rPr>
        <w:t xml:space="preserve">In December 2018, a statewide Minimum Legal Sales Age (MLSA) of 21 and pharmacy ban law took effect. This law raised the minimum legal sales age of tobacco in Massachusetts from 18 to 21, and banned the sale of tobacco in healthcare institutions such as pharmacies. In June 2020, An Act Modernizing Tobacco Control took full effect, which is a statewide law that includes the following provisions: a restriction on sales of all flavors (including menthol) for all types of tobacco products (including vape products) to adult-only smoking bars; a restriction on sales of high-nicotine (&gt;35 mg/ml; </w:t>
      </w:r>
      <w:proofErr w:type="gramStart"/>
      <w:r w:rsidRPr="00EC4559">
        <w:rPr>
          <w:rFonts w:asciiTheme="majorHAnsi" w:hAnsiTheme="majorHAnsi"/>
          <w:sz w:val="21"/>
          <w:szCs w:val="21"/>
        </w:rPr>
        <w:t>e.g.</w:t>
      </w:r>
      <w:proofErr w:type="gramEnd"/>
      <w:r w:rsidRPr="00EC4559">
        <w:rPr>
          <w:rFonts w:asciiTheme="majorHAnsi" w:hAnsiTheme="majorHAnsi"/>
          <w:sz w:val="21"/>
          <w:szCs w:val="21"/>
        </w:rPr>
        <w:t xml:space="preserve"> 5% JUUL) vape products to adult-only retailers and smoking bars; a ban on advertisements for tobacco products that a retailer cannot sell. For more information on the statewide law, visit: </w:t>
      </w:r>
      <w:hyperlink r:id="rId23" w:history="1">
        <w:r w:rsidRPr="00EC4559">
          <w:rPr>
            <w:rStyle w:val="Hyperlink"/>
            <w:rFonts w:asciiTheme="majorHAnsi" w:hAnsiTheme="majorHAnsi" w:cs="Arial"/>
            <w:sz w:val="21"/>
            <w:szCs w:val="21"/>
          </w:rPr>
          <w:t>https://www.mass.gov/guides/2019-tobacco-control-law</w:t>
        </w:r>
      </w:hyperlink>
      <w:r w:rsidRPr="00EC4559">
        <w:rPr>
          <w:rFonts w:asciiTheme="majorHAnsi" w:hAnsiTheme="majorHAnsi"/>
          <w:sz w:val="21"/>
          <w:szCs w:val="21"/>
        </w:rPr>
        <w:t>​</w:t>
      </w:r>
    </w:p>
    <w:p w14:paraId="06A9E392" w14:textId="3E8C1255" w:rsidR="00C932AA" w:rsidRDefault="00C932AA" w:rsidP="008D54B2">
      <w:pPr>
        <w:rPr>
          <w:rFonts w:asciiTheme="majorHAnsi" w:hAnsiTheme="majorHAnsi"/>
          <w:sz w:val="21"/>
          <w:szCs w:val="21"/>
        </w:rPr>
      </w:pPr>
    </w:p>
    <w:p w14:paraId="522CE5AA" w14:textId="6D1D85A3" w:rsidR="00EC4559" w:rsidRPr="00EC4559" w:rsidRDefault="00EC4559" w:rsidP="00EC4559">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Youth Engagement</w:t>
      </w:r>
    </w:p>
    <w:p w14:paraId="2107DDE0" w14:textId="605C88DB" w:rsidR="00EC4559" w:rsidRPr="00EC4559" w:rsidRDefault="00EC4559" w:rsidP="00EC4559">
      <w:pPr>
        <w:rPr>
          <w:rFonts w:asciiTheme="majorHAnsi" w:hAnsiTheme="majorHAnsi"/>
          <w:sz w:val="21"/>
          <w:szCs w:val="21"/>
          <w:u w:val="single"/>
        </w:rPr>
      </w:pPr>
      <w:r w:rsidRPr="00EC4559">
        <w:rPr>
          <w:rFonts w:asciiTheme="majorHAnsi" w:hAnsiTheme="majorHAnsi"/>
          <w:sz w:val="21"/>
          <w:szCs w:val="21"/>
        </w:rPr>
        <w:t xml:space="preserve">Another strategy to decrease youth initiation of tobacco </w:t>
      </w:r>
      <w:r w:rsidR="00677724">
        <w:rPr>
          <w:rFonts w:asciiTheme="majorHAnsi" w:hAnsiTheme="majorHAnsi"/>
          <w:sz w:val="21"/>
          <w:szCs w:val="21"/>
        </w:rPr>
        <w:t>products</w:t>
      </w:r>
      <w:r w:rsidRPr="00EC4559">
        <w:rPr>
          <w:rFonts w:asciiTheme="majorHAnsi" w:hAnsiTheme="majorHAnsi"/>
          <w:sz w:val="21"/>
          <w:szCs w:val="21"/>
        </w:rPr>
        <w:t xml:space="preserve"> includes youth engagement in tobacco prevention work. High school youth in </w:t>
      </w:r>
      <w:proofErr w:type="gramStart"/>
      <w:r w:rsidRPr="00EC4559">
        <w:rPr>
          <w:rFonts w:asciiTheme="majorHAnsi" w:hAnsiTheme="majorHAnsi"/>
          <w:sz w:val="21"/>
          <w:szCs w:val="21"/>
        </w:rPr>
        <w:t>The</w:t>
      </w:r>
      <w:proofErr w:type="gramEnd"/>
      <w:r w:rsidRPr="00EC4559">
        <w:rPr>
          <w:rFonts w:asciiTheme="majorHAnsi" w:hAnsiTheme="majorHAnsi"/>
          <w:sz w:val="21"/>
          <w:szCs w:val="21"/>
        </w:rPr>
        <w:t xml:space="preserve"> 84 Movement, which represents the percent of youth who did not use tobacco when the movement began, work to combat tobacco industry influence by engaging with stakeholders in their own communities. As of 2019, over 95% of high school youth don’t smoke. To learn more about </w:t>
      </w:r>
      <w:proofErr w:type="gramStart"/>
      <w:r w:rsidRPr="00EC4559">
        <w:rPr>
          <w:rFonts w:asciiTheme="majorHAnsi" w:hAnsiTheme="majorHAnsi"/>
          <w:sz w:val="21"/>
          <w:szCs w:val="21"/>
        </w:rPr>
        <w:t>The</w:t>
      </w:r>
      <w:proofErr w:type="gramEnd"/>
      <w:r w:rsidRPr="00EC4559">
        <w:rPr>
          <w:rFonts w:asciiTheme="majorHAnsi" w:hAnsiTheme="majorHAnsi"/>
          <w:sz w:val="21"/>
          <w:szCs w:val="21"/>
        </w:rPr>
        <w:t xml:space="preserve"> 84, visit </w:t>
      </w:r>
      <w:hyperlink r:id="rId24" w:history="1">
        <w:r w:rsidRPr="00EC4559">
          <w:rPr>
            <w:rStyle w:val="Hyperlink"/>
            <w:rFonts w:asciiTheme="majorHAnsi" w:hAnsiTheme="majorHAnsi" w:cs="Arial"/>
            <w:sz w:val="21"/>
            <w:szCs w:val="21"/>
          </w:rPr>
          <w:t>https://the84.org/</w:t>
        </w:r>
      </w:hyperlink>
    </w:p>
    <w:p w14:paraId="318956B2" w14:textId="7CCFB643" w:rsidR="00C932AA" w:rsidRDefault="00C932AA" w:rsidP="008D54B2">
      <w:pPr>
        <w:rPr>
          <w:rFonts w:asciiTheme="majorHAnsi" w:hAnsiTheme="majorHAnsi"/>
          <w:sz w:val="21"/>
          <w:szCs w:val="21"/>
        </w:rPr>
      </w:pPr>
    </w:p>
    <w:p w14:paraId="63A3878C" w14:textId="433EDF7A" w:rsidR="00EC4559" w:rsidRPr="00EC4559" w:rsidRDefault="00EC4559" w:rsidP="00EC4559">
      <w:pPr>
        <w:pStyle w:val="Heading2"/>
        <w:rPr>
          <w:sz w:val="32"/>
          <w:szCs w:val="32"/>
        </w:rPr>
      </w:pPr>
      <w:r>
        <w:rPr>
          <w:sz w:val="32"/>
          <w:szCs w:val="32"/>
        </w:rPr>
        <w:t>Tobacco cessation</w:t>
      </w:r>
    </w:p>
    <w:p w14:paraId="1393EA91" w14:textId="0208F176" w:rsidR="00EC4559" w:rsidRPr="00EC4559" w:rsidRDefault="00EC4559" w:rsidP="00EC4559">
      <w:pPr>
        <w:rPr>
          <w:rFonts w:asciiTheme="majorHAnsi" w:eastAsiaTheme="majorEastAsia" w:hAnsiTheme="majorHAnsi" w:cstheme="majorBidi"/>
          <w:i/>
          <w:iCs/>
          <w:color w:val="4472C4" w:themeColor="accent1"/>
          <w:spacing w:val="15"/>
          <w:sz w:val="24"/>
          <w:szCs w:val="24"/>
        </w:rPr>
      </w:pPr>
      <w:r>
        <w:rPr>
          <w:rFonts w:asciiTheme="majorHAnsi" w:eastAsiaTheme="majorEastAsia" w:hAnsiTheme="majorHAnsi" w:cstheme="majorBidi"/>
          <w:i/>
          <w:iCs/>
          <w:color w:val="4472C4" w:themeColor="accent1"/>
          <w:spacing w:val="15"/>
          <w:sz w:val="24"/>
          <w:szCs w:val="24"/>
        </w:rPr>
        <w:t>Quit Now</w:t>
      </w:r>
    </w:p>
    <w:p w14:paraId="407395C7" w14:textId="23AF27D7" w:rsidR="00EC4559" w:rsidRPr="00EC4559" w:rsidRDefault="00EC4559" w:rsidP="00EC4559">
      <w:pPr>
        <w:rPr>
          <w:rFonts w:asciiTheme="majorHAnsi" w:hAnsiTheme="majorHAnsi"/>
          <w:sz w:val="21"/>
          <w:szCs w:val="21"/>
        </w:rPr>
      </w:pPr>
      <w:r w:rsidRPr="00EC4559">
        <w:rPr>
          <w:rFonts w:asciiTheme="majorHAnsi" w:hAnsiTheme="majorHAnsi"/>
          <w:sz w:val="21"/>
          <w:szCs w:val="21"/>
        </w:rPr>
        <w:t>Quitting</w:t>
      </w:r>
      <w:r w:rsidR="00690DC5">
        <w:rPr>
          <w:rFonts w:asciiTheme="majorHAnsi" w:hAnsiTheme="majorHAnsi"/>
          <w:sz w:val="21"/>
          <w:szCs w:val="21"/>
        </w:rPr>
        <w:t xml:space="preserve"> tobacco</w:t>
      </w:r>
      <w:r w:rsidRPr="00EC4559">
        <w:rPr>
          <w:rFonts w:asciiTheme="majorHAnsi" w:hAnsiTheme="majorHAnsi"/>
          <w:sz w:val="21"/>
          <w:szCs w:val="21"/>
        </w:rPr>
        <w:t xml:space="preserve">, at any age, reduces risk of disease. In Massachusetts, providers can refer </w:t>
      </w:r>
      <w:r w:rsidR="00690DC5">
        <w:rPr>
          <w:rFonts w:asciiTheme="majorHAnsi" w:hAnsiTheme="majorHAnsi"/>
          <w:sz w:val="21"/>
          <w:szCs w:val="21"/>
        </w:rPr>
        <w:t xml:space="preserve">smoker </w:t>
      </w:r>
      <w:r w:rsidRPr="00EC4559">
        <w:rPr>
          <w:rFonts w:asciiTheme="majorHAnsi" w:hAnsiTheme="majorHAnsi"/>
          <w:sz w:val="21"/>
          <w:szCs w:val="21"/>
        </w:rPr>
        <w:t xml:space="preserve">patients who want to quit to the </w:t>
      </w:r>
      <w:proofErr w:type="spellStart"/>
      <w:r w:rsidRPr="00EC4559">
        <w:rPr>
          <w:rFonts w:asciiTheme="majorHAnsi" w:hAnsiTheme="majorHAnsi"/>
          <w:sz w:val="21"/>
          <w:szCs w:val="21"/>
        </w:rPr>
        <w:t>QuitWorks</w:t>
      </w:r>
      <w:proofErr w:type="spellEnd"/>
      <w:r w:rsidRPr="00EC4559">
        <w:rPr>
          <w:rFonts w:asciiTheme="majorHAnsi" w:hAnsiTheme="majorHAnsi"/>
          <w:sz w:val="21"/>
          <w:szCs w:val="21"/>
        </w:rPr>
        <w:t xml:space="preserve"> program, which offers patients free, telephone-based treatment and links patients to local tobacco treatment services. Additionally, the Massachusetts Quitline is the state sponsored </w:t>
      </w:r>
      <w:proofErr w:type="spellStart"/>
      <w:r w:rsidRPr="00EC4559">
        <w:rPr>
          <w:rFonts w:asciiTheme="majorHAnsi" w:hAnsiTheme="majorHAnsi"/>
          <w:sz w:val="21"/>
          <w:szCs w:val="21"/>
        </w:rPr>
        <w:t>quitline</w:t>
      </w:r>
      <w:proofErr w:type="spellEnd"/>
      <w:r w:rsidRPr="00EC4559">
        <w:rPr>
          <w:rFonts w:asciiTheme="majorHAnsi" w:hAnsiTheme="majorHAnsi"/>
          <w:sz w:val="21"/>
          <w:szCs w:val="21"/>
        </w:rPr>
        <w:t xml:space="preserve"> offering free evidence-based counseling and nicotine replacement therapy to all Massachusetts residents. Since the Health Care Reform Act was implemented in 2006, all MassHealth members are eligible for FDA approved cessation medication and counseling.</w:t>
      </w:r>
    </w:p>
    <w:p w14:paraId="2D45CAA9" w14:textId="77777777" w:rsidR="00EC4559" w:rsidRPr="00EC4559" w:rsidRDefault="00EC4559" w:rsidP="00EC4559">
      <w:pPr>
        <w:numPr>
          <w:ilvl w:val="0"/>
          <w:numId w:val="13"/>
        </w:numPr>
        <w:rPr>
          <w:rFonts w:asciiTheme="majorHAnsi" w:hAnsiTheme="majorHAnsi"/>
          <w:sz w:val="21"/>
          <w:szCs w:val="21"/>
        </w:rPr>
      </w:pPr>
      <w:r w:rsidRPr="00EC4559">
        <w:rPr>
          <w:rFonts w:asciiTheme="majorHAnsi" w:hAnsiTheme="majorHAnsi"/>
          <w:sz w:val="21"/>
          <w:szCs w:val="21"/>
        </w:rPr>
        <w:t xml:space="preserve">For more information about the </w:t>
      </w:r>
      <w:proofErr w:type="spellStart"/>
      <w:r w:rsidRPr="00EC4559">
        <w:rPr>
          <w:rFonts w:asciiTheme="majorHAnsi" w:hAnsiTheme="majorHAnsi"/>
          <w:sz w:val="21"/>
          <w:szCs w:val="21"/>
        </w:rPr>
        <w:t>QuitWorks</w:t>
      </w:r>
      <w:proofErr w:type="spellEnd"/>
      <w:r w:rsidRPr="00EC4559">
        <w:rPr>
          <w:rFonts w:asciiTheme="majorHAnsi" w:hAnsiTheme="majorHAnsi"/>
          <w:sz w:val="21"/>
          <w:szCs w:val="21"/>
        </w:rPr>
        <w:t xml:space="preserve"> program, visit </w:t>
      </w:r>
      <w:hyperlink r:id="rId25" w:history="1">
        <w:r w:rsidRPr="00EC4559">
          <w:rPr>
            <w:rStyle w:val="Hyperlink"/>
            <w:rFonts w:asciiTheme="majorHAnsi" w:hAnsiTheme="majorHAnsi" w:cs="Arial"/>
            <w:sz w:val="21"/>
            <w:szCs w:val="21"/>
          </w:rPr>
          <w:t>http://quitworks.makesmokinghistory.org</w:t>
        </w:r>
      </w:hyperlink>
    </w:p>
    <w:p w14:paraId="697C874A" w14:textId="77777777" w:rsidR="00EC4559" w:rsidRPr="00EC4559" w:rsidRDefault="00EC4559" w:rsidP="00EC4559">
      <w:pPr>
        <w:numPr>
          <w:ilvl w:val="0"/>
          <w:numId w:val="13"/>
        </w:numPr>
        <w:rPr>
          <w:rFonts w:asciiTheme="majorHAnsi" w:hAnsiTheme="majorHAnsi"/>
          <w:sz w:val="21"/>
          <w:szCs w:val="21"/>
        </w:rPr>
      </w:pPr>
      <w:r w:rsidRPr="00EC4559">
        <w:rPr>
          <w:rFonts w:asciiTheme="majorHAnsi" w:hAnsiTheme="majorHAnsi"/>
          <w:sz w:val="21"/>
          <w:szCs w:val="21"/>
        </w:rPr>
        <w:t xml:space="preserve">For more information about the Quitline program, visit </w:t>
      </w:r>
      <w:hyperlink r:id="rId26" w:history="1">
        <w:r w:rsidRPr="00EC4559">
          <w:rPr>
            <w:rStyle w:val="Hyperlink"/>
            <w:rFonts w:asciiTheme="majorHAnsi" w:hAnsiTheme="majorHAnsi" w:cs="Arial"/>
            <w:sz w:val="21"/>
            <w:szCs w:val="21"/>
          </w:rPr>
          <w:t>https://ma.quitlogix.org/en-US/</w:t>
        </w:r>
      </w:hyperlink>
      <w:r w:rsidRPr="00EC4559">
        <w:rPr>
          <w:rFonts w:asciiTheme="majorHAnsi" w:hAnsiTheme="majorHAnsi"/>
          <w:sz w:val="21"/>
          <w:szCs w:val="21"/>
        </w:rPr>
        <w:t xml:space="preserve"> or call 1-800-QUIT-NOW</w:t>
      </w:r>
    </w:p>
    <w:p w14:paraId="695F102D" w14:textId="77777777" w:rsidR="00EC4559" w:rsidRPr="00EC4559" w:rsidRDefault="00EC4559" w:rsidP="00EC4559">
      <w:pPr>
        <w:numPr>
          <w:ilvl w:val="0"/>
          <w:numId w:val="13"/>
        </w:numPr>
        <w:rPr>
          <w:rFonts w:asciiTheme="majorHAnsi" w:hAnsiTheme="majorHAnsi"/>
          <w:sz w:val="21"/>
          <w:szCs w:val="21"/>
        </w:rPr>
      </w:pPr>
      <w:r w:rsidRPr="00EC4559">
        <w:rPr>
          <w:rFonts w:asciiTheme="majorHAnsi" w:hAnsiTheme="majorHAnsi"/>
          <w:sz w:val="21"/>
          <w:szCs w:val="21"/>
        </w:rPr>
        <w:t xml:space="preserve">For more information on chronic disease prevention, visit: </w:t>
      </w:r>
      <w:hyperlink r:id="rId27" w:history="1">
        <w:r w:rsidRPr="00EC4559">
          <w:rPr>
            <w:rStyle w:val="Hyperlink"/>
            <w:rFonts w:asciiTheme="majorHAnsi" w:hAnsiTheme="majorHAnsi" w:cs="Arial"/>
            <w:sz w:val="21"/>
            <w:szCs w:val="21"/>
          </w:rPr>
          <w:t>https://www.mass.gov/info-details/bureau-of-community-health-and-prevention-directory</w:t>
        </w:r>
      </w:hyperlink>
    </w:p>
    <w:p w14:paraId="4790331B" w14:textId="02057BF0" w:rsidR="00C932AA" w:rsidRDefault="00C932AA" w:rsidP="008D54B2">
      <w:pPr>
        <w:rPr>
          <w:rFonts w:asciiTheme="majorHAnsi" w:hAnsiTheme="majorHAnsi"/>
          <w:sz w:val="21"/>
          <w:szCs w:val="21"/>
        </w:rPr>
      </w:pPr>
    </w:p>
    <w:p w14:paraId="3ED9F003" w14:textId="15A20F95" w:rsidR="00690DC5" w:rsidRPr="00EC4559" w:rsidRDefault="00690DC5" w:rsidP="00690DC5">
      <w:pPr>
        <w:pStyle w:val="Heading2"/>
        <w:rPr>
          <w:sz w:val="32"/>
          <w:szCs w:val="32"/>
        </w:rPr>
      </w:pPr>
      <w:r>
        <w:rPr>
          <w:sz w:val="32"/>
          <w:szCs w:val="32"/>
        </w:rPr>
        <w:lastRenderedPageBreak/>
        <w:t>Smoke-free environments</w:t>
      </w:r>
    </w:p>
    <w:p w14:paraId="3824F91E" w14:textId="77777777" w:rsidR="00690DC5" w:rsidRPr="00690DC5" w:rsidRDefault="00690DC5" w:rsidP="00690DC5">
      <w:pPr>
        <w:rPr>
          <w:rFonts w:asciiTheme="majorHAnsi" w:hAnsiTheme="majorHAnsi"/>
          <w:sz w:val="21"/>
          <w:szCs w:val="21"/>
        </w:rPr>
      </w:pPr>
      <w:r w:rsidRPr="00690DC5">
        <w:rPr>
          <w:rFonts w:asciiTheme="majorHAnsi" w:hAnsiTheme="majorHAnsi"/>
          <w:sz w:val="21"/>
          <w:szCs w:val="21"/>
        </w:rPr>
        <w:t>Due to the dangers of secondhand smoke exposure, Massachusetts workplaces are largely smoke-free, as well as an increasing amount of housing facilities. Just like prohibiting pets, landlords and condo associations can prohibit smoking. Smoke-free policies are not discriminatory. The policy only prohibits smoking in the building or on the property and does not prohibit smokers from living in the building.</w:t>
      </w:r>
    </w:p>
    <w:p w14:paraId="7D75C03F" w14:textId="77777777" w:rsidR="00690DC5" w:rsidRPr="00690DC5" w:rsidRDefault="00690DC5" w:rsidP="00690DC5">
      <w:pPr>
        <w:rPr>
          <w:rFonts w:asciiTheme="majorHAnsi" w:hAnsiTheme="majorHAnsi"/>
          <w:sz w:val="21"/>
          <w:szCs w:val="21"/>
        </w:rPr>
      </w:pPr>
    </w:p>
    <w:p w14:paraId="77B82B19" w14:textId="5405ADEE" w:rsidR="00690DC5" w:rsidRPr="00690DC5" w:rsidRDefault="00690DC5" w:rsidP="00690DC5">
      <w:pPr>
        <w:rPr>
          <w:rFonts w:asciiTheme="majorHAnsi" w:hAnsiTheme="majorHAnsi"/>
          <w:sz w:val="21"/>
          <w:szCs w:val="21"/>
        </w:rPr>
      </w:pPr>
      <w:r w:rsidRPr="00690DC5">
        <w:rPr>
          <w:rFonts w:asciiTheme="majorHAnsi" w:hAnsiTheme="majorHAnsi"/>
          <w:sz w:val="21"/>
          <w:szCs w:val="21"/>
        </w:rPr>
        <w:t>The Smoke-Free Housing Project provides free information and technical assistance to landlords and condo associations interested in implementing a smoke-free rule. For more information, contact the Massachusetts Smoke-Free Housing Project’s toll-free line at 877-830-8795. Tenants calling the number can receive additional information about their rights and can receive referrals to organizations that may be able to help.</w:t>
      </w:r>
      <w:r>
        <w:rPr>
          <w:rFonts w:asciiTheme="majorHAnsi" w:hAnsiTheme="majorHAnsi"/>
          <w:sz w:val="21"/>
          <w:szCs w:val="21"/>
        </w:rPr>
        <w:t xml:space="preserve"> </w:t>
      </w:r>
      <w:r w:rsidRPr="00690DC5">
        <w:rPr>
          <w:rFonts w:asciiTheme="majorHAnsi" w:hAnsiTheme="majorHAnsi"/>
          <w:sz w:val="21"/>
          <w:szCs w:val="21"/>
        </w:rPr>
        <w:t xml:space="preserve">For more information on smoke-free environments, including smoke-free housing, visit: </w:t>
      </w:r>
      <w:hyperlink r:id="rId28" w:history="1">
        <w:r w:rsidRPr="00690DC5">
          <w:rPr>
            <w:rStyle w:val="Hyperlink"/>
            <w:rFonts w:asciiTheme="majorHAnsi" w:hAnsiTheme="majorHAnsi" w:cs="Arial"/>
            <w:sz w:val="21"/>
            <w:szCs w:val="21"/>
          </w:rPr>
          <w:t>http://makesmokinghistory.org/smoke-free-environments/</w:t>
        </w:r>
      </w:hyperlink>
    </w:p>
    <w:p w14:paraId="27705399" w14:textId="1B43CAE9" w:rsidR="00C932AA" w:rsidRDefault="00C932AA" w:rsidP="008D54B2">
      <w:pPr>
        <w:rPr>
          <w:rFonts w:asciiTheme="majorHAnsi" w:hAnsiTheme="majorHAnsi"/>
          <w:sz w:val="21"/>
          <w:szCs w:val="21"/>
        </w:rPr>
      </w:pPr>
    </w:p>
    <w:p w14:paraId="12CC0B36" w14:textId="38D6E3CB" w:rsidR="00C932AA" w:rsidRDefault="00C932AA" w:rsidP="008D54B2">
      <w:pPr>
        <w:rPr>
          <w:rFonts w:asciiTheme="majorHAnsi" w:hAnsiTheme="majorHAnsi"/>
          <w:sz w:val="21"/>
          <w:szCs w:val="21"/>
        </w:rPr>
      </w:pPr>
    </w:p>
    <w:p w14:paraId="26EDC009" w14:textId="2CF3833B" w:rsidR="00C932AA" w:rsidRDefault="00C932AA" w:rsidP="008D54B2">
      <w:pPr>
        <w:rPr>
          <w:rFonts w:asciiTheme="majorHAnsi" w:hAnsiTheme="majorHAnsi"/>
          <w:sz w:val="21"/>
          <w:szCs w:val="21"/>
        </w:rPr>
      </w:pPr>
    </w:p>
    <w:p w14:paraId="14FE4A13" w14:textId="7A6C73FF" w:rsidR="00690DC5" w:rsidRDefault="00690DC5" w:rsidP="008D54B2">
      <w:pPr>
        <w:rPr>
          <w:rFonts w:asciiTheme="majorHAnsi" w:hAnsiTheme="majorHAnsi"/>
          <w:sz w:val="21"/>
          <w:szCs w:val="21"/>
        </w:rPr>
      </w:pPr>
    </w:p>
    <w:p w14:paraId="2DAAE736" w14:textId="1074D9E9" w:rsidR="00690DC5" w:rsidRDefault="00690DC5" w:rsidP="008D54B2">
      <w:pPr>
        <w:rPr>
          <w:rFonts w:asciiTheme="majorHAnsi" w:hAnsiTheme="majorHAnsi"/>
          <w:sz w:val="21"/>
          <w:szCs w:val="21"/>
        </w:rPr>
      </w:pPr>
    </w:p>
    <w:p w14:paraId="6DD88A92" w14:textId="2748F575" w:rsidR="00690DC5" w:rsidRDefault="00690DC5" w:rsidP="008D54B2">
      <w:pPr>
        <w:rPr>
          <w:rFonts w:asciiTheme="majorHAnsi" w:hAnsiTheme="majorHAnsi"/>
          <w:sz w:val="21"/>
          <w:szCs w:val="21"/>
        </w:rPr>
      </w:pPr>
    </w:p>
    <w:p w14:paraId="34FD4B11" w14:textId="7435A28A" w:rsidR="00690DC5" w:rsidRDefault="00690DC5" w:rsidP="008D54B2">
      <w:pPr>
        <w:rPr>
          <w:rFonts w:asciiTheme="majorHAnsi" w:hAnsiTheme="majorHAnsi"/>
          <w:sz w:val="21"/>
          <w:szCs w:val="21"/>
        </w:rPr>
      </w:pPr>
    </w:p>
    <w:p w14:paraId="48A98064" w14:textId="29AF6AB3" w:rsidR="00690DC5" w:rsidRDefault="00690DC5" w:rsidP="008D54B2">
      <w:pPr>
        <w:rPr>
          <w:rFonts w:asciiTheme="majorHAnsi" w:hAnsiTheme="majorHAnsi"/>
          <w:sz w:val="21"/>
          <w:szCs w:val="21"/>
        </w:rPr>
      </w:pPr>
    </w:p>
    <w:p w14:paraId="499D1DDB" w14:textId="2B8F49AE" w:rsidR="00690DC5" w:rsidRDefault="00690DC5" w:rsidP="008D54B2">
      <w:pPr>
        <w:rPr>
          <w:rFonts w:asciiTheme="majorHAnsi" w:hAnsiTheme="majorHAnsi"/>
          <w:sz w:val="21"/>
          <w:szCs w:val="21"/>
        </w:rPr>
      </w:pPr>
    </w:p>
    <w:p w14:paraId="330A5A00" w14:textId="2F2B77E9" w:rsidR="00690DC5" w:rsidRDefault="00690DC5" w:rsidP="008D54B2">
      <w:pPr>
        <w:rPr>
          <w:rFonts w:asciiTheme="majorHAnsi" w:hAnsiTheme="majorHAnsi"/>
          <w:sz w:val="21"/>
          <w:szCs w:val="21"/>
        </w:rPr>
      </w:pPr>
    </w:p>
    <w:p w14:paraId="31A3EB2E" w14:textId="78820CC3" w:rsidR="00690DC5" w:rsidRDefault="00690DC5" w:rsidP="008D54B2">
      <w:pPr>
        <w:rPr>
          <w:rFonts w:asciiTheme="majorHAnsi" w:hAnsiTheme="majorHAnsi"/>
          <w:sz w:val="21"/>
          <w:szCs w:val="21"/>
        </w:rPr>
      </w:pPr>
    </w:p>
    <w:p w14:paraId="303098DD" w14:textId="53653239" w:rsidR="00690DC5" w:rsidRDefault="00690DC5" w:rsidP="008D54B2">
      <w:pPr>
        <w:rPr>
          <w:rFonts w:asciiTheme="majorHAnsi" w:hAnsiTheme="majorHAnsi"/>
          <w:sz w:val="21"/>
          <w:szCs w:val="21"/>
        </w:rPr>
      </w:pPr>
    </w:p>
    <w:p w14:paraId="6C4489AC" w14:textId="1C628AF1" w:rsidR="00690DC5" w:rsidRDefault="00690DC5" w:rsidP="008D54B2">
      <w:pPr>
        <w:rPr>
          <w:rFonts w:asciiTheme="majorHAnsi" w:hAnsiTheme="majorHAnsi"/>
          <w:sz w:val="21"/>
          <w:szCs w:val="21"/>
        </w:rPr>
      </w:pPr>
    </w:p>
    <w:p w14:paraId="0B78F1FB" w14:textId="39E7E707" w:rsidR="00690DC5" w:rsidRDefault="00690DC5" w:rsidP="008D54B2">
      <w:pPr>
        <w:rPr>
          <w:rFonts w:asciiTheme="majorHAnsi" w:hAnsiTheme="majorHAnsi"/>
          <w:sz w:val="21"/>
          <w:szCs w:val="21"/>
        </w:rPr>
      </w:pPr>
    </w:p>
    <w:p w14:paraId="1096BDE7" w14:textId="02000FE7" w:rsidR="00690DC5" w:rsidRDefault="00690DC5" w:rsidP="008D54B2">
      <w:pPr>
        <w:rPr>
          <w:rFonts w:asciiTheme="majorHAnsi" w:hAnsiTheme="majorHAnsi"/>
          <w:sz w:val="21"/>
          <w:szCs w:val="21"/>
        </w:rPr>
      </w:pPr>
    </w:p>
    <w:p w14:paraId="576EC13F" w14:textId="4EF86DCC" w:rsidR="00690DC5" w:rsidRDefault="00690DC5" w:rsidP="008D54B2">
      <w:pPr>
        <w:rPr>
          <w:rFonts w:asciiTheme="majorHAnsi" w:hAnsiTheme="majorHAnsi"/>
          <w:sz w:val="21"/>
          <w:szCs w:val="21"/>
        </w:rPr>
      </w:pPr>
    </w:p>
    <w:p w14:paraId="2B9908C5" w14:textId="28F2495B" w:rsidR="00690DC5" w:rsidRDefault="00690DC5" w:rsidP="008D54B2">
      <w:pPr>
        <w:rPr>
          <w:rFonts w:asciiTheme="majorHAnsi" w:hAnsiTheme="majorHAnsi"/>
          <w:sz w:val="21"/>
          <w:szCs w:val="21"/>
        </w:rPr>
      </w:pPr>
    </w:p>
    <w:p w14:paraId="71F4EF17" w14:textId="5C8526B0" w:rsidR="00690DC5" w:rsidRDefault="00690DC5" w:rsidP="008D54B2">
      <w:pPr>
        <w:rPr>
          <w:rFonts w:asciiTheme="majorHAnsi" w:hAnsiTheme="majorHAnsi"/>
          <w:sz w:val="21"/>
          <w:szCs w:val="21"/>
        </w:rPr>
      </w:pPr>
    </w:p>
    <w:p w14:paraId="7B2A05FA" w14:textId="16343212" w:rsidR="00690DC5" w:rsidRDefault="00690DC5" w:rsidP="008D54B2">
      <w:pPr>
        <w:rPr>
          <w:rFonts w:asciiTheme="majorHAnsi" w:hAnsiTheme="majorHAnsi"/>
          <w:sz w:val="21"/>
          <w:szCs w:val="21"/>
        </w:rPr>
      </w:pPr>
    </w:p>
    <w:p w14:paraId="6B71A5E4" w14:textId="01F6155E" w:rsidR="00690DC5" w:rsidRDefault="00690DC5" w:rsidP="008D54B2">
      <w:pPr>
        <w:rPr>
          <w:rFonts w:asciiTheme="majorHAnsi" w:hAnsiTheme="majorHAnsi"/>
          <w:sz w:val="21"/>
          <w:szCs w:val="21"/>
        </w:rPr>
      </w:pPr>
    </w:p>
    <w:p w14:paraId="589E5C3D" w14:textId="4E4566A1" w:rsidR="00690DC5" w:rsidRDefault="00690DC5" w:rsidP="008D54B2">
      <w:pPr>
        <w:rPr>
          <w:rFonts w:asciiTheme="majorHAnsi" w:hAnsiTheme="majorHAnsi"/>
          <w:sz w:val="21"/>
          <w:szCs w:val="21"/>
        </w:rPr>
      </w:pPr>
    </w:p>
    <w:p w14:paraId="577F107E" w14:textId="40A8A217" w:rsidR="00690DC5" w:rsidRDefault="00690DC5" w:rsidP="008D54B2">
      <w:pPr>
        <w:rPr>
          <w:rFonts w:asciiTheme="majorHAnsi" w:hAnsiTheme="majorHAnsi"/>
          <w:sz w:val="21"/>
          <w:szCs w:val="21"/>
        </w:rPr>
      </w:pPr>
    </w:p>
    <w:p w14:paraId="205F30E9" w14:textId="7EE42B57" w:rsidR="00690DC5" w:rsidRDefault="00690DC5" w:rsidP="008D54B2">
      <w:pPr>
        <w:rPr>
          <w:rFonts w:asciiTheme="majorHAnsi" w:hAnsiTheme="majorHAnsi"/>
          <w:sz w:val="21"/>
          <w:szCs w:val="21"/>
        </w:rPr>
      </w:pPr>
    </w:p>
    <w:p w14:paraId="125F9A80" w14:textId="78B6D792" w:rsidR="00690DC5" w:rsidRDefault="00690DC5" w:rsidP="008D54B2">
      <w:pPr>
        <w:rPr>
          <w:rFonts w:asciiTheme="majorHAnsi" w:hAnsiTheme="majorHAnsi"/>
          <w:sz w:val="21"/>
          <w:szCs w:val="21"/>
        </w:rPr>
      </w:pPr>
    </w:p>
    <w:p w14:paraId="1978E94A" w14:textId="4E9A6910" w:rsidR="00690DC5" w:rsidRDefault="00690DC5" w:rsidP="008D54B2">
      <w:pPr>
        <w:rPr>
          <w:rFonts w:asciiTheme="majorHAnsi" w:hAnsiTheme="majorHAnsi"/>
          <w:sz w:val="21"/>
          <w:szCs w:val="21"/>
        </w:rPr>
      </w:pPr>
    </w:p>
    <w:p w14:paraId="14BD78F6" w14:textId="43D6294B" w:rsidR="00690DC5" w:rsidRDefault="00690DC5" w:rsidP="008D54B2">
      <w:pPr>
        <w:rPr>
          <w:rFonts w:asciiTheme="majorHAnsi" w:hAnsiTheme="majorHAnsi"/>
          <w:sz w:val="21"/>
          <w:szCs w:val="21"/>
        </w:rPr>
      </w:pPr>
    </w:p>
    <w:p w14:paraId="09FAF75E" w14:textId="7BF091CF" w:rsidR="00690DC5" w:rsidRDefault="00690DC5" w:rsidP="008D54B2">
      <w:pPr>
        <w:rPr>
          <w:rFonts w:asciiTheme="majorHAnsi" w:hAnsiTheme="majorHAnsi"/>
          <w:sz w:val="21"/>
          <w:szCs w:val="21"/>
        </w:rPr>
      </w:pPr>
    </w:p>
    <w:p w14:paraId="5716A909" w14:textId="1B5F9B68" w:rsidR="00690DC5" w:rsidRDefault="00690DC5" w:rsidP="008D54B2">
      <w:pPr>
        <w:rPr>
          <w:rFonts w:asciiTheme="majorHAnsi" w:hAnsiTheme="majorHAnsi"/>
          <w:sz w:val="21"/>
          <w:szCs w:val="21"/>
        </w:rPr>
      </w:pPr>
    </w:p>
    <w:p w14:paraId="3DD9B627" w14:textId="642DDA0C" w:rsidR="00690DC5" w:rsidRDefault="00690DC5" w:rsidP="008D54B2">
      <w:pPr>
        <w:rPr>
          <w:rFonts w:asciiTheme="majorHAnsi" w:hAnsiTheme="majorHAnsi"/>
          <w:sz w:val="21"/>
          <w:szCs w:val="21"/>
        </w:rPr>
      </w:pPr>
    </w:p>
    <w:p w14:paraId="4E12DD11" w14:textId="44B7C5CB" w:rsidR="00690DC5" w:rsidRDefault="00690DC5" w:rsidP="008D54B2">
      <w:pPr>
        <w:rPr>
          <w:rFonts w:asciiTheme="majorHAnsi" w:hAnsiTheme="majorHAnsi"/>
          <w:sz w:val="21"/>
          <w:szCs w:val="21"/>
        </w:rPr>
      </w:pPr>
    </w:p>
    <w:p w14:paraId="592BD6CF" w14:textId="01DCA9C8" w:rsidR="00690DC5" w:rsidRDefault="00690DC5" w:rsidP="008D54B2">
      <w:pPr>
        <w:rPr>
          <w:rFonts w:asciiTheme="majorHAnsi" w:hAnsiTheme="majorHAnsi"/>
          <w:sz w:val="21"/>
          <w:szCs w:val="21"/>
        </w:rPr>
      </w:pPr>
    </w:p>
    <w:p w14:paraId="096A0453" w14:textId="43348D24" w:rsidR="00690DC5" w:rsidRDefault="00690DC5" w:rsidP="008D54B2">
      <w:pPr>
        <w:rPr>
          <w:rFonts w:asciiTheme="majorHAnsi" w:hAnsiTheme="majorHAnsi"/>
          <w:sz w:val="21"/>
          <w:szCs w:val="21"/>
        </w:rPr>
      </w:pPr>
    </w:p>
    <w:p w14:paraId="52177642" w14:textId="6920AAE0" w:rsidR="00690DC5" w:rsidRDefault="00690DC5" w:rsidP="008D54B2">
      <w:pPr>
        <w:rPr>
          <w:rFonts w:asciiTheme="majorHAnsi" w:hAnsiTheme="majorHAnsi"/>
          <w:sz w:val="21"/>
          <w:szCs w:val="21"/>
        </w:rPr>
      </w:pPr>
    </w:p>
    <w:p w14:paraId="2548389B" w14:textId="5EB054FE" w:rsidR="00690DC5" w:rsidRDefault="00690DC5" w:rsidP="008D54B2">
      <w:pPr>
        <w:rPr>
          <w:rFonts w:asciiTheme="majorHAnsi" w:hAnsiTheme="majorHAnsi"/>
          <w:sz w:val="21"/>
          <w:szCs w:val="21"/>
        </w:rPr>
      </w:pPr>
    </w:p>
    <w:p w14:paraId="2DB98771" w14:textId="418DB47F" w:rsidR="00690DC5" w:rsidRDefault="00690DC5" w:rsidP="008D54B2">
      <w:pPr>
        <w:rPr>
          <w:rFonts w:asciiTheme="majorHAnsi" w:hAnsiTheme="majorHAnsi"/>
          <w:sz w:val="21"/>
          <w:szCs w:val="21"/>
        </w:rPr>
      </w:pPr>
    </w:p>
    <w:p w14:paraId="745239AF" w14:textId="117BEEB4" w:rsidR="00690DC5" w:rsidRDefault="00690DC5" w:rsidP="008D54B2">
      <w:pPr>
        <w:rPr>
          <w:rFonts w:asciiTheme="majorHAnsi" w:hAnsiTheme="majorHAnsi"/>
          <w:sz w:val="21"/>
          <w:szCs w:val="21"/>
        </w:rPr>
      </w:pPr>
    </w:p>
    <w:p w14:paraId="5A813A3E" w14:textId="2AA447F9" w:rsidR="00690DC5" w:rsidRDefault="00690DC5" w:rsidP="008D54B2">
      <w:pPr>
        <w:rPr>
          <w:rFonts w:asciiTheme="majorHAnsi" w:hAnsiTheme="majorHAnsi"/>
          <w:sz w:val="21"/>
          <w:szCs w:val="21"/>
        </w:rPr>
      </w:pPr>
    </w:p>
    <w:p w14:paraId="7B69E110" w14:textId="27EC1933" w:rsidR="00690DC5" w:rsidRDefault="00690DC5" w:rsidP="008D54B2">
      <w:pPr>
        <w:rPr>
          <w:rFonts w:asciiTheme="majorHAnsi" w:hAnsiTheme="majorHAnsi"/>
          <w:sz w:val="21"/>
          <w:szCs w:val="21"/>
        </w:rPr>
      </w:pPr>
    </w:p>
    <w:p w14:paraId="278F9312" w14:textId="4A09CF56" w:rsidR="00690DC5" w:rsidRDefault="00690DC5" w:rsidP="008D54B2">
      <w:pPr>
        <w:rPr>
          <w:rFonts w:asciiTheme="majorHAnsi" w:hAnsiTheme="majorHAnsi"/>
          <w:sz w:val="21"/>
          <w:szCs w:val="21"/>
        </w:rPr>
      </w:pPr>
    </w:p>
    <w:p w14:paraId="7564001D" w14:textId="18654BA1" w:rsidR="00690DC5" w:rsidRDefault="00690DC5" w:rsidP="008D54B2">
      <w:pPr>
        <w:rPr>
          <w:rFonts w:asciiTheme="majorHAnsi" w:hAnsiTheme="majorHAnsi"/>
          <w:sz w:val="21"/>
          <w:szCs w:val="21"/>
        </w:rPr>
      </w:pPr>
    </w:p>
    <w:p w14:paraId="3FF6600E" w14:textId="22AC4D47" w:rsidR="00C932AA" w:rsidRPr="008A1344" w:rsidRDefault="00690DC5" w:rsidP="008A1344">
      <w:pPr>
        <w:pStyle w:val="Heading1"/>
        <w:pBdr>
          <w:bottom w:val="single" w:sz="12" w:space="1" w:color="auto"/>
        </w:pBdr>
        <w:rPr>
          <w:sz w:val="40"/>
        </w:rPr>
      </w:pPr>
      <w:r>
        <w:rPr>
          <w:sz w:val="40"/>
        </w:rPr>
        <w:lastRenderedPageBreak/>
        <w:t>References</w:t>
      </w:r>
    </w:p>
    <w:sectPr w:rsidR="00C932AA" w:rsidRPr="008A1344" w:rsidSect="00FE6FD3">
      <w:footerReference w:type="even" r:id="rId29"/>
      <w:footerReference w:type="default" r:id="rId30"/>
      <w:endnotePr>
        <w:numFmt w:val="decimal"/>
      </w:endnotePr>
      <w:pgSz w:w="12240" w:h="15840"/>
      <w:pgMar w:top="1440" w:right="1440" w:bottom="792" w:left="1440" w:header="720" w:footer="49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98C5C" w14:textId="77777777" w:rsidR="00D56241" w:rsidRDefault="00D56241" w:rsidP="00930198">
      <w:r>
        <w:separator/>
      </w:r>
    </w:p>
  </w:endnote>
  <w:endnote w:type="continuationSeparator" w:id="0">
    <w:p w14:paraId="50F33D25" w14:textId="77777777" w:rsidR="00D56241" w:rsidRDefault="00D56241" w:rsidP="00930198">
      <w:r>
        <w:continuationSeparator/>
      </w:r>
    </w:p>
  </w:endnote>
  <w:endnote w:id="1">
    <w:p w14:paraId="438347B8" w14:textId="4B4FDF3D" w:rsidR="00C6380B" w:rsidRPr="002B4560" w:rsidRDefault="00C6380B">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rPr>
        <w:t xml:space="preserve">The Health Consequences of Smoking—50 Years of Progress: A Report of the Surgeon General </w:t>
      </w:r>
      <w:hyperlink r:id="rId1" w:history="1">
        <w:r w:rsidRPr="002B4560">
          <w:rPr>
            <w:rStyle w:val="Hyperlink"/>
            <w:rFonts w:asciiTheme="majorHAnsi" w:hAnsiTheme="majorHAnsi" w:cstheme="majorHAnsi"/>
          </w:rPr>
          <w:t>https://www.surgeongeneral.gov/library/reports/50-years-of-progress/exec-summary.pdf</w:t>
        </w:r>
      </w:hyperlink>
      <w:r w:rsidRPr="002B4560">
        <w:rPr>
          <w:rFonts w:asciiTheme="majorHAnsi" w:hAnsiTheme="majorHAnsi" w:cstheme="majorHAnsi"/>
        </w:rPr>
        <w:t>, accessed July 21, 2017.</w:t>
      </w:r>
    </w:p>
  </w:endnote>
  <w:endnote w:id="2">
    <w:p w14:paraId="5FBCDE19" w14:textId="19C1B157" w:rsidR="00C6380B" w:rsidRPr="002B4560" w:rsidRDefault="00C6380B">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rPr>
        <w:t>Benowitz</w:t>
      </w:r>
      <w:proofErr w:type="spellEnd"/>
      <w:r w:rsidRPr="002B4560">
        <w:rPr>
          <w:rFonts w:asciiTheme="majorHAnsi" w:hAnsiTheme="majorHAnsi" w:cstheme="majorHAnsi"/>
        </w:rPr>
        <w:t xml:space="preserve">, NL. </w:t>
      </w:r>
      <w:r w:rsidRPr="002B4560">
        <w:rPr>
          <w:rFonts w:asciiTheme="majorHAnsi" w:hAnsiTheme="majorHAnsi" w:cstheme="majorHAnsi"/>
          <w:i/>
        </w:rPr>
        <w:t>Nicotine Addiction</w:t>
      </w:r>
      <w:r w:rsidRPr="002B4560">
        <w:rPr>
          <w:rFonts w:asciiTheme="majorHAnsi" w:hAnsiTheme="majorHAnsi" w:cstheme="majorHAnsi"/>
        </w:rPr>
        <w:t xml:space="preserve">. N </w:t>
      </w:r>
      <w:proofErr w:type="spellStart"/>
      <w:r w:rsidRPr="002B4560">
        <w:rPr>
          <w:rFonts w:asciiTheme="majorHAnsi" w:hAnsiTheme="majorHAnsi" w:cstheme="majorHAnsi"/>
        </w:rPr>
        <w:t>Engl</w:t>
      </w:r>
      <w:proofErr w:type="spellEnd"/>
      <w:r w:rsidRPr="002B4560">
        <w:rPr>
          <w:rFonts w:asciiTheme="majorHAnsi" w:hAnsiTheme="majorHAnsi" w:cstheme="majorHAnsi"/>
        </w:rPr>
        <w:t xml:space="preserve"> J Med 2010; 362:2295-2303. June 17, 2010. Available at: </w:t>
      </w:r>
      <w:hyperlink r:id="rId2">
        <w:r w:rsidRPr="002B4560">
          <w:rPr>
            <w:rStyle w:val="Hyperlink"/>
            <w:rFonts w:asciiTheme="majorHAnsi" w:hAnsiTheme="majorHAnsi" w:cstheme="majorHAnsi"/>
          </w:rPr>
          <w:t>http://www.nejm.org/doi/full/10.1056/NEJMra0809890</w:t>
        </w:r>
      </w:hyperlink>
      <w:r w:rsidRPr="002B4560">
        <w:rPr>
          <w:rFonts w:asciiTheme="majorHAnsi" w:hAnsiTheme="majorHAnsi" w:cstheme="majorHAnsi"/>
        </w:rPr>
        <w:t>.</w:t>
      </w:r>
    </w:p>
  </w:endnote>
  <w:endnote w:id="3">
    <w:p w14:paraId="4C2448AB" w14:textId="7D82C75D" w:rsidR="00D81D9D" w:rsidRPr="002B4560" w:rsidRDefault="00D81D9D">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rPr>
        <w:t>Centers for Disease Control and Prevention, "Best Practices for Comprehensive Tobacco Control - 2014," US Department of Health and Human Services, Centers for Disease Control and Prevention, National Center for Chronic Disease Prevention and Health Promotion, Office on Smoking and Health, Atlanta, 2014.</w:t>
      </w:r>
    </w:p>
  </w:endnote>
  <w:endnote w:id="4">
    <w:p w14:paraId="449ED516" w14:textId="29021258" w:rsidR="00D81D9D" w:rsidRPr="002B4560" w:rsidRDefault="00D81D9D">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rPr>
        <w:t xml:space="preserve">“The Toll of Tobacco in Massachusetts.” Campaign for Tobacco-free Kids. Updated March 1, 2017. Available at: </w:t>
      </w:r>
      <w:hyperlink r:id="rId3">
        <w:r w:rsidRPr="002B4560">
          <w:rPr>
            <w:rStyle w:val="Hyperlink"/>
            <w:rFonts w:asciiTheme="majorHAnsi" w:hAnsiTheme="majorHAnsi" w:cstheme="majorHAnsi"/>
          </w:rPr>
          <w:t>https://www.tobaccofreekids.org/facts_issues/toll_us/massachusetts</w:t>
        </w:r>
      </w:hyperlink>
      <w:r w:rsidRPr="002B4560">
        <w:rPr>
          <w:rFonts w:asciiTheme="majorHAnsi" w:hAnsiTheme="majorHAnsi" w:cstheme="majorHAnsi"/>
        </w:rPr>
        <w:t>. Accessed June 12, 2017.</w:t>
      </w:r>
    </w:p>
  </w:endnote>
  <w:endnote w:id="5">
    <w:p w14:paraId="322882FE" w14:textId="644EA073" w:rsidR="00930198" w:rsidRPr="002B4560" w:rsidRDefault="00930198" w:rsidP="00930198">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Hu SS. Tobacco product use among adults—United States, 2013–2014. MMWR. Morbidity and Mortality Weekly Report. 2016;65.</w:t>
      </w:r>
    </w:p>
  </w:endnote>
  <w:endnote w:id="6">
    <w:p w14:paraId="5A65B7BC" w14:textId="77777777" w:rsidR="00930198" w:rsidRPr="002B4560" w:rsidRDefault="00930198" w:rsidP="00930198">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Centers for Disease Control and Prevention (CDC. Methodologic changes in the Behavioral Risk Factor Surveillance System in 2011 and potential effects on prevalence estimates. MMWR. Morbidity and Mortality Weekly Report. 2012 Jun 8;61(22):410.</w:t>
      </w:r>
    </w:p>
  </w:endnote>
  <w:endnote w:id="7">
    <w:p w14:paraId="27BDE843" w14:textId="77777777" w:rsidR="00930198" w:rsidRPr="002B4560" w:rsidRDefault="00930198" w:rsidP="00930198">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Kirchner TR, </w:t>
      </w:r>
      <w:proofErr w:type="spellStart"/>
      <w:r w:rsidRPr="002B4560">
        <w:rPr>
          <w:rFonts w:asciiTheme="majorHAnsi" w:hAnsiTheme="majorHAnsi" w:cstheme="majorHAnsi"/>
        </w:rPr>
        <w:t>Villanti</w:t>
      </w:r>
      <w:proofErr w:type="spellEnd"/>
      <w:r w:rsidRPr="002B4560">
        <w:rPr>
          <w:rFonts w:asciiTheme="majorHAnsi" w:hAnsiTheme="majorHAnsi" w:cstheme="majorHAnsi"/>
        </w:rPr>
        <w:t xml:space="preserve"> AC, Cantrell J, </w:t>
      </w:r>
      <w:proofErr w:type="spellStart"/>
      <w:r w:rsidRPr="002B4560">
        <w:rPr>
          <w:rFonts w:asciiTheme="majorHAnsi" w:hAnsiTheme="majorHAnsi" w:cstheme="majorHAnsi"/>
        </w:rPr>
        <w:t>Anesetti-Rothermel</w:t>
      </w:r>
      <w:proofErr w:type="spellEnd"/>
      <w:r w:rsidRPr="002B4560">
        <w:rPr>
          <w:rFonts w:asciiTheme="majorHAnsi" w:hAnsiTheme="majorHAnsi" w:cstheme="majorHAnsi"/>
        </w:rPr>
        <w:t xml:space="preserve"> A, Ganz O, Conway KP, Vallone DM, Abrams DB. Tobacco retail outlet advertising practices and proximity to schools, parks and public housing affect </w:t>
      </w:r>
      <w:proofErr w:type="spellStart"/>
      <w:r w:rsidRPr="002B4560">
        <w:rPr>
          <w:rFonts w:asciiTheme="majorHAnsi" w:hAnsiTheme="majorHAnsi" w:cstheme="majorHAnsi"/>
        </w:rPr>
        <w:t>Synar</w:t>
      </w:r>
      <w:proofErr w:type="spellEnd"/>
      <w:r w:rsidRPr="002B4560">
        <w:rPr>
          <w:rFonts w:asciiTheme="majorHAnsi" w:hAnsiTheme="majorHAnsi" w:cstheme="majorHAnsi"/>
        </w:rPr>
        <w:t xml:space="preserve"> underage sales violations in Washington, DC. Tobacco Control. 2015 Mar 1;24(e1</w:t>
      </w:r>
      <w:proofErr w:type="gramStart"/>
      <w:r w:rsidRPr="002B4560">
        <w:rPr>
          <w:rFonts w:asciiTheme="majorHAnsi" w:hAnsiTheme="majorHAnsi" w:cstheme="majorHAnsi"/>
        </w:rPr>
        <w:t>):e</w:t>
      </w:r>
      <w:proofErr w:type="gramEnd"/>
      <w:r w:rsidRPr="002B4560">
        <w:rPr>
          <w:rFonts w:asciiTheme="majorHAnsi" w:hAnsiTheme="majorHAnsi" w:cstheme="majorHAnsi"/>
        </w:rPr>
        <w:t xml:space="preserve">52-8.; Cantrell J, </w:t>
      </w:r>
      <w:proofErr w:type="spellStart"/>
      <w:r w:rsidRPr="002B4560">
        <w:rPr>
          <w:rFonts w:asciiTheme="majorHAnsi" w:hAnsiTheme="majorHAnsi" w:cstheme="majorHAnsi"/>
        </w:rPr>
        <w:t>Kreslake</w:t>
      </w:r>
      <w:proofErr w:type="spellEnd"/>
      <w:r w:rsidRPr="002B4560">
        <w:rPr>
          <w:rFonts w:asciiTheme="majorHAnsi" w:hAnsiTheme="majorHAnsi" w:cstheme="majorHAnsi"/>
        </w:rPr>
        <w:t xml:space="preserve"> JM, Ganz O, Pearson JL, Vallone D, </w:t>
      </w:r>
      <w:proofErr w:type="spellStart"/>
      <w:r w:rsidRPr="002B4560">
        <w:rPr>
          <w:rFonts w:asciiTheme="majorHAnsi" w:hAnsiTheme="majorHAnsi" w:cstheme="majorHAnsi"/>
        </w:rPr>
        <w:t>Anesetti-Rothermel</w:t>
      </w:r>
      <w:proofErr w:type="spellEnd"/>
      <w:r w:rsidRPr="002B4560">
        <w:rPr>
          <w:rFonts w:asciiTheme="majorHAnsi" w:hAnsiTheme="majorHAnsi" w:cstheme="majorHAnsi"/>
        </w:rPr>
        <w:t xml:space="preserve"> A, Xiao H, Kirchner TR. Marketing little cigars and cigarillos: advertising, price, and associations with neighborhood demographics. American Journal of Public Health. 2013 Oct;103(10):1902-9.</w:t>
      </w:r>
    </w:p>
  </w:endnote>
  <w:endnote w:id="8">
    <w:p w14:paraId="3B8410E8" w14:textId="77777777" w:rsidR="00930198" w:rsidRPr="002B4560" w:rsidRDefault="00930198" w:rsidP="00930198">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Centers for Disease Control and Prevention (CDC. Current tobacco </w:t>
      </w:r>
      <w:proofErr w:type="gramStart"/>
      <w:r w:rsidRPr="002B4560">
        <w:rPr>
          <w:rFonts w:asciiTheme="majorHAnsi" w:hAnsiTheme="majorHAnsi" w:cstheme="majorHAnsi"/>
        </w:rPr>
        <w:t>use</w:t>
      </w:r>
      <w:proofErr w:type="gramEnd"/>
      <w:r w:rsidRPr="002B4560">
        <w:rPr>
          <w:rFonts w:asciiTheme="majorHAnsi" w:hAnsiTheme="majorHAnsi" w:cstheme="majorHAnsi"/>
        </w:rPr>
        <w:t xml:space="preserve"> among middle and high school students--United States, 2011. MMWR. Morbidity and mortality weekly report. 2012 Aug 10;61(31):581.; Jamal A, </w:t>
      </w:r>
      <w:proofErr w:type="spellStart"/>
      <w:r w:rsidRPr="002B4560">
        <w:rPr>
          <w:rFonts w:asciiTheme="majorHAnsi" w:hAnsiTheme="majorHAnsi" w:cstheme="majorHAnsi"/>
        </w:rPr>
        <w:t>Gentzke</w:t>
      </w:r>
      <w:proofErr w:type="spellEnd"/>
      <w:r w:rsidRPr="002B4560">
        <w:rPr>
          <w:rFonts w:asciiTheme="majorHAnsi" w:hAnsiTheme="majorHAnsi" w:cstheme="majorHAnsi"/>
        </w:rPr>
        <w:t xml:space="preserve"> A, Hu SS, Cullen KA, </w:t>
      </w:r>
      <w:proofErr w:type="spellStart"/>
      <w:r w:rsidRPr="002B4560">
        <w:rPr>
          <w:rFonts w:asciiTheme="majorHAnsi" w:hAnsiTheme="majorHAnsi" w:cstheme="majorHAnsi"/>
        </w:rPr>
        <w:t>Apelberg</w:t>
      </w:r>
      <w:proofErr w:type="spellEnd"/>
      <w:r w:rsidRPr="002B4560">
        <w:rPr>
          <w:rFonts w:asciiTheme="majorHAnsi" w:hAnsiTheme="majorHAnsi" w:cstheme="majorHAnsi"/>
        </w:rPr>
        <w:t xml:space="preserve"> BJ, </w:t>
      </w:r>
      <w:proofErr w:type="spellStart"/>
      <w:r w:rsidRPr="002B4560">
        <w:rPr>
          <w:rFonts w:asciiTheme="majorHAnsi" w:hAnsiTheme="majorHAnsi" w:cstheme="majorHAnsi"/>
        </w:rPr>
        <w:t>Homa</w:t>
      </w:r>
      <w:proofErr w:type="spellEnd"/>
      <w:r w:rsidRPr="002B4560">
        <w:rPr>
          <w:rFonts w:asciiTheme="majorHAnsi" w:hAnsiTheme="majorHAnsi" w:cstheme="majorHAnsi"/>
        </w:rPr>
        <w:t xml:space="preserve"> DM, King BA. Tobacco </w:t>
      </w:r>
      <w:proofErr w:type="gramStart"/>
      <w:r w:rsidRPr="002B4560">
        <w:rPr>
          <w:rFonts w:asciiTheme="majorHAnsi" w:hAnsiTheme="majorHAnsi" w:cstheme="majorHAnsi"/>
        </w:rPr>
        <w:t>use</w:t>
      </w:r>
      <w:proofErr w:type="gramEnd"/>
      <w:r w:rsidRPr="002B4560">
        <w:rPr>
          <w:rFonts w:asciiTheme="majorHAnsi" w:hAnsiTheme="majorHAnsi" w:cstheme="majorHAnsi"/>
        </w:rPr>
        <w:t xml:space="preserve"> among middle and high school students—United States, 2011–2016. MMWR. Morbidity and Mortality Weekly Report. 2017 Jun 16;66(23):597.</w:t>
      </w:r>
    </w:p>
  </w:endnote>
  <w:endnote w:id="9">
    <w:p w14:paraId="2C05AFBF" w14:textId="77777777" w:rsidR="00930198" w:rsidRPr="002B4560" w:rsidRDefault="00930198" w:rsidP="00930198">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Brown-Johnson CG, England LJ, Glantz SA, Ling PM. Tobacco industry marketing to low socioeconomic status women in the U.S.A. </w:t>
      </w:r>
      <w:proofErr w:type="spellStart"/>
      <w:r w:rsidRPr="002B4560">
        <w:rPr>
          <w:rFonts w:asciiTheme="majorHAnsi" w:hAnsiTheme="majorHAnsi" w:cstheme="majorHAnsi"/>
        </w:rPr>
        <w:t>Tob</w:t>
      </w:r>
      <w:proofErr w:type="spellEnd"/>
      <w:r w:rsidRPr="002B4560">
        <w:rPr>
          <w:rFonts w:asciiTheme="majorHAnsi" w:hAnsiTheme="majorHAnsi" w:cstheme="majorHAnsi"/>
        </w:rPr>
        <w:t xml:space="preserve"> Control. 2014 Nov;23(e2</w:t>
      </w:r>
      <w:proofErr w:type="gramStart"/>
      <w:r w:rsidRPr="002B4560">
        <w:rPr>
          <w:rFonts w:asciiTheme="majorHAnsi" w:hAnsiTheme="majorHAnsi" w:cstheme="majorHAnsi"/>
        </w:rPr>
        <w:t>):e</w:t>
      </w:r>
      <w:proofErr w:type="gramEnd"/>
      <w:r w:rsidRPr="002B4560">
        <w:rPr>
          <w:rFonts w:asciiTheme="majorHAnsi" w:hAnsiTheme="majorHAnsi" w:cstheme="majorHAnsi"/>
        </w:rPr>
        <w:t>139-46</w:t>
      </w:r>
    </w:p>
  </w:endnote>
  <w:endnote w:id="10">
    <w:p w14:paraId="7133FC6A" w14:textId="77777777" w:rsidR="00930198" w:rsidRPr="002B4560" w:rsidRDefault="00930198" w:rsidP="00930198">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Yerger VB, </w:t>
      </w:r>
      <w:proofErr w:type="spellStart"/>
      <w:r w:rsidRPr="002B4560">
        <w:rPr>
          <w:rFonts w:asciiTheme="majorHAnsi" w:hAnsiTheme="majorHAnsi" w:cstheme="majorHAnsi"/>
        </w:rPr>
        <w:t>Przewoznik</w:t>
      </w:r>
      <w:proofErr w:type="spellEnd"/>
      <w:r w:rsidRPr="002B4560">
        <w:rPr>
          <w:rFonts w:asciiTheme="majorHAnsi" w:hAnsiTheme="majorHAnsi" w:cstheme="majorHAnsi"/>
        </w:rPr>
        <w:t xml:space="preserve"> J, Malone RE. Racialized geography, corporate activity, and health disparities: tobacco industry targeting of inner cities. J Health Care Poor Underserved. 2007 Nov;18(4 Suppl):10-38</w:t>
      </w:r>
    </w:p>
  </w:endnote>
  <w:endnote w:id="11">
    <w:p w14:paraId="72675A07" w14:textId="77777777" w:rsidR="00930198" w:rsidRPr="002B4560" w:rsidRDefault="00930198" w:rsidP="00930198">
      <w:pPr>
        <w:pStyle w:val="EndnoteText"/>
        <w:spacing w:line="276" w:lineRule="auto"/>
        <w:rPr>
          <w:rFonts w:asciiTheme="majorHAnsi" w:hAnsiTheme="majorHAnsi" w:cstheme="majorHAnsi"/>
          <w:u w:val="single"/>
        </w:rPr>
      </w:pPr>
      <w:r w:rsidRPr="002B4560">
        <w:rPr>
          <w:rStyle w:val="EndnoteReference"/>
          <w:rFonts w:asciiTheme="majorHAnsi" w:hAnsiTheme="majorHAnsi" w:cstheme="majorHAnsi"/>
        </w:rPr>
        <w:endnoteRef/>
      </w:r>
      <w:r w:rsidRPr="002B4560">
        <w:rPr>
          <w:rFonts w:asciiTheme="majorHAnsi" w:hAnsiTheme="majorHAnsi" w:cstheme="majorHAnsi"/>
        </w:rPr>
        <w:t xml:space="preserve"> Stevens P, Carlson LM, Hinman JM. An analysis of tobacco industry marketing to lesbian, gay, bisexual, and transgender (LGBT) populations: strategies for mainstream tobacco control and prevention. Health Promotion Practice. 2004 Jul;5(3_suppl):129S-34S.; American Lung Association. The LGBT Community: A Priority Population for Tobacco Control: American Lung Association, </w:t>
      </w:r>
      <w:proofErr w:type="spellStart"/>
      <w:r w:rsidRPr="002B4560">
        <w:rPr>
          <w:rFonts w:asciiTheme="majorHAnsi" w:hAnsiTheme="majorHAnsi" w:cstheme="majorHAnsi"/>
        </w:rPr>
        <w:t>Smokefree</w:t>
      </w:r>
      <w:proofErr w:type="spellEnd"/>
      <w:r w:rsidRPr="002B4560">
        <w:rPr>
          <w:rFonts w:asciiTheme="majorHAnsi" w:hAnsiTheme="majorHAnsi" w:cstheme="majorHAnsi"/>
        </w:rPr>
        <w:t xml:space="preserve"> Communities Project; The DC Center for the LGBT Community. Smoking and the LGBT Community. Washington DC, 2015; Centers for Disease Control. Lesbian, gay, bisexual and transgender persons and tobacco use. Department of Health and Human Services. National Center for Chronic Disease Prevention and Health Promotion. Office of Smoking and Health, 2016. </w:t>
      </w:r>
      <w:hyperlink r:id="rId4" w:history="1">
        <w:r w:rsidRPr="002B4560">
          <w:rPr>
            <w:rStyle w:val="Hyperlink"/>
            <w:rFonts w:asciiTheme="majorHAnsi" w:hAnsiTheme="majorHAnsi" w:cstheme="majorHAnsi"/>
            <w:color w:val="auto"/>
          </w:rPr>
          <w:t>http://www.cdc.gov/tobacco/disparities/lgbt/index.htm</w:t>
        </w:r>
      </w:hyperlink>
    </w:p>
  </w:endnote>
  <w:endnote w:id="12">
    <w:p w14:paraId="01F5B190" w14:textId="77777777" w:rsidR="00930198" w:rsidRPr="002B4560" w:rsidRDefault="00930198" w:rsidP="00930198">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Alpert HR, Koh HK, Connolly GN. After the Master Settlement Agreement: targeting and exposure of youth to magazine tobacco advertising. Health Affairs. 2008 Nov;27(6</w:t>
      </w:r>
      <w:proofErr w:type="gramStart"/>
      <w:r w:rsidRPr="002B4560">
        <w:rPr>
          <w:rFonts w:asciiTheme="majorHAnsi" w:hAnsiTheme="majorHAnsi" w:cstheme="majorHAnsi"/>
        </w:rPr>
        <w:t>):w</w:t>
      </w:r>
      <w:proofErr w:type="gramEnd"/>
      <w:r w:rsidRPr="002B4560">
        <w:rPr>
          <w:rFonts w:asciiTheme="majorHAnsi" w:hAnsiTheme="majorHAnsi" w:cstheme="majorHAnsi"/>
        </w:rPr>
        <w:t xml:space="preserve">503-12.;Landrine H, </w:t>
      </w:r>
      <w:proofErr w:type="spellStart"/>
      <w:r w:rsidRPr="002B4560">
        <w:rPr>
          <w:rFonts w:asciiTheme="majorHAnsi" w:hAnsiTheme="majorHAnsi" w:cstheme="majorHAnsi"/>
        </w:rPr>
        <w:t>Klonoff</w:t>
      </w:r>
      <w:proofErr w:type="spellEnd"/>
      <w:r w:rsidRPr="002B4560">
        <w:rPr>
          <w:rFonts w:asciiTheme="majorHAnsi" w:hAnsiTheme="majorHAnsi" w:cstheme="majorHAnsi"/>
        </w:rPr>
        <w:t xml:space="preserve"> EA, Fernandez S, Hickman N, Kashima K, Parekh B, Thomas K, </w:t>
      </w:r>
      <w:proofErr w:type="spellStart"/>
      <w:r w:rsidRPr="002B4560">
        <w:rPr>
          <w:rFonts w:asciiTheme="majorHAnsi" w:hAnsiTheme="majorHAnsi" w:cstheme="majorHAnsi"/>
        </w:rPr>
        <w:t>Brouillard</w:t>
      </w:r>
      <w:proofErr w:type="spellEnd"/>
      <w:r w:rsidRPr="002B4560">
        <w:rPr>
          <w:rFonts w:asciiTheme="majorHAnsi" w:hAnsiTheme="majorHAnsi" w:cstheme="majorHAnsi"/>
        </w:rPr>
        <w:t xml:space="preserve"> CR, </w:t>
      </w:r>
      <w:proofErr w:type="spellStart"/>
      <w:r w:rsidRPr="002B4560">
        <w:rPr>
          <w:rFonts w:asciiTheme="majorHAnsi" w:hAnsiTheme="majorHAnsi" w:cstheme="majorHAnsi"/>
        </w:rPr>
        <w:t>Zolezzi</w:t>
      </w:r>
      <w:proofErr w:type="spellEnd"/>
      <w:r w:rsidRPr="002B4560">
        <w:rPr>
          <w:rFonts w:asciiTheme="majorHAnsi" w:hAnsiTheme="majorHAnsi" w:cstheme="majorHAnsi"/>
        </w:rPr>
        <w:t xml:space="preserve"> M, Jensen JA, </w:t>
      </w:r>
      <w:proofErr w:type="spellStart"/>
      <w:r w:rsidRPr="002B4560">
        <w:rPr>
          <w:rFonts w:asciiTheme="majorHAnsi" w:hAnsiTheme="majorHAnsi" w:cstheme="majorHAnsi"/>
        </w:rPr>
        <w:t>Weslowski</w:t>
      </w:r>
      <w:proofErr w:type="spellEnd"/>
      <w:r w:rsidRPr="002B4560">
        <w:rPr>
          <w:rFonts w:asciiTheme="majorHAnsi" w:hAnsiTheme="majorHAnsi" w:cstheme="majorHAnsi"/>
        </w:rPr>
        <w:t xml:space="preserve"> Z. Cigarette advertising in Black, Latino, and White magazines, 1998-2002: an exploratory investigation. Ethnicity &amp; Disease. 2005;15(1):63-7.; U.S. Department of Health and Human Services. Tobacco Use Among U.S. Racial/Ethnic Minority Groups—African Americans, American Indians and Alaska Natives, Asian Americans and Pacific Islanders, and Hispanics: A Report of the Surgeon General. Atlanta: U.S. Department of Health and Human Services, Centers for Disease Control and Prevention, Office on Smoking and Health, 1998</w:t>
      </w:r>
    </w:p>
  </w:endnote>
  <w:endnote w:id="13">
    <w:p w14:paraId="49A98DE5" w14:textId="77777777" w:rsidR="00930198" w:rsidRPr="002B4560" w:rsidRDefault="00930198" w:rsidP="00930198">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Gardiner PS. The African Americanization of menthol cigarette use in the United States. Nicotine </w:t>
      </w:r>
      <w:proofErr w:type="spellStart"/>
      <w:r w:rsidRPr="002B4560">
        <w:rPr>
          <w:rFonts w:asciiTheme="majorHAnsi" w:hAnsiTheme="majorHAnsi" w:cstheme="majorHAnsi"/>
        </w:rPr>
        <w:t>Tob</w:t>
      </w:r>
      <w:proofErr w:type="spellEnd"/>
      <w:r w:rsidRPr="002B4560">
        <w:rPr>
          <w:rFonts w:asciiTheme="majorHAnsi" w:hAnsiTheme="majorHAnsi" w:cstheme="majorHAnsi"/>
        </w:rPr>
        <w:t xml:space="preserve"> Res. 2004 Feb;6 Suppl </w:t>
      </w:r>
      <w:proofErr w:type="gramStart"/>
      <w:r w:rsidRPr="002B4560">
        <w:rPr>
          <w:rFonts w:asciiTheme="majorHAnsi" w:hAnsiTheme="majorHAnsi" w:cstheme="majorHAnsi"/>
        </w:rPr>
        <w:t>1:S</w:t>
      </w:r>
      <w:proofErr w:type="gramEnd"/>
      <w:r w:rsidRPr="002B4560">
        <w:rPr>
          <w:rFonts w:asciiTheme="majorHAnsi" w:hAnsiTheme="majorHAnsi" w:cstheme="majorHAnsi"/>
        </w:rPr>
        <w:t>55-65.</w:t>
      </w:r>
    </w:p>
  </w:endnote>
  <w:endnote w:id="14">
    <w:p w14:paraId="7A872A9B" w14:textId="15CB94E8" w:rsidR="005774A5" w:rsidRPr="002B4560" w:rsidRDefault="005774A5">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rPr>
        <w:t>Kendzor</w:t>
      </w:r>
      <w:proofErr w:type="spellEnd"/>
      <w:r w:rsidRPr="002B4560">
        <w:rPr>
          <w:rFonts w:asciiTheme="majorHAnsi" w:hAnsiTheme="majorHAnsi" w:cstheme="majorHAnsi"/>
        </w:rPr>
        <w:t xml:space="preserve"> DE, </w:t>
      </w:r>
      <w:proofErr w:type="spellStart"/>
      <w:r w:rsidRPr="002B4560">
        <w:rPr>
          <w:rFonts w:asciiTheme="majorHAnsi" w:hAnsiTheme="majorHAnsi" w:cstheme="majorHAnsi"/>
        </w:rPr>
        <w:t>Businelle</w:t>
      </w:r>
      <w:proofErr w:type="spellEnd"/>
      <w:r w:rsidRPr="002B4560">
        <w:rPr>
          <w:rFonts w:asciiTheme="majorHAnsi" w:hAnsiTheme="majorHAnsi" w:cstheme="majorHAnsi"/>
        </w:rPr>
        <w:t xml:space="preserve"> MS, Costello TJ, Castro Y, Reitzel LR, </w:t>
      </w:r>
      <w:proofErr w:type="spellStart"/>
      <w:r w:rsidRPr="002B4560">
        <w:rPr>
          <w:rFonts w:asciiTheme="majorHAnsi" w:hAnsiTheme="majorHAnsi" w:cstheme="majorHAnsi"/>
        </w:rPr>
        <w:t>Cofta-Woerpel</w:t>
      </w:r>
      <w:proofErr w:type="spellEnd"/>
      <w:r w:rsidRPr="002B4560">
        <w:rPr>
          <w:rFonts w:asciiTheme="majorHAnsi" w:hAnsiTheme="majorHAnsi" w:cstheme="majorHAnsi"/>
        </w:rPr>
        <w:t xml:space="preserve"> LM, Li Y, </w:t>
      </w:r>
      <w:proofErr w:type="spellStart"/>
      <w:r w:rsidRPr="002B4560">
        <w:rPr>
          <w:rFonts w:asciiTheme="majorHAnsi" w:hAnsiTheme="majorHAnsi" w:cstheme="majorHAnsi"/>
        </w:rPr>
        <w:t>Mazas</w:t>
      </w:r>
      <w:proofErr w:type="spellEnd"/>
      <w:r w:rsidRPr="002B4560">
        <w:rPr>
          <w:rFonts w:asciiTheme="majorHAnsi" w:hAnsiTheme="majorHAnsi" w:cstheme="majorHAnsi"/>
        </w:rPr>
        <w:t xml:space="preserve"> CA, Vidrine JI, </w:t>
      </w:r>
      <w:proofErr w:type="spellStart"/>
      <w:r w:rsidRPr="002B4560">
        <w:rPr>
          <w:rFonts w:asciiTheme="majorHAnsi" w:hAnsiTheme="majorHAnsi" w:cstheme="majorHAnsi"/>
        </w:rPr>
        <w:t>Cinciripini</w:t>
      </w:r>
      <w:proofErr w:type="spellEnd"/>
      <w:r w:rsidRPr="002B4560">
        <w:rPr>
          <w:rFonts w:asciiTheme="majorHAnsi" w:hAnsiTheme="majorHAnsi" w:cstheme="majorHAnsi"/>
        </w:rPr>
        <w:t xml:space="preserve"> PM, </w:t>
      </w:r>
      <w:proofErr w:type="spellStart"/>
      <w:r w:rsidRPr="002B4560">
        <w:rPr>
          <w:rFonts w:asciiTheme="majorHAnsi" w:hAnsiTheme="majorHAnsi" w:cstheme="majorHAnsi"/>
        </w:rPr>
        <w:t>Greisinger</w:t>
      </w:r>
      <w:proofErr w:type="spellEnd"/>
      <w:r w:rsidRPr="002B4560">
        <w:rPr>
          <w:rFonts w:asciiTheme="majorHAnsi" w:hAnsiTheme="majorHAnsi" w:cstheme="majorHAnsi"/>
        </w:rPr>
        <w:t xml:space="preserve"> AJ. Financial strain and smoking cessation among racially/ethnically diverse smokers. American Journal of Public Health. 2010 Apr;100(4):702-6.</w:t>
      </w:r>
    </w:p>
  </w:endnote>
  <w:endnote w:id="15">
    <w:p w14:paraId="3AC28562" w14:textId="77777777" w:rsidR="000B7811" w:rsidRPr="002B4560" w:rsidRDefault="000B7811" w:rsidP="000B7811">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Massachusetts Tobacco Cessation and Prevention Program. Tobacco Pricing Survey Report FY2016. Prepared by JSI Research and Training </w:t>
      </w:r>
      <w:proofErr w:type="spellStart"/>
      <w:r w:rsidRPr="002B4560">
        <w:rPr>
          <w:rFonts w:asciiTheme="majorHAnsi" w:hAnsiTheme="majorHAnsi" w:cstheme="majorHAnsi"/>
        </w:rPr>
        <w:t>Insitute</w:t>
      </w:r>
      <w:proofErr w:type="spellEnd"/>
      <w:r w:rsidRPr="002B4560">
        <w:rPr>
          <w:rFonts w:asciiTheme="majorHAnsi" w:hAnsiTheme="majorHAnsi" w:cstheme="majorHAnsi"/>
        </w:rPr>
        <w:t>, Inc. December 2016.</w:t>
      </w:r>
    </w:p>
  </w:endnote>
  <w:endnote w:id="16">
    <w:p w14:paraId="3B9AE532" w14:textId="77777777" w:rsidR="00BC4C0D" w:rsidRPr="002B4560" w:rsidRDefault="00BC4C0D" w:rsidP="00BC4C0D">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Seidenberg AB, </w:t>
      </w:r>
      <w:proofErr w:type="spellStart"/>
      <w:r w:rsidRPr="002B4560">
        <w:rPr>
          <w:rFonts w:asciiTheme="majorHAnsi" w:hAnsiTheme="majorHAnsi" w:cstheme="majorHAnsi"/>
        </w:rPr>
        <w:t>Caughey</w:t>
      </w:r>
      <w:proofErr w:type="spellEnd"/>
      <w:r w:rsidRPr="002B4560">
        <w:rPr>
          <w:rFonts w:asciiTheme="majorHAnsi" w:hAnsiTheme="majorHAnsi" w:cstheme="majorHAnsi"/>
        </w:rPr>
        <w:t xml:space="preserve"> RW, Rees VW, Connolly GN. Storefront cigarette advertising differs by community demographic profile. American Journal of Health Promotion. 2010 Jul;24(6</w:t>
      </w:r>
      <w:proofErr w:type="gramStart"/>
      <w:r w:rsidRPr="002B4560">
        <w:rPr>
          <w:rFonts w:asciiTheme="majorHAnsi" w:hAnsiTheme="majorHAnsi" w:cstheme="majorHAnsi"/>
        </w:rPr>
        <w:t>):e</w:t>
      </w:r>
      <w:proofErr w:type="gramEnd"/>
      <w:r w:rsidRPr="002B4560">
        <w:rPr>
          <w:rFonts w:asciiTheme="majorHAnsi" w:hAnsiTheme="majorHAnsi" w:cstheme="majorHAnsi"/>
        </w:rPr>
        <w:t>26-31.</w:t>
      </w:r>
    </w:p>
  </w:endnote>
  <w:endnote w:id="17">
    <w:p w14:paraId="405792BE" w14:textId="77777777" w:rsidR="00BC4C0D" w:rsidRPr="002B4560" w:rsidRDefault="00BC4C0D" w:rsidP="00BC4C0D">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Laws MB, Whitman J, Bowser DM, </w:t>
      </w:r>
      <w:proofErr w:type="spellStart"/>
      <w:r w:rsidRPr="002B4560">
        <w:rPr>
          <w:rFonts w:asciiTheme="majorHAnsi" w:hAnsiTheme="majorHAnsi" w:cstheme="majorHAnsi"/>
        </w:rPr>
        <w:t>Krech</w:t>
      </w:r>
      <w:proofErr w:type="spellEnd"/>
      <w:r w:rsidRPr="002B4560">
        <w:rPr>
          <w:rFonts w:asciiTheme="majorHAnsi" w:hAnsiTheme="majorHAnsi" w:cstheme="majorHAnsi"/>
        </w:rPr>
        <w:t xml:space="preserve"> L. Tobacco availability and point of sale marketing in demographically contrasting districts of Massachusetts. Tobacco Control. 2002 Jun 1;11(suppl 2</w:t>
      </w:r>
      <w:proofErr w:type="gramStart"/>
      <w:r w:rsidRPr="002B4560">
        <w:rPr>
          <w:rFonts w:asciiTheme="majorHAnsi" w:hAnsiTheme="majorHAnsi" w:cstheme="majorHAnsi"/>
        </w:rPr>
        <w:t>):ii</w:t>
      </w:r>
      <w:proofErr w:type="gramEnd"/>
      <w:r w:rsidRPr="002B4560">
        <w:rPr>
          <w:rFonts w:asciiTheme="majorHAnsi" w:hAnsiTheme="majorHAnsi" w:cstheme="majorHAnsi"/>
        </w:rPr>
        <w:t>71-3.</w:t>
      </w:r>
    </w:p>
  </w:endnote>
  <w:endnote w:id="18">
    <w:p w14:paraId="7AA56C38" w14:textId="77777777" w:rsidR="00BC4C0D" w:rsidRPr="002B4560" w:rsidRDefault="00BC4C0D" w:rsidP="00BC4C0D">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Kephart L, Song G, Henley P, </w:t>
      </w:r>
      <w:proofErr w:type="spellStart"/>
      <w:r w:rsidRPr="002B4560">
        <w:rPr>
          <w:rFonts w:asciiTheme="majorHAnsi" w:hAnsiTheme="majorHAnsi" w:cstheme="majorHAnsi"/>
        </w:rPr>
        <w:t>Ursprung</w:t>
      </w:r>
      <w:proofErr w:type="spellEnd"/>
      <w:r w:rsidRPr="002B4560">
        <w:rPr>
          <w:rFonts w:asciiTheme="majorHAnsi" w:hAnsiTheme="majorHAnsi" w:cstheme="majorHAnsi"/>
        </w:rPr>
        <w:t xml:space="preserve"> WWS. The association between neighborhood racial composition and menthol cigarette pricing in Boston, MA. Health Place. 2019 </w:t>
      </w:r>
      <w:proofErr w:type="gramStart"/>
      <w:r w:rsidRPr="002B4560">
        <w:rPr>
          <w:rFonts w:asciiTheme="majorHAnsi" w:hAnsiTheme="majorHAnsi" w:cstheme="majorHAnsi"/>
        </w:rPr>
        <w:t>Jul;58:102144</w:t>
      </w:r>
      <w:proofErr w:type="gramEnd"/>
      <w:r w:rsidRPr="002B4560">
        <w:rPr>
          <w:rFonts w:asciiTheme="majorHAnsi" w:hAnsiTheme="majorHAnsi" w:cstheme="majorHAnsi"/>
        </w:rPr>
        <w:t>.</w:t>
      </w:r>
    </w:p>
  </w:endnote>
  <w:endnote w:id="19">
    <w:p w14:paraId="270F073C" w14:textId="77777777" w:rsidR="00FE6FD3" w:rsidRPr="002B4560" w:rsidRDefault="00FE6FD3" w:rsidP="00FE6FD3">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rPr>
        <w:t>Kendzor</w:t>
      </w:r>
      <w:proofErr w:type="spellEnd"/>
      <w:r w:rsidRPr="002B4560">
        <w:rPr>
          <w:rFonts w:asciiTheme="majorHAnsi" w:hAnsiTheme="majorHAnsi" w:cstheme="majorHAnsi"/>
        </w:rPr>
        <w:t xml:space="preserve"> DE, </w:t>
      </w:r>
      <w:proofErr w:type="spellStart"/>
      <w:r w:rsidRPr="002B4560">
        <w:rPr>
          <w:rFonts w:asciiTheme="majorHAnsi" w:hAnsiTheme="majorHAnsi" w:cstheme="majorHAnsi"/>
        </w:rPr>
        <w:t>Businelle</w:t>
      </w:r>
      <w:proofErr w:type="spellEnd"/>
      <w:r w:rsidRPr="002B4560">
        <w:rPr>
          <w:rFonts w:asciiTheme="majorHAnsi" w:hAnsiTheme="majorHAnsi" w:cstheme="majorHAnsi"/>
        </w:rPr>
        <w:t xml:space="preserve"> MS, Costello TJ, Castro Y, Reitzel LR, </w:t>
      </w:r>
      <w:proofErr w:type="spellStart"/>
      <w:r w:rsidRPr="002B4560">
        <w:rPr>
          <w:rFonts w:asciiTheme="majorHAnsi" w:hAnsiTheme="majorHAnsi" w:cstheme="majorHAnsi"/>
        </w:rPr>
        <w:t>Cofta-Woerpel</w:t>
      </w:r>
      <w:proofErr w:type="spellEnd"/>
      <w:r w:rsidRPr="002B4560">
        <w:rPr>
          <w:rFonts w:asciiTheme="majorHAnsi" w:hAnsiTheme="majorHAnsi" w:cstheme="majorHAnsi"/>
        </w:rPr>
        <w:t xml:space="preserve"> LM, Li Y, </w:t>
      </w:r>
      <w:proofErr w:type="spellStart"/>
      <w:r w:rsidRPr="002B4560">
        <w:rPr>
          <w:rFonts w:asciiTheme="majorHAnsi" w:hAnsiTheme="majorHAnsi" w:cstheme="majorHAnsi"/>
        </w:rPr>
        <w:t>Mazas</w:t>
      </w:r>
      <w:proofErr w:type="spellEnd"/>
      <w:r w:rsidRPr="002B4560">
        <w:rPr>
          <w:rFonts w:asciiTheme="majorHAnsi" w:hAnsiTheme="majorHAnsi" w:cstheme="majorHAnsi"/>
        </w:rPr>
        <w:t xml:space="preserve"> CA, Vidrine JI, </w:t>
      </w:r>
      <w:proofErr w:type="spellStart"/>
      <w:r w:rsidRPr="002B4560">
        <w:rPr>
          <w:rFonts w:asciiTheme="majorHAnsi" w:hAnsiTheme="majorHAnsi" w:cstheme="majorHAnsi"/>
        </w:rPr>
        <w:t>Cinciripini</w:t>
      </w:r>
      <w:proofErr w:type="spellEnd"/>
      <w:r w:rsidRPr="002B4560">
        <w:rPr>
          <w:rFonts w:asciiTheme="majorHAnsi" w:hAnsiTheme="majorHAnsi" w:cstheme="majorHAnsi"/>
        </w:rPr>
        <w:t xml:space="preserve"> PM, </w:t>
      </w:r>
      <w:proofErr w:type="spellStart"/>
      <w:r w:rsidRPr="002B4560">
        <w:rPr>
          <w:rFonts w:asciiTheme="majorHAnsi" w:hAnsiTheme="majorHAnsi" w:cstheme="majorHAnsi"/>
        </w:rPr>
        <w:t>Greisinger</w:t>
      </w:r>
      <w:proofErr w:type="spellEnd"/>
      <w:r w:rsidRPr="002B4560">
        <w:rPr>
          <w:rFonts w:asciiTheme="majorHAnsi" w:hAnsiTheme="majorHAnsi" w:cstheme="majorHAnsi"/>
        </w:rPr>
        <w:t xml:space="preserve"> AJ. Financial strain and smoking cessation among racially/ethnically diverse smokers. American Journal of Public Health. 2010 Apr;100(4):702-6.</w:t>
      </w:r>
    </w:p>
  </w:endnote>
  <w:endnote w:id="20">
    <w:p w14:paraId="3F729C99" w14:textId="77777777" w:rsidR="00873E49" w:rsidRPr="002B4560" w:rsidRDefault="00873E49" w:rsidP="00873E49">
      <w:pPr>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Loomis BR, Kim AE, Goetz JL, </w:t>
      </w:r>
      <w:proofErr w:type="spellStart"/>
      <w:r w:rsidRPr="002B4560">
        <w:rPr>
          <w:rFonts w:asciiTheme="majorHAnsi" w:hAnsiTheme="majorHAnsi" w:cstheme="majorHAnsi"/>
        </w:rPr>
        <w:t>Juster</w:t>
      </w:r>
      <w:proofErr w:type="spellEnd"/>
      <w:r w:rsidRPr="002B4560">
        <w:rPr>
          <w:rFonts w:asciiTheme="majorHAnsi" w:hAnsiTheme="majorHAnsi" w:cstheme="majorHAnsi"/>
        </w:rPr>
        <w:t xml:space="preserve"> HR. Density of tobacco retailers and its association with sociodemographic characteristics of communities across New York. Public health. 2013 Apr 1;127(4):333-8.</w:t>
      </w:r>
    </w:p>
  </w:endnote>
  <w:endnote w:id="21">
    <w:p w14:paraId="2AEE663C" w14:textId="77777777" w:rsidR="00873E49" w:rsidRPr="002B4560" w:rsidRDefault="00873E49" w:rsidP="00873E49">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Laws MB, Whitman J, Bowser DM, </w:t>
      </w:r>
      <w:proofErr w:type="spellStart"/>
      <w:r w:rsidRPr="002B4560">
        <w:rPr>
          <w:rFonts w:asciiTheme="majorHAnsi" w:hAnsiTheme="majorHAnsi" w:cstheme="majorHAnsi"/>
        </w:rPr>
        <w:t>Krech</w:t>
      </w:r>
      <w:proofErr w:type="spellEnd"/>
      <w:r w:rsidRPr="002B4560">
        <w:rPr>
          <w:rFonts w:asciiTheme="majorHAnsi" w:hAnsiTheme="majorHAnsi" w:cstheme="majorHAnsi"/>
        </w:rPr>
        <w:t xml:space="preserve"> L. Tobacco availability and point of sale marketing in demographically contrasting districts of Massachusetts. Tobacco Control. 2002 Jun 1;11(suppl 2</w:t>
      </w:r>
      <w:proofErr w:type="gramStart"/>
      <w:r w:rsidRPr="002B4560">
        <w:rPr>
          <w:rFonts w:asciiTheme="majorHAnsi" w:hAnsiTheme="majorHAnsi" w:cstheme="majorHAnsi"/>
        </w:rPr>
        <w:t>):ii</w:t>
      </w:r>
      <w:proofErr w:type="gramEnd"/>
      <w:r w:rsidRPr="002B4560">
        <w:rPr>
          <w:rFonts w:asciiTheme="majorHAnsi" w:hAnsiTheme="majorHAnsi" w:cstheme="majorHAnsi"/>
        </w:rPr>
        <w:t>71-3.</w:t>
      </w:r>
    </w:p>
  </w:endnote>
  <w:endnote w:id="22">
    <w:p w14:paraId="16D4DEAC" w14:textId="77777777" w:rsidR="00873E49" w:rsidRPr="002B4560" w:rsidRDefault="00873E49" w:rsidP="00873E49">
      <w:pPr>
        <w:pStyle w:val="EndnoteText"/>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Fagan P, </w:t>
      </w:r>
      <w:proofErr w:type="spellStart"/>
      <w:r w:rsidRPr="002B4560">
        <w:rPr>
          <w:rFonts w:asciiTheme="majorHAnsi" w:hAnsiTheme="majorHAnsi" w:cstheme="majorHAnsi"/>
        </w:rPr>
        <w:t>Pohkrel</w:t>
      </w:r>
      <w:proofErr w:type="spellEnd"/>
      <w:r w:rsidRPr="002B4560">
        <w:rPr>
          <w:rFonts w:asciiTheme="majorHAnsi" w:hAnsiTheme="majorHAnsi" w:cstheme="majorHAnsi"/>
        </w:rPr>
        <w:t xml:space="preserve"> P, Herzog T, Pagano I, Vallone D, Trinidad DR, Sakuma KL, Sterling K, Fryer CS, </w:t>
      </w:r>
      <w:proofErr w:type="spellStart"/>
      <w:r w:rsidRPr="002B4560">
        <w:rPr>
          <w:rFonts w:asciiTheme="majorHAnsi" w:hAnsiTheme="majorHAnsi" w:cstheme="majorHAnsi"/>
        </w:rPr>
        <w:t>Moolchan</w:t>
      </w:r>
      <w:proofErr w:type="spellEnd"/>
      <w:r w:rsidRPr="002B4560">
        <w:rPr>
          <w:rFonts w:asciiTheme="majorHAnsi" w:hAnsiTheme="majorHAnsi" w:cstheme="majorHAnsi"/>
        </w:rPr>
        <w:t xml:space="preserve"> E. Comparisons of three nicotine dependence scales in a multiethnic sample of young adult menthol and non-menthol smokers. Drug and Alcohol Dependence. 2015 Apr </w:t>
      </w:r>
      <w:proofErr w:type="gramStart"/>
      <w:r w:rsidRPr="002B4560">
        <w:rPr>
          <w:rFonts w:asciiTheme="majorHAnsi" w:hAnsiTheme="majorHAnsi" w:cstheme="majorHAnsi"/>
        </w:rPr>
        <w:t>1;149:203</w:t>
      </w:r>
      <w:proofErr w:type="gramEnd"/>
      <w:r w:rsidRPr="002B4560">
        <w:rPr>
          <w:rFonts w:asciiTheme="majorHAnsi" w:hAnsiTheme="majorHAnsi" w:cstheme="majorHAnsi"/>
        </w:rPr>
        <w:t>-211.</w:t>
      </w:r>
    </w:p>
  </w:endnote>
  <w:endnote w:id="23">
    <w:p w14:paraId="113735E4" w14:textId="77777777" w:rsidR="00873E49" w:rsidRPr="002B4560" w:rsidRDefault="00873E49" w:rsidP="00873E49">
      <w:pPr>
        <w:shd w:val="clear" w:color="auto" w:fill="FFFFFF"/>
        <w:spacing w:line="276" w:lineRule="auto"/>
        <w:textAlignment w:val="baseline"/>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Snyder K, Vick JH, King BA. Smoke-free multiunit housing: a review of the scientific literature. Tobacco Control. 2016 Jan 1;25(1):9-20.</w:t>
      </w:r>
    </w:p>
  </w:endnote>
  <w:endnote w:id="24">
    <w:p w14:paraId="56AE9035" w14:textId="77777777" w:rsidR="00873E49" w:rsidRPr="002B4560" w:rsidRDefault="00873E49" w:rsidP="00873E49">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shd w:val="clear" w:color="auto" w:fill="FFFFFF"/>
        </w:rPr>
        <w:t xml:space="preserve">Twyman L, </w:t>
      </w:r>
      <w:proofErr w:type="spellStart"/>
      <w:r w:rsidRPr="002B4560">
        <w:rPr>
          <w:rFonts w:asciiTheme="majorHAnsi" w:hAnsiTheme="majorHAnsi" w:cstheme="majorHAnsi"/>
          <w:shd w:val="clear" w:color="auto" w:fill="FFFFFF"/>
        </w:rPr>
        <w:t>Bonevski</w:t>
      </w:r>
      <w:proofErr w:type="spellEnd"/>
      <w:r w:rsidRPr="002B4560">
        <w:rPr>
          <w:rFonts w:asciiTheme="majorHAnsi" w:hAnsiTheme="majorHAnsi" w:cstheme="majorHAnsi"/>
          <w:shd w:val="clear" w:color="auto" w:fill="FFFFFF"/>
        </w:rPr>
        <w:t xml:space="preserve"> B, Paul C, Bryant J. Perceived barriers to smoking cessation in selected vulnerable groups: a systematic review of the qualitative and quantitative literature. BMJ open. 2014 Dec 1;4(12</w:t>
      </w:r>
      <w:proofErr w:type="gramStart"/>
      <w:r w:rsidRPr="002B4560">
        <w:rPr>
          <w:rFonts w:asciiTheme="majorHAnsi" w:hAnsiTheme="majorHAnsi" w:cstheme="majorHAnsi"/>
          <w:shd w:val="clear" w:color="auto" w:fill="FFFFFF"/>
        </w:rPr>
        <w:t>):e</w:t>
      </w:r>
      <w:proofErr w:type="gramEnd"/>
      <w:r w:rsidRPr="002B4560">
        <w:rPr>
          <w:rFonts w:asciiTheme="majorHAnsi" w:hAnsiTheme="majorHAnsi" w:cstheme="majorHAnsi"/>
          <w:shd w:val="clear" w:color="auto" w:fill="FFFFFF"/>
        </w:rPr>
        <w:t>006414.</w:t>
      </w:r>
    </w:p>
  </w:endnote>
  <w:endnote w:id="25">
    <w:p w14:paraId="01DF1FD1" w14:textId="77777777" w:rsidR="00873E49" w:rsidRPr="002B4560" w:rsidRDefault="00873E49" w:rsidP="00873E49">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Park ER, </w:t>
      </w:r>
      <w:proofErr w:type="spellStart"/>
      <w:r w:rsidRPr="002B4560">
        <w:rPr>
          <w:rFonts w:asciiTheme="majorHAnsi" w:hAnsiTheme="majorHAnsi" w:cstheme="majorHAnsi"/>
        </w:rPr>
        <w:t>Japuntich</w:t>
      </w:r>
      <w:proofErr w:type="spellEnd"/>
      <w:r w:rsidRPr="002B4560">
        <w:rPr>
          <w:rFonts w:asciiTheme="majorHAnsi" w:hAnsiTheme="majorHAnsi" w:cstheme="majorHAnsi"/>
        </w:rPr>
        <w:t xml:space="preserve"> SJ, Traeger L, Cannon S, </w:t>
      </w:r>
      <w:proofErr w:type="spellStart"/>
      <w:r w:rsidRPr="002B4560">
        <w:rPr>
          <w:rFonts w:asciiTheme="majorHAnsi" w:hAnsiTheme="majorHAnsi" w:cstheme="majorHAnsi"/>
        </w:rPr>
        <w:t>Pajolek</w:t>
      </w:r>
      <w:proofErr w:type="spellEnd"/>
      <w:r w:rsidRPr="002B4560">
        <w:rPr>
          <w:rFonts w:asciiTheme="majorHAnsi" w:hAnsiTheme="majorHAnsi" w:cstheme="majorHAnsi"/>
        </w:rPr>
        <w:t xml:space="preserve"> H. Disparities between blacks and whites in tobacco and lung cancer treatment. The Oncologist. 2011 Oct 1;16(10):1428-34.</w:t>
      </w:r>
    </w:p>
  </w:endnote>
  <w:endnote w:id="26">
    <w:p w14:paraId="1E71BC60" w14:textId="77777777" w:rsidR="00291F8D" w:rsidRPr="002B4560" w:rsidRDefault="00291F8D" w:rsidP="00291F8D">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shd w:val="clear" w:color="auto" w:fill="FFFFFF"/>
        </w:rPr>
        <w:t xml:space="preserve">Twyman L, </w:t>
      </w:r>
      <w:proofErr w:type="spellStart"/>
      <w:r w:rsidRPr="002B4560">
        <w:rPr>
          <w:rFonts w:asciiTheme="majorHAnsi" w:hAnsiTheme="majorHAnsi" w:cstheme="majorHAnsi"/>
          <w:shd w:val="clear" w:color="auto" w:fill="FFFFFF"/>
        </w:rPr>
        <w:t>Bonevski</w:t>
      </w:r>
      <w:proofErr w:type="spellEnd"/>
      <w:r w:rsidRPr="002B4560">
        <w:rPr>
          <w:rFonts w:asciiTheme="majorHAnsi" w:hAnsiTheme="majorHAnsi" w:cstheme="majorHAnsi"/>
          <w:shd w:val="clear" w:color="auto" w:fill="FFFFFF"/>
        </w:rPr>
        <w:t xml:space="preserve"> B, Paul C, Bryant J. Perceived barriers to smoking cessation in selected vulnerable groups: a systematic review of the qualitative and quantitative literature. BMJ open. 2014 Dec 1;4(12</w:t>
      </w:r>
      <w:proofErr w:type="gramStart"/>
      <w:r w:rsidRPr="002B4560">
        <w:rPr>
          <w:rFonts w:asciiTheme="majorHAnsi" w:hAnsiTheme="majorHAnsi" w:cstheme="majorHAnsi"/>
          <w:shd w:val="clear" w:color="auto" w:fill="FFFFFF"/>
        </w:rPr>
        <w:t>):e</w:t>
      </w:r>
      <w:proofErr w:type="gramEnd"/>
      <w:r w:rsidRPr="002B4560">
        <w:rPr>
          <w:rFonts w:asciiTheme="majorHAnsi" w:hAnsiTheme="majorHAnsi" w:cstheme="majorHAnsi"/>
          <w:shd w:val="clear" w:color="auto" w:fill="FFFFFF"/>
        </w:rPr>
        <w:t>006414.</w:t>
      </w:r>
    </w:p>
  </w:endnote>
  <w:endnote w:id="27">
    <w:p w14:paraId="32ED0801" w14:textId="77777777" w:rsidR="004C7118" w:rsidRPr="002B4560" w:rsidRDefault="004C7118" w:rsidP="004C7118">
      <w:pPr>
        <w:pStyle w:val="EndnoteText"/>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Trinidad DR, Pérez-Stable EJ, White MM, Emery SL, Messer K. A nationwide analysis of US racial/ethnic disparities in smoking behaviors, smoking cessation, and cessation-related factors. American Journal of Public Health. 2011 Apr;101(4):699-706; Babb S, </w:t>
      </w:r>
      <w:proofErr w:type="spellStart"/>
      <w:r w:rsidRPr="002B4560">
        <w:rPr>
          <w:rFonts w:asciiTheme="majorHAnsi" w:hAnsiTheme="majorHAnsi" w:cstheme="majorHAnsi"/>
        </w:rPr>
        <w:t>Malarcher</w:t>
      </w:r>
      <w:proofErr w:type="spellEnd"/>
      <w:r w:rsidRPr="002B4560">
        <w:rPr>
          <w:rFonts w:asciiTheme="majorHAnsi" w:hAnsiTheme="majorHAnsi" w:cstheme="majorHAnsi"/>
        </w:rPr>
        <w:t xml:space="preserve"> A, Schauer G, </w:t>
      </w:r>
      <w:proofErr w:type="spellStart"/>
      <w:r w:rsidRPr="002B4560">
        <w:rPr>
          <w:rFonts w:asciiTheme="majorHAnsi" w:hAnsiTheme="majorHAnsi" w:cstheme="majorHAnsi"/>
        </w:rPr>
        <w:t>Asman</w:t>
      </w:r>
      <w:proofErr w:type="spellEnd"/>
      <w:r w:rsidRPr="002B4560">
        <w:rPr>
          <w:rFonts w:asciiTheme="majorHAnsi" w:hAnsiTheme="majorHAnsi" w:cstheme="majorHAnsi"/>
        </w:rPr>
        <w:t xml:space="preserve"> K, Jamal A. Quitting Smoking Among Adults — United States, 2000–2015. MMWR </w:t>
      </w:r>
      <w:proofErr w:type="spellStart"/>
      <w:r w:rsidRPr="002B4560">
        <w:rPr>
          <w:rFonts w:asciiTheme="majorHAnsi" w:hAnsiTheme="majorHAnsi" w:cstheme="majorHAnsi"/>
        </w:rPr>
        <w:t>Morb</w:t>
      </w:r>
      <w:proofErr w:type="spellEnd"/>
      <w:r w:rsidRPr="002B4560">
        <w:rPr>
          <w:rFonts w:asciiTheme="majorHAnsi" w:hAnsiTheme="majorHAnsi" w:cstheme="majorHAnsi"/>
        </w:rPr>
        <w:t xml:space="preserve"> Mortal </w:t>
      </w:r>
      <w:proofErr w:type="spellStart"/>
      <w:r w:rsidRPr="002B4560">
        <w:rPr>
          <w:rFonts w:asciiTheme="majorHAnsi" w:hAnsiTheme="majorHAnsi" w:cstheme="majorHAnsi"/>
        </w:rPr>
        <w:t>Wkly</w:t>
      </w:r>
      <w:proofErr w:type="spellEnd"/>
      <w:r w:rsidRPr="002B4560">
        <w:rPr>
          <w:rFonts w:asciiTheme="majorHAnsi" w:hAnsiTheme="majorHAnsi" w:cstheme="majorHAnsi"/>
        </w:rPr>
        <w:t xml:space="preserve"> Rep </w:t>
      </w:r>
      <w:proofErr w:type="gramStart"/>
      <w:r w:rsidRPr="002B4560">
        <w:rPr>
          <w:rFonts w:asciiTheme="majorHAnsi" w:hAnsiTheme="majorHAnsi" w:cstheme="majorHAnsi"/>
        </w:rPr>
        <w:t>2017;65:1457</w:t>
      </w:r>
      <w:proofErr w:type="gramEnd"/>
      <w:r w:rsidRPr="002B4560">
        <w:rPr>
          <w:rFonts w:asciiTheme="majorHAnsi" w:hAnsiTheme="majorHAnsi" w:cstheme="majorHAnsi"/>
        </w:rPr>
        <w:t xml:space="preserve">–1464. DOI: </w:t>
      </w:r>
      <w:hyperlink r:id="rId5" w:history="1">
        <w:r w:rsidRPr="002B4560">
          <w:rPr>
            <w:rStyle w:val="Hyperlink"/>
            <w:rFonts w:asciiTheme="majorHAnsi" w:hAnsiTheme="majorHAnsi" w:cstheme="majorHAnsi"/>
          </w:rPr>
          <w:t>http://dx.doi.org/10.15585/mmwr.mm6552a1</w:t>
        </w:r>
      </w:hyperlink>
      <w:r w:rsidRPr="002B4560">
        <w:rPr>
          <w:rFonts w:asciiTheme="majorHAnsi" w:hAnsiTheme="majorHAnsi" w:cstheme="majorHAnsi"/>
        </w:rPr>
        <w:t xml:space="preserve">; Hooper MW, Rogers BG, </w:t>
      </w:r>
      <w:proofErr w:type="spellStart"/>
      <w:r w:rsidRPr="002B4560">
        <w:rPr>
          <w:rFonts w:asciiTheme="majorHAnsi" w:hAnsiTheme="majorHAnsi" w:cstheme="majorHAnsi"/>
        </w:rPr>
        <w:t>Okuyemi</w:t>
      </w:r>
      <w:proofErr w:type="spellEnd"/>
      <w:r w:rsidRPr="002B4560">
        <w:rPr>
          <w:rFonts w:asciiTheme="majorHAnsi" w:hAnsiTheme="majorHAnsi" w:cstheme="majorHAnsi"/>
        </w:rPr>
        <w:t xml:space="preserve"> K. Smoking cessation among racial/ethnic minorities, 2010–2014. Current Addiction Reports. 2015 Mar 1;2(1):24-32.</w:t>
      </w:r>
    </w:p>
  </w:endnote>
  <w:endnote w:id="28">
    <w:p w14:paraId="5D2A6B29" w14:textId="77777777" w:rsidR="00943AB1" w:rsidRPr="002B4560" w:rsidRDefault="00943AB1" w:rsidP="00943AB1">
      <w:pPr>
        <w:pStyle w:val="EndnoteText"/>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Simmons VN, </w:t>
      </w:r>
      <w:proofErr w:type="spellStart"/>
      <w:r w:rsidRPr="002B4560">
        <w:rPr>
          <w:rFonts w:asciiTheme="majorHAnsi" w:hAnsiTheme="majorHAnsi" w:cstheme="majorHAnsi"/>
        </w:rPr>
        <w:t>Piñeiro</w:t>
      </w:r>
      <w:proofErr w:type="spellEnd"/>
      <w:r w:rsidRPr="002B4560">
        <w:rPr>
          <w:rFonts w:asciiTheme="majorHAnsi" w:hAnsiTheme="majorHAnsi" w:cstheme="majorHAnsi"/>
        </w:rPr>
        <w:t xml:space="preserve"> B, Hooper MW, Gray JE, Brandon TH. Tobacco-related health disparities across the cancer care continuum. Cancer Control. 2016 Oct;23(4):434-41.</w:t>
      </w:r>
    </w:p>
  </w:endnote>
  <w:endnote w:id="29">
    <w:p w14:paraId="3F5DDDBC" w14:textId="77777777" w:rsidR="00943AB1" w:rsidRPr="002B4560" w:rsidRDefault="00943AB1" w:rsidP="00943AB1">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Williams DR, Priest N, Anderson NB. Understanding associations among race, socioeconomic status, and health: Patterns and prospects. Health Psychology. 2016 Apr;35(4):407.</w:t>
      </w:r>
    </w:p>
  </w:endnote>
  <w:endnote w:id="30">
    <w:p w14:paraId="0F1046F9" w14:textId="77777777" w:rsidR="00943AB1" w:rsidRPr="002B4560" w:rsidRDefault="00943AB1" w:rsidP="00943AB1">
      <w:pPr>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rPr>
        <w:t>Villanti</w:t>
      </w:r>
      <w:proofErr w:type="spellEnd"/>
      <w:r w:rsidRPr="002B4560">
        <w:rPr>
          <w:rFonts w:asciiTheme="majorHAnsi" w:hAnsiTheme="majorHAnsi" w:cstheme="majorHAnsi"/>
        </w:rPr>
        <w:t xml:space="preserve"> AC, Mowery PD, </w:t>
      </w:r>
      <w:proofErr w:type="spellStart"/>
      <w:r w:rsidRPr="002B4560">
        <w:rPr>
          <w:rFonts w:asciiTheme="majorHAnsi" w:hAnsiTheme="majorHAnsi" w:cstheme="majorHAnsi"/>
        </w:rPr>
        <w:t>Delnevo</w:t>
      </w:r>
      <w:proofErr w:type="spellEnd"/>
      <w:r w:rsidRPr="002B4560">
        <w:rPr>
          <w:rFonts w:asciiTheme="majorHAnsi" w:hAnsiTheme="majorHAnsi" w:cstheme="majorHAnsi"/>
        </w:rPr>
        <w:t xml:space="preserve"> CD, </w:t>
      </w:r>
      <w:proofErr w:type="spellStart"/>
      <w:r w:rsidRPr="002B4560">
        <w:rPr>
          <w:rFonts w:asciiTheme="majorHAnsi" w:hAnsiTheme="majorHAnsi" w:cstheme="majorHAnsi"/>
        </w:rPr>
        <w:t>Niaura</w:t>
      </w:r>
      <w:proofErr w:type="spellEnd"/>
      <w:r w:rsidRPr="002B4560">
        <w:rPr>
          <w:rFonts w:asciiTheme="majorHAnsi" w:hAnsiTheme="majorHAnsi" w:cstheme="majorHAnsi"/>
        </w:rPr>
        <w:t xml:space="preserve"> RS, Abrams DB, </w:t>
      </w:r>
      <w:proofErr w:type="spellStart"/>
      <w:r w:rsidRPr="002B4560">
        <w:rPr>
          <w:rFonts w:asciiTheme="majorHAnsi" w:hAnsiTheme="majorHAnsi" w:cstheme="majorHAnsi"/>
        </w:rPr>
        <w:t>Giovino</w:t>
      </w:r>
      <w:proofErr w:type="spellEnd"/>
      <w:r w:rsidRPr="002B4560">
        <w:rPr>
          <w:rFonts w:asciiTheme="majorHAnsi" w:hAnsiTheme="majorHAnsi" w:cstheme="majorHAnsi"/>
        </w:rPr>
        <w:t xml:space="preserve"> GA. Changes in the prevalence and correlates of menthol cigarette use in the USA, 2004–2014. Tobacco Control. 2016 Oct </w:t>
      </w:r>
      <w:proofErr w:type="gramStart"/>
      <w:r w:rsidRPr="002B4560">
        <w:rPr>
          <w:rFonts w:asciiTheme="majorHAnsi" w:hAnsiTheme="majorHAnsi" w:cstheme="majorHAnsi"/>
        </w:rPr>
        <w:t>11:tobaccocontrol</w:t>
      </w:r>
      <w:proofErr w:type="gramEnd"/>
      <w:r w:rsidRPr="002B4560">
        <w:rPr>
          <w:rFonts w:asciiTheme="majorHAnsi" w:hAnsiTheme="majorHAnsi" w:cstheme="majorHAnsi"/>
        </w:rPr>
        <w:t>-2016.</w:t>
      </w:r>
    </w:p>
  </w:endnote>
  <w:endnote w:id="31">
    <w:p w14:paraId="7E7F717B" w14:textId="77777777" w:rsidR="00943AB1" w:rsidRPr="002B4560" w:rsidRDefault="00943AB1" w:rsidP="00943AB1">
      <w:pPr>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Ton HT, Smart AE, Aguilar BL, Olson TT, </w:t>
      </w:r>
      <w:proofErr w:type="spellStart"/>
      <w:r w:rsidRPr="002B4560">
        <w:rPr>
          <w:rFonts w:asciiTheme="majorHAnsi" w:hAnsiTheme="majorHAnsi" w:cstheme="majorHAnsi"/>
        </w:rPr>
        <w:t>Kellar</w:t>
      </w:r>
      <w:proofErr w:type="spellEnd"/>
      <w:r w:rsidRPr="002B4560">
        <w:rPr>
          <w:rFonts w:asciiTheme="majorHAnsi" w:hAnsiTheme="majorHAnsi" w:cstheme="majorHAnsi"/>
        </w:rPr>
        <w:t xml:space="preserve"> KJ, Ahern GP. Menthol enhances the desensitization of human α3β4 nicotinic acetylcholine receptors. Molecular Pharmacology. 2015 Jan </w:t>
      </w:r>
      <w:proofErr w:type="gramStart"/>
      <w:r w:rsidRPr="002B4560">
        <w:rPr>
          <w:rFonts w:asciiTheme="majorHAnsi" w:hAnsiTheme="majorHAnsi" w:cstheme="majorHAnsi"/>
        </w:rPr>
        <w:t>1:mol</w:t>
      </w:r>
      <w:proofErr w:type="gramEnd"/>
      <w:r w:rsidRPr="002B4560">
        <w:rPr>
          <w:rFonts w:asciiTheme="majorHAnsi" w:hAnsiTheme="majorHAnsi" w:cstheme="majorHAnsi"/>
        </w:rPr>
        <w:t>-115.</w:t>
      </w:r>
    </w:p>
  </w:endnote>
  <w:endnote w:id="32">
    <w:p w14:paraId="2D55EC69" w14:textId="77777777" w:rsidR="00E81C3A" w:rsidRPr="002B4560" w:rsidRDefault="00E81C3A" w:rsidP="00E81C3A">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spacing w:val="4"/>
          <w:shd w:val="clear" w:color="auto" w:fill="FCFCFC"/>
        </w:rPr>
        <w:t xml:space="preserve"> Fagan P. Health disparities in tobacco smoking and smoke exposure. </w:t>
      </w:r>
      <w:proofErr w:type="spellStart"/>
      <w:r w:rsidRPr="002B4560">
        <w:rPr>
          <w:rFonts w:asciiTheme="majorHAnsi" w:hAnsiTheme="majorHAnsi" w:cstheme="majorHAnsi"/>
          <w:spacing w:val="4"/>
          <w:shd w:val="clear" w:color="auto" w:fill="FCFCFC"/>
        </w:rPr>
        <w:t>InHealth</w:t>
      </w:r>
      <w:proofErr w:type="spellEnd"/>
      <w:r w:rsidRPr="002B4560">
        <w:rPr>
          <w:rFonts w:asciiTheme="majorHAnsi" w:hAnsiTheme="majorHAnsi" w:cstheme="majorHAnsi"/>
          <w:spacing w:val="4"/>
          <w:shd w:val="clear" w:color="auto" w:fill="FCFCFC"/>
        </w:rPr>
        <w:t xml:space="preserve"> Disparities in Respiratory Medicine 2016 (pp. 9-39). Humana Press, Cham.</w:t>
      </w:r>
    </w:p>
  </w:endnote>
  <w:endnote w:id="33">
    <w:p w14:paraId="6DA450A8" w14:textId="77777777" w:rsidR="00EB71A3" w:rsidRPr="002B4560" w:rsidRDefault="00EB71A3" w:rsidP="00EB71A3">
      <w:pPr>
        <w:pStyle w:val="EndnoteText"/>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shd w:val="clear" w:color="auto" w:fill="FFFFFF"/>
        </w:rPr>
        <w:t>Rojewski</w:t>
      </w:r>
      <w:proofErr w:type="spellEnd"/>
      <w:r w:rsidRPr="002B4560">
        <w:rPr>
          <w:rFonts w:asciiTheme="majorHAnsi" w:hAnsiTheme="majorHAnsi" w:cstheme="majorHAnsi"/>
          <w:shd w:val="clear" w:color="auto" w:fill="FFFFFF"/>
        </w:rPr>
        <w:t>, AM., et al. Exploring issues of comorbid conditions in people who smoke. </w:t>
      </w:r>
      <w:r w:rsidRPr="002B4560">
        <w:rPr>
          <w:rFonts w:asciiTheme="majorHAnsi" w:hAnsiTheme="majorHAnsi" w:cstheme="majorHAnsi"/>
          <w:iCs/>
          <w:shd w:val="clear" w:color="auto" w:fill="FFFFFF"/>
        </w:rPr>
        <w:t>Nicotine &amp; Tobacco Research.</w:t>
      </w:r>
      <w:r w:rsidRPr="002B4560">
        <w:rPr>
          <w:rFonts w:asciiTheme="majorHAnsi" w:hAnsiTheme="majorHAnsi" w:cstheme="majorHAnsi"/>
          <w:shd w:val="clear" w:color="auto" w:fill="FFFFFF"/>
        </w:rPr>
        <w:t> 18.8 (2016): 1684-1696.</w:t>
      </w:r>
    </w:p>
  </w:endnote>
  <w:endnote w:id="34">
    <w:p w14:paraId="382203CB" w14:textId="77777777" w:rsidR="00DB5BF3" w:rsidRPr="002B4560" w:rsidRDefault="00DB5BF3" w:rsidP="00DB5BF3">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spacing w:val="3"/>
          <w:shd w:val="clear" w:color="auto" w:fill="FFFFFF"/>
        </w:rPr>
        <w:t>Hilmers</w:t>
      </w:r>
      <w:proofErr w:type="spellEnd"/>
      <w:r w:rsidRPr="002B4560">
        <w:rPr>
          <w:rFonts w:asciiTheme="majorHAnsi" w:hAnsiTheme="majorHAnsi" w:cstheme="majorHAnsi"/>
          <w:spacing w:val="3"/>
          <w:shd w:val="clear" w:color="auto" w:fill="FFFFFF"/>
        </w:rPr>
        <w:t xml:space="preserve"> A, </w:t>
      </w:r>
      <w:proofErr w:type="spellStart"/>
      <w:r w:rsidRPr="002B4560">
        <w:rPr>
          <w:rFonts w:asciiTheme="majorHAnsi" w:hAnsiTheme="majorHAnsi" w:cstheme="majorHAnsi"/>
          <w:spacing w:val="3"/>
          <w:shd w:val="clear" w:color="auto" w:fill="FFFFFF"/>
        </w:rPr>
        <w:t>Hilmers</w:t>
      </w:r>
      <w:proofErr w:type="spellEnd"/>
      <w:r w:rsidRPr="002B4560">
        <w:rPr>
          <w:rFonts w:asciiTheme="majorHAnsi" w:hAnsiTheme="majorHAnsi" w:cstheme="majorHAnsi"/>
          <w:spacing w:val="3"/>
          <w:shd w:val="clear" w:color="auto" w:fill="FFFFFF"/>
        </w:rPr>
        <w:t xml:space="preserve"> DC, Dave J. Neighborhood disparities in access to healthy foods and their effects on environmental justice. American Journal of Public Health. 2012 Sep;102(9):1644-54.</w:t>
      </w:r>
    </w:p>
  </w:endnote>
  <w:endnote w:id="35">
    <w:p w14:paraId="0BF84AC1" w14:textId="77777777" w:rsidR="00DB5BF3" w:rsidRPr="002B4560" w:rsidRDefault="00DB5BF3" w:rsidP="00DB5BF3">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shd w:val="clear" w:color="auto" w:fill="FFFFFF"/>
        </w:rPr>
        <w:t> </w:t>
      </w:r>
      <w:proofErr w:type="spellStart"/>
      <w:r w:rsidRPr="002B4560">
        <w:rPr>
          <w:rFonts w:asciiTheme="majorHAnsi" w:hAnsiTheme="majorHAnsi" w:cstheme="majorHAnsi"/>
          <w:shd w:val="clear" w:color="auto" w:fill="FFFFFF"/>
        </w:rPr>
        <w:t>Franzini</w:t>
      </w:r>
      <w:proofErr w:type="spellEnd"/>
      <w:r w:rsidRPr="002B4560">
        <w:rPr>
          <w:rFonts w:asciiTheme="majorHAnsi" w:hAnsiTheme="majorHAnsi" w:cstheme="majorHAnsi"/>
          <w:shd w:val="clear" w:color="auto" w:fill="FFFFFF"/>
        </w:rPr>
        <w:t xml:space="preserve"> L, Taylor W, Elliott MN, Cuccaro P, </w:t>
      </w:r>
      <w:proofErr w:type="spellStart"/>
      <w:r w:rsidRPr="002B4560">
        <w:rPr>
          <w:rFonts w:asciiTheme="majorHAnsi" w:hAnsiTheme="majorHAnsi" w:cstheme="majorHAnsi"/>
          <w:shd w:val="clear" w:color="auto" w:fill="FFFFFF"/>
        </w:rPr>
        <w:t>Tortolero</w:t>
      </w:r>
      <w:proofErr w:type="spellEnd"/>
      <w:r w:rsidRPr="002B4560">
        <w:rPr>
          <w:rFonts w:asciiTheme="majorHAnsi" w:hAnsiTheme="majorHAnsi" w:cstheme="majorHAnsi"/>
          <w:shd w:val="clear" w:color="auto" w:fill="FFFFFF"/>
        </w:rPr>
        <w:t xml:space="preserve"> SR, Gilliland MJ, </w:t>
      </w:r>
      <w:proofErr w:type="spellStart"/>
      <w:r w:rsidRPr="002B4560">
        <w:rPr>
          <w:rFonts w:asciiTheme="majorHAnsi" w:hAnsiTheme="majorHAnsi" w:cstheme="majorHAnsi"/>
          <w:shd w:val="clear" w:color="auto" w:fill="FFFFFF"/>
        </w:rPr>
        <w:t>Grunbaum</w:t>
      </w:r>
      <w:proofErr w:type="spellEnd"/>
      <w:r w:rsidRPr="002B4560">
        <w:rPr>
          <w:rFonts w:asciiTheme="majorHAnsi" w:hAnsiTheme="majorHAnsi" w:cstheme="majorHAnsi"/>
          <w:shd w:val="clear" w:color="auto" w:fill="FFFFFF"/>
        </w:rPr>
        <w:t xml:space="preserve"> J, Schuster MA. Neighborhood characteristics favorable to outdoor physical activity: disparities by socioeconomic and racial/ethnic composition. Health &amp; Place. 2010 Mar 1;16(2):267-74.</w:t>
      </w:r>
    </w:p>
  </w:endnote>
  <w:endnote w:id="36">
    <w:p w14:paraId="28A2BB45" w14:textId="77777777" w:rsidR="00DB5BF3" w:rsidRPr="002B4560" w:rsidRDefault="00DB5BF3" w:rsidP="00DB5BF3">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shd w:val="clear" w:color="auto" w:fill="F7FBFE"/>
        </w:rPr>
        <w:t>Anderson KF. Diagnosing discrimination: Stress from perceived racism and the mental and physical health effects. Sociological Inquiry. 2013 Feb;83(1):55-81.</w:t>
      </w:r>
    </w:p>
  </w:endnote>
  <w:endnote w:id="37">
    <w:p w14:paraId="6C63DA4E" w14:textId="77777777" w:rsidR="00DB5BF3" w:rsidRPr="002B4560" w:rsidRDefault="00DB5BF3" w:rsidP="00DB5BF3">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Park ER, </w:t>
      </w:r>
      <w:proofErr w:type="spellStart"/>
      <w:r w:rsidRPr="002B4560">
        <w:rPr>
          <w:rFonts w:asciiTheme="majorHAnsi" w:hAnsiTheme="majorHAnsi" w:cstheme="majorHAnsi"/>
        </w:rPr>
        <w:t>Japuntich</w:t>
      </w:r>
      <w:proofErr w:type="spellEnd"/>
      <w:r w:rsidRPr="002B4560">
        <w:rPr>
          <w:rFonts w:asciiTheme="majorHAnsi" w:hAnsiTheme="majorHAnsi" w:cstheme="majorHAnsi"/>
        </w:rPr>
        <w:t xml:space="preserve"> SJ, Traeger L, Cannon S, </w:t>
      </w:r>
      <w:proofErr w:type="spellStart"/>
      <w:r w:rsidRPr="002B4560">
        <w:rPr>
          <w:rFonts w:asciiTheme="majorHAnsi" w:hAnsiTheme="majorHAnsi" w:cstheme="majorHAnsi"/>
        </w:rPr>
        <w:t>Pajolek</w:t>
      </w:r>
      <w:proofErr w:type="spellEnd"/>
      <w:r w:rsidRPr="002B4560">
        <w:rPr>
          <w:rFonts w:asciiTheme="majorHAnsi" w:hAnsiTheme="majorHAnsi" w:cstheme="majorHAnsi"/>
        </w:rPr>
        <w:t xml:space="preserve"> H. Disparities between blacks and whites in tobacco and lung cancer treatment. The Oncologist. 2011 Oct 1;16(10):1428-34.</w:t>
      </w:r>
    </w:p>
  </w:endnote>
  <w:endnote w:id="38">
    <w:p w14:paraId="6016453C" w14:textId="77777777" w:rsidR="00714136" w:rsidRPr="002B4560" w:rsidRDefault="00714136" w:rsidP="00714136">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Lim YK, Shin DW, Kim HS, et al. Persistent smoking after a cardiovascular event: A nationwide retrospective study in Korea. </w:t>
      </w:r>
      <w:proofErr w:type="spellStart"/>
      <w:r w:rsidRPr="002B4560">
        <w:rPr>
          <w:rFonts w:asciiTheme="majorHAnsi" w:hAnsiTheme="majorHAnsi" w:cstheme="majorHAnsi"/>
        </w:rPr>
        <w:t>PLoS</w:t>
      </w:r>
      <w:proofErr w:type="spellEnd"/>
      <w:r w:rsidRPr="002B4560">
        <w:rPr>
          <w:rFonts w:asciiTheme="majorHAnsi" w:hAnsiTheme="majorHAnsi" w:cstheme="majorHAnsi"/>
        </w:rPr>
        <w:t xml:space="preserve"> One. 2017; </w:t>
      </w:r>
      <w:r w:rsidRPr="002B4560">
        <w:rPr>
          <w:rFonts w:asciiTheme="majorHAnsi" w:hAnsiTheme="majorHAnsi" w:cstheme="majorHAnsi"/>
          <w:color w:val="202020"/>
          <w:shd w:val="clear" w:color="auto" w:fill="FFFFFF"/>
        </w:rPr>
        <w:t xml:space="preserve">12(10): e0186872. </w:t>
      </w:r>
    </w:p>
  </w:endnote>
  <w:endnote w:id="39">
    <w:p w14:paraId="50F2E675" w14:textId="77777777" w:rsidR="00FB23AC" w:rsidRPr="002B4560" w:rsidRDefault="00FB23AC" w:rsidP="00FB23AC">
      <w:pPr>
        <w:pStyle w:val="EndnoteText"/>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Williams DR, Rucker TD. Understanding and addressing racial disparities in health care. Health care financing review. 2000;21(4):75.</w:t>
      </w:r>
    </w:p>
  </w:endnote>
  <w:endnote w:id="40">
    <w:p w14:paraId="117FFAD6" w14:textId="77777777" w:rsidR="00FB23AC" w:rsidRPr="002B4560" w:rsidRDefault="00FB23AC" w:rsidP="00FB23AC">
      <w:pPr>
        <w:pStyle w:val="EndnoteText"/>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Office of Disease Prevention and Health Promotion, Healthy People 2020. Access to Health Services. Retrieved from: https://www.healthypeople.gov/2020/topics-objectives/topic/Access-to-Health-Services#2.</w:t>
      </w:r>
    </w:p>
  </w:endnote>
  <w:endnote w:id="41">
    <w:p w14:paraId="1C26298B" w14:textId="77777777" w:rsidR="006D18B7" w:rsidRPr="002B4560" w:rsidRDefault="006D18B7" w:rsidP="006D18B7">
      <w:pPr>
        <w:contextualSpacing/>
        <w:rPr>
          <w:rFonts w:asciiTheme="majorHAnsi" w:eastAsia="Arial" w:hAnsiTheme="majorHAnsi" w:cstheme="majorHAnsi"/>
          <w:b/>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shd w:val="clear" w:color="auto" w:fill="FFFFFF"/>
        </w:rPr>
        <w:t xml:space="preserve">DeSantis CE, Siegel RL, Sauer AG, Miller KD, </w:t>
      </w:r>
      <w:proofErr w:type="spellStart"/>
      <w:r w:rsidRPr="002B4560">
        <w:rPr>
          <w:rFonts w:asciiTheme="majorHAnsi" w:hAnsiTheme="majorHAnsi" w:cstheme="majorHAnsi"/>
          <w:shd w:val="clear" w:color="auto" w:fill="FFFFFF"/>
        </w:rPr>
        <w:t>Fedewa</w:t>
      </w:r>
      <w:proofErr w:type="spellEnd"/>
      <w:r w:rsidRPr="002B4560">
        <w:rPr>
          <w:rFonts w:asciiTheme="majorHAnsi" w:hAnsiTheme="majorHAnsi" w:cstheme="majorHAnsi"/>
          <w:shd w:val="clear" w:color="auto" w:fill="FFFFFF"/>
        </w:rPr>
        <w:t xml:space="preserve"> SA, Alcaraz KI, Jemal A. Cancer statistics for African Americans, 2016: Progress and opportunities in reducing racial disparities. CA: A Cancer Journal for Clinicians. 2016 Jul;66(4):290-308.</w:t>
      </w:r>
    </w:p>
  </w:endnote>
  <w:endnote w:id="42">
    <w:p w14:paraId="7AE82126" w14:textId="77777777" w:rsidR="006D18B7" w:rsidRPr="002B4560" w:rsidRDefault="006D18B7" w:rsidP="006D18B7">
      <w:pPr>
        <w:pStyle w:val="EndnoteText"/>
        <w:spacing w:line="276" w:lineRule="auto"/>
        <w:contextualSpacing/>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Massachusetts Tobacco Control Program, Massachusetts Department of Public Health. Smoking-Attributable Mortality, Morbidity, and Economic Costs (SAMMEC). 2006. Retrieved from: </w:t>
      </w:r>
      <w:hyperlink r:id="rId6" w:history="1">
        <w:r w:rsidRPr="002B4560">
          <w:rPr>
            <w:rStyle w:val="Hyperlink"/>
            <w:rFonts w:asciiTheme="majorHAnsi" w:hAnsiTheme="majorHAnsi" w:cstheme="majorHAnsi"/>
            <w:color w:val="auto"/>
          </w:rPr>
          <w:t>http://www.mass.gov/eohhs/docs/dph/tobacco-control/sammec-2006.pdf</w:t>
        </w:r>
      </w:hyperlink>
      <w:r w:rsidRPr="002B4560">
        <w:rPr>
          <w:rFonts w:asciiTheme="majorHAnsi" w:hAnsiTheme="majorHAnsi" w:cstheme="majorHAnsi"/>
        </w:rPr>
        <w:t xml:space="preserve">. </w:t>
      </w:r>
    </w:p>
  </w:endnote>
  <w:endnote w:id="43">
    <w:p w14:paraId="364C9828" w14:textId="77777777" w:rsidR="006D18B7" w:rsidRPr="002B4560" w:rsidRDefault="006D18B7" w:rsidP="006D18B7">
      <w:pPr>
        <w:contextualSpacing/>
        <w:rPr>
          <w:rFonts w:asciiTheme="majorHAnsi" w:hAnsiTheme="majorHAnsi" w:cstheme="majorHAnsi"/>
          <w:shd w:val="clear" w:color="auto" w:fill="FFFFFF"/>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shd w:val="clear" w:color="auto" w:fill="FFFFFF"/>
        </w:rPr>
        <w:t>Kayani</w:t>
      </w:r>
      <w:proofErr w:type="spellEnd"/>
      <w:r w:rsidRPr="002B4560">
        <w:rPr>
          <w:rFonts w:asciiTheme="majorHAnsi" w:hAnsiTheme="majorHAnsi" w:cstheme="majorHAnsi"/>
          <w:shd w:val="clear" w:color="auto" w:fill="FFFFFF"/>
        </w:rPr>
        <w:t xml:space="preserve"> N, Homan SG, Yun S. Racial disparities in smoking-attributable mortality and years of potential life lost-Missouri, 2003-2007. Morbidity and Mortality Weekly Report. 2010;59(46):1518-22.</w:t>
      </w:r>
    </w:p>
  </w:endnote>
  <w:endnote w:id="44">
    <w:p w14:paraId="087312F3" w14:textId="77777777" w:rsidR="007666C9" w:rsidRPr="002B4560" w:rsidRDefault="007666C9" w:rsidP="007666C9">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Krieger J, Higgins DL. Housing and health: time again for public health action. American Journal of Public Health. 2002 May;92(5):758-68.</w:t>
      </w:r>
    </w:p>
  </w:endnote>
  <w:endnote w:id="45">
    <w:p w14:paraId="7EC28F22" w14:textId="77777777" w:rsidR="00C11D52" w:rsidRPr="002B4560" w:rsidRDefault="00C11D52" w:rsidP="00C11D52">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Williams DR, Collins C. Racial residential segregation: a fundamental cause of racial disparities in health. Public Health Reports. 2001 Sep;116(5):404.</w:t>
      </w:r>
    </w:p>
  </w:endnote>
  <w:endnote w:id="46">
    <w:p w14:paraId="08FA0916" w14:textId="77777777" w:rsidR="00C11D52" w:rsidRPr="002B4560" w:rsidRDefault="00C11D52" w:rsidP="00C11D52">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Leopold J, </w:t>
      </w:r>
      <w:proofErr w:type="spellStart"/>
      <w:r w:rsidRPr="002B4560">
        <w:rPr>
          <w:rFonts w:asciiTheme="majorHAnsi" w:hAnsiTheme="majorHAnsi" w:cstheme="majorHAnsi"/>
        </w:rPr>
        <w:t>Getsinger</w:t>
      </w:r>
      <w:proofErr w:type="spellEnd"/>
      <w:r w:rsidRPr="002B4560">
        <w:rPr>
          <w:rFonts w:asciiTheme="majorHAnsi" w:hAnsiTheme="majorHAnsi" w:cstheme="majorHAnsi"/>
        </w:rPr>
        <w:t xml:space="preserve"> L, Blumenthal P, </w:t>
      </w:r>
      <w:proofErr w:type="spellStart"/>
      <w:r w:rsidRPr="002B4560">
        <w:rPr>
          <w:rFonts w:asciiTheme="majorHAnsi" w:hAnsiTheme="majorHAnsi" w:cstheme="majorHAnsi"/>
        </w:rPr>
        <w:t>Abazajian</w:t>
      </w:r>
      <w:proofErr w:type="spellEnd"/>
      <w:r w:rsidRPr="002B4560">
        <w:rPr>
          <w:rFonts w:asciiTheme="majorHAnsi" w:hAnsiTheme="majorHAnsi" w:cstheme="majorHAnsi"/>
        </w:rPr>
        <w:t xml:space="preserve"> K, Jordan R. The housing affordability gap for extremely low-income renters in 2013. Washington, DC: Urban Institute. 2015 Jun. </w:t>
      </w:r>
      <w:hyperlink r:id="rId7" w:history="1">
        <w:r w:rsidRPr="002B4560">
          <w:rPr>
            <w:rStyle w:val="Hyperlink"/>
            <w:rFonts w:asciiTheme="majorHAnsi" w:hAnsiTheme="majorHAnsi" w:cstheme="majorHAnsi"/>
            <w:color w:val="auto"/>
          </w:rPr>
          <w:t>http://www.urban.org/sites/default/files/publication/54106/2000260-The-Housing-Affordability-Gap-for-Extremely-Low-Income-Renters-2013.pdf</w:t>
        </w:r>
      </w:hyperlink>
    </w:p>
  </w:endnote>
  <w:endnote w:id="47">
    <w:p w14:paraId="70DB5DCC" w14:textId="77777777" w:rsidR="00C11D52" w:rsidRPr="002B4560" w:rsidRDefault="00C11D52" w:rsidP="00C11D52">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Calculated using the percent of BRFSS respondents in 2014 and 2016 that indicated that they lived in a </w:t>
      </w:r>
      <w:proofErr w:type="gramStart"/>
      <w:r w:rsidRPr="002B4560">
        <w:rPr>
          <w:rFonts w:asciiTheme="majorHAnsi" w:hAnsiTheme="majorHAnsi" w:cstheme="majorHAnsi"/>
        </w:rPr>
        <w:t>single family</w:t>
      </w:r>
      <w:proofErr w:type="gramEnd"/>
      <w:r w:rsidRPr="002B4560">
        <w:rPr>
          <w:rFonts w:asciiTheme="majorHAnsi" w:hAnsiTheme="majorHAnsi" w:cstheme="majorHAnsi"/>
        </w:rPr>
        <w:t xml:space="preserve"> home and allowed smoking inside and those who reported living in multi-unit housing without a smoke-free policy, regardless of their personal home smoking rules. Rates were calculated for adults with no children and adults with children separately. Estimates were produced using American Community Survey 2016 data for Massachusetts adults and children. </w:t>
      </w:r>
    </w:p>
  </w:endnote>
  <w:endnote w:id="48">
    <w:p w14:paraId="2AAA5FA9" w14:textId="77777777" w:rsidR="00C11D52" w:rsidRPr="002B4560" w:rsidRDefault="00C11D52" w:rsidP="00C11D52">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Centers for Disease Control and Prevention (CDC. Vital signs: nonsmokers' exposure to secondhand smoke---United States, 1999-2008. MMWR. Morbidity and Mortality Weekly Report. 2010 Sep 10;59(35):1141.</w:t>
      </w:r>
    </w:p>
  </w:endnote>
  <w:endnote w:id="49">
    <w:p w14:paraId="6524964E" w14:textId="77777777" w:rsidR="00C11D52" w:rsidRPr="002B4560" w:rsidRDefault="00C11D52" w:rsidP="00C11D52">
      <w:pPr>
        <w:pStyle w:val="Foot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r w:rsidRPr="002B4560">
        <w:rPr>
          <w:rFonts w:asciiTheme="majorHAnsi" w:hAnsiTheme="majorHAnsi" w:cstheme="majorHAnsi"/>
          <w:shd w:val="clear" w:color="auto" w:fill="FFFFFF"/>
        </w:rPr>
        <w:t>US Department of Health and Human Services. The health consequences of involuntary exposure to tobacco smoke: a report of the Surgeon General. Atlanta, GA: US Department of Health and Human Services, Centers for Disease Control and Prevention, Coordinating Center for Health Promotion, National Center for Chronic Disease Prevention and Health Promotion, Office on Smoking and Health. 2006 Jun 27;709.</w:t>
      </w:r>
    </w:p>
  </w:endnote>
  <w:endnote w:id="50">
    <w:p w14:paraId="7BE4530F" w14:textId="77777777" w:rsidR="00C11D52" w:rsidRPr="002B4560" w:rsidRDefault="00C11D52" w:rsidP="00C11D52">
      <w:pPr>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The following data is from the Massachusetts Behavioral Risk Factory Surveillance System, an annual phone survey of Massachusetts adults that looks at health-related behavioral risk factors, chronic health conditions, and use of preventive services. Data from the years of 2014 and 2016 were combined to produce more precise estimates.</w:t>
      </w:r>
    </w:p>
  </w:endnote>
  <w:endnote w:id="51">
    <w:p w14:paraId="5D053257" w14:textId="77777777" w:rsidR="00BD24D4" w:rsidRPr="002B4560" w:rsidRDefault="00BD24D4" w:rsidP="00BD24D4">
      <w:pPr>
        <w:pStyle w:val="EndnoteText"/>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gramStart"/>
      <w:r w:rsidRPr="002B4560">
        <w:rPr>
          <w:rFonts w:asciiTheme="majorHAnsi" w:hAnsiTheme="majorHAnsi" w:cstheme="majorHAnsi"/>
        </w:rPr>
        <w:t>An</w:t>
      </w:r>
      <w:proofErr w:type="gramEnd"/>
      <w:r w:rsidRPr="002B4560">
        <w:rPr>
          <w:rFonts w:asciiTheme="majorHAnsi" w:hAnsiTheme="majorHAnsi" w:cstheme="majorHAnsi"/>
        </w:rPr>
        <w:t xml:space="preserve"> B, Orlando A, </w:t>
      </w:r>
      <w:proofErr w:type="spellStart"/>
      <w:r w:rsidRPr="002B4560">
        <w:rPr>
          <w:rFonts w:asciiTheme="majorHAnsi" w:hAnsiTheme="majorHAnsi" w:cstheme="majorHAnsi"/>
        </w:rPr>
        <w:t>Rodnyansky</w:t>
      </w:r>
      <w:proofErr w:type="spellEnd"/>
      <w:r w:rsidRPr="002B4560">
        <w:rPr>
          <w:rFonts w:asciiTheme="majorHAnsi" w:hAnsiTheme="majorHAnsi" w:cstheme="majorHAnsi"/>
        </w:rPr>
        <w:t xml:space="preserve"> S. The Physical Legacy of Racism: How Redlining Cemented the Modern Built Environment. 2019. Conference: American Real Estate and Urban Economics Association</w:t>
      </w:r>
    </w:p>
  </w:endnote>
  <w:endnote w:id="52">
    <w:p w14:paraId="43AAA6A7" w14:textId="77777777" w:rsidR="008D54B2" w:rsidRPr="002B4560" w:rsidRDefault="008D54B2" w:rsidP="008D54B2">
      <w:pPr>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shd w:val="clear" w:color="auto" w:fill="FFFFFF"/>
        </w:rPr>
        <w:t>Baezconde-Garbanati</w:t>
      </w:r>
      <w:proofErr w:type="spellEnd"/>
      <w:r w:rsidRPr="002B4560">
        <w:rPr>
          <w:rFonts w:asciiTheme="majorHAnsi" w:hAnsiTheme="majorHAnsi" w:cstheme="majorHAnsi"/>
          <w:shd w:val="clear" w:color="auto" w:fill="FFFFFF"/>
        </w:rPr>
        <w:t xml:space="preserve"> LA, </w:t>
      </w:r>
      <w:proofErr w:type="spellStart"/>
      <w:r w:rsidRPr="002B4560">
        <w:rPr>
          <w:rFonts w:asciiTheme="majorHAnsi" w:hAnsiTheme="majorHAnsi" w:cstheme="majorHAnsi"/>
          <w:shd w:val="clear" w:color="auto" w:fill="FFFFFF"/>
        </w:rPr>
        <w:t>Weich-Reushé</w:t>
      </w:r>
      <w:proofErr w:type="spellEnd"/>
      <w:r w:rsidRPr="002B4560">
        <w:rPr>
          <w:rFonts w:asciiTheme="majorHAnsi" w:hAnsiTheme="majorHAnsi" w:cstheme="majorHAnsi"/>
          <w:shd w:val="clear" w:color="auto" w:fill="FFFFFF"/>
        </w:rPr>
        <w:t xml:space="preserve"> K, Espinoza L, Portugal C, Barahona R, </w:t>
      </w:r>
      <w:proofErr w:type="spellStart"/>
      <w:r w:rsidRPr="002B4560">
        <w:rPr>
          <w:rFonts w:asciiTheme="majorHAnsi" w:hAnsiTheme="majorHAnsi" w:cstheme="majorHAnsi"/>
          <w:shd w:val="clear" w:color="auto" w:fill="FFFFFF"/>
        </w:rPr>
        <w:t>Garbanati</w:t>
      </w:r>
      <w:proofErr w:type="spellEnd"/>
      <w:r w:rsidRPr="002B4560">
        <w:rPr>
          <w:rFonts w:asciiTheme="majorHAnsi" w:hAnsiTheme="majorHAnsi" w:cstheme="majorHAnsi"/>
          <w:shd w:val="clear" w:color="auto" w:fill="FFFFFF"/>
        </w:rPr>
        <w:t xml:space="preserve"> J, Seedat F, Unger JB. Secondhand smoke exposure among Hispanics/Latinos living in multiunit housing: exploring barriers to new policies. American Journal of Health Promotion. 2011 May;25(5_suppl</w:t>
      </w:r>
      <w:proofErr w:type="gramStart"/>
      <w:r w:rsidRPr="002B4560">
        <w:rPr>
          <w:rFonts w:asciiTheme="majorHAnsi" w:hAnsiTheme="majorHAnsi" w:cstheme="majorHAnsi"/>
          <w:shd w:val="clear" w:color="auto" w:fill="FFFFFF"/>
        </w:rPr>
        <w:t>):S</w:t>
      </w:r>
      <w:proofErr w:type="gramEnd"/>
      <w:r w:rsidRPr="002B4560">
        <w:rPr>
          <w:rFonts w:asciiTheme="majorHAnsi" w:hAnsiTheme="majorHAnsi" w:cstheme="majorHAnsi"/>
          <w:shd w:val="clear" w:color="auto" w:fill="FFFFFF"/>
        </w:rPr>
        <w:t>82-90.</w:t>
      </w:r>
    </w:p>
  </w:endnote>
  <w:endnote w:id="53">
    <w:p w14:paraId="394B700D" w14:textId="77777777" w:rsidR="008D54B2" w:rsidRPr="002B4560" w:rsidRDefault="008D54B2" w:rsidP="008D54B2">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Andersen MR, Leroux BG, Bricker JB, </w:t>
      </w:r>
      <w:proofErr w:type="spellStart"/>
      <w:r w:rsidRPr="002B4560">
        <w:rPr>
          <w:rFonts w:asciiTheme="majorHAnsi" w:hAnsiTheme="majorHAnsi" w:cstheme="majorHAnsi"/>
        </w:rPr>
        <w:t>Rajan</w:t>
      </w:r>
      <w:proofErr w:type="spellEnd"/>
      <w:r w:rsidRPr="002B4560">
        <w:rPr>
          <w:rFonts w:asciiTheme="majorHAnsi" w:hAnsiTheme="majorHAnsi" w:cstheme="majorHAnsi"/>
        </w:rPr>
        <w:t xml:space="preserve"> KB, Peterson AV. Antismoking parenting practices are associated with reduced rates of adolescent smoking. Archives of Pediatrics &amp; Adolescent Medicine. 2004 Apr 1;158(4):348-52.; Thomson CC, Siegel M, </w:t>
      </w:r>
      <w:proofErr w:type="spellStart"/>
      <w:r w:rsidRPr="002B4560">
        <w:rPr>
          <w:rFonts w:asciiTheme="majorHAnsi" w:hAnsiTheme="majorHAnsi" w:cstheme="majorHAnsi"/>
        </w:rPr>
        <w:t>Winickoff</w:t>
      </w:r>
      <w:proofErr w:type="spellEnd"/>
      <w:r w:rsidRPr="002B4560">
        <w:rPr>
          <w:rFonts w:asciiTheme="majorHAnsi" w:hAnsiTheme="majorHAnsi" w:cstheme="majorHAnsi"/>
        </w:rPr>
        <w:t xml:space="preserve"> J, </w:t>
      </w:r>
      <w:proofErr w:type="spellStart"/>
      <w:r w:rsidRPr="002B4560">
        <w:rPr>
          <w:rFonts w:asciiTheme="majorHAnsi" w:hAnsiTheme="majorHAnsi" w:cstheme="majorHAnsi"/>
        </w:rPr>
        <w:t>Biener</w:t>
      </w:r>
      <w:proofErr w:type="spellEnd"/>
      <w:r w:rsidRPr="002B4560">
        <w:rPr>
          <w:rFonts w:asciiTheme="majorHAnsi" w:hAnsiTheme="majorHAnsi" w:cstheme="majorHAnsi"/>
        </w:rPr>
        <w:t xml:space="preserve"> L, </w:t>
      </w:r>
      <w:proofErr w:type="spellStart"/>
      <w:r w:rsidRPr="002B4560">
        <w:rPr>
          <w:rFonts w:asciiTheme="majorHAnsi" w:hAnsiTheme="majorHAnsi" w:cstheme="majorHAnsi"/>
        </w:rPr>
        <w:t>Rigotti</w:t>
      </w:r>
      <w:proofErr w:type="spellEnd"/>
      <w:r w:rsidRPr="002B4560">
        <w:rPr>
          <w:rFonts w:asciiTheme="majorHAnsi" w:hAnsiTheme="majorHAnsi" w:cstheme="majorHAnsi"/>
        </w:rPr>
        <w:t xml:space="preserve"> NA. Household smoking bans and adolescents' perceived prevalence of smoking and social acceptability of smoking. Preventive Medicine. 2005 Aug 1;41(2):349-56.</w:t>
      </w:r>
    </w:p>
  </w:endnote>
  <w:endnote w:id="54">
    <w:p w14:paraId="1E166E41" w14:textId="77777777" w:rsidR="008D54B2" w:rsidRPr="002B4560" w:rsidRDefault="008D54B2" w:rsidP="008D54B2">
      <w:pPr>
        <w:pStyle w:val="EndnoteText"/>
        <w:spacing w:line="276" w:lineRule="auto"/>
        <w:rPr>
          <w:rFonts w:asciiTheme="majorHAnsi" w:hAnsiTheme="majorHAnsi" w:cstheme="majorHAnsi"/>
        </w:rPr>
      </w:pPr>
      <w:r w:rsidRPr="002B4560">
        <w:rPr>
          <w:rStyle w:val="EndnoteReference"/>
          <w:rFonts w:asciiTheme="majorHAnsi" w:hAnsiTheme="majorHAnsi" w:cstheme="majorHAnsi"/>
        </w:rPr>
        <w:endnoteRef/>
      </w:r>
      <w:r w:rsidRPr="002B4560">
        <w:rPr>
          <w:rFonts w:asciiTheme="majorHAnsi" w:hAnsiTheme="majorHAnsi" w:cstheme="majorHAnsi"/>
        </w:rPr>
        <w:t xml:space="preserve"> </w:t>
      </w:r>
      <w:proofErr w:type="spellStart"/>
      <w:r w:rsidRPr="002B4560">
        <w:rPr>
          <w:rFonts w:asciiTheme="majorHAnsi" w:hAnsiTheme="majorHAnsi" w:cstheme="majorHAnsi"/>
        </w:rPr>
        <w:t>Osypuk</w:t>
      </w:r>
      <w:proofErr w:type="spellEnd"/>
      <w:r w:rsidRPr="002B4560">
        <w:rPr>
          <w:rFonts w:asciiTheme="majorHAnsi" w:hAnsiTheme="majorHAnsi" w:cstheme="majorHAnsi"/>
        </w:rPr>
        <w:t xml:space="preserve"> TL, Acevedo-Garcia D. Support for smoke-free policies: a nationwide analysis of immigrants, US-born, and other demographic groups, 1995–2002. American Journal of Public Health. 2010 Jan;100(1):171-81; Centers for Disease Control and Prevention, Office on Smoking and Health. At a Glance 2016 Tobacco Use: Extinguishing the Epidemic. Retrieved from: </w:t>
      </w:r>
      <w:hyperlink r:id="rId8" w:history="1">
        <w:r w:rsidRPr="002B4560">
          <w:rPr>
            <w:rStyle w:val="Hyperlink"/>
            <w:rFonts w:asciiTheme="majorHAnsi" w:hAnsiTheme="majorHAnsi" w:cstheme="majorHAnsi"/>
            <w:color w:val="auto"/>
          </w:rPr>
          <w:t>https://www.cdc.gov/chronicdisease/resources/publications/aag/pdf/2016/tobacco-aag.pdf</w:t>
        </w:r>
      </w:hyperlink>
      <w:r w:rsidRPr="002B4560">
        <w:rPr>
          <w:rFonts w:asciiTheme="majorHAnsi" w:hAnsiTheme="majorHAnsi" w:cstheme="majorHAnsi"/>
        </w:rPr>
        <w:t>.</w:t>
      </w:r>
    </w:p>
    <w:p w14:paraId="5D906AAF" w14:textId="77777777" w:rsidR="008D54B2" w:rsidRPr="00510F2D" w:rsidRDefault="008D54B2" w:rsidP="008D54B2">
      <w:pPr>
        <w:pStyle w:val="EndnoteText"/>
        <w:contextualSpacing/>
        <w:rPr>
          <w:rFonts w:asciiTheme="minorHAnsi" w:hAnsiTheme="minorHAnsi"/>
          <w:color w:val="FFFFFF" w:themeColor="background1"/>
          <w:sz w:val="18"/>
          <w:szCs w:val="18"/>
        </w:rPr>
      </w:pPr>
    </w:p>
    <w:p w14:paraId="0859A8D3" w14:textId="77777777" w:rsidR="008D54B2" w:rsidRPr="00510F2D" w:rsidRDefault="008D54B2" w:rsidP="008D54B2">
      <w:pPr>
        <w:pStyle w:val="EndnoteText"/>
        <w:rPr>
          <w:rFonts w:asciiTheme="minorHAnsi" w:hAnsiTheme="minorHAnsi"/>
          <w:color w:val="FFFFFF" w:themeColor="background1"/>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2340071"/>
      <w:docPartObj>
        <w:docPartGallery w:val="Page Numbers (Bottom of Page)"/>
        <w:docPartUnique/>
      </w:docPartObj>
    </w:sdtPr>
    <w:sdtEndPr>
      <w:rPr>
        <w:rStyle w:val="PageNumber"/>
      </w:rPr>
    </w:sdtEndPr>
    <w:sdtContent>
      <w:p w14:paraId="45939B04" w14:textId="2B63BFCF" w:rsidR="00FE6FD3" w:rsidRDefault="00FE6FD3" w:rsidP="00343C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23B997" w14:textId="77777777" w:rsidR="00FE6FD3" w:rsidRDefault="00FE6FD3" w:rsidP="00FE6F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5101068"/>
      <w:docPartObj>
        <w:docPartGallery w:val="Page Numbers (Bottom of Page)"/>
        <w:docPartUnique/>
      </w:docPartObj>
    </w:sdtPr>
    <w:sdtEndPr>
      <w:rPr>
        <w:rStyle w:val="PageNumber"/>
      </w:rPr>
    </w:sdtEndPr>
    <w:sdtContent>
      <w:p w14:paraId="576C6359" w14:textId="27B0A819" w:rsidR="00FE6FD3" w:rsidRDefault="00FE6FD3" w:rsidP="00343C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CF829E6" w14:textId="77777777" w:rsidR="00FE6FD3" w:rsidRDefault="00FE6FD3" w:rsidP="00FE6F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D5DA" w14:textId="77777777" w:rsidR="00D56241" w:rsidRDefault="00D56241" w:rsidP="00930198">
      <w:r>
        <w:separator/>
      </w:r>
    </w:p>
  </w:footnote>
  <w:footnote w:type="continuationSeparator" w:id="0">
    <w:p w14:paraId="6B6C06A6" w14:textId="77777777" w:rsidR="00D56241" w:rsidRDefault="00D56241" w:rsidP="009301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3AE"/>
    <w:multiLevelType w:val="hybridMultilevel"/>
    <w:tmpl w:val="A81A57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8130F"/>
    <w:multiLevelType w:val="hybridMultilevel"/>
    <w:tmpl w:val="A0E4E0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113020"/>
    <w:multiLevelType w:val="hybridMultilevel"/>
    <w:tmpl w:val="0F3A868C"/>
    <w:lvl w:ilvl="0" w:tplc="5290D98E">
      <w:start w:val="1"/>
      <w:numFmt w:val="bullet"/>
      <w:lvlText w:val=""/>
      <w:lvlJc w:val="left"/>
      <w:pPr>
        <w:ind w:left="360" w:hanging="360"/>
      </w:pPr>
      <w:rPr>
        <w:rFonts w:ascii="Symbol" w:hAnsi="Symbol" w:hint="default"/>
        <w:color w:val="203864"/>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B67CEC"/>
    <w:multiLevelType w:val="hybridMultilevel"/>
    <w:tmpl w:val="453EE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DF325F"/>
    <w:multiLevelType w:val="hybridMultilevel"/>
    <w:tmpl w:val="5BF42900"/>
    <w:lvl w:ilvl="0" w:tplc="4CFE35D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7B0CE5"/>
    <w:multiLevelType w:val="hybridMultilevel"/>
    <w:tmpl w:val="C1F2DEEE"/>
    <w:lvl w:ilvl="0" w:tplc="4CFE35D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863E9"/>
    <w:multiLevelType w:val="hybridMultilevel"/>
    <w:tmpl w:val="6A5225E4"/>
    <w:lvl w:ilvl="0" w:tplc="4CFE35D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F22495"/>
    <w:multiLevelType w:val="hybridMultilevel"/>
    <w:tmpl w:val="49D4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0374BF"/>
    <w:multiLevelType w:val="hybridMultilevel"/>
    <w:tmpl w:val="D130B676"/>
    <w:lvl w:ilvl="0" w:tplc="83E8D6FA">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367AFF"/>
    <w:multiLevelType w:val="hybridMultilevel"/>
    <w:tmpl w:val="DDC8F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EAE5252"/>
    <w:multiLevelType w:val="hybridMultilevel"/>
    <w:tmpl w:val="7E76E960"/>
    <w:lvl w:ilvl="0" w:tplc="04090001">
      <w:start w:val="1"/>
      <w:numFmt w:val="bullet"/>
      <w:lvlText w:val=""/>
      <w:lvlJc w:val="left"/>
      <w:pPr>
        <w:tabs>
          <w:tab w:val="num" w:pos="720"/>
        </w:tabs>
        <w:ind w:left="720" w:hanging="360"/>
      </w:pPr>
      <w:rPr>
        <w:rFonts w:ascii="Symbol" w:hAnsi="Symbol" w:hint="default"/>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49D6B15"/>
    <w:multiLevelType w:val="hybridMultilevel"/>
    <w:tmpl w:val="AD9CC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355BCB"/>
    <w:multiLevelType w:val="hybridMultilevel"/>
    <w:tmpl w:val="90C0A4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EC4C25"/>
    <w:multiLevelType w:val="hybridMultilevel"/>
    <w:tmpl w:val="9518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9E62D2"/>
    <w:multiLevelType w:val="hybridMultilevel"/>
    <w:tmpl w:val="3D9E2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3"/>
  </w:num>
  <w:num w:numId="4">
    <w:abstractNumId w:val="2"/>
  </w:num>
  <w:num w:numId="5">
    <w:abstractNumId w:val="3"/>
  </w:num>
  <w:num w:numId="6">
    <w:abstractNumId w:val="1"/>
  </w:num>
  <w:num w:numId="7">
    <w:abstractNumId w:val="9"/>
  </w:num>
  <w:num w:numId="8">
    <w:abstractNumId w:val="11"/>
  </w:num>
  <w:num w:numId="9">
    <w:abstractNumId w:val="12"/>
  </w:num>
  <w:num w:numId="10">
    <w:abstractNumId w:val="10"/>
  </w:num>
  <w:num w:numId="11">
    <w:abstractNumId w:val="5"/>
  </w:num>
  <w:num w:numId="12">
    <w:abstractNumId w:val="8"/>
  </w:num>
  <w:num w:numId="13">
    <w:abstractNumId w:val="6"/>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AAF"/>
    <w:rsid w:val="000363C5"/>
    <w:rsid w:val="00064924"/>
    <w:rsid w:val="000B7811"/>
    <w:rsid w:val="00107483"/>
    <w:rsid w:val="00133803"/>
    <w:rsid w:val="001A67E9"/>
    <w:rsid w:val="00290A82"/>
    <w:rsid w:val="00291F8D"/>
    <w:rsid w:val="002B4560"/>
    <w:rsid w:val="002F6548"/>
    <w:rsid w:val="003635BE"/>
    <w:rsid w:val="003E6135"/>
    <w:rsid w:val="004C7118"/>
    <w:rsid w:val="005112DA"/>
    <w:rsid w:val="005774A5"/>
    <w:rsid w:val="00590EA0"/>
    <w:rsid w:val="00677724"/>
    <w:rsid w:val="00690DC5"/>
    <w:rsid w:val="006B0536"/>
    <w:rsid w:val="006D18B7"/>
    <w:rsid w:val="006D468F"/>
    <w:rsid w:val="00714136"/>
    <w:rsid w:val="007666C9"/>
    <w:rsid w:val="00873E49"/>
    <w:rsid w:val="008A1344"/>
    <w:rsid w:val="008D54B2"/>
    <w:rsid w:val="00930198"/>
    <w:rsid w:val="00943AB1"/>
    <w:rsid w:val="00A0021B"/>
    <w:rsid w:val="00A35CA9"/>
    <w:rsid w:val="00A710DF"/>
    <w:rsid w:val="00AF649C"/>
    <w:rsid w:val="00B10AAF"/>
    <w:rsid w:val="00BB38E6"/>
    <w:rsid w:val="00BC4C0D"/>
    <w:rsid w:val="00BD24D4"/>
    <w:rsid w:val="00C11D52"/>
    <w:rsid w:val="00C6380B"/>
    <w:rsid w:val="00C932AA"/>
    <w:rsid w:val="00D24630"/>
    <w:rsid w:val="00D50037"/>
    <w:rsid w:val="00D56241"/>
    <w:rsid w:val="00D81D9D"/>
    <w:rsid w:val="00DB5BF3"/>
    <w:rsid w:val="00E4535A"/>
    <w:rsid w:val="00E81C3A"/>
    <w:rsid w:val="00EB71A3"/>
    <w:rsid w:val="00EC4559"/>
    <w:rsid w:val="00FB23AC"/>
    <w:rsid w:val="00FE6F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76B3C"/>
  <w15:chartTrackingRefBased/>
  <w15:docId w15:val="{577B5C33-57DC-9F4B-A5CD-B18C2FF2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AAF"/>
    <w:rPr>
      <w:rFonts w:ascii="Arial" w:eastAsia="SimSun" w:hAnsi="Arial" w:cs="Arial"/>
      <w:sz w:val="20"/>
      <w:szCs w:val="20"/>
      <w:lang w:eastAsia="en-US"/>
    </w:rPr>
  </w:style>
  <w:style w:type="paragraph" w:styleId="Heading1">
    <w:name w:val="heading 1"/>
    <w:basedOn w:val="Normal"/>
    <w:next w:val="Normal"/>
    <w:link w:val="Heading1Char"/>
    <w:qFormat/>
    <w:rsid w:val="00B10AA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EC45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10AAF"/>
    <w:rPr>
      <w:sz w:val="22"/>
      <w:szCs w:val="22"/>
      <w:lang w:eastAsia="ja-JP"/>
    </w:rPr>
  </w:style>
  <w:style w:type="character" w:customStyle="1" w:styleId="NoSpacingChar">
    <w:name w:val="No Spacing Char"/>
    <w:basedOn w:val="DefaultParagraphFont"/>
    <w:link w:val="NoSpacing"/>
    <w:uiPriority w:val="1"/>
    <w:rsid w:val="00B10AAF"/>
    <w:rPr>
      <w:sz w:val="22"/>
      <w:szCs w:val="22"/>
      <w:lang w:eastAsia="ja-JP"/>
    </w:rPr>
  </w:style>
  <w:style w:type="character" w:customStyle="1" w:styleId="Heading1Char">
    <w:name w:val="Heading 1 Char"/>
    <w:basedOn w:val="DefaultParagraphFont"/>
    <w:link w:val="Heading1"/>
    <w:rsid w:val="00B10AAF"/>
    <w:rPr>
      <w:rFonts w:asciiTheme="majorHAnsi" w:eastAsiaTheme="majorEastAsia" w:hAnsiTheme="majorHAnsi" w:cstheme="majorBidi"/>
      <w:b/>
      <w:bCs/>
      <w:color w:val="2F5496" w:themeColor="accent1" w:themeShade="BF"/>
      <w:sz w:val="28"/>
      <w:szCs w:val="28"/>
      <w:lang w:eastAsia="en-US"/>
    </w:rPr>
  </w:style>
  <w:style w:type="table" w:styleId="TableGrid">
    <w:name w:val="Table Grid"/>
    <w:basedOn w:val="TableNormal"/>
    <w:rsid w:val="00B10AAF"/>
    <w:rPr>
      <w:rFonts w:ascii="Times New Roman" w:eastAsia="SimSu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B10AA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B10AAF"/>
    <w:rPr>
      <w:rFonts w:asciiTheme="majorHAnsi" w:eastAsiaTheme="majorEastAsia" w:hAnsiTheme="majorHAnsi" w:cstheme="majorBidi"/>
      <w:i/>
      <w:iCs/>
      <w:color w:val="4472C4" w:themeColor="accent1"/>
      <w:spacing w:val="15"/>
      <w:lang w:eastAsia="en-US"/>
    </w:rPr>
  </w:style>
  <w:style w:type="character" w:styleId="BookTitle">
    <w:name w:val="Book Title"/>
    <w:basedOn w:val="DefaultParagraphFont"/>
    <w:uiPriority w:val="33"/>
    <w:qFormat/>
    <w:rsid w:val="00B10AAF"/>
    <w:rPr>
      <w:b/>
      <w:bCs/>
      <w:smallCaps/>
      <w:spacing w:val="5"/>
    </w:rPr>
  </w:style>
  <w:style w:type="paragraph" w:styleId="ListParagraph">
    <w:name w:val="List Paragraph"/>
    <w:basedOn w:val="Normal"/>
    <w:uiPriority w:val="34"/>
    <w:qFormat/>
    <w:rsid w:val="00B10AAF"/>
    <w:pPr>
      <w:ind w:left="720"/>
      <w:contextualSpacing/>
    </w:pPr>
  </w:style>
  <w:style w:type="paragraph" w:styleId="NormalWeb">
    <w:name w:val="Normal (Web)"/>
    <w:basedOn w:val="Normal"/>
    <w:uiPriority w:val="99"/>
    <w:unhideWhenUsed/>
    <w:rsid w:val="00B10AAF"/>
    <w:pPr>
      <w:spacing w:before="100" w:beforeAutospacing="1" w:after="100" w:afterAutospacing="1"/>
    </w:pPr>
    <w:rPr>
      <w:rFonts w:ascii="Times New Roman" w:eastAsiaTheme="minorEastAsia" w:hAnsi="Times New Roman" w:cs="Times New Roman"/>
      <w:sz w:val="24"/>
      <w:szCs w:val="24"/>
    </w:rPr>
  </w:style>
  <w:style w:type="paragraph" w:styleId="EndnoteText">
    <w:name w:val="endnote text"/>
    <w:basedOn w:val="Normal"/>
    <w:link w:val="EndnoteTextChar"/>
    <w:uiPriority w:val="99"/>
    <w:rsid w:val="00930198"/>
    <w:rPr>
      <w:rFonts w:ascii="Times New Roman" w:eastAsia="Times New Roman" w:hAnsi="Times New Roman" w:cs="Times New Roman"/>
    </w:rPr>
  </w:style>
  <w:style w:type="character" w:customStyle="1" w:styleId="EndnoteTextChar">
    <w:name w:val="Endnote Text Char"/>
    <w:basedOn w:val="DefaultParagraphFont"/>
    <w:link w:val="EndnoteText"/>
    <w:uiPriority w:val="99"/>
    <w:rsid w:val="00930198"/>
    <w:rPr>
      <w:rFonts w:ascii="Times New Roman" w:eastAsia="Times New Roman" w:hAnsi="Times New Roman" w:cs="Times New Roman"/>
      <w:sz w:val="20"/>
      <w:szCs w:val="20"/>
      <w:lang w:eastAsia="en-US"/>
    </w:rPr>
  </w:style>
  <w:style w:type="character" w:styleId="EndnoteReference">
    <w:name w:val="endnote reference"/>
    <w:basedOn w:val="DefaultParagraphFont"/>
    <w:rsid w:val="00930198"/>
    <w:rPr>
      <w:vertAlign w:val="superscript"/>
    </w:rPr>
  </w:style>
  <w:style w:type="table" w:styleId="LightShading-Accent1">
    <w:name w:val="Light Shading Accent 1"/>
    <w:basedOn w:val="TableNormal"/>
    <w:uiPriority w:val="60"/>
    <w:rsid w:val="00930198"/>
    <w:rPr>
      <w:rFonts w:ascii="Times New Roman" w:eastAsia="Times New Roman" w:hAnsi="Times New Roman" w:cs="Times New Roman"/>
      <w:color w:val="2F5496" w:themeColor="accent1" w:themeShade="BF"/>
      <w:sz w:val="22"/>
      <w:szCs w:val="22"/>
      <w:lang w:eastAsia="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rsid w:val="00930198"/>
    <w:rPr>
      <w:rFonts w:cs="Times New Roman"/>
      <w:color w:val="0000FF"/>
      <w:u w:val="single"/>
    </w:rPr>
  </w:style>
  <w:style w:type="paragraph" w:styleId="Footer">
    <w:name w:val="footer"/>
    <w:basedOn w:val="Normal"/>
    <w:link w:val="FooterChar"/>
    <w:uiPriority w:val="99"/>
    <w:unhideWhenUsed/>
    <w:rsid w:val="00FE6FD3"/>
    <w:pPr>
      <w:tabs>
        <w:tab w:val="center" w:pos="4680"/>
        <w:tab w:val="right" w:pos="9360"/>
      </w:tabs>
    </w:pPr>
  </w:style>
  <w:style w:type="character" w:customStyle="1" w:styleId="FooterChar">
    <w:name w:val="Footer Char"/>
    <w:basedOn w:val="DefaultParagraphFont"/>
    <w:link w:val="Footer"/>
    <w:uiPriority w:val="99"/>
    <w:rsid w:val="00FE6FD3"/>
    <w:rPr>
      <w:rFonts w:ascii="Arial" w:eastAsia="SimSun" w:hAnsi="Arial" w:cs="Arial"/>
      <w:sz w:val="20"/>
      <w:szCs w:val="20"/>
      <w:lang w:eastAsia="en-US"/>
    </w:rPr>
  </w:style>
  <w:style w:type="character" w:styleId="PageNumber">
    <w:name w:val="page number"/>
    <w:basedOn w:val="DefaultParagraphFont"/>
    <w:uiPriority w:val="99"/>
    <w:semiHidden/>
    <w:unhideWhenUsed/>
    <w:rsid w:val="00FE6FD3"/>
  </w:style>
  <w:style w:type="paragraph" w:styleId="Header">
    <w:name w:val="header"/>
    <w:basedOn w:val="Normal"/>
    <w:link w:val="HeaderChar"/>
    <w:uiPriority w:val="99"/>
    <w:unhideWhenUsed/>
    <w:rsid w:val="00FE6FD3"/>
    <w:pPr>
      <w:tabs>
        <w:tab w:val="center" w:pos="4680"/>
        <w:tab w:val="right" w:pos="9360"/>
      </w:tabs>
    </w:pPr>
  </w:style>
  <w:style w:type="character" w:customStyle="1" w:styleId="HeaderChar">
    <w:name w:val="Header Char"/>
    <w:basedOn w:val="DefaultParagraphFont"/>
    <w:link w:val="Header"/>
    <w:uiPriority w:val="99"/>
    <w:rsid w:val="00FE6FD3"/>
    <w:rPr>
      <w:rFonts w:ascii="Arial" w:eastAsia="SimSun" w:hAnsi="Arial" w:cs="Arial"/>
      <w:sz w:val="20"/>
      <w:szCs w:val="20"/>
      <w:lang w:eastAsia="en-US"/>
    </w:rPr>
  </w:style>
  <w:style w:type="paragraph" w:styleId="FootnoteText">
    <w:name w:val="footnote text"/>
    <w:basedOn w:val="Normal"/>
    <w:link w:val="FootnoteTextChar"/>
    <w:rsid w:val="00C11D52"/>
    <w:rPr>
      <w:rFonts w:eastAsia="Times New Roman"/>
    </w:rPr>
  </w:style>
  <w:style w:type="character" w:customStyle="1" w:styleId="FootnoteTextChar">
    <w:name w:val="Footnote Text Char"/>
    <w:basedOn w:val="DefaultParagraphFont"/>
    <w:link w:val="FootnoteText"/>
    <w:rsid w:val="00C11D52"/>
    <w:rPr>
      <w:rFonts w:ascii="Arial" w:eastAsia="Times New Roman" w:hAnsi="Arial" w:cs="Arial"/>
      <w:sz w:val="20"/>
      <w:szCs w:val="20"/>
      <w:lang w:eastAsia="en-US"/>
    </w:rPr>
  </w:style>
  <w:style w:type="character" w:customStyle="1" w:styleId="Heading2Char">
    <w:name w:val="Heading 2 Char"/>
    <w:basedOn w:val="DefaultParagraphFont"/>
    <w:link w:val="Heading2"/>
    <w:uiPriority w:val="9"/>
    <w:rsid w:val="00EC4559"/>
    <w:rPr>
      <w:rFonts w:asciiTheme="majorHAnsi" w:eastAsiaTheme="majorEastAsia" w:hAnsiTheme="majorHAnsi" w:cstheme="majorBidi"/>
      <w:color w:val="2F5496" w:themeColor="accent1" w:themeShade="BF"/>
      <w:sz w:val="26"/>
      <w:szCs w:val="26"/>
      <w:lang w:eastAsia="en-US"/>
    </w:rPr>
  </w:style>
  <w:style w:type="character" w:styleId="UnresolvedMention">
    <w:name w:val="Unresolved Mention"/>
    <w:basedOn w:val="DefaultParagraphFont"/>
    <w:uiPriority w:val="99"/>
    <w:semiHidden/>
    <w:unhideWhenUsed/>
    <w:rsid w:val="00EC4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5412">
      <w:bodyDiv w:val="1"/>
      <w:marLeft w:val="0"/>
      <w:marRight w:val="0"/>
      <w:marTop w:val="0"/>
      <w:marBottom w:val="0"/>
      <w:divBdr>
        <w:top w:val="none" w:sz="0" w:space="0" w:color="auto"/>
        <w:left w:val="none" w:sz="0" w:space="0" w:color="auto"/>
        <w:bottom w:val="none" w:sz="0" w:space="0" w:color="auto"/>
        <w:right w:val="none" w:sz="0" w:space="0" w:color="auto"/>
      </w:divBdr>
    </w:div>
    <w:div w:id="958726744">
      <w:bodyDiv w:val="1"/>
      <w:marLeft w:val="0"/>
      <w:marRight w:val="0"/>
      <w:marTop w:val="0"/>
      <w:marBottom w:val="0"/>
      <w:divBdr>
        <w:top w:val="none" w:sz="0" w:space="0" w:color="auto"/>
        <w:left w:val="none" w:sz="0" w:space="0" w:color="auto"/>
        <w:bottom w:val="none" w:sz="0" w:space="0" w:color="auto"/>
        <w:right w:val="none" w:sz="0" w:space="0" w:color="auto"/>
      </w:divBdr>
    </w:div>
    <w:div w:id="146554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https://ma.quitlogix.org/en-US/" TargetMode="External"/><Relationship Id="rId3" Type="http://schemas.openxmlformats.org/officeDocument/2006/relationships/numbering" Target="numbering.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quitworks.makesmokinghistory.org" TargetMode="Externa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yperlink" Target="https://the84.or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s://www.mass.gov/guides/2019-tobacco-control-law" TargetMode="External"/><Relationship Id="rId28" Type="http://schemas.openxmlformats.org/officeDocument/2006/relationships/hyperlink" Target="http://makesmokinghistory.org/smoke-free-environments/" TargetMode="External"/><Relationship Id="rId10" Type="http://schemas.openxmlformats.org/officeDocument/2006/relationships/chart" Target="charts/chart1.xml"/><Relationship Id="rId19" Type="http://schemas.openxmlformats.org/officeDocument/2006/relationships/chart" Target="charts/chart9.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chart" Target="charts/chart4.xml"/><Relationship Id="rId22" Type="http://schemas.openxmlformats.org/officeDocument/2006/relationships/hyperlink" Target="http://makesmokinghistory.org/my-community/" TargetMode="External"/><Relationship Id="rId27" Type="http://schemas.openxmlformats.org/officeDocument/2006/relationships/hyperlink" Target="https://www.mass.gov/info-details/bureau-of-community-health-and-prevention-directory" TargetMode="External"/><Relationship Id="rId30" Type="http://schemas.openxmlformats.org/officeDocument/2006/relationships/footer" Target="footer2.xml"/></Relationships>
</file>

<file path=word/_rels/endnotes.xml.rels><?xml version="1.0" encoding="UTF-8" standalone="yes"?>
<Relationships xmlns="http://schemas.openxmlformats.org/package/2006/relationships"><Relationship Id="rId8" Type="http://schemas.openxmlformats.org/officeDocument/2006/relationships/hyperlink" Target="https://www.cdc.gov/chronicdisease/resources/publications/aag/pdf/2016/tobacco-aag.pdf" TargetMode="External"/><Relationship Id="rId3" Type="http://schemas.openxmlformats.org/officeDocument/2006/relationships/hyperlink" Target="https://www.tobaccofreekids.org/facts_issues/toll_us/massachusetts" TargetMode="External"/><Relationship Id="rId7" Type="http://schemas.openxmlformats.org/officeDocument/2006/relationships/hyperlink" Target="http://www.urban.org/sites/default/files/publication/54106/2000260-The-Housing-Affordability-Gap-for-Extremely-Low-Income-Renters-2013.pdf" TargetMode="External"/><Relationship Id="rId2" Type="http://schemas.openxmlformats.org/officeDocument/2006/relationships/hyperlink" Target="http://www.nejm.org/doi/full/10.1056/NEJMra0809890" TargetMode="External"/><Relationship Id="rId1" Type="http://schemas.openxmlformats.org/officeDocument/2006/relationships/hyperlink" Target="https://www.surgeongeneral.gov/library/reports/50-years-of-progress/exec-summary.pdf" TargetMode="External"/><Relationship Id="rId6" Type="http://schemas.openxmlformats.org/officeDocument/2006/relationships/hyperlink" Target="http://www.mass.gov/eohhs/docs/dph/tobacco-control/sammec-2006.pdf" TargetMode="External"/><Relationship Id="rId5" Type="http://schemas.openxmlformats.org/officeDocument/2006/relationships/hyperlink" Target="http://dx.doi.org/10.15585/mmwr.mm6552a1" TargetMode="External"/><Relationship Id="rId4" Type="http://schemas.openxmlformats.org/officeDocument/2006/relationships/hyperlink" Target="http://www.cdc.gov/tobacco/disparities/lgbt/index.htm"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CO-122.EHS.govt.state.ma.us\users\mkingsley\factsheet%20graphs%20v2.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8.xm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oleObject" Target="file:////DPH-FP-CO-122.EHS.govt.state.ma.us\users\mkingsley\factsheet%20graphs%20v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1" Type="http://schemas.openxmlformats.org/officeDocument/2006/relationships/oleObject" Target="file:////DPH-FP-CO-122.EHS.govt.state.ma.us\users\mkingsley\smoking%20rates%20over%20time.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dph-fp-co-121\dph3\BSAS\Groups\MTCP\Evaluation%20(Data)\Lindsay\BRFSS%20YRBS\BRFSS\Charts%20or%20Slides\Quitting%20Trend%20by%20Race%20Ethnicity%201996-2018.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oleObject" Target="file:////DPH-FP-CO-122.EHS.govt.state.ma.us\users\mkingsley\BRFSS%202019%20graphs.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4.xml"/></Relationships>
</file>

<file path=word/charts/_rels/chart6.xml.rels><?xml version="1.0" encoding="UTF-8" standalone="yes"?>
<Relationships xmlns="http://schemas.openxmlformats.org/package/2006/relationships"><Relationship Id="rId3" Type="http://schemas.openxmlformats.org/officeDocument/2006/relationships/oleObject" Target="file:////DPH-FP-CO-122.EHS.govt.state.ma.us\users\mkingsley\BRFSS%202019%20graph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DPH-FP-CO-122.EHS.govt.state.ma.us\users\mkingsley\BRFSS%202019%20graphs.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5.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package" Target="../embeddings/Microsoft_Excel_Worksheet.xlsx"/></Relationships>
</file>

<file path=word/charts/_rels/chart9.xml.rels><?xml version="1.0" encoding="UTF-8" standalone="yes"?>
<Relationships xmlns="http://schemas.openxmlformats.org/package/2006/relationships"><Relationship Id="rId3" Type="http://schemas.openxmlformats.org/officeDocument/2006/relationships/oleObject" Target="file:////DPH-FP-CO-122\users\Mkingsley\BRFSS%202016%20-%202019.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n-US" sz="1200" b="1" i="0" baseline="0">
                <a:effectLst/>
                <a:latin typeface="+mn-lt"/>
                <a:cs typeface="Arial" panose="020B0604020202020204" pitchFamily="34" charset="0"/>
              </a:rPr>
              <a:t>Figure 3. Adult Smoking Rate Among Subgroups: Massachusetts, 1996-2019</a:t>
            </a:r>
            <a:endParaRPr lang="en-US" sz="1200">
              <a:effectLst/>
              <a:latin typeface="+mn-lt"/>
              <a:cs typeface="Arial" panose="020B0604020202020204"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endParaRPr lang="en-US" sz="1200"/>
          </a:p>
        </c:rich>
      </c:tx>
      <c:layout>
        <c:manualLayout>
          <c:xMode val="edge"/>
          <c:yMode val="edge"/>
          <c:x val="0.11470121628767847"/>
          <c:y val="2.2678367494139576E-3"/>
        </c:manualLayout>
      </c:layout>
      <c:overlay val="1"/>
    </c:title>
    <c:autoTitleDeleted val="0"/>
    <c:plotArea>
      <c:layout>
        <c:manualLayout>
          <c:layoutTarget val="inner"/>
          <c:xMode val="edge"/>
          <c:yMode val="edge"/>
          <c:x val="5.8010235767161231E-2"/>
          <c:y val="8.9926020945821986E-2"/>
          <c:w val="0.70831040334120587"/>
          <c:h val="0.82628007720871999"/>
        </c:manualLayout>
      </c:layout>
      <c:scatterChart>
        <c:scatterStyle val="lineMarker"/>
        <c:varyColors val="0"/>
        <c:ser>
          <c:idx val="1"/>
          <c:order val="0"/>
          <c:tx>
            <c:strRef>
              <c:f>'Figure 2'!$C$1</c:f>
              <c:strCache>
                <c:ptCount val="1"/>
                <c:pt idx="0">
                  <c:v>Poor mental health (15+ days of poor mental health in past month)</c:v>
                </c:pt>
              </c:strCache>
            </c:strRef>
          </c:tx>
          <c:spPr>
            <a:ln w="12700"/>
          </c:spPr>
          <c:marker>
            <c:symbol val="square"/>
            <c:size val="4"/>
          </c:marker>
          <c:dPt>
            <c:idx val="16"/>
            <c:bubble3D val="0"/>
            <c:spPr>
              <a:ln w="12700">
                <a:noFill/>
              </a:ln>
            </c:spPr>
            <c:extLst>
              <c:ext xmlns:c16="http://schemas.microsoft.com/office/drawing/2014/chart" uri="{C3380CC4-5D6E-409C-BE32-E72D297353CC}">
                <c16:uniqueId val="{00000001-FF03-1540-B8D0-693A72945922}"/>
              </c:ext>
            </c:extLst>
          </c:dPt>
          <c:dLbls>
            <c:dLbl>
              <c:idx val="0"/>
              <c:layout>
                <c:manualLayout>
                  <c:x val="-1.0957589714066407E-2"/>
                  <c:y val="-4.14789139225881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1-FF03-1540-B8D0-693A72945922}"/>
                </c:ext>
              </c:extLst>
            </c:dLbl>
            <c:dLbl>
              <c:idx val="1"/>
              <c:delete val="1"/>
              <c:extLst>
                <c:ext xmlns:c15="http://schemas.microsoft.com/office/drawing/2012/chart" uri="{CE6537A1-D6FC-4f65-9D91-7224C49458BB}"/>
                <c:ext xmlns:c16="http://schemas.microsoft.com/office/drawing/2014/chart" uri="{C3380CC4-5D6E-409C-BE32-E72D297353CC}">
                  <c16:uniqueId val="{00000016-FF03-1540-B8D0-693A72945922}"/>
                </c:ext>
              </c:extLst>
            </c:dLbl>
            <c:dLbl>
              <c:idx val="2"/>
              <c:layout>
                <c:manualLayout>
                  <c:x val="-3.2066781807714467E-2"/>
                  <c:y val="-5.30329289428076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B-FF03-1540-B8D0-693A72945922}"/>
                </c:ext>
              </c:extLst>
            </c:dLbl>
            <c:dLbl>
              <c:idx val="3"/>
              <c:delete val="1"/>
              <c:extLst>
                <c:ext xmlns:c15="http://schemas.microsoft.com/office/drawing/2012/chart" uri="{CE6537A1-D6FC-4f65-9D91-7224C49458BB}"/>
                <c:ext xmlns:c16="http://schemas.microsoft.com/office/drawing/2014/chart" uri="{C3380CC4-5D6E-409C-BE32-E72D297353CC}">
                  <c16:uniqueId val="{00000017-FF03-1540-B8D0-693A72945922}"/>
                </c:ext>
              </c:extLst>
            </c:dLbl>
            <c:dLbl>
              <c:idx val="5"/>
              <c:delete val="1"/>
              <c:extLst>
                <c:ext xmlns:c15="http://schemas.microsoft.com/office/drawing/2012/chart" uri="{CE6537A1-D6FC-4f65-9D91-7224C49458BB}"/>
                <c:ext xmlns:c16="http://schemas.microsoft.com/office/drawing/2014/chart" uri="{C3380CC4-5D6E-409C-BE32-E72D297353CC}">
                  <c16:uniqueId val="{00000018-FF03-1540-B8D0-693A72945922}"/>
                </c:ext>
              </c:extLst>
            </c:dLbl>
            <c:dLbl>
              <c:idx val="7"/>
              <c:delete val="1"/>
              <c:extLst>
                <c:ext xmlns:c15="http://schemas.microsoft.com/office/drawing/2012/chart" uri="{CE6537A1-D6FC-4f65-9D91-7224C49458BB}"/>
                <c:ext xmlns:c16="http://schemas.microsoft.com/office/drawing/2014/chart" uri="{C3380CC4-5D6E-409C-BE32-E72D297353CC}">
                  <c16:uniqueId val="{00000019-FF03-1540-B8D0-693A72945922}"/>
                </c:ext>
              </c:extLst>
            </c:dLbl>
            <c:dLbl>
              <c:idx val="9"/>
              <c:delete val="1"/>
              <c:extLst>
                <c:ext xmlns:c15="http://schemas.microsoft.com/office/drawing/2012/chart" uri="{CE6537A1-D6FC-4f65-9D91-7224C49458BB}"/>
                <c:ext xmlns:c16="http://schemas.microsoft.com/office/drawing/2014/chart" uri="{C3380CC4-5D6E-409C-BE32-E72D297353CC}">
                  <c16:uniqueId val="{0000001A-FF03-1540-B8D0-693A72945922}"/>
                </c:ext>
              </c:extLst>
            </c:dLbl>
            <c:dLbl>
              <c:idx val="10"/>
              <c:layout>
                <c:manualLayout>
                  <c:x val="-3.0147764344655607E-2"/>
                  <c:y val="-5.68842672828807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D-FF03-1540-B8D0-693A72945922}"/>
                </c:ext>
              </c:extLst>
            </c:dLbl>
            <c:dLbl>
              <c:idx val="11"/>
              <c:delete val="1"/>
              <c:extLst>
                <c:ext xmlns:c15="http://schemas.microsoft.com/office/drawing/2012/chart" uri="{CE6537A1-D6FC-4f65-9D91-7224C49458BB}"/>
                <c:ext xmlns:c16="http://schemas.microsoft.com/office/drawing/2014/chart" uri="{C3380CC4-5D6E-409C-BE32-E72D297353CC}">
                  <c16:uniqueId val="{0000001B-FF03-1540-B8D0-693A72945922}"/>
                </c:ext>
              </c:extLst>
            </c:dLbl>
            <c:dLbl>
              <c:idx val="12"/>
              <c:layout>
                <c:manualLayout>
                  <c:x val="-2.6309729418537708E-2"/>
                  <c:y val="-4.53302522626612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FF03-1540-B8D0-693A72945922}"/>
                </c:ext>
              </c:extLst>
            </c:dLbl>
            <c:dLbl>
              <c:idx val="13"/>
              <c:delete val="1"/>
              <c:extLst>
                <c:ext xmlns:c15="http://schemas.microsoft.com/office/drawing/2012/chart" uri="{CE6537A1-D6FC-4f65-9D91-7224C49458BB}"/>
                <c:ext xmlns:c16="http://schemas.microsoft.com/office/drawing/2014/chart" uri="{C3380CC4-5D6E-409C-BE32-E72D297353CC}">
                  <c16:uniqueId val="{0000001C-FF03-1540-B8D0-693A72945922}"/>
                </c:ext>
              </c:extLst>
            </c:dLbl>
            <c:dLbl>
              <c:idx val="15"/>
              <c:delete val="1"/>
              <c:extLst>
                <c:ext xmlns:c15="http://schemas.microsoft.com/office/drawing/2012/chart" uri="{CE6537A1-D6FC-4f65-9D91-7224C49458BB}"/>
                <c:ext xmlns:c16="http://schemas.microsoft.com/office/drawing/2014/chart" uri="{C3380CC4-5D6E-409C-BE32-E72D297353CC}">
                  <c16:uniqueId val="{0000001D-FF03-1540-B8D0-693A72945922}"/>
                </c:ext>
              </c:extLst>
            </c:dLbl>
            <c:dLbl>
              <c:idx val="16"/>
              <c:layout>
                <c:manualLayout>
                  <c:x val="-2.6309729418537708E-2"/>
                  <c:y val="-4.1478913922588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03-1540-B8D0-693A72945922}"/>
                </c:ext>
              </c:extLst>
            </c:dLbl>
            <c:dLbl>
              <c:idx val="17"/>
              <c:delete val="1"/>
              <c:extLst>
                <c:ext xmlns:c15="http://schemas.microsoft.com/office/drawing/2012/chart" uri="{CE6537A1-D6FC-4f65-9D91-7224C49458BB}"/>
                <c:ext xmlns:c16="http://schemas.microsoft.com/office/drawing/2014/chart" uri="{C3380CC4-5D6E-409C-BE32-E72D297353CC}">
                  <c16:uniqueId val="{0000001E-FF03-1540-B8D0-693A72945922}"/>
                </c:ext>
              </c:extLst>
            </c:dLbl>
            <c:dLbl>
              <c:idx val="19"/>
              <c:delete val="1"/>
              <c:extLst>
                <c:ext xmlns:c15="http://schemas.microsoft.com/office/drawing/2012/chart" uri="{CE6537A1-D6FC-4f65-9D91-7224C49458BB}"/>
                <c:ext xmlns:c16="http://schemas.microsoft.com/office/drawing/2014/chart" uri="{C3380CC4-5D6E-409C-BE32-E72D297353CC}">
                  <c16:uniqueId val="{0000001F-FF03-1540-B8D0-693A72945922}"/>
                </c:ext>
              </c:extLst>
            </c:dLbl>
            <c:dLbl>
              <c:idx val="21"/>
              <c:delete val="1"/>
              <c:extLst>
                <c:ext xmlns:c15="http://schemas.microsoft.com/office/drawing/2012/chart" uri="{CE6537A1-D6FC-4f65-9D91-7224C49458BB}"/>
                <c:ext xmlns:c16="http://schemas.microsoft.com/office/drawing/2014/chart" uri="{C3380CC4-5D6E-409C-BE32-E72D297353CC}">
                  <c16:uniqueId val="{00000020-FF03-1540-B8D0-693A72945922}"/>
                </c:ext>
              </c:extLst>
            </c:dLbl>
            <c:dLbl>
              <c:idx val="22"/>
              <c:layout>
                <c:manualLayout>
                  <c:x val="-2.4390711955478796E-2"/>
                  <c:y val="-4.1478913922588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F-FF03-1540-B8D0-693A72945922}"/>
                </c:ext>
              </c:extLst>
            </c:dLbl>
            <c:dLbl>
              <c:idx val="23"/>
              <c:delete val="1"/>
              <c:extLst>
                <c:ext xmlns:c15="http://schemas.microsoft.com/office/drawing/2012/chart" uri="{CE6537A1-D6FC-4f65-9D91-7224C49458BB}"/>
                <c:ext xmlns:c16="http://schemas.microsoft.com/office/drawing/2014/chart" uri="{C3380CC4-5D6E-409C-BE32-E72D297353CC}">
                  <c16:uniqueId val="{00000021-FF03-1540-B8D0-693A72945922}"/>
                </c:ext>
              </c:extLst>
            </c:dLbl>
            <c:spPr>
              <a:noFill/>
              <a:ln>
                <a:noFill/>
              </a:ln>
              <a:effectLst/>
            </c:spPr>
            <c:txPr>
              <a:bodyPr wrap="square" lIns="38100" tIns="19050" rIns="38100" bIns="19050" anchor="ctr">
                <a:spAutoFit/>
              </a:bodyPr>
              <a:lstStyle/>
              <a:p>
                <a:pPr>
                  <a:defRPr sz="7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'Figure 2'!$A$2:$A$25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'Figure 2'!$C$2:$C$25</c:f>
              <c:numCache>
                <c:formatCode>0.0%</c:formatCode>
                <c:ptCount val="24"/>
                <c:pt idx="0">
                  <c:v>0.39200000000000002</c:v>
                </c:pt>
                <c:pt idx="1">
                  <c:v>0.35899999999999999</c:v>
                </c:pt>
                <c:pt idx="2">
                  <c:v>0.32500000000000001</c:v>
                </c:pt>
                <c:pt idx="3">
                  <c:v>0.35299999999999998</c:v>
                </c:pt>
                <c:pt idx="4">
                  <c:v>0.373</c:v>
                </c:pt>
                <c:pt idx="5">
                  <c:v>0.35799999999999998</c:v>
                </c:pt>
                <c:pt idx="6">
                  <c:v>0.35399999999999998</c:v>
                </c:pt>
                <c:pt idx="7">
                  <c:v>0.36399999999999999</c:v>
                </c:pt>
                <c:pt idx="8">
                  <c:v>0.36299999999999999</c:v>
                </c:pt>
                <c:pt idx="9">
                  <c:v>0.36499999999999999</c:v>
                </c:pt>
                <c:pt idx="10">
                  <c:v>0.32300000000000001</c:v>
                </c:pt>
                <c:pt idx="11">
                  <c:v>0.35799999999999998</c:v>
                </c:pt>
                <c:pt idx="12">
                  <c:v>0.32400000000000001</c:v>
                </c:pt>
                <c:pt idx="13">
                  <c:v>0.33800000000000002</c:v>
                </c:pt>
                <c:pt idx="14">
                  <c:v>0.34399999999999997</c:v>
                </c:pt>
                <c:pt idx="15">
                  <c:v>0.374</c:v>
                </c:pt>
                <c:pt idx="16">
                  <c:v>0.36299999999999999</c:v>
                </c:pt>
                <c:pt idx="17">
                  <c:v>0.33500000000000002</c:v>
                </c:pt>
                <c:pt idx="18">
                  <c:v>0.33100000000000002</c:v>
                </c:pt>
                <c:pt idx="19">
                  <c:v>0.30099999999999999</c:v>
                </c:pt>
                <c:pt idx="20">
                  <c:v>0.27600000000000002</c:v>
                </c:pt>
                <c:pt idx="21">
                  <c:v>0.29299999999999998</c:v>
                </c:pt>
                <c:pt idx="22">
                  <c:v>0.24299999999999999</c:v>
                </c:pt>
                <c:pt idx="23">
                  <c:v>0.252</c:v>
                </c:pt>
              </c:numCache>
            </c:numRef>
          </c:yVal>
          <c:smooth val="0"/>
          <c:extLst>
            <c:ext xmlns:c16="http://schemas.microsoft.com/office/drawing/2014/chart" uri="{C3380CC4-5D6E-409C-BE32-E72D297353CC}">
              <c16:uniqueId val="{00000002-FF03-1540-B8D0-693A72945922}"/>
            </c:ext>
          </c:extLst>
        </c:ser>
        <c:ser>
          <c:idx val="2"/>
          <c:order val="1"/>
          <c:tx>
            <c:strRef>
              <c:f>'Figure 2'!$D$1</c:f>
              <c:strCache>
                <c:ptCount val="1"/>
                <c:pt idx="0">
                  <c:v>Low SES (&lt;$25K household income or High school education or less)</c:v>
                </c:pt>
              </c:strCache>
            </c:strRef>
          </c:tx>
          <c:spPr>
            <a:ln w="12700"/>
          </c:spPr>
          <c:marker>
            <c:symbol val="triangle"/>
            <c:size val="4"/>
          </c:marker>
          <c:dPt>
            <c:idx val="16"/>
            <c:bubble3D val="0"/>
            <c:spPr>
              <a:ln w="12700">
                <a:noFill/>
              </a:ln>
            </c:spPr>
            <c:extLst>
              <c:ext xmlns:c16="http://schemas.microsoft.com/office/drawing/2014/chart" uri="{C3380CC4-5D6E-409C-BE32-E72D297353CC}">
                <c16:uniqueId val="{00000004-FF03-1540-B8D0-693A72945922}"/>
              </c:ext>
            </c:extLst>
          </c:dPt>
          <c:dLbls>
            <c:dLbl>
              <c:idx val="0"/>
              <c:layout>
                <c:manualLayout>
                  <c:x val="-1.0957589714066407E-2"/>
                  <c:y val="-4.1478913922588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FF03-1540-B8D0-693A72945922}"/>
                </c:ext>
              </c:extLst>
            </c:dLbl>
            <c:dLbl>
              <c:idx val="1"/>
              <c:delete val="1"/>
              <c:extLst>
                <c:ext xmlns:c15="http://schemas.microsoft.com/office/drawing/2012/chart" uri="{CE6537A1-D6FC-4f65-9D91-7224C49458BB}"/>
                <c:ext xmlns:c16="http://schemas.microsoft.com/office/drawing/2014/chart" uri="{C3380CC4-5D6E-409C-BE32-E72D297353CC}">
                  <c16:uniqueId val="{00000022-FF03-1540-B8D0-693A72945922}"/>
                </c:ext>
              </c:extLst>
            </c:dLbl>
            <c:dLbl>
              <c:idx val="2"/>
              <c:layout>
                <c:manualLayout>
                  <c:x val="-3.2066781807714467E-2"/>
                  <c:y val="-2.60735605622953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FF03-1540-B8D0-693A72945922}"/>
                </c:ext>
              </c:extLst>
            </c:dLbl>
            <c:dLbl>
              <c:idx val="3"/>
              <c:delete val="1"/>
              <c:extLst>
                <c:ext xmlns:c15="http://schemas.microsoft.com/office/drawing/2012/chart" uri="{CE6537A1-D6FC-4f65-9D91-7224C49458BB}"/>
                <c:ext xmlns:c16="http://schemas.microsoft.com/office/drawing/2014/chart" uri="{C3380CC4-5D6E-409C-BE32-E72D297353CC}">
                  <c16:uniqueId val="{0000002F-FF03-1540-B8D0-693A72945922}"/>
                </c:ext>
              </c:extLst>
            </c:dLbl>
            <c:dLbl>
              <c:idx val="5"/>
              <c:delete val="1"/>
              <c:extLst>
                <c:ext xmlns:c15="http://schemas.microsoft.com/office/drawing/2012/chart" uri="{CE6537A1-D6FC-4f65-9D91-7224C49458BB}"/>
                <c:ext xmlns:c16="http://schemas.microsoft.com/office/drawing/2014/chart" uri="{C3380CC4-5D6E-409C-BE32-E72D297353CC}">
                  <c16:uniqueId val="{00000030-FF03-1540-B8D0-693A72945922}"/>
                </c:ext>
              </c:extLst>
            </c:dLbl>
            <c:dLbl>
              <c:idx val="7"/>
              <c:delete val="1"/>
              <c:extLst>
                <c:ext xmlns:c15="http://schemas.microsoft.com/office/drawing/2012/chart" uri="{CE6537A1-D6FC-4f65-9D91-7224C49458BB}"/>
                <c:ext xmlns:c16="http://schemas.microsoft.com/office/drawing/2014/chart" uri="{C3380CC4-5D6E-409C-BE32-E72D297353CC}">
                  <c16:uniqueId val="{00000031-FF03-1540-B8D0-693A72945922}"/>
                </c:ext>
              </c:extLst>
            </c:dLbl>
            <c:dLbl>
              <c:idx val="9"/>
              <c:delete val="1"/>
              <c:extLst>
                <c:ext xmlns:c15="http://schemas.microsoft.com/office/drawing/2012/chart" uri="{CE6537A1-D6FC-4f65-9D91-7224C49458BB}"/>
                <c:ext xmlns:c16="http://schemas.microsoft.com/office/drawing/2014/chart" uri="{C3380CC4-5D6E-409C-BE32-E72D297353CC}">
                  <c16:uniqueId val="{00000032-FF03-1540-B8D0-693A72945922}"/>
                </c:ext>
              </c:extLst>
            </c:dLbl>
            <c:dLbl>
              <c:idx val="11"/>
              <c:delete val="1"/>
              <c:extLst>
                <c:ext xmlns:c15="http://schemas.microsoft.com/office/drawing/2012/chart" uri="{CE6537A1-D6FC-4f65-9D91-7224C49458BB}"/>
                <c:ext xmlns:c16="http://schemas.microsoft.com/office/drawing/2014/chart" uri="{C3380CC4-5D6E-409C-BE32-E72D297353CC}">
                  <c16:uniqueId val="{00000033-FF03-1540-B8D0-693A72945922}"/>
                </c:ext>
              </c:extLst>
            </c:dLbl>
            <c:dLbl>
              <c:idx val="13"/>
              <c:delete val="1"/>
              <c:extLst>
                <c:ext xmlns:c15="http://schemas.microsoft.com/office/drawing/2012/chart" uri="{CE6537A1-D6FC-4f65-9D91-7224C49458BB}"/>
                <c:ext xmlns:c16="http://schemas.microsoft.com/office/drawing/2014/chart" uri="{C3380CC4-5D6E-409C-BE32-E72D297353CC}">
                  <c16:uniqueId val="{00000034-FF03-1540-B8D0-693A72945922}"/>
                </c:ext>
              </c:extLst>
            </c:dLbl>
            <c:dLbl>
              <c:idx val="15"/>
              <c:delete val="1"/>
              <c:extLst>
                <c:ext xmlns:c15="http://schemas.microsoft.com/office/drawing/2012/chart" uri="{CE6537A1-D6FC-4f65-9D91-7224C49458BB}"/>
                <c:ext xmlns:c16="http://schemas.microsoft.com/office/drawing/2014/chart" uri="{C3380CC4-5D6E-409C-BE32-E72D297353CC}">
                  <c16:uniqueId val="{00000035-FF03-1540-B8D0-693A72945922}"/>
                </c:ext>
              </c:extLst>
            </c:dLbl>
            <c:dLbl>
              <c:idx val="16"/>
              <c:layout>
                <c:manualLayout>
                  <c:x val="-2.4390711955478796E-2"/>
                  <c:y val="-4.14789139225881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03-1540-B8D0-693A72945922}"/>
                </c:ext>
              </c:extLst>
            </c:dLbl>
            <c:dLbl>
              <c:idx val="17"/>
              <c:delete val="1"/>
              <c:extLst>
                <c:ext xmlns:c15="http://schemas.microsoft.com/office/drawing/2012/chart" uri="{CE6537A1-D6FC-4f65-9D91-7224C49458BB}"/>
                <c:ext xmlns:c16="http://schemas.microsoft.com/office/drawing/2014/chart" uri="{C3380CC4-5D6E-409C-BE32-E72D297353CC}">
                  <c16:uniqueId val="{00000036-FF03-1540-B8D0-693A72945922}"/>
                </c:ext>
              </c:extLst>
            </c:dLbl>
            <c:dLbl>
              <c:idx val="19"/>
              <c:delete val="1"/>
              <c:extLst>
                <c:ext xmlns:c15="http://schemas.microsoft.com/office/drawing/2012/chart" uri="{CE6537A1-D6FC-4f65-9D91-7224C49458BB}"/>
                <c:ext xmlns:c16="http://schemas.microsoft.com/office/drawing/2014/chart" uri="{C3380CC4-5D6E-409C-BE32-E72D297353CC}">
                  <c16:uniqueId val="{00000037-FF03-1540-B8D0-693A72945922}"/>
                </c:ext>
              </c:extLst>
            </c:dLbl>
            <c:dLbl>
              <c:idx val="21"/>
              <c:delete val="1"/>
              <c:extLst>
                <c:ext xmlns:c15="http://schemas.microsoft.com/office/drawing/2012/chart" uri="{CE6537A1-D6FC-4f65-9D91-7224C49458BB}"/>
                <c:ext xmlns:c16="http://schemas.microsoft.com/office/drawing/2014/chart" uri="{C3380CC4-5D6E-409C-BE32-E72D297353CC}">
                  <c16:uniqueId val="{00000038-FF03-1540-B8D0-693A72945922}"/>
                </c:ext>
              </c:extLst>
            </c:dLbl>
            <c:dLbl>
              <c:idx val="22"/>
              <c:layout>
                <c:manualLayout>
                  <c:x val="-3.2066781807714453E-2"/>
                  <c:y val="-1.83708838821490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FF03-1540-B8D0-693A72945922}"/>
                </c:ext>
              </c:extLst>
            </c:dLbl>
            <c:dLbl>
              <c:idx val="23"/>
              <c:delete val="1"/>
              <c:extLst>
                <c:ext xmlns:c15="http://schemas.microsoft.com/office/drawing/2012/chart" uri="{CE6537A1-D6FC-4f65-9D91-7224C49458BB}"/>
                <c:ext xmlns:c16="http://schemas.microsoft.com/office/drawing/2014/chart" uri="{C3380CC4-5D6E-409C-BE32-E72D297353CC}">
                  <c16:uniqueId val="{00000039-FF03-1540-B8D0-693A72945922}"/>
                </c:ext>
              </c:extLst>
            </c:dLbl>
            <c:spPr>
              <a:noFill/>
              <a:ln>
                <a:noFill/>
              </a:ln>
              <a:effectLst/>
            </c:spPr>
            <c:txPr>
              <a:bodyPr wrap="square" lIns="38100" tIns="19050" rIns="38100" bIns="19050" anchor="ctr">
                <a:spAutoFit/>
              </a:bodyPr>
              <a:lstStyle/>
              <a:p>
                <a:pPr>
                  <a:defRPr sz="7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'Figure 2'!$A$2:$A$25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'Figure 2'!$D$2:$D$25</c:f>
              <c:numCache>
                <c:formatCode>0.0%</c:formatCode>
                <c:ptCount val="24"/>
                <c:pt idx="0">
                  <c:v>0.29699999999999999</c:v>
                </c:pt>
                <c:pt idx="1">
                  <c:v>0.25900000000000001</c:v>
                </c:pt>
                <c:pt idx="2">
                  <c:v>0.28899999999999998</c:v>
                </c:pt>
                <c:pt idx="3">
                  <c:v>0.26600000000000001</c:v>
                </c:pt>
                <c:pt idx="4">
                  <c:v>0.26100000000000001</c:v>
                </c:pt>
                <c:pt idx="5">
                  <c:v>0.26700000000000002</c:v>
                </c:pt>
                <c:pt idx="6">
                  <c:v>0.26200000000000001</c:v>
                </c:pt>
                <c:pt idx="7">
                  <c:v>0.26200000000000001</c:v>
                </c:pt>
                <c:pt idx="8">
                  <c:v>0.26500000000000001</c:v>
                </c:pt>
                <c:pt idx="9">
                  <c:v>0.27100000000000002</c:v>
                </c:pt>
                <c:pt idx="10">
                  <c:v>0.26200000000000001</c:v>
                </c:pt>
                <c:pt idx="11">
                  <c:v>0.253</c:v>
                </c:pt>
                <c:pt idx="12">
                  <c:v>0.24199999999999999</c:v>
                </c:pt>
                <c:pt idx="13">
                  <c:v>0.23</c:v>
                </c:pt>
                <c:pt idx="14">
                  <c:v>0.23300000000000001</c:v>
                </c:pt>
                <c:pt idx="15">
                  <c:v>0.26100000000000001</c:v>
                </c:pt>
                <c:pt idx="16">
                  <c:v>0.24199999999999999</c:v>
                </c:pt>
                <c:pt idx="17">
                  <c:v>0.23899999999999999</c:v>
                </c:pt>
                <c:pt idx="18">
                  <c:v>0.222</c:v>
                </c:pt>
                <c:pt idx="19">
                  <c:v>0.20699999999999999</c:v>
                </c:pt>
                <c:pt idx="20">
                  <c:v>0.20499999999999999</c:v>
                </c:pt>
                <c:pt idx="21">
                  <c:v>0.20799999999999999</c:v>
                </c:pt>
                <c:pt idx="22">
                  <c:v>0.22</c:v>
                </c:pt>
                <c:pt idx="23">
                  <c:v>0.22</c:v>
                </c:pt>
              </c:numCache>
            </c:numRef>
          </c:yVal>
          <c:smooth val="0"/>
          <c:extLst>
            <c:ext xmlns:c16="http://schemas.microsoft.com/office/drawing/2014/chart" uri="{C3380CC4-5D6E-409C-BE32-E72D297353CC}">
              <c16:uniqueId val="{00000005-FF03-1540-B8D0-693A72945922}"/>
            </c:ext>
          </c:extLst>
        </c:ser>
        <c:ser>
          <c:idx val="0"/>
          <c:order val="2"/>
          <c:tx>
            <c:strRef>
              <c:f>'Figure 2'!$B$1</c:f>
              <c:strCache>
                <c:ptCount val="1"/>
                <c:pt idx="0">
                  <c:v>All adults</c:v>
                </c:pt>
              </c:strCache>
            </c:strRef>
          </c:tx>
          <c:spPr>
            <a:ln w="38100"/>
          </c:spPr>
          <c:marker>
            <c:symbol val="diamond"/>
            <c:size val="7"/>
          </c:marker>
          <c:dPt>
            <c:idx val="16"/>
            <c:bubble3D val="0"/>
            <c:spPr>
              <a:ln w="38100">
                <a:noFill/>
              </a:ln>
            </c:spPr>
            <c:extLst>
              <c:ext xmlns:c16="http://schemas.microsoft.com/office/drawing/2014/chart" uri="{C3380CC4-5D6E-409C-BE32-E72D297353CC}">
                <c16:uniqueId val="{00000007-FF03-1540-B8D0-693A72945922}"/>
              </c:ext>
            </c:extLst>
          </c:dPt>
          <c:dLbls>
            <c:dLbl>
              <c:idx val="0"/>
              <c:delete val="1"/>
              <c:extLst>
                <c:ext xmlns:c15="http://schemas.microsoft.com/office/drawing/2012/chart" uri="{CE6537A1-D6FC-4f65-9D91-7224C49458BB}"/>
                <c:ext xmlns:c16="http://schemas.microsoft.com/office/drawing/2014/chart" uri="{C3380CC4-5D6E-409C-BE32-E72D297353CC}">
                  <c16:uniqueId val="{00000008-FF03-1540-B8D0-693A72945922}"/>
                </c:ext>
              </c:extLst>
            </c:dLbl>
            <c:dLbl>
              <c:idx val="2"/>
              <c:delete val="1"/>
              <c:extLst>
                <c:ext xmlns:c15="http://schemas.microsoft.com/office/drawing/2012/chart" uri="{CE6537A1-D6FC-4f65-9D91-7224C49458BB}"/>
                <c:ext xmlns:c16="http://schemas.microsoft.com/office/drawing/2014/chart" uri="{C3380CC4-5D6E-409C-BE32-E72D297353CC}">
                  <c16:uniqueId val="{00000009-FF03-1540-B8D0-693A72945922}"/>
                </c:ext>
              </c:extLst>
            </c:dLbl>
            <c:dLbl>
              <c:idx val="4"/>
              <c:layout>
                <c:manualLayout>
                  <c:x val="-2.7269238150067165E-2"/>
                  <c:y val="-4.7255921432697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FF03-1540-B8D0-693A72945922}"/>
                </c:ext>
              </c:extLst>
            </c:dLbl>
            <c:dLbl>
              <c:idx val="5"/>
              <c:delete val="1"/>
              <c:extLst>
                <c:ext xmlns:c15="http://schemas.microsoft.com/office/drawing/2012/chart" uri="{CE6537A1-D6FC-4f65-9D91-7224C49458BB}"/>
                <c:ext xmlns:c16="http://schemas.microsoft.com/office/drawing/2014/chart" uri="{C3380CC4-5D6E-409C-BE32-E72D297353CC}">
                  <c16:uniqueId val="{0000000A-FF03-1540-B8D0-693A72945922}"/>
                </c:ext>
              </c:extLst>
            </c:dLbl>
            <c:dLbl>
              <c:idx val="7"/>
              <c:delete val="1"/>
              <c:extLst>
                <c:ext xmlns:c15="http://schemas.microsoft.com/office/drawing/2012/chart" uri="{CE6537A1-D6FC-4f65-9D91-7224C49458BB}"/>
                <c:ext xmlns:c16="http://schemas.microsoft.com/office/drawing/2014/chart" uri="{C3380CC4-5D6E-409C-BE32-E72D297353CC}">
                  <c16:uniqueId val="{0000000B-FF03-1540-B8D0-693A72945922}"/>
                </c:ext>
              </c:extLst>
            </c:dLbl>
            <c:dLbl>
              <c:idx val="10"/>
              <c:delete val="1"/>
              <c:extLst>
                <c:ext xmlns:c15="http://schemas.microsoft.com/office/drawing/2012/chart" uri="{CE6537A1-D6FC-4f65-9D91-7224C49458BB}"/>
                <c:ext xmlns:c16="http://schemas.microsoft.com/office/drawing/2014/chart" uri="{C3380CC4-5D6E-409C-BE32-E72D297353CC}">
                  <c16:uniqueId val="{0000000C-FF03-1540-B8D0-693A72945922}"/>
                </c:ext>
              </c:extLst>
            </c:dLbl>
            <c:dLbl>
              <c:idx val="12"/>
              <c:delete val="1"/>
              <c:extLst>
                <c:ext xmlns:c15="http://schemas.microsoft.com/office/drawing/2012/chart" uri="{CE6537A1-D6FC-4f65-9D91-7224C49458BB}"/>
                <c:ext xmlns:c16="http://schemas.microsoft.com/office/drawing/2014/chart" uri="{C3380CC4-5D6E-409C-BE32-E72D297353CC}">
                  <c16:uniqueId val="{0000000D-FF03-1540-B8D0-693A72945922}"/>
                </c:ext>
              </c:extLst>
            </c:dLbl>
            <c:dLbl>
              <c:idx val="14"/>
              <c:delete val="1"/>
              <c:extLst>
                <c:ext xmlns:c15="http://schemas.microsoft.com/office/drawing/2012/chart" uri="{CE6537A1-D6FC-4f65-9D91-7224C49458BB}"/>
                <c:ext xmlns:c16="http://schemas.microsoft.com/office/drawing/2014/chart" uri="{C3380CC4-5D6E-409C-BE32-E72D297353CC}">
                  <c16:uniqueId val="{0000000E-FF03-1540-B8D0-693A72945922}"/>
                </c:ext>
              </c:extLst>
            </c:dLbl>
            <c:dLbl>
              <c:idx val="15"/>
              <c:layout>
                <c:manualLayout>
                  <c:x val="-4.0702360391479633E-2"/>
                  <c:y val="-4.72559214326979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FF03-1540-B8D0-693A72945922}"/>
                </c:ext>
              </c:extLst>
            </c:dLbl>
            <c:dLbl>
              <c:idx val="16"/>
              <c:delete val="1"/>
              <c:extLst>
                <c:ext xmlns:c15="http://schemas.microsoft.com/office/drawing/2012/chart" uri="{CE6537A1-D6FC-4f65-9D91-7224C49458BB}"/>
                <c:ext xmlns:c16="http://schemas.microsoft.com/office/drawing/2014/chart" uri="{C3380CC4-5D6E-409C-BE32-E72D297353CC}">
                  <c16:uniqueId val="{00000007-FF03-1540-B8D0-693A72945922}"/>
                </c:ext>
              </c:extLst>
            </c:dLbl>
            <c:dLbl>
              <c:idx val="18"/>
              <c:delete val="1"/>
              <c:extLst>
                <c:ext xmlns:c15="http://schemas.microsoft.com/office/drawing/2012/chart" uri="{CE6537A1-D6FC-4f65-9D91-7224C49458BB}"/>
                <c:ext xmlns:c16="http://schemas.microsoft.com/office/drawing/2014/chart" uri="{C3380CC4-5D6E-409C-BE32-E72D297353CC}">
                  <c16:uniqueId val="{0000000F-FF03-1540-B8D0-693A72945922}"/>
                </c:ext>
              </c:extLst>
            </c:dLbl>
            <c:dLbl>
              <c:idx val="20"/>
              <c:delete val="1"/>
              <c:extLst>
                <c:ext xmlns:c15="http://schemas.microsoft.com/office/drawing/2012/chart" uri="{CE6537A1-D6FC-4f65-9D91-7224C49458BB}"/>
                <c:ext xmlns:c16="http://schemas.microsoft.com/office/drawing/2014/chart" uri="{C3380CC4-5D6E-409C-BE32-E72D297353CC}">
                  <c16:uniqueId val="{00000010-FF03-1540-B8D0-693A72945922}"/>
                </c:ext>
              </c:extLst>
            </c:dLbl>
            <c:dLbl>
              <c:idx val="22"/>
              <c:delete val="1"/>
              <c:extLst>
                <c:ext xmlns:c15="http://schemas.microsoft.com/office/drawing/2012/chart" uri="{CE6537A1-D6FC-4f65-9D91-7224C49458BB}"/>
                <c:ext xmlns:c16="http://schemas.microsoft.com/office/drawing/2014/chart" uri="{C3380CC4-5D6E-409C-BE32-E72D297353CC}">
                  <c16:uniqueId val="{00000011-FF03-1540-B8D0-693A72945922}"/>
                </c:ext>
              </c:extLst>
            </c:dLbl>
            <c:spPr>
              <a:noFill/>
              <a:ln>
                <a:noFill/>
              </a:ln>
              <a:effectLst/>
            </c:spPr>
            <c:txPr>
              <a:bodyPr wrap="square" lIns="38100" tIns="19050" rIns="38100" bIns="19050" anchor="ctr">
                <a:spAutoFit/>
              </a:bodyPr>
              <a:lstStyle/>
              <a:p>
                <a:pPr>
                  <a:defRPr sz="7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'Figure 2'!$A$2:$A$25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'Figure 2'!$B$2:$B$25</c:f>
              <c:numCache>
                <c:formatCode>0.0%</c:formatCode>
                <c:ptCount val="24"/>
                <c:pt idx="0">
                  <c:v>0.22700000000000001</c:v>
                </c:pt>
                <c:pt idx="1">
                  <c:v>0.20599999999999999</c:v>
                </c:pt>
                <c:pt idx="2">
                  <c:v>0.21099999999999999</c:v>
                </c:pt>
                <c:pt idx="3">
                  <c:v>0.20200000000000001</c:v>
                </c:pt>
                <c:pt idx="4">
                  <c:v>0.19900000000000001</c:v>
                </c:pt>
                <c:pt idx="5">
                  <c:v>0.19500000000000001</c:v>
                </c:pt>
                <c:pt idx="6">
                  <c:v>0.189</c:v>
                </c:pt>
                <c:pt idx="7">
                  <c:v>0.191</c:v>
                </c:pt>
                <c:pt idx="8">
                  <c:v>0.185</c:v>
                </c:pt>
                <c:pt idx="9">
                  <c:v>0.18099999999999999</c:v>
                </c:pt>
                <c:pt idx="10">
                  <c:v>0.17799999999999999</c:v>
                </c:pt>
                <c:pt idx="11">
                  <c:v>0.16400000000000001</c:v>
                </c:pt>
                <c:pt idx="12">
                  <c:v>0.161</c:v>
                </c:pt>
                <c:pt idx="13">
                  <c:v>0.15</c:v>
                </c:pt>
                <c:pt idx="14">
                  <c:v>0.14099999999999999</c:v>
                </c:pt>
                <c:pt idx="15">
                  <c:v>0.182</c:v>
                </c:pt>
                <c:pt idx="16">
                  <c:v>0.16400000000000001</c:v>
                </c:pt>
                <c:pt idx="17">
                  <c:v>0.16600000000000001</c:v>
                </c:pt>
                <c:pt idx="18">
                  <c:v>0.14699999999999999</c:v>
                </c:pt>
                <c:pt idx="19">
                  <c:v>0.14000000000000001</c:v>
                </c:pt>
                <c:pt idx="20">
                  <c:v>0.13600000000000001</c:v>
                </c:pt>
                <c:pt idx="21">
                  <c:v>0.13700000000000001</c:v>
                </c:pt>
                <c:pt idx="22">
                  <c:v>0.13400000000000001</c:v>
                </c:pt>
                <c:pt idx="23">
                  <c:v>0.12</c:v>
                </c:pt>
              </c:numCache>
            </c:numRef>
          </c:yVal>
          <c:smooth val="0"/>
          <c:extLst>
            <c:ext xmlns:c16="http://schemas.microsoft.com/office/drawing/2014/chart" uri="{C3380CC4-5D6E-409C-BE32-E72D297353CC}">
              <c16:uniqueId val="{00000012-FF03-1540-B8D0-693A72945922}"/>
            </c:ext>
          </c:extLst>
        </c:ser>
        <c:ser>
          <c:idx val="5"/>
          <c:order val="3"/>
          <c:tx>
            <c:strRef>
              <c:f>'Figure 2'!$E$1</c:f>
              <c:strCache>
                <c:ptCount val="1"/>
                <c:pt idx="0">
                  <c:v>High SES ($75K+ household income or College degree)</c:v>
                </c:pt>
              </c:strCache>
            </c:strRef>
          </c:tx>
          <c:spPr>
            <a:ln w="12700"/>
          </c:spPr>
          <c:marker>
            <c:symbol val="circle"/>
            <c:size val="4"/>
          </c:marker>
          <c:dPt>
            <c:idx val="16"/>
            <c:bubble3D val="0"/>
            <c:spPr>
              <a:ln w="12700">
                <a:noFill/>
              </a:ln>
            </c:spPr>
            <c:extLst>
              <c:ext xmlns:c16="http://schemas.microsoft.com/office/drawing/2014/chart" uri="{C3380CC4-5D6E-409C-BE32-E72D297353CC}">
                <c16:uniqueId val="{00000014-FF03-1540-B8D0-693A72945922}"/>
              </c:ext>
            </c:extLst>
          </c:dPt>
          <c:dLbls>
            <c:dLbl>
              <c:idx val="0"/>
              <c:layout>
                <c:manualLayout>
                  <c:x val="-9.0385722510074838E-3"/>
                  <c:y val="-4.9181590602734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3-FF03-1540-B8D0-693A72945922}"/>
                </c:ext>
              </c:extLst>
            </c:dLbl>
            <c:dLbl>
              <c:idx val="1"/>
              <c:delete val="1"/>
              <c:extLst>
                <c:ext xmlns:c15="http://schemas.microsoft.com/office/drawing/2012/chart" uri="{CE6537A1-D6FC-4f65-9D91-7224C49458BB}"/>
                <c:ext xmlns:c16="http://schemas.microsoft.com/office/drawing/2014/chart" uri="{C3380CC4-5D6E-409C-BE32-E72D297353CC}">
                  <c16:uniqueId val="{00000023-FF03-1540-B8D0-693A72945922}"/>
                </c:ext>
              </c:extLst>
            </c:dLbl>
            <c:dLbl>
              <c:idx val="3"/>
              <c:delete val="1"/>
              <c:extLst>
                <c:ext xmlns:c15="http://schemas.microsoft.com/office/drawing/2012/chart" uri="{CE6537A1-D6FC-4f65-9D91-7224C49458BB}"/>
                <c:ext xmlns:c16="http://schemas.microsoft.com/office/drawing/2014/chart" uri="{C3380CC4-5D6E-409C-BE32-E72D297353CC}">
                  <c16:uniqueId val="{00000024-FF03-1540-B8D0-693A72945922}"/>
                </c:ext>
              </c:extLst>
            </c:dLbl>
            <c:dLbl>
              <c:idx val="5"/>
              <c:delete val="1"/>
              <c:extLst>
                <c:ext xmlns:c15="http://schemas.microsoft.com/office/drawing/2012/chart" uri="{CE6537A1-D6FC-4f65-9D91-7224C49458BB}"/>
                <c:ext xmlns:c16="http://schemas.microsoft.com/office/drawing/2014/chart" uri="{C3380CC4-5D6E-409C-BE32-E72D297353CC}">
                  <c16:uniqueId val="{00000025-FF03-1540-B8D0-693A72945922}"/>
                </c:ext>
              </c:extLst>
            </c:dLbl>
            <c:dLbl>
              <c:idx val="7"/>
              <c:delete val="1"/>
              <c:extLst>
                <c:ext xmlns:c15="http://schemas.microsoft.com/office/drawing/2012/chart" uri="{CE6537A1-D6FC-4f65-9D91-7224C49458BB}"/>
                <c:ext xmlns:c16="http://schemas.microsoft.com/office/drawing/2014/chart" uri="{C3380CC4-5D6E-409C-BE32-E72D297353CC}">
                  <c16:uniqueId val="{00000026-FF03-1540-B8D0-693A72945922}"/>
                </c:ext>
              </c:extLst>
            </c:dLbl>
            <c:dLbl>
              <c:idx val="9"/>
              <c:delete val="1"/>
              <c:extLst>
                <c:ext xmlns:c15="http://schemas.microsoft.com/office/drawing/2012/chart" uri="{CE6537A1-D6FC-4f65-9D91-7224C49458BB}"/>
                <c:ext xmlns:c16="http://schemas.microsoft.com/office/drawing/2014/chart" uri="{C3380CC4-5D6E-409C-BE32-E72D297353CC}">
                  <c16:uniqueId val="{00000027-FF03-1540-B8D0-693A72945922}"/>
                </c:ext>
              </c:extLst>
            </c:dLbl>
            <c:dLbl>
              <c:idx val="11"/>
              <c:delete val="1"/>
              <c:extLst>
                <c:ext xmlns:c15="http://schemas.microsoft.com/office/drawing/2012/chart" uri="{CE6537A1-D6FC-4f65-9D91-7224C49458BB}"/>
                <c:ext xmlns:c16="http://schemas.microsoft.com/office/drawing/2014/chart" uri="{C3380CC4-5D6E-409C-BE32-E72D297353CC}">
                  <c16:uniqueId val="{00000028-FF03-1540-B8D0-693A72945922}"/>
                </c:ext>
              </c:extLst>
            </c:dLbl>
            <c:dLbl>
              <c:idx val="13"/>
              <c:delete val="1"/>
              <c:extLst>
                <c:ext xmlns:c15="http://schemas.microsoft.com/office/drawing/2012/chart" uri="{CE6537A1-D6FC-4f65-9D91-7224C49458BB}"/>
                <c:ext xmlns:c16="http://schemas.microsoft.com/office/drawing/2014/chart" uri="{C3380CC4-5D6E-409C-BE32-E72D297353CC}">
                  <c16:uniqueId val="{00000029-FF03-1540-B8D0-693A72945922}"/>
                </c:ext>
              </c:extLst>
            </c:dLbl>
            <c:dLbl>
              <c:idx val="15"/>
              <c:delete val="1"/>
              <c:extLst>
                <c:ext xmlns:c15="http://schemas.microsoft.com/office/drawing/2012/chart" uri="{CE6537A1-D6FC-4f65-9D91-7224C49458BB}"/>
                <c:ext xmlns:c16="http://schemas.microsoft.com/office/drawing/2014/chart" uri="{C3380CC4-5D6E-409C-BE32-E72D297353CC}">
                  <c16:uniqueId val="{0000002A-FF03-1540-B8D0-693A72945922}"/>
                </c:ext>
              </c:extLst>
            </c:dLbl>
            <c:dLbl>
              <c:idx val="17"/>
              <c:delete val="1"/>
              <c:extLst>
                <c:ext xmlns:c15="http://schemas.microsoft.com/office/drawing/2012/chart" uri="{CE6537A1-D6FC-4f65-9D91-7224C49458BB}"/>
                <c:ext xmlns:c16="http://schemas.microsoft.com/office/drawing/2014/chart" uri="{C3380CC4-5D6E-409C-BE32-E72D297353CC}">
                  <c16:uniqueId val="{0000002B-FF03-1540-B8D0-693A72945922}"/>
                </c:ext>
              </c:extLst>
            </c:dLbl>
            <c:dLbl>
              <c:idx val="19"/>
              <c:delete val="1"/>
              <c:extLst>
                <c:ext xmlns:c15="http://schemas.microsoft.com/office/drawing/2012/chart" uri="{CE6537A1-D6FC-4f65-9D91-7224C49458BB}"/>
                <c:ext xmlns:c16="http://schemas.microsoft.com/office/drawing/2014/chart" uri="{C3380CC4-5D6E-409C-BE32-E72D297353CC}">
                  <c16:uniqueId val="{0000002C-FF03-1540-B8D0-693A72945922}"/>
                </c:ext>
              </c:extLst>
            </c:dLbl>
            <c:dLbl>
              <c:idx val="21"/>
              <c:delete val="1"/>
              <c:extLst>
                <c:ext xmlns:c15="http://schemas.microsoft.com/office/drawing/2012/chart" uri="{CE6537A1-D6FC-4f65-9D91-7224C49458BB}"/>
                <c:ext xmlns:c16="http://schemas.microsoft.com/office/drawing/2014/chart" uri="{C3380CC4-5D6E-409C-BE32-E72D297353CC}">
                  <c16:uniqueId val="{0000002D-FF03-1540-B8D0-693A72945922}"/>
                </c:ext>
              </c:extLst>
            </c:dLbl>
            <c:dLbl>
              <c:idx val="23"/>
              <c:delete val="1"/>
              <c:extLst>
                <c:ext xmlns:c15="http://schemas.microsoft.com/office/drawing/2012/chart" uri="{CE6537A1-D6FC-4f65-9D91-7224C49458BB}"/>
                <c:ext xmlns:c16="http://schemas.microsoft.com/office/drawing/2014/chart" uri="{C3380CC4-5D6E-409C-BE32-E72D297353CC}">
                  <c16:uniqueId val="{0000002E-FF03-1540-B8D0-693A72945922}"/>
                </c:ext>
              </c:extLst>
            </c:dLbl>
            <c:spPr>
              <a:noFill/>
              <a:ln>
                <a:noFill/>
              </a:ln>
              <a:effectLst/>
            </c:spPr>
            <c:txPr>
              <a:bodyPr wrap="square" lIns="38100" tIns="19050" rIns="38100" bIns="19050" anchor="ctr">
                <a:spAutoFit/>
              </a:bodyPr>
              <a:lstStyle/>
              <a:p>
                <a:pPr>
                  <a:defRPr sz="700"/>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'Figure 2'!$A$2:$A$25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'Figure 2'!$E$2:$E$25</c:f>
              <c:numCache>
                <c:formatCode>0.0%</c:formatCode>
                <c:ptCount val="24"/>
                <c:pt idx="0">
                  <c:v>0.126</c:v>
                </c:pt>
                <c:pt idx="1">
                  <c:v>0.13200000000000001</c:v>
                </c:pt>
                <c:pt idx="2">
                  <c:v>0.108</c:v>
                </c:pt>
                <c:pt idx="3">
                  <c:v>0.13300000000000001</c:v>
                </c:pt>
                <c:pt idx="4">
                  <c:v>0.13600000000000001</c:v>
                </c:pt>
                <c:pt idx="5">
                  <c:v>0.13100000000000001</c:v>
                </c:pt>
                <c:pt idx="6">
                  <c:v>0.12</c:v>
                </c:pt>
                <c:pt idx="7">
                  <c:v>0.13</c:v>
                </c:pt>
                <c:pt idx="8">
                  <c:v>0.11700000000000001</c:v>
                </c:pt>
                <c:pt idx="9">
                  <c:v>0.107</c:v>
                </c:pt>
                <c:pt idx="10">
                  <c:v>0.112</c:v>
                </c:pt>
                <c:pt idx="11">
                  <c:v>0.10100000000000001</c:v>
                </c:pt>
                <c:pt idx="12">
                  <c:v>0.108</c:v>
                </c:pt>
                <c:pt idx="13">
                  <c:v>9.0999999999999998E-2</c:v>
                </c:pt>
                <c:pt idx="14">
                  <c:v>8.7999999999999995E-2</c:v>
                </c:pt>
                <c:pt idx="15">
                  <c:v>9.9000000000000005E-2</c:v>
                </c:pt>
                <c:pt idx="16">
                  <c:v>8.6999999999999994E-2</c:v>
                </c:pt>
                <c:pt idx="17">
                  <c:v>0.09</c:v>
                </c:pt>
                <c:pt idx="18">
                  <c:v>7.0999999999999994E-2</c:v>
                </c:pt>
                <c:pt idx="19">
                  <c:v>8.4000000000000005E-2</c:v>
                </c:pt>
                <c:pt idx="20">
                  <c:v>8.5999999999999993E-2</c:v>
                </c:pt>
                <c:pt idx="21">
                  <c:v>7.9000000000000001E-2</c:v>
                </c:pt>
                <c:pt idx="22">
                  <c:v>7.1999999999999995E-2</c:v>
                </c:pt>
                <c:pt idx="23">
                  <c:v>8.5000000000000006E-2</c:v>
                </c:pt>
              </c:numCache>
            </c:numRef>
          </c:yVal>
          <c:smooth val="0"/>
          <c:extLst>
            <c:ext xmlns:c16="http://schemas.microsoft.com/office/drawing/2014/chart" uri="{C3380CC4-5D6E-409C-BE32-E72D297353CC}">
              <c16:uniqueId val="{00000015-FF03-1540-B8D0-693A72945922}"/>
            </c:ext>
          </c:extLst>
        </c:ser>
        <c:dLbls>
          <c:showLegendKey val="0"/>
          <c:showVal val="0"/>
          <c:showCatName val="0"/>
          <c:showSerName val="0"/>
          <c:showPercent val="0"/>
          <c:showBubbleSize val="0"/>
        </c:dLbls>
        <c:axId val="81483264"/>
        <c:axId val="81485184"/>
      </c:scatterChart>
      <c:valAx>
        <c:axId val="81483264"/>
        <c:scaling>
          <c:orientation val="minMax"/>
          <c:max val="2019"/>
          <c:min val="1996"/>
        </c:scaling>
        <c:delete val="0"/>
        <c:axPos val="b"/>
        <c:title>
          <c:tx>
            <c:rich>
              <a:bodyPr/>
              <a:lstStyle/>
              <a:p>
                <a:pPr>
                  <a:defRPr sz="700" b="0">
                    <a:latin typeface="Arial" panose="020B0604020202020204" pitchFamily="34" charset="0"/>
                    <a:cs typeface="Arial" panose="020B0604020202020204" pitchFamily="34" charset="0"/>
                  </a:defRPr>
                </a:pPr>
                <a:r>
                  <a:rPr lang="en-US" sz="700" b="0">
                    <a:latin typeface="Arial" panose="020B0604020202020204" pitchFamily="34" charset="0"/>
                    <a:cs typeface="Arial" panose="020B0604020202020204" pitchFamily="34" charset="0"/>
                  </a:rPr>
                  <a:t>Source: Massachusetts BRFSS</a:t>
                </a:r>
              </a:p>
            </c:rich>
          </c:tx>
          <c:layout>
            <c:manualLayout>
              <c:xMode val="edge"/>
              <c:yMode val="edge"/>
              <c:x val="0.77175448060356877"/>
              <c:y val="0.93762742395502119"/>
            </c:manualLayout>
          </c:layout>
          <c:overlay val="0"/>
        </c:title>
        <c:numFmt formatCode="General" sourceLinked="1"/>
        <c:majorTickMark val="out"/>
        <c:minorTickMark val="none"/>
        <c:tickLblPos val="nextTo"/>
        <c:txPr>
          <a:bodyPr/>
          <a:lstStyle/>
          <a:p>
            <a:pPr>
              <a:defRPr sz="900" b="1"/>
            </a:pPr>
            <a:endParaRPr lang="en-US"/>
          </a:p>
        </c:txPr>
        <c:crossAx val="81485184"/>
        <c:crosses val="autoZero"/>
        <c:crossBetween val="midCat"/>
        <c:majorUnit val="2"/>
      </c:valAx>
      <c:valAx>
        <c:axId val="81485184"/>
        <c:scaling>
          <c:orientation val="minMax"/>
        </c:scaling>
        <c:delete val="0"/>
        <c:axPos val="l"/>
        <c:numFmt formatCode="0%" sourceLinked="0"/>
        <c:majorTickMark val="out"/>
        <c:minorTickMark val="none"/>
        <c:tickLblPos val="nextTo"/>
        <c:txPr>
          <a:bodyPr/>
          <a:lstStyle/>
          <a:p>
            <a:pPr>
              <a:defRPr sz="800" b="1"/>
            </a:pPr>
            <a:endParaRPr lang="en-US"/>
          </a:p>
        </c:txPr>
        <c:crossAx val="81483264"/>
        <c:crosses val="autoZero"/>
        <c:crossBetween val="midCat"/>
      </c:valAx>
    </c:plotArea>
    <c:legend>
      <c:legendPos val="r"/>
      <c:layout>
        <c:manualLayout>
          <c:xMode val="edge"/>
          <c:yMode val="edge"/>
          <c:x val="0.80172331710783629"/>
          <c:y val="8.5348320009617118E-2"/>
          <c:w val="0.17932588542772715"/>
          <c:h val="0.81836815458726253"/>
        </c:manualLayout>
      </c:layout>
      <c:overlay val="0"/>
      <c:spPr>
        <a:ln>
          <a:solidFill>
            <a:schemeClr val="tx1"/>
          </a:solidFill>
        </a:ln>
      </c:spPr>
      <c:txPr>
        <a:bodyPr/>
        <a:lstStyle/>
        <a:p>
          <a:pPr>
            <a:defRPr sz="800"/>
          </a:pPr>
          <a:endParaRPr lang="en-US"/>
        </a:p>
      </c:txPr>
    </c:legend>
    <c:plotVisOnly val="1"/>
    <c:dispBlanksAs val="gap"/>
    <c:showDLblsOverMax val="0"/>
  </c:chart>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967629046369204E-2"/>
          <c:y val="0.19316634222592427"/>
          <c:w val="0.91413846554671518"/>
          <c:h val="0.6190814557810038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2"/>
              </a:solidFill>
              <a:ln>
                <a:noFill/>
              </a:ln>
              <a:effectLst/>
            </c:spPr>
            <c:extLst>
              <c:ext xmlns:c16="http://schemas.microsoft.com/office/drawing/2014/chart" uri="{C3380CC4-5D6E-409C-BE32-E72D297353CC}">
                <c16:uniqueId val="{00000001-4DD3-2647-8CBA-7CB2663FB808}"/>
              </c:ext>
            </c:extLst>
          </c:dPt>
          <c:dPt>
            <c:idx val="8"/>
            <c:invertIfNegative val="0"/>
            <c:bubble3D val="0"/>
            <c:spPr>
              <a:solidFill>
                <a:schemeClr val="bg1">
                  <a:lumMod val="65000"/>
                </a:schemeClr>
              </a:solidFill>
              <a:ln>
                <a:noFill/>
              </a:ln>
              <a:effectLst/>
            </c:spPr>
            <c:extLst>
              <c:ext xmlns:c16="http://schemas.microsoft.com/office/drawing/2014/chart" uri="{C3380CC4-5D6E-409C-BE32-E72D297353CC}">
                <c16:uniqueId val="{00000003-4DD3-2647-8CBA-7CB2663FB808}"/>
              </c:ext>
            </c:extLst>
          </c:dPt>
          <c:dPt>
            <c:idx val="9"/>
            <c:invertIfNegative val="0"/>
            <c:bubble3D val="0"/>
            <c:spPr>
              <a:solidFill>
                <a:schemeClr val="bg1">
                  <a:lumMod val="65000"/>
                </a:schemeClr>
              </a:solidFill>
              <a:ln>
                <a:noFill/>
              </a:ln>
              <a:effectLst/>
            </c:spPr>
            <c:extLst>
              <c:ext xmlns:c16="http://schemas.microsoft.com/office/drawing/2014/chart" uri="{C3380CC4-5D6E-409C-BE32-E72D297353CC}">
                <c16:uniqueId val="{00000005-4DD3-2647-8CBA-7CB2663FB808}"/>
              </c:ext>
            </c:extLst>
          </c:dPt>
          <c:dPt>
            <c:idx val="10"/>
            <c:invertIfNegative val="0"/>
            <c:bubble3D val="0"/>
            <c:spPr>
              <a:solidFill>
                <a:schemeClr val="bg1">
                  <a:lumMod val="65000"/>
                </a:schemeClr>
              </a:solidFill>
              <a:ln>
                <a:noFill/>
              </a:ln>
              <a:effectLst/>
            </c:spPr>
            <c:extLst>
              <c:ext xmlns:c16="http://schemas.microsoft.com/office/drawing/2014/chart" uri="{C3380CC4-5D6E-409C-BE32-E72D297353CC}">
                <c16:uniqueId val="{00000007-4DD3-2647-8CBA-7CB2663FB808}"/>
              </c:ext>
            </c:extLst>
          </c:dPt>
          <c:dPt>
            <c:idx val="11"/>
            <c:invertIfNegative val="0"/>
            <c:bubble3D val="0"/>
            <c:spPr>
              <a:solidFill>
                <a:schemeClr val="bg1">
                  <a:lumMod val="65000"/>
                </a:schemeClr>
              </a:solidFill>
              <a:ln>
                <a:noFill/>
              </a:ln>
              <a:effectLst/>
            </c:spPr>
            <c:extLst>
              <c:ext xmlns:c16="http://schemas.microsoft.com/office/drawing/2014/chart" uri="{C3380CC4-5D6E-409C-BE32-E72D297353CC}">
                <c16:uniqueId val="{00000009-4DD3-2647-8CBA-7CB2663FB808}"/>
              </c:ext>
            </c:extLst>
          </c:dPt>
          <c:dPt>
            <c:idx val="12"/>
            <c:invertIfNegative val="0"/>
            <c:bubble3D val="0"/>
            <c:spPr>
              <a:solidFill>
                <a:schemeClr val="bg1">
                  <a:lumMod val="65000"/>
                </a:schemeClr>
              </a:solidFill>
              <a:ln>
                <a:noFill/>
              </a:ln>
              <a:effectLst/>
            </c:spPr>
            <c:extLst>
              <c:ext xmlns:c16="http://schemas.microsoft.com/office/drawing/2014/chart" uri="{C3380CC4-5D6E-409C-BE32-E72D297353CC}">
                <c16:uniqueId val="{0000000B-4DD3-2647-8CBA-7CB2663FB808}"/>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mn-lt"/>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Sheet1!$K$22:$K$34</c:f>
                <c:numCache>
                  <c:formatCode>General</c:formatCode>
                  <c:ptCount val="13"/>
                  <c:pt idx="0">
                    <c:v>1.3999999999999999E-2</c:v>
                  </c:pt>
                  <c:pt idx="1">
                    <c:v>6.9769949999999997E-2</c:v>
                  </c:pt>
                  <c:pt idx="2">
                    <c:v>5.9854089999999999E-2</c:v>
                  </c:pt>
                  <c:pt idx="3">
                    <c:v>8.2865789999999995E-2</c:v>
                  </c:pt>
                  <c:pt idx="4">
                    <c:v>3.0415999999999985E-2</c:v>
                  </c:pt>
                  <c:pt idx="5">
                    <c:v>4.1133960000000011E-2</c:v>
                  </c:pt>
                  <c:pt idx="6">
                    <c:v>3.5669340000000008E-2</c:v>
                  </c:pt>
                  <c:pt idx="7">
                    <c:v>6.5592410000000004E-2</c:v>
                  </c:pt>
                  <c:pt idx="8">
                    <c:v>1.9480049999999999E-2</c:v>
                  </c:pt>
                  <c:pt idx="9">
                    <c:v>4.2268899999999998E-2</c:v>
                  </c:pt>
                  <c:pt idx="10">
                    <c:v>1.6358400000000002E-2</c:v>
                  </c:pt>
                  <c:pt idx="11">
                    <c:v>1.9087819999999991E-2</c:v>
                  </c:pt>
                  <c:pt idx="12">
                    <c:v>1.4162689999999999E-2</c:v>
                  </c:pt>
                </c:numCache>
              </c:numRef>
            </c:plus>
            <c:minus>
              <c:numRef>
                <c:f>Sheet1!$K$22:$K$34</c:f>
                <c:numCache>
                  <c:formatCode>General</c:formatCode>
                  <c:ptCount val="13"/>
                  <c:pt idx="0">
                    <c:v>1.3999999999999999E-2</c:v>
                  </c:pt>
                  <c:pt idx="1">
                    <c:v>6.9769949999999997E-2</c:v>
                  </c:pt>
                  <c:pt idx="2">
                    <c:v>5.9854089999999999E-2</c:v>
                  </c:pt>
                  <c:pt idx="3">
                    <c:v>8.2865789999999995E-2</c:v>
                  </c:pt>
                  <c:pt idx="4">
                    <c:v>3.0415999999999985E-2</c:v>
                  </c:pt>
                  <c:pt idx="5">
                    <c:v>4.1133960000000011E-2</c:v>
                  </c:pt>
                  <c:pt idx="6">
                    <c:v>3.5669340000000008E-2</c:v>
                  </c:pt>
                  <c:pt idx="7">
                    <c:v>6.5592410000000004E-2</c:v>
                  </c:pt>
                  <c:pt idx="8">
                    <c:v>1.9480049999999999E-2</c:v>
                  </c:pt>
                  <c:pt idx="9">
                    <c:v>4.2268899999999998E-2</c:v>
                  </c:pt>
                  <c:pt idx="10">
                    <c:v>1.6358400000000002E-2</c:v>
                  </c:pt>
                  <c:pt idx="11">
                    <c:v>1.9087819999999991E-2</c:v>
                  </c:pt>
                  <c:pt idx="12">
                    <c:v>1.4162689999999999E-2</c:v>
                  </c:pt>
                </c:numCache>
              </c:numRef>
            </c:minus>
            <c:spPr>
              <a:noFill/>
              <a:ln w="9525" cap="flat" cmpd="sng" algn="ctr">
                <a:solidFill>
                  <a:schemeClr val="tx1">
                    <a:lumMod val="65000"/>
                    <a:lumOff val="35000"/>
                  </a:schemeClr>
                </a:solidFill>
                <a:round/>
              </a:ln>
              <a:effectLst/>
            </c:spPr>
          </c:errBars>
          <c:cat>
            <c:strRef>
              <c:f>Sheet1!$G$22:$G$34</c:f>
              <c:strCache>
                <c:ptCount val="13"/>
                <c:pt idx="0">
                  <c:v>Overall</c:v>
                </c:pt>
                <c:pt idx="1">
                  <c:v>Poor mental health</c:v>
                </c:pt>
                <c:pt idx="2">
                  <c:v>MassHealth</c:v>
                </c:pt>
                <c:pt idx="3">
                  <c:v>LGBT</c:v>
                </c:pt>
                <c:pt idx="4">
                  <c:v>Multi-unit housing</c:v>
                </c:pt>
                <c:pt idx="5">
                  <c:v>Less than 25K Income</c:v>
                </c:pt>
                <c:pt idx="6">
                  <c:v>Disability</c:v>
                </c:pt>
                <c:pt idx="7">
                  <c:v>Black</c:v>
                </c:pt>
                <c:pt idx="8">
                  <c:v>Private Insurance</c:v>
                </c:pt>
                <c:pt idx="9">
                  <c:v>Hispanic</c:v>
                </c:pt>
                <c:pt idx="10">
                  <c:v>Single family homes</c:v>
                </c:pt>
                <c:pt idx="11">
                  <c:v>$75,000 or higher</c:v>
                </c:pt>
                <c:pt idx="12">
                  <c:v>College Grad</c:v>
                </c:pt>
              </c:strCache>
            </c:strRef>
          </c:cat>
          <c:val>
            <c:numRef>
              <c:f>Sheet1!$H$22:$H$34</c:f>
              <c:numCache>
                <c:formatCode>General</c:formatCode>
                <c:ptCount val="13"/>
                <c:pt idx="0">
                  <c:v>9.8000000000000004E-2</c:v>
                </c:pt>
                <c:pt idx="1">
                  <c:v>0.21044399999999999</c:v>
                </c:pt>
                <c:pt idx="2">
                  <c:v>0.20510500000000001</c:v>
                </c:pt>
                <c:pt idx="3">
                  <c:v>0.19262599999999999</c:v>
                </c:pt>
                <c:pt idx="4">
                  <c:v>0.15035299999999999</c:v>
                </c:pt>
                <c:pt idx="5">
                  <c:v>0.14219300000000001</c:v>
                </c:pt>
                <c:pt idx="6">
                  <c:v>0.14099400000000001</c:v>
                </c:pt>
                <c:pt idx="7">
                  <c:v>0.11808</c:v>
                </c:pt>
                <c:pt idx="8">
                  <c:v>8.8372999999999993E-2</c:v>
                </c:pt>
                <c:pt idx="9">
                  <c:v>8.2241999999999996E-2</c:v>
                </c:pt>
                <c:pt idx="10">
                  <c:v>7.4685000000000001E-2</c:v>
                </c:pt>
                <c:pt idx="11">
                  <c:v>6.6115999999999994E-2</c:v>
                </c:pt>
                <c:pt idx="12">
                  <c:v>5.5409E-2</c:v>
                </c:pt>
              </c:numCache>
            </c:numRef>
          </c:val>
          <c:extLst>
            <c:ext xmlns:c16="http://schemas.microsoft.com/office/drawing/2014/chart" uri="{C3380CC4-5D6E-409C-BE32-E72D297353CC}">
              <c16:uniqueId val="{0000000C-4DD3-2647-8CBA-7CB2663FB808}"/>
            </c:ext>
          </c:extLst>
        </c:ser>
        <c:dLbls>
          <c:showLegendKey val="0"/>
          <c:showVal val="0"/>
          <c:showCatName val="0"/>
          <c:showSerName val="0"/>
          <c:showPercent val="0"/>
          <c:showBubbleSize val="0"/>
        </c:dLbls>
        <c:gapWidth val="66"/>
        <c:overlap val="-27"/>
        <c:axId val="632310304"/>
        <c:axId val="632309648"/>
      </c:barChart>
      <c:catAx>
        <c:axId val="63231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50" b="0" i="0" u="none" strike="noStrike" kern="1200" baseline="0">
                <a:solidFill>
                  <a:sysClr val="windowText" lastClr="000000"/>
                </a:solidFill>
                <a:latin typeface="+mn-lt"/>
                <a:ea typeface="+mn-ea"/>
                <a:cs typeface="+mn-cs"/>
              </a:defRPr>
            </a:pPr>
            <a:endParaRPr lang="en-US"/>
          </a:p>
        </c:txPr>
        <c:crossAx val="632309648"/>
        <c:crosses val="autoZero"/>
        <c:auto val="1"/>
        <c:lblAlgn val="ctr"/>
        <c:lblOffset val="100"/>
        <c:noMultiLvlLbl val="0"/>
      </c:catAx>
      <c:valAx>
        <c:axId val="63230964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en-US"/>
          </a:p>
        </c:txPr>
        <c:crossAx val="632310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a:latin typeface="+mn-lt"/>
              </a:defRPr>
            </a:pPr>
            <a:r>
              <a:rPr lang="en-US" sz="1200" dirty="0">
                <a:latin typeface="+mn-lt"/>
                <a:cs typeface="Arial" panose="020B0604020202020204" pitchFamily="34" charset="0"/>
              </a:rPr>
              <a:t>Figure 15. Percent of MA Households</a:t>
            </a:r>
            <a:r>
              <a:rPr lang="en-US" sz="1200" baseline="0" dirty="0">
                <a:latin typeface="+mn-lt"/>
                <a:cs typeface="Arial" panose="020B0604020202020204" pitchFamily="34" charset="0"/>
              </a:rPr>
              <a:t> that Permit Smoking Inside, 2019</a:t>
            </a:r>
            <a:endParaRPr lang="en-US" sz="1200" dirty="0">
              <a:latin typeface="+mn-lt"/>
              <a:cs typeface="Arial" panose="020B0604020202020204" pitchFamily="34" charset="0"/>
            </a:endParaRPr>
          </a:p>
        </c:rich>
      </c:tx>
      <c:layout>
        <c:manualLayout>
          <c:xMode val="edge"/>
          <c:yMode val="edge"/>
          <c:x val="0.15930966962463025"/>
          <c:y val="1.4785651793525775E-4"/>
        </c:manualLayout>
      </c:layout>
      <c:overlay val="1"/>
    </c:title>
    <c:autoTitleDeleted val="0"/>
    <c:plotArea>
      <c:layout>
        <c:manualLayout>
          <c:layoutTarget val="inner"/>
          <c:xMode val="edge"/>
          <c:yMode val="edge"/>
          <c:x val="0.12277789600624246"/>
          <c:y val="0.14900575860853213"/>
          <c:w val="0.85427190919316909"/>
          <c:h val="0.60827202569828021"/>
        </c:manualLayout>
      </c:layout>
      <c:barChart>
        <c:barDir val="col"/>
        <c:grouping val="clustered"/>
        <c:varyColors val="0"/>
        <c:ser>
          <c:idx val="0"/>
          <c:order val="0"/>
          <c:tx>
            <c:strRef>
              <c:f>Sheet1!$B$1</c:f>
              <c:strCache>
                <c:ptCount val="1"/>
                <c:pt idx="0">
                  <c:v>Single-family households</c:v>
                </c:pt>
              </c:strCache>
            </c:strRef>
          </c:tx>
          <c:spPr>
            <a:solidFill>
              <a:schemeClr val="tx2"/>
            </a:solidFill>
            <a:ln>
              <a:solidFill>
                <a:schemeClr val="tx1"/>
              </a:solidFill>
            </a:ln>
          </c:spPr>
          <c:invertIfNegative val="0"/>
          <c:dLbls>
            <c:dLbl>
              <c:idx val="0"/>
              <c:layout>
                <c:manualLayout>
                  <c:x val="0"/>
                  <c:y val="-2.203856749311294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E9-C144-B13E-3975D041DDD9}"/>
                </c:ext>
              </c:extLst>
            </c:dLbl>
            <c:dLbl>
              <c:idx val="1"/>
              <c:layout>
                <c:manualLayout>
                  <c:x val="0"/>
                  <c:y val="-5.97014925373134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9-C144-B13E-3975D041DDD9}"/>
                </c:ext>
              </c:extLst>
            </c:dLbl>
            <c:spPr>
              <a:noFill/>
              <a:ln>
                <a:noFill/>
              </a:ln>
              <a:effectLst/>
            </c:spPr>
            <c:txPr>
              <a:bodyPr/>
              <a:lstStyle/>
              <a:p>
                <a:pPr>
                  <a:defRPr sz="1200" b="0">
                    <a:latin typeface="+mn-lt"/>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Sheet1!$B$9:$C$9</c:f>
                <c:numCache>
                  <c:formatCode>General</c:formatCode>
                  <c:ptCount val="2"/>
                  <c:pt idx="0">
                    <c:v>0.02</c:v>
                  </c:pt>
                  <c:pt idx="1">
                    <c:v>3.3000000000000002E-2</c:v>
                  </c:pt>
                </c:numCache>
              </c:numRef>
            </c:plus>
            <c:minus>
              <c:numRef>
                <c:f>Sheet1!$B$9:$C$9</c:f>
                <c:numCache>
                  <c:formatCode>General</c:formatCode>
                  <c:ptCount val="2"/>
                  <c:pt idx="0">
                    <c:v>0.02</c:v>
                  </c:pt>
                  <c:pt idx="1">
                    <c:v>3.3000000000000002E-2</c:v>
                  </c:pt>
                </c:numCache>
              </c:numRef>
            </c:minus>
          </c:errBars>
          <c:cat>
            <c:strRef>
              <c:f>Sheet1!$A$2:$A$3</c:f>
              <c:strCache>
                <c:ptCount val="2"/>
                <c:pt idx="0">
                  <c:v>All households</c:v>
                </c:pt>
                <c:pt idx="1">
                  <c:v>Households with children</c:v>
                </c:pt>
              </c:strCache>
            </c:strRef>
          </c:cat>
          <c:val>
            <c:numRef>
              <c:f>Sheet1!$B$2:$B$3</c:f>
              <c:numCache>
                <c:formatCode>0.0%</c:formatCode>
                <c:ptCount val="2"/>
                <c:pt idx="0">
                  <c:v>0.13800000000000001</c:v>
                </c:pt>
                <c:pt idx="1">
                  <c:v>8.6999999999999994E-2</c:v>
                </c:pt>
              </c:numCache>
            </c:numRef>
          </c:val>
          <c:extLst>
            <c:ext xmlns:c16="http://schemas.microsoft.com/office/drawing/2014/chart" uri="{C3380CC4-5D6E-409C-BE32-E72D297353CC}">
              <c16:uniqueId val="{00000002-C4E9-C144-B13E-3975D041DDD9}"/>
            </c:ext>
          </c:extLst>
        </c:ser>
        <c:ser>
          <c:idx val="1"/>
          <c:order val="1"/>
          <c:tx>
            <c:strRef>
              <c:f>Sheet1!$C$1</c:f>
              <c:strCache>
                <c:ptCount val="1"/>
                <c:pt idx="0">
                  <c:v>Multi-unit households</c:v>
                </c:pt>
              </c:strCache>
            </c:strRef>
          </c:tx>
          <c:spPr>
            <a:solidFill>
              <a:schemeClr val="tx1">
                <a:lumMod val="50000"/>
                <a:lumOff val="50000"/>
              </a:schemeClr>
            </a:solidFill>
            <a:ln>
              <a:solidFill>
                <a:schemeClr val="tx1"/>
              </a:solidFill>
            </a:ln>
          </c:spPr>
          <c:invertIfNegative val="0"/>
          <c:dLbls>
            <c:dLbl>
              <c:idx val="0"/>
              <c:layout>
                <c:manualLayout>
                  <c:x val="-6.6065302874049691E-17"/>
                  <c:y val="-7.46268656716417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E9-C144-B13E-3975D041DDD9}"/>
                </c:ext>
              </c:extLst>
            </c:dLbl>
            <c:dLbl>
              <c:idx val="1"/>
              <c:layout>
                <c:manualLayout>
                  <c:x val="-1.3213060574809938E-16"/>
                  <c:y val="-0.1343283582089552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E9-C144-B13E-3975D041DDD9}"/>
                </c:ext>
              </c:extLst>
            </c:dLbl>
            <c:spPr>
              <a:noFill/>
              <a:ln>
                <a:noFill/>
              </a:ln>
              <a:effectLst/>
            </c:spPr>
            <c:txPr>
              <a:bodyPr/>
              <a:lstStyle/>
              <a:p>
                <a:pPr>
                  <a:defRPr sz="1200" b="0">
                    <a:latin typeface="+mn-lt"/>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Sheet1!$B$10:$C$10</c:f>
                <c:numCache>
                  <c:formatCode>General</c:formatCode>
                  <c:ptCount val="2"/>
                  <c:pt idx="0">
                    <c:v>2.8000000000000001E-2</c:v>
                  </c:pt>
                  <c:pt idx="1">
                    <c:v>6.3E-2</c:v>
                  </c:pt>
                </c:numCache>
              </c:numRef>
            </c:plus>
            <c:minus>
              <c:numRef>
                <c:f>Sheet1!$B$10:$C$10</c:f>
                <c:numCache>
                  <c:formatCode>General</c:formatCode>
                  <c:ptCount val="2"/>
                  <c:pt idx="0">
                    <c:v>2.8000000000000001E-2</c:v>
                  </c:pt>
                  <c:pt idx="1">
                    <c:v>6.3E-2</c:v>
                  </c:pt>
                </c:numCache>
              </c:numRef>
            </c:minus>
          </c:errBars>
          <c:cat>
            <c:strRef>
              <c:f>Sheet1!$A$2:$A$3</c:f>
              <c:strCache>
                <c:ptCount val="2"/>
                <c:pt idx="0">
                  <c:v>All households</c:v>
                </c:pt>
                <c:pt idx="1">
                  <c:v>Households with children</c:v>
                </c:pt>
              </c:strCache>
            </c:strRef>
          </c:cat>
          <c:val>
            <c:numRef>
              <c:f>Sheet1!$C$2:$C$3</c:f>
              <c:numCache>
                <c:formatCode>0.0%</c:formatCode>
                <c:ptCount val="2"/>
                <c:pt idx="0">
                  <c:v>0.222</c:v>
                </c:pt>
                <c:pt idx="1">
                  <c:v>0.17399999999999999</c:v>
                </c:pt>
              </c:numCache>
            </c:numRef>
          </c:val>
          <c:extLst>
            <c:ext xmlns:c16="http://schemas.microsoft.com/office/drawing/2014/chart" uri="{C3380CC4-5D6E-409C-BE32-E72D297353CC}">
              <c16:uniqueId val="{00000005-C4E9-C144-B13E-3975D041DDD9}"/>
            </c:ext>
          </c:extLst>
        </c:ser>
        <c:dLbls>
          <c:dLblPos val="outEnd"/>
          <c:showLegendKey val="0"/>
          <c:showVal val="1"/>
          <c:showCatName val="0"/>
          <c:showSerName val="0"/>
          <c:showPercent val="0"/>
          <c:showBubbleSize val="0"/>
        </c:dLbls>
        <c:gapWidth val="75"/>
        <c:overlap val="-11"/>
        <c:axId val="200097792"/>
        <c:axId val="105794368"/>
      </c:barChart>
      <c:catAx>
        <c:axId val="200097792"/>
        <c:scaling>
          <c:orientation val="minMax"/>
        </c:scaling>
        <c:delete val="0"/>
        <c:axPos val="b"/>
        <c:numFmt formatCode="0.0%" sourceLinked="0"/>
        <c:majorTickMark val="out"/>
        <c:minorTickMark val="none"/>
        <c:tickLblPos val="nextTo"/>
        <c:txPr>
          <a:bodyPr/>
          <a:lstStyle/>
          <a:p>
            <a:pPr>
              <a:defRPr sz="1100" b="0">
                <a:solidFill>
                  <a:sysClr val="windowText" lastClr="000000"/>
                </a:solidFill>
                <a:latin typeface="+mn-lt"/>
                <a:cs typeface="Arial" panose="020B0604020202020204" pitchFamily="34" charset="0"/>
              </a:defRPr>
            </a:pPr>
            <a:endParaRPr lang="en-US"/>
          </a:p>
        </c:txPr>
        <c:crossAx val="105794368"/>
        <c:crosses val="autoZero"/>
        <c:auto val="1"/>
        <c:lblAlgn val="ctr"/>
        <c:lblOffset val="100"/>
        <c:noMultiLvlLbl val="0"/>
      </c:catAx>
      <c:valAx>
        <c:axId val="105794368"/>
        <c:scaling>
          <c:orientation val="minMax"/>
          <c:max val="0.30000000000000004"/>
        </c:scaling>
        <c:delete val="0"/>
        <c:axPos val="l"/>
        <c:numFmt formatCode="0%" sourceLinked="0"/>
        <c:majorTickMark val="none"/>
        <c:minorTickMark val="none"/>
        <c:tickLblPos val="nextTo"/>
        <c:txPr>
          <a:bodyPr/>
          <a:lstStyle/>
          <a:p>
            <a:pPr>
              <a:defRPr sz="1100" b="0">
                <a:latin typeface="+mn-lt"/>
                <a:cs typeface="Arial" panose="020B0604020202020204" pitchFamily="34" charset="0"/>
              </a:defRPr>
            </a:pPr>
            <a:endParaRPr lang="en-US"/>
          </a:p>
        </c:txPr>
        <c:crossAx val="200097792"/>
        <c:crosses val="autoZero"/>
        <c:crossBetween val="between"/>
      </c:valAx>
    </c:plotArea>
    <c:legend>
      <c:legendPos val="b"/>
      <c:layout>
        <c:manualLayout>
          <c:xMode val="edge"/>
          <c:yMode val="edge"/>
          <c:x val="6.4237102494715106E-2"/>
          <c:y val="0.85122198195231102"/>
          <c:w val="0.91707625735972209"/>
          <c:h val="7.2924634420697423E-2"/>
        </c:manualLayout>
      </c:layout>
      <c:overlay val="0"/>
      <c:spPr>
        <a:noFill/>
        <a:ln cap="sq">
          <a:noFill/>
        </a:ln>
      </c:spPr>
      <c:txPr>
        <a:bodyPr/>
        <a:lstStyle/>
        <a:p>
          <a:pPr>
            <a:defRPr sz="1200">
              <a:solidFill>
                <a:sysClr val="windowText" lastClr="000000"/>
              </a:solidFill>
              <a:latin typeface="+mn-lt"/>
              <a:cs typeface="Arial" panose="020B0604020202020204" pitchFamily="34" charset="0"/>
            </a:defRPr>
          </a:pPr>
          <a:endParaRPr lang="en-US"/>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Figure 5. Successful Quitting:</a:t>
            </a:r>
            <a:r>
              <a:rPr lang="en-US" sz="1200" b="1" baseline="0">
                <a:solidFill>
                  <a:sysClr val="windowText" lastClr="000000"/>
                </a:solidFill>
              </a:rPr>
              <a:t> Massachusetts, 2019</a:t>
            </a:r>
            <a:endParaRPr lang="en-US" sz="1200" b="1">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1692416951615689E-2"/>
          <c:y val="0.23447348035418361"/>
          <c:w val="0.918898679791184"/>
          <c:h val="0.51141996512180932"/>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lumMod val="50000"/>
                  <a:lumOff val="50000"/>
                </a:schemeClr>
              </a:solidFill>
              <a:ln>
                <a:noFill/>
              </a:ln>
              <a:effectLst/>
            </c:spPr>
            <c:extLst>
              <c:ext xmlns:c16="http://schemas.microsoft.com/office/drawing/2014/chart" uri="{C3380CC4-5D6E-409C-BE32-E72D297353CC}">
                <c16:uniqueId val="{00000001-82C6-F64B-88A2-90B5BF927D8F}"/>
              </c:ext>
            </c:extLst>
          </c:dPt>
          <c:dPt>
            <c:idx val="1"/>
            <c:invertIfNegative val="0"/>
            <c:bubble3D val="0"/>
            <c:spPr>
              <a:solidFill>
                <a:schemeClr val="tx2"/>
              </a:solidFill>
              <a:ln>
                <a:noFill/>
              </a:ln>
              <a:effectLst/>
            </c:spPr>
            <c:extLst>
              <c:ext xmlns:c16="http://schemas.microsoft.com/office/drawing/2014/chart" uri="{C3380CC4-5D6E-409C-BE32-E72D297353CC}">
                <c16:uniqueId val="{00000003-82C6-F64B-88A2-90B5BF927D8F}"/>
              </c:ext>
            </c:extLst>
          </c:dPt>
          <c:dPt>
            <c:idx val="2"/>
            <c:invertIfNegative val="0"/>
            <c:bubble3D val="0"/>
            <c:spPr>
              <a:solidFill>
                <a:schemeClr val="tx2"/>
              </a:solidFill>
              <a:ln>
                <a:noFill/>
              </a:ln>
              <a:effectLst/>
            </c:spPr>
            <c:extLst>
              <c:ext xmlns:c16="http://schemas.microsoft.com/office/drawing/2014/chart" uri="{C3380CC4-5D6E-409C-BE32-E72D297353CC}">
                <c16:uniqueId val="{00000005-82C6-F64B-88A2-90B5BF927D8F}"/>
              </c:ext>
            </c:extLst>
          </c:dPt>
          <c:dPt>
            <c:idx val="3"/>
            <c:invertIfNegative val="0"/>
            <c:bubble3D val="0"/>
            <c:spPr>
              <a:solidFill>
                <a:schemeClr val="tx2"/>
              </a:solidFill>
              <a:ln>
                <a:noFill/>
              </a:ln>
              <a:effectLst/>
            </c:spPr>
            <c:extLst>
              <c:ext xmlns:c16="http://schemas.microsoft.com/office/drawing/2014/chart" uri="{C3380CC4-5D6E-409C-BE32-E72D297353CC}">
                <c16:uniqueId val="{00000007-82C6-F64B-88A2-90B5BF927D8F}"/>
              </c:ext>
            </c:extLst>
          </c:dPt>
          <c:dPt>
            <c:idx val="4"/>
            <c:invertIfNegative val="0"/>
            <c:bubble3D val="0"/>
            <c:spPr>
              <a:solidFill>
                <a:schemeClr val="tx2"/>
              </a:solidFill>
              <a:ln>
                <a:noFill/>
              </a:ln>
              <a:effectLst/>
            </c:spPr>
            <c:extLst>
              <c:ext xmlns:c16="http://schemas.microsoft.com/office/drawing/2014/chart" uri="{C3380CC4-5D6E-409C-BE32-E72D297353CC}">
                <c16:uniqueId val="{00000009-82C6-F64B-88A2-90B5BF927D8F}"/>
              </c:ext>
            </c:extLst>
          </c:dPt>
          <c:dPt>
            <c:idx val="5"/>
            <c:invertIfNegative val="0"/>
            <c:bubble3D val="0"/>
            <c:spPr>
              <a:solidFill>
                <a:schemeClr val="tx2"/>
              </a:solidFill>
              <a:ln>
                <a:noFill/>
              </a:ln>
              <a:effectLst/>
            </c:spPr>
            <c:extLst>
              <c:ext xmlns:c16="http://schemas.microsoft.com/office/drawing/2014/chart" uri="{C3380CC4-5D6E-409C-BE32-E72D297353CC}">
                <c16:uniqueId val="{0000000B-82C6-F64B-88A2-90B5BF927D8F}"/>
              </c:ext>
            </c:extLst>
          </c:dPt>
          <c:dPt>
            <c:idx val="6"/>
            <c:invertIfNegative val="0"/>
            <c:bubble3D val="0"/>
            <c:spPr>
              <a:solidFill>
                <a:schemeClr val="tx2"/>
              </a:solidFill>
              <a:ln>
                <a:noFill/>
              </a:ln>
              <a:effectLst/>
            </c:spPr>
            <c:extLst>
              <c:ext xmlns:c16="http://schemas.microsoft.com/office/drawing/2014/chart" uri="{C3380CC4-5D6E-409C-BE32-E72D297353CC}">
                <c16:uniqueId val="{0000000D-82C6-F64B-88A2-90B5BF927D8F}"/>
              </c:ext>
            </c:extLst>
          </c:dPt>
          <c:dPt>
            <c:idx val="7"/>
            <c:invertIfNegative val="0"/>
            <c:bubble3D val="0"/>
            <c:spPr>
              <a:solidFill>
                <a:schemeClr val="tx2"/>
              </a:solidFill>
              <a:ln>
                <a:noFill/>
              </a:ln>
              <a:effectLst/>
            </c:spPr>
            <c:extLst>
              <c:ext xmlns:c16="http://schemas.microsoft.com/office/drawing/2014/chart" uri="{C3380CC4-5D6E-409C-BE32-E72D297353CC}">
                <c16:uniqueId val="{0000000F-82C6-F64B-88A2-90B5BF927D8F}"/>
              </c:ext>
            </c:extLst>
          </c:dPt>
          <c:dPt>
            <c:idx val="8"/>
            <c:invertIfNegative val="0"/>
            <c:bubble3D val="0"/>
            <c:spPr>
              <a:solidFill>
                <a:schemeClr val="tx2"/>
              </a:solidFill>
              <a:ln>
                <a:noFill/>
              </a:ln>
              <a:effectLst/>
            </c:spPr>
            <c:extLst>
              <c:ext xmlns:c16="http://schemas.microsoft.com/office/drawing/2014/chart" uri="{C3380CC4-5D6E-409C-BE32-E72D297353CC}">
                <c16:uniqueId val="{00000011-82C6-F64B-88A2-90B5BF927D8F}"/>
              </c:ext>
            </c:extLst>
          </c:dPt>
          <c:dPt>
            <c:idx val="9"/>
            <c:invertIfNegative val="0"/>
            <c:bubble3D val="0"/>
            <c:spPr>
              <a:solidFill>
                <a:schemeClr val="tx2"/>
              </a:solidFill>
              <a:ln>
                <a:noFill/>
              </a:ln>
              <a:effectLst/>
            </c:spPr>
            <c:extLst>
              <c:ext xmlns:c16="http://schemas.microsoft.com/office/drawing/2014/chart" uri="{C3380CC4-5D6E-409C-BE32-E72D297353CC}">
                <c16:uniqueId val="{00000013-82C6-F64B-88A2-90B5BF927D8F}"/>
              </c:ext>
            </c:extLst>
          </c:dPt>
          <c:dPt>
            <c:idx val="10"/>
            <c:invertIfNegative val="0"/>
            <c:bubble3D val="0"/>
            <c:spPr>
              <a:solidFill>
                <a:schemeClr val="bg1">
                  <a:lumMod val="75000"/>
                </a:schemeClr>
              </a:solidFill>
              <a:ln>
                <a:noFill/>
              </a:ln>
              <a:effectLst/>
            </c:spPr>
            <c:extLst>
              <c:ext xmlns:c16="http://schemas.microsoft.com/office/drawing/2014/chart" uri="{C3380CC4-5D6E-409C-BE32-E72D297353CC}">
                <c16:uniqueId val="{00000015-82C6-F64B-88A2-90B5BF927D8F}"/>
              </c:ext>
            </c:extLst>
          </c:dPt>
          <c:dPt>
            <c:idx val="11"/>
            <c:invertIfNegative val="0"/>
            <c:bubble3D val="0"/>
            <c:spPr>
              <a:solidFill>
                <a:schemeClr val="bg1">
                  <a:lumMod val="75000"/>
                </a:schemeClr>
              </a:solidFill>
              <a:ln>
                <a:noFill/>
              </a:ln>
              <a:effectLst/>
            </c:spPr>
            <c:extLst>
              <c:ext xmlns:c16="http://schemas.microsoft.com/office/drawing/2014/chart" uri="{C3380CC4-5D6E-409C-BE32-E72D297353CC}">
                <c16:uniqueId val="{00000017-82C6-F64B-88A2-90B5BF927D8F}"/>
              </c:ext>
            </c:extLst>
          </c:dPt>
          <c:dPt>
            <c:idx val="12"/>
            <c:invertIfNegative val="0"/>
            <c:bubble3D val="0"/>
            <c:spPr>
              <a:solidFill>
                <a:schemeClr val="bg1">
                  <a:lumMod val="75000"/>
                </a:schemeClr>
              </a:solidFill>
              <a:ln>
                <a:noFill/>
              </a:ln>
              <a:effectLst/>
            </c:spPr>
            <c:extLst>
              <c:ext xmlns:c16="http://schemas.microsoft.com/office/drawing/2014/chart" uri="{C3380CC4-5D6E-409C-BE32-E72D297353CC}">
                <c16:uniqueId val="{00000019-82C6-F64B-88A2-90B5BF927D8F}"/>
              </c:ext>
            </c:extLst>
          </c:dPt>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'Figure 5'!$E$65:$E$77</c:f>
                <c:numCache>
                  <c:formatCode>General</c:formatCode>
                  <c:ptCount val="13"/>
                  <c:pt idx="0">
                    <c:v>2.200000000000002E-2</c:v>
                  </c:pt>
                  <c:pt idx="1">
                    <c:v>6.4699190000000018E-2</c:v>
                  </c:pt>
                  <c:pt idx="2">
                    <c:v>7.5648360000000026E-2</c:v>
                  </c:pt>
                  <c:pt idx="3">
                    <c:v>0.12169903999999998</c:v>
                  </c:pt>
                  <c:pt idx="4">
                    <c:v>5.5640299999999976E-2</c:v>
                  </c:pt>
                  <c:pt idx="5">
                    <c:v>0.10340559999999993</c:v>
                  </c:pt>
                  <c:pt idx="6">
                    <c:v>8.8413669999999944E-2</c:v>
                  </c:pt>
                  <c:pt idx="7">
                    <c:v>8.9713150000000019E-2</c:v>
                  </c:pt>
                  <c:pt idx="8">
                    <c:v>5.7416479999999992E-2</c:v>
                  </c:pt>
                  <c:pt idx="9">
                    <c:v>3.6501919999999966E-2</c:v>
                  </c:pt>
                  <c:pt idx="10">
                    <c:v>2.3963230000000002E-2</c:v>
                  </c:pt>
                  <c:pt idx="11">
                    <c:v>3.9496449999999905E-2</c:v>
                  </c:pt>
                  <c:pt idx="12">
                    <c:v>2.845025000000001E-2</c:v>
                  </c:pt>
                </c:numCache>
              </c:numRef>
            </c:plus>
            <c:minus>
              <c:numRef>
                <c:f>'Figure 5'!$E$65:$E$77</c:f>
                <c:numCache>
                  <c:formatCode>General</c:formatCode>
                  <c:ptCount val="13"/>
                  <c:pt idx="0">
                    <c:v>2.200000000000002E-2</c:v>
                  </c:pt>
                  <c:pt idx="1">
                    <c:v>6.4699190000000018E-2</c:v>
                  </c:pt>
                  <c:pt idx="2">
                    <c:v>7.5648360000000026E-2</c:v>
                  </c:pt>
                  <c:pt idx="3">
                    <c:v>0.12169903999999998</c:v>
                  </c:pt>
                  <c:pt idx="4">
                    <c:v>5.5640299999999976E-2</c:v>
                  </c:pt>
                  <c:pt idx="5">
                    <c:v>0.10340559999999993</c:v>
                  </c:pt>
                  <c:pt idx="6">
                    <c:v>8.8413669999999944E-2</c:v>
                  </c:pt>
                  <c:pt idx="7">
                    <c:v>8.9713150000000019E-2</c:v>
                  </c:pt>
                  <c:pt idx="8">
                    <c:v>5.7416479999999992E-2</c:v>
                  </c:pt>
                  <c:pt idx="9">
                    <c:v>3.6501919999999966E-2</c:v>
                  </c:pt>
                  <c:pt idx="10">
                    <c:v>2.3963230000000002E-2</c:v>
                  </c:pt>
                  <c:pt idx="11">
                    <c:v>3.9496449999999905E-2</c:v>
                  </c:pt>
                  <c:pt idx="12">
                    <c:v>2.845025000000001E-2</c:v>
                  </c:pt>
                </c:numCache>
              </c:numRef>
            </c:minus>
            <c:spPr>
              <a:noFill/>
              <a:ln w="9525" cap="flat" cmpd="sng" algn="ctr">
                <a:solidFill>
                  <a:schemeClr val="tx1"/>
                </a:solidFill>
                <a:round/>
              </a:ln>
              <a:effectLst/>
            </c:spPr>
          </c:errBars>
          <c:cat>
            <c:strRef>
              <c:f>'Figure 5'!$A$65:$A$77</c:f>
              <c:strCache>
                <c:ptCount val="13"/>
                <c:pt idx="0">
                  <c:v>All adults</c:v>
                </c:pt>
                <c:pt idx="1">
                  <c:v>Poor Mental Health</c:v>
                </c:pt>
                <c:pt idx="2">
                  <c:v>MassHealth</c:v>
                </c:pt>
                <c:pt idx="3">
                  <c:v>non-Hispanic Black</c:v>
                </c:pt>
                <c:pt idx="4">
                  <c:v>&lt;25k income</c:v>
                </c:pt>
                <c:pt idx="5">
                  <c:v>LGBT</c:v>
                </c:pt>
                <c:pt idx="6">
                  <c:v>Hispanic</c:v>
                </c:pt>
                <c:pt idx="7">
                  <c:v>Less than high school</c:v>
                </c:pt>
                <c:pt idx="8">
                  <c:v>Lives in MUH</c:v>
                </c:pt>
                <c:pt idx="9">
                  <c:v>Disability</c:v>
                </c:pt>
                <c:pt idx="10">
                  <c:v>non-Hispanic White</c:v>
                </c:pt>
                <c:pt idx="11">
                  <c:v>$75k+ income</c:v>
                </c:pt>
                <c:pt idx="12">
                  <c:v>College degree</c:v>
                </c:pt>
              </c:strCache>
            </c:strRef>
          </c:cat>
          <c:val>
            <c:numRef>
              <c:f>'Figure 5'!$B$65:$B$77</c:f>
              <c:numCache>
                <c:formatCode>General</c:formatCode>
                <c:ptCount val="13"/>
                <c:pt idx="0">
                  <c:v>0.67700000000000005</c:v>
                </c:pt>
                <c:pt idx="1">
                  <c:v>0.465943</c:v>
                </c:pt>
                <c:pt idx="2">
                  <c:v>0.47665800000000003</c:v>
                </c:pt>
                <c:pt idx="3">
                  <c:v>0.48441000000000001</c:v>
                </c:pt>
                <c:pt idx="4">
                  <c:v>0.50344599999999995</c:v>
                </c:pt>
                <c:pt idx="5">
                  <c:v>0.53303199999999995</c:v>
                </c:pt>
                <c:pt idx="6">
                  <c:v>0.53564599999999996</c:v>
                </c:pt>
                <c:pt idx="7">
                  <c:v>0.54566800000000004</c:v>
                </c:pt>
                <c:pt idx="8">
                  <c:v>0.56637300000000002</c:v>
                </c:pt>
                <c:pt idx="9">
                  <c:v>0.64093</c:v>
                </c:pt>
                <c:pt idx="10">
                  <c:v>0.70786099999999996</c:v>
                </c:pt>
                <c:pt idx="11">
                  <c:v>0.75023399999999996</c:v>
                </c:pt>
                <c:pt idx="12">
                  <c:v>0.81155600000000006</c:v>
                </c:pt>
              </c:numCache>
            </c:numRef>
          </c:val>
          <c:extLst>
            <c:ext xmlns:c16="http://schemas.microsoft.com/office/drawing/2014/chart" uri="{C3380CC4-5D6E-409C-BE32-E72D297353CC}">
              <c16:uniqueId val="{0000001A-82C6-F64B-88A2-90B5BF927D8F}"/>
            </c:ext>
          </c:extLst>
        </c:ser>
        <c:dLbls>
          <c:showLegendKey val="0"/>
          <c:showVal val="0"/>
          <c:showCatName val="0"/>
          <c:showSerName val="0"/>
          <c:showPercent val="0"/>
          <c:showBubbleSize val="0"/>
        </c:dLbls>
        <c:gapWidth val="66"/>
        <c:overlap val="-27"/>
        <c:axId val="1325394208"/>
        <c:axId val="1325394536"/>
      </c:barChart>
      <c:catAx>
        <c:axId val="132539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325394536"/>
        <c:crosses val="autoZero"/>
        <c:auto val="1"/>
        <c:lblAlgn val="ctr"/>
        <c:lblOffset val="100"/>
        <c:noMultiLvlLbl val="0"/>
      </c:catAx>
      <c:valAx>
        <c:axId val="1325394536"/>
        <c:scaling>
          <c:orientation val="minMax"/>
          <c:max val="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25394208"/>
        <c:crosses val="autoZero"/>
        <c:crossBetween val="between"/>
        <c:majorUnit val="0.2"/>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Arial" panose="020B0604020202020204" pitchFamily="34" charset="0"/>
                <a:cs typeface="Arial" panose="020B0604020202020204" pitchFamily="34" charset="0"/>
              </a:defRPr>
            </a:pPr>
            <a:r>
              <a:rPr lang="en-US" sz="1200">
                <a:latin typeface="+mn-lt"/>
                <a:cs typeface="Arial" panose="020B0604020202020204" pitchFamily="34" charset="0"/>
              </a:rPr>
              <a:t>Figure 6: Rates of Successful</a:t>
            </a:r>
            <a:r>
              <a:rPr lang="en-US" sz="1200" baseline="0">
                <a:latin typeface="+mn-lt"/>
                <a:cs typeface="Arial" panose="020B0604020202020204" pitchFamily="34" charset="0"/>
              </a:rPr>
              <a:t> Quitting Among Subgroups: </a:t>
            </a:r>
          </a:p>
          <a:p>
            <a:pPr>
              <a:defRPr sz="1100">
                <a:latin typeface="Arial" panose="020B0604020202020204" pitchFamily="34" charset="0"/>
                <a:cs typeface="Arial" panose="020B0604020202020204" pitchFamily="34" charset="0"/>
              </a:defRPr>
            </a:pPr>
            <a:r>
              <a:rPr lang="en-US" sz="1200" baseline="0">
                <a:latin typeface="+mn-lt"/>
                <a:cs typeface="Arial" panose="020B0604020202020204" pitchFamily="34" charset="0"/>
              </a:rPr>
              <a:t>Massachusetts, 1996-2019</a:t>
            </a:r>
            <a:endParaRPr lang="en-US" sz="1200">
              <a:latin typeface="+mn-lt"/>
              <a:cs typeface="Arial" panose="020B0604020202020204" pitchFamily="34" charset="0"/>
            </a:endParaRPr>
          </a:p>
        </c:rich>
      </c:tx>
      <c:layout>
        <c:manualLayout>
          <c:xMode val="edge"/>
          <c:yMode val="edge"/>
          <c:x val="0.18899523383823333"/>
          <c:y val="2.5915490349063614E-2"/>
        </c:manualLayout>
      </c:layout>
      <c:overlay val="0"/>
    </c:title>
    <c:autoTitleDeleted val="0"/>
    <c:plotArea>
      <c:layout>
        <c:manualLayout>
          <c:layoutTarget val="inner"/>
          <c:xMode val="edge"/>
          <c:yMode val="edge"/>
          <c:x val="7.1123971219346618E-2"/>
          <c:y val="0.11058419594051772"/>
          <c:w val="0.83633747994457719"/>
          <c:h val="0.71658729368620155"/>
        </c:manualLayout>
      </c:layout>
      <c:scatterChart>
        <c:scatterStyle val="lineMarker"/>
        <c:varyColors val="0"/>
        <c:ser>
          <c:idx val="3"/>
          <c:order val="0"/>
          <c:tx>
            <c:strRef>
              <c:f>'Who quits '!$E$1</c:f>
              <c:strCache>
                <c:ptCount val="1"/>
                <c:pt idx="0">
                  <c:v>High SES ($75K+ household income or College degree)</c:v>
                </c:pt>
              </c:strCache>
            </c:strRef>
          </c:tx>
          <c:spPr>
            <a:ln w="12700">
              <a:solidFill>
                <a:schemeClr val="accent6"/>
              </a:solidFill>
            </a:ln>
          </c:spPr>
          <c:marker>
            <c:symbol val="circle"/>
            <c:size val="4"/>
            <c:spPr>
              <a:solidFill>
                <a:schemeClr val="accent6"/>
              </a:solidFill>
              <a:ln>
                <a:solidFill>
                  <a:schemeClr val="accent6"/>
                </a:solidFill>
              </a:ln>
            </c:spPr>
          </c:marker>
          <c:dPt>
            <c:idx val="15"/>
            <c:bubble3D val="0"/>
            <c:spPr>
              <a:ln w="12700">
                <a:noFill/>
              </a:ln>
            </c:spPr>
            <c:extLst>
              <c:ext xmlns:c16="http://schemas.microsoft.com/office/drawing/2014/chart" uri="{C3380CC4-5D6E-409C-BE32-E72D297353CC}">
                <c16:uniqueId val="{00000001-C4D8-854D-90BB-E12AEF00E35E}"/>
              </c:ext>
            </c:extLst>
          </c:dPt>
          <c:dLbls>
            <c:dLbl>
              <c:idx val="0"/>
              <c:delete val="1"/>
              <c:extLst>
                <c:ext xmlns:c15="http://schemas.microsoft.com/office/drawing/2012/chart" uri="{CE6537A1-D6FC-4f65-9D91-7224C49458BB}"/>
                <c:ext xmlns:c16="http://schemas.microsoft.com/office/drawing/2014/chart" uri="{C3380CC4-5D6E-409C-BE32-E72D297353CC}">
                  <c16:uniqueId val="{00000002-C4D8-854D-90BB-E12AEF00E35E}"/>
                </c:ext>
              </c:extLst>
            </c:dLbl>
            <c:dLbl>
              <c:idx val="1"/>
              <c:layout>
                <c:manualLayout>
                  <c:x val="-3.3333333333333333E-2"/>
                  <c:y val="-3.561022984784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D8-854D-90BB-E12AEF00E35E}"/>
                </c:ext>
              </c:extLst>
            </c:dLbl>
            <c:dLbl>
              <c:idx val="2"/>
              <c:delete val="1"/>
              <c:extLst>
                <c:ext xmlns:c15="http://schemas.microsoft.com/office/drawing/2012/chart" uri="{CE6537A1-D6FC-4f65-9D91-7224C49458BB}"/>
                <c:ext xmlns:c16="http://schemas.microsoft.com/office/drawing/2014/chart" uri="{C3380CC4-5D6E-409C-BE32-E72D297353CC}">
                  <c16:uniqueId val="{00000004-C4D8-854D-90BB-E12AEF00E35E}"/>
                </c:ext>
              </c:extLst>
            </c:dLbl>
            <c:dLbl>
              <c:idx val="3"/>
              <c:layout>
                <c:manualLayout>
                  <c:x val="-2.5925925925925943E-2"/>
                  <c:y val="-3.88475234703787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D8-854D-90BB-E12AEF00E35E}"/>
                </c:ext>
              </c:extLst>
            </c:dLbl>
            <c:dLbl>
              <c:idx val="4"/>
              <c:delete val="1"/>
              <c:extLst>
                <c:ext xmlns:c15="http://schemas.microsoft.com/office/drawing/2012/chart" uri="{CE6537A1-D6FC-4f65-9D91-7224C49458BB}"/>
                <c:ext xmlns:c16="http://schemas.microsoft.com/office/drawing/2014/chart" uri="{C3380CC4-5D6E-409C-BE32-E72D297353CC}">
                  <c16:uniqueId val="{00000006-C4D8-854D-90BB-E12AEF00E35E}"/>
                </c:ext>
              </c:extLst>
            </c:dLbl>
            <c:dLbl>
              <c:idx val="5"/>
              <c:layout>
                <c:manualLayout>
                  <c:x val="-2.9629629629629662E-2"/>
                  <c:y val="-2.2661055357721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D8-854D-90BB-E12AEF00E35E}"/>
                </c:ext>
              </c:extLst>
            </c:dLbl>
            <c:dLbl>
              <c:idx val="6"/>
              <c:delete val="1"/>
              <c:extLst>
                <c:ext xmlns:c15="http://schemas.microsoft.com/office/drawing/2012/chart" uri="{CE6537A1-D6FC-4f65-9D91-7224C49458BB}"/>
                <c:ext xmlns:c16="http://schemas.microsoft.com/office/drawing/2014/chart" uri="{C3380CC4-5D6E-409C-BE32-E72D297353CC}">
                  <c16:uniqueId val="{00000008-C4D8-854D-90BB-E12AEF00E35E}"/>
                </c:ext>
              </c:extLst>
            </c:dLbl>
            <c:dLbl>
              <c:idx val="7"/>
              <c:layout>
                <c:manualLayout>
                  <c:x val="-3.3333333333333368E-2"/>
                  <c:y val="-2.5898348980252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4D8-854D-90BB-E12AEF00E35E}"/>
                </c:ext>
              </c:extLst>
            </c:dLbl>
            <c:dLbl>
              <c:idx val="8"/>
              <c:delete val="1"/>
              <c:extLst>
                <c:ext xmlns:c15="http://schemas.microsoft.com/office/drawing/2012/chart" uri="{CE6537A1-D6FC-4f65-9D91-7224C49458BB}"/>
                <c:ext xmlns:c16="http://schemas.microsoft.com/office/drawing/2014/chart" uri="{C3380CC4-5D6E-409C-BE32-E72D297353CC}">
                  <c16:uniqueId val="{0000000A-C4D8-854D-90BB-E12AEF00E35E}"/>
                </c:ext>
              </c:extLst>
            </c:dLbl>
            <c:dLbl>
              <c:idx val="9"/>
              <c:layout>
                <c:manualLayout>
                  <c:x val="-3.703703703703707E-2"/>
                  <c:y val="-2.26610553577209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4D8-854D-90BB-E12AEF00E35E}"/>
                </c:ext>
              </c:extLst>
            </c:dLbl>
            <c:dLbl>
              <c:idx val="10"/>
              <c:delete val="1"/>
              <c:extLst>
                <c:ext xmlns:c15="http://schemas.microsoft.com/office/drawing/2012/chart" uri="{CE6537A1-D6FC-4f65-9D91-7224C49458BB}"/>
                <c:ext xmlns:c16="http://schemas.microsoft.com/office/drawing/2014/chart" uri="{C3380CC4-5D6E-409C-BE32-E72D297353CC}">
                  <c16:uniqueId val="{0000000C-C4D8-854D-90BB-E12AEF00E35E}"/>
                </c:ext>
              </c:extLst>
            </c:dLbl>
            <c:dLbl>
              <c:idx val="11"/>
              <c:layout>
                <c:manualLayout>
                  <c:x val="-3.3333333333333333E-2"/>
                  <c:y val="-1.9423761735189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4D8-854D-90BB-E12AEF00E35E}"/>
                </c:ext>
              </c:extLst>
            </c:dLbl>
            <c:dLbl>
              <c:idx val="12"/>
              <c:delete val="1"/>
              <c:extLst>
                <c:ext xmlns:c15="http://schemas.microsoft.com/office/drawing/2012/chart" uri="{CE6537A1-D6FC-4f65-9D91-7224C49458BB}"/>
                <c:ext xmlns:c16="http://schemas.microsoft.com/office/drawing/2014/chart" uri="{C3380CC4-5D6E-409C-BE32-E72D297353CC}">
                  <c16:uniqueId val="{0000000E-C4D8-854D-90BB-E12AEF00E35E}"/>
                </c:ext>
              </c:extLst>
            </c:dLbl>
            <c:dLbl>
              <c:idx val="13"/>
              <c:layout>
                <c:manualLayout>
                  <c:x val="-3.7037037037037104E-2"/>
                  <c:y val="-2.5898348980252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4D8-854D-90BB-E12AEF00E35E}"/>
                </c:ext>
              </c:extLst>
            </c:dLbl>
            <c:dLbl>
              <c:idx val="14"/>
              <c:delete val="1"/>
              <c:extLst>
                <c:ext xmlns:c15="http://schemas.microsoft.com/office/drawing/2012/chart" uri="{CE6537A1-D6FC-4f65-9D91-7224C49458BB}"/>
                <c:ext xmlns:c16="http://schemas.microsoft.com/office/drawing/2014/chart" uri="{C3380CC4-5D6E-409C-BE32-E72D297353CC}">
                  <c16:uniqueId val="{00000010-C4D8-854D-90BB-E12AEF00E35E}"/>
                </c:ext>
              </c:extLst>
            </c:dLbl>
            <c:dLbl>
              <c:idx val="15"/>
              <c:layout>
                <c:manualLayout>
                  <c:x val="-2.9629629629629631E-2"/>
                  <c:y val="-4.2084817092910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D8-854D-90BB-E12AEF00E35E}"/>
                </c:ext>
              </c:extLst>
            </c:dLbl>
            <c:dLbl>
              <c:idx val="16"/>
              <c:delete val="1"/>
              <c:extLst>
                <c:ext xmlns:c15="http://schemas.microsoft.com/office/drawing/2012/chart" uri="{CE6537A1-D6FC-4f65-9D91-7224C49458BB}"/>
                <c:ext xmlns:c16="http://schemas.microsoft.com/office/drawing/2014/chart" uri="{C3380CC4-5D6E-409C-BE32-E72D297353CC}">
                  <c16:uniqueId val="{00000011-C4D8-854D-90BB-E12AEF00E35E}"/>
                </c:ext>
              </c:extLst>
            </c:dLbl>
            <c:dLbl>
              <c:idx val="17"/>
              <c:layout>
                <c:manualLayout>
                  <c:x val="-3.3333333333333402E-2"/>
                  <c:y val="-3.2372936225315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4D8-854D-90BB-E12AEF00E35E}"/>
                </c:ext>
              </c:extLst>
            </c:dLbl>
            <c:dLbl>
              <c:idx val="18"/>
              <c:delete val="1"/>
              <c:extLst>
                <c:ext xmlns:c15="http://schemas.microsoft.com/office/drawing/2012/chart" uri="{CE6537A1-D6FC-4f65-9D91-7224C49458BB}"/>
                <c:ext xmlns:c16="http://schemas.microsoft.com/office/drawing/2014/chart" uri="{C3380CC4-5D6E-409C-BE32-E72D297353CC}">
                  <c16:uniqueId val="{00000013-C4D8-854D-90BB-E12AEF00E35E}"/>
                </c:ext>
              </c:extLst>
            </c:dLbl>
            <c:dLbl>
              <c:idx val="19"/>
              <c:layout>
                <c:manualLayout>
                  <c:x val="-2.592592592592606E-2"/>
                  <c:y val="-2.5898348980252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4D8-854D-90BB-E12AEF00E35E}"/>
                </c:ext>
              </c:extLst>
            </c:dLbl>
            <c:dLbl>
              <c:idx val="20"/>
              <c:delete val="1"/>
              <c:extLst>
                <c:ext xmlns:c15="http://schemas.microsoft.com/office/drawing/2012/chart" uri="{CE6537A1-D6FC-4f65-9D91-7224C49458BB}"/>
                <c:ext xmlns:c16="http://schemas.microsoft.com/office/drawing/2014/chart" uri="{C3380CC4-5D6E-409C-BE32-E72D297353CC}">
                  <c16:uniqueId val="{00000015-C4D8-854D-90BB-E12AEF00E35E}"/>
                </c:ext>
              </c:extLst>
            </c:dLbl>
            <c:dLbl>
              <c:idx val="21"/>
              <c:layout>
                <c:manualLayout>
                  <c:x val="-3.1481481481481478E-2"/>
                  <c:y val="-3.23729362253156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C4D8-854D-90BB-E12AEF00E35E}"/>
                </c:ext>
              </c:extLst>
            </c:dLbl>
            <c:dLbl>
              <c:idx val="22"/>
              <c:delete val="1"/>
              <c:extLst>
                <c:ext xmlns:c15="http://schemas.microsoft.com/office/drawing/2012/chart" uri="{CE6537A1-D6FC-4f65-9D91-7224C49458BB}"/>
                <c:ext xmlns:c16="http://schemas.microsoft.com/office/drawing/2014/chart" uri="{C3380CC4-5D6E-409C-BE32-E72D297353CC}">
                  <c16:uniqueId val="{00000017-C4D8-854D-90BB-E12AEF00E35E}"/>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'Who quits '!$A$2:$A$25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'Who quits '!$E$2:$E$25</c:f>
              <c:numCache>
                <c:formatCode>0.0%</c:formatCode>
                <c:ptCount val="24"/>
                <c:pt idx="0">
                  <c:v>0.71699999999999997</c:v>
                </c:pt>
                <c:pt idx="1">
                  <c:v>0.70799999999999996</c:v>
                </c:pt>
                <c:pt idx="2">
                  <c:v>0.73499999999999999</c:v>
                </c:pt>
                <c:pt idx="3">
                  <c:v>0.65800000000000003</c:v>
                </c:pt>
                <c:pt idx="4">
                  <c:v>0.67900000000000005</c:v>
                </c:pt>
                <c:pt idx="5">
                  <c:v>0.69599999999999995</c:v>
                </c:pt>
                <c:pt idx="6">
                  <c:v>0.69899999999999995</c:v>
                </c:pt>
                <c:pt idx="7">
                  <c:v>0.70199999999999996</c:v>
                </c:pt>
                <c:pt idx="8">
                  <c:v>0.69199999999999995</c:v>
                </c:pt>
                <c:pt idx="9">
                  <c:v>0.72599999999999998</c:v>
                </c:pt>
                <c:pt idx="10">
                  <c:v>0.71199999999999997</c:v>
                </c:pt>
                <c:pt idx="11">
                  <c:v>0.73399999999999999</c:v>
                </c:pt>
                <c:pt idx="12">
                  <c:v>0.73</c:v>
                </c:pt>
                <c:pt idx="13">
                  <c:v>0.75600000000000001</c:v>
                </c:pt>
                <c:pt idx="14">
                  <c:v>0.76500000000000001</c:v>
                </c:pt>
                <c:pt idx="15">
                  <c:v>0.73799999999999999</c:v>
                </c:pt>
                <c:pt idx="16">
                  <c:v>0.76500000000000001</c:v>
                </c:pt>
                <c:pt idx="17">
                  <c:v>0.749</c:v>
                </c:pt>
                <c:pt idx="18">
                  <c:v>0.78800000000000003</c:v>
                </c:pt>
                <c:pt idx="19">
                  <c:v>0.75600000000000001</c:v>
                </c:pt>
                <c:pt idx="20">
                  <c:v>0.74099999999999999</c:v>
                </c:pt>
                <c:pt idx="21">
                  <c:v>0.74400000000000011</c:v>
                </c:pt>
                <c:pt idx="22">
                  <c:v>0.7659999999999999</c:v>
                </c:pt>
                <c:pt idx="23">
                  <c:v>0.75</c:v>
                </c:pt>
              </c:numCache>
            </c:numRef>
          </c:yVal>
          <c:smooth val="0"/>
          <c:extLst>
            <c:ext xmlns:c16="http://schemas.microsoft.com/office/drawing/2014/chart" uri="{C3380CC4-5D6E-409C-BE32-E72D297353CC}">
              <c16:uniqueId val="{00000018-C4D8-854D-90BB-E12AEF00E35E}"/>
            </c:ext>
          </c:extLst>
        </c:ser>
        <c:ser>
          <c:idx val="0"/>
          <c:order val="1"/>
          <c:tx>
            <c:strRef>
              <c:f>'Who quits '!$B$1</c:f>
              <c:strCache>
                <c:ptCount val="1"/>
                <c:pt idx="0">
                  <c:v>All adults</c:v>
                </c:pt>
              </c:strCache>
            </c:strRef>
          </c:tx>
          <c:spPr>
            <a:ln w="38100"/>
          </c:spPr>
          <c:marker>
            <c:symbol val="diamond"/>
            <c:size val="7"/>
          </c:marker>
          <c:dPt>
            <c:idx val="15"/>
            <c:bubble3D val="0"/>
            <c:spPr>
              <a:ln w="38100">
                <a:noFill/>
              </a:ln>
            </c:spPr>
            <c:extLst>
              <c:ext xmlns:c16="http://schemas.microsoft.com/office/drawing/2014/chart" uri="{C3380CC4-5D6E-409C-BE32-E72D297353CC}">
                <c16:uniqueId val="{0000001A-C4D8-854D-90BB-E12AEF00E35E}"/>
              </c:ext>
            </c:extLst>
          </c:dPt>
          <c:dLbls>
            <c:dLbl>
              <c:idx val="0"/>
              <c:delete val="1"/>
              <c:extLst>
                <c:ext xmlns:c15="http://schemas.microsoft.com/office/drawing/2012/chart" uri="{CE6537A1-D6FC-4f65-9D91-7224C49458BB}"/>
                <c:ext xmlns:c16="http://schemas.microsoft.com/office/drawing/2014/chart" uri="{C3380CC4-5D6E-409C-BE32-E72D297353CC}">
                  <c16:uniqueId val="{0000001B-C4D8-854D-90BB-E12AEF00E35E}"/>
                </c:ext>
              </c:extLst>
            </c:dLbl>
            <c:dLbl>
              <c:idx val="1"/>
              <c:layout>
                <c:manualLayout>
                  <c:x val="-4.2592592592592599E-2"/>
                  <c:y val="-2.5898348980252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C4D8-854D-90BB-E12AEF00E35E}"/>
                </c:ext>
              </c:extLst>
            </c:dLbl>
            <c:dLbl>
              <c:idx val="2"/>
              <c:delete val="1"/>
              <c:extLst>
                <c:ext xmlns:c15="http://schemas.microsoft.com/office/drawing/2012/chart" uri="{CE6537A1-D6FC-4f65-9D91-7224C49458BB}"/>
                <c:ext xmlns:c16="http://schemas.microsoft.com/office/drawing/2014/chart" uri="{C3380CC4-5D6E-409C-BE32-E72D297353CC}">
                  <c16:uniqueId val="{0000001D-C4D8-854D-90BB-E12AEF00E35E}"/>
                </c:ext>
              </c:extLst>
            </c:dLbl>
            <c:dLbl>
              <c:idx val="3"/>
              <c:layout>
                <c:manualLayout>
                  <c:x val="-3.888888888888889E-2"/>
                  <c:y val="-3.2372936225315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C4D8-854D-90BB-E12AEF00E35E}"/>
                </c:ext>
              </c:extLst>
            </c:dLbl>
            <c:dLbl>
              <c:idx val="4"/>
              <c:delete val="1"/>
              <c:extLst>
                <c:ext xmlns:c15="http://schemas.microsoft.com/office/drawing/2012/chart" uri="{CE6537A1-D6FC-4f65-9D91-7224C49458BB}"/>
                <c:ext xmlns:c16="http://schemas.microsoft.com/office/drawing/2014/chart" uri="{C3380CC4-5D6E-409C-BE32-E72D297353CC}">
                  <c16:uniqueId val="{0000001F-C4D8-854D-90BB-E12AEF00E35E}"/>
                </c:ext>
              </c:extLst>
            </c:dLbl>
            <c:dLbl>
              <c:idx val="5"/>
              <c:layout>
                <c:manualLayout>
                  <c:x val="-3.888888888888889E-2"/>
                  <c:y val="-2.5898348980252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C4D8-854D-90BB-E12AEF00E35E}"/>
                </c:ext>
              </c:extLst>
            </c:dLbl>
            <c:dLbl>
              <c:idx val="6"/>
              <c:delete val="1"/>
              <c:extLst>
                <c:ext xmlns:c15="http://schemas.microsoft.com/office/drawing/2012/chart" uri="{CE6537A1-D6FC-4f65-9D91-7224C49458BB}"/>
                <c:ext xmlns:c16="http://schemas.microsoft.com/office/drawing/2014/chart" uri="{C3380CC4-5D6E-409C-BE32-E72D297353CC}">
                  <c16:uniqueId val="{00000021-C4D8-854D-90BB-E12AEF00E35E}"/>
                </c:ext>
              </c:extLst>
            </c:dLbl>
            <c:dLbl>
              <c:idx val="7"/>
              <c:layout>
                <c:manualLayout>
                  <c:x val="-3.703703703703707E-2"/>
                  <c:y val="-1.9423761735189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C4D8-854D-90BB-E12AEF00E35E}"/>
                </c:ext>
              </c:extLst>
            </c:dLbl>
            <c:dLbl>
              <c:idx val="8"/>
              <c:delete val="1"/>
              <c:extLst>
                <c:ext xmlns:c15="http://schemas.microsoft.com/office/drawing/2012/chart" uri="{CE6537A1-D6FC-4f65-9D91-7224C49458BB}"/>
                <c:ext xmlns:c16="http://schemas.microsoft.com/office/drawing/2014/chart" uri="{C3380CC4-5D6E-409C-BE32-E72D297353CC}">
                  <c16:uniqueId val="{00000023-C4D8-854D-90BB-E12AEF00E35E}"/>
                </c:ext>
              </c:extLst>
            </c:dLbl>
            <c:dLbl>
              <c:idx val="9"/>
              <c:layout>
                <c:manualLayout>
                  <c:x val="-4.2592592592592626E-2"/>
                  <c:y val="-2.2661055357721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C4D8-854D-90BB-E12AEF00E35E}"/>
                </c:ext>
              </c:extLst>
            </c:dLbl>
            <c:dLbl>
              <c:idx val="10"/>
              <c:delete val="1"/>
              <c:extLst>
                <c:ext xmlns:c15="http://schemas.microsoft.com/office/drawing/2012/chart" uri="{CE6537A1-D6FC-4f65-9D91-7224C49458BB}"/>
                <c:ext xmlns:c16="http://schemas.microsoft.com/office/drawing/2014/chart" uri="{C3380CC4-5D6E-409C-BE32-E72D297353CC}">
                  <c16:uniqueId val="{00000025-C4D8-854D-90BB-E12AEF00E35E}"/>
                </c:ext>
              </c:extLst>
            </c:dLbl>
            <c:dLbl>
              <c:idx val="11"/>
              <c:layout>
                <c:manualLayout>
                  <c:x val="-4.4444444444444446E-2"/>
                  <c:y val="-2.5898348980252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C4D8-854D-90BB-E12AEF00E35E}"/>
                </c:ext>
              </c:extLst>
            </c:dLbl>
            <c:dLbl>
              <c:idx val="12"/>
              <c:delete val="1"/>
              <c:extLst>
                <c:ext xmlns:c15="http://schemas.microsoft.com/office/drawing/2012/chart" uri="{CE6537A1-D6FC-4f65-9D91-7224C49458BB}"/>
                <c:ext xmlns:c16="http://schemas.microsoft.com/office/drawing/2014/chart" uri="{C3380CC4-5D6E-409C-BE32-E72D297353CC}">
                  <c16:uniqueId val="{00000027-C4D8-854D-90BB-E12AEF00E35E}"/>
                </c:ext>
              </c:extLst>
            </c:dLbl>
            <c:dLbl>
              <c:idx val="13"/>
              <c:layout>
                <c:manualLayout>
                  <c:x val="-2.4074074074074074E-2"/>
                  <c:y val="-3.2372936225315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C4D8-854D-90BB-E12AEF00E35E}"/>
                </c:ext>
              </c:extLst>
            </c:dLbl>
            <c:dLbl>
              <c:idx val="14"/>
              <c:delete val="1"/>
              <c:extLst>
                <c:ext xmlns:c15="http://schemas.microsoft.com/office/drawing/2012/chart" uri="{CE6537A1-D6FC-4f65-9D91-7224C49458BB}"/>
                <c:ext xmlns:c16="http://schemas.microsoft.com/office/drawing/2014/chart" uri="{C3380CC4-5D6E-409C-BE32-E72D297353CC}">
                  <c16:uniqueId val="{00000029-C4D8-854D-90BB-E12AEF00E35E}"/>
                </c:ext>
              </c:extLst>
            </c:dLbl>
            <c:dLbl>
              <c:idx val="15"/>
              <c:layout>
                <c:manualLayout>
                  <c:x val="-2.7777777777777846E-2"/>
                  <c:y val="-3.2372936225315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C4D8-854D-90BB-E12AEF00E35E}"/>
                </c:ext>
              </c:extLst>
            </c:dLbl>
            <c:dLbl>
              <c:idx val="16"/>
              <c:delete val="1"/>
              <c:extLst>
                <c:ext xmlns:c15="http://schemas.microsoft.com/office/drawing/2012/chart" uri="{CE6537A1-D6FC-4f65-9D91-7224C49458BB}"/>
                <c:ext xmlns:c16="http://schemas.microsoft.com/office/drawing/2014/chart" uri="{C3380CC4-5D6E-409C-BE32-E72D297353CC}">
                  <c16:uniqueId val="{0000002A-C4D8-854D-90BB-E12AEF00E35E}"/>
                </c:ext>
              </c:extLst>
            </c:dLbl>
            <c:dLbl>
              <c:idx val="17"/>
              <c:layout>
                <c:manualLayout>
                  <c:x val="-3.888888888888889E-2"/>
                  <c:y val="-2.9135642602784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C4D8-854D-90BB-E12AEF00E35E}"/>
                </c:ext>
              </c:extLst>
            </c:dLbl>
            <c:dLbl>
              <c:idx val="18"/>
              <c:delete val="1"/>
              <c:extLst>
                <c:ext xmlns:c15="http://schemas.microsoft.com/office/drawing/2012/chart" uri="{CE6537A1-D6FC-4f65-9D91-7224C49458BB}"/>
                <c:ext xmlns:c16="http://schemas.microsoft.com/office/drawing/2014/chart" uri="{C3380CC4-5D6E-409C-BE32-E72D297353CC}">
                  <c16:uniqueId val="{0000002C-C4D8-854D-90BB-E12AEF00E35E}"/>
                </c:ext>
              </c:extLst>
            </c:dLbl>
            <c:dLbl>
              <c:idx val="19"/>
              <c:layout>
                <c:manualLayout>
                  <c:x val="-4.2592592592592592E-2"/>
                  <c:y val="-2.2661055357720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C4D8-854D-90BB-E12AEF00E35E}"/>
                </c:ext>
              </c:extLst>
            </c:dLbl>
            <c:dLbl>
              <c:idx val="20"/>
              <c:delete val="1"/>
              <c:extLst>
                <c:ext xmlns:c15="http://schemas.microsoft.com/office/drawing/2012/chart" uri="{CE6537A1-D6FC-4f65-9D91-7224C49458BB}"/>
                <c:ext xmlns:c16="http://schemas.microsoft.com/office/drawing/2014/chart" uri="{C3380CC4-5D6E-409C-BE32-E72D297353CC}">
                  <c16:uniqueId val="{0000002E-C4D8-854D-90BB-E12AEF00E35E}"/>
                </c:ext>
              </c:extLst>
            </c:dLbl>
            <c:dLbl>
              <c:idx val="21"/>
              <c:layout>
                <c:manualLayout>
                  <c:x val="-3.5185185185185187E-2"/>
                  <c:y val="-1.9423761735189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C4D8-854D-90BB-E12AEF00E35E}"/>
                </c:ext>
              </c:extLst>
            </c:dLbl>
            <c:dLbl>
              <c:idx val="22"/>
              <c:delete val="1"/>
              <c:extLst>
                <c:ext xmlns:c15="http://schemas.microsoft.com/office/drawing/2012/chart" uri="{CE6537A1-D6FC-4f65-9D91-7224C49458BB}"/>
                <c:ext xmlns:c16="http://schemas.microsoft.com/office/drawing/2014/chart" uri="{C3380CC4-5D6E-409C-BE32-E72D297353CC}">
                  <c16:uniqueId val="{00000030-C4D8-854D-90BB-E12AEF00E35E}"/>
                </c:ext>
              </c:extLst>
            </c:dLbl>
            <c:dLbl>
              <c:idx val="23"/>
              <c:layout>
                <c:manualLayout>
                  <c:x val="-3.7037037037037035E-2"/>
                  <c:y val="-1.9423761735189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C4D8-854D-90BB-E12AEF00E35E}"/>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'Who quits '!$A$2:$A$25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'Who quits '!$B$2:$B$25</c:f>
              <c:numCache>
                <c:formatCode>0.0%</c:formatCode>
                <c:ptCount val="24"/>
                <c:pt idx="0">
                  <c:v>0.56399999999999995</c:v>
                </c:pt>
                <c:pt idx="1">
                  <c:v>0.59299999999999997</c:v>
                </c:pt>
                <c:pt idx="2">
                  <c:v>0.56599999999999995</c:v>
                </c:pt>
                <c:pt idx="3">
                  <c:v>0.55200000000000005</c:v>
                </c:pt>
                <c:pt idx="4">
                  <c:v>0.58499999999999996</c:v>
                </c:pt>
                <c:pt idx="5">
                  <c:v>0.60499999999999998</c:v>
                </c:pt>
                <c:pt idx="6">
                  <c:v>0.60599999999999998</c:v>
                </c:pt>
                <c:pt idx="7">
                  <c:v>0.61899999999999999</c:v>
                </c:pt>
                <c:pt idx="8">
                  <c:v>0.59299999999999997</c:v>
                </c:pt>
                <c:pt idx="9">
                  <c:v>0.60399999999999998</c:v>
                </c:pt>
                <c:pt idx="10">
                  <c:v>0.61</c:v>
                </c:pt>
                <c:pt idx="11">
                  <c:v>0.63500000000000001</c:v>
                </c:pt>
                <c:pt idx="12">
                  <c:v>0.63600000000000001</c:v>
                </c:pt>
                <c:pt idx="13">
                  <c:v>0.65500000000000003</c:v>
                </c:pt>
                <c:pt idx="14">
                  <c:v>0.67600000000000005</c:v>
                </c:pt>
                <c:pt idx="15">
                  <c:v>0.60799999999999998</c:v>
                </c:pt>
                <c:pt idx="16">
                  <c:v>0.629</c:v>
                </c:pt>
                <c:pt idx="17">
                  <c:v>0.621</c:v>
                </c:pt>
                <c:pt idx="18">
                  <c:v>0.64600000000000002</c:v>
                </c:pt>
                <c:pt idx="19">
                  <c:v>0.65800000000000003</c:v>
                </c:pt>
                <c:pt idx="20">
                  <c:v>0.66299999999999992</c:v>
                </c:pt>
                <c:pt idx="21">
                  <c:v>0.64700000000000002</c:v>
                </c:pt>
                <c:pt idx="22">
                  <c:v>0.65200000000000002</c:v>
                </c:pt>
                <c:pt idx="23">
                  <c:v>0.67700000000000005</c:v>
                </c:pt>
              </c:numCache>
            </c:numRef>
          </c:yVal>
          <c:smooth val="0"/>
          <c:extLst>
            <c:ext xmlns:c16="http://schemas.microsoft.com/office/drawing/2014/chart" uri="{C3380CC4-5D6E-409C-BE32-E72D297353CC}">
              <c16:uniqueId val="{00000032-C4D8-854D-90BB-E12AEF00E35E}"/>
            </c:ext>
          </c:extLst>
        </c:ser>
        <c:ser>
          <c:idx val="2"/>
          <c:order val="2"/>
          <c:tx>
            <c:strRef>
              <c:f>'Who quits '!$D$1</c:f>
              <c:strCache>
                <c:ptCount val="1"/>
                <c:pt idx="0">
                  <c:v>Low SES (&lt;$25K household income or High school education or less)</c:v>
                </c:pt>
              </c:strCache>
            </c:strRef>
          </c:tx>
          <c:spPr>
            <a:ln w="12700"/>
          </c:spPr>
          <c:marker>
            <c:symbol val="triangle"/>
            <c:size val="4"/>
          </c:marker>
          <c:dPt>
            <c:idx val="15"/>
            <c:bubble3D val="0"/>
            <c:spPr>
              <a:ln w="12700">
                <a:noFill/>
              </a:ln>
            </c:spPr>
            <c:extLst>
              <c:ext xmlns:c16="http://schemas.microsoft.com/office/drawing/2014/chart" uri="{C3380CC4-5D6E-409C-BE32-E72D297353CC}">
                <c16:uniqueId val="{00000034-C4D8-854D-90BB-E12AEF00E35E}"/>
              </c:ext>
            </c:extLst>
          </c:dPt>
          <c:dLbls>
            <c:dLbl>
              <c:idx val="0"/>
              <c:delete val="1"/>
              <c:extLst>
                <c:ext xmlns:c15="http://schemas.microsoft.com/office/drawing/2012/chart" uri="{CE6537A1-D6FC-4f65-9D91-7224C49458BB}"/>
                <c:ext xmlns:c16="http://schemas.microsoft.com/office/drawing/2014/chart" uri="{C3380CC4-5D6E-409C-BE32-E72D297353CC}">
                  <c16:uniqueId val="{00000035-C4D8-854D-90BB-E12AEF00E35E}"/>
                </c:ext>
              </c:extLst>
            </c:dLbl>
            <c:dLbl>
              <c:idx val="1"/>
              <c:layout>
                <c:manualLayout>
                  <c:x val="-2.9629629629629648E-2"/>
                  <c:y val="-1.618646811265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C4D8-854D-90BB-E12AEF00E35E}"/>
                </c:ext>
              </c:extLst>
            </c:dLbl>
            <c:dLbl>
              <c:idx val="2"/>
              <c:delete val="1"/>
              <c:extLst>
                <c:ext xmlns:c15="http://schemas.microsoft.com/office/drawing/2012/chart" uri="{CE6537A1-D6FC-4f65-9D91-7224C49458BB}"/>
                <c:ext xmlns:c16="http://schemas.microsoft.com/office/drawing/2014/chart" uri="{C3380CC4-5D6E-409C-BE32-E72D297353CC}">
                  <c16:uniqueId val="{00000037-C4D8-854D-90BB-E12AEF00E35E}"/>
                </c:ext>
              </c:extLst>
            </c:dLbl>
            <c:dLbl>
              <c:idx val="3"/>
              <c:layout>
                <c:manualLayout>
                  <c:x val="-3.7037037037037021E-2"/>
                  <c:y val="-3.23729362253156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8-C4D8-854D-90BB-E12AEF00E35E}"/>
                </c:ext>
              </c:extLst>
            </c:dLbl>
            <c:dLbl>
              <c:idx val="4"/>
              <c:delete val="1"/>
              <c:extLst>
                <c:ext xmlns:c15="http://schemas.microsoft.com/office/drawing/2012/chart" uri="{CE6537A1-D6FC-4f65-9D91-7224C49458BB}"/>
                <c:ext xmlns:c16="http://schemas.microsoft.com/office/drawing/2014/chart" uri="{C3380CC4-5D6E-409C-BE32-E72D297353CC}">
                  <c16:uniqueId val="{00000039-C4D8-854D-90BB-E12AEF00E35E}"/>
                </c:ext>
              </c:extLst>
            </c:dLbl>
            <c:dLbl>
              <c:idx val="5"/>
              <c:layout>
                <c:manualLayout>
                  <c:x val="-3.3333333333333333E-2"/>
                  <c:y val="-2.58983489802525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A-C4D8-854D-90BB-E12AEF00E35E}"/>
                </c:ext>
              </c:extLst>
            </c:dLbl>
            <c:dLbl>
              <c:idx val="6"/>
              <c:delete val="1"/>
              <c:extLst>
                <c:ext xmlns:c15="http://schemas.microsoft.com/office/drawing/2012/chart" uri="{CE6537A1-D6FC-4f65-9D91-7224C49458BB}"/>
                <c:ext xmlns:c16="http://schemas.microsoft.com/office/drawing/2014/chart" uri="{C3380CC4-5D6E-409C-BE32-E72D297353CC}">
                  <c16:uniqueId val="{0000003B-C4D8-854D-90BB-E12AEF00E35E}"/>
                </c:ext>
              </c:extLst>
            </c:dLbl>
            <c:dLbl>
              <c:idx val="7"/>
              <c:layout>
                <c:manualLayout>
                  <c:x val="-3.3333333333333333E-2"/>
                  <c:y val="-1.29491744901263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C-C4D8-854D-90BB-E12AEF00E35E}"/>
                </c:ext>
              </c:extLst>
            </c:dLbl>
            <c:dLbl>
              <c:idx val="8"/>
              <c:delete val="1"/>
              <c:extLst>
                <c:ext xmlns:c15="http://schemas.microsoft.com/office/drawing/2012/chart" uri="{CE6537A1-D6FC-4f65-9D91-7224C49458BB}"/>
                <c:ext xmlns:c16="http://schemas.microsoft.com/office/drawing/2014/chart" uri="{C3380CC4-5D6E-409C-BE32-E72D297353CC}">
                  <c16:uniqueId val="{0000003D-C4D8-854D-90BB-E12AEF00E35E}"/>
                </c:ext>
              </c:extLst>
            </c:dLbl>
            <c:dLbl>
              <c:idx val="9"/>
              <c:layout>
                <c:manualLayout>
                  <c:x val="-3.7037037037037035E-2"/>
                  <c:y val="-2.5898348980252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E-C4D8-854D-90BB-E12AEF00E35E}"/>
                </c:ext>
              </c:extLst>
            </c:dLbl>
            <c:dLbl>
              <c:idx val="10"/>
              <c:delete val="1"/>
              <c:extLst>
                <c:ext xmlns:c15="http://schemas.microsoft.com/office/drawing/2012/chart" uri="{CE6537A1-D6FC-4f65-9D91-7224C49458BB}"/>
                <c:ext xmlns:c16="http://schemas.microsoft.com/office/drawing/2014/chart" uri="{C3380CC4-5D6E-409C-BE32-E72D297353CC}">
                  <c16:uniqueId val="{0000003F-C4D8-854D-90BB-E12AEF00E35E}"/>
                </c:ext>
              </c:extLst>
            </c:dLbl>
            <c:dLbl>
              <c:idx val="11"/>
              <c:layout>
                <c:manualLayout>
                  <c:x val="-4.0740740740740744E-2"/>
                  <c:y val="-1.94237617351894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0-C4D8-854D-90BB-E12AEF00E35E}"/>
                </c:ext>
              </c:extLst>
            </c:dLbl>
            <c:dLbl>
              <c:idx val="12"/>
              <c:delete val="1"/>
              <c:extLst>
                <c:ext xmlns:c15="http://schemas.microsoft.com/office/drawing/2012/chart" uri="{CE6537A1-D6FC-4f65-9D91-7224C49458BB}"/>
                <c:ext xmlns:c16="http://schemas.microsoft.com/office/drawing/2014/chart" uri="{C3380CC4-5D6E-409C-BE32-E72D297353CC}">
                  <c16:uniqueId val="{00000041-C4D8-854D-90BB-E12AEF00E35E}"/>
                </c:ext>
              </c:extLst>
            </c:dLbl>
            <c:dLbl>
              <c:idx val="13"/>
              <c:layout>
                <c:manualLayout>
                  <c:x val="-4.2592592592592661E-2"/>
                  <c:y val="-2.2661055357720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2-C4D8-854D-90BB-E12AEF00E35E}"/>
                </c:ext>
              </c:extLst>
            </c:dLbl>
            <c:dLbl>
              <c:idx val="14"/>
              <c:delete val="1"/>
              <c:extLst>
                <c:ext xmlns:c15="http://schemas.microsoft.com/office/drawing/2012/chart" uri="{CE6537A1-D6FC-4f65-9D91-7224C49458BB}"/>
                <c:ext xmlns:c16="http://schemas.microsoft.com/office/drawing/2014/chart" uri="{C3380CC4-5D6E-409C-BE32-E72D297353CC}">
                  <c16:uniqueId val="{00000043-C4D8-854D-90BB-E12AEF00E35E}"/>
                </c:ext>
              </c:extLst>
            </c:dLbl>
            <c:dLbl>
              <c:idx val="15"/>
              <c:layout>
                <c:manualLayout>
                  <c:x val="-2.5925925925925995E-2"/>
                  <c:y val="-2.58983489802525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4-C4D8-854D-90BB-E12AEF00E35E}"/>
                </c:ext>
              </c:extLst>
            </c:dLbl>
            <c:dLbl>
              <c:idx val="16"/>
              <c:delete val="1"/>
              <c:extLst>
                <c:ext xmlns:c15="http://schemas.microsoft.com/office/drawing/2012/chart" uri="{CE6537A1-D6FC-4f65-9D91-7224C49458BB}"/>
                <c:ext xmlns:c16="http://schemas.microsoft.com/office/drawing/2014/chart" uri="{C3380CC4-5D6E-409C-BE32-E72D297353CC}">
                  <c16:uniqueId val="{00000044-C4D8-854D-90BB-E12AEF00E35E}"/>
                </c:ext>
              </c:extLst>
            </c:dLbl>
            <c:dLbl>
              <c:idx val="17"/>
              <c:layout>
                <c:manualLayout>
                  <c:x val="-2.7777777777777776E-2"/>
                  <c:y val="-3.2372936225315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5-C4D8-854D-90BB-E12AEF00E35E}"/>
                </c:ext>
              </c:extLst>
            </c:dLbl>
            <c:dLbl>
              <c:idx val="18"/>
              <c:delete val="1"/>
              <c:extLst>
                <c:ext xmlns:c15="http://schemas.microsoft.com/office/drawing/2012/chart" uri="{CE6537A1-D6FC-4f65-9D91-7224C49458BB}"/>
                <c:ext xmlns:c16="http://schemas.microsoft.com/office/drawing/2014/chart" uri="{C3380CC4-5D6E-409C-BE32-E72D297353CC}">
                  <c16:uniqueId val="{00000046-C4D8-854D-90BB-E12AEF00E35E}"/>
                </c:ext>
              </c:extLst>
            </c:dLbl>
            <c:dLbl>
              <c:idx val="19"/>
              <c:layout>
                <c:manualLayout>
                  <c:x val="-3.1481481481481478E-2"/>
                  <c:y val="-2.26610553577209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7-C4D8-854D-90BB-E12AEF00E35E}"/>
                </c:ext>
              </c:extLst>
            </c:dLbl>
            <c:dLbl>
              <c:idx val="20"/>
              <c:delete val="1"/>
              <c:extLst>
                <c:ext xmlns:c15="http://schemas.microsoft.com/office/drawing/2012/chart" uri="{CE6537A1-D6FC-4f65-9D91-7224C49458BB}"/>
                <c:ext xmlns:c16="http://schemas.microsoft.com/office/drawing/2014/chart" uri="{C3380CC4-5D6E-409C-BE32-E72D297353CC}">
                  <c16:uniqueId val="{00000048-C4D8-854D-90BB-E12AEF00E35E}"/>
                </c:ext>
              </c:extLst>
            </c:dLbl>
            <c:dLbl>
              <c:idx val="21"/>
              <c:layout>
                <c:manualLayout>
                  <c:x val="-3.1481481481481478E-2"/>
                  <c:y val="-2.2661055357720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9-C4D8-854D-90BB-E12AEF00E35E}"/>
                </c:ext>
              </c:extLst>
            </c:dLbl>
            <c:dLbl>
              <c:idx val="22"/>
              <c:delete val="1"/>
              <c:extLst>
                <c:ext xmlns:c15="http://schemas.microsoft.com/office/drawing/2012/chart" uri="{CE6537A1-D6FC-4f65-9D91-7224C49458BB}"/>
                <c:ext xmlns:c16="http://schemas.microsoft.com/office/drawing/2014/chart" uri="{C3380CC4-5D6E-409C-BE32-E72D297353CC}">
                  <c16:uniqueId val="{0000004A-C4D8-854D-90BB-E12AEF00E35E}"/>
                </c:ext>
              </c:extLst>
            </c:dLbl>
            <c:dLbl>
              <c:idx val="23"/>
              <c:layout>
                <c:manualLayout>
                  <c:x val="0"/>
                  <c:y val="-1.29491744901262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B-C4D8-854D-90BB-E12AEF00E35E}"/>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'Who quits '!$A$2:$A$25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'Who quits '!$D$2:$D$25</c:f>
              <c:numCache>
                <c:formatCode>0.0%</c:formatCode>
                <c:ptCount val="24"/>
                <c:pt idx="0">
                  <c:v>0.48499999999999999</c:v>
                </c:pt>
                <c:pt idx="1">
                  <c:v>0.52800000000000002</c:v>
                </c:pt>
                <c:pt idx="2">
                  <c:v>0.46800000000000003</c:v>
                </c:pt>
                <c:pt idx="3">
                  <c:v>0.46899999999999997</c:v>
                </c:pt>
                <c:pt idx="4">
                  <c:v>0.51100000000000001</c:v>
                </c:pt>
                <c:pt idx="5">
                  <c:v>0.52600000000000002</c:v>
                </c:pt>
                <c:pt idx="6">
                  <c:v>0.52600000000000002</c:v>
                </c:pt>
                <c:pt idx="7">
                  <c:v>0.54200000000000004</c:v>
                </c:pt>
                <c:pt idx="8">
                  <c:v>0.504</c:v>
                </c:pt>
                <c:pt idx="9">
                  <c:v>0.49</c:v>
                </c:pt>
                <c:pt idx="10">
                  <c:v>0.51500000000000001</c:v>
                </c:pt>
                <c:pt idx="11">
                  <c:v>0.52700000000000002</c:v>
                </c:pt>
                <c:pt idx="12">
                  <c:v>0.52300000000000002</c:v>
                </c:pt>
                <c:pt idx="13">
                  <c:v>0.54300000000000004</c:v>
                </c:pt>
                <c:pt idx="14">
                  <c:v>0.56799999999999995</c:v>
                </c:pt>
                <c:pt idx="15">
                  <c:v>0.52400000000000002</c:v>
                </c:pt>
                <c:pt idx="16">
                  <c:v>0.53200000000000003</c:v>
                </c:pt>
                <c:pt idx="17">
                  <c:v>0.53100000000000003</c:v>
                </c:pt>
                <c:pt idx="18">
                  <c:v>0.55500000000000005</c:v>
                </c:pt>
                <c:pt idx="19">
                  <c:v>0.57299999999999995</c:v>
                </c:pt>
                <c:pt idx="20">
                  <c:v>0.58599999999999997</c:v>
                </c:pt>
                <c:pt idx="21">
                  <c:v>0.54600000000000004</c:v>
                </c:pt>
                <c:pt idx="22">
                  <c:v>0.54200000000000004</c:v>
                </c:pt>
                <c:pt idx="23">
                  <c:v>0.503</c:v>
                </c:pt>
              </c:numCache>
            </c:numRef>
          </c:yVal>
          <c:smooth val="0"/>
          <c:extLst>
            <c:ext xmlns:c16="http://schemas.microsoft.com/office/drawing/2014/chart" uri="{C3380CC4-5D6E-409C-BE32-E72D297353CC}">
              <c16:uniqueId val="{0000004C-C4D8-854D-90BB-E12AEF00E35E}"/>
            </c:ext>
          </c:extLst>
        </c:ser>
        <c:ser>
          <c:idx val="1"/>
          <c:order val="3"/>
          <c:tx>
            <c:strRef>
              <c:f>'Who quits '!$C$1</c:f>
              <c:strCache>
                <c:ptCount val="1"/>
                <c:pt idx="0">
                  <c:v>Poor mental health (15+ days of poor mental health in past month)</c:v>
                </c:pt>
              </c:strCache>
            </c:strRef>
          </c:tx>
          <c:spPr>
            <a:ln w="12700"/>
          </c:spPr>
          <c:marker>
            <c:symbol val="square"/>
            <c:size val="4"/>
          </c:marker>
          <c:dPt>
            <c:idx val="15"/>
            <c:bubble3D val="0"/>
            <c:spPr>
              <a:ln w="12700">
                <a:noFill/>
              </a:ln>
            </c:spPr>
            <c:extLst>
              <c:ext xmlns:c16="http://schemas.microsoft.com/office/drawing/2014/chart" uri="{C3380CC4-5D6E-409C-BE32-E72D297353CC}">
                <c16:uniqueId val="{0000004E-C4D8-854D-90BB-E12AEF00E35E}"/>
              </c:ext>
            </c:extLst>
          </c:dPt>
          <c:dLbls>
            <c:dLbl>
              <c:idx val="0"/>
              <c:delete val="1"/>
              <c:extLst>
                <c:ext xmlns:c15="http://schemas.microsoft.com/office/drawing/2012/chart" uri="{CE6537A1-D6FC-4f65-9D91-7224C49458BB}"/>
                <c:ext xmlns:c16="http://schemas.microsoft.com/office/drawing/2014/chart" uri="{C3380CC4-5D6E-409C-BE32-E72D297353CC}">
                  <c16:uniqueId val="{0000004F-C4D8-854D-90BB-E12AEF00E35E}"/>
                </c:ext>
              </c:extLst>
            </c:dLbl>
            <c:dLbl>
              <c:idx val="1"/>
              <c:layout>
                <c:manualLayout>
                  <c:x val="-3.1481481481481499E-2"/>
                  <c:y val="5.5033991583036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0-C4D8-854D-90BB-E12AEF00E35E}"/>
                </c:ext>
              </c:extLst>
            </c:dLbl>
            <c:dLbl>
              <c:idx val="2"/>
              <c:delete val="1"/>
              <c:extLst>
                <c:ext xmlns:c15="http://schemas.microsoft.com/office/drawing/2012/chart" uri="{CE6537A1-D6FC-4f65-9D91-7224C49458BB}"/>
                <c:ext xmlns:c16="http://schemas.microsoft.com/office/drawing/2014/chart" uri="{C3380CC4-5D6E-409C-BE32-E72D297353CC}">
                  <c16:uniqueId val="{00000051-C4D8-854D-90BB-E12AEF00E35E}"/>
                </c:ext>
              </c:extLst>
            </c:dLbl>
            <c:dLbl>
              <c:idx val="3"/>
              <c:layout>
                <c:manualLayout>
                  <c:x val="-3.7037037037037056E-2"/>
                  <c:y val="6.1508578828099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2-C4D8-854D-90BB-E12AEF00E35E}"/>
                </c:ext>
              </c:extLst>
            </c:dLbl>
            <c:dLbl>
              <c:idx val="4"/>
              <c:delete val="1"/>
              <c:extLst>
                <c:ext xmlns:c15="http://schemas.microsoft.com/office/drawing/2012/chart" uri="{CE6537A1-D6FC-4f65-9D91-7224C49458BB}"/>
                <c:ext xmlns:c16="http://schemas.microsoft.com/office/drawing/2014/chart" uri="{C3380CC4-5D6E-409C-BE32-E72D297353CC}">
                  <c16:uniqueId val="{00000053-C4D8-854D-90BB-E12AEF00E35E}"/>
                </c:ext>
              </c:extLst>
            </c:dLbl>
            <c:dLbl>
              <c:idx val="5"/>
              <c:layout>
                <c:manualLayout>
                  <c:x val="-3.5185185185185187E-2"/>
                  <c:y val="5.50339915830365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4-C4D8-854D-90BB-E12AEF00E35E}"/>
                </c:ext>
              </c:extLst>
            </c:dLbl>
            <c:dLbl>
              <c:idx val="6"/>
              <c:delete val="1"/>
              <c:extLst>
                <c:ext xmlns:c15="http://schemas.microsoft.com/office/drawing/2012/chart" uri="{CE6537A1-D6FC-4f65-9D91-7224C49458BB}"/>
                <c:ext xmlns:c16="http://schemas.microsoft.com/office/drawing/2014/chart" uri="{C3380CC4-5D6E-409C-BE32-E72D297353CC}">
                  <c16:uniqueId val="{00000055-C4D8-854D-90BB-E12AEF00E35E}"/>
                </c:ext>
              </c:extLst>
            </c:dLbl>
            <c:dLbl>
              <c:idx val="7"/>
              <c:layout>
                <c:manualLayout>
                  <c:x val="-3.5185185185185222E-2"/>
                  <c:y val="5.1796697960505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6-C4D8-854D-90BB-E12AEF00E35E}"/>
                </c:ext>
              </c:extLst>
            </c:dLbl>
            <c:dLbl>
              <c:idx val="8"/>
              <c:delete val="1"/>
              <c:extLst>
                <c:ext xmlns:c15="http://schemas.microsoft.com/office/drawing/2012/chart" uri="{CE6537A1-D6FC-4f65-9D91-7224C49458BB}"/>
                <c:ext xmlns:c16="http://schemas.microsoft.com/office/drawing/2014/chart" uri="{C3380CC4-5D6E-409C-BE32-E72D297353CC}">
                  <c16:uniqueId val="{00000057-C4D8-854D-90BB-E12AEF00E35E}"/>
                </c:ext>
              </c:extLst>
            </c:dLbl>
            <c:dLbl>
              <c:idx val="9"/>
              <c:layout>
                <c:manualLayout>
                  <c:x val="-3.5185185185185222E-2"/>
                  <c:y val="4.8559404337973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8-C4D8-854D-90BB-E12AEF00E35E}"/>
                </c:ext>
              </c:extLst>
            </c:dLbl>
            <c:dLbl>
              <c:idx val="10"/>
              <c:delete val="1"/>
              <c:extLst>
                <c:ext xmlns:c15="http://schemas.microsoft.com/office/drawing/2012/chart" uri="{CE6537A1-D6FC-4f65-9D91-7224C49458BB}"/>
                <c:ext xmlns:c16="http://schemas.microsoft.com/office/drawing/2014/chart" uri="{C3380CC4-5D6E-409C-BE32-E72D297353CC}">
                  <c16:uniqueId val="{00000059-C4D8-854D-90BB-E12AEF00E35E}"/>
                </c:ext>
              </c:extLst>
            </c:dLbl>
            <c:dLbl>
              <c:idx val="11"/>
              <c:layout>
                <c:manualLayout>
                  <c:x val="-4.4444444444444446E-2"/>
                  <c:y val="9.0644221430883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A-C4D8-854D-90BB-E12AEF00E35E}"/>
                </c:ext>
              </c:extLst>
            </c:dLbl>
            <c:dLbl>
              <c:idx val="12"/>
              <c:delete val="1"/>
              <c:extLst>
                <c:ext xmlns:c15="http://schemas.microsoft.com/office/drawing/2012/chart" uri="{CE6537A1-D6FC-4f65-9D91-7224C49458BB}"/>
                <c:ext xmlns:c16="http://schemas.microsoft.com/office/drawing/2014/chart" uri="{C3380CC4-5D6E-409C-BE32-E72D297353CC}">
                  <c16:uniqueId val="{0000005B-C4D8-854D-90BB-E12AEF00E35E}"/>
                </c:ext>
              </c:extLst>
            </c:dLbl>
            <c:dLbl>
              <c:idx val="13"/>
              <c:layout>
                <c:manualLayout>
                  <c:x val="-2.9629629629629631E-2"/>
                  <c:y val="5.17966979605050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C-C4D8-854D-90BB-E12AEF00E35E}"/>
                </c:ext>
              </c:extLst>
            </c:dLbl>
            <c:dLbl>
              <c:idx val="14"/>
              <c:delete val="1"/>
              <c:extLst>
                <c:ext xmlns:c15="http://schemas.microsoft.com/office/drawing/2012/chart" uri="{CE6537A1-D6FC-4f65-9D91-7224C49458BB}"/>
                <c:ext xmlns:c16="http://schemas.microsoft.com/office/drawing/2014/chart" uri="{C3380CC4-5D6E-409C-BE32-E72D297353CC}">
                  <c16:uniqueId val="{0000005D-C4D8-854D-90BB-E12AEF00E35E}"/>
                </c:ext>
              </c:extLst>
            </c:dLbl>
            <c:dLbl>
              <c:idx val="15"/>
              <c:layout>
                <c:manualLayout>
                  <c:x val="-2.0370370370370372E-2"/>
                  <c:y val="4.8559404337973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E-C4D8-854D-90BB-E12AEF00E35E}"/>
                </c:ext>
              </c:extLst>
            </c:dLbl>
            <c:dLbl>
              <c:idx val="16"/>
              <c:delete val="1"/>
              <c:extLst>
                <c:ext xmlns:c15="http://schemas.microsoft.com/office/drawing/2012/chart" uri="{CE6537A1-D6FC-4f65-9D91-7224C49458BB}"/>
                <c:ext xmlns:c16="http://schemas.microsoft.com/office/drawing/2014/chart" uri="{C3380CC4-5D6E-409C-BE32-E72D297353CC}">
                  <c16:uniqueId val="{0000005E-C4D8-854D-90BB-E12AEF00E35E}"/>
                </c:ext>
              </c:extLst>
            </c:dLbl>
            <c:dLbl>
              <c:idx val="17"/>
              <c:layout>
                <c:manualLayout>
                  <c:x val="-3.1481481481481548E-2"/>
                  <c:y val="3.5610229847847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5F-C4D8-854D-90BB-E12AEF00E35E}"/>
                </c:ext>
              </c:extLst>
            </c:dLbl>
            <c:dLbl>
              <c:idx val="18"/>
              <c:delete val="1"/>
              <c:extLst>
                <c:ext xmlns:c15="http://schemas.microsoft.com/office/drawing/2012/chart" uri="{CE6537A1-D6FC-4f65-9D91-7224C49458BB}"/>
                <c:ext xmlns:c16="http://schemas.microsoft.com/office/drawing/2014/chart" uri="{C3380CC4-5D6E-409C-BE32-E72D297353CC}">
                  <c16:uniqueId val="{00000060-C4D8-854D-90BB-E12AEF00E35E}"/>
                </c:ext>
              </c:extLst>
            </c:dLbl>
            <c:dLbl>
              <c:idx val="19"/>
              <c:layout>
                <c:manualLayout>
                  <c:x val="-2.2222222222222223E-2"/>
                  <c:y val="5.82712852055680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1-C4D8-854D-90BB-E12AEF00E35E}"/>
                </c:ext>
              </c:extLst>
            </c:dLbl>
            <c:dLbl>
              <c:idx val="20"/>
              <c:delete val="1"/>
              <c:extLst>
                <c:ext xmlns:c15="http://schemas.microsoft.com/office/drawing/2012/chart" uri="{CE6537A1-D6FC-4f65-9D91-7224C49458BB}"/>
                <c:ext xmlns:c16="http://schemas.microsoft.com/office/drawing/2014/chart" uri="{C3380CC4-5D6E-409C-BE32-E72D297353CC}">
                  <c16:uniqueId val="{00000062-C4D8-854D-90BB-E12AEF00E35E}"/>
                </c:ext>
              </c:extLst>
            </c:dLbl>
            <c:dLbl>
              <c:idx val="21"/>
              <c:layout>
                <c:manualLayout>
                  <c:x val="-1.6666666666666666E-2"/>
                  <c:y val="2.91356426027840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63-C4D8-854D-90BB-E12AEF00E35E}"/>
                </c:ext>
              </c:extLst>
            </c:dLbl>
            <c:dLbl>
              <c:idx val="22"/>
              <c:delete val="1"/>
              <c:extLst>
                <c:ext xmlns:c15="http://schemas.microsoft.com/office/drawing/2012/chart" uri="{CE6537A1-D6FC-4f65-9D91-7224C49458BB}"/>
                <c:ext xmlns:c16="http://schemas.microsoft.com/office/drawing/2014/chart" uri="{C3380CC4-5D6E-409C-BE32-E72D297353CC}">
                  <c16:uniqueId val="{00000064-C4D8-854D-90BB-E12AEF00E35E}"/>
                </c:ext>
              </c:extLst>
            </c:dLbl>
            <c:spPr>
              <a:noFill/>
              <a:ln>
                <a:noFill/>
              </a:ln>
              <a:effectLst/>
            </c:spPr>
            <c:txPr>
              <a:bodyPr wrap="square" lIns="38100" tIns="19050" rIns="38100" bIns="19050" anchor="ctr">
                <a:spAutoFit/>
              </a:bodyPr>
              <a:lstStyle/>
              <a:p>
                <a:pPr>
                  <a:defRPr sz="8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xVal>
            <c:numRef>
              <c:f>'Who quits '!$A$2:$A$25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xVal>
          <c:yVal>
            <c:numRef>
              <c:f>'Who quits '!$C$2:$C$25</c:f>
              <c:numCache>
                <c:formatCode>0.0%</c:formatCode>
                <c:ptCount val="24"/>
                <c:pt idx="0">
                  <c:v>0.436</c:v>
                </c:pt>
                <c:pt idx="1">
                  <c:v>0.45500000000000002</c:v>
                </c:pt>
                <c:pt idx="2">
                  <c:v>0.44700000000000001</c:v>
                </c:pt>
                <c:pt idx="3">
                  <c:v>0.44900000000000001</c:v>
                </c:pt>
                <c:pt idx="4">
                  <c:v>0.41399999999999998</c:v>
                </c:pt>
                <c:pt idx="5">
                  <c:v>0.43099999999999999</c:v>
                </c:pt>
                <c:pt idx="6">
                  <c:v>0.42899999999999999</c:v>
                </c:pt>
                <c:pt idx="7">
                  <c:v>0.40699999999999997</c:v>
                </c:pt>
                <c:pt idx="8">
                  <c:v>0.40200000000000002</c:v>
                </c:pt>
                <c:pt idx="9">
                  <c:v>0.39300000000000002</c:v>
                </c:pt>
                <c:pt idx="10">
                  <c:v>0.45800000000000002</c:v>
                </c:pt>
                <c:pt idx="11">
                  <c:v>0.42799999999999999</c:v>
                </c:pt>
                <c:pt idx="12">
                  <c:v>0.44700000000000001</c:v>
                </c:pt>
                <c:pt idx="13">
                  <c:v>0.436</c:v>
                </c:pt>
                <c:pt idx="14">
                  <c:v>0.44900000000000001</c:v>
                </c:pt>
                <c:pt idx="15">
                  <c:v>0.40799999999999997</c:v>
                </c:pt>
                <c:pt idx="16">
                  <c:v>0.40500000000000003</c:v>
                </c:pt>
                <c:pt idx="17">
                  <c:v>0.42099999999999999</c:v>
                </c:pt>
                <c:pt idx="18">
                  <c:v>0.41199999999999998</c:v>
                </c:pt>
                <c:pt idx="19">
                  <c:v>0.44400000000000001</c:v>
                </c:pt>
                <c:pt idx="20">
                  <c:v>0.52700000000000002</c:v>
                </c:pt>
                <c:pt idx="21">
                  <c:v>0.45299999999999996</c:v>
                </c:pt>
                <c:pt idx="22">
                  <c:v>0.52</c:v>
                </c:pt>
                <c:pt idx="23">
                  <c:v>0.46600000000000003</c:v>
                </c:pt>
              </c:numCache>
            </c:numRef>
          </c:yVal>
          <c:smooth val="0"/>
          <c:extLst>
            <c:ext xmlns:c16="http://schemas.microsoft.com/office/drawing/2014/chart" uri="{C3380CC4-5D6E-409C-BE32-E72D297353CC}">
              <c16:uniqueId val="{00000065-C4D8-854D-90BB-E12AEF00E35E}"/>
            </c:ext>
          </c:extLst>
        </c:ser>
        <c:dLbls>
          <c:showLegendKey val="0"/>
          <c:showVal val="0"/>
          <c:showCatName val="0"/>
          <c:showSerName val="0"/>
          <c:showPercent val="0"/>
          <c:showBubbleSize val="0"/>
        </c:dLbls>
        <c:axId val="237188224"/>
        <c:axId val="237190144"/>
      </c:scatterChart>
      <c:valAx>
        <c:axId val="237188224"/>
        <c:scaling>
          <c:orientation val="minMax"/>
          <c:max val="2019"/>
          <c:min val="1996"/>
        </c:scaling>
        <c:delete val="0"/>
        <c:axPos val="b"/>
        <c:title>
          <c:tx>
            <c:rich>
              <a:bodyPr/>
              <a:lstStyle/>
              <a:p>
                <a:pPr algn="l">
                  <a:defRPr sz="900"/>
                </a:pPr>
                <a:r>
                  <a:rPr lang="en-US" sz="900" b="0" i="0" baseline="0">
                    <a:effectLst/>
                    <a:latin typeface="+mn-lt"/>
                  </a:rPr>
                  <a:t>Source: Massachusetts BRFSS</a:t>
                </a:r>
              </a:p>
              <a:p>
                <a:pPr algn="l">
                  <a:defRPr sz="900"/>
                </a:pPr>
                <a:r>
                  <a:rPr lang="en-US" sz="900" b="0" i="0" baseline="0">
                    <a:effectLst/>
                    <a:latin typeface="+mn-lt"/>
                  </a:rPr>
                  <a:t>Break in trend in 2011 due to change in survey weighting methodology</a:t>
                </a:r>
                <a:endParaRPr lang="en-US" sz="900" b="0">
                  <a:effectLst/>
                  <a:latin typeface="+mn-lt"/>
                </a:endParaRPr>
              </a:p>
            </c:rich>
          </c:tx>
          <c:layout>
            <c:manualLayout>
              <c:xMode val="edge"/>
              <c:yMode val="edge"/>
              <c:x val="2.9336015902423962E-2"/>
              <c:y val="0.90604639209866478"/>
            </c:manualLayout>
          </c:layout>
          <c:overlay val="0"/>
        </c:title>
        <c:numFmt formatCode="General" sourceLinked="1"/>
        <c:majorTickMark val="out"/>
        <c:minorTickMark val="none"/>
        <c:tickLblPos val="nextTo"/>
        <c:txPr>
          <a:bodyPr/>
          <a:lstStyle/>
          <a:p>
            <a:pPr>
              <a:defRPr>
                <a:latin typeface="+mn-lt"/>
                <a:cs typeface="Arial" panose="020B0604020202020204" pitchFamily="34" charset="0"/>
              </a:defRPr>
            </a:pPr>
            <a:endParaRPr lang="en-US"/>
          </a:p>
        </c:txPr>
        <c:crossAx val="237190144"/>
        <c:crosses val="autoZero"/>
        <c:crossBetween val="midCat"/>
        <c:majorUnit val="2"/>
      </c:valAx>
      <c:valAx>
        <c:axId val="237190144"/>
        <c:scaling>
          <c:orientation val="minMax"/>
          <c:max val="1"/>
          <c:min val="0"/>
        </c:scaling>
        <c:delete val="0"/>
        <c:axPos val="l"/>
        <c:numFmt formatCode="0%" sourceLinked="0"/>
        <c:majorTickMark val="out"/>
        <c:minorTickMark val="none"/>
        <c:tickLblPos val="nextTo"/>
        <c:txPr>
          <a:bodyPr/>
          <a:lstStyle/>
          <a:p>
            <a:pPr>
              <a:defRPr>
                <a:latin typeface="+mn-lt"/>
                <a:cs typeface="Arial" panose="020B0604020202020204" pitchFamily="34" charset="0"/>
              </a:defRPr>
            </a:pPr>
            <a:endParaRPr lang="en-US"/>
          </a:p>
        </c:txPr>
        <c:crossAx val="237188224"/>
        <c:crosses val="autoZero"/>
        <c:crossBetween val="midCat"/>
        <c:majorUnit val="0.2"/>
      </c:valAx>
    </c:plotArea>
    <c:legend>
      <c:legendPos val="r"/>
      <c:legendEntry>
        <c:idx val="0"/>
        <c:txPr>
          <a:bodyPr/>
          <a:lstStyle/>
          <a:p>
            <a:pPr>
              <a:defRPr sz="800"/>
            </a:pPr>
            <a:endParaRPr lang="en-US"/>
          </a:p>
        </c:txPr>
      </c:legendEntry>
      <c:legendEntry>
        <c:idx val="1"/>
        <c:txPr>
          <a:bodyPr/>
          <a:lstStyle/>
          <a:p>
            <a:pPr>
              <a:defRPr sz="800"/>
            </a:pPr>
            <a:endParaRPr lang="en-US"/>
          </a:p>
        </c:txPr>
      </c:legendEntry>
      <c:legendEntry>
        <c:idx val="2"/>
        <c:txPr>
          <a:bodyPr/>
          <a:lstStyle/>
          <a:p>
            <a:pPr>
              <a:defRPr sz="800"/>
            </a:pPr>
            <a:endParaRPr lang="en-US"/>
          </a:p>
        </c:txPr>
      </c:legendEntry>
      <c:legendEntry>
        <c:idx val="3"/>
        <c:txPr>
          <a:bodyPr/>
          <a:lstStyle/>
          <a:p>
            <a:pPr>
              <a:defRPr sz="800"/>
            </a:pPr>
            <a:endParaRPr lang="en-US"/>
          </a:p>
        </c:txPr>
      </c:legendEntry>
      <c:layout>
        <c:manualLayout>
          <c:xMode val="edge"/>
          <c:yMode val="edge"/>
          <c:x val="0.19081213308888026"/>
          <c:y val="0.65869464052953397"/>
          <c:w val="0.6404462110613337"/>
          <c:h val="0.14780506891210785"/>
        </c:manualLayout>
      </c:layout>
      <c:overlay val="0"/>
      <c:txPr>
        <a:bodyPr/>
        <a:lstStyle/>
        <a:p>
          <a:pPr>
            <a:defRPr sz="800"/>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Figure 7. Successful</a:t>
            </a:r>
            <a:r>
              <a:rPr lang="en-US" sz="1200" b="1" baseline="0">
                <a:solidFill>
                  <a:sysClr val="windowText" lastClr="000000"/>
                </a:solidFill>
              </a:rPr>
              <a:t> Quitting by Race/Ethnicity: </a:t>
            </a:r>
          </a:p>
          <a:p>
            <a:pPr>
              <a:defRPr sz="1200" b="1"/>
            </a:pPr>
            <a:r>
              <a:rPr lang="en-US" sz="1200" b="1" baseline="0">
                <a:solidFill>
                  <a:sysClr val="windowText" lastClr="000000"/>
                </a:solidFill>
              </a:rPr>
              <a:t>Massachusetts, 1996-2019</a:t>
            </a:r>
            <a:endParaRPr lang="en-US" sz="1200" b="1">
              <a:solidFill>
                <a:sysClr val="windowText" lastClr="000000"/>
              </a:solidFill>
            </a:endParaRPr>
          </a:p>
        </c:rich>
      </c:tx>
      <c:layout>
        <c:manualLayout>
          <c:xMode val="edge"/>
          <c:yMode val="edge"/>
          <c:x val="0.22904950553544293"/>
          <c:y val="1.6129049484277333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6580890387918437E-2"/>
          <c:y val="0.13337913863550779"/>
          <c:w val="0.86414926823184202"/>
          <c:h val="0.68289797956333786"/>
        </c:manualLayout>
      </c:layout>
      <c:areaChart>
        <c:grouping val="standard"/>
        <c:varyColors val="0"/>
        <c:ser>
          <c:idx val="3"/>
          <c:order val="1"/>
          <c:tx>
            <c:strRef>
              <c:f>Sheet1!$D$1</c:f>
              <c:strCache>
                <c:ptCount val="1"/>
                <c:pt idx="0">
                  <c:v>WUCI</c:v>
                </c:pt>
              </c:strCache>
            </c:strRef>
          </c:tx>
          <c:spPr>
            <a:solidFill>
              <a:schemeClr val="accent1">
                <a:lumMod val="20000"/>
                <a:lumOff val="80000"/>
              </a:schemeClr>
            </a:solidFill>
            <a:ln>
              <a:noFill/>
            </a:ln>
            <a:effectLst/>
          </c:spPr>
          <c:val>
            <c:numRef>
              <c:f>Sheet1!$D$2:$D$25</c:f>
              <c:numCache>
                <c:formatCode>0.0%</c:formatCode>
                <c:ptCount val="24"/>
                <c:pt idx="0">
                  <c:v>0.61199999999999999</c:v>
                </c:pt>
                <c:pt idx="1">
                  <c:v>0.63600000000000001</c:v>
                </c:pt>
                <c:pt idx="2">
                  <c:v>0.61499999999999999</c:v>
                </c:pt>
                <c:pt idx="3">
                  <c:v>0.60399999999999998</c:v>
                </c:pt>
                <c:pt idx="4">
                  <c:v>0.63</c:v>
                </c:pt>
                <c:pt idx="5">
                  <c:v>0.63800000000000001</c:v>
                </c:pt>
                <c:pt idx="6">
                  <c:v>0.64599999999999991</c:v>
                </c:pt>
                <c:pt idx="7">
                  <c:v>0.65599999999999992</c:v>
                </c:pt>
                <c:pt idx="8">
                  <c:v>0.64200000000000002</c:v>
                </c:pt>
                <c:pt idx="9">
                  <c:v>0.64300000000000002</c:v>
                </c:pt>
                <c:pt idx="10">
                  <c:v>0.65400000000000003</c:v>
                </c:pt>
                <c:pt idx="11">
                  <c:v>0.66599999999999993</c:v>
                </c:pt>
                <c:pt idx="12">
                  <c:v>0.67400000000000004</c:v>
                </c:pt>
                <c:pt idx="13">
                  <c:v>0.69599999999999995</c:v>
                </c:pt>
                <c:pt idx="14">
                  <c:v>0.71400000000000008</c:v>
                </c:pt>
                <c:pt idx="15">
                  <c:v>0.64700000000000002</c:v>
                </c:pt>
                <c:pt idx="16">
                  <c:v>0.67</c:v>
                </c:pt>
                <c:pt idx="17">
                  <c:v>0.66799999999999993</c:v>
                </c:pt>
                <c:pt idx="18">
                  <c:v>0.69599999999999995</c:v>
                </c:pt>
                <c:pt idx="19">
                  <c:v>0.70200000000000007</c:v>
                </c:pt>
                <c:pt idx="20">
                  <c:v>0.70299999999999996</c:v>
                </c:pt>
                <c:pt idx="21">
                  <c:v>0.71900000000000008</c:v>
                </c:pt>
                <c:pt idx="22">
                  <c:v>0.70499999999999996</c:v>
                </c:pt>
                <c:pt idx="23">
                  <c:v>0.73199999999999998</c:v>
                </c:pt>
              </c:numCache>
            </c:numRef>
          </c:val>
          <c:extLst>
            <c:ext xmlns:c16="http://schemas.microsoft.com/office/drawing/2014/chart" uri="{C3380CC4-5D6E-409C-BE32-E72D297353CC}">
              <c16:uniqueId val="{00000000-EFC3-9F4D-AA5C-86CAA68F61AB}"/>
            </c:ext>
          </c:extLst>
        </c:ser>
        <c:ser>
          <c:idx val="2"/>
          <c:order val="3"/>
          <c:tx>
            <c:strRef>
              <c:f>Sheet1!$C$1</c:f>
              <c:strCache>
                <c:ptCount val="1"/>
                <c:pt idx="0">
                  <c:v>WLCI</c:v>
                </c:pt>
              </c:strCache>
            </c:strRef>
          </c:tx>
          <c:spPr>
            <a:solidFill>
              <a:schemeClr val="bg1"/>
            </a:solidFill>
            <a:ln>
              <a:noFill/>
            </a:ln>
            <a:effectLst>
              <a:outerShdw blurRad="50800" dist="50800" dir="5400000" algn="ctr" rotWithShape="0">
                <a:schemeClr val="bg1"/>
              </a:outerShdw>
            </a:effectLst>
          </c:spPr>
          <c:val>
            <c:numRef>
              <c:f>Sheet1!$C$2:$C$25</c:f>
              <c:numCache>
                <c:formatCode>0.0%</c:formatCode>
                <c:ptCount val="24"/>
                <c:pt idx="0">
                  <c:v>0.54200000000000004</c:v>
                </c:pt>
                <c:pt idx="1">
                  <c:v>0.56700000000000006</c:v>
                </c:pt>
                <c:pt idx="2">
                  <c:v>0.55500000000000005</c:v>
                </c:pt>
                <c:pt idx="3">
                  <c:v>0.55299999999999994</c:v>
                </c:pt>
                <c:pt idx="4">
                  <c:v>0.59099999999999997</c:v>
                </c:pt>
                <c:pt idx="5">
                  <c:v>0.6</c:v>
                </c:pt>
                <c:pt idx="6">
                  <c:v>0.60299999999999998</c:v>
                </c:pt>
                <c:pt idx="7">
                  <c:v>0.61399999999999999</c:v>
                </c:pt>
                <c:pt idx="8">
                  <c:v>0.59699999999999998</c:v>
                </c:pt>
                <c:pt idx="9">
                  <c:v>0.59799999999999998</c:v>
                </c:pt>
                <c:pt idx="10">
                  <c:v>0.61099999999999999</c:v>
                </c:pt>
                <c:pt idx="11">
                  <c:v>0.63500000000000001</c:v>
                </c:pt>
                <c:pt idx="12">
                  <c:v>0.63800000000000001</c:v>
                </c:pt>
                <c:pt idx="13">
                  <c:v>0.65599999999999992</c:v>
                </c:pt>
                <c:pt idx="14">
                  <c:v>0.67799999999999994</c:v>
                </c:pt>
                <c:pt idx="15">
                  <c:v>0.61099999999999999</c:v>
                </c:pt>
                <c:pt idx="16">
                  <c:v>0.63700000000000001</c:v>
                </c:pt>
                <c:pt idx="17">
                  <c:v>0.627</c:v>
                </c:pt>
                <c:pt idx="18">
                  <c:v>0.65500000000000003</c:v>
                </c:pt>
                <c:pt idx="19">
                  <c:v>0.65500000000000003</c:v>
                </c:pt>
                <c:pt idx="20">
                  <c:v>0.65400000000000003</c:v>
                </c:pt>
                <c:pt idx="21">
                  <c:v>0.65400000000000003</c:v>
                </c:pt>
                <c:pt idx="22">
                  <c:v>0.64900000000000002</c:v>
                </c:pt>
                <c:pt idx="23">
                  <c:v>0.68400000000000005</c:v>
                </c:pt>
              </c:numCache>
            </c:numRef>
          </c:val>
          <c:extLst>
            <c:ext xmlns:c16="http://schemas.microsoft.com/office/drawing/2014/chart" uri="{C3380CC4-5D6E-409C-BE32-E72D297353CC}">
              <c16:uniqueId val="{00000001-EFC3-9F4D-AA5C-86CAA68F61AB}"/>
            </c:ext>
          </c:extLst>
        </c:ser>
        <c:ser>
          <c:idx val="5"/>
          <c:order val="4"/>
          <c:tx>
            <c:strRef>
              <c:f>Sheet1!$H$1</c:f>
              <c:strCache>
                <c:ptCount val="1"/>
                <c:pt idx="0">
                  <c:v>PUCI</c:v>
                </c:pt>
              </c:strCache>
            </c:strRef>
          </c:tx>
          <c:spPr>
            <a:solidFill>
              <a:srgbClr val="FDBFB9"/>
            </a:solidFill>
            <a:ln>
              <a:noFill/>
            </a:ln>
            <a:effectLst/>
          </c:spPr>
          <c:val>
            <c:numRef>
              <c:f>Sheet1!$H$2:$H$25</c:f>
              <c:numCache>
                <c:formatCode>0.0%</c:formatCode>
                <c:ptCount val="24"/>
                <c:pt idx="0">
                  <c:v>0.55899999999999994</c:v>
                </c:pt>
                <c:pt idx="1">
                  <c:v>0.58899999999999997</c:v>
                </c:pt>
                <c:pt idx="2">
                  <c:v>0.42799999999999999</c:v>
                </c:pt>
                <c:pt idx="3">
                  <c:v>0.36299999999999999</c:v>
                </c:pt>
                <c:pt idx="4">
                  <c:v>0.43</c:v>
                </c:pt>
                <c:pt idx="5">
                  <c:v>0.54600000000000004</c:v>
                </c:pt>
                <c:pt idx="6">
                  <c:v>0.53500000000000003</c:v>
                </c:pt>
                <c:pt idx="7">
                  <c:v>0.55299999999999994</c:v>
                </c:pt>
                <c:pt idx="8">
                  <c:v>0.45700000000000002</c:v>
                </c:pt>
                <c:pt idx="9">
                  <c:v>0.55200000000000005</c:v>
                </c:pt>
                <c:pt idx="10">
                  <c:v>0.49</c:v>
                </c:pt>
                <c:pt idx="11">
                  <c:v>0.57600000000000007</c:v>
                </c:pt>
                <c:pt idx="12">
                  <c:v>0.54700000000000004</c:v>
                </c:pt>
                <c:pt idx="13">
                  <c:v>0.58200000000000007</c:v>
                </c:pt>
                <c:pt idx="14">
                  <c:v>0.61899999999999999</c:v>
                </c:pt>
                <c:pt idx="15">
                  <c:v>0.54299999999999993</c:v>
                </c:pt>
                <c:pt idx="16">
                  <c:v>0.53500000000000003</c:v>
                </c:pt>
                <c:pt idx="17">
                  <c:v>0.51400000000000001</c:v>
                </c:pt>
                <c:pt idx="18">
                  <c:v>0.54799999999999993</c:v>
                </c:pt>
                <c:pt idx="19">
                  <c:v>0.60199999999999998</c:v>
                </c:pt>
                <c:pt idx="20">
                  <c:v>0.64500000000000002</c:v>
                </c:pt>
                <c:pt idx="21">
                  <c:v>0.52400000000000002</c:v>
                </c:pt>
                <c:pt idx="22">
                  <c:v>0.57200000000000006</c:v>
                </c:pt>
                <c:pt idx="23">
                  <c:v>0.59</c:v>
                </c:pt>
              </c:numCache>
            </c:numRef>
          </c:val>
          <c:extLst>
            <c:ext xmlns:c16="http://schemas.microsoft.com/office/drawing/2014/chart" uri="{C3380CC4-5D6E-409C-BE32-E72D297353CC}">
              <c16:uniqueId val="{00000002-EFC3-9F4D-AA5C-86CAA68F61AB}"/>
            </c:ext>
          </c:extLst>
        </c:ser>
        <c:ser>
          <c:idx val="4"/>
          <c:order val="5"/>
          <c:tx>
            <c:strRef>
              <c:f>Sheet1!$G$1</c:f>
              <c:strCache>
                <c:ptCount val="1"/>
                <c:pt idx="0">
                  <c:v>PLCI</c:v>
                </c:pt>
              </c:strCache>
            </c:strRef>
          </c:tx>
          <c:spPr>
            <a:solidFill>
              <a:schemeClr val="bg1"/>
            </a:solidFill>
            <a:ln>
              <a:noFill/>
            </a:ln>
            <a:effectLst/>
          </c:spPr>
          <c:val>
            <c:numRef>
              <c:f>Sheet1!$G$2:$G$25</c:f>
              <c:numCache>
                <c:formatCode>0.0%</c:formatCode>
                <c:ptCount val="24"/>
                <c:pt idx="0">
                  <c:v>0.35200000000000004</c:v>
                </c:pt>
                <c:pt idx="1">
                  <c:v>0.373</c:v>
                </c:pt>
                <c:pt idx="2">
                  <c:v>0.24600000000000002</c:v>
                </c:pt>
                <c:pt idx="3">
                  <c:v>0.24600000000000002</c:v>
                </c:pt>
                <c:pt idx="4">
                  <c:v>0.315</c:v>
                </c:pt>
                <c:pt idx="5">
                  <c:v>0.42499999999999999</c:v>
                </c:pt>
                <c:pt idx="6">
                  <c:v>0.40799999999999997</c:v>
                </c:pt>
                <c:pt idx="7">
                  <c:v>0.42599999999999999</c:v>
                </c:pt>
                <c:pt idx="8">
                  <c:v>0.32799999999999996</c:v>
                </c:pt>
                <c:pt idx="9">
                  <c:v>0.41499999999999998</c:v>
                </c:pt>
                <c:pt idx="10">
                  <c:v>0.36799999999999999</c:v>
                </c:pt>
                <c:pt idx="11">
                  <c:v>0.47499999999999998</c:v>
                </c:pt>
                <c:pt idx="12">
                  <c:v>0.44600000000000001</c:v>
                </c:pt>
                <c:pt idx="13">
                  <c:v>0.46899999999999997</c:v>
                </c:pt>
                <c:pt idx="14">
                  <c:v>0.50800000000000001</c:v>
                </c:pt>
                <c:pt idx="15">
                  <c:v>0.44900000000000001</c:v>
                </c:pt>
                <c:pt idx="16">
                  <c:v>0.44900000000000001</c:v>
                </c:pt>
                <c:pt idx="17">
                  <c:v>0.40700000000000003</c:v>
                </c:pt>
                <c:pt idx="18">
                  <c:v>0.435</c:v>
                </c:pt>
                <c:pt idx="19">
                  <c:v>0.48599999999999999</c:v>
                </c:pt>
                <c:pt idx="20">
                  <c:v>0.51700000000000002</c:v>
                </c:pt>
                <c:pt idx="21">
                  <c:v>0.373</c:v>
                </c:pt>
                <c:pt idx="22">
                  <c:v>0.435</c:v>
                </c:pt>
                <c:pt idx="23">
                  <c:v>0.46200000000000002</c:v>
                </c:pt>
              </c:numCache>
            </c:numRef>
          </c:val>
          <c:extLst>
            <c:ext xmlns:c16="http://schemas.microsoft.com/office/drawing/2014/chart" uri="{C3380CC4-5D6E-409C-BE32-E72D297353CC}">
              <c16:uniqueId val="{00000003-EFC3-9F4D-AA5C-86CAA68F61AB}"/>
            </c:ext>
          </c:extLst>
        </c:ser>
        <c:dLbls>
          <c:showLegendKey val="0"/>
          <c:showVal val="0"/>
          <c:showCatName val="0"/>
          <c:showSerName val="0"/>
          <c:showPercent val="0"/>
          <c:showBubbleSize val="0"/>
        </c:dLbls>
        <c:axId val="392190392"/>
        <c:axId val="392190720"/>
      </c:areaChart>
      <c:lineChart>
        <c:grouping val="standard"/>
        <c:varyColors val="0"/>
        <c:ser>
          <c:idx val="0"/>
          <c:order val="0"/>
          <c:tx>
            <c:strRef>
              <c:f>Sheet1!$B$1</c:f>
              <c:strCache>
                <c:ptCount val="1"/>
                <c:pt idx="0">
                  <c:v>White</c:v>
                </c:pt>
              </c:strCache>
            </c:strRef>
          </c:tx>
          <c:spPr>
            <a:ln w="28575" cap="flat">
              <a:solidFill>
                <a:schemeClr val="accent1">
                  <a:lumMod val="50000"/>
                </a:schemeClr>
              </a:solidFill>
              <a:round/>
            </a:ln>
            <a:effectLst/>
          </c:spPr>
          <c:marker>
            <c:symbol val="circle"/>
            <c:size val="5"/>
            <c:spPr>
              <a:solidFill>
                <a:schemeClr val="accent1">
                  <a:lumMod val="50000"/>
                </a:schemeClr>
              </a:solidFill>
              <a:ln w="9525">
                <a:solidFill>
                  <a:schemeClr val="accent1">
                    <a:lumMod val="75000"/>
                  </a:schemeClr>
                </a:solidFill>
                <a:bevel/>
              </a:ln>
              <a:effectLst/>
            </c:spPr>
          </c:marker>
          <c:dPt>
            <c:idx val="15"/>
            <c:marker>
              <c:symbol val="circle"/>
              <c:size val="5"/>
              <c:spPr>
                <a:solidFill>
                  <a:schemeClr val="accent1">
                    <a:lumMod val="50000"/>
                  </a:schemeClr>
                </a:solidFill>
                <a:ln w="9525">
                  <a:solidFill>
                    <a:schemeClr val="accent1">
                      <a:lumMod val="75000"/>
                    </a:schemeClr>
                  </a:solidFill>
                  <a:bevel/>
                </a:ln>
                <a:effectLst/>
              </c:spPr>
            </c:marker>
            <c:bubble3D val="0"/>
            <c:spPr>
              <a:ln w="28575" cap="flat">
                <a:noFill/>
                <a:round/>
              </a:ln>
              <a:effectLst/>
            </c:spPr>
            <c:extLst>
              <c:ext xmlns:c16="http://schemas.microsoft.com/office/drawing/2014/chart" uri="{C3380CC4-5D6E-409C-BE32-E72D297353CC}">
                <c16:uniqueId val="{00000005-EFC3-9F4D-AA5C-86CAA68F61AB}"/>
              </c:ext>
            </c:extLst>
          </c:dPt>
          <c:dLbls>
            <c:dLbl>
              <c:idx val="0"/>
              <c:delete val="1"/>
              <c:extLst>
                <c:ext xmlns:c15="http://schemas.microsoft.com/office/drawing/2012/chart" uri="{CE6537A1-D6FC-4f65-9D91-7224C49458BB}"/>
                <c:ext xmlns:c16="http://schemas.microsoft.com/office/drawing/2014/chart" uri="{C3380CC4-5D6E-409C-BE32-E72D297353CC}">
                  <c16:uniqueId val="{00000006-EFC3-9F4D-AA5C-86CAA68F61AB}"/>
                </c:ext>
              </c:extLst>
            </c:dLbl>
            <c:dLbl>
              <c:idx val="1"/>
              <c:layout>
                <c:manualLayout>
                  <c:x val="-3.4558592522777251E-2"/>
                  <c:y val="-3.9657234802279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C3-9F4D-AA5C-86CAA68F61AB}"/>
                </c:ext>
              </c:extLst>
            </c:dLbl>
            <c:dLbl>
              <c:idx val="2"/>
              <c:delete val="1"/>
              <c:extLst>
                <c:ext xmlns:c15="http://schemas.microsoft.com/office/drawing/2012/chart" uri="{CE6537A1-D6FC-4f65-9D91-7224C49458BB}"/>
                <c:ext xmlns:c16="http://schemas.microsoft.com/office/drawing/2014/chart" uri="{C3380CC4-5D6E-409C-BE32-E72D297353CC}">
                  <c16:uniqueId val="{00000008-EFC3-9F4D-AA5C-86CAA68F61AB}"/>
                </c:ext>
              </c:extLst>
            </c:dLbl>
            <c:dLbl>
              <c:idx val="3"/>
              <c:layout>
                <c:manualLayout>
                  <c:x val="-4.0841972981464025E-2"/>
                  <c:y val="-5.9485852203418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C3-9F4D-AA5C-86CAA68F61AB}"/>
                </c:ext>
              </c:extLst>
            </c:dLbl>
            <c:dLbl>
              <c:idx val="4"/>
              <c:delete val="1"/>
              <c:extLst>
                <c:ext xmlns:c15="http://schemas.microsoft.com/office/drawing/2012/chart" uri="{CE6537A1-D6FC-4f65-9D91-7224C49458BB}"/>
                <c:ext xmlns:c16="http://schemas.microsoft.com/office/drawing/2014/chart" uri="{C3380CC4-5D6E-409C-BE32-E72D297353CC}">
                  <c16:uniqueId val="{0000000A-EFC3-9F4D-AA5C-86CAA68F61AB}"/>
                </c:ext>
              </c:extLst>
            </c:dLbl>
            <c:dLbl>
              <c:idx val="5"/>
              <c:layout>
                <c:manualLayout>
                  <c:x val="-3.6129437637448976E-2"/>
                  <c:y val="-3.3991915544810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FC3-9F4D-AA5C-86CAA68F61AB}"/>
                </c:ext>
              </c:extLst>
            </c:dLbl>
            <c:dLbl>
              <c:idx val="6"/>
              <c:delete val="1"/>
              <c:extLst>
                <c:ext xmlns:c15="http://schemas.microsoft.com/office/drawing/2012/chart" uri="{CE6537A1-D6FC-4f65-9D91-7224C49458BB}"/>
                <c:ext xmlns:c16="http://schemas.microsoft.com/office/drawing/2014/chart" uri="{C3380CC4-5D6E-409C-BE32-E72D297353CC}">
                  <c16:uniqueId val="{0000000C-EFC3-9F4D-AA5C-86CAA68F61AB}"/>
                </c:ext>
              </c:extLst>
            </c:dLbl>
            <c:dLbl>
              <c:idx val="7"/>
              <c:layout>
                <c:manualLayout>
                  <c:x val="-2.5133521834747093E-2"/>
                  <c:y val="-3.9657234802279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FC3-9F4D-AA5C-86CAA68F61AB}"/>
                </c:ext>
              </c:extLst>
            </c:dLbl>
            <c:dLbl>
              <c:idx val="8"/>
              <c:delete val="1"/>
              <c:extLst>
                <c:ext xmlns:c15="http://schemas.microsoft.com/office/drawing/2012/chart" uri="{CE6537A1-D6FC-4f65-9D91-7224C49458BB}"/>
                <c:ext xmlns:c16="http://schemas.microsoft.com/office/drawing/2014/chart" uri="{C3380CC4-5D6E-409C-BE32-E72D297353CC}">
                  <c16:uniqueId val="{0000000E-EFC3-9F4D-AA5C-86CAA68F61AB}"/>
                </c:ext>
              </c:extLst>
            </c:dLbl>
            <c:dLbl>
              <c:idx val="9"/>
              <c:layout>
                <c:manualLayout>
                  <c:x val="-3.6129437637449004E-2"/>
                  <c:y val="-3.682457517354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FC3-9F4D-AA5C-86CAA68F61AB}"/>
                </c:ext>
              </c:extLst>
            </c:dLbl>
            <c:dLbl>
              <c:idx val="10"/>
              <c:delete val="1"/>
              <c:extLst>
                <c:ext xmlns:c15="http://schemas.microsoft.com/office/drawing/2012/chart" uri="{CE6537A1-D6FC-4f65-9D91-7224C49458BB}"/>
                <c:ext xmlns:c16="http://schemas.microsoft.com/office/drawing/2014/chart" uri="{C3380CC4-5D6E-409C-BE32-E72D297353CC}">
                  <c16:uniqueId val="{00000010-EFC3-9F4D-AA5C-86CAA68F61AB}"/>
                </c:ext>
              </c:extLst>
            </c:dLbl>
            <c:dLbl>
              <c:idx val="11"/>
              <c:layout>
                <c:manualLayout>
                  <c:x val="-4.2412818096135722E-2"/>
                  <c:y val="-4.24898944310134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FC3-9F4D-AA5C-86CAA68F61AB}"/>
                </c:ext>
              </c:extLst>
            </c:dLbl>
            <c:dLbl>
              <c:idx val="12"/>
              <c:delete val="1"/>
              <c:extLst>
                <c:ext xmlns:c15="http://schemas.microsoft.com/office/drawing/2012/chart" uri="{CE6537A1-D6FC-4f65-9D91-7224C49458BB}"/>
                <c:ext xmlns:c16="http://schemas.microsoft.com/office/drawing/2014/chart" uri="{C3380CC4-5D6E-409C-BE32-E72D297353CC}">
                  <c16:uniqueId val="{00000012-EFC3-9F4D-AA5C-86CAA68F61AB}"/>
                </c:ext>
              </c:extLst>
            </c:dLbl>
            <c:dLbl>
              <c:idx val="13"/>
              <c:layout>
                <c:manualLayout>
                  <c:x val="-3.4558592522777314E-2"/>
                  <c:y val="-3.39919155448107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FC3-9F4D-AA5C-86CAA68F61AB}"/>
                </c:ext>
              </c:extLst>
            </c:dLbl>
            <c:dLbl>
              <c:idx val="14"/>
              <c:delete val="1"/>
              <c:extLst>
                <c:ext xmlns:c15="http://schemas.microsoft.com/office/drawing/2012/chart" uri="{CE6537A1-D6FC-4f65-9D91-7224C49458BB}"/>
                <c:ext xmlns:c16="http://schemas.microsoft.com/office/drawing/2014/chart" uri="{C3380CC4-5D6E-409C-BE32-E72D297353CC}">
                  <c16:uniqueId val="{00000014-EFC3-9F4D-AA5C-86CAA68F61AB}"/>
                </c:ext>
              </c:extLst>
            </c:dLbl>
            <c:dLbl>
              <c:idx val="15"/>
              <c:layout>
                <c:manualLayout>
                  <c:x val="-2.35626767200754E-2"/>
                  <c:y val="2.54939366586080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C3-9F4D-AA5C-86CAA68F61AB}"/>
                </c:ext>
              </c:extLst>
            </c:dLbl>
            <c:dLbl>
              <c:idx val="16"/>
              <c:delete val="1"/>
              <c:extLst>
                <c:ext xmlns:c15="http://schemas.microsoft.com/office/drawing/2012/chart" uri="{CE6537A1-D6FC-4f65-9D91-7224C49458BB}"/>
                <c:ext xmlns:c16="http://schemas.microsoft.com/office/drawing/2014/chart" uri="{C3380CC4-5D6E-409C-BE32-E72D297353CC}">
                  <c16:uniqueId val="{00000015-EFC3-9F4D-AA5C-86CAA68F61AB}"/>
                </c:ext>
              </c:extLst>
            </c:dLbl>
            <c:dLbl>
              <c:idx val="17"/>
              <c:layout>
                <c:manualLayout>
                  <c:x val="-2.8275212064090595E-2"/>
                  <c:y val="-3.39919155448107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FC3-9F4D-AA5C-86CAA68F61AB}"/>
                </c:ext>
              </c:extLst>
            </c:dLbl>
            <c:dLbl>
              <c:idx val="18"/>
              <c:delete val="1"/>
              <c:extLst>
                <c:ext xmlns:c15="http://schemas.microsoft.com/office/drawing/2012/chart" uri="{CE6537A1-D6FC-4f65-9D91-7224C49458BB}"/>
                <c:ext xmlns:c16="http://schemas.microsoft.com/office/drawing/2014/chart" uri="{C3380CC4-5D6E-409C-BE32-E72D297353CC}">
                  <c16:uniqueId val="{00000017-EFC3-9F4D-AA5C-86CAA68F61AB}"/>
                </c:ext>
              </c:extLst>
            </c:dLbl>
            <c:dLbl>
              <c:idx val="19"/>
              <c:layout>
                <c:manualLayout>
                  <c:x val="-2.35626767200754E-2"/>
                  <c:y val="-4.53225540597477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FC3-9F4D-AA5C-86CAA68F61AB}"/>
                </c:ext>
              </c:extLst>
            </c:dLbl>
            <c:dLbl>
              <c:idx val="20"/>
              <c:delete val="1"/>
              <c:extLst>
                <c:ext xmlns:c15="http://schemas.microsoft.com/office/drawing/2012/chart" uri="{CE6537A1-D6FC-4f65-9D91-7224C49458BB}"/>
                <c:ext xmlns:c16="http://schemas.microsoft.com/office/drawing/2014/chart" uri="{C3380CC4-5D6E-409C-BE32-E72D297353CC}">
                  <c16:uniqueId val="{00000019-EFC3-9F4D-AA5C-86CAA68F61AB}"/>
                </c:ext>
              </c:extLst>
            </c:dLbl>
            <c:dLbl>
              <c:idx val="21"/>
              <c:layout>
                <c:manualLayout>
                  <c:x val="-2.1991831605403706E-2"/>
                  <c:y val="-2.832659628734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EFC3-9F4D-AA5C-86CAA68F61AB}"/>
                </c:ext>
              </c:extLst>
            </c:dLbl>
            <c:dLbl>
              <c:idx val="22"/>
              <c:delete val="1"/>
              <c:extLst>
                <c:ext xmlns:c15="http://schemas.microsoft.com/office/drawing/2012/chart" uri="{CE6537A1-D6FC-4f65-9D91-7224C49458BB}"/>
                <c:ext xmlns:c16="http://schemas.microsoft.com/office/drawing/2014/chart" uri="{C3380CC4-5D6E-409C-BE32-E72D297353CC}">
                  <c16:uniqueId val="{0000001B-EFC3-9F4D-AA5C-86CAA68F61A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Sheet1!$B$2:$B$25</c:f>
              <c:numCache>
                <c:formatCode>0.0%</c:formatCode>
                <c:ptCount val="24"/>
                <c:pt idx="0">
                  <c:v>0.57700000000000007</c:v>
                </c:pt>
                <c:pt idx="1">
                  <c:v>0.60199999999999998</c:v>
                </c:pt>
                <c:pt idx="2">
                  <c:v>0.58499999999999996</c:v>
                </c:pt>
                <c:pt idx="3">
                  <c:v>0.57899999999999996</c:v>
                </c:pt>
                <c:pt idx="4">
                  <c:v>0.61099999999999999</c:v>
                </c:pt>
                <c:pt idx="5">
                  <c:v>0.61899999999999999</c:v>
                </c:pt>
                <c:pt idx="6">
                  <c:v>0.624</c:v>
                </c:pt>
                <c:pt idx="7">
                  <c:v>0.63500000000000001</c:v>
                </c:pt>
                <c:pt idx="8">
                  <c:v>0.62</c:v>
                </c:pt>
                <c:pt idx="9">
                  <c:v>0.62</c:v>
                </c:pt>
                <c:pt idx="10">
                  <c:v>0.63200000000000001</c:v>
                </c:pt>
                <c:pt idx="11">
                  <c:v>0.65099999999999991</c:v>
                </c:pt>
                <c:pt idx="12">
                  <c:v>0.65599999999999992</c:v>
                </c:pt>
                <c:pt idx="13">
                  <c:v>0.67599999999999993</c:v>
                </c:pt>
                <c:pt idx="14">
                  <c:v>0.69599999999999995</c:v>
                </c:pt>
                <c:pt idx="15">
                  <c:v>0.629</c:v>
                </c:pt>
                <c:pt idx="16">
                  <c:v>0.65400000000000003</c:v>
                </c:pt>
                <c:pt idx="17">
                  <c:v>0.64700000000000002</c:v>
                </c:pt>
                <c:pt idx="18">
                  <c:v>0.67599999999999993</c:v>
                </c:pt>
                <c:pt idx="19">
                  <c:v>0.67900000000000005</c:v>
                </c:pt>
                <c:pt idx="20">
                  <c:v>0.67900000000000005</c:v>
                </c:pt>
                <c:pt idx="21">
                  <c:v>0.68599999999999994</c:v>
                </c:pt>
                <c:pt idx="22">
                  <c:v>0.67700000000000005</c:v>
                </c:pt>
                <c:pt idx="23">
                  <c:v>0.70799999999999996</c:v>
                </c:pt>
              </c:numCache>
            </c:numRef>
          </c:val>
          <c:smooth val="0"/>
          <c:extLst>
            <c:ext xmlns:c16="http://schemas.microsoft.com/office/drawing/2014/chart" uri="{C3380CC4-5D6E-409C-BE32-E72D297353CC}">
              <c16:uniqueId val="{0000001C-EFC3-9F4D-AA5C-86CAA68F61AB}"/>
            </c:ext>
          </c:extLst>
        </c:ser>
        <c:ser>
          <c:idx val="1"/>
          <c:order val="2"/>
          <c:tx>
            <c:strRef>
              <c:f>Sheet1!$F$1</c:f>
              <c:strCache>
                <c:ptCount val="1"/>
                <c:pt idx="0">
                  <c:v>People of Color</c:v>
                </c:pt>
              </c:strCache>
            </c:strRef>
          </c:tx>
          <c:spPr>
            <a:ln w="28575" cap="rnd">
              <a:solidFill>
                <a:srgbClr val="C00000"/>
              </a:solidFill>
              <a:round/>
            </a:ln>
            <a:effectLst/>
          </c:spPr>
          <c:marker>
            <c:symbol val="circle"/>
            <c:size val="5"/>
            <c:spPr>
              <a:solidFill>
                <a:srgbClr val="C00000"/>
              </a:solidFill>
              <a:ln w="9525">
                <a:solidFill>
                  <a:srgbClr val="FF0000"/>
                </a:solidFill>
              </a:ln>
              <a:effectLst/>
            </c:spPr>
          </c:marker>
          <c:dPt>
            <c:idx val="15"/>
            <c:marker>
              <c:symbol val="circle"/>
              <c:size val="5"/>
              <c:spPr>
                <a:solidFill>
                  <a:srgbClr val="C00000"/>
                </a:solidFill>
                <a:ln w="9525">
                  <a:solidFill>
                    <a:srgbClr val="FF0000"/>
                  </a:solidFill>
                </a:ln>
                <a:effectLst/>
              </c:spPr>
            </c:marker>
            <c:bubble3D val="0"/>
            <c:spPr>
              <a:ln w="28575" cap="rnd">
                <a:noFill/>
                <a:round/>
              </a:ln>
              <a:effectLst/>
            </c:spPr>
            <c:extLst>
              <c:ext xmlns:c16="http://schemas.microsoft.com/office/drawing/2014/chart" uri="{C3380CC4-5D6E-409C-BE32-E72D297353CC}">
                <c16:uniqueId val="{0000001E-EFC3-9F4D-AA5C-86CAA68F61AB}"/>
              </c:ext>
            </c:extLst>
          </c:dPt>
          <c:dLbls>
            <c:dLbl>
              <c:idx val="0"/>
              <c:delete val="1"/>
              <c:extLst>
                <c:ext xmlns:c15="http://schemas.microsoft.com/office/drawing/2012/chart" uri="{CE6537A1-D6FC-4f65-9D91-7224C49458BB}"/>
                <c:ext xmlns:c16="http://schemas.microsoft.com/office/drawing/2014/chart" uri="{C3380CC4-5D6E-409C-BE32-E72D297353CC}">
                  <c16:uniqueId val="{0000001F-EFC3-9F4D-AA5C-86CAA68F61AB}"/>
                </c:ext>
              </c:extLst>
            </c:dLbl>
            <c:dLbl>
              <c:idx val="1"/>
              <c:layout>
                <c:manualLayout>
                  <c:x val="-2.5133521834747093E-2"/>
                  <c:y val="-1.98286174011396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EFC3-9F4D-AA5C-86CAA68F61AB}"/>
                </c:ext>
              </c:extLst>
            </c:dLbl>
            <c:dLbl>
              <c:idx val="2"/>
              <c:delete val="1"/>
              <c:extLst>
                <c:ext xmlns:c15="http://schemas.microsoft.com/office/drawing/2012/chart" uri="{CE6537A1-D6FC-4f65-9D91-7224C49458BB}"/>
                <c:ext xmlns:c16="http://schemas.microsoft.com/office/drawing/2014/chart" uri="{C3380CC4-5D6E-409C-BE32-E72D297353CC}">
                  <c16:uniqueId val="{00000021-EFC3-9F4D-AA5C-86CAA68F61AB}"/>
                </c:ext>
              </c:extLst>
            </c:dLbl>
            <c:dLbl>
              <c:idx val="4"/>
              <c:delete val="1"/>
              <c:extLst>
                <c:ext xmlns:c15="http://schemas.microsoft.com/office/drawing/2012/chart" uri="{CE6537A1-D6FC-4f65-9D91-7224C49458BB}"/>
                <c:ext xmlns:c16="http://schemas.microsoft.com/office/drawing/2014/chart" uri="{C3380CC4-5D6E-409C-BE32-E72D297353CC}">
                  <c16:uniqueId val="{00000022-EFC3-9F4D-AA5C-86CAA68F61AB}"/>
                </c:ext>
              </c:extLst>
            </c:dLbl>
            <c:dLbl>
              <c:idx val="5"/>
              <c:layout>
                <c:manualLayout>
                  <c:x val="-2.8275212064090508E-2"/>
                  <c:y val="-1.6995957772405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EFC3-9F4D-AA5C-86CAA68F61AB}"/>
                </c:ext>
              </c:extLst>
            </c:dLbl>
            <c:dLbl>
              <c:idx val="6"/>
              <c:delete val="1"/>
              <c:extLst>
                <c:ext xmlns:c15="http://schemas.microsoft.com/office/drawing/2012/chart" uri="{CE6537A1-D6FC-4f65-9D91-7224C49458BB}"/>
                <c:ext xmlns:c16="http://schemas.microsoft.com/office/drawing/2014/chart" uri="{C3380CC4-5D6E-409C-BE32-E72D297353CC}">
                  <c16:uniqueId val="{00000024-EFC3-9F4D-AA5C-86CAA68F61AB}"/>
                </c:ext>
              </c:extLst>
            </c:dLbl>
            <c:dLbl>
              <c:idx val="7"/>
              <c:layout>
                <c:manualLayout>
                  <c:x val="-3.1416902293433926E-2"/>
                  <c:y val="-2.8326596287342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EFC3-9F4D-AA5C-86CAA68F61AB}"/>
                </c:ext>
              </c:extLst>
            </c:dLbl>
            <c:dLbl>
              <c:idx val="8"/>
              <c:delete val="1"/>
              <c:extLst>
                <c:ext xmlns:c15="http://schemas.microsoft.com/office/drawing/2012/chart" uri="{CE6537A1-D6FC-4f65-9D91-7224C49458BB}"/>
                <c:ext xmlns:c16="http://schemas.microsoft.com/office/drawing/2014/chart" uri="{C3380CC4-5D6E-409C-BE32-E72D297353CC}">
                  <c16:uniqueId val="{00000026-EFC3-9F4D-AA5C-86CAA68F61AB}"/>
                </c:ext>
              </c:extLst>
            </c:dLbl>
            <c:dLbl>
              <c:idx val="9"/>
              <c:layout>
                <c:manualLayout>
                  <c:x val="-2.0420986490732072E-2"/>
                  <c:y val="-1.6995957772405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EFC3-9F4D-AA5C-86CAA68F61AB}"/>
                </c:ext>
              </c:extLst>
            </c:dLbl>
            <c:dLbl>
              <c:idx val="10"/>
              <c:delete val="1"/>
              <c:extLst>
                <c:ext xmlns:c15="http://schemas.microsoft.com/office/drawing/2012/chart" uri="{CE6537A1-D6FC-4f65-9D91-7224C49458BB}"/>
                <c:ext xmlns:c16="http://schemas.microsoft.com/office/drawing/2014/chart" uri="{C3380CC4-5D6E-409C-BE32-E72D297353CC}">
                  <c16:uniqueId val="{00000028-EFC3-9F4D-AA5C-86CAA68F61AB}"/>
                </c:ext>
              </c:extLst>
            </c:dLbl>
            <c:dLbl>
              <c:idx val="11"/>
              <c:layout>
                <c:manualLayout>
                  <c:x val="-2.6704366949418787E-2"/>
                  <c:y val="-1.98286174011396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EFC3-9F4D-AA5C-86CAA68F61AB}"/>
                </c:ext>
              </c:extLst>
            </c:dLbl>
            <c:dLbl>
              <c:idx val="12"/>
              <c:delete val="1"/>
              <c:extLst>
                <c:ext xmlns:c15="http://schemas.microsoft.com/office/drawing/2012/chart" uri="{CE6537A1-D6FC-4f65-9D91-7224C49458BB}"/>
                <c:ext xmlns:c16="http://schemas.microsoft.com/office/drawing/2014/chart" uri="{C3380CC4-5D6E-409C-BE32-E72D297353CC}">
                  <c16:uniqueId val="{0000002A-EFC3-9F4D-AA5C-86CAA68F61AB}"/>
                </c:ext>
              </c:extLst>
            </c:dLbl>
            <c:dLbl>
              <c:idx val="13"/>
              <c:layout>
                <c:manualLayout>
                  <c:x val="-3.4492951082818676E-2"/>
                  <c:y val="-7.26811760936368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EFC3-9F4D-AA5C-86CAA68F61AB}"/>
                </c:ext>
              </c:extLst>
            </c:dLbl>
            <c:dLbl>
              <c:idx val="14"/>
              <c:delete val="1"/>
              <c:extLst>
                <c:ext xmlns:c15="http://schemas.microsoft.com/office/drawing/2012/chart" uri="{CE6537A1-D6FC-4f65-9D91-7224C49458BB}"/>
                <c:ext xmlns:c16="http://schemas.microsoft.com/office/drawing/2014/chart" uri="{C3380CC4-5D6E-409C-BE32-E72D297353CC}">
                  <c16:uniqueId val="{0000002C-EFC3-9F4D-AA5C-86CAA68F61AB}"/>
                </c:ext>
              </c:extLst>
            </c:dLbl>
            <c:dLbl>
              <c:idx val="15"/>
              <c:layout>
                <c:manualLayout>
                  <c:x val="-3.6189640476305608E-2"/>
                  <c:y val="5.67017754371930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EFC3-9F4D-AA5C-86CAA68F61AB}"/>
                </c:ext>
              </c:extLst>
            </c:dLbl>
            <c:dLbl>
              <c:idx val="16"/>
              <c:delete val="1"/>
              <c:extLst>
                <c:ext xmlns:c15="http://schemas.microsoft.com/office/drawing/2012/chart" uri="{CE6537A1-D6FC-4f65-9D91-7224C49458BB}"/>
                <c:ext xmlns:c16="http://schemas.microsoft.com/office/drawing/2014/chart" uri="{C3380CC4-5D6E-409C-BE32-E72D297353CC}">
                  <c16:uniqueId val="{0000002D-EFC3-9F4D-AA5C-86CAA68F61AB}"/>
                </c:ext>
              </c:extLst>
            </c:dLbl>
            <c:dLbl>
              <c:idx val="18"/>
              <c:delete val="1"/>
              <c:extLst>
                <c:ext xmlns:c15="http://schemas.microsoft.com/office/drawing/2012/chart" uri="{CE6537A1-D6FC-4f65-9D91-7224C49458BB}"/>
                <c:ext xmlns:c16="http://schemas.microsoft.com/office/drawing/2014/chart" uri="{C3380CC4-5D6E-409C-BE32-E72D297353CC}">
                  <c16:uniqueId val="{0000002E-EFC3-9F4D-AA5C-86CAA68F61AB}"/>
                </c:ext>
              </c:extLst>
            </c:dLbl>
            <c:dLbl>
              <c:idx val="19"/>
              <c:layout>
                <c:manualLayout>
                  <c:x val="-4.8696198554822608E-2"/>
                  <c:y val="-2.2661277029873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EFC3-9F4D-AA5C-86CAA68F61AB}"/>
                </c:ext>
              </c:extLst>
            </c:dLbl>
            <c:dLbl>
              <c:idx val="20"/>
              <c:delete val="1"/>
              <c:extLst>
                <c:ext xmlns:c15="http://schemas.microsoft.com/office/drawing/2012/chart" uri="{CE6537A1-D6FC-4f65-9D91-7224C49458BB}"/>
                <c:ext xmlns:c16="http://schemas.microsoft.com/office/drawing/2014/chart" uri="{C3380CC4-5D6E-409C-BE32-E72D297353CC}">
                  <c16:uniqueId val="{00000030-EFC3-9F4D-AA5C-86CAA68F61AB}"/>
                </c:ext>
              </c:extLst>
            </c:dLbl>
            <c:dLbl>
              <c:idx val="21"/>
              <c:layout>
                <c:manualLayout>
                  <c:x val="-2.827521206409048E-2"/>
                  <c:y val="3.39919155448107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1-EFC3-9F4D-AA5C-86CAA68F61AB}"/>
                </c:ext>
              </c:extLst>
            </c:dLbl>
            <c:dLbl>
              <c:idx val="22"/>
              <c:delete val="1"/>
              <c:extLst>
                <c:ext xmlns:c15="http://schemas.microsoft.com/office/drawing/2012/chart" uri="{CE6537A1-D6FC-4f65-9D91-7224C49458BB}"/>
                <c:ext xmlns:c16="http://schemas.microsoft.com/office/drawing/2014/chart" uri="{C3380CC4-5D6E-409C-BE32-E72D297353CC}">
                  <c16:uniqueId val="{00000032-EFC3-9F4D-AA5C-86CAA68F61A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Sheet1!$A$2:$A$25</c:f>
              <c:numCache>
                <c:formatCode>General</c:formatCode>
                <c:ptCount val="24"/>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pt idx="20">
                  <c:v>2016</c:v>
                </c:pt>
                <c:pt idx="21">
                  <c:v>2017</c:v>
                </c:pt>
                <c:pt idx="22">
                  <c:v>2018</c:v>
                </c:pt>
                <c:pt idx="23">
                  <c:v>2019</c:v>
                </c:pt>
              </c:numCache>
            </c:numRef>
          </c:cat>
          <c:val>
            <c:numRef>
              <c:f>Sheet1!$F$2:$F$25</c:f>
              <c:numCache>
                <c:formatCode>0.0%</c:formatCode>
                <c:ptCount val="24"/>
                <c:pt idx="0">
                  <c:v>0.45600000000000002</c:v>
                </c:pt>
                <c:pt idx="1">
                  <c:v>0.48100000000000004</c:v>
                </c:pt>
                <c:pt idx="2">
                  <c:v>0.33700000000000002</c:v>
                </c:pt>
                <c:pt idx="3">
                  <c:v>0.30499999999999999</c:v>
                </c:pt>
                <c:pt idx="4">
                  <c:v>0.371</c:v>
                </c:pt>
                <c:pt idx="5">
                  <c:v>0.49099999999999999</c:v>
                </c:pt>
                <c:pt idx="6">
                  <c:v>0.47200000000000003</c:v>
                </c:pt>
                <c:pt idx="7">
                  <c:v>0.49</c:v>
                </c:pt>
                <c:pt idx="8">
                  <c:v>0.39200000000000002</c:v>
                </c:pt>
                <c:pt idx="9">
                  <c:v>0.48299999999999998</c:v>
                </c:pt>
                <c:pt idx="10">
                  <c:v>0.42899999999999999</c:v>
                </c:pt>
                <c:pt idx="11">
                  <c:v>0.52600000000000002</c:v>
                </c:pt>
                <c:pt idx="12">
                  <c:v>0.49700000000000005</c:v>
                </c:pt>
                <c:pt idx="13">
                  <c:v>0.52500000000000002</c:v>
                </c:pt>
                <c:pt idx="14">
                  <c:v>0.56299999999999994</c:v>
                </c:pt>
                <c:pt idx="15">
                  <c:v>0.496</c:v>
                </c:pt>
                <c:pt idx="16">
                  <c:v>0.49200000000000005</c:v>
                </c:pt>
                <c:pt idx="17">
                  <c:v>0.46100000000000002</c:v>
                </c:pt>
                <c:pt idx="18">
                  <c:v>0.49099999999999999</c:v>
                </c:pt>
                <c:pt idx="19">
                  <c:v>0.54500000000000004</c:v>
                </c:pt>
                <c:pt idx="20">
                  <c:v>0.58099999999999996</c:v>
                </c:pt>
                <c:pt idx="21">
                  <c:v>0.44900000000000001</c:v>
                </c:pt>
                <c:pt idx="22">
                  <c:v>0.503</c:v>
                </c:pt>
                <c:pt idx="23">
                  <c:v>0.52600000000000002</c:v>
                </c:pt>
              </c:numCache>
            </c:numRef>
          </c:val>
          <c:smooth val="0"/>
          <c:extLst>
            <c:ext xmlns:c16="http://schemas.microsoft.com/office/drawing/2014/chart" uri="{C3380CC4-5D6E-409C-BE32-E72D297353CC}">
              <c16:uniqueId val="{00000033-EFC3-9F4D-AA5C-86CAA68F61AB}"/>
            </c:ext>
          </c:extLst>
        </c:ser>
        <c:dLbls>
          <c:showLegendKey val="0"/>
          <c:showVal val="0"/>
          <c:showCatName val="0"/>
          <c:showSerName val="0"/>
          <c:showPercent val="0"/>
          <c:showBubbleSize val="0"/>
        </c:dLbls>
        <c:marker val="1"/>
        <c:smooth val="0"/>
        <c:axId val="392190392"/>
        <c:axId val="392190720"/>
      </c:lineChart>
      <c:catAx>
        <c:axId val="392190392"/>
        <c:scaling>
          <c:orientation val="minMax"/>
        </c:scaling>
        <c:delete val="0"/>
        <c:axPos val="b"/>
        <c:numFmt formatCode="General" sourceLinked="1"/>
        <c:majorTickMark val="out"/>
        <c:minorTickMark val="none"/>
        <c:tickLblPos val="nextTo"/>
        <c:spPr>
          <a:noFill/>
          <a:ln w="9525" cap="flat" cmpd="sng" algn="ctr">
            <a:solidFill>
              <a:schemeClr val="bg1">
                <a:lumMod val="6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92190720"/>
        <c:crosses val="autoZero"/>
        <c:auto val="1"/>
        <c:lblAlgn val="ctr"/>
        <c:lblOffset val="100"/>
        <c:tickLblSkip val="2"/>
        <c:tickMarkSkip val="1"/>
        <c:noMultiLvlLbl val="0"/>
      </c:catAx>
      <c:valAx>
        <c:axId val="392190720"/>
        <c:scaling>
          <c:orientation val="minMax"/>
        </c:scaling>
        <c:delete val="0"/>
        <c:axPos val="l"/>
        <c:majorGridlines>
          <c:spPr>
            <a:ln w="9525" cap="flat" cmpd="sng" algn="ctr">
              <a:noFill/>
              <a:round/>
            </a:ln>
            <a:effectLst/>
          </c:spPr>
        </c:majorGridlines>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92190392"/>
        <c:crosses val="autoZero"/>
        <c:crossBetween val="midCat"/>
      </c:valAx>
      <c:spPr>
        <a:noFill/>
        <a:ln>
          <a:noFill/>
        </a:ln>
        <a:effectLst/>
      </c:spPr>
    </c:plotArea>
    <c:legend>
      <c:legendPos val="r"/>
      <c:legendEntry>
        <c:idx val="0"/>
        <c:delete val="1"/>
      </c:legendEntry>
      <c:legendEntry>
        <c:idx val="1"/>
        <c:delete val="1"/>
      </c:legendEntry>
      <c:legendEntry>
        <c:idx val="2"/>
        <c:delete val="1"/>
      </c:legendEntry>
      <c:legendEntry>
        <c:idx val="3"/>
        <c:delete val="1"/>
      </c:legendEntry>
      <c:layout>
        <c:manualLayout>
          <c:xMode val="edge"/>
          <c:yMode val="edge"/>
          <c:x val="0.68118015052203507"/>
          <c:y val="0.54771591720199864"/>
          <c:w val="0.20266219848821523"/>
          <c:h val="0.24080521787025014"/>
        </c:manualLayout>
      </c:layout>
      <c:overlay val="0"/>
      <c:spPr>
        <a:noFill/>
        <a:ln>
          <a:solidFill>
            <a:schemeClr val="bg1">
              <a:lumMod val="65000"/>
            </a:schemeClr>
          </a:solid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Figure 8. Rates of Sucessful Quitting by Income: </a:t>
            </a:r>
          </a:p>
          <a:p>
            <a:pPr>
              <a:defRPr sz="1200" b="1"/>
            </a:pPr>
            <a:r>
              <a:rPr lang="en-US" sz="1200" b="1">
                <a:solidFill>
                  <a:sysClr val="windowText" lastClr="000000"/>
                </a:solidFill>
              </a:rPr>
              <a:t>Massachusetts, 2017-2019</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'quitting and income'!$B$2</c:f>
              <c:strCache>
                <c:ptCount val="1"/>
                <c:pt idx="0">
                  <c:v>White</c:v>
                </c:pt>
              </c:strCache>
            </c:strRef>
          </c:tx>
          <c:spPr>
            <a:solidFill>
              <a:schemeClr val="accent1"/>
            </a:solidFill>
            <a:ln>
              <a:noFill/>
            </a:ln>
            <a:effectLst/>
          </c:spPr>
          <c:invertIfNegative val="0"/>
          <c:dLbls>
            <c:dLbl>
              <c:idx val="0"/>
              <c:layout>
                <c:manualLayout>
                  <c:x val="-1.7188375724309759E-17"/>
                  <c:y val="-3.92857142857143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0C-6547-A68A-DA8A23CEAD40}"/>
                </c:ext>
              </c:extLst>
            </c:dLbl>
            <c:dLbl>
              <c:idx val="1"/>
              <c:layout>
                <c:manualLayout>
                  <c:x val="0"/>
                  <c:y val="-2.5000000000000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0C-6547-A68A-DA8A23CEAD40}"/>
                </c:ext>
              </c:extLst>
            </c:dLbl>
            <c:dLbl>
              <c:idx val="2"/>
              <c:layout>
                <c:manualLayout>
                  <c:x val="-1.3750700579447807E-16"/>
                  <c:y val="-1.42857142857143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0C-6547-A68A-DA8A23CEAD4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'quitting and income'!$E$3:$E$5</c:f>
                <c:numCache>
                  <c:formatCode>General</c:formatCode>
                  <c:ptCount val="3"/>
                  <c:pt idx="0">
                    <c:v>6.3E-2</c:v>
                  </c:pt>
                  <c:pt idx="1">
                    <c:v>3.8000000000000034E-2</c:v>
                  </c:pt>
                  <c:pt idx="2">
                    <c:v>3.3000000000000029E-2</c:v>
                  </c:pt>
                </c:numCache>
              </c:numRef>
            </c:plus>
            <c:minus>
              <c:numRef>
                <c:f>'quitting and income'!$E$3:$E$5</c:f>
                <c:numCache>
                  <c:formatCode>General</c:formatCode>
                  <c:ptCount val="3"/>
                  <c:pt idx="0">
                    <c:v>6.3E-2</c:v>
                  </c:pt>
                  <c:pt idx="1">
                    <c:v>3.8000000000000034E-2</c:v>
                  </c:pt>
                  <c:pt idx="2">
                    <c:v>3.3000000000000029E-2</c:v>
                  </c:pt>
                </c:numCache>
              </c:numRef>
            </c:minus>
            <c:spPr>
              <a:noFill/>
              <a:ln w="9525" cap="flat" cmpd="sng" algn="ctr">
                <a:solidFill>
                  <a:schemeClr val="tx1"/>
                </a:solidFill>
                <a:round/>
              </a:ln>
              <a:effectLst/>
            </c:spPr>
          </c:errBars>
          <c:cat>
            <c:strRef>
              <c:f>'quitting and income'!$A$3:$A$5</c:f>
              <c:strCache>
                <c:ptCount val="3"/>
                <c:pt idx="0">
                  <c:v>&lt;25k</c:v>
                </c:pt>
                <c:pt idx="1">
                  <c:v>25-75k</c:v>
                </c:pt>
                <c:pt idx="2">
                  <c:v>&gt;75k</c:v>
                </c:pt>
              </c:strCache>
            </c:strRef>
          </c:cat>
          <c:val>
            <c:numRef>
              <c:f>'quitting and income'!$B$3:$B$5</c:f>
              <c:numCache>
                <c:formatCode>General</c:formatCode>
                <c:ptCount val="3"/>
                <c:pt idx="0">
                  <c:v>0.495</c:v>
                </c:pt>
                <c:pt idx="1">
                  <c:v>0.66900000000000004</c:v>
                </c:pt>
                <c:pt idx="2">
                  <c:v>0.76700000000000002</c:v>
                </c:pt>
              </c:numCache>
            </c:numRef>
          </c:val>
          <c:extLst>
            <c:ext xmlns:c16="http://schemas.microsoft.com/office/drawing/2014/chart" uri="{C3380CC4-5D6E-409C-BE32-E72D297353CC}">
              <c16:uniqueId val="{00000003-CA0C-6547-A68A-DA8A23CEAD40}"/>
            </c:ext>
          </c:extLst>
        </c:ser>
        <c:ser>
          <c:idx val="1"/>
          <c:order val="1"/>
          <c:tx>
            <c:strRef>
              <c:f>'quitting and income'!$F$2</c:f>
              <c:strCache>
                <c:ptCount val="1"/>
                <c:pt idx="0">
                  <c:v>POC</c:v>
                </c:pt>
              </c:strCache>
            </c:strRef>
          </c:tx>
          <c:spPr>
            <a:solidFill>
              <a:schemeClr val="bg1">
                <a:lumMod val="50000"/>
              </a:schemeClr>
            </a:solidFill>
            <a:ln>
              <a:noFill/>
            </a:ln>
            <a:effectLst/>
          </c:spPr>
          <c:invertIfNegative val="0"/>
          <c:dLbls>
            <c:dLbl>
              <c:idx val="0"/>
              <c:layout>
                <c:manualLayout>
                  <c:x val="1.1111111111111112E-2"/>
                  <c:y val="-6.4814814814814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0C-6547-A68A-DA8A23CEAD40}"/>
                </c:ext>
              </c:extLst>
            </c:dLbl>
            <c:dLbl>
              <c:idx val="1"/>
              <c:layout>
                <c:manualLayout>
                  <c:x val="-1.3952643693774169E-4"/>
                  <c:y val="-7.44710348706411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0C-6547-A68A-DA8A23CEAD40}"/>
                </c:ext>
              </c:extLst>
            </c:dLbl>
            <c:dLbl>
              <c:idx val="2"/>
              <c:layout>
                <c:manualLayout>
                  <c:x val="0"/>
                  <c:y val="-8.57142857142857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0C-6547-A68A-DA8A23CEAD4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'quitting and income'!$I$3:$I$5</c:f>
                <c:numCache>
                  <c:formatCode>General</c:formatCode>
                  <c:ptCount val="3"/>
                  <c:pt idx="0">
                    <c:v>9.0000000000000024E-2</c:v>
                  </c:pt>
                  <c:pt idx="1">
                    <c:v>0.10000000000000003</c:v>
                  </c:pt>
                  <c:pt idx="2">
                    <c:v>0.1170000000000001</c:v>
                  </c:pt>
                </c:numCache>
              </c:numRef>
            </c:plus>
            <c:minus>
              <c:numRef>
                <c:f>'quitting and income'!$I$3:$I$5</c:f>
                <c:numCache>
                  <c:formatCode>General</c:formatCode>
                  <c:ptCount val="3"/>
                  <c:pt idx="0">
                    <c:v>9.0000000000000024E-2</c:v>
                  </c:pt>
                  <c:pt idx="1">
                    <c:v>0.10000000000000003</c:v>
                  </c:pt>
                  <c:pt idx="2">
                    <c:v>0.1170000000000001</c:v>
                  </c:pt>
                </c:numCache>
              </c:numRef>
            </c:minus>
            <c:spPr>
              <a:noFill/>
              <a:ln w="9525" cap="flat" cmpd="sng" algn="ctr">
                <a:solidFill>
                  <a:schemeClr val="tx1"/>
                </a:solidFill>
                <a:round/>
              </a:ln>
              <a:effectLst/>
            </c:spPr>
          </c:errBars>
          <c:val>
            <c:numRef>
              <c:f>'quitting and income'!$F$3:$F$5</c:f>
              <c:numCache>
                <c:formatCode>General</c:formatCode>
                <c:ptCount val="3"/>
                <c:pt idx="0">
                  <c:v>0.38100000000000001</c:v>
                </c:pt>
                <c:pt idx="1">
                  <c:v>0.52500000000000002</c:v>
                </c:pt>
                <c:pt idx="2">
                  <c:v>0.68400000000000005</c:v>
                </c:pt>
              </c:numCache>
            </c:numRef>
          </c:val>
          <c:extLst>
            <c:ext xmlns:c16="http://schemas.microsoft.com/office/drawing/2014/chart" uri="{C3380CC4-5D6E-409C-BE32-E72D297353CC}">
              <c16:uniqueId val="{00000007-CA0C-6547-A68A-DA8A23CEAD40}"/>
            </c:ext>
          </c:extLst>
        </c:ser>
        <c:dLbls>
          <c:showLegendKey val="0"/>
          <c:showVal val="0"/>
          <c:showCatName val="0"/>
          <c:showSerName val="0"/>
          <c:showPercent val="0"/>
          <c:showBubbleSize val="0"/>
        </c:dLbls>
        <c:gapWidth val="219"/>
        <c:overlap val="-27"/>
        <c:axId val="2093958568"/>
        <c:axId val="2093959880"/>
      </c:barChart>
      <c:catAx>
        <c:axId val="2093958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093959880"/>
        <c:crosses val="autoZero"/>
        <c:auto val="1"/>
        <c:lblAlgn val="ctr"/>
        <c:lblOffset val="100"/>
        <c:noMultiLvlLbl val="0"/>
      </c:catAx>
      <c:valAx>
        <c:axId val="2093959880"/>
        <c:scaling>
          <c:orientation val="minMax"/>
          <c:max val="1"/>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2093958568"/>
        <c:crosses val="autoZero"/>
        <c:crossBetween val="between"/>
        <c:majorUnit val="0.2"/>
      </c:valAx>
      <c:spPr>
        <a:noFill/>
        <a:ln>
          <a:noFill/>
        </a:ln>
        <a:effectLst/>
      </c:spPr>
    </c:plotArea>
    <c:legend>
      <c:legendPos val="r"/>
      <c:layout>
        <c:manualLayout>
          <c:xMode val="edge"/>
          <c:yMode val="edge"/>
          <c:x val="0.86303738474998315"/>
          <c:y val="0.37674037674037675"/>
          <c:w val="0.1147227705668612"/>
          <c:h val="0.3611793611793612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solidFill>
                  <a:sysClr val="windowText" lastClr="000000"/>
                </a:solidFill>
              </a:rPr>
              <a:t>Figure 10. Age-Adjusted Prevalence Rates* of Select Health Risk Behaviors </a:t>
            </a:r>
          </a:p>
          <a:p>
            <a:pPr>
              <a:defRPr sz="1200"/>
            </a:pPr>
            <a:r>
              <a:rPr lang="en-US" sz="1200" b="1">
                <a:solidFill>
                  <a:sysClr val="windowText" lastClr="000000"/>
                </a:solidFill>
              </a:rPr>
              <a:t>by Smoking Status: Massachusetts, 2019</a:t>
            </a:r>
          </a:p>
        </c:rich>
      </c:tx>
      <c:layout>
        <c:manualLayout>
          <c:xMode val="edge"/>
          <c:yMode val="edge"/>
          <c:x val="7.5931891394385637E-2"/>
          <c:y val="8.0955272212102809E-3"/>
        </c:manualLayout>
      </c:layout>
      <c:overlay val="1"/>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6593068176812575E-2"/>
          <c:y val="0.16225012279892237"/>
          <c:w val="0.76714078132948182"/>
          <c:h val="0.52043783397585697"/>
        </c:manualLayout>
      </c:layout>
      <c:barChart>
        <c:barDir val="col"/>
        <c:grouping val="clustered"/>
        <c:varyColors val="0"/>
        <c:ser>
          <c:idx val="0"/>
          <c:order val="0"/>
          <c:tx>
            <c:strRef>
              <c:f>Sheet1!$B$1</c:f>
              <c:strCache>
                <c:ptCount val="1"/>
                <c:pt idx="0">
                  <c:v>Current Smokers</c:v>
                </c:pt>
              </c:strCache>
            </c:strRef>
          </c:tx>
          <c:spPr>
            <a:solidFill>
              <a:schemeClr val="tx2"/>
            </a:solidFill>
            <a:ln>
              <a:solidFill>
                <a:schemeClr val="tx1"/>
              </a:solidFill>
            </a:ln>
            <a:effectLst/>
          </c:spPr>
          <c:invertIfNegative val="0"/>
          <c:dLbls>
            <c:dLbl>
              <c:idx val="0"/>
              <c:layout>
                <c:manualLayout>
                  <c:x val="0"/>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C91-944D-AD5C-B057CB63CD73}"/>
                </c:ext>
              </c:extLst>
            </c:dLbl>
            <c:dLbl>
              <c:idx val="1"/>
              <c:layout>
                <c:manualLayout>
                  <c:x val="5.0925337632079971E-17"/>
                  <c:y val="-7.87037037037037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91-944D-AD5C-B057CB63CD73}"/>
                </c:ext>
              </c:extLst>
            </c:dLbl>
            <c:dLbl>
              <c:idx val="2"/>
              <c:layout>
                <c:manualLayout>
                  <c:x val="0"/>
                  <c:y val="-5.55555555555555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91-944D-AD5C-B057CB63CD7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Sheet1!$E$8:$E$10</c:f>
                <c:numCache>
                  <c:formatCode>General</c:formatCode>
                  <c:ptCount val="3"/>
                  <c:pt idx="0">
                    <c:v>3.5000000000000003E-2</c:v>
                  </c:pt>
                  <c:pt idx="1">
                    <c:v>3.8999999999999979E-2</c:v>
                  </c:pt>
                  <c:pt idx="2">
                    <c:v>4.3999999999999984E-2</c:v>
                  </c:pt>
                </c:numCache>
              </c:numRef>
            </c:plus>
            <c:minus>
              <c:numRef>
                <c:f>Sheet1!$E$8:$E$10</c:f>
                <c:numCache>
                  <c:formatCode>General</c:formatCode>
                  <c:ptCount val="3"/>
                  <c:pt idx="0">
                    <c:v>3.5000000000000003E-2</c:v>
                  </c:pt>
                  <c:pt idx="1">
                    <c:v>3.8999999999999979E-2</c:v>
                  </c:pt>
                  <c:pt idx="2">
                    <c:v>4.3999999999999984E-2</c:v>
                  </c:pt>
                </c:numCache>
              </c:numRef>
            </c:minus>
            <c:spPr>
              <a:noFill/>
              <a:ln w="9525" cap="flat" cmpd="sng" algn="ctr">
                <a:solidFill>
                  <a:schemeClr val="tx1"/>
                </a:solidFill>
                <a:round/>
              </a:ln>
              <a:effectLst/>
            </c:spPr>
          </c:errBars>
          <c:cat>
            <c:strRef>
              <c:f>Sheet1!$A$8:$A$10</c:f>
              <c:strCache>
                <c:ptCount val="3"/>
                <c:pt idx="0">
                  <c:v>60+ drinks in past month for men, 30+ for women</c:v>
                </c:pt>
                <c:pt idx="1">
                  <c:v>15+ days of poor mental health in past month</c:v>
                </c:pt>
                <c:pt idx="2">
                  <c:v>No exercise in past month</c:v>
                </c:pt>
              </c:strCache>
            </c:strRef>
          </c:cat>
          <c:val>
            <c:numRef>
              <c:f>Sheet1!$B$8:$B$10</c:f>
              <c:numCache>
                <c:formatCode>General</c:formatCode>
                <c:ptCount val="3"/>
                <c:pt idx="0">
                  <c:v>0.16600000000000001</c:v>
                </c:pt>
                <c:pt idx="1">
                  <c:v>0.24099999999999999</c:v>
                </c:pt>
                <c:pt idx="2">
                  <c:v>0.35599999999999998</c:v>
                </c:pt>
              </c:numCache>
            </c:numRef>
          </c:val>
          <c:extLst>
            <c:ext xmlns:c16="http://schemas.microsoft.com/office/drawing/2014/chart" uri="{C3380CC4-5D6E-409C-BE32-E72D297353CC}">
              <c16:uniqueId val="{00000003-EC91-944D-AD5C-B057CB63CD73}"/>
            </c:ext>
          </c:extLst>
        </c:ser>
        <c:ser>
          <c:idx val="1"/>
          <c:order val="1"/>
          <c:tx>
            <c:strRef>
              <c:f>Sheet1!$F$1</c:f>
              <c:strCache>
                <c:ptCount val="1"/>
                <c:pt idx="0">
                  <c:v>Former Smokers </c:v>
                </c:pt>
              </c:strCache>
            </c:strRef>
          </c:tx>
          <c:spPr>
            <a:pattFill prst="pct20">
              <a:fgClr>
                <a:schemeClr val="tx1"/>
              </a:fgClr>
              <a:bgClr>
                <a:schemeClr val="bg1">
                  <a:lumMod val="65000"/>
                </a:schemeClr>
              </a:bgClr>
            </a:pattFill>
            <a:ln>
              <a:solidFill>
                <a:schemeClr val="tx1"/>
              </a:solidFill>
            </a:ln>
            <a:effectLst/>
          </c:spPr>
          <c:invertIfNegative val="0"/>
          <c:dLbls>
            <c:dLbl>
              <c:idx val="0"/>
              <c:layout>
                <c:manualLayout>
                  <c:x val="2.7777777777777779E-3"/>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91-944D-AD5C-B057CB63CD73}"/>
                </c:ext>
              </c:extLst>
            </c:dLbl>
            <c:dLbl>
              <c:idx val="1"/>
              <c:layout>
                <c:manualLayout>
                  <c:x val="-1.0185067526415994E-16"/>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91-944D-AD5C-B057CB63CD73}"/>
                </c:ext>
              </c:extLst>
            </c:dLbl>
            <c:dLbl>
              <c:idx val="2"/>
              <c:layout>
                <c:manualLayout>
                  <c:x val="-1.0185067526415994E-16"/>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91-944D-AD5C-B057CB63CD7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Sheet1!$I$8:$I$10</c:f>
                <c:numCache>
                  <c:formatCode>General</c:formatCode>
                  <c:ptCount val="3"/>
                  <c:pt idx="0">
                    <c:v>2.3099999999999996E-2</c:v>
                  </c:pt>
                  <c:pt idx="1">
                    <c:v>3.0999999999999986E-2</c:v>
                  </c:pt>
                  <c:pt idx="2">
                    <c:v>0.03</c:v>
                  </c:pt>
                </c:numCache>
              </c:numRef>
            </c:plus>
            <c:minus>
              <c:numRef>
                <c:f>Sheet1!$I$8:$I$10</c:f>
                <c:numCache>
                  <c:formatCode>General</c:formatCode>
                  <c:ptCount val="3"/>
                  <c:pt idx="0">
                    <c:v>2.3099999999999996E-2</c:v>
                  </c:pt>
                  <c:pt idx="1">
                    <c:v>3.0999999999999986E-2</c:v>
                  </c:pt>
                  <c:pt idx="2">
                    <c:v>0.03</c:v>
                  </c:pt>
                </c:numCache>
              </c:numRef>
            </c:minus>
            <c:spPr>
              <a:noFill/>
              <a:ln w="9525" cap="flat" cmpd="sng" algn="ctr">
                <a:solidFill>
                  <a:schemeClr val="tx1"/>
                </a:solidFill>
                <a:round/>
              </a:ln>
              <a:effectLst/>
            </c:spPr>
          </c:errBars>
          <c:val>
            <c:numRef>
              <c:f>Sheet1!$F$8:$F$10</c:f>
              <c:numCache>
                <c:formatCode>General</c:formatCode>
                <c:ptCount val="3"/>
                <c:pt idx="0">
                  <c:v>0.10299999999999999</c:v>
                </c:pt>
                <c:pt idx="1">
                  <c:v>0.14199999999999999</c:v>
                </c:pt>
                <c:pt idx="2">
                  <c:v>0.216</c:v>
                </c:pt>
              </c:numCache>
            </c:numRef>
          </c:val>
          <c:extLst>
            <c:ext xmlns:c16="http://schemas.microsoft.com/office/drawing/2014/chart" uri="{C3380CC4-5D6E-409C-BE32-E72D297353CC}">
              <c16:uniqueId val="{00000007-EC91-944D-AD5C-B057CB63CD73}"/>
            </c:ext>
          </c:extLst>
        </c:ser>
        <c:ser>
          <c:idx val="2"/>
          <c:order val="2"/>
          <c:tx>
            <c:strRef>
              <c:f>Sheet1!$J$1</c:f>
              <c:strCache>
                <c:ptCount val="1"/>
                <c:pt idx="0">
                  <c:v>Never Smokers </c:v>
                </c:pt>
              </c:strCache>
            </c:strRef>
          </c:tx>
          <c:spPr>
            <a:pattFill prst="ltDnDiag">
              <a:fgClr>
                <a:schemeClr val="tx1"/>
              </a:fgClr>
              <a:bgClr>
                <a:schemeClr val="bg1">
                  <a:lumMod val="95000"/>
                </a:schemeClr>
              </a:bgClr>
            </a:pattFill>
            <a:ln>
              <a:solidFill>
                <a:schemeClr val="tx1"/>
              </a:solidFill>
            </a:ln>
            <a:effectLst/>
          </c:spPr>
          <c:invertIfNegative val="0"/>
          <c:dLbls>
            <c:dLbl>
              <c:idx val="2"/>
              <c:layout>
                <c:manualLayout>
                  <c:x val="2.777777777777676E-3"/>
                  <c:y val="-3.2407407407407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91-944D-AD5C-B057CB63CD73}"/>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Sheet1!$M$8:$M$10</c:f>
                <c:numCache>
                  <c:formatCode>General</c:formatCode>
                  <c:ptCount val="3"/>
                  <c:pt idx="0">
                    <c:v>8.3999999999999977E-3</c:v>
                  </c:pt>
                  <c:pt idx="1">
                    <c:v>1.1800000000000005E-2</c:v>
                  </c:pt>
                  <c:pt idx="2">
                    <c:v>1.7999999999999988E-2</c:v>
                  </c:pt>
                </c:numCache>
              </c:numRef>
            </c:plus>
            <c:minus>
              <c:numRef>
                <c:f>Sheet1!$M$8:$M$10</c:f>
                <c:numCache>
                  <c:formatCode>General</c:formatCode>
                  <c:ptCount val="3"/>
                  <c:pt idx="0">
                    <c:v>8.3999999999999977E-3</c:v>
                  </c:pt>
                  <c:pt idx="1">
                    <c:v>1.1800000000000005E-2</c:v>
                  </c:pt>
                  <c:pt idx="2">
                    <c:v>1.7999999999999988E-2</c:v>
                  </c:pt>
                </c:numCache>
              </c:numRef>
            </c:minus>
            <c:spPr>
              <a:noFill/>
              <a:ln w="9525" cap="flat" cmpd="sng" algn="ctr">
                <a:solidFill>
                  <a:schemeClr val="tx1"/>
                </a:solidFill>
                <a:round/>
              </a:ln>
              <a:effectLst/>
            </c:spPr>
          </c:errBars>
          <c:val>
            <c:numRef>
              <c:f>Sheet1!$J$8:$J$10</c:f>
              <c:numCache>
                <c:formatCode>General</c:formatCode>
                <c:ptCount val="3"/>
                <c:pt idx="0">
                  <c:v>5.0999999999999997E-2</c:v>
                </c:pt>
                <c:pt idx="1">
                  <c:v>9.5000000000000001E-2</c:v>
                </c:pt>
                <c:pt idx="2">
                  <c:v>0.246</c:v>
                </c:pt>
              </c:numCache>
            </c:numRef>
          </c:val>
          <c:extLst>
            <c:ext xmlns:c16="http://schemas.microsoft.com/office/drawing/2014/chart" uri="{C3380CC4-5D6E-409C-BE32-E72D297353CC}">
              <c16:uniqueId val="{00000009-EC91-944D-AD5C-B057CB63CD73}"/>
            </c:ext>
          </c:extLst>
        </c:ser>
        <c:dLbls>
          <c:showLegendKey val="0"/>
          <c:showVal val="0"/>
          <c:showCatName val="0"/>
          <c:showSerName val="0"/>
          <c:showPercent val="0"/>
          <c:showBubbleSize val="0"/>
        </c:dLbls>
        <c:gapWidth val="219"/>
        <c:overlap val="-27"/>
        <c:axId val="1170367456"/>
        <c:axId val="1170366472"/>
      </c:barChart>
      <c:catAx>
        <c:axId val="117036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70366472"/>
        <c:crosses val="autoZero"/>
        <c:auto val="1"/>
        <c:lblAlgn val="ctr"/>
        <c:lblOffset val="100"/>
        <c:noMultiLvlLbl val="0"/>
      </c:catAx>
      <c:valAx>
        <c:axId val="117036647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70367456"/>
        <c:crosses val="autoZero"/>
        <c:crossBetween val="between"/>
        <c:majorUnit val="0.1"/>
      </c:valAx>
      <c:spPr>
        <a:noFill/>
        <a:ln>
          <a:noFill/>
        </a:ln>
        <a:effectLst/>
      </c:spPr>
    </c:plotArea>
    <c:legend>
      <c:legendPos val="r"/>
      <c:layout>
        <c:manualLayout>
          <c:xMode val="edge"/>
          <c:yMode val="edge"/>
          <c:x val="0.80586351036280446"/>
          <c:y val="0.30388565559739816"/>
          <c:w val="0.18377380231980897"/>
          <c:h val="0.23437664041994752"/>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r>
              <a:rPr lang="en-US" sz="1200" b="1" i="0" baseline="0">
                <a:solidFill>
                  <a:sysClr val="windowText" lastClr="000000"/>
                </a:solidFill>
                <a:effectLst/>
              </a:rPr>
              <a:t>Figure 11. Age-Adjusted Prevalence Rates* of Select Health Conditions </a:t>
            </a:r>
          </a:p>
          <a:p>
            <a:pPr marL="0" marR="0" lvl="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r>
              <a:rPr lang="en-US" sz="1200" b="1" i="0" baseline="0">
                <a:solidFill>
                  <a:sysClr val="windowText" lastClr="000000"/>
                </a:solidFill>
                <a:effectLst/>
              </a:rPr>
              <a:t>by Smoking Status: Massachusetts, 2019</a:t>
            </a:r>
            <a:endParaRPr lang="en-US" sz="1200" b="1">
              <a:solidFill>
                <a:sysClr val="windowText" lastClr="000000"/>
              </a:solidFill>
              <a:effectLst/>
            </a:endParaRPr>
          </a:p>
          <a:p>
            <a:pPr marL="0" marR="0" lvl="0" indent="0" algn="ctr" defTabSz="914400" rtl="0" eaLnBrk="1" fontAlgn="auto" latinLnBrk="0" hangingPunct="1">
              <a:lnSpc>
                <a:spcPct val="100000"/>
              </a:lnSpc>
              <a:spcBef>
                <a:spcPts val="0"/>
              </a:spcBef>
              <a:spcAft>
                <a:spcPts val="0"/>
              </a:spcAft>
              <a:buClrTx/>
              <a:buSzTx/>
              <a:buFontTx/>
              <a:buNone/>
              <a:tabLst/>
              <a:defRPr sz="1200">
                <a:solidFill>
                  <a:sysClr val="windowText" lastClr="000000">
                    <a:lumMod val="65000"/>
                    <a:lumOff val="35000"/>
                  </a:sysClr>
                </a:solidFill>
              </a:defRPr>
            </a:pPr>
            <a:endParaRPr lang="en-US" sz="1200"/>
          </a:p>
        </c:rich>
      </c:tx>
      <c:layout>
        <c:manualLayout>
          <c:xMode val="edge"/>
          <c:yMode val="edge"/>
          <c:x val="0.10885005125764421"/>
          <c:y val="0"/>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manualLayout>
          <c:layoutTarget val="inner"/>
          <c:xMode val="edge"/>
          <c:yMode val="edge"/>
          <c:x val="8.6173867689615727E-2"/>
          <c:y val="7.557902260753277E-2"/>
          <c:w val="0.76851394911672155"/>
          <c:h val="0.61921313642529674"/>
        </c:manualLayout>
      </c:layout>
      <c:barChart>
        <c:barDir val="col"/>
        <c:grouping val="clustered"/>
        <c:varyColors val="0"/>
        <c:ser>
          <c:idx val="0"/>
          <c:order val="0"/>
          <c:tx>
            <c:strRef>
              <c:f>Sheet1!$B$1</c:f>
              <c:strCache>
                <c:ptCount val="1"/>
                <c:pt idx="0">
                  <c:v>Current Smokers</c:v>
                </c:pt>
              </c:strCache>
            </c:strRef>
          </c:tx>
          <c:spPr>
            <a:solidFill>
              <a:schemeClr val="tx2"/>
            </a:solidFill>
            <a:ln>
              <a:solidFill>
                <a:schemeClr val="tx1"/>
              </a:solidFill>
            </a:ln>
            <a:effectLst/>
          </c:spPr>
          <c:invertIfNegative val="0"/>
          <c:dLbls>
            <c:dLbl>
              <c:idx val="0"/>
              <c:layout>
                <c:manualLayout>
                  <c:x val="-3.6856168801253195E-3"/>
                  <c:y val="-4.208754208754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50-F14C-8F38-E81A70DA10EA}"/>
                </c:ext>
              </c:extLst>
            </c:dLbl>
            <c:dLbl>
              <c:idx val="1"/>
              <c:layout>
                <c:manualLayout>
                  <c:x val="-1.8428084400626892E-3"/>
                  <c:y val="-2.52525252525252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50-F14C-8F38-E81A70DA10EA}"/>
                </c:ext>
              </c:extLst>
            </c:dLbl>
            <c:dLbl>
              <c:idx val="2"/>
              <c:layout>
                <c:manualLayout>
                  <c:x val="-3.6856450635978197E-3"/>
                  <c:y val="-3.5013430788208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50-F14C-8F38-E81A70DA10EA}"/>
                </c:ext>
              </c:extLst>
            </c:dLbl>
            <c:dLbl>
              <c:idx val="3"/>
              <c:layout>
                <c:manualLayout>
                  <c:x val="-3.6856450635978197E-3"/>
                  <c:y val="-6.78329740261237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50-F14C-8F38-E81A70DA10EA}"/>
                </c:ext>
              </c:extLst>
            </c:dLbl>
            <c:dLbl>
              <c:idx val="4"/>
              <c:layout>
                <c:manualLayout>
                  <c:x val="-1.5669334656024605E-16"/>
                  <c:y val="-4.9654719221590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D50-F14C-8F38-E81A70DA10E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Sheet1!$E$2:$E$6</c:f>
                <c:numCache>
                  <c:formatCode>General</c:formatCode>
                  <c:ptCount val="5"/>
                  <c:pt idx="0">
                    <c:v>1.1300000000000001E-2</c:v>
                  </c:pt>
                  <c:pt idx="1">
                    <c:v>1.7399999999999999E-2</c:v>
                  </c:pt>
                  <c:pt idx="2">
                    <c:v>2.0799999999999992E-2</c:v>
                  </c:pt>
                  <c:pt idx="3">
                    <c:v>3.4000000000000016E-2</c:v>
                  </c:pt>
                  <c:pt idx="4">
                    <c:v>2.6000000000000009E-2</c:v>
                  </c:pt>
                </c:numCache>
              </c:numRef>
            </c:plus>
            <c:minus>
              <c:numRef>
                <c:f>Sheet1!$E$2:$E$6</c:f>
                <c:numCache>
                  <c:formatCode>General</c:formatCode>
                  <c:ptCount val="5"/>
                  <c:pt idx="0">
                    <c:v>1.1300000000000001E-2</c:v>
                  </c:pt>
                  <c:pt idx="1">
                    <c:v>1.7399999999999999E-2</c:v>
                  </c:pt>
                  <c:pt idx="2">
                    <c:v>2.0799999999999992E-2</c:v>
                  </c:pt>
                  <c:pt idx="3">
                    <c:v>3.4000000000000016E-2</c:v>
                  </c:pt>
                  <c:pt idx="4">
                    <c:v>2.6000000000000009E-2</c:v>
                  </c:pt>
                </c:numCache>
              </c:numRef>
            </c:minus>
            <c:spPr>
              <a:noFill/>
              <a:ln w="9525" cap="flat" cmpd="sng" algn="ctr">
                <a:solidFill>
                  <a:schemeClr val="tx1"/>
                </a:solidFill>
                <a:round/>
              </a:ln>
              <a:effectLst/>
            </c:spPr>
          </c:errBars>
          <c:cat>
            <c:strRef>
              <c:f>Sheet1!$A$2:$A$6</c:f>
              <c:strCache>
                <c:ptCount val="5"/>
                <c:pt idx="0">
                  <c:v>Stroke</c:v>
                </c:pt>
                <c:pt idx="1">
                  <c:v>Heart Attack or Angina</c:v>
                </c:pt>
                <c:pt idx="2">
                  <c:v>Diabetes</c:v>
                </c:pt>
                <c:pt idx="3">
                  <c:v>Current Asthma</c:v>
                </c:pt>
                <c:pt idx="4">
                  <c:v>COPD</c:v>
                </c:pt>
              </c:strCache>
            </c:strRef>
          </c:cat>
          <c:val>
            <c:numRef>
              <c:f>Sheet1!$B$2:$B$6</c:f>
              <c:numCache>
                <c:formatCode>General</c:formatCode>
                <c:ptCount val="5"/>
                <c:pt idx="0">
                  <c:v>2.75E-2</c:v>
                </c:pt>
                <c:pt idx="1">
                  <c:v>6.4299999999999996E-2</c:v>
                </c:pt>
                <c:pt idx="2">
                  <c:v>7.2499999999999995E-2</c:v>
                </c:pt>
                <c:pt idx="3">
                  <c:v>0.13700000000000001</c:v>
                </c:pt>
                <c:pt idx="4">
                  <c:v>0.13900000000000001</c:v>
                </c:pt>
              </c:numCache>
            </c:numRef>
          </c:val>
          <c:extLst>
            <c:ext xmlns:c16="http://schemas.microsoft.com/office/drawing/2014/chart" uri="{C3380CC4-5D6E-409C-BE32-E72D297353CC}">
              <c16:uniqueId val="{00000005-0D50-F14C-8F38-E81A70DA10EA}"/>
            </c:ext>
          </c:extLst>
        </c:ser>
        <c:ser>
          <c:idx val="1"/>
          <c:order val="1"/>
          <c:tx>
            <c:strRef>
              <c:f>Sheet1!$F$1</c:f>
              <c:strCache>
                <c:ptCount val="1"/>
                <c:pt idx="0">
                  <c:v>Former Smokers </c:v>
                </c:pt>
              </c:strCache>
            </c:strRef>
          </c:tx>
          <c:spPr>
            <a:pattFill prst="pct20">
              <a:fgClr>
                <a:schemeClr val="tx1"/>
              </a:fgClr>
              <a:bgClr>
                <a:schemeClr val="bg1">
                  <a:lumMod val="65000"/>
                </a:schemeClr>
              </a:bgClr>
            </a:pattFill>
            <a:ln>
              <a:solidFill>
                <a:schemeClr val="tx1"/>
              </a:solidFill>
            </a:ln>
            <a:effectLst/>
          </c:spPr>
          <c:invertIfNegative val="0"/>
          <c:dLbls>
            <c:dLbl>
              <c:idx val="0"/>
              <c:layout>
                <c:manualLayout>
                  <c:x val="0"/>
                  <c:y val="-2.52525252525253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D50-F14C-8F38-E81A70DA10EA}"/>
                </c:ext>
              </c:extLst>
            </c:dLbl>
            <c:dLbl>
              <c:idx val="1"/>
              <c:layout>
                <c:manualLayout>
                  <c:x val="2.136752136752137E-3"/>
                  <c:y val="-9.760858955588180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D50-F14C-8F38-E81A70DA10EA}"/>
                </c:ext>
              </c:extLst>
            </c:dLbl>
            <c:dLbl>
              <c:idx val="2"/>
              <c:layout>
                <c:manualLayout>
                  <c:x val="0"/>
                  <c:y val="-2.10437710437711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D50-F14C-8F38-E81A70DA10EA}"/>
                </c:ext>
              </c:extLst>
            </c:dLbl>
            <c:dLbl>
              <c:idx val="3"/>
              <c:layout>
                <c:manualLayout>
                  <c:x val="1.5036341611144682E-2"/>
                  <c:y val="-5.520688025270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D50-F14C-8F38-E81A70DA10EA}"/>
                </c:ext>
              </c:extLst>
            </c:dLbl>
            <c:dLbl>
              <c:idx val="4"/>
              <c:layout>
                <c:manualLayout>
                  <c:x val="2.136752136752137E-3"/>
                  <c:y val="-1.95217179111761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D50-F14C-8F38-E81A70DA10E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Sheet1!$I$2:$I$6</c:f>
                <c:numCache>
                  <c:formatCode>General</c:formatCode>
                  <c:ptCount val="5"/>
                  <c:pt idx="0">
                    <c:v>9.1999999999999998E-3</c:v>
                  </c:pt>
                  <c:pt idx="1">
                    <c:v>1.1200000000000002E-2</c:v>
                  </c:pt>
                  <c:pt idx="2">
                    <c:v>1.5399999999999997E-2</c:v>
                  </c:pt>
                  <c:pt idx="3">
                    <c:v>2.8000000000000011E-2</c:v>
                  </c:pt>
                  <c:pt idx="4">
                    <c:v>1.4800000000000001E-2</c:v>
                  </c:pt>
                </c:numCache>
              </c:numRef>
            </c:plus>
            <c:minus>
              <c:numRef>
                <c:f>Sheet1!$I$2:$I$6</c:f>
                <c:numCache>
                  <c:formatCode>General</c:formatCode>
                  <c:ptCount val="5"/>
                  <c:pt idx="0">
                    <c:v>9.1999999999999998E-3</c:v>
                  </c:pt>
                  <c:pt idx="1">
                    <c:v>1.1200000000000002E-2</c:v>
                  </c:pt>
                  <c:pt idx="2">
                    <c:v>1.5399999999999997E-2</c:v>
                  </c:pt>
                  <c:pt idx="3">
                    <c:v>2.8000000000000011E-2</c:v>
                  </c:pt>
                  <c:pt idx="4">
                    <c:v>1.4800000000000001E-2</c:v>
                  </c:pt>
                </c:numCache>
              </c:numRef>
            </c:minus>
            <c:spPr>
              <a:noFill/>
              <a:ln w="9525" cap="flat" cmpd="sng" algn="ctr">
                <a:solidFill>
                  <a:schemeClr val="tx1"/>
                </a:solidFill>
                <a:round/>
              </a:ln>
              <a:effectLst/>
            </c:spPr>
          </c:errBars>
          <c:val>
            <c:numRef>
              <c:f>Sheet1!$F$2:$F$6</c:f>
              <c:numCache>
                <c:formatCode>General</c:formatCode>
                <c:ptCount val="5"/>
                <c:pt idx="0">
                  <c:v>2.5700000000000001E-2</c:v>
                </c:pt>
                <c:pt idx="1">
                  <c:v>6.0999999999999999E-2</c:v>
                </c:pt>
                <c:pt idx="2">
                  <c:v>8.8599999999999998E-2</c:v>
                </c:pt>
                <c:pt idx="3">
                  <c:v>0.13300000000000001</c:v>
                </c:pt>
                <c:pt idx="4">
                  <c:v>5.7599999999999998E-2</c:v>
                </c:pt>
              </c:numCache>
            </c:numRef>
          </c:val>
          <c:extLst>
            <c:ext xmlns:c16="http://schemas.microsoft.com/office/drawing/2014/chart" uri="{C3380CC4-5D6E-409C-BE32-E72D297353CC}">
              <c16:uniqueId val="{00000009-0D50-F14C-8F38-E81A70DA10EA}"/>
            </c:ext>
          </c:extLst>
        </c:ser>
        <c:ser>
          <c:idx val="2"/>
          <c:order val="2"/>
          <c:tx>
            <c:strRef>
              <c:f>Sheet1!$J$1</c:f>
              <c:strCache>
                <c:ptCount val="1"/>
                <c:pt idx="0">
                  <c:v>Never Smokers </c:v>
                </c:pt>
              </c:strCache>
            </c:strRef>
          </c:tx>
          <c:spPr>
            <a:pattFill prst="ltDnDiag">
              <a:fgClr>
                <a:schemeClr val="tx1"/>
              </a:fgClr>
              <a:bgClr>
                <a:schemeClr val="bg1">
                  <a:lumMod val="95000"/>
                </a:schemeClr>
              </a:bgClr>
            </a:pattFill>
            <a:ln>
              <a:solidFill>
                <a:schemeClr val="tx1"/>
              </a:solidFill>
            </a:ln>
            <a:effectLst/>
          </c:spPr>
          <c:invertIfNegative val="0"/>
          <c:dLbls>
            <c:dLbl>
              <c:idx val="0"/>
              <c:layout>
                <c:manualLayout>
                  <c:x val="7.3712337602506216E-3"/>
                  <c:y val="-2.52525252525253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D50-F14C-8F38-E81A70DA10EA}"/>
                </c:ext>
              </c:extLst>
            </c:dLbl>
            <c:dLbl>
              <c:idx val="1"/>
              <c:layout>
                <c:manualLayout>
                  <c:x val="2.136752136752137E-3"/>
                  <c:y val="-4.88042947779413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D50-F14C-8F38-E81A70DA10EA}"/>
                </c:ext>
              </c:extLst>
            </c:dLbl>
            <c:dLbl>
              <c:idx val="2"/>
              <c:layout>
                <c:manualLayout>
                  <c:x val="2.136752136752137E-3"/>
                  <c:y val="-4.88042947779404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D50-F14C-8F38-E81A70DA10EA}"/>
                </c:ext>
              </c:extLst>
            </c:dLbl>
            <c:dLbl>
              <c:idx val="3"/>
              <c:layout>
                <c:manualLayout>
                  <c:x val="3.6856168801251759E-3"/>
                  <c:y val="-1.2626262626262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D50-F14C-8F38-E81A70DA10EA}"/>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Sheet1!$M$2:$M$6</c:f>
                <c:numCache>
                  <c:formatCode>General</c:formatCode>
                  <c:ptCount val="5"/>
                  <c:pt idx="0">
                    <c:v>4.2000000000000006E-3</c:v>
                  </c:pt>
                  <c:pt idx="1">
                    <c:v>7.3999999999999969E-3</c:v>
                  </c:pt>
                  <c:pt idx="2">
                    <c:v>8.2000000000000059E-3</c:v>
                  </c:pt>
                  <c:pt idx="3">
                    <c:v>1.1099999999999999E-2</c:v>
                  </c:pt>
                  <c:pt idx="4">
                    <c:v>4.6000000000000017E-3</c:v>
                  </c:pt>
                </c:numCache>
              </c:numRef>
            </c:plus>
            <c:minus>
              <c:numRef>
                <c:f>Sheet1!$M$2:$M$6</c:f>
                <c:numCache>
                  <c:formatCode>General</c:formatCode>
                  <c:ptCount val="5"/>
                  <c:pt idx="0">
                    <c:v>4.2000000000000006E-3</c:v>
                  </c:pt>
                  <c:pt idx="1">
                    <c:v>7.3999999999999969E-3</c:v>
                  </c:pt>
                  <c:pt idx="2">
                    <c:v>8.2000000000000059E-3</c:v>
                  </c:pt>
                  <c:pt idx="3">
                    <c:v>1.1099999999999999E-2</c:v>
                  </c:pt>
                  <c:pt idx="4">
                    <c:v>4.6000000000000017E-3</c:v>
                  </c:pt>
                </c:numCache>
              </c:numRef>
            </c:minus>
            <c:spPr>
              <a:noFill/>
              <a:ln w="9525" cap="flat" cmpd="sng" algn="ctr">
                <a:solidFill>
                  <a:schemeClr val="tx1"/>
                </a:solidFill>
                <a:round/>
              </a:ln>
              <a:effectLst/>
            </c:spPr>
          </c:errBars>
          <c:val>
            <c:numRef>
              <c:f>Sheet1!$J$2:$J$6</c:f>
              <c:numCache>
                <c:formatCode>General</c:formatCode>
                <c:ptCount val="5"/>
                <c:pt idx="0">
                  <c:v>1.54E-2</c:v>
                </c:pt>
                <c:pt idx="1">
                  <c:v>4.2299999999999997E-2</c:v>
                </c:pt>
                <c:pt idx="2">
                  <c:v>6.0900000000000003E-2</c:v>
                </c:pt>
                <c:pt idx="3">
                  <c:v>9.2600000000000002E-2</c:v>
                </c:pt>
                <c:pt idx="4">
                  <c:v>1.7500000000000002E-2</c:v>
                </c:pt>
              </c:numCache>
            </c:numRef>
          </c:val>
          <c:extLst>
            <c:ext xmlns:c16="http://schemas.microsoft.com/office/drawing/2014/chart" uri="{C3380CC4-5D6E-409C-BE32-E72D297353CC}">
              <c16:uniqueId val="{0000000C-0D50-F14C-8F38-E81A70DA10EA}"/>
            </c:ext>
          </c:extLst>
        </c:ser>
        <c:dLbls>
          <c:showLegendKey val="0"/>
          <c:showVal val="0"/>
          <c:showCatName val="0"/>
          <c:showSerName val="0"/>
          <c:showPercent val="0"/>
          <c:showBubbleSize val="0"/>
        </c:dLbls>
        <c:gapWidth val="219"/>
        <c:overlap val="-27"/>
        <c:axId val="1141249696"/>
        <c:axId val="1141255600"/>
      </c:barChart>
      <c:catAx>
        <c:axId val="114124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41255600"/>
        <c:crosses val="autoZero"/>
        <c:auto val="1"/>
        <c:lblAlgn val="ctr"/>
        <c:lblOffset val="100"/>
        <c:noMultiLvlLbl val="0"/>
      </c:catAx>
      <c:valAx>
        <c:axId val="1141255600"/>
        <c:scaling>
          <c:orientation val="minMax"/>
          <c:max val="0.25"/>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41249696"/>
        <c:crosses val="autoZero"/>
        <c:crossBetween val="between"/>
        <c:majorUnit val="0.1"/>
      </c:valAx>
      <c:spPr>
        <a:noFill/>
        <a:ln>
          <a:noFill/>
        </a:ln>
        <a:effectLst/>
      </c:spPr>
    </c:plotArea>
    <c:legend>
      <c:legendPos val="r"/>
      <c:layout>
        <c:manualLayout>
          <c:xMode val="edge"/>
          <c:yMode val="edge"/>
          <c:x val="0.79425533346793187"/>
          <c:y val="0.22793719233119286"/>
          <c:w val="0.18807025928117366"/>
          <c:h val="0.21306967310904318"/>
        </c:manualLayout>
      </c:layout>
      <c:overlay val="0"/>
      <c:spPr>
        <a:noFill/>
        <a:ln>
          <a:solidFill>
            <a:schemeClr val="tx1"/>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0" baseline="0">
                <a:solidFill>
                  <a:sysClr val="windowText" lastClr="000000"/>
                </a:solidFill>
                <a:effectLst/>
              </a:rPr>
              <a:t>Figure 12. Age-Adjusted Prevalence Rates* of Selected Health Conditions </a:t>
            </a:r>
          </a:p>
          <a:p>
            <a:pPr>
              <a:defRPr sz="1200"/>
            </a:pPr>
            <a:r>
              <a:rPr lang="en-US" sz="1200" b="1" i="0" baseline="0">
                <a:solidFill>
                  <a:sysClr val="windowText" lastClr="000000"/>
                </a:solidFill>
                <a:effectLst/>
              </a:rPr>
              <a:t>by Smoking Status (2017-2019 estimates)</a:t>
            </a:r>
            <a:endParaRPr lang="en-US" sz="1200">
              <a:solidFill>
                <a:sysClr val="windowText" lastClr="000000"/>
              </a:solidFill>
              <a:effectLst/>
            </a:endParaRPr>
          </a:p>
        </c:rich>
      </c:tx>
      <c:layout>
        <c:manualLayout>
          <c:xMode val="edge"/>
          <c:yMode val="edge"/>
          <c:x val="0.11163705498351167"/>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3504309931488598E-2"/>
          <c:y val="0.14679313620183046"/>
          <c:w val="0.78871623299611748"/>
          <c:h val="0.65235170011865762"/>
        </c:manualLayout>
      </c:layout>
      <c:barChart>
        <c:barDir val="col"/>
        <c:grouping val="clustered"/>
        <c:varyColors val="0"/>
        <c:ser>
          <c:idx val="2"/>
          <c:order val="0"/>
          <c:tx>
            <c:v>Current Smokers (POC)</c:v>
          </c:tx>
          <c:spPr>
            <a:solidFill>
              <a:schemeClr val="accent1">
                <a:lumMod val="75000"/>
              </a:schemeClr>
            </a:solidFill>
            <a:ln>
              <a:noFill/>
            </a:ln>
            <a:effectLst/>
          </c:spPr>
          <c:invertIfNegative val="0"/>
          <c:dLbls>
            <c:dLbl>
              <c:idx val="0"/>
              <c:layout>
                <c:manualLayout>
                  <c:x val="-1.7815784785319793E-3"/>
                  <c:y val="-0.1287368621019861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94-0E49-B1BC-753CC41F4352}"/>
                </c:ext>
              </c:extLst>
            </c:dLbl>
            <c:dLbl>
              <c:idx val="1"/>
              <c:layout>
                <c:manualLayout>
                  <c:x val="-4.246284501061571E-3"/>
                  <c:y val="-0.105973025048169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94-0E49-B1BC-753CC41F4352}"/>
                </c:ext>
              </c:extLst>
            </c:dLbl>
            <c:dLbl>
              <c:idx val="2"/>
              <c:layout>
                <c:manualLayout>
                  <c:x val="2.1231422505307855E-3"/>
                  <c:y val="-8.1888246628131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94-0E49-B1BC-753CC41F4352}"/>
                </c:ext>
              </c:extLst>
            </c:dLbl>
            <c:dLbl>
              <c:idx val="3"/>
              <c:layout>
                <c:manualLayout>
                  <c:x val="-2.1231422505307855E-3"/>
                  <c:y val="-7.70712909441233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94-0E49-B1BC-753CC41F4352}"/>
                </c:ext>
              </c:extLst>
            </c:dLbl>
            <c:dLbl>
              <c:idx val="4"/>
              <c:layout>
                <c:manualLayout>
                  <c:x val="-2.1231422505307855E-3"/>
                  <c:y val="-0.115606936416185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94-0E49-B1BC-753CC41F435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Sheet1!$E$23:$E$27</c:f>
                <c:numCache>
                  <c:formatCode>General</c:formatCode>
                  <c:ptCount val="5"/>
                  <c:pt idx="0">
                    <c:v>4.2999999999999997E-2</c:v>
                  </c:pt>
                  <c:pt idx="1">
                    <c:v>3.7500000000000006E-2</c:v>
                  </c:pt>
                  <c:pt idx="2">
                    <c:v>2.5399999999999999E-2</c:v>
                  </c:pt>
                  <c:pt idx="3">
                    <c:v>3.1499999999999993E-2</c:v>
                  </c:pt>
                  <c:pt idx="4">
                    <c:v>3.9999999999999994E-2</c:v>
                  </c:pt>
                </c:numCache>
              </c:numRef>
            </c:plus>
            <c:minus>
              <c:numRef>
                <c:f>Sheet1!$E$23:$E$27</c:f>
                <c:numCache>
                  <c:formatCode>General</c:formatCode>
                  <c:ptCount val="5"/>
                  <c:pt idx="0">
                    <c:v>4.2999999999999997E-2</c:v>
                  </c:pt>
                  <c:pt idx="1">
                    <c:v>3.7500000000000006E-2</c:v>
                  </c:pt>
                  <c:pt idx="2">
                    <c:v>2.5399999999999999E-2</c:v>
                  </c:pt>
                  <c:pt idx="3">
                    <c:v>3.1499999999999993E-2</c:v>
                  </c:pt>
                  <c:pt idx="4">
                    <c:v>3.9999999999999994E-2</c:v>
                  </c:pt>
                </c:numCache>
              </c:numRef>
            </c:minus>
            <c:spPr>
              <a:noFill/>
              <a:ln w="9525" cap="flat" cmpd="sng" algn="ctr">
                <a:solidFill>
                  <a:schemeClr val="tx1"/>
                </a:solidFill>
                <a:round/>
              </a:ln>
              <a:effectLst/>
            </c:spPr>
          </c:errBars>
          <c:val>
            <c:numRef>
              <c:f>Sheet1!$B$23:$B$27</c:f>
              <c:numCache>
                <c:formatCode>General</c:formatCode>
                <c:ptCount val="5"/>
                <c:pt idx="0">
                  <c:v>0.14599999999999999</c:v>
                </c:pt>
                <c:pt idx="1">
                  <c:v>0.11700000000000001</c:v>
                </c:pt>
                <c:pt idx="2">
                  <c:v>4.7500000000000001E-2</c:v>
                </c:pt>
                <c:pt idx="3">
                  <c:v>7.8799999999999995E-2</c:v>
                </c:pt>
                <c:pt idx="4">
                  <c:v>0.14399999999999999</c:v>
                </c:pt>
              </c:numCache>
            </c:numRef>
          </c:val>
          <c:extLst>
            <c:ext xmlns:c16="http://schemas.microsoft.com/office/drawing/2014/chart" uri="{C3380CC4-5D6E-409C-BE32-E72D297353CC}">
              <c16:uniqueId val="{00000005-1894-0E49-B1BC-753CC41F4352}"/>
            </c:ext>
          </c:extLst>
        </c:ser>
        <c:ser>
          <c:idx val="3"/>
          <c:order val="1"/>
          <c:tx>
            <c:v>Former Smokers (POC)</c:v>
          </c:tx>
          <c:spPr>
            <a:solidFill>
              <a:schemeClr val="accent3"/>
            </a:solidFill>
            <a:ln>
              <a:noFill/>
            </a:ln>
            <a:effectLst/>
          </c:spPr>
          <c:invertIfNegative val="0"/>
          <c:dLbls>
            <c:dLbl>
              <c:idx val="0"/>
              <c:layout>
                <c:manualLayout>
                  <c:x val="6.8317221972053063E-4"/>
                  <c:y val="-0.101155967025539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894-0E49-B1BC-753CC41F4352}"/>
                </c:ext>
              </c:extLst>
            </c:dLbl>
            <c:dLbl>
              <c:idx val="1"/>
              <c:layout>
                <c:manualLayout>
                  <c:x val="0"/>
                  <c:y val="-8.1888246628131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894-0E49-B1BC-753CC41F4352}"/>
                </c:ext>
              </c:extLst>
            </c:dLbl>
            <c:dLbl>
              <c:idx val="2"/>
              <c:layout>
                <c:manualLayout>
                  <c:x val="4.246284501061493E-3"/>
                  <c:y val="-5.7803468208092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894-0E49-B1BC-753CC41F4352}"/>
                </c:ext>
              </c:extLst>
            </c:dLbl>
            <c:dLbl>
              <c:idx val="3"/>
              <c:layout>
                <c:manualLayout>
                  <c:x val="-6.5323789586847637E-17"/>
                  <c:y val="-9.36970397164165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894-0E49-B1BC-753CC41F4352}"/>
                </c:ext>
              </c:extLst>
            </c:dLbl>
            <c:dLbl>
              <c:idx val="4"/>
              <c:layout>
                <c:manualLayout>
                  <c:x val="0"/>
                  <c:y val="-7.2254335260115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94-0E49-B1BC-753CC41F435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Sheet1!$I$23:$I$27</c:f>
                <c:numCache>
                  <c:formatCode>General</c:formatCode>
                  <c:ptCount val="5"/>
                  <c:pt idx="0">
                    <c:v>3.7000000000000005E-2</c:v>
                  </c:pt>
                  <c:pt idx="1">
                    <c:v>2.5300000000000003E-2</c:v>
                  </c:pt>
                  <c:pt idx="2">
                    <c:v>2.3600000000000003E-2</c:v>
                  </c:pt>
                  <c:pt idx="3">
                    <c:v>3.1799999999999995E-2</c:v>
                  </c:pt>
                  <c:pt idx="4">
                    <c:v>3.1000000000000014E-2</c:v>
                  </c:pt>
                </c:numCache>
              </c:numRef>
            </c:plus>
            <c:minus>
              <c:numRef>
                <c:f>Sheet1!$I$23:$I$27</c:f>
                <c:numCache>
                  <c:formatCode>General</c:formatCode>
                  <c:ptCount val="5"/>
                  <c:pt idx="0">
                    <c:v>3.7000000000000005E-2</c:v>
                  </c:pt>
                  <c:pt idx="1">
                    <c:v>2.5300000000000003E-2</c:v>
                  </c:pt>
                  <c:pt idx="2">
                    <c:v>2.3600000000000003E-2</c:v>
                  </c:pt>
                  <c:pt idx="3">
                    <c:v>3.1799999999999995E-2</c:v>
                  </c:pt>
                  <c:pt idx="4">
                    <c:v>3.1000000000000014E-2</c:v>
                  </c:pt>
                </c:numCache>
              </c:numRef>
            </c:minus>
            <c:spPr>
              <a:noFill/>
              <a:ln w="9525" cap="flat" cmpd="sng" algn="ctr">
                <a:solidFill>
                  <a:schemeClr val="tx1"/>
                </a:solidFill>
                <a:round/>
              </a:ln>
              <a:effectLst/>
            </c:spPr>
          </c:errBars>
          <c:val>
            <c:numRef>
              <c:f>Sheet1!$F$23:$F$27</c:f>
              <c:numCache>
                <c:formatCode>General</c:formatCode>
                <c:ptCount val="5"/>
                <c:pt idx="0">
                  <c:v>0.13800000000000001</c:v>
                </c:pt>
                <c:pt idx="1">
                  <c:v>6.1400000000000003E-2</c:v>
                </c:pt>
                <c:pt idx="2">
                  <c:v>4.6600000000000003E-2</c:v>
                </c:pt>
                <c:pt idx="3">
                  <c:v>0.10299999999999999</c:v>
                </c:pt>
                <c:pt idx="4">
                  <c:v>0.13800000000000001</c:v>
                </c:pt>
              </c:numCache>
            </c:numRef>
          </c:val>
          <c:extLst>
            <c:ext xmlns:c16="http://schemas.microsoft.com/office/drawing/2014/chart" uri="{C3380CC4-5D6E-409C-BE32-E72D297353CC}">
              <c16:uniqueId val="{0000000B-1894-0E49-B1BC-753CC41F4352}"/>
            </c:ext>
          </c:extLst>
        </c:ser>
        <c:ser>
          <c:idx val="0"/>
          <c:order val="2"/>
          <c:tx>
            <c:v>Current Smokers (White)</c:v>
          </c:tx>
          <c:spPr>
            <a:pattFill prst="wdUpDiag">
              <a:fgClr>
                <a:schemeClr val="tx1"/>
              </a:fgClr>
              <a:bgClr>
                <a:schemeClr val="accent1">
                  <a:lumMod val="75000"/>
                </a:schemeClr>
              </a:bgClr>
            </a:pattFill>
            <a:ln>
              <a:noFill/>
            </a:ln>
            <a:effectLst/>
          </c:spPr>
          <c:invertIfNegative val="0"/>
          <c:dLbls>
            <c:dLbl>
              <c:idx val="0"/>
              <c:layout>
                <c:manualLayout>
                  <c:x val="2.1231645883922445E-3"/>
                  <c:y val="-6.78643751510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894-0E49-B1BC-753CC41F4352}"/>
                </c:ext>
              </c:extLst>
            </c:dLbl>
            <c:dLbl>
              <c:idx val="1"/>
              <c:layout>
                <c:manualLayout>
                  <c:x val="2.1231422505307465E-3"/>
                  <c:y val="-5.29865125240848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894-0E49-B1BC-753CC41F4352}"/>
                </c:ext>
              </c:extLst>
            </c:dLbl>
            <c:dLbl>
              <c:idx val="2"/>
              <c:layout>
                <c:manualLayout>
                  <c:x val="2.1231422505307079E-3"/>
                  <c:y val="-1.9267822736030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894-0E49-B1BC-753CC41F4352}"/>
                </c:ext>
              </c:extLst>
            </c:dLbl>
            <c:dLbl>
              <c:idx val="3"/>
              <c:layout>
                <c:manualLayout>
                  <c:x val="5.3447354355958725E-3"/>
                  <c:y val="-3.7428002445041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894-0E49-B1BC-753CC41F4352}"/>
                </c:ext>
              </c:extLst>
            </c:dLbl>
            <c:dLbl>
              <c:idx val="4"/>
              <c:layout>
                <c:manualLayout>
                  <c:x val="-7.7847649883434352E-17"/>
                  <c:y val="-4.3352601156069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894-0E49-B1BC-753CC41F435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Sheet1!$E$15:$E$19</c:f>
                <c:numCache>
                  <c:formatCode>General</c:formatCode>
                  <c:ptCount val="5"/>
                  <c:pt idx="0">
                    <c:v>2.4999999999999981E-2</c:v>
                  </c:pt>
                  <c:pt idx="1">
                    <c:v>2.1000000000000019E-2</c:v>
                  </c:pt>
                  <c:pt idx="2">
                    <c:v>1.1300000000000004E-2</c:v>
                  </c:pt>
                  <c:pt idx="3">
                    <c:v>1.5500000000000007E-2</c:v>
                  </c:pt>
                  <c:pt idx="4">
                    <c:v>1.4999999999999999E-2</c:v>
                  </c:pt>
                </c:numCache>
              </c:numRef>
            </c:plus>
            <c:minus>
              <c:numRef>
                <c:f>Sheet1!$E$15:$E$19</c:f>
                <c:numCache>
                  <c:formatCode>General</c:formatCode>
                  <c:ptCount val="5"/>
                  <c:pt idx="0">
                    <c:v>2.4999999999999981E-2</c:v>
                  </c:pt>
                  <c:pt idx="1">
                    <c:v>2.1000000000000019E-2</c:v>
                  </c:pt>
                  <c:pt idx="2">
                    <c:v>1.1300000000000004E-2</c:v>
                  </c:pt>
                  <c:pt idx="3">
                    <c:v>1.5500000000000007E-2</c:v>
                  </c:pt>
                  <c:pt idx="4">
                    <c:v>1.4999999999999999E-2</c:v>
                  </c:pt>
                </c:numCache>
              </c:numRef>
            </c:minus>
            <c:spPr>
              <a:noFill/>
              <a:ln w="9525" cap="flat" cmpd="sng" algn="ctr">
                <a:solidFill>
                  <a:schemeClr val="tx1"/>
                </a:solidFill>
                <a:round/>
              </a:ln>
              <a:effectLst/>
            </c:spPr>
          </c:errBars>
          <c:cat>
            <c:strRef>
              <c:f>Sheet1!$A$15:$A$19</c:f>
              <c:strCache>
                <c:ptCount val="5"/>
                <c:pt idx="0">
                  <c:v>Current Asthma</c:v>
                </c:pt>
                <c:pt idx="1">
                  <c:v>COPD</c:v>
                </c:pt>
                <c:pt idx="2">
                  <c:v>Stroke</c:v>
                </c:pt>
                <c:pt idx="3">
                  <c:v>Heart Attack or Angina</c:v>
                </c:pt>
                <c:pt idx="4">
                  <c:v>Diabetes</c:v>
                </c:pt>
              </c:strCache>
            </c:strRef>
          </c:cat>
          <c:val>
            <c:numRef>
              <c:f>Sheet1!$B$15:$B$19</c:f>
              <c:numCache>
                <c:formatCode>General</c:formatCode>
                <c:ptCount val="5"/>
                <c:pt idx="0">
                  <c:v>0.14099999999999999</c:v>
                </c:pt>
                <c:pt idx="1">
                  <c:v>0.13900000000000001</c:v>
                </c:pt>
                <c:pt idx="2">
                  <c:v>3.6200000000000003E-2</c:v>
                </c:pt>
                <c:pt idx="3">
                  <c:v>7.2400000000000006E-2</c:v>
                </c:pt>
                <c:pt idx="4">
                  <c:v>6.5000000000000002E-2</c:v>
                </c:pt>
              </c:numCache>
            </c:numRef>
          </c:val>
          <c:extLst>
            <c:ext xmlns:c16="http://schemas.microsoft.com/office/drawing/2014/chart" uri="{C3380CC4-5D6E-409C-BE32-E72D297353CC}">
              <c16:uniqueId val="{00000011-1894-0E49-B1BC-753CC41F4352}"/>
            </c:ext>
          </c:extLst>
        </c:ser>
        <c:ser>
          <c:idx val="1"/>
          <c:order val="3"/>
          <c:tx>
            <c:v>Former Smokers (White)</c:v>
          </c:tx>
          <c:spPr>
            <a:pattFill prst="zigZag">
              <a:fgClr>
                <a:schemeClr val="tx1"/>
              </a:fgClr>
              <a:bgClr>
                <a:schemeClr val="accent3"/>
              </a:bgClr>
            </a:pattFill>
            <a:ln>
              <a:noFill/>
            </a:ln>
            <a:effectLst/>
          </c:spPr>
          <c:invertIfNegative val="0"/>
          <c:dLbls>
            <c:dLbl>
              <c:idx val="0"/>
              <c:layout>
                <c:manualLayout>
                  <c:x val="0"/>
                  <c:y val="-4.3352601156069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894-0E49-B1BC-753CC41F4352}"/>
                </c:ext>
              </c:extLst>
            </c:dLbl>
            <c:dLbl>
              <c:idx val="1"/>
              <c:layout>
                <c:manualLayout>
                  <c:x val="-3.8923824941717176E-17"/>
                  <c:y val="-2.89017341040462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894-0E49-B1BC-753CC41F4352}"/>
                </c:ext>
              </c:extLst>
            </c:dLbl>
            <c:dLbl>
              <c:idx val="4"/>
              <c:layout>
                <c:manualLayout>
                  <c:x val="0"/>
                  <c:y val="-4.3352601156069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894-0E49-B1BC-753CC41F435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Sheet1!$I$15:$I$19</c:f>
                <c:numCache>
                  <c:formatCode>General</c:formatCode>
                  <c:ptCount val="5"/>
                  <c:pt idx="0">
                    <c:v>2.0599999999999993E-2</c:v>
                  </c:pt>
                  <c:pt idx="1">
                    <c:v>9.7000000000000003E-3</c:v>
                  </c:pt>
                  <c:pt idx="2">
                    <c:v>5.7999999999999996E-3</c:v>
                  </c:pt>
                  <c:pt idx="3">
                    <c:v>8.0000000000000002E-3</c:v>
                  </c:pt>
                  <c:pt idx="4">
                    <c:v>1.3200000000000003E-2</c:v>
                  </c:pt>
                </c:numCache>
              </c:numRef>
            </c:plus>
            <c:minus>
              <c:numRef>
                <c:f>Sheet1!$I$15:$I$19</c:f>
                <c:numCache>
                  <c:formatCode>General</c:formatCode>
                  <c:ptCount val="5"/>
                  <c:pt idx="0">
                    <c:v>2.0599999999999993E-2</c:v>
                  </c:pt>
                  <c:pt idx="1">
                    <c:v>9.7000000000000003E-3</c:v>
                  </c:pt>
                  <c:pt idx="2">
                    <c:v>5.7999999999999996E-3</c:v>
                  </c:pt>
                  <c:pt idx="3">
                    <c:v>8.0000000000000002E-3</c:v>
                  </c:pt>
                  <c:pt idx="4">
                    <c:v>1.3200000000000003E-2</c:v>
                  </c:pt>
                </c:numCache>
              </c:numRef>
            </c:minus>
            <c:spPr>
              <a:noFill/>
              <a:ln w="9525" cap="flat" cmpd="sng" algn="ctr">
                <a:solidFill>
                  <a:schemeClr val="tx1"/>
                </a:solidFill>
                <a:round/>
              </a:ln>
              <a:effectLst/>
            </c:spPr>
          </c:errBars>
          <c:val>
            <c:numRef>
              <c:f>Sheet1!$F$15:$F$19</c:f>
              <c:numCache>
                <c:formatCode>General</c:formatCode>
                <c:ptCount val="5"/>
                <c:pt idx="0">
                  <c:v>0.11899999999999999</c:v>
                </c:pt>
                <c:pt idx="1">
                  <c:v>5.8200000000000002E-2</c:v>
                </c:pt>
                <c:pt idx="2">
                  <c:v>2.4299999999999999E-2</c:v>
                </c:pt>
                <c:pt idx="3">
                  <c:v>5.8000000000000003E-2</c:v>
                </c:pt>
                <c:pt idx="4">
                  <c:v>8.3000000000000004E-2</c:v>
                </c:pt>
              </c:numCache>
            </c:numRef>
          </c:val>
          <c:extLst>
            <c:ext xmlns:c16="http://schemas.microsoft.com/office/drawing/2014/chart" uri="{C3380CC4-5D6E-409C-BE32-E72D297353CC}">
              <c16:uniqueId val="{00000015-1894-0E49-B1BC-753CC41F4352}"/>
            </c:ext>
          </c:extLst>
        </c:ser>
        <c:dLbls>
          <c:showLegendKey val="0"/>
          <c:showVal val="0"/>
          <c:showCatName val="0"/>
          <c:showSerName val="0"/>
          <c:showPercent val="0"/>
          <c:showBubbleSize val="0"/>
        </c:dLbls>
        <c:gapWidth val="66"/>
        <c:overlap val="-27"/>
        <c:axId val="2106902240"/>
        <c:axId val="2106903224"/>
      </c:barChart>
      <c:catAx>
        <c:axId val="21069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06903224"/>
        <c:crosses val="autoZero"/>
        <c:auto val="1"/>
        <c:lblAlgn val="ctr"/>
        <c:lblOffset val="100"/>
        <c:noMultiLvlLbl val="0"/>
      </c:catAx>
      <c:valAx>
        <c:axId val="2106903224"/>
        <c:scaling>
          <c:orientation val="minMax"/>
          <c:max val="0.25"/>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06902240"/>
        <c:crosses val="autoZero"/>
        <c:crossBetween val="between"/>
        <c:majorUnit val="5.000000000000001E-2"/>
      </c:valAx>
      <c:spPr>
        <a:noFill/>
        <a:ln>
          <a:noFill/>
        </a:ln>
        <a:effectLst/>
      </c:spPr>
    </c:plotArea>
    <c:legend>
      <c:legendPos val="r"/>
      <c:layout>
        <c:manualLayout>
          <c:xMode val="edge"/>
          <c:yMode val="edge"/>
          <c:x val="0.81307511173365221"/>
          <c:y val="0.12254347575211498"/>
          <c:w val="0.17859762689443148"/>
          <c:h val="0.33033670960239325"/>
        </c:manualLayout>
      </c:layout>
      <c:overlay val="0"/>
      <c:spPr>
        <a:noFill/>
        <a:ln>
          <a:solidFill>
            <a:sysClr val="windowText" lastClr="000000"/>
          </a:solid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b="1" dirty="0">
                <a:solidFill>
                  <a:sysClr val="windowText" lastClr="000000"/>
                </a:solidFill>
              </a:rPr>
              <a:t>Figure 13. Adults Living in Multi-Unit Housing, 2019</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6.357442157290738E-2"/>
          <c:y val="0.20481742174027792"/>
          <c:w val="0.92048973792329647"/>
          <c:h val="0.59308411299749431"/>
        </c:manualLayout>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2"/>
              </a:solidFill>
              <a:ln>
                <a:solidFill>
                  <a:schemeClr val="tx1"/>
                </a:solidFill>
              </a:ln>
              <a:effectLst/>
            </c:spPr>
            <c:extLst>
              <c:ext xmlns:c16="http://schemas.microsoft.com/office/drawing/2014/chart" uri="{C3380CC4-5D6E-409C-BE32-E72D297353CC}">
                <c16:uniqueId val="{00000001-76B8-E64B-8D8C-A8D8F90ABB00}"/>
              </c:ext>
            </c:extLst>
          </c:dPt>
          <c:dPt>
            <c:idx val="8"/>
            <c:invertIfNegative val="0"/>
            <c:bubble3D val="0"/>
            <c:spPr>
              <a:solidFill>
                <a:schemeClr val="accent1"/>
              </a:solidFill>
              <a:ln>
                <a:solidFill>
                  <a:schemeClr val="tx1"/>
                </a:solidFill>
              </a:ln>
              <a:effectLst/>
            </c:spPr>
            <c:extLst>
              <c:ext xmlns:c16="http://schemas.microsoft.com/office/drawing/2014/chart" uri="{C3380CC4-5D6E-409C-BE32-E72D297353CC}">
                <c16:uniqueId val="{00000003-76B8-E64B-8D8C-A8D8F90ABB00}"/>
              </c:ext>
            </c:extLst>
          </c:dPt>
          <c:dPt>
            <c:idx val="9"/>
            <c:invertIfNegative val="0"/>
            <c:bubble3D val="0"/>
            <c:spPr>
              <a:solidFill>
                <a:schemeClr val="bg1">
                  <a:lumMod val="65000"/>
                </a:schemeClr>
              </a:solidFill>
              <a:ln>
                <a:solidFill>
                  <a:schemeClr val="tx1"/>
                </a:solidFill>
              </a:ln>
              <a:effectLst/>
            </c:spPr>
            <c:extLst>
              <c:ext xmlns:c16="http://schemas.microsoft.com/office/drawing/2014/chart" uri="{C3380CC4-5D6E-409C-BE32-E72D297353CC}">
                <c16:uniqueId val="{00000005-76B8-E64B-8D8C-A8D8F90ABB00}"/>
              </c:ext>
            </c:extLst>
          </c:dPt>
          <c:dPt>
            <c:idx val="10"/>
            <c:invertIfNegative val="0"/>
            <c:bubble3D val="0"/>
            <c:spPr>
              <a:solidFill>
                <a:schemeClr val="bg1">
                  <a:lumMod val="65000"/>
                </a:schemeClr>
              </a:solidFill>
              <a:ln>
                <a:solidFill>
                  <a:schemeClr val="tx1"/>
                </a:solidFill>
              </a:ln>
              <a:effectLst/>
            </c:spPr>
            <c:extLst>
              <c:ext xmlns:c16="http://schemas.microsoft.com/office/drawing/2014/chart" uri="{C3380CC4-5D6E-409C-BE32-E72D297353CC}">
                <c16:uniqueId val="{00000007-76B8-E64B-8D8C-A8D8F90ABB00}"/>
              </c:ext>
            </c:extLst>
          </c:dPt>
          <c:dPt>
            <c:idx val="11"/>
            <c:invertIfNegative val="0"/>
            <c:bubble3D val="0"/>
            <c:spPr>
              <a:solidFill>
                <a:schemeClr val="bg1">
                  <a:lumMod val="65000"/>
                </a:schemeClr>
              </a:solidFill>
              <a:ln>
                <a:solidFill>
                  <a:schemeClr val="tx1"/>
                </a:solidFill>
              </a:ln>
              <a:effectLst/>
            </c:spPr>
            <c:extLst>
              <c:ext xmlns:c16="http://schemas.microsoft.com/office/drawing/2014/chart" uri="{C3380CC4-5D6E-409C-BE32-E72D297353CC}">
                <c16:uniqueId val="{00000009-76B8-E64B-8D8C-A8D8F90ABB00}"/>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Sheet6!$M$9:$M$20</c:f>
                <c:numCache>
                  <c:formatCode>General</c:formatCode>
                  <c:ptCount val="12"/>
                  <c:pt idx="0">
                    <c:v>2.0000000000000018E-2</c:v>
                  </c:pt>
                  <c:pt idx="1">
                    <c:v>7.1202050000000017E-2</c:v>
                  </c:pt>
                  <c:pt idx="2">
                    <c:v>5.9176050000000036E-2</c:v>
                  </c:pt>
                  <c:pt idx="3">
                    <c:v>9.5861340000000017E-2</c:v>
                  </c:pt>
                  <c:pt idx="4">
                    <c:v>7.2619600000000062E-2</c:v>
                  </c:pt>
                  <c:pt idx="5">
                    <c:v>8.9236749999999976E-2</c:v>
                  </c:pt>
                  <c:pt idx="6">
                    <c:v>8.7998789999999993E-2</c:v>
                  </c:pt>
                  <c:pt idx="7">
                    <c:v>6.978319999999999E-2</c:v>
                  </c:pt>
                  <c:pt idx="8">
                    <c:v>4.25064E-2</c:v>
                  </c:pt>
                  <c:pt idx="9">
                    <c:v>2.398923E-2</c:v>
                  </c:pt>
                  <c:pt idx="10">
                    <c:v>2.5421479999999996E-2</c:v>
                  </c:pt>
                  <c:pt idx="11">
                    <c:v>1.9754490000000013E-2</c:v>
                  </c:pt>
                </c:numCache>
              </c:numRef>
            </c:plus>
            <c:minus>
              <c:numRef>
                <c:f>Sheet6!$M$9:$M$20</c:f>
                <c:numCache>
                  <c:formatCode>General</c:formatCode>
                  <c:ptCount val="12"/>
                  <c:pt idx="0">
                    <c:v>2.0000000000000018E-2</c:v>
                  </c:pt>
                  <c:pt idx="1">
                    <c:v>7.1202050000000017E-2</c:v>
                  </c:pt>
                  <c:pt idx="2">
                    <c:v>5.9176050000000036E-2</c:v>
                  </c:pt>
                  <c:pt idx="3">
                    <c:v>9.5861340000000017E-2</c:v>
                  </c:pt>
                  <c:pt idx="4">
                    <c:v>7.2619600000000062E-2</c:v>
                  </c:pt>
                  <c:pt idx="5">
                    <c:v>8.9236749999999976E-2</c:v>
                  </c:pt>
                  <c:pt idx="6">
                    <c:v>8.7998789999999993E-2</c:v>
                  </c:pt>
                  <c:pt idx="7">
                    <c:v>6.978319999999999E-2</c:v>
                  </c:pt>
                  <c:pt idx="8">
                    <c:v>4.25064E-2</c:v>
                  </c:pt>
                  <c:pt idx="9">
                    <c:v>2.398923E-2</c:v>
                  </c:pt>
                  <c:pt idx="10">
                    <c:v>2.5421479999999996E-2</c:v>
                  </c:pt>
                  <c:pt idx="11">
                    <c:v>1.9754490000000013E-2</c:v>
                  </c:pt>
                </c:numCache>
              </c:numRef>
            </c:minus>
            <c:spPr>
              <a:noFill/>
              <a:ln w="9525" cap="flat" cmpd="sng" algn="ctr">
                <a:solidFill>
                  <a:schemeClr val="tx1"/>
                </a:solidFill>
                <a:round/>
              </a:ln>
              <a:effectLst/>
            </c:spPr>
          </c:errBars>
          <c:cat>
            <c:strRef>
              <c:f>Sheet6!$I$9:$I$20</c:f>
              <c:strCache>
                <c:ptCount val="12"/>
                <c:pt idx="0">
                  <c:v>MA Adults</c:v>
                </c:pt>
                <c:pt idx="1">
                  <c:v>Hispanic</c:v>
                </c:pt>
                <c:pt idx="2">
                  <c:v>Less than 25K Income</c:v>
                </c:pt>
                <c:pt idx="3">
                  <c:v>Less than high school</c:v>
                </c:pt>
                <c:pt idx="4">
                  <c:v>MassHealth</c:v>
                </c:pt>
                <c:pt idx="5">
                  <c:v>Black</c:v>
                </c:pt>
                <c:pt idx="6">
                  <c:v>LGBT</c:v>
                </c:pt>
                <c:pt idx="7">
                  <c:v>Poor mental health</c:v>
                </c:pt>
                <c:pt idx="8">
                  <c:v>Disability</c:v>
                </c:pt>
                <c:pt idx="9">
                  <c:v>College Grad</c:v>
                </c:pt>
                <c:pt idx="10">
                  <c:v>Private Insurance</c:v>
                </c:pt>
                <c:pt idx="11">
                  <c:v>White</c:v>
                </c:pt>
              </c:strCache>
            </c:strRef>
          </c:cat>
          <c:val>
            <c:numRef>
              <c:f>Sheet6!$J$9:$J$20</c:f>
              <c:numCache>
                <c:formatCode>General</c:formatCode>
                <c:ptCount val="12"/>
                <c:pt idx="0">
                  <c:v>0.317</c:v>
                </c:pt>
                <c:pt idx="1">
                  <c:v>0.64143300000000003</c:v>
                </c:pt>
                <c:pt idx="2">
                  <c:v>0.61751500000000004</c:v>
                </c:pt>
                <c:pt idx="3">
                  <c:v>0.59231800000000001</c:v>
                </c:pt>
                <c:pt idx="4">
                  <c:v>0.53662200000000004</c:v>
                </c:pt>
                <c:pt idx="5">
                  <c:v>0.497782</c:v>
                </c:pt>
                <c:pt idx="6">
                  <c:v>0.483769</c:v>
                </c:pt>
                <c:pt idx="7">
                  <c:v>0.46020299999999997</c:v>
                </c:pt>
                <c:pt idx="8">
                  <c:v>0.43017100000000003</c:v>
                </c:pt>
                <c:pt idx="9">
                  <c:v>0.24610299999999999</c:v>
                </c:pt>
                <c:pt idx="10">
                  <c:v>0.24018</c:v>
                </c:pt>
                <c:pt idx="11">
                  <c:v>0.23996300000000001</c:v>
                </c:pt>
              </c:numCache>
            </c:numRef>
          </c:val>
          <c:extLst>
            <c:ext xmlns:c16="http://schemas.microsoft.com/office/drawing/2014/chart" uri="{C3380CC4-5D6E-409C-BE32-E72D297353CC}">
              <c16:uniqueId val="{0000000A-76B8-E64B-8D8C-A8D8F90ABB00}"/>
            </c:ext>
          </c:extLst>
        </c:ser>
        <c:dLbls>
          <c:showLegendKey val="0"/>
          <c:showVal val="0"/>
          <c:showCatName val="0"/>
          <c:showSerName val="0"/>
          <c:showPercent val="0"/>
          <c:showBubbleSize val="0"/>
        </c:dLbls>
        <c:gapWidth val="66"/>
        <c:overlap val="-27"/>
        <c:axId val="2093927080"/>
        <c:axId val="2093921176"/>
      </c:barChart>
      <c:catAx>
        <c:axId val="2093927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crossAx val="2093921176"/>
        <c:crosses val="autoZero"/>
        <c:auto val="1"/>
        <c:lblAlgn val="ctr"/>
        <c:lblOffset val="100"/>
        <c:noMultiLvlLbl val="0"/>
      </c:catAx>
      <c:valAx>
        <c:axId val="209392117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927080"/>
        <c:crosses val="autoZero"/>
        <c:crossBetween val="between"/>
        <c:majorUnit val="0.2"/>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7.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8.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9.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0.54186</cdr:x>
      <cdr:y>0.83874</cdr:y>
    </cdr:from>
    <cdr:to>
      <cdr:x>0.8054</cdr:x>
      <cdr:y>0.94309</cdr:y>
    </cdr:to>
    <cdr:sp macro="" textlink="">
      <cdr:nvSpPr>
        <cdr:cNvPr id="2" name="Text Box 4"/>
        <cdr:cNvSpPr txBox="1">
          <a:spLocks xmlns:a="http://schemas.openxmlformats.org/drawingml/2006/main" noChangeArrowheads="1"/>
        </cdr:cNvSpPr>
      </cdr:nvSpPr>
      <cdr:spPr bwMode="auto">
        <a:xfrm xmlns:a="http://schemas.openxmlformats.org/drawingml/2006/main">
          <a:off x="3586015" y="2765795"/>
          <a:ext cx="1744078" cy="344100"/>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cdr:spPr>
      <cdr:txBody>
        <a:bodyPr xmlns:a="http://schemas.openxmlformats.org/drawingml/2006/main" rot="0" vert="horz" wrap="square" lIns="0" tIns="45720" rIns="0" bIns="0" anchor="t" anchorCtr="0" upright="1">
          <a:noAutofit/>
        </a:bodyPr>
        <a:lstStyle xmlns:a="http://schemas.openxmlformats.org/drawingml/2006/main"/>
        <a:p xmlns:a="http://schemas.openxmlformats.org/drawingml/2006/main">
          <a:pPr marL="0" marR="0">
            <a:spcBef>
              <a:spcPts val="0"/>
            </a:spcBef>
            <a:spcAft>
              <a:spcPts val="0"/>
            </a:spcAft>
          </a:pPr>
          <a:r>
            <a:rPr lang="en-US" sz="600">
              <a:solidFill>
                <a:srgbClr val="000000"/>
              </a:solidFill>
              <a:effectLst/>
              <a:latin typeface="Arial"/>
              <a:ea typeface="Times New Roman"/>
              <a:cs typeface="Times New Roman"/>
            </a:rPr>
            <a:t>Survey weighting methodology changed in 2011</a:t>
          </a:r>
          <a:endParaRPr lang="en-US" sz="1050">
            <a:effectLst/>
            <a:latin typeface="Times New Roman"/>
            <a:ea typeface="Times New Roman"/>
          </a:endParaRPr>
        </a:p>
        <a:p xmlns:a="http://schemas.openxmlformats.org/drawingml/2006/main">
          <a:pPr marL="0" marR="0">
            <a:spcBef>
              <a:spcPts val="0"/>
            </a:spcBef>
            <a:spcAft>
              <a:spcPts val="0"/>
            </a:spcAft>
          </a:pPr>
          <a:r>
            <a:rPr lang="en-US" sz="600">
              <a:effectLst/>
              <a:latin typeface="Times New Roman"/>
              <a:ea typeface="Times New Roman"/>
            </a:rPr>
            <a:t> </a:t>
          </a:r>
          <a:endParaRPr lang="en-US" sz="1050">
            <a:effectLst/>
            <a:latin typeface="Times New Roman"/>
            <a:ea typeface="Times New Roman"/>
          </a:endParaRPr>
        </a:p>
        <a:p xmlns:a="http://schemas.openxmlformats.org/drawingml/2006/main">
          <a:pPr marL="0" marR="0">
            <a:spcBef>
              <a:spcPts val="0"/>
            </a:spcBef>
            <a:spcAft>
              <a:spcPts val="0"/>
            </a:spcAft>
          </a:pPr>
          <a:r>
            <a:rPr lang="en-US" sz="600">
              <a:effectLst/>
              <a:latin typeface="Times New Roman"/>
              <a:ea typeface="Times New Roman"/>
            </a:rPr>
            <a:t> </a:t>
          </a:r>
          <a:endParaRPr lang="en-US" sz="1050">
            <a:effectLst/>
            <a:latin typeface="Times New Roman"/>
            <a:ea typeface="Times New Roman"/>
          </a:endParaRPr>
        </a:p>
        <a:p xmlns:a="http://schemas.openxmlformats.org/drawingml/2006/main">
          <a:pPr marL="0" marR="0">
            <a:spcBef>
              <a:spcPts val="0"/>
            </a:spcBef>
            <a:spcAft>
              <a:spcPts val="0"/>
            </a:spcAft>
          </a:pPr>
          <a:r>
            <a:rPr lang="en-US" sz="600">
              <a:effectLst/>
              <a:latin typeface="Times New Roman"/>
              <a:ea typeface="Times New Roman"/>
            </a:rPr>
            <a:t> </a:t>
          </a:r>
          <a:endParaRPr lang="en-US" sz="1050">
            <a:effectLst/>
            <a:latin typeface="Times New Roman"/>
            <a:ea typeface="Times New Roman"/>
          </a:endParaRPr>
        </a:p>
      </cdr:txBody>
    </cdr:sp>
  </cdr:relSizeAnchor>
  <cdr:relSizeAnchor xmlns:cdr="http://schemas.openxmlformats.org/drawingml/2006/chartDrawing">
    <cdr:from>
      <cdr:x>0.53293</cdr:x>
      <cdr:y>0.12793</cdr:y>
    </cdr:from>
    <cdr:to>
      <cdr:x>0.53293</cdr:x>
      <cdr:y>0.89443</cdr:y>
    </cdr:to>
    <cdr:cxnSp macro="">
      <cdr:nvCxnSpPr>
        <cdr:cNvPr id="3" name="Straight Connector 2">
          <a:extLst xmlns:a="http://schemas.openxmlformats.org/drawingml/2006/main">
            <a:ext uri="{FF2B5EF4-FFF2-40B4-BE49-F238E27FC236}">
              <a16:creationId xmlns:a16="http://schemas.microsoft.com/office/drawing/2014/main" id="{748D039E-AA8B-4779-8488-649161761DB8}"/>
            </a:ext>
          </a:extLst>
        </cdr:cNvPr>
        <cdr:cNvCxnSpPr/>
      </cdr:nvCxnSpPr>
      <cdr:spPr>
        <a:xfrm xmlns:a="http://schemas.openxmlformats.org/drawingml/2006/main" flipV="1">
          <a:off x="3526922" y="421856"/>
          <a:ext cx="0" cy="2527576"/>
        </a:xfrm>
        <a:prstGeom xmlns:a="http://schemas.openxmlformats.org/drawingml/2006/main" prst="line">
          <a:avLst/>
        </a:prstGeom>
        <a:ln xmlns:a="http://schemas.openxmlformats.org/drawingml/2006/main">
          <a:solidFill>
            <a:schemeClr val="tx1"/>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0.76494</cdr:x>
      <cdr:y>0.09791</cdr:y>
    </cdr:from>
    <cdr:to>
      <cdr:x>0.76494</cdr:x>
      <cdr:y>0.74691</cdr:y>
    </cdr:to>
    <cdr:cxnSp macro="">
      <cdr:nvCxnSpPr>
        <cdr:cNvPr id="2" name="Straight Connector 1"/>
        <cdr:cNvCxnSpPr/>
      </cdr:nvCxnSpPr>
      <cdr:spPr>
        <a:xfrm xmlns:a="http://schemas.openxmlformats.org/drawingml/2006/main" flipV="1">
          <a:off x="5474270" y="310861"/>
          <a:ext cx="0" cy="2060575"/>
        </a:xfrm>
        <a:prstGeom xmlns:a="http://schemas.openxmlformats.org/drawingml/2006/main" prst="line">
          <a:avLst/>
        </a:prstGeom>
        <a:ln xmlns:a="http://schemas.openxmlformats.org/drawingml/2006/main" w="190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0.01015</cdr:x>
      <cdr:y>0.87635</cdr:y>
    </cdr:from>
    <cdr:to>
      <cdr:x>0.70451</cdr:x>
      <cdr:y>1</cdr:y>
    </cdr:to>
    <cdr:sp macro="" textlink="">
      <cdr:nvSpPr>
        <cdr:cNvPr id="2" name="TextBox 1">
          <a:extLst xmlns:a="http://schemas.openxmlformats.org/drawingml/2006/main">
            <a:ext uri="{FF2B5EF4-FFF2-40B4-BE49-F238E27FC236}">
              <a16:creationId xmlns:a16="http://schemas.microsoft.com/office/drawing/2014/main" id="{38C915F3-7717-44BC-A1BC-7BE4ABAE3AD1}"/>
            </a:ext>
          </a:extLst>
        </cdr:cNvPr>
        <cdr:cNvSpPr txBox="1"/>
      </cdr:nvSpPr>
      <cdr:spPr>
        <a:xfrm xmlns:a="http://schemas.openxmlformats.org/drawingml/2006/main">
          <a:off x="61846" y="3282132"/>
          <a:ext cx="4231055" cy="46309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rtl="0">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00" dirty="0">
              <a:latin typeface="+mn-lt"/>
              <a:cs typeface="Arial" panose="020B0604020202020204" pitchFamily="34" charset="0"/>
            </a:rPr>
            <a:t>Note: Shaded areas represented 95% confidence intervals. </a:t>
          </a:r>
        </a:p>
        <a:p xmlns:a="http://schemas.openxmlformats.org/drawingml/2006/main">
          <a:pPr algn="l" rtl="0">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00" dirty="0">
              <a:latin typeface="+mn-lt"/>
              <a:cs typeface="Arial" panose="020B0604020202020204" pitchFamily="34" charset="0"/>
            </a:rPr>
            <a:t>Break in trend due to a change in survey weighting  methodology in 2011</a:t>
          </a:r>
        </a:p>
        <a:p xmlns:a="http://schemas.openxmlformats.org/drawingml/2006/main">
          <a:pPr algn="l" rtl="0">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US" sz="700" dirty="0">
              <a:latin typeface="+mn-lt"/>
              <a:cs typeface="Arial" panose="020B0604020202020204" pitchFamily="34" charset="0"/>
            </a:rPr>
            <a:t>Source: Massachusetts BRFSS</a:t>
          </a:r>
        </a:p>
        <a:p xmlns:a="http://schemas.openxmlformats.org/drawingml/2006/main">
          <a:endParaRPr lang="en-US" sz="800" dirty="0"/>
        </a:p>
      </cdr:txBody>
    </cdr:sp>
  </cdr:relSizeAnchor>
</c:userShapes>
</file>

<file path=word/drawings/drawing4.xml><?xml version="1.0" encoding="utf-8"?>
<c:userShapes xmlns:c="http://schemas.openxmlformats.org/drawingml/2006/chart">
  <cdr:relSizeAnchor xmlns:cdr="http://schemas.openxmlformats.org/drawingml/2006/chartDrawing">
    <cdr:from>
      <cdr:x>0.77817</cdr:x>
      <cdr:y>0.91156</cdr:y>
    </cdr:from>
    <cdr:to>
      <cdr:x>1</cdr:x>
      <cdr:y>0.98627</cdr:y>
    </cdr:to>
    <cdr:sp macro="" textlink="">
      <cdr:nvSpPr>
        <cdr:cNvPr id="2" name="Text Box 29"/>
        <cdr:cNvSpPr txBox="1"/>
      </cdr:nvSpPr>
      <cdr:spPr>
        <a:xfrm xmlns:a="http://schemas.openxmlformats.org/drawingml/2006/main">
          <a:off x="4741737" y="2200164"/>
          <a:ext cx="1351723" cy="18034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650">
              <a:effectLst/>
              <a:latin typeface="Arial" panose="020B0604020202020204" pitchFamily="34" charset="0"/>
              <a:ea typeface="SimSun" panose="02010600030101010101" pitchFamily="2" charset="-122"/>
            </a:rPr>
            <a:t>Source: Massachusetts BRFSS</a:t>
          </a:r>
          <a:endParaRPr lang="en-US" sz="1000">
            <a:effectLst/>
            <a:latin typeface="Arial" panose="020B0604020202020204" pitchFamily="34" charset="0"/>
            <a:ea typeface="SimSun" panose="02010600030101010101" pitchFamily="2" charset="-122"/>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0.00557</cdr:x>
      <cdr:y>0.82484</cdr:y>
    </cdr:from>
    <cdr:to>
      <cdr:x>0.76366</cdr:x>
      <cdr:y>0.95671</cdr:y>
    </cdr:to>
    <cdr:sp macro="" textlink="">
      <cdr:nvSpPr>
        <cdr:cNvPr id="2" name="Text Box 1"/>
        <cdr:cNvSpPr txBox="1"/>
      </cdr:nvSpPr>
      <cdr:spPr>
        <a:xfrm xmlns:a="http://schemas.openxmlformats.org/drawingml/2006/main">
          <a:off x="33131" y="2146432"/>
          <a:ext cx="4505740" cy="343154"/>
        </a:xfrm>
        <a:prstGeom xmlns:a="http://schemas.openxmlformats.org/drawingml/2006/main" prst="rect">
          <a:avLst/>
        </a:prstGeom>
      </cdr:spPr>
      <cdr:txBody>
        <a:bodyPr xmlns:a="http://schemas.openxmlformats.org/drawingml/2006/main" wrap="square" rtlCol="0">
          <a:noAutofit/>
        </a:bodyPr>
        <a:lstStyle xmlns:a="http://schemas.openxmlformats.org/drawingml/2006/main"/>
        <a:p xmlns:a="http://schemas.openxmlformats.org/drawingml/2006/main">
          <a:pPr marL="0" marR="0">
            <a:spcBef>
              <a:spcPts val="0"/>
            </a:spcBef>
            <a:spcAft>
              <a:spcPts val="0"/>
            </a:spcAft>
          </a:pPr>
          <a:r>
            <a:rPr lang="en-US" sz="800">
              <a:effectLst/>
              <a:latin typeface="Calibri" panose="020F0502020204030204" pitchFamily="34" charset="0"/>
              <a:ea typeface="MS PGothic" panose="020B0600070205080204" pitchFamily="34" charset="-128"/>
            </a:rPr>
            <a:t>*Adjusted to control for older average age of former smokers (compared to current and never smokers). Rates are based on six age groups (18-24, 25-34, 35-44, 45-54, 55-64, 65+), and standard age proportions were calculated using 2000 Census data.</a:t>
          </a:r>
          <a:endParaRPr lang="en-US" sz="1200">
            <a:effectLst/>
            <a:latin typeface="Times New Roman" panose="02020603050405020304" pitchFamily="18" charset="0"/>
            <a:ea typeface="MS PGothic" panose="020B0600070205080204" pitchFamily="34" charset="-128"/>
          </a:endParaRPr>
        </a:p>
      </cdr:txBody>
    </cdr:sp>
  </cdr:relSizeAnchor>
  <cdr:relSizeAnchor xmlns:cdr="http://schemas.openxmlformats.org/drawingml/2006/chartDrawing">
    <cdr:from>
      <cdr:x>0.74209</cdr:x>
      <cdr:y>0.89946</cdr:y>
    </cdr:from>
    <cdr:to>
      <cdr:x>1</cdr:x>
      <cdr:y>1</cdr:y>
    </cdr:to>
    <cdr:sp macro="" textlink="">
      <cdr:nvSpPr>
        <cdr:cNvPr id="3" name="Text Box 32"/>
        <cdr:cNvSpPr txBox="1"/>
      </cdr:nvSpPr>
      <cdr:spPr>
        <a:xfrm xmlns:a="http://schemas.openxmlformats.org/drawingml/2006/main">
          <a:off x="4986655" y="2667635"/>
          <a:ext cx="1532890" cy="2616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750">
              <a:effectLst/>
              <a:latin typeface="Arial" panose="020B0604020202020204" pitchFamily="34" charset="0"/>
              <a:ea typeface="SimSun" panose="02010600030101010101" pitchFamily="2" charset="-122"/>
            </a:rPr>
            <a:t>Source: Massachusetts BRFSS</a:t>
          </a:r>
          <a:endParaRPr lang="en-US" sz="1000">
            <a:effectLst/>
            <a:latin typeface="Arial" panose="020B0604020202020204" pitchFamily="34" charset="0"/>
            <a:ea typeface="SimSun" panose="02010600030101010101" pitchFamily="2" charset="-122"/>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0.00639</cdr:x>
      <cdr:y>0.88602</cdr:y>
    </cdr:from>
    <cdr:to>
      <cdr:x>0.73751</cdr:x>
      <cdr:y>0.98628</cdr:y>
    </cdr:to>
    <cdr:sp macro="" textlink="">
      <cdr:nvSpPr>
        <cdr:cNvPr id="3" name="Text Box 1"/>
        <cdr:cNvSpPr txBox="1"/>
      </cdr:nvSpPr>
      <cdr:spPr>
        <a:xfrm xmlns:a="http://schemas.openxmlformats.org/drawingml/2006/main">
          <a:off x="38991" y="2994279"/>
          <a:ext cx="4460122" cy="33880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marL="0" marR="0">
            <a:spcBef>
              <a:spcPts val="0"/>
            </a:spcBef>
            <a:spcAft>
              <a:spcPts val="0"/>
            </a:spcAft>
          </a:pPr>
          <a:r>
            <a:rPr lang="en-US" sz="700">
              <a:effectLst/>
              <a:latin typeface="Arial" panose="020B0604020202020204" pitchFamily="34" charset="0"/>
              <a:ea typeface="MS PGothic" panose="020B0600070205080204" pitchFamily="34" charset="-128"/>
            </a:rPr>
            <a:t>*Adjusted to control for older average age of former smokers (compared to current and never smokers).                  </a:t>
          </a:r>
        </a:p>
        <a:p xmlns:a="http://schemas.openxmlformats.org/drawingml/2006/main">
          <a:pPr marL="0" marR="0">
            <a:spcBef>
              <a:spcPts val="0"/>
            </a:spcBef>
            <a:spcAft>
              <a:spcPts val="0"/>
            </a:spcAft>
          </a:pPr>
          <a:r>
            <a:rPr lang="en-US" sz="700">
              <a:effectLst/>
              <a:latin typeface="Arial" panose="020B0604020202020204" pitchFamily="34" charset="0"/>
              <a:ea typeface="MS PGothic" panose="020B0600070205080204" pitchFamily="34" charset="-128"/>
            </a:rPr>
            <a:t>Rates are based on six age groups (18-24, 25-34, 35-44, 45-54, 55-64, 65+), and standard age proportions were calculated using 2000 Census data.</a:t>
          </a:r>
          <a:endParaRPr lang="en-US" sz="1100">
            <a:effectLst/>
            <a:latin typeface="Times New Roman" panose="02020603050405020304" pitchFamily="18" charset="0"/>
            <a:ea typeface="MS PGothic" panose="020B0600070205080204" pitchFamily="34" charset="-128"/>
          </a:endParaRPr>
        </a:p>
      </cdr:txBody>
    </cdr:sp>
  </cdr:relSizeAnchor>
  <cdr:relSizeAnchor xmlns:cdr="http://schemas.openxmlformats.org/drawingml/2006/chartDrawing">
    <cdr:from>
      <cdr:x>0.74872</cdr:x>
      <cdr:y>0.92259</cdr:y>
    </cdr:from>
    <cdr:to>
      <cdr:x>1</cdr:x>
      <cdr:y>1</cdr:y>
    </cdr:to>
    <cdr:sp macro="" textlink="">
      <cdr:nvSpPr>
        <cdr:cNvPr id="4" name="Text Box 32"/>
        <cdr:cNvSpPr txBox="1"/>
      </cdr:nvSpPr>
      <cdr:spPr>
        <a:xfrm xmlns:a="http://schemas.openxmlformats.org/drawingml/2006/main">
          <a:off x="4567555" y="3117850"/>
          <a:ext cx="1532890" cy="26162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750">
              <a:effectLst/>
              <a:latin typeface="Arial" panose="020B0604020202020204" pitchFamily="34" charset="0"/>
              <a:ea typeface="SimSun" panose="02010600030101010101" pitchFamily="2" charset="-122"/>
            </a:rPr>
            <a:t>Source: Massachusetts BRFSS</a:t>
          </a:r>
          <a:endParaRPr lang="en-US" sz="1000">
            <a:effectLst/>
            <a:latin typeface="Arial" panose="020B0604020202020204" pitchFamily="34" charset="0"/>
            <a:ea typeface="SimSun" panose="02010600030101010101" pitchFamily="2" charset="-122"/>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0.80439</cdr:x>
      <cdr:y>0.9398</cdr:y>
    </cdr:from>
    <cdr:to>
      <cdr:x>1</cdr:x>
      <cdr:y>1</cdr:y>
    </cdr:to>
    <cdr:pic>
      <cdr:nvPicPr>
        <cdr:cNvPr id="2" name="Picture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6248400" y="5200650"/>
          <a:ext cx="1416050" cy="234950"/>
        </a:xfrm>
        <a:prstGeom xmlns:a="http://schemas.openxmlformats.org/drawingml/2006/main" prst="rect">
          <a:avLst/>
        </a:prstGeom>
        <a:noFill xmlns:a="http://schemas.openxmlformats.org/drawingml/2006/main"/>
      </cdr:spPr>
    </cdr:pic>
  </cdr:relSizeAnchor>
</c:userShapes>
</file>

<file path=word/drawings/drawing8.xml><?xml version="1.0" encoding="utf-8"?>
<c:userShapes xmlns:c="http://schemas.openxmlformats.org/drawingml/2006/chart">
  <cdr:relSizeAnchor xmlns:cdr="http://schemas.openxmlformats.org/drawingml/2006/chartDrawing">
    <cdr:from>
      <cdr:x>0.21528</cdr:x>
      <cdr:y>0.13043</cdr:y>
    </cdr:from>
    <cdr:to>
      <cdr:x>0.49092</cdr:x>
      <cdr:y>0.21834</cdr:y>
    </cdr:to>
    <cdr:sp macro="" textlink="">
      <cdr:nvSpPr>
        <cdr:cNvPr id="2" name="TextBox 1"/>
        <cdr:cNvSpPr txBox="1"/>
      </cdr:nvSpPr>
      <cdr:spPr>
        <a:xfrm xmlns:a="http://schemas.openxmlformats.org/drawingml/2006/main">
          <a:off x="1279550" y="368402"/>
          <a:ext cx="1638300" cy="248285"/>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marL="0" marR="0" algn="ctr">
            <a:spcBef>
              <a:spcPts val="0"/>
            </a:spcBef>
            <a:spcAft>
              <a:spcPts val="0"/>
            </a:spcAft>
          </a:pPr>
          <a:r>
            <a:rPr lang="en-US" sz="1050">
              <a:solidFill>
                <a:srgbClr val="000000"/>
              </a:solidFill>
              <a:effectLst/>
              <a:latin typeface="Calibri Light" panose="020F0302020204030204" pitchFamily="34" charset="0"/>
              <a:ea typeface="SimSun" panose="02010600030101010101" pitchFamily="2" charset="-122"/>
            </a:rPr>
            <a:t>More exposed to SHS</a:t>
          </a:r>
          <a:endParaRPr lang="en-US" sz="1000">
            <a:effectLst/>
            <a:latin typeface="Arial" panose="020B0604020202020204" pitchFamily="34" charset="0"/>
            <a:ea typeface="SimSun" panose="02010600030101010101" pitchFamily="2" charset="-122"/>
          </a:endParaRPr>
        </a:p>
      </cdr:txBody>
    </cdr:sp>
  </cdr:relSizeAnchor>
  <cdr:relSizeAnchor xmlns:cdr="http://schemas.openxmlformats.org/drawingml/2006/chartDrawing">
    <cdr:from>
      <cdr:x>0.69482</cdr:x>
      <cdr:y>0.12821</cdr:y>
    </cdr:from>
    <cdr:to>
      <cdr:x>0.97046</cdr:x>
      <cdr:y>0.21612</cdr:y>
    </cdr:to>
    <cdr:sp macro="" textlink="">
      <cdr:nvSpPr>
        <cdr:cNvPr id="3" name="TextBox 1"/>
        <cdr:cNvSpPr txBox="1"/>
      </cdr:nvSpPr>
      <cdr:spPr>
        <a:xfrm xmlns:a="http://schemas.openxmlformats.org/drawingml/2006/main">
          <a:off x="4129735" y="446404"/>
          <a:ext cx="1638300" cy="306058"/>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gn="ctr">
            <a:spcBef>
              <a:spcPts val="0"/>
            </a:spcBef>
            <a:spcAft>
              <a:spcPts val="0"/>
            </a:spcAft>
          </a:pPr>
          <a:r>
            <a:rPr lang="en-US" sz="1050">
              <a:solidFill>
                <a:srgbClr val="000000"/>
              </a:solidFill>
              <a:effectLst/>
              <a:latin typeface="Calibri Light" panose="020F0302020204030204" pitchFamily="34" charset="0"/>
              <a:ea typeface="SimSun" panose="02010600030101010101" pitchFamily="2" charset="-122"/>
            </a:rPr>
            <a:t>Less exposed to SHS</a:t>
          </a:r>
          <a:endParaRPr lang="en-US" sz="1000">
            <a:effectLst/>
            <a:latin typeface="Arial" panose="020B0604020202020204" pitchFamily="34" charset="0"/>
            <a:ea typeface="SimSun" panose="02010600030101010101" pitchFamily="2" charset="-122"/>
          </a:endParaRPr>
        </a:p>
      </cdr:txBody>
    </cdr:sp>
  </cdr:relSizeAnchor>
  <cdr:relSizeAnchor xmlns:cdr="http://schemas.openxmlformats.org/drawingml/2006/chartDrawing">
    <cdr:from>
      <cdr:x>0.6332</cdr:x>
      <cdr:y>0.2101</cdr:y>
    </cdr:from>
    <cdr:to>
      <cdr:x>0.6332</cdr:x>
      <cdr:y>0.81091</cdr:y>
    </cdr:to>
    <cdr:cxnSp macro="">
      <cdr:nvCxnSpPr>
        <cdr:cNvPr id="4" name="Straight Connector 3"/>
        <cdr:cNvCxnSpPr/>
      </cdr:nvCxnSpPr>
      <cdr:spPr>
        <a:xfrm xmlns:a="http://schemas.openxmlformats.org/drawingml/2006/main">
          <a:off x="3763467" y="731520"/>
          <a:ext cx="0" cy="2091816"/>
        </a:xfrm>
        <a:prstGeom xmlns:a="http://schemas.openxmlformats.org/drawingml/2006/main" prst="line">
          <a:avLst/>
        </a:prstGeom>
        <a:ln xmlns:a="http://schemas.openxmlformats.org/drawingml/2006/main" w="2540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0.80042</cdr:x>
      <cdr:y>0.94283</cdr:y>
    </cdr:from>
    <cdr:to>
      <cdr:x>1</cdr:x>
      <cdr:y>1</cdr:y>
    </cdr:to>
    <cdr:pic>
      <cdr:nvPicPr>
        <cdr:cNvPr id="6" name="Picture 5"/>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4757372" y="3282657"/>
          <a:ext cx="1186228" cy="199048"/>
        </a:xfrm>
        <a:prstGeom xmlns:a="http://schemas.openxmlformats.org/drawingml/2006/main" prst="rect">
          <a:avLst/>
        </a:prstGeom>
        <a:noFill xmlns:a="http://schemas.openxmlformats.org/drawingml/2006/main"/>
      </cdr:spPr>
    </cdr:pic>
  </cdr:relSizeAnchor>
</c:userShapes>
</file>

<file path=word/drawings/drawing9.xml><?xml version="1.0" encoding="utf-8"?>
<c:userShapes xmlns:c="http://schemas.openxmlformats.org/drawingml/2006/chart">
  <cdr:relSizeAnchor xmlns:cdr="http://schemas.openxmlformats.org/drawingml/2006/chartDrawing">
    <cdr:from>
      <cdr:x>0.70681</cdr:x>
      <cdr:y>0.93212</cdr:y>
    </cdr:from>
    <cdr:to>
      <cdr:x>1</cdr:x>
      <cdr:y>1</cdr:y>
    </cdr:to>
    <cdr:pic>
      <cdr:nvPicPr>
        <cdr:cNvPr id="2" name="Picture 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a:stretch xmlns:a="http://schemas.openxmlformats.org/drawingml/2006/main">
          <a:fillRect/>
        </a:stretch>
      </cdr:blipFill>
      <cdr:spPr bwMode="auto">
        <a:xfrm xmlns:a="http://schemas.openxmlformats.org/drawingml/2006/main">
          <a:off x="6248400" y="5200650"/>
          <a:ext cx="1416050" cy="234950"/>
        </a:xfrm>
        <a:prstGeom xmlns:a="http://schemas.openxmlformats.org/drawingml/2006/main" prst="rect">
          <a:avLst/>
        </a:prstGeom>
        <a:noFill xmlns:a="http://schemas.openxmlformats.org/drawingml/2006/main"/>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Data from the 2019 Massachusetts Behavioral Risk Factor Surveillance SystemMassachusetts Tobacco Cessation and Prevention Program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03532D-22AF-2E4E-96CF-DBAFD3F8C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6782</Words>
  <Characters>38660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Trends in Tobacco Use and Exposure</vt:lpstr>
    </vt:vector>
  </TitlesOfParts>
  <Company/>
  <LinksUpToDate>false</LinksUpToDate>
  <CharactersWithSpaces>45352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Tobacco Use and Exposure</dc:title>
  <dc:subject/>
  <dc:creator>Glory Song</dc:creator>
  <cp:keywords/>
  <dc:description/>
  <cp:lastModifiedBy>Glory Song</cp:lastModifiedBy>
  <cp:revision>3</cp:revision>
  <cp:lastPrinted>2022-03-26T20:57:00Z</cp:lastPrinted>
  <dcterms:created xsi:type="dcterms:W3CDTF">2022-03-26T20:57:00Z</dcterms:created>
  <dcterms:modified xsi:type="dcterms:W3CDTF">2022-03-26T21:00:00Z</dcterms:modified>
</cp:coreProperties>
</file>