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9B6" w:rsidRDefault="005A2BCD" w:rsidP="009219B6">
      <w:pPr>
        <w:pStyle w:val="Title"/>
      </w:pPr>
      <w:r>
        <w:t xml:space="preserve"> </w:t>
      </w:r>
      <w:r w:rsidR="009219B6">
        <w:t>COMMONWEALTH OF MASSACHUSETTS</w:t>
      </w:r>
    </w:p>
    <w:p w:rsidR="009219B6" w:rsidRDefault="009219B6" w:rsidP="009219B6">
      <w:pPr>
        <w:jc w:val="center"/>
        <w:rPr>
          <w:rFonts w:ascii="Courier New" w:hAnsi="Courier New" w:cs="Courier New"/>
          <w:b/>
          <w:bCs/>
        </w:rPr>
      </w:pPr>
    </w:p>
    <w:p w:rsidR="009219B6" w:rsidRDefault="009219B6" w:rsidP="009219B6">
      <w:pPr>
        <w:jc w:val="center"/>
        <w:rPr>
          <w:rFonts w:ascii="Courier New" w:hAnsi="Courier New" w:cs="Courier New"/>
          <w:b/>
          <w:bCs/>
        </w:rPr>
      </w:pPr>
      <w:r>
        <w:rPr>
          <w:rFonts w:ascii="Courier New" w:hAnsi="Courier New" w:cs="Courier New"/>
          <w:b/>
          <w:bCs/>
        </w:rPr>
        <w:t>APPELLATE TAX BOARD</w:t>
      </w:r>
    </w:p>
    <w:p w:rsidR="009219B6" w:rsidRDefault="009219B6" w:rsidP="009219B6">
      <w:pPr>
        <w:jc w:val="both"/>
        <w:rPr>
          <w:rFonts w:ascii="Courier New" w:hAnsi="Courier New" w:cs="Courier New"/>
          <w:b/>
          <w:bCs/>
        </w:rPr>
      </w:pPr>
    </w:p>
    <w:p w:rsidR="009219B6" w:rsidRDefault="009219B6" w:rsidP="009219B6">
      <w:pPr>
        <w:jc w:val="both"/>
        <w:rPr>
          <w:rFonts w:ascii="Courier New" w:hAnsi="Courier New" w:cs="Courier New"/>
          <w:b/>
          <w:bCs/>
        </w:rPr>
      </w:pPr>
    </w:p>
    <w:p w:rsidR="009219B6" w:rsidRDefault="0024358F" w:rsidP="009219B6">
      <w:pPr>
        <w:pStyle w:val="Heading1"/>
        <w:tabs>
          <w:tab w:val="left" w:pos="4320"/>
        </w:tabs>
      </w:pPr>
      <w:r>
        <w:t>TRIMOUNT FOUNDATION</w:t>
      </w:r>
      <w:r w:rsidR="006A40B3">
        <w:t>, INC.</w:t>
      </w:r>
      <w:r w:rsidR="009219B6">
        <w:t>   </w:t>
      </w:r>
      <w:r w:rsidR="003677DF">
        <w:t xml:space="preserve"> </w:t>
      </w:r>
      <w:r w:rsidR="009219B6">
        <w:t> </w:t>
      </w:r>
      <w:r w:rsidR="00D831C6">
        <w:t xml:space="preserve"> </w:t>
      </w:r>
      <w:r w:rsidR="009219B6">
        <w:t>v.   </w:t>
      </w:r>
      <w:r w:rsidR="006A40B3">
        <w:tab/>
      </w:r>
      <w:r w:rsidR="003677DF">
        <w:t xml:space="preserve"> </w:t>
      </w:r>
      <w:r w:rsidR="009219B6">
        <w:t>BOARD OF ASSESSORS OF</w:t>
      </w:r>
    </w:p>
    <w:p w:rsidR="009219B6" w:rsidRDefault="009219B6" w:rsidP="009219B6">
      <w:pPr>
        <w:pStyle w:val="Heading1"/>
        <w:ind w:left="3600" w:hanging="3600"/>
      </w:pPr>
      <w:r>
        <w:tab/>
      </w:r>
      <w:r>
        <w:tab/>
        <w:t xml:space="preserve">     </w:t>
      </w:r>
      <w:r w:rsidR="006A40B3">
        <w:tab/>
      </w:r>
      <w:r w:rsidR="003677DF">
        <w:t xml:space="preserve"> </w:t>
      </w:r>
      <w:r w:rsidR="0024358F">
        <w:t>THE CITY OF NEWTON</w:t>
      </w:r>
    </w:p>
    <w:p w:rsidR="009219B6" w:rsidRDefault="009219B6" w:rsidP="009219B6">
      <w:pPr>
        <w:jc w:val="both"/>
        <w:rPr>
          <w:rFonts w:ascii="Courier New" w:hAnsi="Courier New" w:cs="Courier New"/>
        </w:rPr>
      </w:pPr>
    </w:p>
    <w:p w:rsidR="00A26ED5" w:rsidRDefault="009219B6" w:rsidP="009219B6">
      <w:pPr>
        <w:jc w:val="both"/>
        <w:rPr>
          <w:rFonts w:ascii="Courier New" w:hAnsi="Courier New" w:cs="Courier New"/>
        </w:rPr>
      </w:pPr>
      <w:r>
        <w:rPr>
          <w:rFonts w:ascii="Courier New" w:hAnsi="Courier New" w:cs="Courier New"/>
        </w:rPr>
        <w:t>Docket No</w:t>
      </w:r>
      <w:r w:rsidR="0024358F">
        <w:rPr>
          <w:rFonts w:ascii="Courier New" w:hAnsi="Courier New" w:cs="Courier New"/>
        </w:rPr>
        <w:t>s</w:t>
      </w:r>
      <w:r>
        <w:rPr>
          <w:rFonts w:ascii="Courier New" w:hAnsi="Courier New" w:cs="Courier New"/>
        </w:rPr>
        <w:t xml:space="preserve">. </w:t>
      </w:r>
      <w:r w:rsidR="00A26ED5">
        <w:rPr>
          <w:rFonts w:ascii="Courier New" w:hAnsi="Courier New" w:cs="Courier New"/>
        </w:rPr>
        <w:t>F328464, F331510,</w:t>
      </w:r>
      <w:r w:rsidR="00A26ED5">
        <w:rPr>
          <w:rFonts w:ascii="Courier New" w:hAnsi="Courier New" w:cs="Courier New"/>
        </w:rPr>
        <w:tab/>
      </w:r>
      <w:r w:rsidR="00A26ED5">
        <w:rPr>
          <w:rFonts w:ascii="Courier New" w:hAnsi="Courier New" w:cs="Courier New"/>
        </w:rPr>
        <w:tab/>
      </w:r>
      <w:r w:rsidR="00A26ED5">
        <w:rPr>
          <w:rFonts w:ascii="Courier New" w:hAnsi="Courier New" w:cs="Courier New"/>
        </w:rPr>
        <w:tab/>
      </w:r>
      <w:r w:rsidR="003677DF">
        <w:rPr>
          <w:rFonts w:ascii="Courier New" w:hAnsi="Courier New" w:cs="Courier New"/>
        </w:rPr>
        <w:t xml:space="preserve"> </w:t>
      </w:r>
      <w:r w:rsidR="00A26ED5">
        <w:rPr>
          <w:rFonts w:ascii="Courier New" w:hAnsi="Courier New" w:cs="Courier New"/>
        </w:rPr>
        <w:t xml:space="preserve">Promulgated:           </w:t>
      </w:r>
    </w:p>
    <w:p w:rsidR="009219B6" w:rsidRDefault="000F08B2" w:rsidP="009219B6">
      <w:pPr>
        <w:jc w:val="both"/>
        <w:rPr>
          <w:rFonts w:ascii="Courier New" w:hAnsi="Courier New" w:cs="Courier New"/>
        </w:rPr>
      </w:pPr>
      <w:r>
        <w:rPr>
          <w:rFonts w:ascii="Courier New" w:hAnsi="Courier New" w:cs="Courier New"/>
        </w:rPr>
        <w:t>            </w:t>
      </w:r>
      <w:r w:rsidR="00A26ED5">
        <w:rPr>
          <w:rFonts w:ascii="Courier New" w:hAnsi="Courier New" w:cs="Courier New"/>
        </w:rPr>
        <w:t>F332637</w:t>
      </w:r>
      <w:r w:rsidR="009219B6">
        <w:rPr>
          <w:rFonts w:ascii="Courier New" w:hAnsi="Courier New" w:cs="Courier New"/>
        </w:rPr>
        <w:tab/>
      </w:r>
      <w:r w:rsidR="009219B6">
        <w:rPr>
          <w:rFonts w:ascii="Courier New" w:hAnsi="Courier New" w:cs="Courier New"/>
        </w:rPr>
        <w:tab/>
      </w:r>
      <w:r w:rsidR="009219B6">
        <w:rPr>
          <w:rFonts w:ascii="Courier New" w:hAnsi="Courier New" w:cs="Courier New"/>
        </w:rPr>
        <w:tab/>
      </w:r>
      <w:r w:rsidR="006A40B3">
        <w:rPr>
          <w:rFonts w:ascii="Courier New" w:hAnsi="Courier New" w:cs="Courier New"/>
        </w:rPr>
        <w:tab/>
      </w:r>
      <w:r>
        <w:rPr>
          <w:rFonts w:ascii="Courier New" w:hAnsi="Courier New" w:cs="Courier New"/>
        </w:rPr>
        <w:tab/>
        <w:t xml:space="preserve"> </w:t>
      </w:r>
      <w:r w:rsidR="001933CE">
        <w:rPr>
          <w:rFonts w:ascii="Courier New" w:hAnsi="Courier New" w:cs="Courier New"/>
        </w:rPr>
        <w:t>January 16, 2019</w:t>
      </w:r>
      <w:bookmarkStart w:id="0" w:name="_GoBack"/>
      <w:bookmarkEnd w:id="0"/>
    </w:p>
    <w:p w:rsidR="009219B6" w:rsidRDefault="009219B6" w:rsidP="009219B6">
      <w:pPr>
        <w:jc w:val="both"/>
        <w:rPr>
          <w:rFonts w:ascii="Courier New" w:hAnsi="Courier New" w:cs="Courier New"/>
        </w:rPr>
      </w:pPr>
      <w:r>
        <w:rPr>
          <w:rFonts w:ascii="Courier New" w:hAnsi="Courier New" w:cs="Courier New"/>
        </w:rPr>
        <w:tab/>
      </w:r>
      <w:r>
        <w:rPr>
          <w:rFonts w:ascii="Courier New" w:hAnsi="Courier New" w:cs="Courier New"/>
        </w:rPr>
        <w:tab/>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9219B6" w:rsidRDefault="009219B6" w:rsidP="009219B6">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9219B6" w:rsidRDefault="009219B6" w:rsidP="009219B6">
      <w:pPr>
        <w:spacing w:line="480" w:lineRule="auto"/>
        <w:jc w:val="both"/>
        <w:rPr>
          <w:rFonts w:ascii="Courier New" w:hAnsi="Courier New" w:cs="Courier New"/>
        </w:rPr>
      </w:pPr>
      <w:r>
        <w:rPr>
          <w:rFonts w:ascii="Courier New" w:hAnsi="Courier New" w:cs="Courier New"/>
        </w:rPr>
        <w:tab/>
      </w:r>
      <w:r w:rsidR="00DE0CA7">
        <w:rPr>
          <w:rFonts w:ascii="Courier New" w:hAnsi="Courier New" w:cs="Courier New"/>
        </w:rPr>
        <w:t>These are appeals</w:t>
      </w:r>
      <w:r>
        <w:rPr>
          <w:rFonts w:ascii="Courier New" w:hAnsi="Courier New" w:cs="Courier New"/>
        </w:rPr>
        <w:t xml:space="preserve"> under the formal procedure pursuant to G.L. c. 58A, § 7 and G.L. c. 59, §§ 64 and 65, from the refusal of the Board of Assess</w:t>
      </w:r>
      <w:r w:rsidR="0001283A">
        <w:rPr>
          <w:rFonts w:ascii="Courier New" w:hAnsi="Courier New" w:cs="Courier New"/>
        </w:rPr>
        <w:t xml:space="preserve">ors of the City of Newton </w:t>
      </w:r>
      <w:r>
        <w:rPr>
          <w:rFonts w:ascii="Courier New" w:hAnsi="Courier New" w:cs="Courier New"/>
        </w:rPr>
        <w:t>(“appellee” or “assessors”) to abate taxes on cer</w:t>
      </w:r>
      <w:r w:rsidR="0001283A">
        <w:rPr>
          <w:rFonts w:ascii="Courier New" w:hAnsi="Courier New" w:cs="Courier New"/>
        </w:rPr>
        <w:t xml:space="preserve">tain real estate located in Newton </w:t>
      </w:r>
      <w:r>
        <w:rPr>
          <w:rFonts w:ascii="Courier New" w:hAnsi="Courier New" w:cs="Courier New"/>
        </w:rPr>
        <w:t>owned by a</w:t>
      </w:r>
      <w:r w:rsidR="006A40B3">
        <w:rPr>
          <w:rFonts w:ascii="Courier New" w:hAnsi="Courier New" w:cs="Courier New"/>
        </w:rPr>
        <w:t>nd assessed to the appellant, Trimount Foundation</w:t>
      </w:r>
      <w:r w:rsidR="00E76D5E">
        <w:rPr>
          <w:rFonts w:ascii="Courier New" w:hAnsi="Courier New" w:cs="Courier New"/>
        </w:rPr>
        <w:t>, Inc.</w:t>
      </w:r>
      <w:r w:rsidR="006A40B3">
        <w:rPr>
          <w:rFonts w:ascii="Courier New" w:hAnsi="Courier New" w:cs="Courier New"/>
        </w:rPr>
        <w:t xml:space="preserve"> </w:t>
      </w:r>
      <w:r w:rsidR="0001283A">
        <w:rPr>
          <w:rFonts w:ascii="Courier New" w:hAnsi="Courier New" w:cs="Courier New"/>
        </w:rPr>
        <w:t>(“Trimount</w:t>
      </w:r>
      <w:r w:rsidR="00C84C6C">
        <w:rPr>
          <w:rFonts w:ascii="Courier New" w:hAnsi="Courier New" w:cs="Courier New"/>
        </w:rPr>
        <w:t xml:space="preserve"> Foundation</w:t>
      </w:r>
      <w:r>
        <w:rPr>
          <w:rFonts w:ascii="Courier New" w:hAnsi="Courier New" w:cs="Courier New"/>
        </w:rPr>
        <w:t>” or “appellant”), under G.L. c. 59, §§ 11 and 38, for fiscal year</w:t>
      </w:r>
      <w:r w:rsidR="0001283A">
        <w:rPr>
          <w:rFonts w:ascii="Courier New" w:hAnsi="Courier New" w:cs="Courier New"/>
        </w:rPr>
        <w:t>s</w:t>
      </w:r>
      <w:r>
        <w:rPr>
          <w:rFonts w:ascii="Courier New" w:hAnsi="Courier New" w:cs="Courier New"/>
        </w:rPr>
        <w:t xml:space="preserve"> 2015</w:t>
      </w:r>
      <w:r w:rsidR="00E451C3">
        <w:rPr>
          <w:rFonts w:ascii="Courier New" w:hAnsi="Courier New" w:cs="Courier New"/>
        </w:rPr>
        <w:t xml:space="preserve">, 2016, and </w:t>
      </w:r>
      <w:r w:rsidR="0001283A">
        <w:rPr>
          <w:rFonts w:ascii="Courier New" w:hAnsi="Courier New" w:cs="Courier New"/>
        </w:rPr>
        <w:t>2017</w:t>
      </w:r>
      <w:r>
        <w:rPr>
          <w:rFonts w:ascii="Courier New" w:hAnsi="Courier New" w:cs="Courier New"/>
        </w:rPr>
        <w:t xml:space="preserve"> (“fiscal year</w:t>
      </w:r>
      <w:r w:rsidR="006A40B3">
        <w:rPr>
          <w:rFonts w:ascii="Courier New" w:hAnsi="Courier New" w:cs="Courier New"/>
        </w:rPr>
        <w:t>s</w:t>
      </w:r>
      <w:r>
        <w:rPr>
          <w:rFonts w:ascii="Courier New" w:hAnsi="Courier New" w:cs="Courier New"/>
        </w:rPr>
        <w:t xml:space="preserve"> at issue”).</w:t>
      </w:r>
    </w:p>
    <w:p w:rsidR="009219B6" w:rsidRDefault="009219B6" w:rsidP="009219B6">
      <w:pPr>
        <w:pStyle w:val="BodyText2"/>
        <w:spacing w:after="0"/>
        <w:jc w:val="both"/>
        <w:rPr>
          <w:rFonts w:ascii="Courier New" w:hAnsi="Courier New" w:cs="Courier New"/>
        </w:rPr>
      </w:pPr>
      <w:r>
        <w:tab/>
      </w:r>
      <w:r w:rsidR="0001283A">
        <w:rPr>
          <w:rFonts w:ascii="Courier New" w:hAnsi="Courier New" w:cs="Courier New"/>
        </w:rPr>
        <w:t xml:space="preserve">Commissioner Good heard these </w:t>
      </w:r>
      <w:r>
        <w:rPr>
          <w:rFonts w:ascii="Courier New" w:hAnsi="Courier New" w:cs="Courier New"/>
        </w:rPr>
        <w:t>appeal</w:t>
      </w:r>
      <w:r w:rsidR="0001283A">
        <w:rPr>
          <w:rFonts w:ascii="Courier New" w:hAnsi="Courier New" w:cs="Courier New"/>
        </w:rPr>
        <w:t>s.  Chairman Hammond and Commissioners Scharaff</w:t>
      </w:r>
      <w:r w:rsidR="00816826">
        <w:rPr>
          <w:rFonts w:ascii="Courier New" w:hAnsi="Courier New" w:cs="Courier New"/>
        </w:rPr>
        <w:t>a, Rose, and Elliott</w:t>
      </w:r>
      <w:r w:rsidR="0001283A">
        <w:rPr>
          <w:rFonts w:ascii="Courier New" w:hAnsi="Courier New" w:cs="Courier New"/>
        </w:rPr>
        <w:t xml:space="preserve"> joined her in the decisions for the appellant.  </w:t>
      </w:r>
    </w:p>
    <w:p w:rsidR="009219B6" w:rsidRDefault="009219B6" w:rsidP="009219B6">
      <w:pPr>
        <w:pStyle w:val="BodyText2"/>
        <w:spacing w:after="0"/>
        <w:ind w:firstLine="720"/>
        <w:jc w:val="both"/>
        <w:rPr>
          <w:rFonts w:ascii="Courier New" w:hAnsi="Courier New" w:cs="Courier New"/>
        </w:rPr>
      </w:pPr>
      <w:r>
        <w:rPr>
          <w:rFonts w:ascii="Courier New" w:hAnsi="Courier New" w:cs="Courier New"/>
        </w:rPr>
        <w:t>These findings of fact and report are made pursuant to requests by the appellant and the appellee under G.L. c. 58A, §</w:t>
      </w:r>
      <w:r w:rsidR="000F08B2">
        <w:rPr>
          <w:rFonts w:ascii="Courier New" w:hAnsi="Courier New" w:cs="Courier New"/>
        </w:rPr>
        <w:t> </w:t>
      </w:r>
      <w:r>
        <w:rPr>
          <w:rFonts w:ascii="Courier New" w:hAnsi="Courier New" w:cs="Courier New"/>
        </w:rPr>
        <w:t xml:space="preserve">13 and 831 CMR 1.32. </w:t>
      </w:r>
    </w:p>
    <w:p w:rsidR="000F08B2" w:rsidRDefault="000F08B2" w:rsidP="009219B6">
      <w:pPr>
        <w:pStyle w:val="BodyText2"/>
        <w:spacing w:after="0"/>
        <w:ind w:firstLine="720"/>
        <w:jc w:val="both"/>
        <w:rPr>
          <w:rFonts w:ascii="Courier New" w:hAnsi="Courier New" w:cs="Courier New"/>
        </w:rPr>
      </w:pPr>
    </w:p>
    <w:p w:rsidR="009219B6" w:rsidRDefault="009219B6" w:rsidP="009219B6">
      <w:pPr>
        <w:jc w:val="both"/>
        <w:rPr>
          <w:rFonts w:ascii="Courier New" w:hAnsi="Courier New" w:cs="Courier New"/>
        </w:rPr>
      </w:pPr>
    </w:p>
    <w:p w:rsidR="009219B6" w:rsidRDefault="009219B6" w:rsidP="009219B6">
      <w:pPr>
        <w:jc w:val="both"/>
        <w:rPr>
          <w:rFonts w:ascii="Courier New" w:hAnsi="Courier New" w:cs="Courier New"/>
        </w:rPr>
      </w:pPr>
      <w:r>
        <w:rPr>
          <w:rFonts w:ascii="Courier New" w:hAnsi="Courier New" w:cs="Courier New"/>
        </w:rPr>
        <w:tab/>
      </w:r>
      <w:r w:rsidR="007C7E8D" w:rsidRPr="007C7E8D">
        <w:rPr>
          <w:rFonts w:ascii="Courier New" w:hAnsi="Courier New" w:cs="Courier New"/>
          <w:i/>
        </w:rPr>
        <w:t>Janet Steckel Lundberg</w:t>
      </w:r>
      <w:r>
        <w:rPr>
          <w:rFonts w:ascii="Courier New" w:hAnsi="Courier New" w:cs="Courier New"/>
        </w:rPr>
        <w:t>, Esq.</w:t>
      </w:r>
      <w:r w:rsidR="001445B4">
        <w:rPr>
          <w:rFonts w:ascii="Courier New" w:hAnsi="Courier New" w:cs="Courier New"/>
        </w:rPr>
        <w:t xml:space="preserve"> and </w:t>
      </w:r>
      <w:r w:rsidR="001445B4" w:rsidRPr="001445B4">
        <w:rPr>
          <w:rFonts w:ascii="Courier New" w:hAnsi="Courier New" w:cs="Courier New"/>
          <w:i/>
        </w:rPr>
        <w:t>Vincent J.</w:t>
      </w:r>
      <w:r w:rsidR="00C97893">
        <w:rPr>
          <w:rFonts w:ascii="Courier New" w:hAnsi="Courier New" w:cs="Courier New"/>
          <w:i/>
        </w:rPr>
        <w:t xml:space="preserve"> Pis</w:t>
      </w:r>
      <w:r w:rsidR="001445B4" w:rsidRPr="001445B4">
        <w:rPr>
          <w:rFonts w:ascii="Courier New" w:hAnsi="Courier New" w:cs="Courier New"/>
          <w:i/>
        </w:rPr>
        <w:t>e</w:t>
      </w:r>
      <w:r w:rsidR="00C97893">
        <w:rPr>
          <w:rFonts w:ascii="Courier New" w:hAnsi="Courier New" w:cs="Courier New"/>
          <w:i/>
        </w:rPr>
        <w:t>g</w:t>
      </w:r>
      <w:r w:rsidR="001445B4" w:rsidRPr="001445B4">
        <w:rPr>
          <w:rFonts w:ascii="Courier New" w:hAnsi="Courier New" w:cs="Courier New"/>
          <w:i/>
        </w:rPr>
        <w:t>na</w:t>
      </w:r>
      <w:r w:rsidR="001445B4">
        <w:rPr>
          <w:rFonts w:ascii="Courier New" w:hAnsi="Courier New" w:cs="Courier New"/>
        </w:rPr>
        <w:t>, Esq.</w:t>
      </w:r>
      <w:r>
        <w:rPr>
          <w:rFonts w:ascii="Courier New" w:hAnsi="Courier New" w:cs="Courier New"/>
        </w:rPr>
        <w:t xml:space="preserve"> for the appellant.</w:t>
      </w:r>
    </w:p>
    <w:p w:rsidR="009219B6" w:rsidRDefault="009219B6" w:rsidP="009219B6">
      <w:pPr>
        <w:jc w:val="both"/>
        <w:rPr>
          <w:rFonts w:ascii="Courier New" w:hAnsi="Courier New" w:cs="Courier New"/>
        </w:rPr>
      </w:pPr>
    </w:p>
    <w:p w:rsidR="009219B6" w:rsidRDefault="009219B6" w:rsidP="009219B6">
      <w:pPr>
        <w:jc w:val="both"/>
        <w:rPr>
          <w:rFonts w:ascii="Courier New" w:hAnsi="Courier New" w:cs="Courier New"/>
        </w:rPr>
      </w:pPr>
      <w:r>
        <w:rPr>
          <w:rFonts w:ascii="Courier New" w:hAnsi="Courier New" w:cs="Courier New"/>
        </w:rPr>
        <w:tab/>
      </w:r>
      <w:r w:rsidRPr="009219B6">
        <w:rPr>
          <w:rFonts w:ascii="Courier New" w:hAnsi="Courier New" w:cs="Courier New"/>
          <w:i/>
        </w:rPr>
        <w:t xml:space="preserve">Anthony </w:t>
      </w:r>
      <w:r w:rsidR="007C7E8D">
        <w:rPr>
          <w:rFonts w:ascii="Courier New" w:hAnsi="Courier New" w:cs="Courier New"/>
          <w:i/>
        </w:rPr>
        <w:t xml:space="preserve">M. </w:t>
      </w:r>
      <w:r w:rsidRPr="009219B6">
        <w:rPr>
          <w:rFonts w:ascii="Courier New" w:hAnsi="Courier New" w:cs="Courier New"/>
          <w:i/>
        </w:rPr>
        <w:t>Ambriano</w:t>
      </w:r>
      <w:r>
        <w:rPr>
          <w:rFonts w:ascii="Courier New" w:hAnsi="Courier New" w:cs="Courier New"/>
        </w:rPr>
        <w:t xml:space="preserve">, Esq. for the appellee.  </w:t>
      </w:r>
    </w:p>
    <w:p w:rsidR="009219B6" w:rsidRDefault="009219B6" w:rsidP="005D791A">
      <w:pPr>
        <w:pStyle w:val="Heading2"/>
        <w:spacing w:line="480" w:lineRule="auto"/>
      </w:pPr>
      <w:r>
        <w:lastRenderedPageBreak/>
        <w:t>FINDINGS OF FACT AND REPORT</w:t>
      </w:r>
    </w:p>
    <w:p w:rsidR="00C84C6C" w:rsidRDefault="00C84C6C" w:rsidP="004C6534">
      <w:pPr>
        <w:spacing w:line="480" w:lineRule="auto"/>
        <w:ind w:firstLine="720"/>
        <w:jc w:val="both"/>
        <w:rPr>
          <w:rFonts w:ascii="Courier New" w:hAnsi="Courier New" w:cs="Courier New"/>
        </w:rPr>
      </w:pPr>
      <w:r>
        <w:rPr>
          <w:rFonts w:ascii="Courier New" w:hAnsi="Courier New" w:cs="Courier New"/>
        </w:rPr>
        <w:t>On January 1, 2014, January 1, 2015, and January 1, 2016, Trimount Foundatio</w:t>
      </w:r>
      <w:r w:rsidR="007F561E">
        <w:rPr>
          <w:rFonts w:ascii="Courier New" w:hAnsi="Courier New" w:cs="Courier New"/>
        </w:rPr>
        <w:t xml:space="preserve">n was the assessed owner of </w:t>
      </w:r>
      <w:r w:rsidR="008E7EF8">
        <w:rPr>
          <w:rFonts w:ascii="Courier New" w:hAnsi="Courier New" w:cs="Courier New"/>
        </w:rPr>
        <w:t xml:space="preserve">an </w:t>
      </w:r>
      <w:r w:rsidR="00D67C03">
        <w:rPr>
          <w:rFonts w:ascii="Courier New" w:hAnsi="Courier New" w:cs="Courier New"/>
        </w:rPr>
        <w:t>87,591-</w:t>
      </w:r>
      <w:r w:rsidR="007F561E">
        <w:rPr>
          <w:rFonts w:ascii="Courier New" w:hAnsi="Courier New" w:cs="Courier New"/>
        </w:rPr>
        <w:t xml:space="preserve">square-foot </w:t>
      </w:r>
      <w:r>
        <w:rPr>
          <w:rFonts w:ascii="Courier New" w:hAnsi="Courier New" w:cs="Courier New"/>
        </w:rPr>
        <w:t>parcel of la</w:t>
      </w:r>
      <w:r w:rsidR="00D67C03">
        <w:rPr>
          <w:rFonts w:ascii="Courier New" w:hAnsi="Courier New" w:cs="Courier New"/>
        </w:rPr>
        <w:t>nd improved with a 9,000-square-</w:t>
      </w:r>
      <w:r>
        <w:rPr>
          <w:rFonts w:ascii="Courier New" w:hAnsi="Courier New" w:cs="Courier New"/>
        </w:rPr>
        <w:t>foot, Victorian-styl</w:t>
      </w:r>
      <w:r w:rsidR="004C6534">
        <w:rPr>
          <w:rFonts w:ascii="Courier New" w:hAnsi="Courier New" w:cs="Courier New"/>
        </w:rPr>
        <w:t>e dwelling located at 80 Claremont</w:t>
      </w:r>
      <w:r>
        <w:rPr>
          <w:rFonts w:ascii="Courier New" w:hAnsi="Courier New" w:cs="Courier New"/>
        </w:rPr>
        <w:t xml:space="preserve"> Street in Newton (“subject property”).</w:t>
      </w:r>
      <w:r>
        <w:rPr>
          <w:rStyle w:val="FootnoteReference"/>
          <w:rFonts w:ascii="Courier New" w:hAnsi="Courier New" w:cs="Courier New"/>
        </w:rPr>
        <w:footnoteReference w:id="1"/>
      </w:r>
      <w:r w:rsidR="00D01322">
        <w:rPr>
          <w:rFonts w:ascii="Courier New" w:hAnsi="Courier New" w:cs="Courier New"/>
        </w:rPr>
        <w:t xml:space="preserve">  Relevant assessment</w:t>
      </w:r>
      <w:r w:rsidR="00020A90">
        <w:rPr>
          <w:rStyle w:val="FootnoteReference"/>
          <w:rFonts w:ascii="Courier New" w:hAnsi="Courier New" w:cs="Courier New"/>
        </w:rPr>
        <w:footnoteReference w:id="2"/>
      </w:r>
      <w:r w:rsidR="00681281">
        <w:rPr>
          <w:rFonts w:ascii="Courier New" w:hAnsi="Courier New" w:cs="Courier New"/>
        </w:rPr>
        <w:t xml:space="preserve"> </w:t>
      </w:r>
      <w:r w:rsidR="00D01322">
        <w:rPr>
          <w:rFonts w:ascii="Courier New" w:hAnsi="Courier New" w:cs="Courier New"/>
        </w:rPr>
        <w:t>information is c</w:t>
      </w:r>
      <w:r w:rsidR="00681281">
        <w:rPr>
          <w:rFonts w:ascii="Courier New" w:hAnsi="Courier New" w:cs="Courier New"/>
        </w:rPr>
        <w:t>ontained in the following table</w:t>
      </w:r>
      <w:r w:rsidR="00D01322">
        <w:rPr>
          <w:rFonts w:ascii="Courier New" w:hAnsi="Courier New" w:cs="Courier New"/>
        </w:rPr>
        <w:t>:</w:t>
      </w:r>
    </w:p>
    <w:p w:rsidR="004C6534" w:rsidRDefault="004C6534" w:rsidP="004C6534">
      <w:pPr>
        <w:ind w:firstLine="720"/>
        <w:jc w:val="both"/>
        <w:rPr>
          <w:rFonts w:ascii="Courier New" w:hAnsi="Courier New" w:cs="Courier New"/>
        </w:rPr>
      </w:pPr>
    </w:p>
    <w:tbl>
      <w:tblPr>
        <w:tblStyle w:val="TableGrid"/>
        <w:tblW w:w="0" w:type="auto"/>
        <w:jc w:val="center"/>
        <w:tblLook w:val="04A0" w:firstRow="1" w:lastRow="0" w:firstColumn="1" w:lastColumn="0" w:noHBand="0" w:noVBand="1"/>
      </w:tblPr>
      <w:tblGrid>
        <w:gridCol w:w="1159"/>
        <w:gridCol w:w="1530"/>
        <w:gridCol w:w="1271"/>
        <w:gridCol w:w="1620"/>
      </w:tblGrid>
      <w:tr w:rsidR="00EC3CC2" w:rsidTr="001D0208">
        <w:trPr>
          <w:jc w:val="center"/>
        </w:trPr>
        <w:tc>
          <w:tcPr>
            <w:tcW w:w="1159" w:type="dxa"/>
          </w:tcPr>
          <w:p w:rsidR="008638BD" w:rsidRDefault="00EC3CC2" w:rsidP="004C6534">
            <w:pPr>
              <w:jc w:val="both"/>
              <w:rPr>
                <w:rFonts w:ascii="Courier New" w:hAnsi="Courier New" w:cs="Courier New"/>
                <w:b/>
                <w:sz w:val="20"/>
                <w:szCs w:val="20"/>
              </w:rPr>
            </w:pPr>
            <w:r w:rsidRPr="00EC3CC2">
              <w:rPr>
                <w:rFonts w:ascii="Courier New" w:hAnsi="Courier New" w:cs="Courier New"/>
                <w:b/>
                <w:sz w:val="20"/>
                <w:szCs w:val="20"/>
              </w:rPr>
              <w:t xml:space="preserve">Fiscal </w:t>
            </w:r>
          </w:p>
          <w:p w:rsidR="00EC3CC2" w:rsidRPr="00EC3CC2" w:rsidRDefault="00EC3CC2" w:rsidP="004C6534">
            <w:pPr>
              <w:jc w:val="both"/>
              <w:rPr>
                <w:rFonts w:ascii="Courier New" w:hAnsi="Courier New" w:cs="Courier New"/>
                <w:b/>
                <w:sz w:val="20"/>
                <w:szCs w:val="20"/>
              </w:rPr>
            </w:pPr>
            <w:r w:rsidRPr="00EC3CC2">
              <w:rPr>
                <w:rFonts w:ascii="Courier New" w:hAnsi="Courier New" w:cs="Courier New"/>
                <w:b/>
                <w:sz w:val="20"/>
                <w:szCs w:val="20"/>
              </w:rPr>
              <w:t>Year</w:t>
            </w:r>
          </w:p>
        </w:tc>
        <w:tc>
          <w:tcPr>
            <w:tcW w:w="1530" w:type="dxa"/>
          </w:tcPr>
          <w:p w:rsidR="00EC3CC2" w:rsidRPr="00EC3CC2" w:rsidRDefault="00EC3CC2" w:rsidP="004C6534">
            <w:pPr>
              <w:jc w:val="both"/>
              <w:rPr>
                <w:rFonts w:ascii="Courier New" w:hAnsi="Courier New" w:cs="Courier New"/>
                <w:b/>
                <w:sz w:val="20"/>
                <w:szCs w:val="20"/>
              </w:rPr>
            </w:pPr>
            <w:r w:rsidRPr="00EC3CC2">
              <w:rPr>
                <w:rFonts w:ascii="Courier New" w:hAnsi="Courier New" w:cs="Courier New"/>
                <w:b/>
                <w:sz w:val="20"/>
                <w:szCs w:val="20"/>
              </w:rPr>
              <w:t>Assessed Value</w:t>
            </w:r>
            <w:r w:rsidR="00F00486">
              <w:rPr>
                <w:rStyle w:val="FootnoteReference"/>
                <w:rFonts w:ascii="Courier New" w:hAnsi="Courier New" w:cs="Courier New"/>
                <w:b/>
                <w:sz w:val="20"/>
                <w:szCs w:val="20"/>
              </w:rPr>
              <w:footnoteReference w:id="3"/>
            </w:r>
          </w:p>
        </w:tc>
        <w:tc>
          <w:tcPr>
            <w:tcW w:w="1271" w:type="dxa"/>
          </w:tcPr>
          <w:p w:rsidR="00EC3CC2" w:rsidRPr="00EC3CC2" w:rsidRDefault="00EC3CC2" w:rsidP="004C6534">
            <w:pPr>
              <w:jc w:val="both"/>
              <w:rPr>
                <w:rFonts w:ascii="Courier New" w:hAnsi="Courier New" w:cs="Courier New"/>
                <w:b/>
                <w:sz w:val="20"/>
                <w:szCs w:val="20"/>
              </w:rPr>
            </w:pPr>
            <w:r w:rsidRPr="00EC3CC2">
              <w:rPr>
                <w:rFonts w:ascii="Courier New" w:hAnsi="Courier New" w:cs="Courier New"/>
                <w:b/>
                <w:sz w:val="20"/>
                <w:szCs w:val="20"/>
              </w:rPr>
              <w:t>Tax Rate</w:t>
            </w:r>
          </w:p>
        </w:tc>
        <w:tc>
          <w:tcPr>
            <w:tcW w:w="1620" w:type="dxa"/>
          </w:tcPr>
          <w:p w:rsidR="00EC3CC2" w:rsidRPr="00EC3CC2" w:rsidRDefault="00EC3CC2" w:rsidP="004C6534">
            <w:pPr>
              <w:jc w:val="both"/>
              <w:rPr>
                <w:rFonts w:ascii="Courier New" w:hAnsi="Courier New" w:cs="Courier New"/>
                <w:b/>
                <w:sz w:val="20"/>
                <w:szCs w:val="20"/>
              </w:rPr>
            </w:pPr>
            <w:r w:rsidRPr="00EC3CC2">
              <w:rPr>
                <w:rFonts w:ascii="Courier New" w:hAnsi="Courier New" w:cs="Courier New"/>
                <w:b/>
                <w:sz w:val="20"/>
                <w:szCs w:val="20"/>
              </w:rPr>
              <w:t>Total Taxes</w:t>
            </w:r>
          </w:p>
        </w:tc>
      </w:tr>
      <w:tr w:rsidR="00EC3CC2" w:rsidTr="001D0208">
        <w:trPr>
          <w:jc w:val="center"/>
        </w:trPr>
        <w:tc>
          <w:tcPr>
            <w:tcW w:w="1159" w:type="dxa"/>
          </w:tcPr>
          <w:p w:rsidR="00EC3CC2" w:rsidRPr="00EC3CC2" w:rsidRDefault="00EC3CC2" w:rsidP="004C6534">
            <w:pPr>
              <w:jc w:val="both"/>
              <w:rPr>
                <w:rFonts w:ascii="Courier New" w:hAnsi="Courier New" w:cs="Courier New"/>
                <w:sz w:val="20"/>
                <w:szCs w:val="20"/>
              </w:rPr>
            </w:pPr>
            <w:r w:rsidRPr="00EC3CC2">
              <w:rPr>
                <w:rFonts w:ascii="Courier New" w:hAnsi="Courier New" w:cs="Courier New"/>
                <w:sz w:val="20"/>
                <w:szCs w:val="20"/>
              </w:rPr>
              <w:t>2015</w:t>
            </w:r>
          </w:p>
        </w:tc>
        <w:tc>
          <w:tcPr>
            <w:tcW w:w="1530" w:type="dxa"/>
          </w:tcPr>
          <w:p w:rsidR="00EC3CC2" w:rsidRPr="00EC3CC2" w:rsidRDefault="00AE6921" w:rsidP="004C6534">
            <w:pPr>
              <w:jc w:val="both"/>
              <w:rPr>
                <w:rFonts w:ascii="Courier New" w:hAnsi="Courier New" w:cs="Courier New"/>
                <w:sz w:val="20"/>
                <w:szCs w:val="20"/>
              </w:rPr>
            </w:pPr>
            <w:r>
              <w:rPr>
                <w:rFonts w:ascii="Courier New" w:hAnsi="Courier New" w:cs="Courier New"/>
                <w:sz w:val="20"/>
                <w:szCs w:val="20"/>
              </w:rPr>
              <w:t>$2,607,300</w:t>
            </w:r>
          </w:p>
        </w:tc>
        <w:tc>
          <w:tcPr>
            <w:tcW w:w="1271" w:type="dxa"/>
          </w:tcPr>
          <w:p w:rsidR="00EC3CC2" w:rsidRPr="00EC3CC2" w:rsidRDefault="00AE6921" w:rsidP="004C6534">
            <w:pPr>
              <w:jc w:val="both"/>
              <w:rPr>
                <w:rFonts w:ascii="Courier New" w:hAnsi="Courier New" w:cs="Courier New"/>
                <w:sz w:val="20"/>
                <w:szCs w:val="20"/>
              </w:rPr>
            </w:pPr>
            <w:r>
              <w:rPr>
                <w:rFonts w:ascii="Courier New" w:hAnsi="Courier New" w:cs="Courier New"/>
                <w:sz w:val="20"/>
                <w:szCs w:val="20"/>
              </w:rPr>
              <w:t>$11.61</w:t>
            </w:r>
          </w:p>
        </w:tc>
        <w:tc>
          <w:tcPr>
            <w:tcW w:w="1620" w:type="dxa"/>
          </w:tcPr>
          <w:p w:rsidR="00EC3CC2" w:rsidRPr="00EC3CC2" w:rsidRDefault="00AE6921" w:rsidP="004C6534">
            <w:pPr>
              <w:jc w:val="both"/>
              <w:rPr>
                <w:rFonts w:ascii="Courier New" w:hAnsi="Courier New" w:cs="Courier New"/>
                <w:sz w:val="20"/>
                <w:szCs w:val="20"/>
              </w:rPr>
            </w:pPr>
            <w:r>
              <w:rPr>
                <w:rFonts w:ascii="Courier New" w:hAnsi="Courier New" w:cs="Courier New"/>
                <w:sz w:val="20"/>
                <w:szCs w:val="20"/>
              </w:rPr>
              <w:t>$30,573.46</w:t>
            </w:r>
          </w:p>
        </w:tc>
      </w:tr>
      <w:tr w:rsidR="00EC3CC2" w:rsidTr="001D0208">
        <w:trPr>
          <w:jc w:val="center"/>
        </w:trPr>
        <w:tc>
          <w:tcPr>
            <w:tcW w:w="1159" w:type="dxa"/>
          </w:tcPr>
          <w:p w:rsidR="00EC3CC2" w:rsidRPr="00EC3CC2" w:rsidRDefault="00EC3CC2" w:rsidP="004C6534">
            <w:pPr>
              <w:jc w:val="both"/>
              <w:rPr>
                <w:rFonts w:ascii="Courier New" w:hAnsi="Courier New" w:cs="Courier New"/>
                <w:sz w:val="20"/>
                <w:szCs w:val="20"/>
              </w:rPr>
            </w:pPr>
            <w:r w:rsidRPr="00EC3CC2">
              <w:rPr>
                <w:rFonts w:ascii="Courier New" w:hAnsi="Courier New" w:cs="Courier New"/>
                <w:sz w:val="20"/>
                <w:szCs w:val="20"/>
              </w:rPr>
              <w:t>2016</w:t>
            </w:r>
          </w:p>
        </w:tc>
        <w:tc>
          <w:tcPr>
            <w:tcW w:w="1530" w:type="dxa"/>
          </w:tcPr>
          <w:p w:rsidR="00EC3CC2" w:rsidRPr="00EC3CC2" w:rsidRDefault="006037F2" w:rsidP="004C6534">
            <w:pPr>
              <w:jc w:val="both"/>
              <w:rPr>
                <w:rFonts w:ascii="Courier New" w:hAnsi="Courier New" w:cs="Courier New"/>
                <w:sz w:val="20"/>
                <w:szCs w:val="20"/>
              </w:rPr>
            </w:pPr>
            <w:r>
              <w:rPr>
                <w:rFonts w:ascii="Courier New" w:hAnsi="Courier New" w:cs="Courier New"/>
                <w:sz w:val="20"/>
                <w:szCs w:val="20"/>
              </w:rPr>
              <w:t>$2,607,300</w:t>
            </w:r>
          </w:p>
        </w:tc>
        <w:tc>
          <w:tcPr>
            <w:tcW w:w="1271" w:type="dxa"/>
          </w:tcPr>
          <w:p w:rsidR="00EC3CC2" w:rsidRPr="00EC3CC2" w:rsidRDefault="006037F2" w:rsidP="004C6534">
            <w:pPr>
              <w:jc w:val="both"/>
              <w:rPr>
                <w:rFonts w:ascii="Courier New" w:hAnsi="Courier New" w:cs="Courier New"/>
                <w:sz w:val="20"/>
                <w:szCs w:val="20"/>
              </w:rPr>
            </w:pPr>
            <w:r>
              <w:rPr>
                <w:rFonts w:ascii="Courier New" w:hAnsi="Courier New" w:cs="Courier New"/>
                <w:sz w:val="20"/>
                <w:szCs w:val="20"/>
              </w:rPr>
              <w:t>$11.38</w:t>
            </w:r>
          </w:p>
        </w:tc>
        <w:tc>
          <w:tcPr>
            <w:tcW w:w="1620" w:type="dxa"/>
          </w:tcPr>
          <w:p w:rsidR="00EC3CC2" w:rsidRPr="00EC3CC2" w:rsidRDefault="006037F2" w:rsidP="004C6534">
            <w:pPr>
              <w:jc w:val="both"/>
              <w:rPr>
                <w:rFonts w:ascii="Courier New" w:hAnsi="Courier New" w:cs="Courier New"/>
                <w:sz w:val="20"/>
                <w:szCs w:val="20"/>
              </w:rPr>
            </w:pPr>
            <w:r>
              <w:rPr>
                <w:rFonts w:ascii="Courier New" w:hAnsi="Courier New" w:cs="Courier New"/>
                <w:sz w:val="20"/>
                <w:szCs w:val="20"/>
              </w:rPr>
              <w:t>$29,967.78</w:t>
            </w:r>
          </w:p>
        </w:tc>
      </w:tr>
      <w:tr w:rsidR="00EC3CC2" w:rsidTr="001D0208">
        <w:trPr>
          <w:jc w:val="center"/>
        </w:trPr>
        <w:tc>
          <w:tcPr>
            <w:tcW w:w="1159" w:type="dxa"/>
          </w:tcPr>
          <w:p w:rsidR="00EC3CC2" w:rsidRPr="00EC3CC2" w:rsidRDefault="00EC3CC2" w:rsidP="004C6534">
            <w:pPr>
              <w:jc w:val="both"/>
              <w:rPr>
                <w:rFonts w:ascii="Courier New" w:hAnsi="Courier New" w:cs="Courier New"/>
                <w:sz w:val="20"/>
                <w:szCs w:val="20"/>
              </w:rPr>
            </w:pPr>
            <w:r w:rsidRPr="00EC3CC2">
              <w:rPr>
                <w:rFonts w:ascii="Courier New" w:hAnsi="Courier New" w:cs="Courier New"/>
                <w:sz w:val="20"/>
                <w:szCs w:val="20"/>
              </w:rPr>
              <w:t>2017</w:t>
            </w:r>
          </w:p>
        </w:tc>
        <w:tc>
          <w:tcPr>
            <w:tcW w:w="1530" w:type="dxa"/>
          </w:tcPr>
          <w:p w:rsidR="00EC3CC2" w:rsidRPr="00EC3CC2" w:rsidRDefault="00F07B24" w:rsidP="004C6534">
            <w:pPr>
              <w:jc w:val="both"/>
              <w:rPr>
                <w:rFonts w:ascii="Courier New" w:hAnsi="Courier New" w:cs="Courier New"/>
                <w:sz w:val="20"/>
                <w:szCs w:val="20"/>
              </w:rPr>
            </w:pPr>
            <w:r>
              <w:rPr>
                <w:rFonts w:ascii="Courier New" w:hAnsi="Courier New" w:cs="Courier New"/>
                <w:sz w:val="20"/>
                <w:szCs w:val="20"/>
              </w:rPr>
              <w:t>$2,607,300</w:t>
            </w:r>
          </w:p>
        </w:tc>
        <w:tc>
          <w:tcPr>
            <w:tcW w:w="1271" w:type="dxa"/>
          </w:tcPr>
          <w:p w:rsidR="00EC3CC2" w:rsidRPr="00EC3CC2" w:rsidRDefault="00F07B24" w:rsidP="004C6534">
            <w:pPr>
              <w:jc w:val="both"/>
              <w:rPr>
                <w:rFonts w:ascii="Courier New" w:hAnsi="Courier New" w:cs="Courier New"/>
                <w:sz w:val="20"/>
                <w:szCs w:val="20"/>
              </w:rPr>
            </w:pPr>
            <w:r>
              <w:rPr>
                <w:rFonts w:ascii="Courier New" w:hAnsi="Courier New" w:cs="Courier New"/>
                <w:sz w:val="20"/>
                <w:szCs w:val="20"/>
              </w:rPr>
              <w:t>$11.12</w:t>
            </w:r>
          </w:p>
        </w:tc>
        <w:tc>
          <w:tcPr>
            <w:tcW w:w="1620" w:type="dxa"/>
          </w:tcPr>
          <w:p w:rsidR="00EC3CC2" w:rsidRPr="00EC3CC2" w:rsidRDefault="00F07B24" w:rsidP="004C6534">
            <w:pPr>
              <w:jc w:val="both"/>
              <w:rPr>
                <w:rFonts w:ascii="Courier New" w:hAnsi="Courier New" w:cs="Courier New"/>
                <w:sz w:val="20"/>
                <w:szCs w:val="20"/>
              </w:rPr>
            </w:pPr>
            <w:r>
              <w:rPr>
                <w:rFonts w:ascii="Courier New" w:hAnsi="Courier New" w:cs="Courier New"/>
                <w:sz w:val="20"/>
                <w:szCs w:val="20"/>
              </w:rPr>
              <w:t>$29,283.11</w:t>
            </w:r>
          </w:p>
        </w:tc>
      </w:tr>
    </w:tbl>
    <w:p w:rsidR="00D01322" w:rsidRDefault="00D01322" w:rsidP="009219B6">
      <w:pPr>
        <w:spacing w:line="480" w:lineRule="auto"/>
        <w:ind w:firstLine="720"/>
        <w:jc w:val="both"/>
        <w:rPr>
          <w:rFonts w:ascii="Courier New" w:hAnsi="Courier New" w:cs="Courier New"/>
        </w:rPr>
      </w:pPr>
    </w:p>
    <w:p w:rsidR="00BE6BCF" w:rsidRDefault="00681281" w:rsidP="005D791A">
      <w:pPr>
        <w:spacing w:line="480" w:lineRule="auto"/>
        <w:ind w:firstLine="720"/>
        <w:jc w:val="both"/>
        <w:rPr>
          <w:rFonts w:ascii="Courier New" w:hAnsi="Courier New" w:cs="Courier New"/>
        </w:rPr>
      </w:pPr>
      <w:r>
        <w:rPr>
          <w:rFonts w:ascii="Courier New" w:hAnsi="Courier New" w:cs="Courier New"/>
        </w:rPr>
        <w:t>For each of the fiscal years at issue, the appellant timely paid its taxes in full, without incurring interest, and timely filed its Forms 3ABC with the assessors.</w:t>
      </w:r>
      <w:r>
        <w:rPr>
          <w:rStyle w:val="FootnoteReference"/>
          <w:rFonts w:ascii="Courier New" w:hAnsi="Courier New" w:cs="Courier New"/>
        </w:rPr>
        <w:footnoteReference w:id="4"/>
      </w:r>
      <w:r>
        <w:rPr>
          <w:rFonts w:ascii="Courier New" w:hAnsi="Courier New" w:cs="Courier New"/>
        </w:rPr>
        <w:t xml:space="preserve">  Additional jurisdictional information is contained in the following table: </w:t>
      </w:r>
    </w:p>
    <w:tbl>
      <w:tblPr>
        <w:tblStyle w:val="TableGrid"/>
        <w:tblW w:w="0" w:type="auto"/>
        <w:jc w:val="center"/>
        <w:tblLook w:val="04A0" w:firstRow="1" w:lastRow="0" w:firstColumn="1" w:lastColumn="0" w:noHBand="0" w:noVBand="1"/>
      </w:tblPr>
      <w:tblGrid>
        <w:gridCol w:w="990"/>
        <w:gridCol w:w="1710"/>
        <w:gridCol w:w="1620"/>
        <w:gridCol w:w="1260"/>
      </w:tblGrid>
      <w:tr w:rsidR="003C51F5" w:rsidTr="001D0208">
        <w:trPr>
          <w:jc w:val="center"/>
        </w:trPr>
        <w:tc>
          <w:tcPr>
            <w:tcW w:w="990" w:type="dxa"/>
          </w:tcPr>
          <w:p w:rsidR="003C51F5" w:rsidRPr="003C51F5" w:rsidRDefault="003C51F5" w:rsidP="009219B6">
            <w:pPr>
              <w:rPr>
                <w:rFonts w:ascii="Courier New" w:hAnsi="Courier New" w:cs="Courier New"/>
                <w:b/>
                <w:sz w:val="20"/>
                <w:szCs w:val="20"/>
              </w:rPr>
            </w:pPr>
            <w:r w:rsidRPr="003C51F5">
              <w:rPr>
                <w:rFonts w:ascii="Courier New" w:hAnsi="Courier New" w:cs="Courier New"/>
                <w:b/>
                <w:sz w:val="20"/>
                <w:szCs w:val="20"/>
              </w:rPr>
              <w:t>Fiscal Year</w:t>
            </w:r>
          </w:p>
        </w:tc>
        <w:tc>
          <w:tcPr>
            <w:tcW w:w="1710" w:type="dxa"/>
          </w:tcPr>
          <w:p w:rsidR="003C51F5" w:rsidRDefault="003C51F5" w:rsidP="009219B6">
            <w:pPr>
              <w:rPr>
                <w:rFonts w:ascii="Courier New" w:hAnsi="Courier New" w:cs="Courier New"/>
                <w:b/>
                <w:sz w:val="20"/>
                <w:szCs w:val="20"/>
              </w:rPr>
            </w:pPr>
            <w:r w:rsidRPr="003C51F5">
              <w:rPr>
                <w:rFonts w:ascii="Courier New" w:hAnsi="Courier New" w:cs="Courier New"/>
                <w:b/>
                <w:sz w:val="20"/>
                <w:szCs w:val="20"/>
              </w:rPr>
              <w:t>Abatement Application</w:t>
            </w:r>
          </w:p>
          <w:p w:rsidR="003C51F5" w:rsidRPr="003C51F5" w:rsidRDefault="003C51F5" w:rsidP="009219B6">
            <w:pPr>
              <w:rPr>
                <w:rFonts w:ascii="Courier New" w:hAnsi="Courier New" w:cs="Courier New"/>
                <w:b/>
                <w:sz w:val="20"/>
                <w:szCs w:val="20"/>
              </w:rPr>
            </w:pPr>
            <w:r w:rsidRPr="003C51F5">
              <w:rPr>
                <w:rFonts w:ascii="Courier New" w:hAnsi="Courier New" w:cs="Courier New"/>
                <w:b/>
                <w:sz w:val="20"/>
                <w:szCs w:val="20"/>
              </w:rPr>
              <w:t>Filed</w:t>
            </w:r>
          </w:p>
        </w:tc>
        <w:tc>
          <w:tcPr>
            <w:tcW w:w="1620" w:type="dxa"/>
          </w:tcPr>
          <w:p w:rsidR="003C51F5" w:rsidRPr="003C51F5" w:rsidRDefault="003C51F5" w:rsidP="009219B6">
            <w:pPr>
              <w:rPr>
                <w:rFonts w:ascii="Courier New" w:hAnsi="Courier New" w:cs="Courier New"/>
                <w:b/>
                <w:sz w:val="20"/>
                <w:szCs w:val="20"/>
              </w:rPr>
            </w:pPr>
            <w:r w:rsidRPr="003C51F5">
              <w:rPr>
                <w:rFonts w:ascii="Courier New" w:hAnsi="Courier New" w:cs="Courier New"/>
                <w:b/>
                <w:sz w:val="20"/>
                <w:szCs w:val="20"/>
              </w:rPr>
              <w:t>Abatement Application Denied</w:t>
            </w:r>
          </w:p>
        </w:tc>
        <w:tc>
          <w:tcPr>
            <w:tcW w:w="1260" w:type="dxa"/>
          </w:tcPr>
          <w:p w:rsidR="003C51F5" w:rsidRPr="003C51F5" w:rsidRDefault="003C51F5" w:rsidP="009219B6">
            <w:pPr>
              <w:rPr>
                <w:rFonts w:ascii="Courier New" w:hAnsi="Courier New" w:cs="Courier New"/>
                <w:b/>
                <w:sz w:val="20"/>
                <w:szCs w:val="20"/>
              </w:rPr>
            </w:pPr>
            <w:r w:rsidRPr="003C51F5">
              <w:rPr>
                <w:rFonts w:ascii="Courier New" w:hAnsi="Courier New" w:cs="Courier New"/>
                <w:b/>
                <w:sz w:val="20"/>
                <w:szCs w:val="20"/>
              </w:rPr>
              <w:t>Petition Filed</w:t>
            </w:r>
          </w:p>
        </w:tc>
      </w:tr>
      <w:tr w:rsidR="003C51F5" w:rsidTr="001D0208">
        <w:trPr>
          <w:jc w:val="center"/>
        </w:trPr>
        <w:tc>
          <w:tcPr>
            <w:tcW w:w="990" w:type="dxa"/>
          </w:tcPr>
          <w:p w:rsidR="003C51F5" w:rsidRPr="003C51F5" w:rsidRDefault="003C51F5" w:rsidP="009219B6">
            <w:pPr>
              <w:rPr>
                <w:rFonts w:ascii="Courier New" w:hAnsi="Courier New" w:cs="Courier New"/>
                <w:sz w:val="20"/>
                <w:szCs w:val="20"/>
              </w:rPr>
            </w:pPr>
            <w:r w:rsidRPr="003C51F5">
              <w:rPr>
                <w:rFonts w:ascii="Courier New" w:hAnsi="Courier New" w:cs="Courier New"/>
                <w:sz w:val="20"/>
                <w:szCs w:val="20"/>
              </w:rPr>
              <w:t>2015</w:t>
            </w:r>
          </w:p>
        </w:tc>
        <w:tc>
          <w:tcPr>
            <w:tcW w:w="1710" w:type="dxa"/>
          </w:tcPr>
          <w:p w:rsidR="003C51F5" w:rsidRPr="00F07B24" w:rsidRDefault="003D2C27" w:rsidP="009219B6">
            <w:pPr>
              <w:rPr>
                <w:rFonts w:ascii="Courier New" w:hAnsi="Courier New" w:cs="Courier New"/>
                <w:sz w:val="20"/>
                <w:szCs w:val="20"/>
              </w:rPr>
            </w:pPr>
            <w:r>
              <w:rPr>
                <w:rFonts w:ascii="Courier New" w:hAnsi="Courier New" w:cs="Courier New"/>
                <w:sz w:val="20"/>
                <w:szCs w:val="20"/>
              </w:rPr>
              <w:t>1/30/15</w:t>
            </w:r>
          </w:p>
        </w:tc>
        <w:tc>
          <w:tcPr>
            <w:tcW w:w="1620" w:type="dxa"/>
          </w:tcPr>
          <w:p w:rsidR="003C51F5" w:rsidRPr="00F07B24" w:rsidRDefault="00F07B24" w:rsidP="009219B6">
            <w:pPr>
              <w:rPr>
                <w:rFonts w:ascii="Courier New" w:hAnsi="Courier New" w:cs="Courier New"/>
                <w:sz w:val="20"/>
                <w:szCs w:val="20"/>
              </w:rPr>
            </w:pPr>
            <w:r>
              <w:rPr>
                <w:rFonts w:ascii="Courier New" w:hAnsi="Courier New" w:cs="Courier New"/>
                <w:sz w:val="20"/>
                <w:szCs w:val="20"/>
              </w:rPr>
              <w:t>4/30/15</w:t>
            </w:r>
          </w:p>
        </w:tc>
        <w:tc>
          <w:tcPr>
            <w:tcW w:w="1260" w:type="dxa"/>
          </w:tcPr>
          <w:p w:rsidR="003C51F5" w:rsidRPr="00F07B24" w:rsidRDefault="00F07B24" w:rsidP="009219B6">
            <w:pPr>
              <w:rPr>
                <w:rFonts w:ascii="Courier New" w:hAnsi="Courier New" w:cs="Courier New"/>
                <w:sz w:val="20"/>
                <w:szCs w:val="20"/>
              </w:rPr>
            </w:pPr>
            <w:r>
              <w:rPr>
                <w:rFonts w:ascii="Courier New" w:hAnsi="Courier New" w:cs="Courier New"/>
                <w:sz w:val="20"/>
                <w:szCs w:val="20"/>
              </w:rPr>
              <w:t>7/24/15</w:t>
            </w:r>
          </w:p>
        </w:tc>
      </w:tr>
      <w:tr w:rsidR="003C51F5" w:rsidTr="001D0208">
        <w:trPr>
          <w:jc w:val="center"/>
        </w:trPr>
        <w:tc>
          <w:tcPr>
            <w:tcW w:w="990" w:type="dxa"/>
          </w:tcPr>
          <w:p w:rsidR="003C51F5" w:rsidRPr="003C51F5" w:rsidRDefault="003C51F5" w:rsidP="009219B6">
            <w:pPr>
              <w:rPr>
                <w:rFonts w:ascii="Courier New" w:hAnsi="Courier New" w:cs="Courier New"/>
                <w:sz w:val="20"/>
                <w:szCs w:val="20"/>
              </w:rPr>
            </w:pPr>
            <w:r w:rsidRPr="003C51F5">
              <w:rPr>
                <w:rFonts w:ascii="Courier New" w:hAnsi="Courier New" w:cs="Courier New"/>
                <w:sz w:val="20"/>
                <w:szCs w:val="20"/>
              </w:rPr>
              <w:t>2016</w:t>
            </w:r>
          </w:p>
        </w:tc>
        <w:tc>
          <w:tcPr>
            <w:tcW w:w="1710" w:type="dxa"/>
          </w:tcPr>
          <w:p w:rsidR="003C51F5" w:rsidRPr="00AE348D" w:rsidRDefault="00AE348D" w:rsidP="009219B6">
            <w:pPr>
              <w:rPr>
                <w:rFonts w:ascii="Courier New" w:hAnsi="Courier New" w:cs="Courier New"/>
                <w:sz w:val="20"/>
                <w:szCs w:val="20"/>
              </w:rPr>
            </w:pPr>
            <w:r w:rsidRPr="00AE348D">
              <w:rPr>
                <w:rFonts w:ascii="Courier New" w:hAnsi="Courier New" w:cs="Courier New"/>
                <w:sz w:val="20"/>
                <w:szCs w:val="20"/>
              </w:rPr>
              <w:t>1/27/16</w:t>
            </w:r>
          </w:p>
        </w:tc>
        <w:tc>
          <w:tcPr>
            <w:tcW w:w="1620" w:type="dxa"/>
          </w:tcPr>
          <w:p w:rsidR="003C51F5" w:rsidRPr="00AE348D" w:rsidRDefault="00AE348D" w:rsidP="009219B6">
            <w:pPr>
              <w:rPr>
                <w:rFonts w:ascii="Courier New" w:hAnsi="Courier New" w:cs="Courier New"/>
                <w:sz w:val="20"/>
                <w:szCs w:val="20"/>
              </w:rPr>
            </w:pPr>
            <w:r w:rsidRPr="00AE348D">
              <w:rPr>
                <w:rFonts w:ascii="Courier New" w:hAnsi="Courier New" w:cs="Courier New"/>
                <w:sz w:val="20"/>
                <w:szCs w:val="20"/>
              </w:rPr>
              <w:t>4/25/16</w:t>
            </w:r>
          </w:p>
        </w:tc>
        <w:tc>
          <w:tcPr>
            <w:tcW w:w="1260" w:type="dxa"/>
          </w:tcPr>
          <w:p w:rsidR="003C51F5" w:rsidRPr="00AE348D" w:rsidRDefault="00AE348D" w:rsidP="009219B6">
            <w:pPr>
              <w:rPr>
                <w:rFonts w:ascii="Courier New" w:hAnsi="Courier New" w:cs="Courier New"/>
                <w:sz w:val="20"/>
                <w:szCs w:val="20"/>
              </w:rPr>
            </w:pPr>
            <w:r w:rsidRPr="00AE348D">
              <w:rPr>
                <w:rFonts w:ascii="Courier New" w:hAnsi="Courier New" w:cs="Courier New"/>
                <w:sz w:val="20"/>
                <w:szCs w:val="20"/>
              </w:rPr>
              <w:t>7/18/16</w:t>
            </w:r>
          </w:p>
        </w:tc>
      </w:tr>
      <w:tr w:rsidR="003C51F5" w:rsidTr="001D0208">
        <w:trPr>
          <w:jc w:val="center"/>
        </w:trPr>
        <w:tc>
          <w:tcPr>
            <w:tcW w:w="990" w:type="dxa"/>
          </w:tcPr>
          <w:p w:rsidR="003C51F5" w:rsidRPr="003C51F5" w:rsidRDefault="003C51F5" w:rsidP="009219B6">
            <w:pPr>
              <w:rPr>
                <w:rFonts w:ascii="Courier New" w:hAnsi="Courier New" w:cs="Courier New"/>
                <w:sz w:val="20"/>
                <w:szCs w:val="20"/>
              </w:rPr>
            </w:pPr>
            <w:r w:rsidRPr="003C51F5">
              <w:rPr>
                <w:rFonts w:ascii="Courier New" w:hAnsi="Courier New" w:cs="Courier New"/>
                <w:sz w:val="20"/>
                <w:szCs w:val="20"/>
              </w:rPr>
              <w:t>2017</w:t>
            </w:r>
          </w:p>
        </w:tc>
        <w:tc>
          <w:tcPr>
            <w:tcW w:w="1710" w:type="dxa"/>
          </w:tcPr>
          <w:p w:rsidR="003C51F5" w:rsidRPr="008638BD" w:rsidRDefault="00107533" w:rsidP="009219B6">
            <w:pPr>
              <w:rPr>
                <w:rFonts w:ascii="Courier New" w:hAnsi="Courier New" w:cs="Courier New"/>
                <w:sz w:val="20"/>
                <w:szCs w:val="20"/>
              </w:rPr>
            </w:pPr>
            <w:r w:rsidRPr="008638BD">
              <w:rPr>
                <w:rFonts w:ascii="Courier New" w:hAnsi="Courier New" w:cs="Courier New"/>
                <w:sz w:val="20"/>
                <w:szCs w:val="20"/>
              </w:rPr>
              <w:t>1/25/17</w:t>
            </w:r>
          </w:p>
        </w:tc>
        <w:tc>
          <w:tcPr>
            <w:tcW w:w="1620" w:type="dxa"/>
          </w:tcPr>
          <w:p w:rsidR="003C51F5" w:rsidRPr="008638BD" w:rsidRDefault="00107533" w:rsidP="009219B6">
            <w:pPr>
              <w:rPr>
                <w:rFonts w:ascii="Courier New" w:hAnsi="Courier New" w:cs="Courier New"/>
                <w:sz w:val="20"/>
                <w:szCs w:val="20"/>
              </w:rPr>
            </w:pPr>
            <w:r w:rsidRPr="008638BD">
              <w:rPr>
                <w:rFonts w:ascii="Courier New" w:hAnsi="Courier New" w:cs="Courier New"/>
                <w:sz w:val="20"/>
                <w:szCs w:val="20"/>
              </w:rPr>
              <w:t>2/15/17</w:t>
            </w:r>
          </w:p>
        </w:tc>
        <w:tc>
          <w:tcPr>
            <w:tcW w:w="1260" w:type="dxa"/>
          </w:tcPr>
          <w:p w:rsidR="003C51F5" w:rsidRPr="008638BD" w:rsidRDefault="00107533" w:rsidP="009219B6">
            <w:pPr>
              <w:rPr>
                <w:rFonts w:ascii="Courier New" w:hAnsi="Courier New" w:cs="Courier New"/>
                <w:sz w:val="20"/>
                <w:szCs w:val="20"/>
              </w:rPr>
            </w:pPr>
            <w:r w:rsidRPr="008638BD">
              <w:rPr>
                <w:rFonts w:ascii="Courier New" w:hAnsi="Courier New" w:cs="Courier New"/>
                <w:sz w:val="20"/>
                <w:szCs w:val="20"/>
              </w:rPr>
              <w:t>5/10/17</w:t>
            </w:r>
          </w:p>
        </w:tc>
      </w:tr>
    </w:tbl>
    <w:p w:rsidR="00C62091" w:rsidRDefault="00C62091" w:rsidP="009219B6">
      <w:pPr>
        <w:rPr>
          <w:rFonts w:ascii="Courier New" w:hAnsi="Courier New" w:cs="Courier New"/>
        </w:rPr>
      </w:pPr>
    </w:p>
    <w:p w:rsidR="005D791A" w:rsidRDefault="00D2626B" w:rsidP="006D4788">
      <w:pPr>
        <w:spacing w:line="480" w:lineRule="auto"/>
        <w:ind w:firstLine="720"/>
        <w:jc w:val="both"/>
        <w:rPr>
          <w:rFonts w:ascii="Courier New" w:hAnsi="Courier New" w:cs="Courier New"/>
        </w:rPr>
      </w:pPr>
      <w:r>
        <w:rPr>
          <w:rFonts w:ascii="Courier New" w:hAnsi="Courier New" w:cs="Courier New"/>
        </w:rPr>
        <w:lastRenderedPageBreak/>
        <w:t xml:space="preserve">Based on the foregoing facts, the </w:t>
      </w:r>
      <w:r w:rsidR="005D791A">
        <w:rPr>
          <w:rFonts w:ascii="Courier New" w:hAnsi="Courier New" w:cs="Courier New"/>
        </w:rPr>
        <w:t>Appellate Tax Board (“</w:t>
      </w:r>
      <w:r>
        <w:rPr>
          <w:rFonts w:ascii="Courier New" w:hAnsi="Courier New" w:cs="Courier New"/>
        </w:rPr>
        <w:t>Board</w:t>
      </w:r>
      <w:r w:rsidR="005D791A">
        <w:rPr>
          <w:rFonts w:ascii="Courier New" w:hAnsi="Courier New" w:cs="Courier New"/>
        </w:rPr>
        <w:t>”)</w:t>
      </w:r>
      <w:r>
        <w:rPr>
          <w:rFonts w:ascii="Courier New" w:hAnsi="Courier New" w:cs="Courier New"/>
        </w:rPr>
        <w:t xml:space="preserve"> found and ruled that it had jurisdiction to </w:t>
      </w:r>
      <w:r w:rsidR="0067609E">
        <w:rPr>
          <w:rFonts w:ascii="Courier New" w:hAnsi="Courier New" w:cs="Courier New"/>
        </w:rPr>
        <w:t xml:space="preserve">hear and </w:t>
      </w:r>
      <w:r>
        <w:rPr>
          <w:rFonts w:ascii="Courier New" w:hAnsi="Courier New" w:cs="Courier New"/>
        </w:rPr>
        <w:t xml:space="preserve">decide these appeals. </w:t>
      </w:r>
      <w:r w:rsidR="006D4788">
        <w:rPr>
          <w:rFonts w:ascii="Courier New" w:hAnsi="Courier New" w:cs="Courier New"/>
        </w:rPr>
        <w:t>The issue presented for the Board’s consideration in these appeals was whether the subject property was exempt from taxation under G.L. c. 59,</w:t>
      </w:r>
      <w:r w:rsidR="006D4788" w:rsidRPr="006D4788">
        <w:rPr>
          <w:rFonts w:ascii="Courier New" w:hAnsi="Courier New" w:cs="Courier New"/>
        </w:rPr>
        <w:t xml:space="preserve"> </w:t>
      </w:r>
      <w:r w:rsidR="006D4788">
        <w:rPr>
          <w:rFonts w:ascii="Courier New" w:hAnsi="Courier New" w:cs="Courier New"/>
        </w:rPr>
        <w:t xml:space="preserve">§ 5, Cl. Third </w:t>
      </w:r>
      <w:r w:rsidR="00D21B9E">
        <w:rPr>
          <w:rFonts w:ascii="Courier New" w:hAnsi="Courier New" w:cs="Courier New"/>
        </w:rPr>
        <w:t xml:space="preserve">(“Clause Third”) </w:t>
      </w:r>
      <w:r w:rsidR="000C1406">
        <w:rPr>
          <w:rFonts w:ascii="Courier New" w:hAnsi="Courier New" w:cs="Courier New"/>
        </w:rPr>
        <w:t>as property owned and occupied by a charitable organization in furtherance of charitable purposes.</w:t>
      </w:r>
      <w:r w:rsidR="006D4788">
        <w:rPr>
          <w:rFonts w:ascii="Courier New" w:hAnsi="Courier New" w:cs="Courier New"/>
        </w:rPr>
        <w:t xml:space="preserve">  </w:t>
      </w:r>
      <w:r w:rsidR="005D791A">
        <w:rPr>
          <w:rFonts w:ascii="Courier New" w:hAnsi="Courier New" w:cs="Courier New"/>
        </w:rPr>
        <w:t>The hearing of these appeals spanned two days and featured the te</w:t>
      </w:r>
      <w:r w:rsidR="0067609E">
        <w:rPr>
          <w:rFonts w:ascii="Courier New" w:hAnsi="Courier New" w:cs="Courier New"/>
        </w:rPr>
        <w:t xml:space="preserve">stimony of five witnesses, along with a documentary record that included stipulated facts and exhibits.  Based on the record in its totality, the Board made the following findings of fact. </w:t>
      </w:r>
    </w:p>
    <w:p w:rsidR="004D38E4" w:rsidRDefault="008E5967" w:rsidP="008E5967">
      <w:pPr>
        <w:pStyle w:val="ListParagraph"/>
        <w:numPr>
          <w:ilvl w:val="0"/>
          <w:numId w:val="8"/>
        </w:numPr>
        <w:spacing w:line="480" w:lineRule="auto"/>
        <w:jc w:val="both"/>
        <w:rPr>
          <w:rFonts w:ascii="Courier New" w:hAnsi="Courier New" w:cs="Courier New"/>
          <w:b/>
        </w:rPr>
      </w:pPr>
      <w:r>
        <w:rPr>
          <w:rFonts w:ascii="Courier New" w:hAnsi="Courier New" w:cs="Courier New"/>
          <w:b/>
        </w:rPr>
        <w:t>Trimount Foundation</w:t>
      </w:r>
      <w:r w:rsidR="00627894">
        <w:rPr>
          <w:rFonts w:ascii="Courier New" w:hAnsi="Courier New" w:cs="Courier New"/>
          <w:b/>
        </w:rPr>
        <w:t xml:space="preserve"> </w:t>
      </w:r>
      <w:r>
        <w:rPr>
          <w:rFonts w:ascii="Courier New" w:hAnsi="Courier New" w:cs="Courier New"/>
          <w:b/>
        </w:rPr>
        <w:t>and Opus Dei</w:t>
      </w:r>
    </w:p>
    <w:p w:rsidR="008E5967" w:rsidRDefault="005E0051" w:rsidP="005E0051">
      <w:pPr>
        <w:spacing w:line="480" w:lineRule="auto"/>
        <w:ind w:firstLine="720"/>
        <w:jc w:val="both"/>
        <w:rPr>
          <w:rFonts w:ascii="Courier New" w:hAnsi="Courier New" w:cs="Courier New"/>
        </w:rPr>
      </w:pPr>
      <w:r w:rsidRPr="005E0051">
        <w:rPr>
          <w:rFonts w:ascii="Courier New" w:hAnsi="Courier New" w:cs="Courier New"/>
        </w:rPr>
        <w:t>The subject property has bee</w:t>
      </w:r>
      <w:r w:rsidR="00753B47">
        <w:rPr>
          <w:rFonts w:ascii="Courier New" w:hAnsi="Courier New" w:cs="Courier New"/>
        </w:rPr>
        <w:t>n owned by Trimount Foundation s</w:t>
      </w:r>
      <w:r w:rsidRPr="005E0051">
        <w:rPr>
          <w:rFonts w:ascii="Courier New" w:hAnsi="Courier New" w:cs="Courier New"/>
        </w:rPr>
        <w:t xml:space="preserve">ince 1977.  </w:t>
      </w:r>
      <w:r w:rsidR="00CF2F33">
        <w:rPr>
          <w:rFonts w:ascii="Courier New" w:hAnsi="Courier New" w:cs="Courier New"/>
        </w:rPr>
        <w:t xml:space="preserve">Trimount Foundation is a </w:t>
      </w:r>
      <w:r w:rsidR="009C1EF5">
        <w:rPr>
          <w:rFonts w:ascii="Courier New" w:hAnsi="Courier New" w:cs="Courier New"/>
        </w:rPr>
        <w:t xml:space="preserve">Massachusetts chapter 180 charitable </w:t>
      </w:r>
      <w:r w:rsidR="001A0F84">
        <w:rPr>
          <w:rFonts w:ascii="Courier New" w:hAnsi="Courier New" w:cs="Courier New"/>
        </w:rPr>
        <w:t>corporation</w:t>
      </w:r>
      <w:r w:rsidR="009C1EF5">
        <w:rPr>
          <w:rFonts w:ascii="Courier New" w:hAnsi="Courier New" w:cs="Courier New"/>
        </w:rPr>
        <w:t xml:space="preserve"> and an I.R.C. § 501(c)(3) </w:t>
      </w:r>
      <w:r w:rsidR="00217CAB">
        <w:rPr>
          <w:rFonts w:ascii="Courier New" w:hAnsi="Courier New" w:cs="Courier New"/>
        </w:rPr>
        <w:t xml:space="preserve">tax-exempt </w:t>
      </w:r>
      <w:r w:rsidR="009C1EF5">
        <w:rPr>
          <w:rFonts w:ascii="Courier New" w:hAnsi="Courier New" w:cs="Courier New"/>
        </w:rPr>
        <w:t xml:space="preserve">organization.  </w:t>
      </w:r>
      <w:r w:rsidR="00B15DDE">
        <w:rPr>
          <w:rFonts w:ascii="Courier New" w:hAnsi="Courier New" w:cs="Courier New"/>
        </w:rPr>
        <w:t xml:space="preserve">As reflected in its Amended Articles of Organization, the mission of Trimount Foundation is to “further the religious and educational purposes of the Roman Catholic organization, Opus Dei[.]”  </w:t>
      </w:r>
      <w:r w:rsidR="00F068ED">
        <w:rPr>
          <w:rFonts w:ascii="Courier New" w:hAnsi="Courier New" w:cs="Courier New"/>
        </w:rPr>
        <w:t xml:space="preserve">The record showed that Trimount Foundation’s primary function is to manage the finances of and be the record property owner for Opus Dei-affiliated properties, like the subject property.  </w:t>
      </w:r>
    </w:p>
    <w:p w:rsidR="00E53E8C" w:rsidRDefault="00F46021" w:rsidP="005E0051">
      <w:pPr>
        <w:spacing w:line="480" w:lineRule="auto"/>
        <w:ind w:firstLine="720"/>
        <w:jc w:val="both"/>
        <w:rPr>
          <w:rFonts w:ascii="Courier New" w:hAnsi="Courier New" w:cs="Courier New"/>
        </w:rPr>
      </w:pPr>
      <w:r>
        <w:rPr>
          <w:rFonts w:ascii="Courier New" w:hAnsi="Courier New" w:cs="Courier New"/>
        </w:rPr>
        <w:t>Opus De</w:t>
      </w:r>
      <w:r w:rsidR="00504B3B">
        <w:rPr>
          <w:rFonts w:ascii="Courier New" w:hAnsi="Courier New" w:cs="Courier New"/>
        </w:rPr>
        <w:t>i, which means “the Work of God</w:t>
      </w:r>
      <w:r>
        <w:rPr>
          <w:rFonts w:ascii="Courier New" w:hAnsi="Courier New" w:cs="Courier New"/>
        </w:rPr>
        <w:t>” in Latin, was founded in</w:t>
      </w:r>
      <w:r w:rsidR="009430B9">
        <w:rPr>
          <w:rFonts w:ascii="Courier New" w:hAnsi="Courier New" w:cs="Courier New"/>
        </w:rPr>
        <w:t xml:space="preserve"> 1928 by </w:t>
      </w:r>
      <w:r w:rsidR="006D2A31">
        <w:rPr>
          <w:rFonts w:ascii="Courier New" w:hAnsi="Courier New" w:cs="Courier New"/>
        </w:rPr>
        <w:t xml:space="preserve">Father </w:t>
      </w:r>
      <w:r w:rsidR="009430B9">
        <w:rPr>
          <w:rFonts w:ascii="Courier New" w:hAnsi="Courier New" w:cs="Courier New"/>
        </w:rPr>
        <w:t>Josemaria Escriva</w:t>
      </w:r>
      <w:r w:rsidR="00DC4F77">
        <w:rPr>
          <w:rFonts w:ascii="Courier New" w:hAnsi="Courier New" w:cs="Courier New"/>
        </w:rPr>
        <w:t xml:space="preserve">, now a canonized </w:t>
      </w:r>
      <w:r w:rsidR="00DC4F77">
        <w:rPr>
          <w:rFonts w:ascii="Courier New" w:hAnsi="Courier New" w:cs="Courier New"/>
        </w:rPr>
        <w:lastRenderedPageBreak/>
        <w:t>saint.</w:t>
      </w:r>
      <w:r>
        <w:rPr>
          <w:rFonts w:ascii="Courier New" w:hAnsi="Courier New" w:cs="Courier New"/>
        </w:rPr>
        <w:t xml:space="preserve">  The mission of Opus Dei is to promote the practice of Christia</w:t>
      </w:r>
      <w:r w:rsidR="00E17BCB">
        <w:rPr>
          <w:rFonts w:ascii="Courier New" w:hAnsi="Courier New" w:cs="Courier New"/>
        </w:rPr>
        <w:t>n values in daily work and life, and it accomplishes that mission through a broad spectrum of services and programs.</w:t>
      </w:r>
      <w:r w:rsidR="00D21B9E">
        <w:rPr>
          <w:rFonts w:ascii="Courier New" w:hAnsi="Courier New" w:cs="Courier New"/>
        </w:rPr>
        <w:t xml:space="preserve">  The offerings </w:t>
      </w:r>
      <w:r w:rsidR="00FE2A24">
        <w:rPr>
          <w:rFonts w:ascii="Courier New" w:hAnsi="Courier New" w:cs="Courier New"/>
        </w:rPr>
        <w:t xml:space="preserve">include </w:t>
      </w:r>
      <w:r w:rsidR="00D21B9E">
        <w:rPr>
          <w:rFonts w:ascii="Courier New" w:hAnsi="Courier New" w:cs="Courier New"/>
        </w:rPr>
        <w:t xml:space="preserve">religious-oriented </w:t>
      </w:r>
      <w:r w:rsidR="00FE2A24">
        <w:rPr>
          <w:rFonts w:ascii="Courier New" w:hAnsi="Courier New" w:cs="Courier New"/>
        </w:rPr>
        <w:t xml:space="preserve">programs </w:t>
      </w:r>
      <w:r w:rsidR="00D21B9E">
        <w:rPr>
          <w:rFonts w:ascii="Courier New" w:hAnsi="Courier New" w:cs="Courier New"/>
        </w:rPr>
        <w:t>– e.g.</w:t>
      </w:r>
      <w:r w:rsidR="001D05FF">
        <w:rPr>
          <w:rFonts w:ascii="Courier New" w:hAnsi="Courier New" w:cs="Courier New"/>
        </w:rPr>
        <w:t>, faith formation classes and lectures</w:t>
      </w:r>
      <w:r w:rsidR="00D21B9E">
        <w:rPr>
          <w:rFonts w:ascii="Courier New" w:hAnsi="Courier New" w:cs="Courier New"/>
        </w:rPr>
        <w:t xml:space="preserve">, </w:t>
      </w:r>
      <w:r w:rsidR="00FE2A24">
        <w:rPr>
          <w:rFonts w:ascii="Courier New" w:hAnsi="Courier New" w:cs="Courier New"/>
        </w:rPr>
        <w:t xml:space="preserve">prayer circles, </w:t>
      </w:r>
      <w:r w:rsidR="00D21B9E">
        <w:rPr>
          <w:rFonts w:ascii="Courier New" w:hAnsi="Courier New" w:cs="Courier New"/>
        </w:rPr>
        <w:t>charitable services for the needy</w:t>
      </w:r>
      <w:r w:rsidR="00FE2A24">
        <w:rPr>
          <w:rFonts w:ascii="Courier New" w:hAnsi="Courier New" w:cs="Courier New"/>
        </w:rPr>
        <w:t>, and the celebration of the Catholic Mass. There are also programs oriented towards practical life skills</w:t>
      </w:r>
      <w:r w:rsidR="001D05FF">
        <w:rPr>
          <w:rFonts w:ascii="Courier New" w:hAnsi="Courier New" w:cs="Courier New"/>
        </w:rPr>
        <w:t>, such as educational tutoring</w:t>
      </w:r>
      <w:r w:rsidR="00B00DCC">
        <w:rPr>
          <w:rFonts w:ascii="Courier New" w:hAnsi="Courier New" w:cs="Courier New"/>
        </w:rPr>
        <w:t>, professional mentoring, job-preparedness training, and classes focused on home economics.</w:t>
      </w:r>
      <w:r w:rsidR="001D05FF">
        <w:rPr>
          <w:rFonts w:ascii="Courier New" w:hAnsi="Courier New" w:cs="Courier New"/>
        </w:rPr>
        <w:t xml:space="preserve">  </w:t>
      </w:r>
      <w:r w:rsidR="0067299C">
        <w:rPr>
          <w:rFonts w:ascii="Courier New" w:hAnsi="Courier New" w:cs="Courier New"/>
        </w:rPr>
        <w:t xml:space="preserve">Opus Dei is a unique entity within the Roman Catholic Church in that it is a personal prelature, that is, it is not affiliated with a specific geographic location, like most dioceses.  Opus Dei is headed by </w:t>
      </w:r>
      <w:r w:rsidR="004A26A0">
        <w:rPr>
          <w:rFonts w:ascii="Courier New" w:hAnsi="Courier New" w:cs="Courier New"/>
        </w:rPr>
        <w:t>a Prelate, who resides in Spain</w:t>
      </w:r>
      <w:r w:rsidR="00996277">
        <w:rPr>
          <w:rFonts w:ascii="Courier New" w:hAnsi="Courier New" w:cs="Courier New"/>
        </w:rPr>
        <w:t>.</w:t>
      </w:r>
      <w:r w:rsidR="0067299C">
        <w:rPr>
          <w:rFonts w:ascii="Courier New" w:hAnsi="Courier New" w:cs="Courier New"/>
        </w:rPr>
        <w:t xml:space="preserve"> </w:t>
      </w:r>
    </w:p>
    <w:p w:rsidR="006D6C4C" w:rsidRDefault="00996277" w:rsidP="006D6C4C">
      <w:pPr>
        <w:spacing w:line="480" w:lineRule="auto"/>
        <w:ind w:firstLine="720"/>
        <w:jc w:val="both"/>
        <w:rPr>
          <w:rFonts w:ascii="Courier New" w:hAnsi="Courier New" w:cs="Courier New"/>
        </w:rPr>
      </w:pPr>
      <w:r>
        <w:rPr>
          <w:rFonts w:ascii="Courier New" w:hAnsi="Courier New" w:cs="Courier New"/>
        </w:rPr>
        <w:t xml:space="preserve">During the periods relevant to these appeals, there were over 90,000 members of Opus Dei located in </w:t>
      </w:r>
      <w:r w:rsidR="001D0208">
        <w:rPr>
          <w:rFonts w:ascii="Courier New" w:hAnsi="Courier New" w:cs="Courier New"/>
        </w:rPr>
        <w:t>sixty</w:t>
      </w:r>
      <w:r>
        <w:rPr>
          <w:rFonts w:ascii="Courier New" w:hAnsi="Courier New" w:cs="Courier New"/>
        </w:rPr>
        <w:t xml:space="preserve"> countries around the world.  Included in that membership were approximately 1,900 </w:t>
      </w:r>
      <w:r w:rsidR="008A48A0">
        <w:rPr>
          <w:rFonts w:ascii="Courier New" w:hAnsi="Courier New" w:cs="Courier New"/>
        </w:rPr>
        <w:t xml:space="preserve">ordained priests.  However, the vast majority </w:t>
      </w:r>
      <w:r w:rsidR="0095485B">
        <w:rPr>
          <w:rFonts w:ascii="Courier New" w:hAnsi="Courier New" w:cs="Courier New"/>
        </w:rPr>
        <w:t xml:space="preserve">of Opus Dei members are laity.  There are different levels of membership in Opus Dei, but most relevant to these appeals are the members who make lifelong commitments to serve Opus Dei. Such members, both male and female, are known as Numeraries.  </w:t>
      </w:r>
    </w:p>
    <w:p w:rsidR="00C24A3C" w:rsidRDefault="00D21B9E" w:rsidP="006D6C4C">
      <w:pPr>
        <w:spacing w:line="480" w:lineRule="auto"/>
        <w:ind w:firstLine="720"/>
        <w:jc w:val="both"/>
        <w:rPr>
          <w:rFonts w:ascii="Courier New" w:hAnsi="Courier New" w:cs="Courier New"/>
        </w:rPr>
      </w:pPr>
      <w:r>
        <w:rPr>
          <w:rFonts w:ascii="Courier New" w:hAnsi="Courier New" w:cs="Courier New"/>
        </w:rPr>
        <w:lastRenderedPageBreak/>
        <w:t>Four</w:t>
      </w:r>
      <w:r w:rsidR="00B81EE8">
        <w:rPr>
          <w:rFonts w:ascii="Courier New" w:hAnsi="Courier New" w:cs="Courier New"/>
        </w:rPr>
        <w:t xml:space="preserve"> N</w:t>
      </w:r>
      <w:r w:rsidR="00FD2735">
        <w:rPr>
          <w:rFonts w:ascii="Courier New" w:hAnsi="Courier New" w:cs="Courier New"/>
        </w:rPr>
        <w:t xml:space="preserve">umeraries - Marie Oates, </w:t>
      </w:r>
      <w:r w:rsidR="002559B4">
        <w:rPr>
          <w:rFonts w:ascii="Courier New" w:hAnsi="Courier New" w:cs="Courier New"/>
        </w:rPr>
        <w:t xml:space="preserve">Dr. </w:t>
      </w:r>
      <w:r w:rsidR="00FD2735">
        <w:rPr>
          <w:rFonts w:ascii="Courier New" w:hAnsi="Courier New" w:cs="Courier New"/>
        </w:rPr>
        <w:t xml:space="preserve">Carmel Kelly, Jaqueline Taylor, and Inez Cipriani - </w:t>
      </w:r>
      <w:r w:rsidR="00665F04">
        <w:rPr>
          <w:rFonts w:ascii="Courier New" w:hAnsi="Courier New" w:cs="Courier New"/>
        </w:rPr>
        <w:t xml:space="preserve">testified at the hearing of these appeals, and the Board found their testimony to be credible.  </w:t>
      </w:r>
      <w:r w:rsidR="000D762B">
        <w:rPr>
          <w:rFonts w:ascii="Courier New" w:hAnsi="Courier New" w:cs="Courier New"/>
        </w:rPr>
        <w:t>The path to</w:t>
      </w:r>
      <w:r w:rsidR="00B81EE8">
        <w:rPr>
          <w:rFonts w:ascii="Courier New" w:hAnsi="Courier New" w:cs="Courier New"/>
        </w:rPr>
        <w:t xml:space="preserve"> becoming a N</w:t>
      </w:r>
      <w:r w:rsidR="000D762B">
        <w:rPr>
          <w:rFonts w:ascii="Courier New" w:hAnsi="Courier New" w:cs="Courier New"/>
        </w:rPr>
        <w:t>umerary takes approximately five to six years.  It begins when an individual develops an interest in Opus Dei, usually by attending a program offered at an Opus Dei-affiliated center, like the subject property.  After that</w:t>
      </w:r>
      <w:r w:rsidR="00D27259">
        <w:rPr>
          <w:rFonts w:ascii="Courier New" w:hAnsi="Courier New" w:cs="Courier New"/>
        </w:rPr>
        <w:t>,</w:t>
      </w:r>
      <w:r w:rsidR="000D762B">
        <w:rPr>
          <w:rFonts w:ascii="Courier New" w:hAnsi="Courier New" w:cs="Courier New"/>
        </w:rPr>
        <w:t xml:space="preserve"> a person must request admission by writing to the Prelate.  </w:t>
      </w:r>
      <w:r w:rsidR="008A48A0">
        <w:rPr>
          <w:rFonts w:ascii="Courier New" w:hAnsi="Courier New" w:cs="Courier New"/>
        </w:rPr>
        <w:t>Candidates then receive</w:t>
      </w:r>
      <w:r w:rsidR="00B81EE8">
        <w:rPr>
          <w:rFonts w:ascii="Courier New" w:hAnsi="Courier New" w:cs="Courier New"/>
        </w:rPr>
        <w:t xml:space="preserve"> six months of classes and one-on-one spiritual training, culminating with what is known as an admission, which is a small ceremony attended by a representative of the Prelate.  </w:t>
      </w:r>
    </w:p>
    <w:p w:rsidR="00446FF2" w:rsidRDefault="00B81EE8" w:rsidP="006D6C4C">
      <w:pPr>
        <w:spacing w:line="480" w:lineRule="auto"/>
        <w:ind w:firstLine="720"/>
        <w:jc w:val="both"/>
        <w:rPr>
          <w:rFonts w:ascii="Courier New" w:hAnsi="Courier New" w:cs="Courier New"/>
        </w:rPr>
      </w:pPr>
      <w:r>
        <w:rPr>
          <w:rFonts w:ascii="Courier New" w:hAnsi="Courier New" w:cs="Courier New"/>
        </w:rPr>
        <w:t>For a one-year perio</w:t>
      </w:r>
      <w:r w:rsidR="00D9569F">
        <w:rPr>
          <w:rFonts w:ascii="Courier New" w:hAnsi="Courier New" w:cs="Courier New"/>
        </w:rPr>
        <w:t>d a</w:t>
      </w:r>
      <w:r w:rsidR="008A48A0">
        <w:rPr>
          <w:rFonts w:ascii="Courier New" w:hAnsi="Courier New" w:cs="Courier New"/>
        </w:rPr>
        <w:t xml:space="preserve">fter admission, </w:t>
      </w:r>
      <w:r w:rsidR="00D9569F">
        <w:rPr>
          <w:rFonts w:ascii="Courier New" w:hAnsi="Courier New" w:cs="Courier New"/>
        </w:rPr>
        <w:t>candidate</w:t>
      </w:r>
      <w:r w:rsidR="008A48A0">
        <w:rPr>
          <w:rFonts w:ascii="Courier New" w:hAnsi="Courier New" w:cs="Courier New"/>
        </w:rPr>
        <w:t>s take additional classes and receive</w:t>
      </w:r>
      <w:r>
        <w:rPr>
          <w:rFonts w:ascii="Courier New" w:hAnsi="Courier New" w:cs="Courier New"/>
        </w:rPr>
        <w:t xml:space="preserve"> additional training, and if they wish to continue, they make what is called an oblation, which is a more formal commitment, made in the presence of witnesses, to live the vocation of a Numerary.  </w:t>
      </w:r>
      <w:r w:rsidR="00C72DAB">
        <w:rPr>
          <w:rFonts w:ascii="Courier New" w:hAnsi="Courier New" w:cs="Courier New"/>
        </w:rPr>
        <w:t xml:space="preserve">For each of the five years following oblation, Numeraries make annual renewals of their commitment to living as a Numerary.  The last </w:t>
      </w:r>
      <w:r w:rsidR="00E01804">
        <w:rPr>
          <w:rFonts w:ascii="Courier New" w:hAnsi="Courier New" w:cs="Courier New"/>
        </w:rPr>
        <w:t xml:space="preserve">step in the process is called </w:t>
      </w:r>
      <w:r w:rsidR="00C72DAB">
        <w:rPr>
          <w:rFonts w:ascii="Courier New" w:hAnsi="Courier New" w:cs="Courier New"/>
        </w:rPr>
        <w:t xml:space="preserve">fidelity, which again is a ceremony that takes place in the presence of witnesses and with a representative of the Prelate.  </w:t>
      </w:r>
      <w:r w:rsidR="002963C6">
        <w:rPr>
          <w:rFonts w:ascii="Courier New" w:hAnsi="Courier New" w:cs="Courier New"/>
        </w:rPr>
        <w:t>F</w:t>
      </w:r>
      <w:r w:rsidR="00C72DAB">
        <w:rPr>
          <w:rFonts w:ascii="Courier New" w:hAnsi="Courier New" w:cs="Courier New"/>
        </w:rPr>
        <w:t>ide</w:t>
      </w:r>
      <w:r w:rsidR="002963C6">
        <w:rPr>
          <w:rFonts w:ascii="Courier New" w:hAnsi="Courier New" w:cs="Courier New"/>
        </w:rPr>
        <w:t xml:space="preserve">lity is considered to be </w:t>
      </w:r>
      <w:r w:rsidR="00C72DAB">
        <w:rPr>
          <w:rFonts w:ascii="Courier New" w:hAnsi="Courier New" w:cs="Courier New"/>
        </w:rPr>
        <w:t xml:space="preserve">a lifelong commitment </w:t>
      </w:r>
      <w:r w:rsidR="002C1DA2">
        <w:rPr>
          <w:rFonts w:ascii="Courier New" w:hAnsi="Courier New" w:cs="Courier New"/>
        </w:rPr>
        <w:t>to living as</w:t>
      </w:r>
      <w:r w:rsidR="002963C6">
        <w:rPr>
          <w:rFonts w:ascii="Courier New" w:hAnsi="Courier New" w:cs="Courier New"/>
        </w:rPr>
        <w:t xml:space="preserve"> a N</w:t>
      </w:r>
      <w:r w:rsidR="002C1DA2">
        <w:rPr>
          <w:rFonts w:ascii="Courier New" w:hAnsi="Courier New" w:cs="Courier New"/>
        </w:rPr>
        <w:t xml:space="preserve">umerary, and Numeraries may only leave the </w:t>
      </w:r>
      <w:r w:rsidR="002C1DA2">
        <w:rPr>
          <w:rFonts w:ascii="Courier New" w:hAnsi="Courier New" w:cs="Courier New"/>
        </w:rPr>
        <w:lastRenderedPageBreak/>
        <w:t xml:space="preserve">vocation thereafter if they obtain dispensation from the Prelate.  </w:t>
      </w:r>
    </w:p>
    <w:p w:rsidR="001068ED" w:rsidRDefault="00117E2B" w:rsidP="005B3BAD">
      <w:pPr>
        <w:spacing w:line="480" w:lineRule="auto"/>
        <w:ind w:firstLine="720"/>
        <w:jc w:val="both"/>
        <w:rPr>
          <w:rFonts w:ascii="Courier New" w:hAnsi="Courier New" w:cs="Courier New"/>
        </w:rPr>
      </w:pPr>
      <w:r>
        <w:rPr>
          <w:rFonts w:ascii="Courier New" w:hAnsi="Courier New" w:cs="Courier New"/>
        </w:rPr>
        <w:t>Living as a Numerary requires</w:t>
      </w:r>
      <w:r w:rsidR="00B81EE8">
        <w:rPr>
          <w:rFonts w:ascii="Courier New" w:hAnsi="Courier New" w:cs="Courier New"/>
        </w:rPr>
        <w:t xml:space="preserve"> not only carrying out the work and mission of Op</w:t>
      </w:r>
      <w:r w:rsidR="00C07660">
        <w:rPr>
          <w:rFonts w:ascii="Courier New" w:hAnsi="Courier New" w:cs="Courier New"/>
        </w:rPr>
        <w:t>us Dei, but also agreeing not to marry, taking a vow of celibacy, and agreeing to live with other Numeraries in Opus Dei centers</w:t>
      </w:r>
      <w:r w:rsidR="001068ED">
        <w:rPr>
          <w:rFonts w:ascii="Courier New" w:hAnsi="Courier New" w:cs="Courier New"/>
        </w:rPr>
        <w:t xml:space="preserve"> instead of with family members or in private r</w:t>
      </w:r>
      <w:r>
        <w:rPr>
          <w:rFonts w:ascii="Courier New" w:hAnsi="Courier New" w:cs="Courier New"/>
        </w:rPr>
        <w:t xml:space="preserve">esidences.  Numeraries are </w:t>
      </w:r>
      <w:r w:rsidR="001068ED">
        <w:rPr>
          <w:rFonts w:ascii="Courier New" w:hAnsi="Courier New" w:cs="Courier New"/>
        </w:rPr>
        <w:t xml:space="preserve">expected to have private employment and be self-supporting, but </w:t>
      </w:r>
      <w:r>
        <w:rPr>
          <w:rFonts w:ascii="Courier New" w:hAnsi="Courier New" w:cs="Courier New"/>
        </w:rPr>
        <w:t xml:space="preserve">also </w:t>
      </w:r>
      <w:r w:rsidR="001068ED">
        <w:rPr>
          <w:rFonts w:ascii="Courier New" w:hAnsi="Courier New" w:cs="Courier New"/>
        </w:rPr>
        <w:t>to contribute substantially all of their income over-and-above that required for immediate personal expenses to an Opus Dei organiza</w:t>
      </w:r>
      <w:r w:rsidR="00D27259">
        <w:rPr>
          <w:rFonts w:ascii="Courier New" w:hAnsi="Courier New" w:cs="Courier New"/>
        </w:rPr>
        <w:t xml:space="preserve">tion.  Numeraries cannot </w:t>
      </w:r>
      <w:r w:rsidR="001068ED">
        <w:rPr>
          <w:rFonts w:ascii="Courier New" w:hAnsi="Courier New" w:cs="Courier New"/>
        </w:rPr>
        <w:t>select the center at which they live, nor how long they will reside there. Rather, they are assig</w:t>
      </w:r>
      <w:r w:rsidR="00054609">
        <w:rPr>
          <w:rFonts w:ascii="Courier New" w:hAnsi="Courier New" w:cs="Courier New"/>
        </w:rPr>
        <w:t xml:space="preserve">ned to a center by the Prelate, and may be reassigned at any time. </w:t>
      </w:r>
    </w:p>
    <w:p w:rsidR="001536ED" w:rsidRDefault="005B3BAD" w:rsidP="001536ED">
      <w:pPr>
        <w:spacing w:line="480" w:lineRule="auto"/>
        <w:ind w:firstLine="720"/>
        <w:jc w:val="both"/>
        <w:rPr>
          <w:rFonts w:ascii="Courier New" w:hAnsi="Courier New" w:cs="Courier New"/>
        </w:rPr>
      </w:pPr>
      <w:r>
        <w:rPr>
          <w:rFonts w:ascii="Courier New" w:hAnsi="Courier New" w:cs="Courier New"/>
        </w:rPr>
        <w:t xml:space="preserve">Dr. </w:t>
      </w:r>
      <w:r w:rsidR="001536ED">
        <w:rPr>
          <w:rFonts w:ascii="Courier New" w:hAnsi="Courier New" w:cs="Courier New"/>
        </w:rPr>
        <w:t xml:space="preserve">Carmel Kelly, a Numerary who resided at the subject property during the fiscal years at issue, </w:t>
      </w:r>
      <w:r>
        <w:rPr>
          <w:rFonts w:ascii="Courier New" w:hAnsi="Courier New" w:cs="Courier New"/>
        </w:rPr>
        <w:t xml:space="preserve">testified to Opus Dei’s assignment and </w:t>
      </w:r>
      <w:r w:rsidR="0060141E">
        <w:rPr>
          <w:rFonts w:ascii="Courier New" w:hAnsi="Courier New" w:cs="Courier New"/>
        </w:rPr>
        <w:t>reassignment</w:t>
      </w:r>
      <w:r>
        <w:rPr>
          <w:rFonts w:ascii="Courier New" w:hAnsi="Courier New" w:cs="Courier New"/>
        </w:rPr>
        <w:t xml:space="preserve"> process. She stated that in her decades as a Numerary, s</w:t>
      </w:r>
      <w:r w:rsidR="0095485B">
        <w:rPr>
          <w:rFonts w:ascii="Courier New" w:hAnsi="Courier New" w:cs="Courier New"/>
        </w:rPr>
        <w:t xml:space="preserve">he has lived in approximately </w:t>
      </w:r>
      <w:r w:rsidR="001D0208">
        <w:rPr>
          <w:rFonts w:ascii="Courier New" w:hAnsi="Courier New" w:cs="Courier New"/>
        </w:rPr>
        <w:t>fifteen</w:t>
      </w:r>
      <w:r>
        <w:rPr>
          <w:rFonts w:ascii="Courier New" w:hAnsi="Courier New" w:cs="Courier New"/>
        </w:rPr>
        <w:t xml:space="preserve"> different centers, both in Ireland and in the United States. She stated that Numeraries can be asked to leave on as little as </w:t>
      </w:r>
      <w:r w:rsidR="004A57A8">
        <w:rPr>
          <w:rFonts w:ascii="Courier New" w:hAnsi="Courier New" w:cs="Courier New"/>
        </w:rPr>
        <w:t xml:space="preserve">a day’s notice, and as was twice </w:t>
      </w:r>
      <w:r>
        <w:rPr>
          <w:rFonts w:ascii="Courier New" w:hAnsi="Courier New" w:cs="Courier New"/>
        </w:rPr>
        <w:t xml:space="preserve">the case with her, even within the hour. </w:t>
      </w:r>
      <w:r w:rsidR="001536ED">
        <w:rPr>
          <w:rFonts w:ascii="Courier New" w:hAnsi="Courier New" w:cs="Courier New"/>
        </w:rPr>
        <w:t xml:space="preserve">To that end, Dr. Kelly testified that when Numeraries are assigned to a center, they bring only a few suitcases of personal belongings.  The furniture and other items </w:t>
      </w:r>
      <w:r w:rsidR="001536ED">
        <w:rPr>
          <w:rFonts w:ascii="Courier New" w:hAnsi="Courier New" w:cs="Courier New"/>
        </w:rPr>
        <w:lastRenderedPageBreak/>
        <w:t xml:space="preserve">in any given center are not the personal belongings of a Numerary, but those of the center. </w:t>
      </w:r>
    </w:p>
    <w:p w:rsidR="005B3BAD" w:rsidRDefault="001536ED" w:rsidP="005B3BAD">
      <w:pPr>
        <w:spacing w:line="480" w:lineRule="auto"/>
        <w:ind w:firstLine="720"/>
        <w:jc w:val="both"/>
        <w:rPr>
          <w:rFonts w:ascii="Courier New" w:hAnsi="Courier New" w:cs="Courier New"/>
        </w:rPr>
      </w:pPr>
      <w:r>
        <w:rPr>
          <w:rFonts w:ascii="Courier New" w:hAnsi="Courier New" w:cs="Courier New"/>
        </w:rPr>
        <w:t>The reassignments can be remote, and a</w:t>
      </w:r>
      <w:r w:rsidR="005B3BAD">
        <w:rPr>
          <w:rFonts w:ascii="Courier New" w:hAnsi="Courier New" w:cs="Courier New"/>
        </w:rPr>
        <w:t>s Numeraries have private employment, the consequences of these transfers can be difficult.  Dr. Kelly testif</w:t>
      </w:r>
      <w:r w:rsidR="00D27259">
        <w:rPr>
          <w:rFonts w:ascii="Courier New" w:hAnsi="Courier New" w:cs="Courier New"/>
        </w:rPr>
        <w:t xml:space="preserve">ied that in connection with </w:t>
      </w:r>
      <w:r w:rsidR="004A312B">
        <w:rPr>
          <w:rFonts w:ascii="Courier New" w:hAnsi="Courier New" w:cs="Courier New"/>
        </w:rPr>
        <w:t>one of her transfers</w:t>
      </w:r>
      <w:r w:rsidR="005B3BAD">
        <w:rPr>
          <w:rFonts w:ascii="Courier New" w:hAnsi="Courier New" w:cs="Courier New"/>
        </w:rPr>
        <w:t>, she had to sell her medical practice and join a new</w:t>
      </w:r>
      <w:r w:rsidR="004A312B">
        <w:rPr>
          <w:rFonts w:ascii="Courier New" w:hAnsi="Courier New" w:cs="Courier New"/>
        </w:rPr>
        <w:t xml:space="preserve"> one, as the </w:t>
      </w:r>
      <w:r w:rsidR="005B3BAD">
        <w:rPr>
          <w:rFonts w:ascii="Courier New" w:hAnsi="Courier New" w:cs="Courier New"/>
        </w:rPr>
        <w:t xml:space="preserve">location </w:t>
      </w:r>
      <w:r w:rsidR="004A312B">
        <w:rPr>
          <w:rFonts w:ascii="Courier New" w:hAnsi="Courier New" w:cs="Courier New"/>
        </w:rPr>
        <w:t xml:space="preserve">of the new center </w:t>
      </w:r>
      <w:r w:rsidR="005B3BAD">
        <w:rPr>
          <w:rFonts w:ascii="Courier New" w:hAnsi="Courier New" w:cs="Courier New"/>
        </w:rPr>
        <w:t xml:space="preserve">made it impossible to serve her patients and carry out her other duties as a Numerary.  Dr. Kelly testified that the length of stay at any given center is highly variable.  Some assignments can last several years while others can be as short as six months; it is all at the discretion of the Prelate.  </w:t>
      </w:r>
    </w:p>
    <w:p w:rsidR="005B3BAD" w:rsidRDefault="00822A3B" w:rsidP="00223D74">
      <w:pPr>
        <w:pStyle w:val="ListParagraph"/>
        <w:numPr>
          <w:ilvl w:val="0"/>
          <w:numId w:val="8"/>
        </w:numPr>
        <w:jc w:val="both"/>
        <w:rPr>
          <w:rFonts w:ascii="Courier New" w:hAnsi="Courier New" w:cs="Courier New"/>
          <w:b/>
        </w:rPr>
      </w:pPr>
      <w:r w:rsidRPr="008277FA">
        <w:rPr>
          <w:rFonts w:ascii="Courier New" w:hAnsi="Courier New" w:cs="Courier New"/>
          <w:b/>
        </w:rPr>
        <w:t>Cedar Wood Foundation</w:t>
      </w:r>
      <w:r w:rsidR="00452E4B">
        <w:rPr>
          <w:rFonts w:ascii="Courier New" w:hAnsi="Courier New" w:cs="Courier New"/>
          <w:b/>
        </w:rPr>
        <w:t>, Inc.</w:t>
      </w:r>
      <w:r w:rsidRPr="008277FA">
        <w:rPr>
          <w:rFonts w:ascii="Courier New" w:hAnsi="Courier New" w:cs="Courier New"/>
          <w:b/>
        </w:rPr>
        <w:t xml:space="preserve"> and its Programs and Services</w:t>
      </w:r>
    </w:p>
    <w:p w:rsidR="00223D74" w:rsidRPr="008277FA" w:rsidRDefault="00223D74" w:rsidP="00223D74">
      <w:pPr>
        <w:pStyle w:val="ListParagraph"/>
        <w:ind w:left="1440"/>
        <w:jc w:val="both"/>
        <w:rPr>
          <w:rFonts w:ascii="Courier New" w:hAnsi="Courier New" w:cs="Courier New"/>
          <w:b/>
        </w:rPr>
      </w:pPr>
    </w:p>
    <w:p w:rsidR="005561D1" w:rsidRDefault="00D21B9E" w:rsidP="00054609">
      <w:pPr>
        <w:spacing w:line="480" w:lineRule="auto"/>
        <w:ind w:firstLine="720"/>
        <w:jc w:val="both"/>
        <w:rPr>
          <w:rFonts w:ascii="Courier New" w:hAnsi="Courier New" w:cs="Courier New"/>
        </w:rPr>
      </w:pPr>
      <w:r>
        <w:rPr>
          <w:rFonts w:ascii="Courier New" w:hAnsi="Courier New" w:cs="Courier New"/>
        </w:rPr>
        <w:t>The subject</w:t>
      </w:r>
      <w:r w:rsidR="009C1EF5">
        <w:rPr>
          <w:rFonts w:ascii="Courier New" w:hAnsi="Courier New" w:cs="Courier New"/>
        </w:rPr>
        <w:t xml:space="preserve"> property </w:t>
      </w:r>
      <w:r>
        <w:rPr>
          <w:rFonts w:ascii="Courier New" w:hAnsi="Courier New" w:cs="Courier New"/>
        </w:rPr>
        <w:t xml:space="preserve">is one of the aforementioned Opus Dei centers. </w:t>
      </w:r>
      <w:r w:rsidR="001068ED">
        <w:rPr>
          <w:rFonts w:ascii="Courier New" w:hAnsi="Courier New" w:cs="Courier New"/>
        </w:rPr>
        <w:t xml:space="preserve">Although it is owned by Trimount Foundation, the subject property is </w:t>
      </w:r>
      <w:r w:rsidR="009430B9">
        <w:rPr>
          <w:rFonts w:ascii="Courier New" w:hAnsi="Courier New" w:cs="Courier New"/>
        </w:rPr>
        <w:t xml:space="preserve">leased to and </w:t>
      </w:r>
      <w:r w:rsidR="001068ED">
        <w:rPr>
          <w:rFonts w:ascii="Courier New" w:hAnsi="Courier New" w:cs="Courier New"/>
        </w:rPr>
        <w:t xml:space="preserve">operated by </w:t>
      </w:r>
      <w:r w:rsidR="00CE62C5">
        <w:rPr>
          <w:rFonts w:ascii="Courier New" w:hAnsi="Courier New" w:cs="Courier New"/>
        </w:rPr>
        <w:t>a d</w:t>
      </w:r>
      <w:r w:rsidR="00217CAB">
        <w:rPr>
          <w:rFonts w:ascii="Courier New" w:hAnsi="Courier New" w:cs="Courier New"/>
        </w:rPr>
        <w:t>ifferent organization</w:t>
      </w:r>
      <w:r w:rsidR="00CE62C5">
        <w:rPr>
          <w:rFonts w:ascii="Courier New" w:hAnsi="Courier New" w:cs="Courier New"/>
        </w:rPr>
        <w:t xml:space="preserve">, </w:t>
      </w:r>
      <w:r w:rsidR="001068ED">
        <w:rPr>
          <w:rFonts w:ascii="Courier New" w:hAnsi="Courier New" w:cs="Courier New"/>
        </w:rPr>
        <w:t>Cedar Wood Foundation, In</w:t>
      </w:r>
      <w:r w:rsidR="000F5ACB">
        <w:rPr>
          <w:rFonts w:ascii="Courier New" w:hAnsi="Courier New" w:cs="Courier New"/>
        </w:rPr>
        <w:t>c.</w:t>
      </w:r>
      <w:r w:rsidR="009C1EF5">
        <w:rPr>
          <w:rFonts w:ascii="Courier New" w:hAnsi="Courier New" w:cs="Courier New"/>
        </w:rPr>
        <w:t xml:space="preserve"> (“Cedar Wood”), which is also a Massachusetts chapter 180 charitable </w:t>
      </w:r>
      <w:r w:rsidR="001A0F84">
        <w:rPr>
          <w:rFonts w:ascii="Courier New" w:hAnsi="Courier New" w:cs="Courier New"/>
        </w:rPr>
        <w:t>corporation</w:t>
      </w:r>
      <w:r w:rsidR="009C1EF5">
        <w:rPr>
          <w:rFonts w:ascii="Courier New" w:hAnsi="Courier New" w:cs="Courier New"/>
        </w:rPr>
        <w:t xml:space="preserve"> and an I.R.C. § 501(c)(3) </w:t>
      </w:r>
      <w:r w:rsidR="00217CAB">
        <w:rPr>
          <w:rFonts w:ascii="Courier New" w:hAnsi="Courier New" w:cs="Courier New"/>
        </w:rPr>
        <w:t>tax-exempt</w:t>
      </w:r>
      <w:r w:rsidR="009C1EF5">
        <w:rPr>
          <w:rFonts w:ascii="Courier New" w:hAnsi="Courier New" w:cs="Courier New"/>
        </w:rPr>
        <w:t xml:space="preserve"> organization.  </w:t>
      </w:r>
      <w:r w:rsidR="00FA6391">
        <w:rPr>
          <w:rFonts w:ascii="Courier New" w:hAnsi="Courier New" w:cs="Courier New"/>
        </w:rPr>
        <w:t xml:space="preserve">The record indicated that while Trimount Foundation generally holds title to Opus Dei properties, mission-specific entities are formed at the local level to operate each property, and Cedar Wood is one of those entities. </w:t>
      </w:r>
    </w:p>
    <w:p w:rsidR="00DC4F77" w:rsidRDefault="00FA6391" w:rsidP="00054609">
      <w:pPr>
        <w:spacing w:line="480" w:lineRule="auto"/>
        <w:ind w:firstLine="720"/>
        <w:jc w:val="both"/>
        <w:rPr>
          <w:rFonts w:ascii="Courier New" w:hAnsi="Courier New" w:cs="Courier New"/>
        </w:rPr>
      </w:pPr>
      <w:r>
        <w:rPr>
          <w:rFonts w:ascii="Courier New" w:hAnsi="Courier New" w:cs="Courier New"/>
        </w:rPr>
        <w:lastRenderedPageBreak/>
        <w:t>Th</w:t>
      </w:r>
      <w:r w:rsidR="00525FE1">
        <w:rPr>
          <w:rFonts w:ascii="Courier New" w:hAnsi="Courier New" w:cs="Courier New"/>
        </w:rPr>
        <w:t>e broad language of Cedar Wood’s</w:t>
      </w:r>
      <w:r>
        <w:rPr>
          <w:rFonts w:ascii="Courier New" w:hAnsi="Courier New" w:cs="Courier New"/>
        </w:rPr>
        <w:t xml:space="preserve"> </w:t>
      </w:r>
      <w:r w:rsidR="00217CAB">
        <w:rPr>
          <w:rFonts w:ascii="Courier New" w:hAnsi="Courier New" w:cs="Courier New"/>
        </w:rPr>
        <w:t>Articles of Organiza</w:t>
      </w:r>
      <w:r>
        <w:rPr>
          <w:rFonts w:ascii="Courier New" w:hAnsi="Courier New" w:cs="Courier New"/>
        </w:rPr>
        <w:t xml:space="preserve">tion state that its charitable purpose </w:t>
      </w:r>
      <w:r w:rsidR="00217CAB">
        <w:rPr>
          <w:rFonts w:ascii="Courier New" w:hAnsi="Courier New" w:cs="Courier New"/>
        </w:rPr>
        <w:t xml:space="preserve">is to “engage in any and all lawful activities related to educational, religious, charitable, scientific, or literary purposes within the meaning of I.R.C. § 501(c)(3).”  </w:t>
      </w:r>
      <w:r w:rsidR="00DC4F77">
        <w:rPr>
          <w:rFonts w:ascii="Courier New" w:hAnsi="Courier New" w:cs="Courier New"/>
        </w:rPr>
        <w:t>A more specific description of Cedar Wood’s mission is provided on its public website, a copy of which was entered into the record. It states:</w:t>
      </w:r>
    </w:p>
    <w:p w:rsidR="00E80F6E" w:rsidRDefault="00DC4F77" w:rsidP="001E64DC">
      <w:pPr>
        <w:ind w:left="720" w:right="720"/>
        <w:jc w:val="both"/>
        <w:rPr>
          <w:rFonts w:ascii="Courier New" w:hAnsi="Courier New" w:cs="Courier New"/>
        </w:rPr>
      </w:pPr>
      <w:r>
        <w:rPr>
          <w:rFonts w:ascii="Courier New" w:hAnsi="Courier New" w:cs="Courier New"/>
        </w:rPr>
        <w:t>Since 1985, Cedar Wood Foundation has inspired and supported women in their integral personal, professional and spiritual developments.  The programs offered by Cedar Wood are open to women of all races, creeds and ethnic backgrounds.  The spiritual and doctrinal formation offered at Cedar Wood is entrusted to Opus Dei, a personal prelature of the Catholic Church founded by St. Josemaria Escriva.  The mission of Opus Dei is to help people turn their daily activities and work into occasions of loving God, serving others and improving society.</w:t>
      </w:r>
    </w:p>
    <w:p w:rsidR="00DC4F77" w:rsidRDefault="00DC4F77" w:rsidP="001E64DC">
      <w:pPr>
        <w:ind w:left="720" w:right="720"/>
        <w:jc w:val="both"/>
        <w:rPr>
          <w:rFonts w:ascii="Courier New" w:hAnsi="Courier New" w:cs="Courier New"/>
        </w:rPr>
      </w:pPr>
      <w:r>
        <w:rPr>
          <w:rFonts w:ascii="Courier New" w:hAnsi="Courier New" w:cs="Courier New"/>
        </w:rPr>
        <w:t xml:space="preserve"> </w:t>
      </w:r>
    </w:p>
    <w:p w:rsidR="00054609" w:rsidRDefault="002530CF" w:rsidP="00E80F6E">
      <w:pPr>
        <w:spacing w:line="480" w:lineRule="auto"/>
        <w:jc w:val="both"/>
        <w:rPr>
          <w:rFonts w:ascii="Courier New" w:hAnsi="Courier New" w:cs="Courier New"/>
        </w:rPr>
      </w:pPr>
      <w:r>
        <w:rPr>
          <w:rFonts w:ascii="Courier New" w:hAnsi="Courier New" w:cs="Courier New"/>
        </w:rPr>
        <w:t>Dr. Kelly</w:t>
      </w:r>
      <w:r w:rsidR="00CE62C5">
        <w:rPr>
          <w:rFonts w:ascii="Courier New" w:hAnsi="Courier New" w:cs="Courier New"/>
        </w:rPr>
        <w:t>, who is the Director of Cedar Wood,</w:t>
      </w:r>
      <w:r>
        <w:rPr>
          <w:rFonts w:ascii="Courier New" w:hAnsi="Courier New" w:cs="Courier New"/>
        </w:rPr>
        <w:t xml:space="preserve"> testified about </w:t>
      </w:r>
      <w:r w:rsidR="00054609">
        <w:rPr>
          <w:rFonts w:ascii="Courier New" w:hAnsi="Courier New" w:cs="Courier New"/>
        </w:rPr>
        <w:t xml:space="preserve">the </w:t>
      </w:r>
      <w:r w:rsidR="001A0F84">
        <w:rPr>
          <w:rFonts w:ascii="Courier New" w:hAnsi="Courier New" w:cs="Courier New"/>
        </w:rPr>
        <w:t>layout</w:t>
      </w:r>
      <w:r w:rsidR="00D17339">
        <w:rPr>
          <w:rFonts w:ascii="Courier New" w:hAnsi="Courier New" w:cs="Courier New"/>
        </w:rPr>
        <w:t xml:space="preserve"> of the subject property and the </w:t>
      </w:r>
      <w:r w:rsidR="00054609">
        <w:rPr>
          <w:rFonts w:ascii="Courier New" w:hAnsi="Courier New" w:cs="Courier New"/>
        </w:rPr>
        <w:t xml:space="preserve">activities of the seven Numeraries who lived there during the </w:t>
      </w:r>
      <w:r w:rsidR="00D17339">
        <w:rPr>
          <w:rFonts w:ascii="Courier New" w:hAnsi="Courier New" w:cs="Courier New"/>
        </w:rPr>
        <w:t>periods relevant to these appeals.</w:t>
      </w:r>
    </w:p>
    <w:p w:rsidR="00D17339" w:rsidRDefault="00D17339" w:rsidP="00054609">
      <w:pPr>
        <w:spacing w:line="480" w:lineRule="auto"/>
        <w:ind w:firstLine="720"/>
        <w:jc w:val="both"/>
        <w:rPr>
          <w:rFonts w:ascii="Courier New" w:hAnsi="Courier New" w:cs="Courier New"/>
        </w:rPr>
      </w:pPr>
      <w:r>
        <w:rPr>
          <w:rFonts w:ascii="Courier New" w:hAnsi="Courier New" w:cs="Courier New"/>
        </w:rPr>
        <w:t xml:space="preserve">The subject property has three floors and a basement level.  </w:t>
      </w:r>
      <w:r w:rsidR="004D5ADC">
        <w:rPr>
          <w:rFonts w:ascii="Courier New" w:hAnsi="Courier New" w:cs="Courier New"/>
        </w:rPr>
        <w:t xml:space="preserve">In the basement level there were classrooms, an office, bathrooms, a laundry room, </w:t>
      </w:r>
      <w:r w:rsidR="00800C30">
        <w:rPr>
          <w:rFonts w:ascii="Courier New" w:hAnsi="Courier New" w:cs="Courier New"/>
        </w:rPr>
        <w:t>a utility area</w:t>
      </w:r>
      <w:r w:rsidR="004D5ADC">
        <w:rPr>
          <w:rFonts w:ascii="Courier New" w:hAnsi="Courier New" w:cs="Courier New"/>
        </w:rPr>
        <w:t xml:space="preserve">, and a storage area.  On the first floor there was a kitchen, dining room, living room, offices, a </w:t>
      </w:r>
      <w:r w:rsidR="00800C30">
        <w:rPr>
          <w:rFonts w:ascii="Courier New" w:hAnsi="Courier New" w:cs="Courier New"/>
        </w:rPr>
        <w:t xml:space="preserve">lounge, </w:t>
      </w:r>
      <w:r w:rsidR="004E7AD8">
        <w:rPr>
          <w:rFonts w:ascii="Courier New" w:hAnsi="Courier New" w:cs="Courier New"/>
        </w:rPr>
        <w:t xml:space="preserve">a </w:t>
      </w:r>
      <w:r w:rsidR="00800C30">
        <w:rPr>
          <w:rFonts w:ascii="Courier New" w:hAnsi="Courier New" w:cs="Courier New"/>
        </w:rPr>
        <w:t xml:space="preserve">foyer, </w:t>
      </w:r>
      <w:r w:rsidR="004D5ADC">
        <w:rPr>
          <w:rFonts w:ascii="Courier New" w:hAnsi="Courier New" w:cs="Courier New"/>
        </w:rPr>
        <w:t>a chapel, a space for hearing confessions, and a sacristy, which i</w:t>
      </w:r>
      <w:r w:rsidR="00800C30">
        <w:rPr>
          <w:rFonts w:ascii="Courier New" w:hAnsi="Courier New" w:cs="Courier New"/>
        </w:rPr>
        <w:t xml:space="preserve">s where items used during a Mass are stored.  The second floor had four bedrooms, four </w:t>
      </w:r>
      <w:r w:rsidR="00800C30">
        <w:rPr>
          <w:rFonts w:ascii="Courier New" w:hAnsi="Courier New" w:cs="Courier New"/>
        </w:rPr>
        <w:lastRenderedPageBreak/>
        <w:t xml:space="preserve">bathrooms, a sitting room, a library, and an office.  Finally, the third floor had three additional bedrooms, two guest rooms, a lounge, and two additional bathrooms.  </w:t>
      </w:r>
    </w:p>
    <w:p w:rsidR="00B03C15" w:rsidRDefault="00E110A6" w:rsidP="00117E2B">
      <w:pPr>
        <w:spacing w:line="480" w:lineRule="auto"/>
        <w:ind w:firstLine="720"/>
        <w:jc w:val="both"/>
        <w:rPr>
          <w:rFonts w:ascii="Courier New" w:hAnsi="Courier New" w:cs="Courier New"/>
        </w:rPr>
      </w:pPr>
      <w:r>
        <w:rPr>
          <w:rFonts w:ascii="Courier New" w:hAnsi="Courier New" w:cs="Courier New"/>
        </w:rPr>
        <w:t xml:space="preserve">Living as a Numerary involves considerable time dedicated to prayer and worship in community with other Numeraries.  As </w:t>
      </w:r>
      <w:r w:rsidR="006D3101">
        <w:rPr>
          <w:rFonts w:ascii="Courier New" w:hAnsi="Courier New" w:cs="Courier New"/>
        </w:rPr>
        <w:t>such, the Numeraries residing</w:t>
      </w:r>
      <w:r>
        <w:rPr>
          <w:rFonts w:ascii="Courier New" w:hAnsi="Courier New" w:cs="Courier New"/>
        </w:rPr>
        <w:t xml:space="preserve"> at the subject property </w:t>
      </w:r>
      <w:r w:rsidR="000F5ACB">
        <w:rPr>
          <w:rFonts w:ascii="Courier New" w:hAnsi="Courier New" w:cs="Courier New"/>
        </w:rPr>
        <w:t xml:space="preserve">typically </w:t>
      </w:r>
      <w:r w:rsidR="00F21C61">
        <w:rPr>
          <w:rFonts w:ascii="Courier New" w:hAnsi="Courier New" w:cs="Courier New"/>
        </w:rPr>
        <w:t>gather</w:t>
      </w:r>
      <w:r w:rsidR="00CD4EE6">
        <w:rPr>
          <w:rFonts w:ascii="Courier New" w:hAnsi="Courier New" w:cs="Courier New"/>
        </w:rPr>
        <w:t xml:space="preserve"> each morning </w:t>
      </w:r>
      <w:r>
        <w:rPr>
          <w:rFonts w:ascii="Courier New" w:hAnsi="Courier New" w:cs="Courier New"/>
        </w:rPr>
        <w:t>in the subject property’s chapel</w:t>
      </w:r>
      <w:r w:rsidR="00CD4EE6">
        <w:rPr>
          <w:rFonts w:ascii="Courier New" w:hAnsi="Courier New" w:cs="Courier New"/>
        </w:rPr>
        <w:t xml:space="preserve"> for Mass</w:t>
      </w:r>
      <w:r w:rsidR="00F21C61">
        <w:rPr>
          <w:rFonts w:ascii="Courier New" w:hAnsi="Courier New" w:cs="Courier New"/>
        </w:rPr>
        <w:t>, which is</w:t>
      </w:r>
      <w:r w:rsidR="00525FE1">
        <w:rPr>
          <w:rFonts w:ascii="Courier New" w:hAnsi="Courier New" w:cs="Courier New"/>
        </w:rPr>
        <w:t xml:space="preserve"> said by a visiting p</w:t>
      </w:r>
      <w:r>
        <w:rPr>
          <w:rFonts w:ascii="Courier New" w:hAnsi="Courier New" w:cs="Courier New"/>
        </w:rPr>
        <w:t xml:space="preserve">riest.  </w:t>
      </w:r>
      <w:r w:rsidR="005A211D">
        <w:rPr>
          <w:rFonts w:ascii="Courier New" w:hAnsi="Courier New" w:cs="Courier New"/>
        </w:rPr>
        <w:t>Numeraries are also expected to have communal evening meals with one another, and again, pray together and discuss</w:t>
      </w:r>
      <w:r w:rsidR="000F5ACB">
        <w:rPr>
          <w:rFonts w:ascii="Courier New" w:hAnsi="Courier New" w:cs="Courier New"/>
        </w:rPr>
        <w:t xml:space="preserve"> and plan the activities of </w:t>
      </w:r>
      <w:r w:rsidR="00525FE1">
        <w:rPr>
          <w:rFonts w:ascii="Courier New" w:hAnsi="Courier New" w:cs="Courier New"/>
        </w:rPr>
        <w:t>the center</w:t>
      </w:r>
      <w:r w:rsidR="005A211D">
        <w:rPr>
          <w:rFonts w:ascii="Courier New" w:hAnsi="Courier New" w:cs="Courier New"/>
        </w:rPr>
        <w:t>.  In between those d</w:t>
      </w:r>
      <w:r w:rsidR="00F21C61">
        <w:rPr>
          <w:rFonts w:ascii="Courier New" w:hAnsi="Courier New" w:cs="Courier New"/>
        </w:rPr>
        <w:t xml:space="preserve">aily bookends, Numeraries </w:t>
      </w:r>
      <w:r w:rsidR="005A211D">
        <w:rPr>
          <w:rFonts w:ascii="Courier New" w:hAnsi="Courier New" w:cs="Courier New"/>
        </w:rPr>
        <w:t>generally l</w:t>
      </w:r>
      <w:r w:rsidR="00F21C61">
        <w:rPr>
          <w:rFonts w:ascii="Courier New" w:hAnsi="Courier New" w:cs="Courier New"/>
        </w:rPr>
        <w:t xml:space="preserve">eave to go to their own </w:t>
      </w:r>
      <w:r w:rsidR="005A211D">
        <w:rPr>
          <w:rFonts w:ascii="Courier New" w:hAnsi="Courier New" w:cs="Courier New"/>
        </w:rPr>
        <w:t>places of employment.</w:t>
      </w:r>
      <w:r w:rsidR="00A13E1E">
        <w:rPr>
          <w:rStyle w:val="FootnoteReference"/>
          <w:rFonts w:ascii="Courier New" w:hAnsi="Courier New" w:cs="Courier New"/>
        </w:rPr>
        <w:footnoteReference w:id="5"/>
      </w:r>
      <w:r w:rsidR="005A211D">
        <w:rPr>
          <w:rFonts w:ascii="Courier New" w:hAnsi="Courier New" w:cs="Courier New"/>
        </w:rPr>
        <w:t xml:space="preserve"> </w:t>
      </w:r>
      <w:r w:rsidR="00B03C15">
        <w:rPr>
          <w:rFonts w:ascii="Courier New" w:hAnsi="Courier New" w:cs="Courier New"/>
        </w:rPr>
        <w:t>However, Dr. Kelly testified that the Num</w:t>
      </w:r>
      <w:r w:rsidR="00A32A78">
        <w:rPr>
          <w:rFonts w:ascii="Courier New" w:hAnsi="Courier New" w:cs="Courier New"/>
        </w:rPr>
        <w:t xml:space="preserve">eraries intentionally stagger </w:t>
      </w:r>
      <w:r w:rsidR="00B03C15">
        <w:rPr>
          <w:rFonts w:ascii="Courier New" w:hAnsi="Courier New" w:cs="Courier New"/>
        </w:rPr>
        <w:t>the</w:t>
      </w:r>
      <w:r w:rsidR="00A32A78">
        <w:rPr>
          <w:rFonts w:ascii="Courier New" w:hAnsi="Courier New" w:cs="Courier New"/>
        </w:rPr>
        <w:t>ir schedules so that someone is</w:t>
      </w:r>
      <w:r w:rsidR="004E5B4D">
        <w:rPr>
          <w:rFonts w:ascii="Courier New" w:hAnsi="Courier New" w:cs="Courier New"/>
        </w:rPr>
        <w:t xml:space="preserve"> </w:t>
      </w:r>
      <w:r w:rsidR="00B03C15">
        <w:rPr>
          <w:rFonts w:ascii="Courier New" w:hAnsi="Courier New" w:cs="Courier New"/>
        </w:rPr>
        <w:t xml:space="preserve">nearly always present at the subject </w:t>
      </w:r>
      <w:r w:rsidR="00F21C61">
        <w:rPr>
          <w:rFonts w:ascii="Courier New" w:hAnsi="Courier New" w:cs="Courier New"/>
        </w:rPr>
        <w:t xml:space="preserve">property due to the constant activities taking place there.  </w:t>
      </w:r>
    </w:p>
    <w:p w:rsidR="00660C85" w:rsidRDefault="00F8135B" w:rsidP="00660C85">
      <w:pPr>
        <w:spacing w:line="480" w:lineRule="auto"/>
        <w:ind w:firstLine="720"/>
        <w:jc w:val="both"/>
        <w:rPr>
          <w:rFonts w:ascii="Courier New" w:hAnsi="Courier New" w:cs="Courier New"/>
        </w:rPr>
      </w:pPr>
      <w:r>
        <w:rPr>
          <w:rFonts w:ascii="Courier New" w:hAnsi="Courier New" w:cs="Courier New"/>
        </w:rPr>
        <w:t xml:space="preserve">The record showed that the subject property offered a host of programs during the fiscal years at issue.  </w:t>
      </w:r>
      <w:r w:rsidR="00660C85">
        <w:rPr>
          <w:rFonts w:ascii="Courier New" w:hAnsi="Courier New" w:cs="Courier New"/>
        </w:rPr>
        <w:t>The size and subject of these programs varied. Some were in the nature of classes</w:t>
      </w:r>
      <w:r w:rsidR="00C933AE">
        <w:rPr>
          <w:rFonts w:ascii="Courier New" w:hAnsi="Courier New" w:cs="Courier New"/>
        </w:rPr>
        <w:t xml:space="preserve"> while others were lectures or </w:t>
      </w:r>
      <w:r w:rsidR="00660C85">
        <w:rPr>
          <w:rFonts w:ascii="Courier New" w:hAnsi="Courier New" w:cs="Courier New"/>
        </w:rPr>
        <w:t>workshops.</w:t>
      </w:r>
      <w:r w:rsidR="00491569">
        <w:rPr>
          <w:rFonts w:ascii="Courier New" w:hAnsi="Courier New" w:cs="Courier New"/>
        </w:rPr>
        <w:t xml:space="preserve"> </w:t>
      </w:r>
      <w:r w:rsidR="00C933AE">
        <w:rPr>
          <w:rFonts w:ascii="Courier New" w:hAnsi="Courier New" w:cs="Courier New"/>
        </w:rPr>
        <w:t xml:space="preserve">Some were for groups while others were for individuals.  </w:t>
      </w:r>
      <w:r w:rsidR="00491569">
        <w:rPr>
          <w:rFonts w:ascii="Courier New" w:hAnsi="Courier New" w:cs="Courier New"/>
        </w:rPr>
        <w:t>Some wer</w:t>
      </w:r>
      <w:r w:rsidR="000F5ACB">
        <w:rPr>
          <w:rFonts w:ascii="Courier New" w:hAnsi="Courier New" w:cs="Courier New"/>
        </w:rPr>
        <w:t>e directed at teens and youth</w:t>
      </w:r>
      <w:r w:rsidR="00491569">
        <w:rPr>
          <w:rFonts w:ascii="Courier New" w:hAnsi="Courier New" w:cs="Courier New"/>
        </w:rPr>
        <w:t xml:space="preserve"> while others were offered for adults. </w:t>
      </w:r>
      <w:r w:rsidR="00D36874">
        <w:rPr>
          <w:rFonts w:ascii="Courier New" w:hAnsi="Courier New" w:cs="Courier New"/>
        </w:rPr>
        <w:t xml:space="preserve"> Some were </w:t>
      </w:r>
      <w:r w:rsidR="00D36874">
        <w:rPr>
          <w:rFonts w:ascii="Courier New" w:hAnsi="Courier New" w:cs="Courier New"/>
        </w:rPr>
        <w:lastRenderedPageBreak/>
        <w:t>faith focused while others were oriented to professional or vocatio</w:t>
      </w:r>
      <w:r w:rsidR="00525FE1">
        <w:rPr>
          <w:rFonts w:ascii="Courier New" w:hAnsi="Courier New" w:cs="Courier New"/>
        </w:rPr>
        <w:t>nal training</w:t>
      </w:r>
      <w:r w:rsidR="00D36874">
        <w:rPr>
          <w:rFonts w:ascii="Courier New" w:hAnsi="Courier New" w:cs="Courier New"/>
        </w:rPr>
        <w:t xml:space="preserve">. </w:t>
      </w:r>
      <w:r w:rsidR="00CD4EE6">
        <w:rPr>
          <w:rFonts w:ascii="Courier New" w:hAnsi="Courier New" w:cs="Courier New"/>
        </w:rPr>
        <w:t>Free on-site daycare</w:t>
      </w:r>
      <w:r w:rsidR="002F0C05">
        <w:rPr>
          <w:rFonts w:ascii="Courier New" w:hAnsi="Courier New" w:cs="Courier New"/>
        </w:rPr>
        <w:t xml:space="preserve"> was offered to program participants in conjunction with many of the programs.  </w:t>
      </w:r>
    </w:p>
    <w:p w:rsidR="00AE52B2" w:rsidRDefault="00D36874" w:rsidP="00660C85">
      <w:pPr>
        <w:spacing w:line="480" w:lineRule="auto"/>
        <w:ind w:firstLine="720"/>
        <w:jc w:val="both"/>
        <w:rPr>
          <w:rFonts w:ascii="Courier New" w:hAnsi="Courier New" w:cs="Courier New"/>
        </w:rPr>
      </w:pPr>
      <w:r>
        <w:rPr>
          <w:rFonts w:ascii="Courier New" w:hAnsi="Courier New" w:cs="Courier New"/>
        </w:rPr>
        <w:t xml:space="preserve">Some of the programs were </w:t>
      </w:r>
      <w:r w:rsidR="0060141E">
        <w:rPr>
          <w:rFonts w:ascii="Courier New" w:hAnsi="Courier New" w:cs="Courier New"/>
        </w:rPr>
        <w:t>ongoing</w:t>
      </w:r>
      <w:r>
        <w:rPr>
          <w:rFonts w:ascii="Courier New" w:hAnsi="Courier New" w:cs="Courier New"/>
        </w:rPr>
        <w:t xml:space="preserve"> while others were one-day events. </w:t>
      </w:r>
      <w:r w:rsidR="00AE52B2">
        <w:rPr>
          <w:rFonts w:ascii="Courier New" w:hAnsi="Courier New" w:cs="Courier New"/>
        </w:rPr>
        <w:t xml:space="preserve">One </w:t>
      </w:r>
      <w:r w:rsidR="0060141E">
        <w:rPr>
          <w:rFonts w:ascii="Courier New" w:hAnsi="Courier New" w:cs="Courier New"/>
        </w:rPr>
        <w:t>ongoing</w:t>
      </w:r>
      <w:r>
        <w:rPr>
          <w:rFonts w:ascii="Courier New" w:hAnsi="Courier New" w:cs="Courier New"/>
        </w:rPr>
        <w:t xml:space="preserve"> </w:t>
      </w:r>
      <w:r w:rsidR="00AE52B2">
        <w:rPr>
          <w:rFonts w:ascii="Courier New" w:hAnsi="Courier New" w:cs="Courier New"/>
        </w:rPr>
        <w:t xml:space="preserve">offering was called “The Faith Explained.” During 2015, that course was offered at the subject property on Saturday mornings from 10:00 a.m. to 12:00 p.m., twice monthly from February through May.  In 2016, it was offered at the same time on Friday mornings, on a monthly basis from October through August. </w:t>
      </w:r>
      <w:r w:rsidR="00F8135B">
        <w:rPr>
          <w:rFonts w:ascii="Courier New" w:hAnsi="Courier New" w:cs="Courier New"/>
        </w:rPr>
        <w:t xml:space="preserve"> </w:t>
      </w:r>
      <w:r>
        <w:rPr>
          <w:rFonts w:ascii="Courier New" w:hAnsi="Courier New" w:cs="Courier New"/>
        </w:rPr>
        <w:t xml:space="preserve">Another </w:t>
      </w:r>
      <w:r w:rsidR="0060141E">
        <w:rPr>
          <w:rFonts w:ascii="Courier New" w:hAnsi="Courier New" w:cs="Courier New"/>
        </w:rPr>
        <w:t>ongoing</w:t>
      </w:r>
      <w:r>
        <w:rPr>
          <w:rFonts w:ascii="Courier New" w:hAnsi="Courier New" w:cs="Courier New"/>
        </w:rPr>
        <w:t xml:space="preserve"> program was called “Study and Career Nights at Cedar Wood,” which was o</w:t>
      </w:r>
      <w:r w:rsidR="004A2570">
        <w:rPr>
          <w:rFonts w:ascii="Courier New" w:hAnsi="Courier New" w:cs="Courier New"/>
        </w:rPr>
        <w:t xml:space="preserve">ffered to high school girls on </w:t>
      </w:r>
      <w:r>
        <w:rPr>
          <w:rFonts w:ascii="Courier New" w:hAnsi="Courier New" w:cs="Courier New"/>
        </w:rPr>
        <w:t>two Tuesdays a month from 4:00 p.m. to 8:00 p.m</w:t>
      </w:r>
      <w:r w:rsidR="004A2570">
        <w:rPr>
          <w:rFonts w:ascii="Courier New" w:hAnsi="Courier New" w:cs="Courier New"/>
        </w:rPr>
        <w:t>.,</w:t>
      </w:r>
      <w:r>
        <w:rPr>
          <w:rFonts w:ascii="Courier New" w:hAnsi="Courier New" w:cs="Courier New"/>
        </w:rPr>
        <w:t xml:space="preserve"> from October through January.  </w:t>
      </w:r>
      <w:r w:rsidR="00D87B93">
        <w:rPr>
          <w:rFonts w:ascii="Courier New" w:hAnsi="Courier New" w:cs="Courier New"/>
        </w:rPr>
        <w:t xml:space="preserve">A popular </w:t>
      </w:r>
      <w:r w:rsidR="0060141E">
        <w:rPr>
          <w:rFonts w:ascii="Courier New" w:hAnsi="Courier New" w:cs="Courier New"/>
        </w:rPr>
        <w:t>ongoing</w:t>
      </w:r>
      <w:r w:rsidR="00D87B93">
        <w:rPr>
          <w:rFonts w:ascii="Courier New" w:hAnsi="Courier New" w:cs="Courier New"/>
        </w:rPr>
        <w:t xml:space="preserve"> offering held at Cedar Wood was called “The Art of Living,” which was held one day a week for two hours over a period of months.  “The Art of Living” taught homemaking s</w:t>
      </w:r>
      <w:r w:rsidR="00837582">
        <w:rPr>
          <w:rFonts w:ascii="Courier New" w:hAnsi="Courier New" w:cs="Courier New"/>
        </w:rPr>
        <w:t>k</w:t>
      </w:r>
      <w:r w:rsidR="00D87B93">
        <w:rPr>
          <w:rFonts w:ascii="Courier New" w:hAnsi="Courier New" w:cs="Courier New"/>
        </w:rPr>
        <w:t xml:space="preserve">ills such as sewing and cooking, and there was a program for adults and a separate junior club for teenagers.  </w:t>
      </w:r>
      <w:r>
        <w:rPr>
          <w:rFonts w:ascii="Courier New" w:hAnsi="Courier New" w:cs="Courier New"/>
        </w:rPr>
        <w:t xml:space="preserve">Additional </w:t>
      </w:r>
      <w:r w:rsidR="0060141E">
        <w:rPr>
          <w:rFonts w:ascii="Courier New" w:hAnsi="Courier New" w:cs="Courier New"/>
        </w:rPr>
        <w:t>ongoing</w:t>
      </w:r>
      <w:r>
        <w:rPr>
          <w:rFonts w:ascii="Courier New" w:hAnsi="Courier New" w:cs="Courier New"/>
        </w:rPr>
        <w:t xml:space="preserve"> events included weekend spiritual retreats, which were offered on a seasonal basis at the subject property during the fiscal years at issue.</w:t>
      </w:r>
    </w:p>
    <w:p w:rsidR="00D01675" w:rsidRDefault="00D36874" w:rsidP="002F0C05">
      <w:pPr>
        <w:spacing w:line="480" w:lineRule="auto"/>
        <w:ind w:firstLine="720"/>
        <w:jc w:val="both"/>
        <w:rPr>
          <w:rFonts w:ascii="Courier New" w:hAnsi="Courier New" w:cs="Courier New"/>
        </w:rPr>
      </w:pPr>
      <w:r>
        <w:rPr>
          <w:rFonts w:ascii="Courier New" w:hAnsi="Courier New" w:cs="Courier New"/>
        </w:rPr>
        <w:t xml:space="preserve">There were also many one-day events. </w:t>
      </w:r>
      <w:r w:rsidR="00F8135B">
        <w:rPr>
          <w:rFonts w:ascii="Courier New" w:hAnsi="Courier New" w:cs="Courier New"/>
        </w:rPr>
        <w:t>Examples in the record of these types of even</w:t>
      </w:r>
      <w:r>
        <w:rPr>
          <w:rFonts w:ascii="Courier New" w:hAnsi="Courier New" w:cs="Courier New"/>
        </w:rPr>
        <w:t>t</w:t>
      </w:r>
      <w:r w:rsidR="00F8135B">
        <w:rPr>
          <w:rFonts w:ascii="Courier New" w:hAnsi="Courier New" w:cs="Courier New"/>
        </w:rPr>
        <w:t>s included: a one-day program called “Architecture and Interior Design Shop,” a seminar for high school girls; “Mothers and Daughters Bonding in Style,” a one-</w:t>
      </w:r>
      <w:r w:rsidR="00F8135B">
        <w:rPr>
          <w:rFonts w:ascii="Courier New" w:hAnsi="Courier New" w:cs="Courier New"/>
        </w:rPr>
        <w:lastRenderedPageBreak/>
        <w:t>day fashion seminar encouraging mothers and daughte</w:t>
      </w:r>
      <w:r w:rsidR="00CE62C5">
        <w:rPr>
          <w:rFonts w:ascii="Courier New" w:hAnsi="Courier New" w:cs="Courier New"/>
        </w:rPr>
        <w:t xml:space="preserve">rs to learn more about fashion </w:t>
      </w:r>
      <w:r w:rsidR="00F8135B">
        <w:rPr>
          <w:rFonts w:ascii="Courier New" w:hAnsi="Courier New" w:cs="Courier New"/>
        </w:rPr>
        <w:t xml:space="preserve">and one another; </w:t>
      </w:r>
      <w:r>
        <w:rPr>
          <w:rFonts w:ascii="Courier New" w:hAnsi="Courier New" w:cs="Courier New"/>
        </w:rPr>
        <w:t xml:space="preserve">a nursing seminar; </w:t>
      </w:r>
      <w:r w:rsidR="000B050A">
        <w:rPr>
          <w:rFonts w:ascii="Courier New" w:hAnsi="Courier New" w:cs="Courier New"/>
        </w:rPr>
        <w:t xml:space="preserve">an event called “Poetry Opens the World,” </w:t>
      </w:r>
      <w:r w:rsidR="00CE62C5">
        <w:rPr>
          <w:rFonts w:ascii="Courier New" w:hAnsi="Courier New" w:cs="Courier New"/>
        </w:rPr>
        <w:t xml:space="preserve">which was </w:t>
      </w:r>
      <w:r w:rsidR="000B050A">
        <w:rPr>
          <w:rFonts w:ascii="Courier New" w:hAnsi="Courier New" w:cs="Courier New"/>
        </w:rPr>
        <w:t>an evening with an interna</w:t>
      </w:r>
      <w:r w:rsidR="00920F3E">
        <w:rPr>
          <w:rFonts w:ascii="Courier New" w:hAnsi="Courier New" w:cs="Courier New"/>
        </w:rPr>
        <w:t xml:space="preserve">tionally </w:t>
      </w:r>
      <w:r w:rsidR="00CE62C5">
        <w:rPr>
          <w:rFonts w:ascii="Courier New" w:hAnsi="Courier New" w:cs="Courier New"/>
        </w:rPr>
        <w:t>recognized poe</w:t>
      </w:r>
      <w:r w:rsidR="00920F3E">
        <w:rPr>
          <w:rFonts w:ascii="Courier New" w:hAnsi="Courier New" w:cs="Courier New"/>
        </w:rPr>
        <w:t>t that included</w:t>
      </w:r>
      <w:r w:rsidR="000F5ACB">
        <w:rPr>
          <w:rFonts w:ascii="Courier New" w:hAnsi="Courier New" w:cs="Courier New"/>
        </w:rPr>
        <w:t xml:space="preserve"> </w:t>
      </w:r>
      <w:r w:rsidR="000B050A">
        <w:rPr>
          <w:rFonts w:ascii="Courier New" w:hAnsi="Courier New" w:cs="Courier New"/>
        </w:rPr>
        <w:t>a wine-and-cheese reception;</w:t>
      </w:r>
      <w:r w:rsidR="002F0C05">
        <w:rPr>
          <w:rFonts w:ascii="Courier New" w:hAnsi="Courier New" w:cs="Courier New"/>
        </w:rPr>
        <w:t xml:space="preserve"> and a creative calligraphy workshop.  An annual holiday event, called “Christmas at Cedar Wood,” was also offered each December, featuring Christmas carols, refreshments, and a homily.  </w:t>
      </w:r>
    </w:p>
    <w:p w:rsidR="00117E2B" w:rsidRDefault="004A2570" w:rsidP="00D5732F">
      <w:pPr>
        <w:spacing w:line="480" w:lineRule="auto"/>
        <w:ind w:firstLine="720"/>
        <w:jc w:val="both"/>
        <w:rPr>
          <w:rFonts w:ascii="Courier New" w:hAnsi="Courier New" w:cs="Courier New"/>
        </w:rPr>
      </w:pPr>
      <w:r>
        <w:rPr>
          <w:rFonts w:ascii="Courier New" w:hAnsi="Courier New" w:cs="Courier New"/>
        </w:rPr>
        <w:t>A</w:t>
      </w:r>
      <w:r w:rsidR="00F00F3C">
        <w:rPr>
          <w:rFonts w:ascii="Courier New" w:hAnsi="Courier New" w:cs="Courier New"/>
        </w:rPr>
        <w:t>lthough some of the programs offered by Cedar Wood took place offsite, Dr. Kelly explained that the subject property was used as the planning place f</w:t>
      </w:r>
      <w:r w:rsidR="00454851">
        <w:rPr>
          <w:rFonts w:ascii="Courier New" w:hAnsi="Courier New" w:cs="Courier New"/>
        </w:rPr>
        <w:t>or those activities</w:t>
      </w:r>
      <w:r w:rsidR="00F00F3C">
        <w:rPr>
          <w:rFonts w:ascii="Courier New" w:hAnsi="Courier New" w:cs="Courier New"/>
        </w:rPr>
        <w:t>. For example, one of Cedar Wood’s annual offerings is a summer camp called Camp Mattake</w:t>
      </w:r>
      <w:r w:rsidR="008117FF">
        <w:rPr>
          <w:rFonts w:ascii="Courier New" w:hAnsi="Courier New" w:cs="Courier New"/>
        </w:rPr>
        <w:t>e</w:t>
      </w:r>
      <w:r w:rsidR="00F00F3C">
        <w:rPr>
          <w:rFonts w:ascii="Courier New" w:hAnsi="Courier New" w:cs="Courier New"/>
        </w:rPr>
        <w:t xml:space="preserve">ssett.  </w:t>
      </w:r>
      <w:r w:rsidR="004D5ADC">
        <w:rPr>
          <w:rFonts w:ascii="Courier New" w:hAnsi="Courier New" w:cs="Courier New"/>
        </w:rPr>
        <w:t>Located in New Hampshire</w:t>
      </w:r>
      <w:r w:rsidR="00454851">
        <w:rPr>
          <w:rFonts w:ascii="Courier New" w:hAnsi="Courier New" w:cs="Courier New"/>
        </w:rPr>
        <w:t>, i</w:t>
      </w:r>
      <w:r w:rsidR="00F00F3C">
        <w:rPr>
          <w:rFonts w:ascii="Courier New" w:hAnsi="Courier New" w:cs="Courier New"/>
        </w:rPr>
        <w:t xml:space="preserve">t </w:t>
      </w:r>
      <w:r w:rsidR="00454851">
        <w:rPr>
          <w:rFonts w:ascii="Courier New" w:hAnsi="Courier New" w:cs="Courier New"/>
        </w:rPr>
        <w:t>provides</w:t>
      </w:r>
      <w:r w:rsidR="00920F3E">
        <w:rPr>
          <w:rFonts w:ascii="Courier New" w:hAnsi="Courier New" w:cs="Courier New"/>
        </w:rPr>
        <w:t xml:space="preserve"> 250 children each year with a five</w:t>
      </w:r>
      <w:r w:rsidR="00F00F3C">
        <w:rPr>
          <w:rFonts w:ascii="Courier New" w:hAnsi="Courier New" w:cs="Courier New"/>
        </w:rPr>
        <w:t xml:space="preserve">-day summer camp </w:t>
      </w:r>
      <w:r w:rsidR="00454851">
        <w:rPr>
          <w:rFonts w:ascii="Courier New" w:hAnsi="Courier New" w:cs="Courier New"/>
        </w:rPr>
        <w:t xml:space="preserve">at which they can enjoy sports and leisure activities along with prayer and Mass. Dr. Kelly testified that although the camp itself takes place offsite, the considerable planning and organization for it all takes place at the subject property. </w:t>
      </w:r>
      <w:r w:rsidR="008117FF">
        <w:rPr>
          <w:rFonts w:ascii="Courier New" w:hAnsi="Courier New" w:cs="Courier New"/>
        </w:rPr>
        <w:t xml:space="preserve">There were also events held at larger affiliate facilities located in Boston and in Pembroke, but those, too, were sponsored by Cedar Wood and the planning and organization for them took place at the subject property.  </w:t>
      </w:r>
    </w:p>
    <w:p w:rsidR="00F00F3C" w:rsidRDefault="00454851" w:rsidP="00D5732F">
      <w:pPr>
        <w:spacing w:line="480" w:lineRule="auto"/>
        <w:ind w:firstLine="720"/>
        <w:jc w:val="both"/>
        <w:rPr>
          <w:rFonts w:ascii="Courier New" w:hAnsi="Courier New" w:cs="Courier New"/>
        </w:rPr>
      </w:pPr>
      <w:r>
        <w:rPr>
          <w:rFonts w:ascii="Courier New" w:hAnsi="Courier New" w:cs="Courier New"/>
        </w:rPr>
        <w:t>Similarly, Dr. Kelly testified that the sub</w:t>
      </w:r>
      <w:r w:rsidR="00CE62C5">
        <w:rPr>
          <w:rFonts w:ascii="Courier New" w:hAnsi="Courier New" w:cs="Courier New"/>
        </w:rPr>
        <w:t xml:space="preserve">ject property may be used as the place of departure and return </w:t>
      </w:r>
      <w:r>
        <w:rPr>
          <w:rFonts w:ascii="Courier New" w:hAnsi="Courier New" w:cs="Courier New"/>
        </w:rPr>
        <w:t xml:space="preserve">for some of </w:t>
      </w:r>
      <w:r>
        <w:rPr>
          <w:rFonts w:ascii="Courier New" w:hAnsi="Courier New" w:cs="Courier New"/>
        </w:rPr>
        <w:lastRenderedPageBreak/>
        <w:t>Cedar Wood’s charitable pursui</w:t>
      </w:r>
      <w:r w:rsidR="00AB71FF">
        <w:rPr>
          <w:rFonts w:ascii="Courier New" w:hAnsi="Courier New" w:cs="Courier New"/>
        </w:rPr>
        <w:t xml:space="preserve">ts.  For example, some of the </w:t>
      </w:r>
      <w:r>
        <w:rPr>
          <w:rFonts w:ascii="Courier New" w:hAnsi="Courier New" w:cs="Courier New"/>
        </w:rPr>
        <w:t xml:space="preserve">youth group </w:t>
      </w:r>
      <w:r w:rsidR="00AB71FF">
        <w:rPr>
          <w:rFonts w:ascii="Courier New" w:hAnsi="Courier New" w:cs="Courier New"/>
        </w:rPr>
        <w:t xml:space="preserve">activities include visits to nursing homes or soup kitchens. </w:t>
      </w:r>
      <w:r>
        <w:rPr>
          <w:rFonts w:ascii="Courier New" w:hAnsi="Courier New" w:cs="Courier New"/>
        </w:rPr>
        <w:t xml:space="preserve"> Dr. Kelly testified that </w:t>
      </w:r>
      <w:r w:rsidR="00CE62C5">
        <w:rPr>
          <w:rFonts w:ascii="Courier New" w:hAnsi="Courier New" w:cs="Courier New"/>
        </w:rPr>
        <w:t>they drive to those destinations as a group</w:t>
      </w:r>
      <w:r>
        <w:rPr>
          <w:rFonts w:ascii="Courier New" w:hAnsi="Courier New" w:cs="Courier New"/>
        </w:rPr>
        <w:t xml:space="preserve">, leaving from and returning to the subject property.  </w:t>
      </w:r>
    </w:p>
    <w:p w:rsidR="00234389" w:rsidRDefault="00234389" w:rsidP="00234389">
      <w:pPr>
        <w:spacing w:line="480" w:lineRule="auto"/>
        <w:ind w:firstLine="720"/>
        <w:jc w:val="both"/>
        <w:rPr>
          <w:rFonts w:ascii="Courier New" w:hAnsi="Courier New" w:cs="Courier New"/>
        </w:rPr>
      </w:pPr>
      <w:r>
        <w:rPr>
          <w:rFonts w:ascii="Courier New" w:hAnsi="Courier New" w:cs="Courier New"/>
        </w:rPr>
        <w:t xml:space="preserve">Finally, Numeraries were expected to offer </w:t>
      </w:r>
      <w:r w:rsidR="0060141E">
        <w:rPr>
          <w:rFonts w:ascii="Courier New" w:hAnsi="Courier New" w:cs="Courier New"/>
        </w:rPr>
        <w:t>ongoing</w:t>
      </w:r>
      <w:r>
        <w:rPr>
          <w:rFonts w:ascii="Courier New" w:hAnsi="Courier New" w:cs="Courier New"/>
        </w:rPr>
        <w:t xml:space="preserve"> personal mentoring and faith formation t</w:t>
      </w:r>
      <w:r w:rsidR="00F21C61">
        <w:rPr>
          <w:rFonts w:ascii="Courier New" w:hAnsi="Courier New" w:cs="Courier New"/>
        </w:rPr>
        <w:t xml:space="preserve">o prospective Numeraries </w:t>
      </w:r>
      <w:r>
        <w:rPr>
          <w:rFonts w:ascii="Courier New" w:hAnsi="Courier New" w:cs="Courier New"/>
        </w:rPr>
        <w:t xml:space="preserve">as they progressed through the admission process.  Therefore, any of the rooms in the subject property could be in use for this type of one-on-one training at any given time.  </w:t>
      </w:r>
    </w:p>
    <w:p w:rsidR="00B0571A" w:rsidRDefault="00F34F98" w:rsidP="00F00F3C">
      <w:pPr>
        <w:spacing w:line="480" w:lineRule="auto"/>
        <w:ind w:firstLine="720"/>
        <w:jc w:val="both"/>
        <w:rPr>
          <w:rFonts w:ascii="Courier New" w:hAnsi="Courier New" w:cs="Courier New"/>
        </w:rPr>
      </w:pPr>
      <w:r>
        <w:rPr>
          <w:rFonts w:ascii="Courier New" w:hAnsi="Courier New" w:cs="Courier New"/>
        </w:rPr>
        <w:t xml:space="preserve">The record indicated that the programs offered at the subject property were for the most part free of charge.  Some of the programs had minimal fees to offset </w:t>
      </w:r>
      <w:r w:rsidR="00B0571A">
        <w:rPr>
          <w:rFonts w:ascii="Courier New" w:hAnsi="Courier New" w:cs="Courier New"/>
        </w:rPr>
        <w:t xml:space="preserve">materials costs.  Programs involving overnight stays at the subject property had fees of $50 to offset the cost of food and supplies.  </w:t>
      </w:r>
    </w:p>
    <w:p w:rsidR="00F34F98" w:rsidRDefault="00B0571A" w:rsidP="00F00F3C">
      <w:pPr>
        <w:spacing w:line="480" w:lineRule="auto"/>
        <w:ind w:firstLine="720"/>
        <w:jc w:val="both"/>
        <w:rPr>
          <w:rFonts w:ascii="Courier New" w:hAnsi="Courier New" w:cs="Courier New"/>
        </w:rPr>
      </w:pPr>
      <w:r>
        <w:rPr>
          <w:rFonts w:ascii="Courier New" w:hAnsi="Courier New" w:cs="Courier New"/>
        </w:rPr>
        <w:t xml:space="preserve">When asked by the hearing officer how Cedar Wood informed the public of the availability of the programs at Cedar Wood, Dr. Kelly stated </w:t>
      </w:r>
      <w:r w:rsidR="008A4532">
        <w:rPr>
          <w:rFonts w:ascii="Courier New" w:hAnsi="Courier New" w:cs="Courier New"/>
        </w:rPr>
        <w:t xml:space="preserve">that they use a variety of means to publicize their services, including Facebook and other social media, as well as e-mail and text blasts to </w:t>
      </w:r>
      <w:r w:rsidR="00117E2B">
        <w:rPr>
          <w:rFonts w:ascii="Courier New" w:hAnsi="Courier New" w:cs="Courier New"/>
        </w:rPr>
        <w:t xml:space="preserve">established </w:t>
      </w:r>
      <w:r w:rsidR="008A4532">
        <w:rPr>
          <w:rFonts w:ascii="Courier New" w:hAnsi="Courier New" w:cs="Courier New"/>
        </w:rPr>
        <w:t xml:space="preserve">distribution lists. </w:t>
      </w:r>
      <w:r w:rsidR="00117E2B">
        <w:rPr>
          <w:rFonts w:ascii="Courier New" w:hAnsi="Courier New" w:cs="Courier New"/>
        </w:rPr>
        <w:t>Dr. Kelly testified t</w:t>
      </w:r>
      <w:r w:rsidR="000253CE">
        <w:rPr>
          <w:rFonts w:ascii="Courier New" w:hAnsi="Courier New" w:cs="Courier New"/>
        </w:rPr>
        <w:t>hat news of Cedar Wood’s prog</w:t>
      </w:r>
      <w:r w:rsidR="008D1BB7">
        <w:rPr>
          <w:rFonts w:ascii="Courier New" w:hAnsi="Courier New" w:cs="Courier New"/>
        </w:rPr>
        <w:t xml:space="preserve">ramming is often spread by word of </w:t>
      </w:r>
      <w:r w:rsidR="000253CE">
        <w:rPr>
          <w:rFonts w:ascii="Courier New" w:hAnsi="Courier New" w:cs="Courier New"/>
        </w:rPr>
        <w:t xml:space="preserve">mouth from past participants who enjoyed the program offerings.  </w:t>
      </w:r>
      <w:r w:rsidR="00D5732F">
        <w:rPr>
          <w:rFonts w:ascii="Courier New" w:hAnsi="Courier New" w:cs="Courier New"/>
        </w:rPr>
        <w:t xml:space="preserve">The Numeraries oftentimes </w:t>
      </w:r>
      <w:r w:rsidR="008A4532">
        <w:rPr>
          <w:rFonts w:ascii="Courier New" w:hAnsi="Courier New" w:cs="Courier New"/>
        </w:rPr>
        <w:t xml:space="preserve">spread the </w:t>
      </w:r>
      <w:r w:rsidR="00D5732F">
        <w:rPr>
          <w:rFonts w:ascii="Courier New" w:hAnsi="Courier New" w:cs="Courier New"/>
        </w:rPr>
        <w:t>word to their own frien</w:t>
      </w:r>
      <w:r w:rsidR="000253CE">
        <w:rPr>
          <w:rFonts w:ascii="Courier New" w:hAnsi="Courier New" w:cs="Courier New"/>
        </w:rPr>
        <w:t xml:space="preserve">ds and colleagues. </w:t>
      </w:r>
      <w:r w:rsidR="008A4532">
        <w:rPr>
          <w:rFonts w:ascii="Courier New" w:hAnsi="Courier New" w:cs="Courier New"/>
        </w:rPr>
        <w:t xml:space="preserve">They also post </w:t>
      </w:r>
      <w:r w:rsidR="008A4532">
        <w:rPr>
          <w:rFonts w:ascii="Courier New" w:hAnsi="Courier New" w:cs="Courier New"/>
        </w:rPr>
        <w:lastRenderedPageBreak/>
        <w:t xml:space="preserve">fliers on billboards in various settings, including area churches, schools, </w:t>
      </w:r>
      <w:r w:rsidR="00117E2B">
        <w:rPr>
          <w:rFonts w:ascii="Courier New" w:hAnsi="Courier New" w:cs="Courier New"/>
        </w:rPr>
        <w:t xml:space="preserve">and other places. Many of the fliers publicizing Cedar Wood’s offerings were entered into the record. </w:t>
      </w:r>
      <w:r w:rsidR="008A4532">
        <w:rPr>
          <w:rFonts w:ascii="Courier New" w:hAnsi="Courier New" w:cs="Courier New"/>
        </w:rPr>
        <w:t xml:space="preserve"> In all, approximately 1,50</w:t>
      </w:r>
      <w:r w:rsidR="008773E4">
        <w:rPr>
          <w:rFonts w:ascii="Courier New" w:hAnsi="Courier New" w:cs="Courier New"/>
        </w:rPr>
        <w:t xml:space="preserve">0 people were provided services by Cedar Wood each year during the fiscal years at issue.  </w:t>
      </w:r>
    </w:p>
    <w:p w:rsidR="00A12A89" w:rsidRDefault="00AF6F0D" w:rsidP="00A12A89">
      <w:pPr>
        <w:spacing w:line="480" w:lineRule="auto"/>
        <w:ind w:firstLine="720"/>
        <w:jc w:val="both"/>
        <w:rPr>
          <w:rFonts w:ascii="Courier New" w:hAnsi="Courier New" w:cs="Courier New"/>
        </w:rPr>
      </w:pPr>
      <w:r>
        <w:rPr>
          <w:rFonts w:ascii="Courier New" w:hAnsi="Courier New" w:cs="Courier New"/>
        </w:rPr>
        <w:t xml:space="preserve">The record showed that </w:t>
      </w:r>
      <w:r w:rsidR="00A12A89">
        <w:rPr>
          <w:rFonts w:ascii="Courier New" w:hAnsi="Courier New" w:cs="Courier New"/>
        </w:rPr>
        <w:t>the subject property is very much a shared space, and the Numeraries have virtually no expectation of exclusivity in it, even in their assigned bedrooms. D</w:t>
      </w:r>
      <w:r w:rsidR="00AB71FF">
        <w:rPr>
          <w:rFonts w:ascii="Courier New" w:hAnsi="Courier New" w:cs="Courier New"/>
        </w:rPr>
        <w:t>r. Kelly testified that the bedrooms have locks, but they are not locked in practice and the Numeraries do not have keys to them</w:t>
      </w:r>
      <w:r w:rsidR="00A12A89">
        <w:rPr>
          <w:rFonts w:ascii="Courier New" w:hAnsi="Courier New" w:cs="Courier New"/>
        </w:rPr>
        <w:t>. She further explained that if a Numerary is going to be away on a given weekend</w:t>
      </w:r>
      <w:r w:rsidR="00C933AE">
        <w:rPr>
          <w:rFonts w:ascii="Courier New" w:hAnsi="Courier New" w:cs="Courier New"/>
        </w:rPr>
        <w:t>, she</w:t>
      </w:r>
      <w:r w:rsidR="006C2990">
        <w:rPr>
          <w:rFonts w:ascii="Courier New" w:hAnsi="Courier New" w:cs="Courier New"/>
        </w:rPr>
        <w:t xml:space="preserve"> is expecte</w:t>
      </w:r>
      <w:r w:rsidR="00AB71FF">
        <w:rPr>
          <w:rFonts w:ascii="Courier New" w:hAnsi="Courier New" w:cs="Courier New"/>
        </w:rPr>
        <w:t xml:space="preserve">d to clean out space in the closet </w:t>
      </w:r>
      <w:r w:rsidR="00C933AE">
        <w:rPr>
          <w:rFonts w:ascii="Courier New" w:hAnsi="Courier New" w:cs="Courier New"/>
        </w:rPr>
        <w:t>and to put fresh linens on the bed, as a mentee</w:t>
      </w:r>
      <w:r w:rsidR="00CE62C5">
        <w:rPr>
          <w:rFonts w:ascii="Courier New" w:hAnsi="Courier New" w:cs="Courier New"/>
        </w:rPr>
        <w:t>, retreat participant,</w:t>
      </w:r>
      <w:r w:rsidR="00C933AE">
        <w:rPr>
          <w:rFonts w:ascii="Courier New" w:hAnsi="Courier New" w:cs="Courier New"/>
        </w:rPr>
        <w:t xml:space="preserve"> or other beneficiary of Cedar Wood’s programs </w:t>
      </w:r>
      <w:r w:rsidR="007D2DE9">
        <w:rPr>
          <w:rFonts w:ascii="Courier New" w:hAnsi="Courier New" w:cs="Courier New"/>
        </w:rPr>
        <w:t>may be making use of that room.</w:t>
      </w:r>
      <w:r w:rsidR="007B3AB4">
        <w:rPr>
          <w:rFonts w:ascii="Courier New" w:hAnsi="Courier New" w:cs="Courier New"/>
        </w:rPr>
        <w:t xml:space="preserve">  The subject property was leased in its entirety by Cedar Wood during the fiscal years at issue. None of the individual Numeraries living there signed a lease for the subject property.  </w:t>
      </w:r>
    </w:p>
    <w:p w:rsidR="00A75566" w:rsidRDefault="00A75566" w:rsidP="00A75566">
      <w:pPr>
        <w:pStyle w:val="ListParagraph"/>
        <w:numPr>
          <w:ilvl w:val="0"/>
          <w:numId w:val="8"/>
        </w:numPr>
        <w:spacing w:line="480" w:lineRule="auto"/>
        <w:jc w:val="both"/>
        <w:rPr>
          <w:rFonts w:ascii="Courier New" w:hAnsi="Courier New" w:cs="Courier New"/>
          <w:b/>
        </w:rPr>
      </w:pPr>
      <w:r w:rsidRPr="001D7822">
        <w:rPr>
          <w:rFonts w:ascii="Courier New" w:hAnsi="Courier New" w:cs="Courier New"/>
          <w:b/>
        </w:rPr>
        <w:t xml:space="preserve">The </w:t>
      </w:r>
      <w:r w:rsidR="00FA14CB">
        <w:rPr>
          <w:rFonts w:ascii="Courier New" w:hAnsi="Courier New" w:cs="Courier New"/>
          <w:b/>
        </w:rPr>
        <w:t xml:space="preserve">Assessors’ </w:t>
      </w:r>
      <w:r w:rsidR="00566A51">
        <w:rPr>
          <w:rFonts w:ascii="Courier New" w:hAnsi="Courier New" w:cs="Courier New"/>
          <w:b/>
        </w:rPr>
        <w:t>Testimony</w:t>
      </w:r>
    </w:p>
    <w:p w:rsidR="003D0AD0" w:rsidRDefault="00566A51" w:rsidP="00566A51">
      <w:pPr>
        <w:spacing w:line="480" w:lineRule="auto"/>
        <w:ind w:firstLine="720"/>
        <w:jc w:val="both"/>
        <w:rPr>
          <w:rFonts w:ascii="Courier New" w:hAnsi="Courier New" w:cs="Courier New"/>
        </w:rPr>
      </w:pPr>
      <w:r>
        <w:rPr>
          <w:rFonts w:ascii="Courier New" w:hAnsi="Courier New" w:cs="Courier New"/>
        </w:rPr>
        <w:t>The Assessors for their part offered the testimony of one witnes</w:t>
      </w:r>
      <w:r w:rsidR="004E44BE">
        <w:rPr>
          <w:rFonts w:ascii="Courier New" w:hAnsi="Courier New" w:cs="Courier New"/>
        </w:rPr>
        <w:t xml:space="preserve">s, James Shaughnessy, </w:t>
      </w:r>
      <w:r w:rsidR="0059619F">
        <w:rPr>
          <w:rFonts w:ascii="Courier New" w:hAnsi="Courier New" w:cs="Courier New"/>
        </w:rPr>
        <w:t xml:space="preserve">who is a member of the </w:t>
      </w:r>
      <w:r w:rsidR="004E44BE">
        <w:rPr>
          <w:rFonts w:ascii="Courier New" w:hAnsi="Courier New" w:cs="Courier New"/>
        </w:rPr>
        <w:t xml:space="preserve">Board of Assessors.  </w:t>
      </w:r>
      <w:r w:rsidR="003356EC">
        <w:rPr>
          <w:rFonts w:ascii="Courier New" w:hAnsi="Courier New" w:cs="Courier New"/>
        </w:rPr>
        <w:t xml:space="preserve">Mr. Shaughnessy testified regarding the rationale for the assessors’ decision to </w:t>
      </w:r>
      <w:r w:rsidR="003D0AD0">
        <w:rPr>
          <w:rFonts w:ascii="Courier New" w:hAnsi="Courier New" w:cs="Courier New"/>
        </w:rPr>
        <w:t>grant only a partial</w:t>
      </w:r>
      <w:r w:rsidR="001A0F84">
        <w:rPr>
          <w:rFonts w:ascii="Courier New" w:hAnsi="Courier New" w:cs="Courier New"/>
        </w:rPr>
        <w:t xml:space="preserve"> </w:t>
      </w:r>
      <w:r w:rsidR="003D0AD0">
        <w:rPr>
          <w:rFonts w:ascii="Courier New" w:hAnsi="Courier New" w:cs="Courier New"/>
        </w:rPr>
        <w:t>exemption to the subject property</w:t>
      </w:r>
      <w:r w:rsidR="000D17BC">
        <w:rPr>
          <w:rFonts w:ascii="Courier New" w:hAnsi="Courier New" w:cs="Courier New"/>
        </w:rPr>
        <w:t xml:space="preserve"> beginning in 2015</w:t>
      </w:r>
      <w:r w:rsidR="003D0AD0">
        <w:rPr>
          <w:rFonts w:ascii="Courier New" w:hAnsi="Courier New" w:cs="Courier New"/>
        </w:rPr>
        <w:t xml:space="preserve">, rather than the full </w:t>
      </w:r>
      <w:r w:rsidR="003D0AD0">
        <w:rPr>
          <w:rFonts w:ascii="Courier New" w:hAnsi="Courier New" w:cs="Courier New"/>
        </w:rPr>
        <w:lastRenderedPageBreak/>
        <w:t>exemption it had enjoyed throughout the entirety of the appellant’s</w:t>
      </w:r>
      <w:r w:rsidR="000D17BC">
        <w:rPr>
          <w:rFonts w:ascii="Courier New" w:hAnsi="Courier New" w:cs="Courier New"/>
        </w:rPr>
        <w:t xml:space="preserve"> previous four decades of ownership. </w:t>
      </w:r>
    </w:p>
    <w:p w:rsidR="00566A51" w:rsidRDefault="003D0AD0" w:rsidP="00566A51">
      <w:pPr>
        <w:spacing w:line="480" w:lineRule="auto"/>
        <w:ind w:firstLine="720"/>
        <w:jc w:val="both"/>
        <w:rPr>
          <w:rFonts w:ascii="Courier New" w:hAnsi="Courier New" w:cs="Courier New"/>
        </w:rPr>
      </w:pPr>
      <w:r>
        <w:rPr>
          <w:rFonts w:ascii="Courier New" w:hAnsi="Courier New" w:cs="Courier New"/>
        </w:rPr>
        <w:t>Mr. Shaughnessy explained that the assessors had involvement with another Opus Dei center located in Newton that was similar in its purposes and operation</w:t>
      </w:r>
      <w:r w:rsidR="00AF6F0D">
        <w:rPr>
          <w:rFonts w:ascii="Courier New" w:hAnsi="Courier New" w:cs="Courier New"/>
        </w:rPr>
        <w:t xml:space="preserve">s to the subject property, except that </w:t>
      </w:r>
      <w:r>
        <w:rPr>
          <w:rFonts w:ascii="Courier New" w:hAnsi="Courier New" w:cs="Courier New"/>
        </w:rPr>
        <w:t xml:space="preserve">it housed </w:t>
      </w:r>
      <w:r w:rsidR="001A0F84">
        <w:rPr>
          <w:rFonts w:ascii="Courier New" w:hAnsi="Courier New" w:cs="Courier New"/>
        </w:rPr>
        <w:t>twelve</w:t>
      </w:r>
      <w:r>
        <w:rPr>
          <w:rFonts w:ascii="Courier New" w:hAnsi="Courier New" w:cs="Courier New"/>
        </w:rPr>
        <w:t xml:space="preserve"> m</w:t>
      </w:r>
      <w:r w:rsidR="00865643">
        <w:rPr>
          <w:rFonts w:ascii="Courier New" w:hAnsi="Courier New" w:cs="Courier New"/>
        </w:rPr>
        <w:t>en</w:t>
      </w:r>
      <w:r>
        <w:rPr>
          <w:rFonts w:ascii="Courier New" w:hAnsi="Courier New" w:cs="Courier New"/>
        </w:rPr>
        <w:t>.  Mr. Shaughnessy testified that the assessors learned that</w:t>
      </w:r>
      <w:r w:rsidR="00865643">
        <w:rPr>
          <w:rFonts w:ascii="Courier New" w:hAnsi="Courier New" w:cs="Courier New"/>
        </w:rPr>
        <w:t xml:space="preserve"> four of the men residing in that property were ordained priests, while eight were Numerary members of Opus Dei. </w:t>
      </w:r>
      <w:r w:rsidR="00DF183A">
        <w:rPr>
          <w:rFonts w:ascii="Courier New" w:hAnsi="Courier New" w:cs="Courier New"/>
        </w:rPr>
        <w:t xml:space="preserve">He stated that since that ratio worked out to one-third of the residents being ordained clergy, the assessors exempted one-third of the value of that property.  </w:t>
      </w:r>
    </w:p>
    <w:p w:rsidR="00DA2AD1" w:rsidRDefault="000D17BC" w:rsidP="009F26D2">
      <w:pPr>
        <w:spacing w:line="480" w:lineRule="auto"/>
        <w:ind w:firstLine="720"/>
        <w:jc w:val="both"/>
        <w:rPr>
          <w:rFonts w:ascii="Courier New" w:hAnsi="Courier New" w:cs="Courier New"/>
        </w:rPr>
      </w:pPr>
      <w:r>
        <w:rPr>
          <w:rFonts w:ascii="Courier New" w:hAnsi="Courier New" w:cs="Courier New"/>
        </w:rPr>
        <w:t>Mr. Shaughnessy testified that the assessors</w:t>
      </w:r>
      <w:r w:rsidR="00DA2AD1">
        <w:rPr>
          <w:rFonts w:ascii="Courier New" w:hAnsi="Courier New" w:cs="Courier New"/>
        </w:rPr>
        <w:t xml:space="preserve"> then applied that same partial </w:t>
      </w:r>
      <w:r>
        <w:rPr>
          <w:rFonts w:ascii="Courier New" w:hAnsi="Courier New" w:cs="Courier New"/>
        </w:rPr>
        <w:t>exemption t</w:t>
      </w:r>
      <w:r w:rsidR="00DA2AD1">
        <w:rPr>
          <w:rFonts w:ascii="Courier New" w:hAnsi="Courier New" w:cs="Courier New"/>
        </w:rPr>
        <w:t>o the subject property. The reason for the partial exemption was that the assessors did not consider the portion</w:t>
      </w:r>
      <w:r w:rsidR="00F2330D">
        <w:rPr>
          <w:rFonts w:ascii="Courier New" w:hAnsi="Courier New" w:cs="Courier New"/>
        </w:rPr>
        <w:t>s</w:t>
      </w:r>
      <w:r w:rsidR="00DA2AD1">
        <w:rPr>
          <w:rFonts w:ascii="Courier New" w:hAnsi="Courier New" w:cs="Courier New"/>
        </w:rPr>
        <w:t xml:space="preserve"> of the subject property inhabited as the primary residence of the Numeraries, who were not employees of Cedar Wood, Trimount Foundation, or Opus Dei, to be occupied for public charitable purposes.  </w:t>
      </w:r>
    </w:p>
    <w:p w:rsidR="00F00F3C" w:rsidRDefault="009F26D2" w:rsidP="009F26D2">
      <w:pPr>
        <w:spacing w:line="480" w:lineRule="auto"/>
        <w:ind w:firstLine="720"/>
        <w:jc w:val="both"/>
        <w:rPr>
          <w:rFonts w:ascii="Courier New" w:hAnsi="Courier New" w:cs="Courier New"/>
        </w:rPr>
      </w:pPr>
      <w:r>
        <w:rPr>
          <w:rFonts w:ascii="Courier New" w:hAnsi="Courier New" w:cs="Courier New"/>
        </w:rPr>
        <w:t>The assessors did not call any additional witnesses.</w:t>
      </w:r>
    </w:p>
    <w:p w:rsidR="00361EB0" w:rsidRPr="00361EB0" w:rsidRDefault="00361EB0" w:rsidP="00361EB0">
      <w:pPr>
        <w:pStyle w:val="ListParagraph"/>
        <w:numPr>
          <w:ilvl w:val="0"/>
          <w:numId w:val="8"/>
        </w:numPr>
        <w:spacing w:line="480" w:lineRule="auto"/>
        <w:jc w:val="both"/>
        <w:rPr>
          <w:rFonts w:ascii="Courier New" w:hAnsi="Courier New" w:cs="Courier New"/>
          <w:b/>
        </w:rPr>
      </w:pPr>
      <w:r w:rsidRPr="00361EB0">
        <w:rPr>
          <w:rFonts w:ascii="Courier New" w:hAnsi="Courier New" w:cs="Courier New"/>
          <w:b/>
        </w:rPr>
        <w:t xml:space="preserve">The Board’s Conclusions </w:t>
      </w:r>
    </w:p>
    <w:p w:rsidR="00217C8A" w:rsidRDefault="00B27E49" w:rsidP="001502B2">
      <w:pPr>
        <w:spacing w:line="480" w:lineRule="auto"/>
        <w:ind w:firstLine="720"/>
        <w:jc w:val="both"/>
        <w:rPr>
          <w:rFonts w:ascii="Courier New" w:hAnsi="Courier New" w:cs="Courier New"/>
        </w:rPr>
      </w:pPr>
      <w:r>
        <w:rPr>
          <w:rFonts w:ascii="Courier New" w:hAnsi="Courier New" w:cs="Courier New"/>
        </w:rPr>
        <w:t xml:space="preserve">The evidence, including the parties’ stipulations, showed that the subject property was owned by a charitable organization, the Trimount Foundation, during the fiscal years </w:t>
      </w:r>
      <w:r>
        <w:rPr>
          <w:rFonts w:ascii="Courier New" w:hAnsi="Courier New" w:cs="Courier New"/>
        </w:rPr>
        <w:lastRenderedPageBreak/>
        <w:t xml:space="preserve">at issue, and the Board so found. Based on the record in its totality, the Board also found that the subject property was leased in its entirety to another charitable organization, Cedar Wood, and that the subject property was occupied by Cedar Wood in furtherance of its charitable purposes for purposes of Clause Third.  </w:t>
      </w:r>
    </w:p>
    <w:p w:rsidR="00755881" w:rsidRDefault="00217C8A" w:rsidP="00755881">
      <w:pPr>
        <w:spacing w:line="480" w:lineRule="auto"/>
        <w:ind w:firstLine="720"/>
        <w:jc w:val="both"/>
        <w:rPr>
          <w:rFonts w:ascii="Courier New" w:hAnsi="Courier New" w:cs="Courier New"/>
        </w:rPr>
      </w:pPr>
      <w:r>
        <w:rPr>
          <w:rFonts w:ascii="Courier New" w:hAnsi="Courier New" w:cs="Courier New"/>
        </w:rPr>
        <w:t>In making this determination, the Board found that the occupancy of the subject property was that of Cedar Wood itself, and not the individual Numeraries resid</w:t>
      </w:r>
      <w:r w:rsidR="001F0E87">
        <w:rPr>
          <w:rFonts w:ascii="Courier New" w:hAnsi="Courier New" w:cs="Courier New"/>
        </w:rPr>
        <w:t>ing</w:t>
      </w:r>
      <w:r w:rsidR="00740EE7">
        <w:rPr>
          <w:rFonts w:ascii="Courier New" w:hAnsi="Courier New" w:cs="Courier New"/>
        </w:rPr>
        <w:t xml:space="preserve"> there.  Among the facts on which the Board relied in reaching this conclusion were</w:t>
      </w:r>
      <w:r>
        <w:rPr>
          <w:rFonts w:ascii="Courier New" w:hAnsi="Courier New" w:cs="Courier New"/>
        </w:rPr>
        <w:t xml:space="preserve">: the Numeraries did not sign leases or subleases for the subject property; they had virtually no expectation of exclusivity in any area of the subject property, including their assigned bedrooms, which were not locked and to which they did not have keys; </w:t>
      </w:r>
      <w:r w:rsidR="00F2330D">
        <w:rPr>
          <w:rFonts w:ascii="Courier New" w:hAnsi="Courier New" w:cs="Courier New"/>
        </w:rPr>
        <w:t xml:space="preserve">they could not choose the </w:t>
      </w:r>
      <w:r>
        <w:rPr>
          <w:rFonts w:ascii="Courier New" w:hAnsi="Courier New" w:cs="Courier New"/>
        </w:rPr>
        <w:t xml:space="preserve">center </w:t>
      </w:r>
      <w:r w:rsidR="00F2330D">
        <w:rPr>
          <w:rFonts w:ascii="Courier New" w:hAnsi="Courier New" w:cs="Courier New"/>
        </w:rPr>
        <w:t xml:space="preserve">to which </w:t>
      </w:r>
      <w:r>
        <w:rPr>
          <w:rFonts w:ascii="Courier New" w:hAnsi="Courier New" w:cs="Courier New"/>
        </w:rPr>
        <w:t xml:space="preserve">they were assigned nor their length of stay there; the furniture and other possessions in the subject property were not their own personal belongings but those of Cedar Wood.  </w:t>
      </w:r>
    </w:p>
    <w:p w:rsidR="00445606" w:rsidRDefault="00CC0761" w:rsidP="001722D8">
      <w:pPr>
        <w:spacing w:line="480" w:lineRule="auto"/>
        <w:ind w:firstLine="720"/>
        <w:jc w:val="both"/>
        <w:rPr>
          <w:rFonts w:ascii="Courier New" w:hAnsi="Courier New" w:cs="Courier New"/>
        </w:rPr>
      </w:pPr>
      <w:r>
        <w:rPr>
          <w:rFonts w:ascii="Courier New" w:hAnsi="Courier New" w:cs="Courier New"/>
        </w:rPr>
        <w:t>In addition</w:t>
      </w:r>
      <w:r w:rsidR="00755881">
        <w:rPr>
          <w:rFonts w:ascii="Courier New" w:hAnsi="Courier New" w:cs="Courier New"/>
        </w:rPr>
        <w:t xml:space="preserve">, the Board found that the residency of the Numeraries at the subject property was not a mere convenience, but </w:t>
      </w:r>
      <w:r w:rsidR="001722D8">
        <w:rPr>
          <w:rFonts w:ascii="Courier New" w:hAnsi="Courier New" w:cs="Courier New"/>
        </w:rPr>
        <w:t xml:space="preserve">served to facilitate </w:t>
      </w:r>
      <w:r w:rsidR="00755881">
        <w:rPr>
          <w:rFonts w:ascii="Courier New" w:hAnsi="Courier New" w:cs="Courier New"/>
        </w:rPr>
        <w:t>Cedar Wood’s charitable purposes.</w:t>
      </w:r>
      <w:r w:rsidR="007527B2" w:rsidRPr="007527B2">
        <w:rPr>
          <w:rFonts w:ascii="Courier New" w:hAnsi="Courier New" w:cs="Courier New"/>
        </w:rPr>
        <w:t xml:space="preserve"> </w:t>
      </w:r>
      <w:r w:rsidR="0004523E">
        <w:rPr>
          <w:rFonts w:ascii="Courier New" w:hAnsi="Courier New" w:cs="Courier New"/>
        </w:rPr>
        <w:t xml:space="preserve">The Board found that Cedar Wood occupied the subject property in furtherance of its charitable purpose of carrying out the mission of Opus Dei by promoting the practice of Christian </w:t>
      </w:r>
      <w:r w:rsidR="0004523E">
        <w:rPr>
          <w:rFonts w:ascii="Courier New" w:hAnsi="Courier New" w:cs="Courier New"/>
        </w:rPr>
        <w:lastRenderedPageBreak/>
        <w:t xml:space="preserve">values in daily work and life.  </w:t>
      </w:r>
      <w:r w:rsidR="007527B2">
        <w:rPr>
          <w:rFonts w:ascii="Courier New" w:hAnsi="Courier New" w:cs="Courier New"/>
        </w:rPr>
        <w:t>There was substantial evidence in the record of the broad range of religious, educational, and other charitable services offered to members of the public on</w:t>
      </w:r>
      <w:r w:rsidR="001A0F84">
        <w:rPr>
          <w:rFonts w:ascii="Courier New" w:hAnsi="Courier New" w:cs="Courier New"/>
        </w:rPr>
        <w:t xml:space="preserve"> a</w:t>
      </w:r>
      <w:r w:rsidR="007527B2">
        <w:rPr>
          <w:rFonts w:ascii="Courier New" w:hAnsi="Courier New" w:cs="Courier New"/>
        </w:rPr>
        <w:t xml:space="preserve"> regular basis at the subject property.  The</w:t>
      </w:r>
      <w:r w:rsidR="001722D8">
        <w:rPr>
          <w:rFonts w:ascii="Courier New" w:hAnsi="Courier New" w:cs="Courier New"/>
        </w:rPr>
        <w:t xml:space="preserve">se programs and services </w:t>
      </w:r>
      <w:r w:rsidR="007527B2">
        <w:rPr>
          <w:rFonts w:ascii="Courier New" w:hAnsi="Courier New" w:cs="Courier New"/>
        </w:rPr>
        <w:t xml:space="preserve">took place </w:t>
      </w:r>
      <w:r w:rsidR="001722D8">
        <w:rPr>
          <w:rFonts w:ascii="Courier New" w:hAnsi="Courier New" w:cs="Courier New"/>
        </w:rPr>
        <w:t xml:space="preserve">on varying days and at varying times, </w:t>
      </w:r>
      <w:r w:rsidR="0004523E">
        <w:rPr>
          <w:rFonts w:ascii="Courier New" w:hAnsi="Courier New" w:cs="Courier New"/>
        </w:rPr>
        <w:t xml:space="preserve">such that the on-site availability of the Numeraries enhanced Cedar Wood’s ability to deliver these programs and services.  </w:t>
      </w:r>
    </w:p>
    <w:p w:rsidR="00B045BF" w:rsidRPr="00B73639" w:rsidRDefault="00B27E49" w:rsidP="00B045BF">
      <w:pPr>
        <w:spacing w:line="480" w:lineRule="auto"/>
        <w:ind w:firstLine="720"/>
        <w:jc w:val="both"/>
        <w:rPr>
          <w:rFonts w:ascii="Courier New" w:hAnsi="Courier New" w:cs="Courier New"/>
        </w:rPr>
      </w:pPr>
      <w:r>
        <w:rPr>
          <w:rFonts w:ascii="Courier New" w:hAnsi="Courier New" w:cs="Courier New"/>
        </w:rPr>
        <w:t xml:space="preserve">The Board therefore found and ruled that the appellant met its burden of showing that the subject property was </w:t>
      </w:r>
      <w:r w:rsidR="006E2C82">
        <w:rPr>
          <w:rFonts w:ascii="Courier New" w:hAnsi="Courier New" w:cs="Courier New"/>
        </w:rPr>
        <w:t xml:space="preserve">owned and occupied by a charitable organization in furtherance of its charitable purposes for purposes of Clause Third, and that it was </w:t>
      </w:r>
      <w:r>
        <w:rPr>
          <w:rFonts w:ascii="Courier New" w:hAnsi="Courier New" w:cs="Courier New"/>
        </w:rPr>
        <w:t>entitled to a fu</w:t>
      </w:r>
      <w:r w:rsidR="006E2C82">
        <w:rPr>
          <w:rFonts w:ascii="Courier New" w:hAnsi="Courier New" w:cs="Courier New"/>
        </w:rPr>
        <w:t xml:space="preserve">ll exemption </w:t>
      </w:r>
      <w:r>
        <w:rPr>
          <w:rFonts w:ascii="Courier New" w:hAnsi="Courier New" w:cs="Courier New"/>
        </w:rPr>
        <w:t>for the fiscal years at issue.  The Board therefore issued decisions for the appellant in these appeals, and granted abatements in the following amounts:</w:t>
      </w:r>
      <w:r w:rsidR="00B045BF" w:rsidRPr="00B045BF">
        <w:rPr>
          <w:rFonts w:ascii="Courier New" w:hAnsi="Courier New" w:cs="Courier New"/>
        </w:rPr>
        <w:t xml:space="preserve"> </w:t>
      </w:r>
      <w:r w:rsidR="00B045BF">
        <w:rPr>
          <w:rFonts w:ascii="Courier New" w:hAnsi="Courier New" w:cs="Courier New"/>
        </w:rPr>
        <w:t xml:space="preserve">$30,573.46 for fiscal year 2015; $29,967.78 for fiscal year 2016; and $29,283.11 for fiscal year 2017.  </w:t>
      </w:r>
    </w:p>
    <w:p w:rsidR="00B27E49" w:rsidRDefault="00B27E49" w:rsidP="001502B2">
      <w:pPr>
        <w:spacing w:line="480" w:lineRule="auto"/>
        <w:ind w:firstLine="720"/>
        <w:jc w:val="both"/>
        <w:rPr>
          <w:rFonts w:ascii="Courier New" w:hAnsi="Courier New" w:cs="Courier New"/>
        </w:rPr>
      </w:pPr>
    </w:p>
    <w:p w:rsidR="00F00F3C" w:rsidRDefault="003647FF" w:rsidP="00B27E49">
      <w:pPr>
        <w:spacing w:line="480" w:lineRule="auto"/>
        <w:jc w:val="both"/>
        <w:rPr>
          <w:rFonts w:ascii="Courier New" w:hAnsi="Courier New" w:cs="Courier New"/>
          <w:b/>
        </w:rPr>
      </w:pPr>
      <w:r>
        <w:rPr>
          <w:rFonts w:ascii="Courier New" w:hAnsi="Courier New" w:cs="Courier New"/>
        </w:rPr>
        <w:t xml:space="preserve">   </w:t>
      </w:r>
      <w:r w:rsidR="00A65042">
        <w:rPr>
          <w:rFonts w:ascii="Courier New" w:hAnsi="Courier New" w:cs="Courier New"/>
        </w:rPr>
        <w:tab/>
      </w:r>
      <w:r w:rsidR="00A65042">
        <w:rPr>
          <w:rFonts w:ascii="Courier New" w:hAnsi="Courier New" w:cs="Courier New"/>
        </w:rPr>
        <w:tab/>
      </w:r>
      <w:r w:rsidR="00A65042">
        <w:rPr>
          <w:rFonts w:ascii="Courier New" w:hAnsi="Courier New" w:cs="Courier New"/>
        </w:rPr>
        <w:tab/>
      </w:r>
      <w:r w:rsidR="00A65042">
        <w:rPr>
          <w:rFonts w:ascii="Courier New" w:hAnsi="Courier New" w:cs="Courier New"/>
        </w:rPr>
        <w:tab/>
      </w:r>
      <w:r>
        <w:rPr>
          <w:rFonts w:ascii="Courier New" w:hAnsi="Courier New" w:cs="Courier New"/>
        </w:rPr>
        <w:t xml:space="preserve"> </w:t>
      </w:r>
      <w:r w:rsidR="00CE62C5">
        <w:rPr>
          <w:rFonts w:ascii="Courier New" w:hAnsi="Courier New" w:cs="Courier New"/>
        </w:rPr>
        <w:t xml:space="preserve">  </w:t>
      </w:r>
      <w:r w:rsidR="00DD3FA3">
        <w:rPr>
          <w:rFonts w:ascii="Courier New" w:hAnsi="Courier New" w:cs="Courier New"/>
        </w:rPr>
        <w:t xml:space="preserve">  </w:t>
      </w:r>
      <w:r>
        <w:rPr>
          <w:rFonts w:ascii="Courier New" w:hAnsi="Courier New" w:cs="Courier New"/>
        </w:rPr>
        <w:t xml:space="preserve"> </w:t>
      </w:r>
      <w:r w:rsidR="008A0B76">
        <w:rPr>
          <w:rFonts w:ascii="Courier New" w:hAnsi="Courier New" w:cs="Courier New"/>
        </w:rPr>
        <w:t xml:space="preserve"> </w:t>
      </w:r>
      <w:r w:rsidR="001940AA">
        <w:rPr>
          <w:rFonts w:ascii="Courier New" w:hAnsi="Courier New" w:cs="Courier New"/>
        </w:rPr>
        <w:t xml:space="preserve"> </w:t>
      </w:r>
      <w:r>
        <w:rPr>
          <w:rFonts w:ascii="Courier New" w:hAnsi="Courier New" w:cs="Courier New"/>
        </w:rPr>
        <w:t xml:space="preserve"> </w:t>
      </w:r>
      <w:r w:rsidRPr="003647FF">
        <w:rPr>
          <w:rFonts w:ascii="Courier New" w:hAnsi="Courier New" w:cs="Courier New"/>
          <w:b/>
        </w:rPr>
        <w:t>OPINION</w:t>
      </w:r>
    </w:p>
    <w:p w:rsidR="003647FF" w:rsidRPr="00EF1DCC" w:rsidRDefault="00EF1DCC" w:rsidP="00EF1DCC">
      <w:pPr>
        <w:spacing w:line="480" w:lineRule="auto"/>
        <w:ind w:firstLine="720"/>
        <w:jc w:val="both"/>
        <w:rPr>
          <w:rFonts w:ascii="Courier New" w:eastAsia="Calibri" w:hAnsi="Courier New" w:cs="Courier New"/>
        </w:rPr>
      </w:pPr>
      <w:r w:rsidRPr="00EF1DCC">
        <w:rPr>
          <w:rFonts w:ascii="Courier New" w:eastAsia="Calibri" w:hAnsi="Courier New" w:cs="Courier New"/>
          <w:color w:val="333333"/>
        </w:rPr>
        <w:t xml:space="preserve">Pursuant to G.L. c. 59, § 2, all property, real and personal, situated within the commonwealth . . . unless </w:t>
      </w:r>
      <w:r w:rsidRPr="00EF1DCC">
        <w:rPr>
          <w:rFonts w:ascii="Courier New" w:eastAsia="Calibri" w:hAnsi="Courier New" w:cs="Courier New"/>
          <w:iCs/>
          <w:color w:val="333333"/>
        </w:rPr>
        <w:t>expressly</w:t>
      </w:r>
      <w:r w:rsidRPr="00EF1DCC">
        <w:rPr>
          <w:rFonts w:ascii="Courier New" w:eastAsia="Calibri" w:hAnsi="Courier New" w:cs="Courier New"/>
          <w:i/>
          <w:iCs/>
          <w:color w:val="333333"/>
        </w:rPr>
        <w:t xml:space="preserve"> ex</w:t>
      </w:r>
      <w:r w:rsidRPr="00EF1DCC">
        <w:rPr>
          <w:rFonts w:ascii="Courier New" w:eastAsia="Calibri" w:hAnsi="Courier New" w:cs="Courier New"/>
          <w:color w:val="333333"/>
        </w:rPr>
        <w:t xml:space="preserve">empt, shall be subject to taxation.  </w:t>
      </w:r>
      <w:r w:rsidRPr="00EF1DCC">
        <w:rPr>
          <w:rFonts w:ascii="Courier New" w:eastAsia="Calibri" w:hAnsi="Courier New" w:cs="Courier New"/>
        </w:rPr>
        <w:t xml:space="preserve">Clause Third provides an exemption for </w:t>
      </w:r>
      <w:r w:rsidR="000C1406" w:rsidRPr="000C1406">
        <w:rPr>
          <w:rFonts w:ascii="Courier New" w:eastAsia="Calibri" w:hAnsi="Courier New" w:cs="Courier New"/>
        </w:rPr>
        <w:t>“</w:t>
      </w:r>
      <w:r w:rsidR="000C1406" w:rsidRPr="000C1406">
        <w:rPr>
          <w:rFonts w:ascii="Courier New" w:hAnsi="Courier New" w:cs="Courier New"/>
        </w:rPr>
        <w:t xml:space="preserve">real estate owned by or held in trust for a charitable organization and occupied by it or its officers for the purposes for which it is organized </w:t>
      </w:r>
      <w:r w:rsidR="000C1406" w:rsidRPr="004C5EFB">
        <w:rPr>
          <w:rFonts w:ascii="Courier New" w:hAnsi="Courier New" w:cs="Courier New"/>
          <w:b/>
        </w:rPr>
        <w:t xml:space="preserve">or by another </w:t>
      </w:r>
      <w:r w:rsidR="000C1406" w:rsidRPr="004C5EFB">
        <w:rPr>
          <w:rFonts w:ascii="Courier New" w:hAnsi="Courier New" w:cs="Courier New"/>
          <w:b/>
        </w:rPr>
        <w:lastRenderedPageBreak/>
        <w:t xml:space="preserve">charitable organization </w:t>
      </w:r>
      <w:r w:rsidR="000C1406" w:rsidRPr="000C1406">
        <w:rPr>
          <w:rFonts w:ascii="Courier New" w:hAnsi="Courier New" w:cs="Courier New"/>
        </w:rPr>
        <w:t>or organizations or its or their officers for the purposes of such other charitable organization or organizations</w:t>
      </w:r>
      <w:r w:rsidR="004C5EFB">
        <w:rPr>
          <w:rFonts w:ascii="Courier New" w:hAnsi="Courier New" w:cs="Courier New"/>
        </w:rPr>
        <w:t xml:space="preserve">.” </w:t>
      </w:r>
      <w:r w:rsidRPr="00EF1DCC">
        <w:rPr>
          <w:rFonts w:ascii="Courier New" w:eastAsia="Calibri" w:hAnsi="Courier New" w:cs="Courier New"/>
        </w:rPr>
        <w:t xml:space="preserve">(emphasis added).  Thus, a taxpayer seeking exemption under Clause Third must satisfy both prongs of this two-pronged test. </w:t>
      </w:r>
      <w:r w:rsidRPr="00EF1DCC">
        <w:rPr>
          <w:rFonts w:ascii="Courier New" w:eastAsia="Calibri" w:hAnsi="Courier New" w:cs="Courier New"/>
          <w:i/>
        </w:rPr>
        <w:t xml:space="preserve">See </w:t>
      </w:r>
      <w:r w:rsidRPr="00EF1DCC">
        <w:rPr>
          <w:rFonts w:ascii="Courier New" w:eastAsia="Calibri" w:hAnsi="Courier New" w:cs="Courier New"/>
          <w:b/>
          <w:i/>
        </w:rPr>
        <w:t xml:space="preserve">Mary Ann Morse Healthcare Corp. v. Assessors of Framingham, </w:t>
      </w:r>
      <w:r w:rsidRPr="00EF1DCC">
        <w:rPr>
          <w:rFonts w:ascii="Courier New" w:eastAsia="Calibri" w:hAnsi="Courier New" w:cs="Courier New"/>
        </w:rPr>
        <w:t xml:space="preserve">74 Mass. App. Ct. 701, 703 (2009).  “The burden of establishing entitlement to the charitable exemption lies with the taxpayer.” </w:t>
      </w:r>
      <w:r w:rsidRPr="00EF1DCC">
        <w:rPr>
          <w:rFonts w:ascii="Courier New" w:eastAsia="Calibri" w:hAnsi="Courier New" w:cs="Courier New"/>
          <w:b/>
          <w:i/>
        </w:rPr>
        <w:t>Western Massachusetts Lifecare Corp. v. Assessors of Springfield,</w:t>
      </w:r>
      <w:r w:rsidRPr="00EF1DCC">
        <w:rPr>
          <w:rFonts w:ascii="Courier New" w:eastAsia="Calibri" w:hAnsi="Courier New" w:cs="Courier New"/>
        </w:rPr>
        <w:t xml:space="preserve"> 434 Mass. 96, 101 (2001).  “Any doubt must operate against the one claiming a tax exemption.”  </w:t>
      </w:r>
      <w:r w:rsidRPr="00EF1DCC">
        <w:rPr>
          <w:rFonts w:ascii="Courier New" w:eastAsia="Calibri" w:hAnsi="Courier New" w:cs="Courier New"/>
          <w:b/>
          <w:i/>
        </w:rPr>
        <w:t xml:space="preserve">Boston Symphony Orchestra v. Assessors of Boston, </w:t>
      </w:r>
      <w:r w:rsidRPr="00EF1DCC">
        <w:rPr>
          <w:rFonts w:ascii="Courier New" w:eastAsia="Calibri" w:hAnsi="Courier New" w:cs="Courier New"/>
        </w:rPr>
        <w:t xml:space="preserve">294 Mass. 248, 257 (1936).  </w:t>
      </w:r>
    </w:p>
    <w:p w:rsidR="00966B50" w:rsidRDefault="0071330E" w:rsidP="00966B50">
      <w:pPr>
        <w:spacing w:line="480" w:lineRule="auto"/>
        <w:ind w:firstLine="720"/>
        <w:jc w:val="both"/>
        <w:rPr>
          <w:rFonts w:ascii="Courier New" w:hAnsi="Courier New" w:cs="Courier New"/>
          <w:bCs/>
        </w:rPr>
      </w:pPr>
      <w:r>
        <w:rPr>
          <w:rFonts w:ascii="Courier New" w:hAnsi="Courier New" w:cs="Courier New"/>
          <w:bCs/>
        </w:rPr>
        <w:t>In the pres</w:t>
      </w:r>
      <w:r w:rsidR="006C2990">
        <w:rPr>
          <w:rFonts w:ascii="Courier New" w:hAnsi="Courier New" w:cs="Courier New"/>
          <w:bCs/>
        </w:rPr>
        <w:t xml:space="preserve">ent appeals there was no </w:t>
      </w:r>
      <w:r w:rsidR="00F2330D">
        <w:rPr>
          <w:rFonts w:ascii="Courier New" w:hAnsi="Courier New" w:cs="Courier New"/>
          <w:bCs/>
        </w:rPr>
        <w:t xml:space="preserve">real </w:t>
      </w:r>
      <w:r w:rsidR="006C2990">
        <w:rPr>
          <w:rFonts w:ascii="Courier New" w:hAnsi="Courier New" w:cs="Courier New"/>
          <w:bCs/>
        </w:rPr>
        <w:t>dispute that both Trimount Foundation and Cedar Wood are charitable organizations within the meaning of Clause Third, nor was there a dispute that Trimount Foundation owned the subject property during the fiscal years at issue. The issue in disp</w:t>
      </w:r>
      <w:r w:rsidR="006F6757">
        <w:rPr>
          <w:rFonts w:ascii="Courier New" w:hAnsi="Courier New" w:cs="Courier New"/>
          <w:bCs/>
        </w:rPr>
        <w:t xml:space="preserve">ute in these appeals was </w:t>
      </w:r>
      <w:r w:rsidR="006C2990">
        <w:rPr>
          <w:rFonts w:ascii="Courier New" w:hAnsi="Courier New" w:cs="Courier New"/>
          <w:bCs/>
        </w:rPr>
        <w:t>whether the subject property was “occupied” in furtherance of charitable purpose</w:t>
      </w:r>
      <w:r w:rsidR="00966B50">
        <w:rPr>
          <w:rFonts w:ascii="Courier New" w:hAnsi="Courier New" w:cs="Courier New"/>
          <w:bCs/>
        </w:rPr>
        <w:t xml:space="preserve">s.  </w:t>
      </w:r>
    </w:p>
    <w:p w:rsidR="00C6533E" w:rsidRPr="00C6533E" w:rsidRDefault="00966B50" w:rsidP="00966B50">
      <w:pPr>
        <w:spacing w:line="480" w:lineRule="auto"/>
        <w:ind w:firstLine="720"/>
        <w:jc w:val="both"/>
        <w:rPr>
          <w:rFonts w:ascii="Courier New" w:hAnsi="Courier New" w:cs="Courier New"/>
          <w:bCs/>
        </w:rPr>
      </w:pPr>
      <w:r>
        <w:rPr>
          <w:rFonts w:ascii="Courier New" w:hAnsi="Courier New" w:cs="Courier New"/>
          <w:szCs w:val="20"/>
        </w:rPr>
        <w:t>Courts and</w:t>
      </w:r>
      <w:r w:rsidR="005A2BCD">
        <w:rPr>
          <w:rFonts w:ascii="Courier New" w:hAnsi="Courier New" w:cs="Courier New"/>
          <w:szCs w:val="20"/>
        </w:rPr>
        <w:t xml:space="preserve"> </w:t>
      </w:r>
      <w:r>
        <w:rPr>
          <w:rFonts w:ascii="Courier New" w:hAnsi="Courier New" w:cs="Courier New"/>
          <w:szCs w:val="20"/>
        </w:rPr>
        <w:t xml:space="preserve">this Board have </w:t>
      </w:r>
      <w:r w:rsidR="00C6533E" w:rsidRPr="00C6533E">
        <w:rPr>
          <w:rFonts w:ascii="Courier New" w:hAnsi="Courier New" w:cs="Courier New"/>
          <w:szCs w:val="20"/>
        </w:rPr>
        <w:t>noted that “occupancy” under Clause Third means</w:t>
      </w:r>
    </w:p>
    <w:p w:rsidR="00C6533E" w:rsidRPr="00C6533E" w:rsidRDefault="00C6533E" w:rsidP="00C6533E">
      <w:pPr>
        <w:ind w:left="1530" w:right="1530"/>
        <w:jc w:val="both"/>
        <w:rPr>
          <w:rFonts w:ascii="Courier New" w:hAnsi="Courier New" w:cs="Courier New"/>
        </w:rPr>
      </w:pPr>
      <w:r w:rsidRPr="00C6533E">
        <w:rPr>
          <w:rFonts w:ascii="Courier New" w:hAnsi="Courier New" w:cs="Courier New"/>
        </w:rPr>
        <w:t xml:space="preserve">something more than that which results from simple ownership and possession. It signifies an active appropriation to the immediate uses of the charitable cause for which the owner was organized . . . .  </w:t>
      </w:r>
      <w:r w:rsidRPr="00C6533E">
        <w:rPr>
          <w:rFonts w:ascii="Courier New" w:hAnsi="Courier New" w:cs="Courier New"/>
        </w:rPr>
        <w:lastRenderedPageBreak/>
        <w:t>[T]he nature of the occupation must be such as to contribute immediately to the promotion of the charity and physically to participate in the forwarding of its beneficent objects.</w:t>
      </w:r>
    </w:p>
    <w:p w:rsidR="00C6533E" w:rsidRPr="00C6533E" w:rsidRDefault="00C6533E" w:rsidP="00C6533E">
      <w:pPr>
        <w:ind w:right="720"/>
        <w:jc w:val="both"/>
        <w:rPr>
          <w:rFonts w:ascii="Courier New" w:hAnsi="Courier New" w:cs="Courier New"/>
        </w:rPr>
      </w:pPr>
    </w:p>
    <w:p w:rsidR="00C6533E" w:rsidRPr="00407DB8" w:rsidRDefault="00C6533E" w:rsidP="00C6533E">
      <w:pPr>
        <w:spacing w:line="480" w:lineRule="auto"/>
        <w:jc w:val="both"/>
        <w:rPr>
          <w:rFonts w:ascii="Courier New" w:hAnsi="Courier New" w:cs="Courier New"/>
        </w:rPr>
      </w:pPr>
      <w:r w:rsidRPr="00C6533E">
        <w:rPr>
          <w:rFonts w:ascii="Courier New" w:hAnsi="Courier New" w:cs="Courier New"/>
          <w:b/>
          <w:i/>
        </w:rPr>
        <w:t>Rockridge Lake Shores Property Owners’ Association v. Assessors of Monterey</w:t>
      </w:r>
      <w:r w:rsidRPr="00C6533E">
        <w:rPr>
          <w:rFonts w:ascii="Courier New" w:hAnsi="Courier New" w:cs="Courier New"/>
        </w:rPr>
        <w:t xml:space="preserve">, Mass. ATB Findings of Fact and Reports 2001-581, 587 (citing </w:t>
      </w:r>
      <w:r w:rsidRPr="00C6533E">
        <w:rPr>
          <w:rFonts w:ascii="Courier New" w:hAnsi="Courier New" w:cs="Courier New"/>
          <w:b/>
          <w:i/>
        </w:rPr>
        <w:t>Assessors of Boston v. The Vincent Club</w:t>
      </w:r>
      <w:r w:rsidRPr="00C6533E">
        <w:rPr>
          <w:rFonts w:ascii="Courier New" w:hAnsi="Courier New" w:cs="Courier New"/>
        </w:rPr>
        <w:t>, 351 Mass. 10, 14 (1966)</w:t>
      </w:r>
      <w:r w:rsidR="001801B0">
        <w:rPr>
          <w:rFonts w:ascii="Courier New" w:hAnsi="Courier New" w:cs="Courier New"/>
        </w:rPr>
        <w:t xml:space="preserve">) (other citations omitted). </w:t>
      </w:r>
      <w:r w:rsidR="00E74F34">
        <w:rPr>
          <w:rFonts w:ascii="Courier New" w:hAnsi="Courier New" w:cs="Courier New"/>
        </w:rPr>
        <w:t xml:space="preserve"> In making a determination as to occupancy, </w:t>
      </w:r>
      <w:r w:rsidR="001801B0">
        <w:rPr>
          <w:rFonts w:ascii="Courier New" w:hAnsi="Courier New" w:cs="Courier New"/>
        </w:rPr>
        <w:t>i</w:t>
      </w:r>
      <w:r w:rsidR="003C2742">
        <w:rPr>
          <w:rFonts w:ascii="Courier New" w:hAnsi="Courier New" w:cs="Courier New"/>
        </w:rPr>
        <w:t>t is the dominant use of the proper</w:t>
      </w:r>
      <w:r w:rsidR="00602F5B">
        <w:rPr>
          <w:rFonts w:ascii="Courier New" w:hAnsi="Courier New" w:cs="Courier New"/>
        </w:rPr>
        <w:t xml:space="preserve">ty that is determinative.  See </w:t>
      </w:r>
      <w:r w:rsidR="00407DB8">
        <w:rPr>
          <w:rFonts w:ascii="Courier New" w:hAnsi="Courier New" w:cs="Courier New"/>
          <w:b/>
          <w:i/>
        </w:rPr>
        <w:t xml:space="preserve">New England Forestry Foundation, Inc. v. Assessors of Hawley, </w:t>
      </w:r>
      <w:r w:rsidR="00407DB8">
        <w:rPr>
          <w:rFonts w:ascii="Courier New" w:hAnsi="Courier New" w:cs="Courier New"/>
        </w:rPr>
        <w:t>468 M</w:t>
      </w:r>
      <w:r w:rsidR="008773E4">
        <w:rPr>
          <w:rFonts w:ascii="Courier New" w:hAnsi="Courier New" w:cs="Courier New"/>
        </w:rPr>
        <w:t>ass. 138, 155 (2014)</w:t>
      </w:r>
      <w:r w:rsidR="00E01A08">
        <w:rPr>
          <w:rFonts w:ascii="Courier New" w:hAnsi="Courier New" w:cs="Courier New"/>
        </w:rPr>
        <w:t xml:space="preserve">; </w:t>
      </w:r>
      <w:r w:rsidR="00E01A08" w:rsidRPr="00E01A08">
        <w:rPr>
          <w:rFonts w:ascii="Courier New" w:hAnsi="Courier New" w:cs="Courier New"/>
          <w:b/>
          <w:i/>
        </w:rPr>
        <w:t>Shrine of Our L</w:t>
      </w:r>
      <w:r w:rsidR="008773E4" w:rsidRPr="00E01A08">
        <w:rPr>
          <w:rFonts w:ascii="Courier New" w:hAnsi="Courier New" w:cs="Courier New"/>
          <w:b/>
          <w:i/>
        </w:rPr>
        <w:t>ady of La Sal</w:t>
      </w:r>
      <w:r w:rsidR="003364ED">
        <w:rPr>
          <w:rFonts w:ascii="Courier New" w:hAnsi="Courier New" w:cs="Courier New"/>
          <w:b/>
          <w:i/>
        </w:rPr>
        <w:t>ette, Inc. v. Assessors of Attle</w:t>
      </w:r>
      <w:r w:rsidR="008773E4" w:rsidRPr="00E01A08">
        <w:rPr>
          <w:rFonts w:ascii="Courier New" w:hAnsi="Courier New" w:cs="Courier New"/>
          <w:b/>
          <w:i/>
        </w:rPr>
        <w:t>boro</w:t>
      </w:r>
      <w:r w:rsidR="008773E4">
        <w:rPr>
          <w:rFonts w:ascii="Courier New" w:hAnsi="Courier New" w:cs="Courier New"/>
        </w:rPr>
        <w:t xml:space="preserve">, </w:t>
      </w:r>
      <w:r w:rsidR="00E01A08">
        <w:rPr>
          <w:rFonts w:ascii="Courier New" w:hAnsi="Courier New" w:cs="Courier New"/>
        </w:rPr>
        <w:t xml:space="preserve">476 Mass. 690, </w:t>
      </w:r>
      <w:r w:rsidR="008871F8">
        <w:rPr>
          <w:rFonts w:ascii="Courier New" w:hAnsi="Courier New" w:cs="Courier New"/>
        </w:rPr>
        <w:t>699</w:t>
      </w:r>
      <w:r w:rsidR="00E01A08">
        <w:rPr>
          <w:rFonts w:ascii="Courier New" w:hAnsi="Courier New" w:cs="Courier New"/>
        </w:rPr>
        <w:t xml:space="preserve"> (2017).  </w:t>
      </w:r>
    </w:p>
    <w:p w:rsidR="00BB7F45" w:rsidRPr="00471BA6" w:rsidRDefault="0035646C" w:rsidP="00EB000C">
      <w:pPr>
        <w:spacing w:line="480" w:lineRule="auto"/>
        <w:ind w:firstLine="720"/>
        <w:jc w:val="both"/>
        <w:rPr>
          <w:rFonts w:ascii="Courier New" w:hAnsi="Courier New" w:cs="Courier New"/>
          <w:bCs/>
        </w:rPr>
      </w:pPr>
      <w:r>
        <w:rPr>
          <w:rFonts w:ascii="Courier New" w:hAnsi="Courier New" w:cs="Courier New"/>
        </w:rPr>
        <w:t>In cases like the present a</w:t>
      </w:r>
      <w:r w:rsidR="00D86027">
        <w:rPr>
          <w:rFonts w:ascii="Courier New" w:hAnsi="Courier New" w:cs="Courier New"/>
        </w:rPr>
        <w:t>ppeals, which involve property</w:t>
      </w:r>
      <w:r>
        <w:rPr>
          <w:rFonts w:ascii="Courier New" w:hAnsi="Courier New" w:cs="Courier New"/>
        </w:rPr>
        <w:t xml:space="preserve"> that, among other uses, furnish</w:t>
      </w:r>
      <w:r w:rsidR="00D86027">
        <w:rPr>
          <w:rFonts w:ascii="Courier New" w:hAnsi="Courier New" w:cs="Courier New"/>
        </w:rPr>
        <w:t>es</w:t>
      </w:r>
      <w:r w:rsidR="001801B0">
        <w:rPr>
          <w:rFonts w:ascii="Courier New" w:hAnsi="Courier New" w:cs="Courier New"/>
        </w:rPr>
        <w:t xml:space="preserve"> housing to persons affiliated </w:t>
      </w:r>
      <w:r w:rsidR="0060141E">
        <w:rPr>
          <w:rFonts w:ascii="Courier New" w:hAnsi="Courier New" w:cs="Courier New"/>
        </w:rPr>
        <w:t xml:space="preserve">with </w:t>
      </w:r>
      <w:r w:rsidR="00244582">
        <w:rPr>
          <w:rFonts w:ascii="Courier New" w:hAnsi="Courier New" w:cs="Courier New"/>
        </w:rPr>
        <w:t>a charitable organization</w:t>
      </w:r>
      <w:r>
        <w:rPr>
          <w:rFonts w:ascii="Courier New" w:hAnsi="Courier New" w:cs="Courier New"/>
        </w:rPr>
        <w:t xml:space="preserve">, there is a threshold determination to be made: by whom is the property occupied? </w:t>
      </w:r>
      <w:r w:rsidR="00EE3927">
        <w:rPr>
          <w:rFonts w:ascii="Courier New" w:hAnsi="Courier New" w:cs="Courier New"/>
        </w:rPr>
        <w:t xml:space="preserve">In </w:t>
      </w:r>
      <w:r w:rsidR="00244582">
        <w:rPr>
          <w:rFonts w:ascii="Courier New" w:hAnsi="Courier New" w:cs="Courier New"/>
          <w:b/>
          <w:i/>
        </w:rPr>
        <w:t>M.I.T. Student House, Inc.</w:t>
      </w:r>
      <w:r w:rsidR="00EE3927" w:rsidRPr="00EB000C">
        <w:rPr>
          <w:rFonts w:ascii="Courier New" w:hAnsi="Courier New" w:cs="Courier New"/>
          <w:b/>
          <w:i/>
        </w:rPr>
        <w:t xml:space="preserve"> v. Assess</w:t>
      </w:r>
      <w:r w:rsidR="00244582">
        <w:rPr>
          <w:rFonts w:ascii="Courier New" w:hAnsi="Courier New" w:cs="Courier New"/>
          <w:b/>
          <w:i/>
        </w:rPr>
        <w:t>ors of Boston</w:t>
      </w:r>
      <w:r w:rsidR="00EE3927">
        <w:rPr>
          <w:rFonts w:ascii="Courier New" w:hAnsi="Courier New" w:cs="Courier New"/>
        </w:rPr>
        <w:t xml:space="preserve">, </w:t>
      </w:r>
      <w:r w:rsidR="00244582">
        <w:rPr>
          <w:rFonts w:ascii="Courier New" w:hAnsi="Courier New" w:cs="Courier New"/>
        </w:rPr>
        <w:t xml:space="preserve">350 Mass. 539 (1966), </w:t>
      </w:r>
      <w:r w:rsidR="00EE3927">
        <w:rPr>
          <w:rFonts w:ascii="Courier New" w:hAnsi="Courier New" w:cs="Courier New"/>
        </w:rPr>
        <w:t>which presented the questi</w:t>
      </w:r>
      <w:r w:rsidR="00F2330D">
        <w:rPr>
          <w:rFonts w:ascii="Courier New" w:hAnsi="Courier New" w:cs="Courier New"/>
        </w:rPr>
        <w:t>on of whether a building that w</w:t>
      </w:r>
      <w:r w:rsidR="00EE3927">
        <w:rPr>
          <w:rFonts w:ascii="Courier New" w:hAnsi="Courier New" w:cs="Courier New"/>
        </w:rPr>
        <w:t>as used to provide housing to university residents was exempt under Clause</w:t>
      </w:r>
      <w:r w:rsidR="00B443CF">
        <w:rPr>
          <w:rFonts w:ascii="Courier New" w:hAnsi="Courier New" w:cs="Courier New"/>
        </w:rPr>
        <w:t xml:space="preserve"> Third, the Court held that the occupancy was not that of the individual students, but of</w:t>
      </w:r>
      <w:r w:rsidR="00EE3927">
        <w:rPr>
          <w:rFonts w:ascii="Courier New" w:hAnsi="Courier New" w:cs="Courier New"/>
        </w:rPr>
        <w:t xml:space="preserve"> the university i</w:t>
      </w:r>
      <w:r w:rsidR="00244582">
        <w:rPr>
          <w:rFonts w:ascii="Courier New" w:hAnsi="Courier New" w:cs="Courier New"/>
        </w:rPr>
        <w:t xml:space="preserve">tself. </w:t>
      </w:r>
      <w:r w:rsidR="00244582" w:rsidRPr="00244582">
        <w:rPr>
          <w:rFonts w:ascii="Courier New" w:hAnsi="Courier New" w:cs="Courier New"/>
          <w:b/>
          <w:i/>
        </w:rPr>
        <w:t>Id.</w:t>
      </w:r>
      <w:r w:rsidR="00244582">
        <w:rPr>
          <w:rFonts w:ascii="Courier New" w:hAnsi="Courier New" w:cs="Courier New"/>
        </w:rPr>
        <w:t xml:space="preserve"> at 542. </w:t>
      </w:r>
      <w:r w:rsidR="00EE3927">
        <w:rPr>
          <w:rFonts w:ascii="Courier New" w:hAnsi="Courier New" w:cs="Courier New"/>
        </w:rPr>
        <w:t xml:space="preserve"> Similarly, in </w:t>
      </w:r>
      <w:r w:rsidR="00260356">
        <w:rPr>
          <w:rFonts w:ascii="Courier New" w:hAnsi="Courier New" w:cs="Courier New"/>
          <w:b/>
          <w:i/>
        </w:rPr>
        <w:t xml:space="preserve">The </w:t>
      </w:r>
      <w:r w:rsidR="00EE3927" w:rsidRPr="00EB000C">
        <w:rPr>
          <w:rFonts w:ascii="Courier New" w:hAnsi="Courier New" w:cs="Courier New"/>
          <w:b/>
          <w:i/>
        </w:rPr>
        <w:t xml:space="preserve">Sterling </w:t>
      </w:r>
      <w:r w:rsidR="00260356">
        <w:rPr>
          <w:rFonts w:ascii="Courier New" w:hAnsi="Courier New" w:cs="Courier New"/>
          <w:b/>
          <w:i/>
        </w:rPr>
        <w:t xml:space="preserve">and Francine </w:t>
      </w:r>
      <w:r w:rsidR="00EE3927" w:rsidRPr="00EB000C">
        <w:rPr>
          <w:rFonts w:ascii="Courier New" w:hAnsi="Courier New" w:cs="Courier New"/>
          <w:b/>
          <w:i/>
        </w:rPr>
        <w:t>Clark</w:t>
      </w:r>
      <w:r w:rsidR="00EE3927">
        <w:rPr>
          <w:rFonts w:ascii="Courier New" w:hAnsi="Courier New" w:cs="Courier New"/>
        </w:rPr>
        <w:t xml:space="preserve"> </w:t>
      </w:r>
      <w:r w:rsidR="00F51B34" w:rsidRPr="00EB000C">
        <w:rPr>
          <w:rFonts w:ascii="Courier New" w:hAnsi="Courier New" w:cs="Courier New"/>
          <w:b/>
          <w:i/>
        </w:rPr>
        <w:t xml:space="preserve">Art </w:t>
      </w:r>
      <w:r w:rsidR="00260356">
        <w:rPr>
          <w:rFonts w:ascii="Courier New" w:hAnsi="Courier New" w:cs="Courier New"/>
          <w:b/>
          <w:i/>
        </w:rPr>
        <w:t>Institute, Inc.</w:t>
      </w:r>
      <w:r w:rsidR="00EE3927" w:rsidRPr="00C71077">
        <w:rPr>
          <w:rFonts w:ascii="Courier New" w:hAnsi="Courier New" w:cs="Courier New"/>
          <w:b/>
          <w:i/>
        </w:rPr>
        <w:t xml:space="preserve"> v. Assessors of </w:t>
      </w:r>
      <w:r w:rsidR="002053C9" w:rsidRPr="00C71077">
        <w:rPr>
          <w:rFonts w:ascii="Courier New" w:hAnsi="Courier New" w:cs="Courier New"/>
          <w:b/>
          <w:i/>
        </w:rPr>
        <w:t>Williamstown</w:t>
      </w:r>
      <w:r w:rsidR="00260356">
        <w:rPr>
          <w:rFonts w:ascii="Courier New" w:hAnsi="Courier New" w:cs="Courier New"/>
        </w:rPr>
        <w:t xml:space="preserve">, Mass. ATB Findings </w:t>
      </w:r>
      <w:r w:rsidR="00923BB6">
        <w:rPr>
          <w:rFonts w:ascii="Courier New" w:hAnsi="Courier New" w:cs="Courier New"/>
        </w:rPr>
        <w:t>of Fact and Report</w:t>
      </w:r>
      <w:r w:rsidR="006F6757">
        <w:rPr>
          <w:rFonts w:ascii="Courier New" w:hAnsi="Courier New" w:cs="Courier New"/>
        </w:rPr>
        <w:t>s</w:t>
      </w:r>
      <w:r w:rsidR="00923BB6">
        <w:rPr>
          <w:rFonts w:ascii="Courier New" w:hAnsi="Courier New" w:cs="Courier New"/>
        </w:rPr>
        <w:t xml:space="preserve"> 2015-581, </w:t>
      </w:r>
      <w:r w:rsidR="00B443CF">
        <w:rPr>
          <w:rFonts w:ascii="Courier New" w:hAnsi="Courier New" w:cs="Courier New"/>
        </w:rPr>
        <w:t xml:space="preserve">the Board considered whether a </w:t>
      </w:r>
      <w:r w:rsidR="00B443CF">
        <w:rPr>
          <w:rFonts w:ascii="Courier New" w:hAnsi="Courier New" w:cs="Courier New"/>
        </w:rPr>
        <w:lastRenderedPageBreak/>
        <w:t>property owned by a charitable organizati</w:t>
      </w:r>
      <w:r w:rsidR="00D50340">
        <w:rPr>
          <w:rFonts w:ascii="Courier New" w:hAnsi="Courier New" w:cs="Courier New"/>
        </w:rPr>
        <w:t xml:space="preserve">on - </w:t>
      </w:r>
      <w:r w:rsidR="00B443CF">
        <w:rPr>
          <w:rFonts w:ascii="Courier New" w:hAnsi="Courier New" w:cs="Courier New"/>
        </w:rPr>
        <w:t>an art museum located on a college campus</w:t>
      </w:r>
      <w:r w:rsidR="00D50340">
        <w:rPr>
          <w:rFonts w:ascii="Courier New" w:hAnsi="Courier New" w:cs="Courier New"/>
        </w:rPr>
        <w:t xml:space="preserve"> - </w:t>
      </w:r>
      <w:r w:rsidR="00B443CF">
        <w:rPr>
          <w:rFonts w:ascii="Courier New" w:hAnsi="Courier New" w:cs="Courier New"/>
        </w:rPr>
        <w:t xml:space="preserve">and used to provide </w:t>
      </w:r>
      <w:r w:rsidR="00923BB6">
        <w:rPr>
          <w:rFonts w:ascii="Courier New" w:hAnsi="Courier New" w:cs="Courier New"/>
        </w:rPr>
        <w:t xml:space="preserve">housing to visiting </w:t>
      </w:r>
      <w:r w:rsidR="00B443CF">
        <w:rPr>
          <w:rFonts w:ascii="Courier New" w:hAnsi="Courier New" w:cs="Courier New"/>
        </w:rPr>
        <w:t>art scholars who participated in lectures and other educational programming in furtherance of the organization’s educational charitable purposes, was</w:t>
      </w:r>
      <w:r>
        <w:rPr>
          <w:rFonts w:ascii="Courier New" w:hAnsi="Courier New" w:cs="Courier New"/>
        </w:rPr>
        <w:t xml:space="preserve"> exempt under Clause Third.  The Board answered </w:t>
      </w:r>
      <w:r w:rsidR="00B443CF">
        <w:rPr>
          <w:rFonts w:ascii="Courier New" w:hAnsi="Courier New" w:cs="Courier New"/>
        </w:rPr>
        <w:t xml:space="preserve">that question in the affirmative, </w:t>
      </w:r>
      <w:r>
        <w:rPr>
          <w:rFonts w:ascii="Courier New" w:hAnsi="Courier New" w:cs="Courier New"/>
        </w:rPr>
        <w:t>after concluding that the occupancy was not that of the individual vis</w:t>
      </w:r>
      <w:r w:rsidR="00B73639">
        <w:rPr>
          <w:rFonts w:ascii="Courier New" w:hAnsi="Courier New" w:cs="Courier New"/>
        </w:rPr>
        <w:t>i</w:t>
      </w:r>
      <w:r w:rsidR="00923BB6">
        <w:rPr>
          <w:rFonts w:ascii="Courier New" w:hAnsi="Courier New" w:cs="Courier New"/>
        </w:rPr>
        <w:t>ting scholars</w:t>
      </w:r>
      <w:r>
        <w:rPr>
          <w:rFonts w:ascii="Courier New" w:hAnsi="Courier New" w:cs="Courier New"/>
        </w:rPr>
        <w:t xml:space="preserve">, but of the charitable organization itself. </w:t>
      </w:r>
      <w:r w:rsidR="00E74F34">
        <w:rPr>
          <w:rFonts w:ascii="Courier New" w:hAnsi="Courier New" w:cs="Courier New"/>
        </w:rPr>
        <w:t xml:space="preserve"> </w:t>
      </w:r>
      <w:r w:rsidR="00BB7F45">
        <w:rPr>
          <w:rFonts w:ascii="Courier New" w:hAnsi="Courier New" w:cs="Courier New"/>
        </w:rPr>
        <w:t>Significant to the Board in that case was the fact that the visit</w:t>
      </w:r>
      <w:r w:rsidR="00923BB6">
        <w:rPr>
          <w:rFonts w:ascii="Courier New" w:hAnsi="Courier New" w:cs="Courier New"/>
        </w:rPr>
        <w:t xml:space="preserve">ing scholars </w:t>
      </w:r>
      <w:r w:rsidR="00BB7F45">
        <w:rPr>
          <w:rFonts w:ascii="Courier New" w:hAnsi="Courier New" w:cs="Courier New"/>
        </w:rPr>
        <w:t>did not have leases or other tenancy rights in the property at issue; they were often there fo</w:t>
      </w:r>
      <w:r w:rsidR="00923BB6">
        <w:rPr>
          <w:rFonts w:ascii="Courier New" w:hAnsi="Courier New" w:cs="Courier New"/>
        </w:rPr>
        <w:t xml:space="preserve">r short-term periods, and they could be reassigned within the building at the discretion of the organization.  </w:t>
      </w:r>
      <w:r w:rsidR="002E2634" w:rsidRPr="002E2634">
        <w:rPr>
          <w:rFonts w:ascii="Courier New" w:hAnsi="Courier New" w:cs="Courier New"/>
          <w:b/>
          <w:i/>
        </w:rPr>
        <w:t>Id.</w:t>
      </w:r>
      <w:r w:rsidR="002E2634">
        <w:rPr>
          <w:rFonts w:ascii="Courier New" w:hAnsi="Courier New" w:cs="Courier New"/>
        </w:rPr>
        <w:t xml:space="preserve"> at 2015-590.  </w:t>
      </w:r>
      <w:r w:rsidR="00471BA6">
        <w:rPr>
          <w:rFonts w:ascii="Courier New" w:hAnsi="Courier New" w:cs="Courier New"/>
          <w:i/>
        </w:rPr>
        <w:t>Contrast</w:t>
      </w:r>
      <w:r w:rsidR="00471BA6">
        <w:rPr>
          <w:rFonts w:ascii="Courier New" w:hAnsi="Courier New" w:cs="Courier New"/>
        </w:rPr>
        <w:t xml:space="preserve"> </w:t>
      </w:r>
      <w:r w:rsidR="00471BA6">
        <w:rPr>
          <w:rFonts w:ascii="Courier New" w:hAnsi="Courier New" w:cs="Courier New"/>
          <w:b/>
          <w:i/>
        </w:rPr>
        <w:t>Jewish Geriatric Services</w:t>
      </w:r>
      <w:r w:rsidR="00C055D6">
        <w:rPr>
          <w:rFonts w:ascii="Courier New" w:hAnsi="Courier New" w:cs="Courier New"/>
          <w:b/>
          <w:i/>
        </w:rPr>
        <w:t xml:space="preserve">, Inc. </w:t>
      </w:r>
      <w:r w:rsidR="000B2CF1">
        <w:rPr>
          <w:rFonts w:ascii="Courier New" w:hAnsi="Courier New" w:cs="Courier New"/>
          <w:b/>
          <w:i/>
        </w:rPr>
        <w:t>v. Assessors of Longmeadow</w:t>
      </w:r>
      <w:r w:rsidR="00471BA6">
        <w:rPr>
          <w:rFonts w:ascii="Courier New" w:hAnsi="Courier New" w:cs="Courier New"/>
        </w:rPr>
        <w:t xml:space="preserve">, Mass. ATB </w:t>
      </w:r>
      <w:r w:rsidR="00A25654">
        <w:rPr>
          <w:rFonts w:ascii="Courier New" w:hAnsi="Courier New" w:cs="Courier New"/>
        </w:rPr>
        <w:t xml:space="preserve">Findings of Fact and Reports </w:t>
      </w:r>
      <w:r w:rsidR="00471BA6">
        <w:rPr>
          <w:rFonts w:ascii="Courier New" w:hAnsi="Courier New" w:cs="Courier New"/>
        </w:rPr>
        <w:t>2002</w:t>
      </w:r>
      <w:r w:rsidR="00A25654">
        <w:rPr>
          <w:rFonts w:ascii="Courier New" w:hAnsi="Courier New" w:cs="Courier New"/>
        </w:rPr>
        <w:t xml:space="preserve">-337, </w:t>
      </w:r>
      <w:r w:rsidR="00471BA6">
        <w:rPr>
          <w:rFonts w:ascii="Courier New" w:hAnsi="Courier New" w:cs="Courier New"/>
        </w:rPr>
        <w:t>352 (finding individual residents of assisted living facility to be occupants of the property because, among other reasons, “G.L. c. 19D affords elderly residents of assisted living residences the rights  and  protections enjoyed by traditional tenants”),</w:t>
      </w:r>
      <w:r w:rsidR="00471BA6">
        <w:rPr>
          <w:rFonts w:ascii="Courier New" w:hAnsi="Courier New" w:cs="Courier New"/>
          <w:i/>
        </w:rPr>
        <w:t xml:space="preserve"> </w:t>
      </w:r>
      <w:r w:rsidR="00471BA6">
        <w:rPr>
          <w:rFonts w:ascii="Courier New" w:hAnsi="Courier New" w:cs="Courier New"/>
          <w:bCs/>
          <w:i/>
          <w:iCs/>
        </w:rPr>
        <w:t>aff'd</w:t>
      </w:r>
      <w:r w:rsidR="00471BA6">
        <w:rPr>
          <w:rFonts w:ascii="Courier New" w:hAnsi="Courier New" w:cs="Courier New"/>
          <w:bCs/>
        </w:rPr>
        <w:t>, 61 Mass. App. Ct. 73 (2004).</w:t>
      </w:r>
    </w:p>
    <w:p w:rsidR="0035646C" w:rsidRDefault="00FB543A" w:rsidP="0035646C">
      <w:pPr>
        <w:spacing w:line="480" w:lineRule="auto"/>
        <w:jc w:val="both"/>
        <w:rPr>
          <w:rFonts w:ascii="Courier New" w:hAnsi="Courier New" w:cs="Courier New"/>
        </w:rPr>
      </w:pPr>
      <w:r>
        <w:rPr>
          <w:rFonts w:ascii="Courier New" w:hAnsi="Courier New" w:cs="Courier New"/>
        </w:rPr>
        <w:tab/>
      </w:r>
      <w:r w:rsidR="00923BB6">
        <w:rPr>
          <w:rFonts w:ascii="Courier New" w:hAnsi="Courier New" w:cs="Courier New"/>
        </w:rPr>
        <w:t>T</w:t>
      </w:r>
      <w:r>
        <w:rPr>
          <w:rFonts w:ascii="Courier New" w:hAnsi="Courier New" w:cs="Courier New"/>
        </w:rPr>
        <w:t xml:space="preserve">he facts of the present appeals were substantially similar to those in </w:t>
      </w:r>
      <w:r w:rsidRPr="00923BB6">
        <w:rPr>
          <w:rFonts w:ascii="Courier New" w:hAnsi="Courier New" w:cs="Courier New"/>
          <w:b/>
          <w:i/>
        </w:rPr>
        <w:t xml:space="preserve">M.I.T. </w:t>
      </w:r>
      <w:r w:rsidR="00923BB6">
        <w:rPr>
          <w:rFonts w:ascii="Courier New" w:hAnsi="Courier New" w:cs="Courier New"/>
          <w:b/>
          <w:i/>
        </w:rPr>
        <w:t xml:space="preserve">Student House </w:t>
      </w:r>
      <w:r w:rsidR="00923BB6">
        <w:rPr>
          <w:rFonts w:ascii="Courier New" w:hAnsi="Courier New" w:cs="Courier New"/>
        </w:rPr>
        <w:t xml:space="preserve">and </w:t>
      </w:r>
      <w:r w:rsidR="00923BB6" w:rsidRPr="00923BB6">
        <w:rPr>
          <w:rFonts w:ascii="Courier New" w:hAnsi="Courier New" w:cs="Courier New"/>
          <w:b/>
          <w:i/>
        </w:rPr>
        <w:t>The Sterling and Francine Clark Art Institute</w:t>
      </w:r>
      <w:r>
        <w:rPr>
          <w:rFonts w:ascii="Courier New" w:hAnsi="Courier New" w:cs="Courier New"/>
        </w:rPr>
        <w:t>.  The record showed that</w:t>
      </w:r>
      <w:r w:rsidR="00171682">
        <w:rPr>
          <w:rFonts w:ascii="Courier New" w:hAnsi="Courier New" w:cs="Courier New"/>
        </w:rPr>
        <w:t xml:space="preserve"> </w:t>
      </w:r>
      <w:r>
        <w:rPr>
          <w:rFonts w:ascii="Courier New" w:hAnsi="Courier New" w:cs="Courier New"/>
        </w:rPr>
        <w:t xml:space="preserve">the Numeraries who resided at the subject property did not have leases or other </w:t>
      </w:r>
      <w:r>
        <w:rPr>
          <w:rFonts w:ascii="Courier New" w:hAnsi="Courier New" w:cs="Courier New"/>
        </w:rPr>
        <w:lastRenderedPageBreak/>
        <w:t xml:space="preserve">tenancy rights to the subject property.  They did not enjoy rights of exclusivity to any portions of the subject property, including their assigned bedrooms, </w:t>
      </w:r>
      <w:r w:rsidR="001502B2">
        <w:rPr>
          <w:rFonts w:ascii="Courier New" w:hAnsi="Courier New" w:cs="Courier New"/>
        </w:rPr>
        <w:t>which were not locked and to which they did not have keys</w:t>
      </w:r>
      <w:r w:rsidR="00962C45">
        <w:rPr>
          <w:rFonts w:ascii="Courier New" w:hAnsi="Courier New" w:cs="Courier New"/>
        </w:rPr>
        <w:t>, n</w:t>
      </w:r>
      <w:r w:rsidR="00C85EC1">
        <w:rPr>
          <w:rFonts w:ascii="Courier New" w:hAnsi="Courier New" w:cs="Courier New"/>
        </w:rPr>
        <w:t xml:space="preserve">or did they have control over their length of stay at any particular center. That assignment was at the sole discretion of the Prelate and could be changed at any time, with virtually no notice. </w:t>
      </w:r>
      <w:r w:rsidR="00962C45">
        <w:rPr>
          <w:rFonts w:ascii="Courier New" w:hAnsi="Courier New" w:cs="Courier New"/>
        </w:rPr>
        <w:t xml:space="preserve">Moreover, the furnishings and other items at the subject property were not the personal belongings of any resident </w:t>
      </w:r>
      <w:r w:rsidR="003A3EF1">
        <w:rPr>
          <w:rFonts w:ascii="Courier New" w:hAnsi="Courier New" w:cs="Courier New"/>
        </w:rPr>
        <w:t xml:space="preserve">Numerary, but rather, the property of Cedar Wood. </w:t>
      </w:r>
      <w:r w:rsidR="004A0C95">
        <w:rPr>
          <w:rFonts w:ascii="Courier New" w:hAnsi="Courier New" w:cs="Courier New"/>
        </w:rPr>
        <w:t>Based on these fact</w:t>
      </w:r>
      <w:r w:rsidR="00047CCC">
        <w:rPr>
          <w:rFonts w:ascii="Courier New" w:hAnsi="Courier New" w:cs="Courier New"/>
        </w:rPr>
        <w:t xml:space="preserve">s, the Board determined </w:t>
      </w:r>
      <w:r w:rsidR="004A0C95">
        <w:rPr>
          <w:rFonts w:ascii="Courier New" w:hAnsi="Courier New" w:cs="Courier New"/>
        </w:rPr>
        <w:t>that the occupancy of the subject property was that of Cedar Wood itself, and not of the individual Numeraries who resided there during the fiscal years at issue.</w:t>
      </w:r>
    </w:p>
    <w:p w:rsidR="0035646C" w:rsidRDefault="009F2823" w:rsidP="009F2823">
      <w:pPr>
        <w:spacing w:line="480" w:lineRule="auto"/>
        <w:ind w:firstLine="720"/>
        <w:jc w:val="both"/>
        <w:rPr>
          <w:rFonts w:ascii="Courier New" w:hAnsi="Courier New" w:cs="Courier New"/>
          <w:b/>
          <w:i/>
        </w:rPr>
      </w:pPr>
      <w:r>
        <w:rPr>
          <w:rFonts w:ascii="Courier New" w:hAnsi="Courier New" w:cs="Courier New"/>
        </w:rPr>
        <w:t>However, the inquiry does not end with the resolution of this threshold determination. F</w:t>
      </w:r>
      <w:r w:rsidR="00047CCC">
        <w:rPr>
          <w:rFonts w:ascii="Courier New" w:hAnsi="Courier New" w:cs="Courier New"/>
        </w:rPr>
        <w:t xml:space="preserve">or purposes of Clause Third, </w:t>
      </w:r>
      <w:r w:rsidR="0035646C">
        <w:rPr>
          <w:rFonts w:ascii="Courier New" w:hAnsi="Courier New" w:cs="Courier New"/>
        </w:rPr>
        <w:t xml:space="preserve">occupancy means more than simple possession.  </w:t>
      </w:r>
      <w:r w:rsidRPr="00C6533E">
        <w:rPr>
          <w:rFonts w:ascii="Courier New" w:hAnsi="Courier New" w:cs="Courier New"/>
          <w:b/>
          <w:i/>
        </w:rPr>
        <w:t>The Vincent Club</w:t>
      </w:r>
      <w:r>
        <w:rPr>
          <w:rFonts w:ascii="Courier New" w:hAnsi="Courier New" w:cs="Courier New"/>
        </w:rPr>
        <w:t>, 351 Mass. at 14</w:t>
      </w:r>
      <w:r w:rsidR="00B93FE6">
        <w:rPr>
          <w:rFonts w:ascii="Courier New" w:hAnsi="Courier New" w:cs="Courier New"/>
        </w:rPr>
        <w:t xml:space="preserve"> </w:t>
      </w:r>
      <w:r>
        <w:rPr>
          <w:rFonts w:ascii="Courier New" w:hAnsi="Courier New" w:cs="Courier New"/>
        </w:rPr>
        <w:t>(other citations omitted).  It “</w:t>
      </w:r>
      <w:r w:rsidR="0035646C" w:rsidRPr="00C6533E">
        <w:rPr>
          <w:rFonts w:ascii="Courier New" w:hAnsi="Courier New" w:cs="Courier New"/>
        </w:rPr>
        <w:t>must be such as to contribute immediately to the promotion of the charity and physically to participate in the forwarding of its beneficent objects.</w:t>
      </w:r>
      <w:r>
        <w:rPr>
          <w:rFonts w:ascii="Courier New" w:hAnsi="Courier New" w:cs="Courier New"/>
          <w:b/>
          <w:i/>
        </w:rPr>
        <w:t>” Id.</w:t>
      </w:r>
    </w:p>
    <w:p w:rsidR="00924B23" w:rsidRDefault="00924B23" w:rsidP="00924B23">
      <w:pPr>
        <w:spacing w:line="480" w:lineRule="auto"/>
        <w:jc w:val="both"/>
        <w:rPr>
          <w:rFonts w:ascii="Courier New" w:hAnsi="Courier New" w:cs="Courier New"/>
        </w:rPr>
      </w:pPr>
      <w:r>
        <w:rPr>
          <w:rFonts w:ascii="Courier New" w:hAnsi="Courier New" w:cs="Courier New"/>
          <w:b/>
          <w:i/>
        </w:rPr>
        <w:tab/>
      </w:r>
      <w:r>
        <w:rPr>
          <w:rFonts w:ascii="Courier New" w:hAnsi="Courier New" w:cs="Courier New"/>
        </w:rPr>
        <w:t xml:space="preserve">To that end, the Board found that the appellant demonstrated that the subject property was occupied in furtherance of Cedar Wood’s charitable purposes.  </w:t>
      </w:r>
      <w:r w:rsidR="00D05288">
        <w:rPr>
          <w:rFonts w:ascii="Courier New" w:hAnsi="Courier New" w:cs="Courier New"/>
        </w:rPr>
        <w:t>There was ample demonstration in the record that t</w:t>
      </w:r>
      <w:r w:rsidR="00173696">
        <w:rPr>
          <w:rFonts w:ascii="Courier New" w:hAnsi="Courier New" w:cs="Courier New"/>
        </w:rPr>
        <w:t xml:space="preserve">he subject property was </w:t>
      </w:r>
      <w:r w:rsidR="00173696">
        <w:rPr>
          <w:rFonts w:ascii="Courier New" w:hAnsi="Courier New" w:cs="Courier New"/>
        </w:rPr>
        <w:lastRenderedPageBreak/>
        <w:t xml:space="preserve">in near </w:t>
      </w:r>
      <w:r w:rsidR="00D05288">
        <w:rPr>
          <w:rFonts w:ascii="Courier New" w:hAnsi="Courier New" w:cs="Courier New"/>
        </w:rPr>
        <w:t xml:space="preserve">constant use for myriad programs connected with Cedar Wood’s charitable purposes, including worship and prayer-related activities as well as educational tutoring, vocational and professional mentoring, and other traditionally charitable purposes.  </w:t>
      </w:r>
      <w:r w:rsidR="00173696">
        <w:rPr>
          <w:rFonts w:ascii="Courier New" w:hAnsi="Courier New" w:cs="Courier New"/>
        </w:rPr>
        <w:t xml:space="preserve">The record further showed that these programs and services were open to members of the public, often for free </w:t>
      </w:r>
      <w:r w:rsidR="00F772D6">
        <w:rPr>
          <w:rFonts w:ascii="Courier New" w:hAnsi="Courier New" w:cs="Courier New"/>
        </w:rPr>
        <w:t xml:space="preserve">or </w:t>
      </w:r>
      <w:r w:rsidR="00173696">
        <w:rPr>
          <w:rFonts w:ascii="Courier New" w:hAnsi="Courier New" w:cs="Courier New"/>
        </w:rPr>
        <w:t xml:space="preserve">at low cost, with </w:t>
      </w:r>
      <w:r w:rsidR="001502B2">
        <w:rPr>
          <w:rFonts w:ascii="Courier New" w:hAnsi="Courier New" w:cs="Courier New"/>
        </w:rPr>
        <w:t xml:space="preserve">minimal </w:t>
      </w:r>
      <w:r w:rsidR="00173696">
        <w:rPr>
          <w:rFonts w:ascii="Courier New" w:hAnsi="Courier New" w:cs="Courier New"/>
        </w:rPr>
        <w:t xml:space="preserve">fees charged to offset expenses.  </w:t>
      </w:r>
    </w:p>
    <w:p w:rsidR="0052166C" w:rsidRDefault="00173696" w:rsidP="00F51B34">
      <w:pPr>
        <w:spacing w:line="480" w:lineRule="auto"/>
        <w:ind w:firstLine="720"/>
        <w:jc w:val="both"/>
        <w:rPr>
          <w:rFonts w:ascii="Courier New" w:hAnsi="Courier New" w:cs="Courier New"/>
        </w:rPr>
      </w:pPr>
      <w:r>
        <w:rPr>
          <w:rFonts w:ascii="Courier New" w:hAnsi="Courier New" w:cs="Courier New"/>
        </w:rPr>
        <w:t xml:space="preserve">The facts of these appeals were analogous to those of </w:t>
      </w:r>
      <w:r w:rsidRPr="00AC3382">
        <w:rPr>
          <w:rFonts w:ascii="Courier New" w:hAnsi="Courier New" w:cs="Courier New"/>
          <w:b/>
          <w:i/>
        </w:rPr>
        <w:t>Sisters of Providence</w:t>
      </w:r>
      <w:r w:rsidR="00F30DB0" w:rsidRPr="00AC3382">
        <w:rPr>
          <w:rFonts w:ascii="Courier New" w:hAnsi="Courier New" w:cs="Courier New"/>
          <w:b/>
          <w:i/>
        </w:rPr>
        <w:t xml:space="preserve"> a/k/a Sisters of Providence, Inc. v. Assessors of West Springfield</w:t>
      </w:r>
      <w:r w:rsidR="00F30DB0">
        <w:rPr>
          <w:rFonts w:ascii="Courier New" w:hAnsi="Courier New" w:cs="Courier New"/>
        </w:rPr>
        <w:t>, Mass. ATB Findi</w:t>
      </w:r>
      <w:r w:rsidR="006F1EF0">
        <w:rPr>
          <w:rFonts w:ascii="Courier New" w:hAnsi="Courier New" w:cs="Courier New"/>
        </w:rPr>
        <w:t>ngs of Fact and Reports 2013-769</w:t>
      </w:r>
      <w:r w:rsidR="000B2CF1">
        <w:rPr>
          <w:rFonts w:ascii="Courier New" w:hAnsi="Courier New" w:cs="Courier New"/>
        </w:rPr>
        <w:t xml:space="preserve">, </w:t>
      </w:r>
      <w:r>
        <w:rPr>
          <w:rFonts w:ascii="Courier New" w:hAnsi="Courier New" w:cs="Courier New"/>
        </w:rPr>
        <w:t>in which th</w:t>
      </w:r>
      <w:r w:rsidR="006F1EF0">
        <w:rPr>
          <w:rFonts w:ascii="Courier New" w:hAnsi="Courier New" w:cs="Courier New"/>
        </w:rPr>
        <w:t xml:space="preserve">e Board concluded that a </w:t>
      </w:r>
      <w:r w:rsidR="008447AC">
        <w:rPr>
          <w:rFonts w:ascii="Courier New" w:hAnsi="Courier New" w:cs="Courier New"/>
        </w:rPr>
        <w:t xml:space="preserve">building inhabited by nuns </w:t>
      </w:r>
      <w:r w:rsidR="006F1EF0">
        <w:rPr>
          <w:rFonts w:ascii="Courier New" w:hAnsi="Courier New" w:cs="Courier New"/>
        </w:rPr>
        <w:t>but also used by them to deliver services such as grief counseling for those with cancer and their families and support services for recovering alcoholics as well as spiritual counseling for the aforementioned persons was exemp</w:t>
      </w:r>
      <w:r w:rsidR="007A1D72">
        <w:rPr>
          <w:rFonts w:ascii="Courier New" w:hAnsi="Courier New" w:cs="Courier New"/>
        </w:rPr>
        <w:t xml:space="preserve">t under Clause Third.  In making </w:t>
      </w:r>
      <w:r w:rsidR="006F1EF0">
        <w:rPr>
          <w:rFonts w:ascii="Courier New" w:hAnsi="Courier New" w:cs="Courier New"/>
        </w:rPr>
        <w:t>that determination, the Board found that “[t]he Sisters did not live at the subject home merely for their own convenience.  Their presence at the subject property was</w:t>
      </w:r>
      <w:r w:rsidR="006F1EF0" w:rsidRPr="00B03117">
        <w:rPr>
          <w:rFonts w:ascii="Courier New" w:hAnsi="Courier New" w:cs="Courier New"/>
        </w:rPr>
        <w:t xml:space="preserve"> consistent with the </w:t>
      </w:r>
      <w:r w:rsidR="006F1EF0">
        <w:rPr>
          <w:rFonts w:ascii="Courier New" w:hAnsi="Courier New" w:cs="Courier New"/>
        </w:rPr>
        <w:t xml:space="preserve">service mission and </w:t>
      </w:r>
      <w:r w:rsidR="006F1EF0" w:rsidRPr="00B03117">
        <w:rPr>
          <w:rFonts w:ascii="Courier New" w:hAnsi="Courier New" w:cs="Courier New"/>
        </w:rPr>
        <w:t>purpose</w:t>
      </w:r>
      <w:r w:rsidR="006F1EF0">
        <w:rPr>
          <w:rFonts w:ascii="Courier New" w:hAnsi="Courier New" w:cs="Courier New"/>
        </w:rPr>
        <w:t>s</w:t>
      </w:r>
      <w:r w:rsidR="006F1EF0" w:rsidRPr="00B03117">
        <w:rPr>
          <w:rFonts w:ascii="Courier New" w:hAnsi="Courier New" w:cs="Courier New"/>
        </w:rPr>
        <w:t xml:space="preserve"> of the </w:t>
      </w:r>
      <w:r w:rsidR="006F1EF0">
        <w:rPr>
          <w:rFonts w:ascii="Courier New" w:hAnsi="Courier New" w:cs="Courier New"/>
        </w:rPr>
        <w:t xml:space="preserve">appellant, the </w:t>
      </w:r>
      <w:r w:rsidR="006F1EF0" w:rsidRPr="00B03117">
        <w:rPr>
          <w:rFonts w:ascii="Courier New" w:hAnsi="Courier New" w:cs="Courier New"/>
        </w:rPr>
        <w:t>charitable organizat</w:t>
      </w:r>
      <w:r w:rsidR="006F1EF0">
        <w:rPr>
          <w:rFonts w:ascii="Courier New" w:hAnsi="Courier New" w:cs="Courier New"/>
        </w:rPr>
        <w:t>ion that</w:t>
      </w:r>
      <w:r w:rsidR="00D965B2">
        <w:rPr>
          <w:rFonts w:ascii="Courier New" w:hAnsi="Courier New" w:cs="Courier New"/>
        </w:rPr>
        <w:t xml:space="preserve"> owned the property.”  </w:t>
      </w:r>
      <w:r w:rsidR="00D965B2" w:rsidRPr="00D965B2">
        <w:rPr>
          <w:rFonts w:ascii="Courier New" w:hAnsi="Courier New" w:cs="Courier New"/>
          <w:b/>
          <w:i/>
        </w:rPr>
        <w:t>Id.</w:t>
      </w:r>
      <w:r w:rsidR="00D965B2">
        <w:rPr>
          <w:rFonts w:ascii="Courier New" w:hAnsi="Courier New" w:cs="Courier New"/>
        </w:rPr>
        <w:t xml:space="preserve"> at 2013-781</w:t>
      </w:r>
      <w:r w:rsidR="006F1EF0">
        <w:rPr>
          <w:rFonts w:ascii="Courier New" w:hAnsi="Courier New" w:cs="Courier New"/>
        </w:rPr>
        <w:t xml:space="preserve">.  </w:t>
      </w:r>
      <w:r w:rsidR="007A1D72">
        <w:rPr>
          <w:rFonts w:ascii="Courier New" w:hAnsi="Courier New" w:cs="Courier New"/>
        </w:rPr>
        <w:t>Here, too, the Board found that the residency of the Numeraries at the subject property was not a mere con</w:t>
      </w:r>
      <w:r w:rsidR="00471BA6">
        <w:rPr>
          <w:rFonts w:ascii="Courier New" w:hAnsi="Courier New" w:cs="Courier New"/>
        </w:rPr>
        <w:t>venience, but instead was integral to the promotion of Cedar Wood’s charitable purposes.</w:t>
      </w:r>
    </w:p>
    <w:p w:rsidR="000F08B2" w:rsidRDefault="0052166C" w:rsidP="000F08B2">
      <w:pPr>
        <w:spacing w:line="480" w:lineRule="auto"/>
        <w:ind w:firstLine="720"/>
        <w:jc w:val="both"/>
        <w:rPr>
          <w:rFonts w:ascii="Courier New" w:hAnsi="Courier New" w:cs="Courier New"/>
        </w:rPr>
      </w:pPr>
      <w:r>
        <w:rPr>
          <w:rFonts w:ascii="Courier New" w:hAnsi="Courier New" w:cs="Courier New"/>
        </w:rPr>
        <w:lastRenderedPageBreak/>
        <w:t>It was the assessors’</w:t>
      </w:r>
      <w:r w:rsidR="00D021E7">
        <w:rPr>
          <w:rFonts w:ascii="Courier New" w:hAnsi="Courier New" w:cs="Courier New"/>
        </w:rPr>
        <w:t xml:space="preserve"> position in</w:t>
      </w:r>
      <w:r>
        <w:rPr>
          <w:rFonts w:ascii="Courier New" w:hAnsi="Courier New" w:cs="Courier New"/>
        </w:rPr>
        <w:t xml:space="preserve"> these appeals that the fact that the Numeraries were not employees of either Trimount Foundatio</w:t>
      </w:r>
      <w:r w:rsidR="00B2505E">
        <w:rPr>
          <w:rFonts w:ascii="Courier New" w:hAnsi="Courier New" w:cs="Courier New"/>
        </w:rPr>
        <w:t>n</w:t>
      </w:r>
      <w:r>
        <w:rPr>
          <w:rFonts w:ascii="Courier New" w:hAnsi="Courier New" w:cs="Courier New"/>
        </w:rPr>
        <w:t xml:space="preserve"> or Cedar Wood, but instead had full-time private employment elsewhere, som</w:t>
      </w:r>
      <w:r w:rsidR="00AD2DEC">
        <w:rPr>
          <w:rFonts w:ascii="Courier New" w:hAnsi="Courier New" w:cs="Courier New"/>
        </w:rPr>
        <w:t xml:space="preserve">ehow affected </w:t>
      </w:r>
      <w:r>
        <w:rPr>
          <w:rFonts w:ascii="Courier New" w:hAnsi="Courier New" w:cs="Courier New"/>
        </w:rPr>
        <w:t>the subject property’s eligibility for exemption.  The Board did n</w:t>
      </w:r>
      <w:r w:rsidR="00FE2A24">
        <w:rPr>
          <w:rFonts w:ascii="Courier New" w:hAnsi="Courier New" w:cs="Courier New"/>
        </w:rPr>
        <w:t>ot find this argument persuasive</w:t>
      </w:r>
      <w:r>
        <w:rPr>
          <w:rFonts w:ascii="Courier New" w:hAnsi="Courier New" w:cs="Courier New"/>
        </w:rPr>
        <w:t>. The Numeraries were committed members of Opus Dei, having pledged lifelong</w:t>
      </w:r>
      <w:r w:rsidR="004B2AA9">
        <w:rPr>
          <w:rFonts w:ascii="Courier New" w:hAnsi="Courier New" w:cs="Courier New"/>
        </w:rPr>
        <w:t xml:space="preserve"> dedication </w:t>
      </w:r>
      <w:r>
        <w:rPr>
          <w:rFonts w:ascii="Courier New" w:hAnsi="Courier New" w:cs="Courier New"/>
        </w:rPr>
        <w:t>thereto, and their</w:t>
      </w:r>
      <w:r w:rsidR="004B2AA9">
        <w:rPr>
          <w:rFonts w:ascii="Courier New" w:hAnsi="Courier New" w:cs="Courier New"/>
        </w:rPr>
        <w:t xml:space="preserve"> mission</w:t>
      </w:r>
      <w:r>
        <w:rPr>
          <w:rFonts w:ascii="Courier New" w:hAnsi="Courier New" w:cs="Courier New"/>
        </w:rPr>
        <w:t xml:space="preserve"> was to advance its core religious </w:t>
      </w:r>
      <w:r w:rsidR="004B2AA9">
        <w:rPr>
          <w:rFonts w:ascii="Courier New" w:hAnsi="Courier New" w:cs="Courier New"/>
        </w:rPr>
        <w:t>and educational purposes</w:t>
      </w:r>
      <w:r>
        <w:rPr>
          <w:rFonts w:ascii="Courier New" w:hAnsi="Courier New" w:cs="Courier New"/>
        </w:rPr>
        <w:t xml:space="preserve">, both by performing services and donating substantial financial assistance to related entities. </w:t>
      </w:r>
      <w:r w:rsidR="00E40CE0">
        <w:rPr>
          <w:rFonts w:ascii="Courier New" w:hAnsi="Courier New" w:cs="Courier New"/>
        </w:rPr>
        <w:t xml:space="preserve">Much of the work of </w:t>
      </w:r>
      <w:r w:rsidR="006809D1">
        <w:rPr>
          <w:rFonts w:ascii="Courier New" w:hAnsi="Courier New" w:cs="Courier New"/>
        </w:rPr>
        <w:t>charitable organizations, by their very nature, is advanced by volunteers, rather than paid employees</w:t>
      </w:r>
      <w:r w:rsidR="00B2505E">
        <w:rPr>
          <w:rFonts w:ascii="Courier New" w:hAnsi="Courier New" w:cs="Courier New"/>
        </w:rPr>
        <w:t xml:space="preserve">, and the </w:t>
      </w:r>
      <w:r w:rsidR="006809D1">
        <w:rPr>
          <w:rFonts w:ascii="Courier New" w:hAnsi="Courier New" w:cs="Courier New"/>
        </w:rPr>
        <w:t>Board did not find it material that the residents of C</w:t>
      </w:r>
      <w:r w:rsidR="00D021E7">
        <w:rPr>
          <w:rFonts w:ascii="Courier New" w:hAnsi="Courier New" w:cs="Courier New"/>
        </w:rPr>
        <w:t xml:space="preserve">edar Wood were </w:t>
      </w:r>
      <w:r w:rsidR="006809D1">
        <w:rPr>
          <w:rFonts w:ascii="Courier New" w:hAnsi="Courier New" w:cs="Courier New"/>
        </w:rPr>
        <w:t xml:space="preserve">not paid employees </w:t>
      </w:r>
      <w:r w:rsidR="00AD2DEC">
        <w:rPr>
          <w:rFonts w:ascii="Courier New" w:hAnsi="Courier New" w:cs="Courier New"/>
        </w:rPr>
        <w:t xml:space="preserve">of </w:t>
      </w:r>
      <w:r w:rsidR="00D021E7">
        <w:rPr>
          <w:rFonts w:ascii="Courier New" w:hAnsi="Courier New" w:cs="Courier New"/>
        </w:rPr>
        <w:t xml:space="preserve">Trimount Foundation, Cedar Wood, or Opus Dei. </w:t>
      </w:r>
    </w:p>
    <w:p w:rsidR="000F08B2" w:rsidRDefault="00F51B34" w:rsidP="00B73639">
      <w:pPr>
        <w:spacing w:line="480" w:lineRule="auto"/>
        <w:ind w:firstLine="720"/>
        <w:jc w:val="both"/>
        <w:rPr>
          <w:rFonts w:ascii="Courier New" w:hAnsi="Courier New" w:cs="Courier New"/>
        </w:rPr>
      </w:pPr>
      <w:r>
        <w:rPr>
          <w:rFonts w:ascii="Courier New" w:hAnsi="Courier New" w:cs="Courier New"/>
        </w:rPr>
        <w:t>In conclusion, the Board found that the appellant met its burden of demonstrating that the subject property was owned by a charitable organization and occupied by a charitable organization in furtherance of its charitable purposes throughout the fiscal years at issue.  The Board therefore found and ruled that the subject property was exempt from taxation under Clause Third.</w:t>
      </w:r>
    </w:p>
    <w:p w:rsidR="000F08B2" w:rsidRDefault="000F08B2" w:rsidP="00B73639">
      <w:pPr>
        <w:spacing w:line="480" w:lineRule="auto"/>
        <w:ind w:firstLine="720"/>
        <w:jc w:val="both"/>
        <w:rPr>
          <w:rFonts w:ascii="Courier New" w:hAnsi="Courier New" w:cs="Courier New"/>
        </w:rPr>
      </w:pPr>
    </w:p>
    <w:p w:rsidR="000F08B2" w:rsidRDefault="000F08B2" w:rsidP="00B73639">
      <w:pPr>
        <w:spacing w:line="480" w:lineRule="auto"/>
        <w:ind w:firstLine="720"/>
        <w:jc w:val="both"/>
        <w:rPr>
          <w:rFonts w:ascii="Courier New" w:hAnsi="Courier New" w:cs="Courier New"/>
        </w:rPr>
      </w:pPr>
    </w:p>
    <w:p w:rsidR="000F08B2" w:rsidRDefault="00F51B34" w:rsidP="00B73639">
      <w:pPr>
        <w:spacing w:line="480" w:lineRule="auto"/>
        <w:ind w:firstLine="720"/>
        <w:jc w:val="both"/>
        <w:rPr>
          <w:rFonts w:ascii="Courier New" w:hAnsi="Courier New" w:cs="Courier New"/>
        </w:rPr>
      </w:pPr>
      <w:r>
        <w:rPr>
          <w:rFonts w:ascii="Courier New" w:hAnsi="Courier New" w:cs="Courier New"/>
        </w:rPr>
        <w:lastRenderedPageBreak/>
        <w:t xml:space="preserve">  </w:t>
      </w:r>
      <w:r w:rsidR="00471BA6">
        <w:rPr>
          <w:rFonts w:ascii="Courier New" w:hAnsi="Courier New" w:cs="Courier New"/>
        </w:rPr>
        <w:t>Accordingly, the Board issued decisions for the appellant in these appeals, and granted abatements in the following amounts:</w:t>
      </w:r>
      <w:r w:rsidR="00522307">
        <w:rPr>
          <w:rFonts w:ascii="Courier New" w:hAnsi="Courier New" w:cs="Courier New"/>
        </w:rPr>
        <w:t xml:space="preserve"> $30,573.46 for fiscal year 2015; $29,967.78 for fiscal year 2016; and $29,283.11 for fiscal year 2017. </w:t>
      </w:r>
    </w:p>
    <w:p w:rsidR="003647FF" w:rsidRPr="00B73639" w:rsidRDefault="00522307" w:rsidP="00B73639">
      <w:pPr>
        <w:spacing w:line="480" w:lineRule="auto"/>
        <w:ind w:firstLine="720"/>
        <w:jc w:val="both"/>
        <w:rPr>
          <w:rFonts w:ascii="Courier New" w:hAnsi="Courier New" w:cs="Courier New"/>
        </w:rPr>
      </w:pPr>
      <w:r>
        <w:rPr>
          <w:rFonts w:ascii="Courier New" w:hAnsi="Courier New" w:cs="Courier New"/>
        </w:rPr>
        <w:t xml:space="preserve"> </w:t>
      </w:r>
    </w:p>
    <w:p w:rsidR="003647FF" w:rsidRDefault="003647FF" w:rsidP="003647FF">
      <w:pPr>
        <w:spacing w:line="480" w:lineRule="auto"/>
        <w:jc w:val="both"/>
        <w:rPr>
          <w:rFonts w:ascii="Courier New" w:hAnsi="Courier New" w:cs="Courier New"/>
        </w:rPr>
      </w:pPr>
    </w:p>
    <w:p w:rsidR="003647FF" w:rsidRDefault="003647FF" w:rsidP="003647FF">
      <w:pPr>
        <w:jc w:val="both"/>
        <w:rPr>
          <w:rFonts w:ascii="Courier New" w:hAnsi="Courier New" w:cs="Courier New"/>
          <w:b/>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0F08B2">
        <w:rPr>
          <w:rFonts w:ascii="Courier New" w:hAnsi="Courier New" w:cs="Courier New"/>
        </w:rPr>
        <w:tab/>
      </w:r>
      <w:r>
        <w:rPr>
          <w:rFonts w:ascii="Courier New" w:hAnsi="Courier New" w:cs="Courier New"/>
          <w:b/>
        </w:rPr>
        <w:t>THE</w:t>
      </w:r>
      <w:r>
        <w:rPr>
          <w:rFonts w:ascii="Courier New" w:hAnsi="Courier New" w:cs="Courier New"/>
        </w:rPr>
        <w:t xml:space="preserve"> </w:t>
      </w:r>
      <w:r>
        <w:rPr>
          <w:rFonts w:ascii="Courier New" w:hAnsi="Courier New" w:cs="Courier New"/>
          <w:b/>
        </w:rPr>
        <w:t>APPELLATE TAX BOARD</w:t>
      </w:r>
    </w:p>
    <w:p w:rsidR="003647FF" w:rsidRDefault="003647FF" w:rsidP="003647FF">
      <w:pPr>
        <w:jc w:val="both"/>
        <w:rPr>
          <w:rFonts w:ascii="Courier New" w:hAnsi="Courier New" w:cs="Courier New"/>
          <w:b/>
        </w:rPr>
      </w:pPr>
    </w:p>
    <w:p w:rsidR="003647FF" w:rsidRDefault="003647FF" w:rsidP="003647FF">
      <w:pPr>
        <w:jc w:val="both"/>
        <w:rPr>
          <w:rFonts w:ascii="Courier New" w:hAnsi="Courier New" w:cs="Courier New"/>
          <w:b/>
        </w:rPr>
      </w:pPr>
    </w:p>
    <w:p w:rsidR="003647FF" w:rsidRDefault="003647FF" w:rsidP="003647FF">
      <w:pPr>
        <w:jc w:val="both"/>
        <w:rPr>
          <w:rFonts w:ascii="Courier New" w:hAnsi="Courier New" w:cs="Courier New"/>
          <w:b/>
        </w:rPr>
      </w:pPr>
    </w:p>
    <w:p w:rsidR="003647FF" w:rsidRDefault="003647FF" w:rsidP="003647FF">
      <w:pPr>
        <w:jc w:val="both"/>
        <w:rPr>
          <w:rFonts w:ascii="Courier New" w:hAnsi="Courier New" w:cs="Courier New"/>
          <w:b/>
        </w:rPr>
      </w:pPr>
    </w:p>
    <w:p w:rsidR="003647FF" w:rsidRDefault="003647FF" w:rsidP="003647FF">
      <w:pPr>
        <w:jc w:val="both"/>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sidR="000F08B2">
        <w:rPr>
          <w:rFonts w:ascii="Courier New" w:hAnsi="Courier New" w:cs="Courier New"/>
          <w:b/>
        </w:rPr>
        <w:tab/>
      </w:r>
      <w:r>
        <w:rPr>
          <w:rFonts w:ascii="Courier New" w:hAnsi="Courier New" w:cs="Courier New"/>
          <w:b/>
        </w:rPr>
        <w:t>By: __________________________________</w:t>
      </w:r>
    </w:p>
    <w:p w:rsidR="003647FF" w:rsidRDefault="003647FF" w:rsidP="003647FF">
      <w:pPr>
        <w:jc w:val="both"/>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t xml:space="preserve">    </w:t>
      </w:r>
      <w:r>
        <w:rPr>
          <w:rFonts w:ascii="Courier New" w:hAnsi="Courier New" w:cs="Courier New"/>
          <w:b/>
        </w:rPr>
        <w:tab/>
        <w:t>    </w:t>
      </w:r>
      <w:r w:rsidR="000F08B2">
        <w:rPr>
          <w:rFonts w:ascii="Courier New" w:hAnsi="Courier New" w:cs="Courier New"/>
          <w:b/>
        </w:rPr>
        <w:t>     </w:t>
      </w:r>
      <w:r>
        <w:rPr>
          <w:rFonts w:ascii="Courier New" w:hAnsi="Courier New" w:cs="Courier New"/>
          <w:b/>
        </w:rPr>
        <w:t>Thomas W. Hammond, Jr., Chairman</w:t>
      </w:r>
    </w:p>
    <w:p w:rsidR="003647FF" w:rsidRDefault="003647FF" w:rsidP="003647FF">
      <w:pPr>
        <w:jc w:val="both"/>
        <w:rPr>
          <w:rFonts w:ascii="Courier New" w:hAnsi="Courier New" w:cs="Courier New"/>
          <w:b/>
        </w:rPr>
      </w:pPr>
    </w:p>
    <w:p w:rsidR="000F08B2" w:rsidRDefault="000F08B2" w:rsidP="003647FF">
      <w:pPr>
        <w:jc w:val="both"/>
        <w:rPr>
          <w:rFonts w:ascii="Courier New" w:hAnsi="Courier New" w:cs="Courier New"/>
          <w:b/>
        </w:rPr>
      </w:pPr>
    </w:p>
    <w:p w:rsidR="000F08B2" w:rsidRDefault="000F08B2" w:rsidP="003647FF">
      <w:pPr>
        <w:jc w:val="both"/>
        <w:rPr>
          <w:rFonts w:ascii="Courier New" w:hAnsi="Courier New" w:cs="Courier New"/>
          <w:b/>
        </w:rPr>
      </w:pPr>
    </w:p>
    <w:p w:rsidR="001C0D79" w:rsidRDefault="001C0D79" w:rsidP="001C0D79">
      <w:pPr>
        <w:jc w:val="both"/>
        <w:rPr>
          <w:rFonts w:ascii="Courier New" w:hAnsi="Courier New" w:cs="Courier New"/>
          <w:b/>
        </w:rPr>
      </w:pPr>
      <w:r>
        <w:rPr>
          <w:rFonts w:ascii="Courier New" w:hAnsi="Courier New" w:cs="Courier New"/>
          <w:b/>
        </w:rPr>
        <w:t>A true copy,</w:t>
      </w:r>
    </w:p>
    <w:p w:rsidR="001C0D79" w:rsidRDefault="001C0D79" w:rsidP="001C0D79">
      <w:pPr>
        <w:jc w:val="both"/>
        <w:rPr>
          <w:rFonts w:ascii="Courier New" w:hAnsi="Courier New" w:cs="Courier New"/>
          <w:b/>
        </w:rPr>
      </w:pPr>
    </w:p>
    <w:p w:rsidR="001C0D79" w:rsidRDefault="001C0D79" w:rsidP="001C0D79">
      <w:pPr>
        <w:jc w:val="both"/>
        <w:rPr>
          <w:rFonts w:ascii="Courier New" w:hAnsi="Courier New" w:cs="Courier New"/>
          <w:b/>
        </w:rPr>
      </w:pPr>
    </w:p>
    <w:p w:rsidR="001C0D79" w:rsidRDefault="001C0D79" w:rsidP="001C0D79">
      <w:pPr>
        <w:jc w:val="both"/>
        <w:rPr>
          <w:rFonts w:ascii="Courier New" w:hAnsi="Courier New" w:cs="Courier New"/>
          <w:b/>
        </w:rPr>
      </w:pPr>
      <w:r>
        <w:rPr>
          <w:rFonts w:ascii="Courier New" w:hAnsi="Courier New" w:cs="Courier New"/>
          <w:b/>
        </w:rPr>
        <w:t>Attest: _________________________</w:t>
      </w:r>
    </w:p>
    <w:p w:rsidR="001C0D79" w:rsidRDefault="001C0D79" w:rsidP="001C0D79">
      <w:pPr>
        <w:jc w:val="both"/>
        <w:rPr>
          <w:rFonts w:ascii="Courier New" w:hAnsi="Courier New" w:cs="Courier New"/>
          <w:b/>
        </w:rPr>
      </w:pPr>
      <w:r>
        <w:rPr>
          <w:rFonts w:ascii="Courier New" w:hAnsi="Courier New" w:cs="Courier New"/>
          <w:b/>
        </w:rPr>
        <w:tab/>
      </w:r>
      <w:r>
        <w:rPr>
          <w:rFonts w:ascii="Courier New" w:hAnsi="Courier New" w:cs="Courier New"/>
          <w:b/>
        </w:rPr>
        <w:tab/>
        <w:t>Clerk of the Board</w:t>
      </w:r>
    </w:p>
    <w:p w:rsidR="001C0D79" w:rsidRDefault="001C0D79" w:rsidP="001C0D79">
      <w:pPr>
        <w:jc w:val="both"/>
        <w:rPr>
          <w:rFonts w:ascii="Courier New" w:hAnsi="Courier New" w:cs="Courier New"/>
          <w:b/>
        </w:rPr>
      </w:pPr>
    </w:p>
    <w:p w:rsidR="003647FF" w:rsidRDefault="003647FF" w:rsidP="003647FF">
      <w:pPr>
        <w:jc w:val="both"/>
        <w:rPr>
          <w:rFonts w:ascii="Courier New" w:hAnsi="Courier New" w:cs="Courier New"/>
          <w:b/>
        </w:rPr>
      </w:pPr>
    </w:p>
    <w:p w:rsidR="003647FF" w:rsidRDefault="003647FF" w:rsidP="003647FF">
      <w:pPr>
        <w:jc w:val="both"/>
        <w:rPr>
          <w:rFonts w:ascii="Courier New" w:hAnsi="Courier New" w:cs="Courier New"/>
          <w:b/>
        </w:rPr>
      </w:pPr>
    </w:p>
    <w:p w:rsidR="00491569" w:rsidRDefault="00491569" w:rsidP="00660C85">
      <w:pPr>
        <w:spacing w:line="480" w:lineRule="auto"/>
        <w:ind w:firstLine="720"/>
        <w:jc w:val="both"/>
        <w:rPr>
          <w:rFonts w:ascii="Courier New" w:hAnsi="Courier New" w:cs="Courier New"/>
        </w:rPr>
      </w:pPr>
    </w:p>
    <w:p w:rsidR="00D17339" w:rsidRDefault="00D17339" w:rsidP="00054609">
      <w:pPr>
        <w:spacing w:line="480" w:lineRule="auto"/>
        <w:ind w:firstLine="720"/>
        <w:jc w:val="both"/>
        <w:rPr>
          <w:rFonts w:ascii="Courier New" w:hAnsi="Courier New" w:cs="Courier New"/>
        </w:rPr>
      </w:pPr>
    </w:p>
    <w:p w:rsidR="009430B9" w:rsidRDefault="009430B9" w:rsidP="001068ED">
      <w:pPr>
        <w:spacing w:line="480" w:lineRule="auto"/>
        <w:ind w:firstLine="720"/>
        <w:jc w:val="both"/>
        <w:rPr>
          <w:rFonts w:ascii="Courier New" w:hAnsi="Courier New" w:cs="Courier New"/>
        </w:rPr>
      </w:pPr>
    </w:p>
    <w:p w:rsidR="001A0078" w:rsidRDefault="001A0078" w:rsidP="001068ED">
      <w:pPr>
        <w:spacing w:line="480" w:lineRule="auto"/>
        <w:ind w:firstLine="720"/>
        <w:jc w:val="both"/>
        <w:rPr>
          <w:rFonts w:ascii="Courier New" w:hAnsi="Courier New" w:cs="Courier New"/>
        </w:rPr>
      </w:pPr>
    </w:p>
    <w:p w:rsidR="001068ED" w:rsidRDefault="001068ED" w:rsidP="001068ED">
      <w:pPr>
        <w:spacing w:line="480" w:lineRule="auto"/>
        <w:jc w:val="both"/>
        <w:rPr>
          <w:rFonts w:ascii="Courier New" w:hAnsi="Courier New" w:cs="Courier New"/>
        </w:rPr>
      </w:pPr>
    </w:p>
    <w:p w:rsidR="00C07660" w:rsidRDefault="00C07660" w:rsidP="00C07660">
      <w:pPr>
        <w:spacing w:line="480" w:lineRule="auto"/>
        <w:ind w:firstLine="720"/>
        <w:jc w:val="both"/>
        <w:rPr>
          <w:rFonts w:ascii="Courier New" w:hAnsi="Courier New" w:cs="Courier New"/>
        </w:rPr>
      </w:pPr>
    </w:p>
    <w:p w:rsidR="00B81EE8" w:rsidRDefault="00B81EE8" w:rsidP="006D6C4C">
      <w:pPr>
        <w:spacing w:line="480" w:lineRule="auto"/>
        <w:ind w:firstLine="720"/>
        <w:jc w:val="both"/>
        <w:rPr>
          <w:rFonts w:ascii="Courier New" w:hAnsi="Courier New" w:cs="Courier New"/>
        </w:rPr>
      </w:pPr>
    </w:p>
    <w:p w:rsidR="006D6C4C" w:rsidRPr="006D6C4C" w:rsidRDefault="006D6C4C" w:rsidP="006D6C4C">
      <w:pPr>
        <w:spacing w:line="480" w:lineRule="auto"/>
        <w:ind w:firstLine="720"/>
        <w:jc w:val="both"/>
        <w:rPr>
          <w:rFonts w:ascii="Courier New" w:hAnsi="Courier New" w:cs="Courier New"/>
        </w:rPr>
      </w:pPr>
    </w:p>
    <w:p w:rsidR="00681281" w:rsidRPr="00C84C6C" w:rsidRDefault="00681281" w:rsidP="000F08B2">
      <w:pPr>
        <w:spacing w:line="480" w:lineRule="auto"/>
        <w:jc w:val="both"/>
        <w:rPr>
          <w:rFonts w:ascii="Courier New" w:hAnsi="Courier New" w:cs="Courier New"/>
        </w:rPr>
      </w:pPr>
    </w:p>
    <w:sectPr w:rsidR="00681281" w:rsidRPr="00C84C6C" w:rsidSect="001C0D79">
      <w:footerReference w:type="default" r:id="rId9"/>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64" w:rsidRDefault="00894364" w:rsidP="001832BB">
      <w:r>
        <w:separator/>
      </w:r>
    </w:p>
  </w:endnote>
  <w:endnote w:type="continuationSeparator" w:id="0">
    <w:p w:rsidR="00894364" w:rsidRDefault="00894364" w:rsidP="0018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348757943"/>
      <w:docPartObj>
        <w:docPartGallery w:val="Page Numbers (Bottom of Page)"/>
        <w:docPartUnique/>
      </w:docPartObj>
    </w:sdtPr>
    <w:sdtEndPr>
      <w:rPr>
        <w:noProof/>
      </w:rPr>
    </w:sdtEndPr>
    <w:sdtContent>
      <w:p w:rsidR="001832BB" w:rsidRPr="004E1A1F" w:rsidRDefault="004E1A1F">
        <w:pPr>
          <w:pStyle w:val="Footer"/>
          <w:jc w:val="center"/>
          <w:rPr>
            <w:rFonts w:ascii="Courier New" w:hAnsi="Courier New" w:cs="Courier New"/>
            <w:b/>
          </w:rPr>
        </w:pPr>
        <w:r w:rsidRPr="004E1A1F">
          <w:rPr>
            <w:rFonts w:ascii="Courier New" w:hAnsi="Courier New" w:cs="Courier New"/>
            <w:b/>
          </w:rPr>
          <w:t>ATB 2019-</w:t>
        </w:r>
        <w:r w:rsidR="001832BB" w:rsidRPr="004E1A1F">
          <w:rPr>
            <w:rFonts w:ascii="Courier New" w:hAnsi="Courier New" w:cs="Courier New"/>
            <w:b/>
          </w:rPr>
          <w:fldChar w:fldCharType="begin"/>
        </w:r>
        <w:r w:rsidR="001832BB" w:rsidRPr="004E1A1F">
          <w:rPr>
            <w:rFonts w:ascii="Courier New" w:hAnsi="Courier New" w:cs="Courier New"/>
            <w:b/>
          </w:rPr>
          <w:instrText xml:space="preserve"> PAGE   \* MERGEFORMAT </w:instrText>
        </w:r>
        <w:r w:rsidR="001832BB" w:rsidRPr="004E1A1F">
          <w:rPr>
            <w:rFonts w:ascii="Courier New" w:hAnsi="Courier New" w:cs="Courier New"/>
            <w:b/>
          </w:rPr>
          <w:fldChar w:fldCharType="separate"/>
        </w:r>
        <w:r w:rsidR="00A32CB4">
          <w:rPr>
            <w:rFonts w:ascii="Courier New" w:hAnsi="Courier New" w:cs="Courier New"/>
            <w:b/>
            <w:noProof/>
          </w:rPr>
          <w:t>1</w:t>
        </w:r>
        <w:r w:rsidR="001832BB" w:rsidRPr="004E1A1F">
          <w:rPr>
            <w:rFonts w:ascii="Courier New" w:hAnsi="Courier New" w:cs="Courier New"/>
            <w:b/>
            <w:noProof/>
          </w:rPr>
          <w:fldChar w:fldCharType="end"/>
        </w:r>
      </w:p>
    </w:sdtContent>
  </w:sdt>
  <w:p w:rsidR="001832BB" w:rsidRDefault="00183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64" w:rsidRDefault="00894364" w:rsidP="001832BB">
      <w:r>
        <w:separator/>
      </w:r>
    </w:p>
  </w:footnote>
  <w:footnote w:type="continuationSeparator" w:id="0">
    <w:p w:rsidR="00894364" w:rsidRDefault="00894364" w:rsidP="001832BB">
      <w:r>
        <w:continuationSeparator/>
      </w:r>
    </w:p>
  </w:footnote>
  <w:footnote w:id="1">
    <w:p w:rsidR="00C84C6C" w:rsidRPr="00094B02" w:rsidRDefault="00C84C6C" w:rsidP="0059062B">
      <w:pPr>
        <w:pStyle w:val="FootnoteText"/>
        <w:jc w:val="both"/>
        <w:rPr>
          <w:rFonts w:ascii="Courier New" w:hAnsi="Courier New" w:cs="Courier New"/>
        </w:rPr>
      </w:pPr>
      <w:r w:rsidRPr="00094B02">
        <w:rPr>
          <w:rStyle w:val="FootnoteReference"/>
          <w:rFonts w:ascii="Courier New" w:hAnsi="Courier New" w:cs="Courier New"/>
        </w:rPr>
        <w:footnoteRef/>
      </w:r>
      <w:r w:rsidRPr="00094B02">
        <w:rPr>
          <w:rFonts w:ascii="Courier New" w:hAnsi="Courier New" w:cs="Courier New"/>
        </w:rPr>
        <w:t xml:space="preserve"> The subject proper</w:t>
      </w:r>
      <w:r w:rsidR="004C6534" w:rsidRPr="00094B02">
        <w:rPr>
          <w:rFonts w:ascii="Courier New" w:hAnsi="Courier New" w:cs="Courier New"/>
        </w:rPr>
        <w:t xml:space="preserve">ty is also known as 80 Lombard Street </w:t>
      </w:r>
      <w:r w:rsidRPr="00094B02">
        <w:rPr>
          <w:rFonts w:ascii="Courier New" w:hAnsi="Courier New" w:cs="Courier New"/>
        </w:rPr>
        <w:t>because it is located at th</w:t>
      </w:r>
      <w:r w:rsidR="008E7EF8">
        <w:rPr>
          <w:rFonts w:ascii="Courier New" w:hAnsi="Courier New" w:cs="Courier New"/>
        </w:rPr>
        <w:t xml:space="preserve">e corner of Lombard and </w:t>
      </w:r>
      <w:r w:rsidRPr="00094B02">
        <w:rPr>
          <w:rFonts w:ascii="Courier New" w:hAnsi="Courier New" w:cs="Courier New"/>
        </w:rPr>
        <w:t>Claremont Street</w:t>
      </w:r>
      <w:r w:rsidR="008E7EF8">
        <w:rPr>
          <w:rFonts w:ascii="Courier New" w:hAnsi="Courier New" w:cs="Courier New"/>
        </w:rPr>
        <w:t>s</w:t>
      </w:r>
      <w:r w:rsidRPr="00094B02">
        <w:rPr>
          <w:rFonts w:ascii="Courier New" w:hAnsi="Courier New" w:cs="Courier New"/>
        </w:rPr>
        <w:t xml:space="preserve"> and is number 80 on both streets.  </w:t>
      </w:r>
    </w:p>
  </w:footnote>
  <w:footnote w:id="2">
    <w:p w:rsidR="00020A90" w:rsidRPr="00F00486" w:rsidRDefault="00020A90" w:rsidP="0059062B">
      <w:pPr>
        <w:pStyle w:val="FootnoteText"/>
        <w:jc w:val="both"/>
        <w:rPr>
          <w:rFonts w:ascii="Courier New" w:hAnsi="Courier New" w:cs="Courier New"/>
        </w:rPr>
      </w:pPr>
      <w:r w:rsidRPr="00F00486">
        <w:rPr>
          <w:rStyle w:val="FootnoteReference"/>
          <w:rFonts w:ascii="Courier New" w:hAnsi="Courier New" w:cs="Courier New"/>
        </w:rPr>
        <w:footnoteRef/>
      </w:r>
      <w:r w:rsidRPr="00F00486">
        <w:rPr>
          <w:rFonts w:ascii="Courier New" w:hAnsi="Courier New" w:cs="Courier New"/>
        </w:rPr>
        <w:t xml:space="preserve"> The total tax amounts listed </w:t>
      </w:r>
      <w:r w:rsidR="00E87FD8" w:rsidRPr="00F00486">
        <w:rPr>
          <w:rFonts w:ascii="Courier New" w:hAnsi="Courier New" w:cs="Courier New"/>
        </w:rPr>
        <w:t xml:space="preserve">for fiscal year 2016 and 2017 </w:t>
      </w:r>
      <w:r w:rsidRPr="00F00486">
        <w:rPr>
          <w:rFonts w:ascii="Courier New" w:hAnsi="Courier New" w:cs="Courier New"/>
        </w:rPr>
        <w:t>are inclusive of a Community Preser</w:t>
      </w:r>
      <w:r w:rsidR="00135B42" w:rsidRPr="00F00486">
        <w:rPr>
          <w:rFonts w:ascii="Courier New" w:hAnsi="Courier New" w:cs="Courier New"/>
        </w:rPr>
        <w:t xml:space="preserve">vation Act Surcharge.  </w:t>
      </w:r>
    </w:p>
  </w:footnote>
  <w:footnote w:id="3">
    <w:p w:rsidR="00F00486" w:rsidRPr="00F00486" w:rsidRDefault="00F00486" w:rsidP="0059062B">
      <w:pPr>
        <w:pStyle w:val="FootnoteText"/>
        <w:jc w:val="both"/>
        <w:rPr>
          <w:rFonts w:ascii="Courier New" w:hAnsi="Courier New" w:cs="Courier New"/>
        </w:rPr>
      </w:pPr>
      <w:r w:rsidRPr="00F00486">
        <w:rPr>
          <w:rStyle w:val="FootnoteReference"/>
          <w:rFonts w:ascii="Courier New" w:hAnsi="Courier New" w:cs="Courier New"/>
        </w:rPr>
        <w:footnoteRef/>
      </w:r>
      <w:r w:rsidRPr="00F00486">
        <w:rPr>
          <w:rFonts w:ascii="Courier New" w:hAnsi="Courier New" w:cs="Courier New"/>
        </w:rPr>
        <w:t xml:space="preserve"> As will be discussed further below, the assessed values reflect a 33% exemption of the subject property granted by the assessors.  </w:t>
      </w:r>
    </w:p>
  </w:footnote>
  <w:footnote w:id="4">
    <w:p w:rsidR="00681281" w:rsidRPr="00F00486" w:rsidRDefault="00681281" w:rsidP="0059062B">
      <w:pPr>
        <w:pStyle w:val="FootnoteText"/>
        <w:jc w:val="both"/>
        <w:rPr>
          <w:rFonts w:ascii="Courier New" w:hAnsi="Courier New" w:cs="Courier New"/>
        </w:rPr>
      </w:pPr>
      <w:r w:rsidRPr="00F00486">
        <w:rPr>
          <w:rStyle w:val="FootnoteReference"/>
          <w:rFonts w:ascii="Courier New" w:hAnsi="Courier New" w:cs="Courier New"/>
        </w:rPr>
        <w:footnoteRef/>
      </w:r>
      <w:r w:rsidR="00266497">
        <w:rPr>
          <w:rFonts w:ascii="Courier New" w:hAnsi="Courier New" w:cs="Courier New"/>
        </w:rPr>
        <w:t xml:space="preserve"> B</w:t>
      </w:r>
      <w:r w:rsidRPr="00F00486">
        <w:rPr>
          <w:rFonts w:ascii="Courier New" w:hAnsi="Courier New" w:cs="Courier New"/>
        </w:rPr>
        <w:t xml:space="preserve">ecause the appellant is a charitable organization created primarily for religious purposes, it was exempted from the requirement of filing annual Forms PC with the Office of the </w:t>
      </w:r>
      <w:r w:rsidR="00266497">
        <w:rPr>
          <w:rFonts w:ascii="Courier New" w:hAnsi="Courier New" w:cs="Courier New"/>
        </w:rPr>
        <w:t>Attorney General</w:t>
      </w:r>
      <w:r w:rsidR="00DA52BF">
        <w:rPr>
          <w:rFonts w:ascii="Courier New" w:hAnsi="Courier New" w:cs="Courier New"/>
        </w:rPr>
        <w:t xml:space="preserve">, per G.L. c. 12, § 8F.  </w:t>
      </w:r>
    </w:p>
  </w:footnote>
  <w:footnote w:id="5">
    <w:p w:rsidR="00A13E1E" w:rsidRPr="00170945" w:rsidRDefault="00A13E1E" w:rsidP="00170945">
      <w:pPr>
        <w:pStyle w:val="FootnoteText"/>
        <w:jc w:val="both"/>
        <w:rPr>
          <w:rFonts w:ascii="Courier New" w:hAnsi="Courier New" w:cs="Courier New"/>
        </w:rPr>
      </w:pPr>
      <w:r w:rsidRPr="00170945">
        <w:rPr>
          <w:rStyle w:val="FootnoteReference"/>
          <w:rFonts w:ascii="Courier New" w:hAnsi="Courier New" w:cs="Courier New"/>
        </w:rPr>
        <w:footnoteRef/>
      </w:r>
      <w:r w:rsidRPr="00170945">
        <w:rPr>
          <w:rFonts w:ascii="Courier New" w:hAnsi="Courier New" w:cs="Courier New"/>
        </w:rPr>
        <w:t xml:space="preserve"> The record showed that the Numeraries living at the subject property during the fiscal years at issue</w:t>
      </w:r>
      <w:r w:rsidR="00CE62C5">
        <w:rPr>
          <w:rFonts w:ascii="Courier New" w:hAnsi="Courier New" w:cs="Courier New"/>
        </w:rPr>
        <w:t xml:space="preserve"> had diverse professions. Among them were educators, nurses, doctors, and other professionals. </w:t>
      </w:r>
      <w:r w:rsidR="00545E65" w:rsidRPr="00170945">
        <w:rPr>
          <w:rFonts w:ascii="Courier New" w:hAnsi="Courier New" w:cs="Courier New"/>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100D"/>
    <w:multiLevelType w:val="hybridMultilevel"/>
    <w:tmpl w:val="28246808"/>
    <w:lvl w:ilvl="0" w:tplc="E9505B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F64D04"/>
    <w:multiLevelType w:val="hybridMultilevel"/>
    <w:tmpl w:val="628CEF9A"/>
    <w:lvl w:ilvl="0" w:tplc="64BE4C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830E9C"/>
    <w:multiLevelType w:val="hybridMultilevel"/>
    <w:tmpl w:val="F30E0F78"/>
    <w:lvl w:ilvl="0" w:tplc="98DA4E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5D45F6"/>
    <w:multiLevelType w:val="hybridMultilevel"/>
    <w:tmpl w:val="986CD4CE"/>
    <w:lvl w:ilvl="0" w:tplc="908E3A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E15C3B"/>
    <w:multiLevelType w:val="hybridMultilevel"/>
    <w:tmpl w:val="66183212"/>
    <w:lvl w:ilvl="0" w:tplc="CC94EA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446BE3"/>
    <w:multiLevelType w:val="hybridMultilevel"/>
    <w:tmpl w:val="4274E15A"/>
    <w:lvl w:ilvl="0" w:tplc="AAEEF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116D09"/>
    <w:multiLevelType w:val="hybridMultilevel"/>
    <w:tmpl w:val="D108DAD2"/>
    <w:lvl w:ilvl="0" w:tplc="06D46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716DEE"/>
    <w:multiLevelType w:val="hybridMultilevel"/>
    <w:tmpl w:val="A830BE5A"/>
    <w:lvl w:ilvl="0" w:tplc="1C4AB1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6"/>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B6"/>
    <w:rsid w:val="00000505"/>
    <w:rsid w:val="0001283A"/>
    <w:rsid w:val="00013368"/>
    <w:rsid w:val="00020A90"/>
    <w:rsid w:val="000253CE"/>
    <w:rsid w:val="0004523E"/>
    <w:rsid w:val="00047CCC"/>
    <w:rsid w:val="00054609"/>
    <w:rsid w:val="0007511E"/>
    <w:rsid w:val="00075DC7"/>
    <w:rsid w:val="000840F7"/>
    <w:rsid w:val="00084DC8"/>
    <w:rsid w:val="00094B02"/>
    <w:rsid w:val="00094F1B"/>
    <w:rsid w:val="000A79E1"/>
    <w:rsid w:val="000B050A"/>
    <w:rsid w:val="000B2CF1"/>
    <w:rsid w:val="000C1406"/>
    <w:rsid w:val="000D17BC"/>
    <w:rsid w:val="000D207B"/>
    <w:rsid w:val="000D762B"/>
    <w:rsid w:val="000F08B2"/>
    <w:rsid w:val="000F2AFF"/>
    <w:rsid w:val="000F3D6C"/>
    <w:rsid w:val="000F5ACB"/>
    <w:rsid w:val="001068ED"/>
    <w:rsid w:val="00107533"/>
    <w:rsid w:val="00117E2B"/>
    <w:rsid w:val="001236C0"/>
    <w:rsid w:val="00135B42"/>
    <w:rsid w:val="00143CF6"/>
    <w:rsid w:val="001445B4"/>
    <w:rsid w:val="001502B2"/>
    <w:rsid w:val="00150AE5"/>
    <w:rsid w:val="001536ED"/>
    <w:rsid w:val="00170945"/>
    <w:rsid w:val="00171682"/>
    <w:rsid w:val="001722D8"/>
    <w:rsid w:val="00173696"/>
    <w:rsid w:val="001801B0"/>
    <w:rsid w:val="001832BB"/>
    <w:rsid w:val="001933CE"/>
    <w:rsid w:val="001940AA"/>
    <w:rsid w:val="001A0078"/>
    <w:rsid w:val="001A0F84"/>
    <w:rsid w:val="001A1B97"/>
    <w:rsid w:val="001B60D7"/>
    <w:rsid w:val="001B6185"/>
    <w:rsid w:val="001C0D79"/>
    <w:rsid w:val="001D0208"/>
    <w:rsid w:val="001D05FF"/>
    <w:rsid w:val="001D6AAE"/>
    <w:rsid w:val="001D777C"/>
    <w:rsid w:val="001D7822"/>
    <w:rsid w:val="001E64DC"/>
    <w:rsid w:val="001F0E87"/>
    <w:rsid w:val="0020301D"/>
    <w:rsid w:val="002053C9"/>
    <w:rsid w:val="00217C8A"/>
    <w:rsid w:val="00217CAB"/>
    <w:rsid w:val="00223D74"/>
    <w:rsid w:val="00234389"/>
    <w:rsid w:val="0024358F"/>
    <w:rsid w:val="00244582"/>
    <w:rsid w:val="00250F5E"/>
    <w:rsid w:val="002530CF"/>
    <w:rsid w:val="002559B4"/>
    <w:rsid w:val="00260356"/>
    <w:rsid w:val="00266497"/>
    <w:rsid w:val="00267722"/>
    <w:rsid w:val="002711AB"/>
    <w:rsid w:val="00290390"/>
    <w:rsid w:val="002963C6"/>
    <w:rsid w:val="002A3D7D"/>
    <w:rsid w:val="002C1DA2"/>
    <w:rsid w:val="002C251F"/>
    <w:rsid w:val="002D7624"/>
    <w:rsid w:val="002E10D7"/>
    <w:rsid w:val="002E2634"/>
    <w:rsid w:val="002F0C05"/>
    <w:rsid w:val="0031281B"/>
    <w:rsid w:val="003219B3"/>
    <w:rsid w:val="0033386F"/>
    <w:rsid w:val="003356EC"/>
    <w:rsid w:val="003364ED"/>
    <w:rsid w:val="0035646C"/>
    <w:rsid w:val="00361EB0"/>
    <w:rsid w:val="003647FF"/>
    <w:rsid w:val="003677DF"/>
    <w:rsid w:val="0039451D"/>
    <w:rsid w:val="003A1E48"/>
    <w:rsid w:val="003A3EF1"/>
    <w:rsid w:val="003C2742"/>
    <w:rsid w:val="003C51F5"/>
    <w:rsid w:val="003D0AD0"/>
    <w:rsid w:val="003D2C27"/>
    <w:rsid w:val="003D65E1"/>
    <w:rsid w:val="003F09D6"/>
    <w:rsid w:val="003F3824"/>
    <w:rsid w:val="003F6A32"/>
    <w:rsid w:val="003F7556"/>
    <w:rsid w:val="00407DB8"/>
    <w:rsid w:val="00445606"/>
    <w:rsid w:val="00446FF2"/>
    <w:rsid w:val="00452E4B"/>
    <w:rsid w:val="00454851"/>
    <w:rsid w:val="00471BA6"/>
    <w:rsid w:val="00471BC6"/>
    <w:rsid w:val="00491569"/>
    <w:rsid w:val="004A0C95"/>
    <w:rsid w:val="004A2570"/>
    <w:rsid w:val="004A26A0"/>
    <w:rsid w:val="004A312B"/>
    <w:rsid w:val="004A3260"/>
    <w:rsid w:val="004A57A8"/>
    <w:rsid w:val="004B0188"/>
    <w:rsid w:val="004B2AA9"/>
    <w:rsid w:val="004B74A1"/>
    <w:rsid w:val="004C0C64"/>
    <w:rsid w:val="004C5EFB"/>
    <w:rsid w:val="004C6534"/>
    <w:rsid w:val="004D1821"/>
    <w:rsid w:val="004D38E4"/>
    <w:rsid w:val="004D5ADC"/>
    <w:rsid w:val="004E1A1F"/>
    <w:rsid w:val="004E44BE"/>
    <w:rsid w:val="004E5B4D"/>
    <w:rsid w:val="004E7AD8"/>
    <w:rsid w:val="004F65C4"/>
    <w:rsid w:val="00504B3B"/>
    <w:rsid w:val="00505369"/>
    <w:rsid w:val="0052166C"/>
    <w:rsid w:val="00522307"/>
    <w:rsid w:val="00525FE1"/>
    <w:rsid w:val="00531FD3"/>
    <w:rsid w:val="005324C7"/>
    <w:rsid w:val="00537793"/>
    <w:rsid w:val="00544C86"/>
    <w:rsid w:val="00545E65"/>
    <w:rsid w:val="005561D1"/>
    <w:rsid w:val="00562B35"/>
    <w:rsid w:val="0056306A"/>
    <w:rsid w:val="00566A51"/>
    <w:rsid w:val="0056756B"/>
    <w:rsid w:val="005717D3"/>
    <w:rsid w:val="00575EAC"/>
    <w:rsid w:val="00584ADB"/>
    <w:rsid w:val="0059062B"/>
    <w:rsid w:val="0059619F"/>
    <w:rsid w:val="005A211D"/>
    <w:rsid w:val="005A2BCD"/>
    <w:rsid w:val="005B1322"/>
    <w:rsid w:val="005B3BAD"/>
    <w:rsid w:val="005B4E03"/>
    <w:rsid w:val="005D5005"/>
    <w:rsid w:val="005D791A"/>
    <w:rsid w:val="005E0051"/>
    <w:rsid w:val="0060141E"/>
    <w:rsid w:val="00602F5B"/>
    <w:rsid w:val="006037F2"/>
    <w:rsid w:val="00610E4D"/>
    <w:rsid w:val="00627894"/>
    <w:rsid w:val="00655C25"/>
    <w:rsid w:val="00660C85"/>
    <w:rsid w:val="00664A45"/>
    <w:rsid w:val="006658B2"/>
    <w:rsid w:val="00665BD9"/>
    <w:rsid w:val="00665F04"/>
    <w:rsid w:val="0067299C"/>
    <w:rsid w:val="0067609E"/>
    <w:rsid w:val="0067622F"/>
    <w:rsid w:val="006809D1"/>
    <w:rsid w:val="00681281"/>
    <w:rsid w:val="00686E74"/>
    <w:rsid w:val="006A1B95"/>
    <w:rsid w:val="006A40B3"/>
    <w:rsid w:val="006C2990"/>
    <w:rsid w:val="006C3709"/>
    <w:rsid w:val="006D0495"/>
    <w:rsid w:val="006D2A31"/>
    <w:rsid w:val="006D3101"/>
    <w:rsid w:val="006D4788"/>
    <w:rsid w:val="006D6C4C"/>
    <w:rsid w:val="006E2C82"/>
    <w:rsid w:val="006F1EF0"/>
    <w:rsid w:val="006F6757"/>
    <w:rsid w:val="00707C52"/>
    <w:rsid w:val="0071330E"/>
    <w:rsid w:val="007163D8"/>
    <w:rsid w:val="007279C6"/>
    <w:rsid w:val="007322D6"/>
    <w:rsid w:val="00740EE7"/>
    <w:rsid w:val="007527B2"/>
    <w:rsid w:val="00753B47"/>
    <w:rsid w:val="00755881"/>
    <w:rsid w:val="007748C0"/>
    <w:rsid w:val="007831BD"/>
    <w:rsid w:val="00784877"/>
    <w:rsid w:val="007A1D72"/>
    <w:rsid w:val="007B3AB4"/>
    <w:rsid w:val="007B6AE1"/>
    <w:rsid w:val="007C08C1"/>
    <w:rsid w:val="007C7E8D"/>
    <w:rsid w:val="007D0F1D"/>
    <w:rsid w:val="007D2DE9"/>
    <w:rsid w:val="007D6B40"/>
    <w:rsid w:val="007E42FD"/>
    <w:rsid w:val="007E4C8F"/>
    <w:rsid w:val="007F561E"/>
    <w:rsid w:val="0080072B"/>
    <w:rsid w:val="00800C30"/>
    <w:rsid w:val="00805FFE"/>
    <w:rsid w:val="008117FF"/>
    <w:rsid w:val="00815F4A"/>
    <w:rsid w:val="00816826"/>
    <w:rsid w:val="00822A3B"/>
    <w:rsid w:val="00822DC7"/>
    <w:rsid w:val="008277FA"/>
    <w:rsid w:val="00834018"/>
    <w:rsid w:val="00837582"/>
    <w:rsid w:val="008447AC"/>
    <w:rsid w:val="008638BD"/>
    <w:rsid w:val="00865643"/>
    <w:rsid w:val="008773E4"/>
    <w:rsid w:val="008822A0"/>
    <w:rsid w:val="008871F8"/>
    <w:rsid w:val="00894364"/>
    <w:rsid w:val="008A022F"/>
    <w:rsid w:val="008A0B76"/>
    <w:rsid w:val="008A4532"/>
    <w:rsid w:val="008A48A0"/>
    <w:rsid w:val="008A5231"/>
    <w:rsid w:val="008B1698"/>
    <w:rsid w:val="008B3F9D"/>
    <w:rsid w:val="008D1BB7"/>
    <w:rsid w:val="008E5967"/>
    <w:rsid w:val="008E7E37"/>
    <w:rsid w:val="008E7EF8"/>
    <w:rsid w:val="008F51BA"/>
    <w:rsid w:val="00900F20"/>
    <w:rsid w:val="009059BC"/>
    <w:rsid w:val="009146CA"/>
    <w:rsid w:val="00920F3E"/>
    <w:rsid w:val="009219B6"/>
    <w:rsid w:val="00921F72"/>
    <w:rsid w:val="00923BB6"/>
    <w:rsid w:val="00924B23"/>
    <w:rsid w:val="009268FB"/>
    <w:rsid w:val="00937E8F"/>
    <w:rsid w:val="009430B9"/>
    <w:rsid w:val="00944399"/>
    <w:rsid w:val="0095485B"/>
    <w:rsid w:val="00960BEF"/>
    <w:rsid w:val="00962C45"/>
    <w:rsid w:val="00966B50"/>
    <w:rsid w:val="00980650"/>
    <w:rsid w:val="00982C2F"/>
    <w:rsid w:val="00996277"/>
    <w:rsid w:val="009C1EF5"/>
    <w:rsid w:val="009E6C2C"/>
    <w:rsid w:val="009F1DAA"/>
    <w:rsid w:val="009F26D2"/>
    <w:rsid w:val="009F2823"/>
    <w:rsid w:val="00A02550"/>
    <w:rsid w:val="00A12A89"/>
    <w:rsid w:val="00A13E1E"/>
    <w:rsid w:val="00A2307A"/>
    <w:rsid w:val="00A25654"/>
    <w:rsid w:val="00A26ED5"/>
    <w:rsid w:val="00A32A78"/>
    <w:rsid w:val="00A32CB4"/>
    <w:rsid w:val="00A51198"/>
    <w:rsid w:val="00A602CE"/>
    <w:rsid w:val="00A65042"/>
    <w:rsid w:val="00A7315B"/>
    <w:rsid w:val="00A75566"/>
    <w:rsid w:val="00AB5B61"/>
    <w:rsid w:val="00AB71FF"/>
    <w:rsid w:val="00AC3382"/>
    <w:rsid w:val="00AC399C"/>
    <w:rsid w:val="00AD223E"/>
    <w:rsid w:val="00AD2DEC"/>
    <w:rsid w:val="00AE29C7"/>
    <w:rsid w:val="00AE348D"/>
    <w:rsid w:val="00AE52B2"/>
    <w:rsid w:val="00AE6921"/>
    <w:rsid w:val="00AF1CF3"/>
    <w:rsid w:val="00AF6F0D"/>
    <w:rsid w:val="00B00DCC"/>
    <w:rsid w:val="00B03177"/>
    <w:rsid w:val="00B03C15"/>
    <w:rsid w:val="00B045BF"/>
    <w:rsid w:val="00B0571A"/>
    <w:rsid w:val="00B15DDE"/>
    <w:rsid w:val="00B2505E"/>
    <w:rsid w:val="00B27E49"/>
    <w:rsid w:val="00B443CF"/>
    <w:rsid w:val="00B671BB"/>
    <w:rsid w:val="00B73639"/>
    <w:rsid w:val="00B811B6"/>
    <w:rsid w:val="00B81EE8"/>
    <w:rsid w:val="00B93FE6"/>
    <w:rsid w:val="00B9649A"/>
    <w:rsid w:val="00BA3871"/>
    <w:rsid w:val="00BA604A"/>
    <w:rsid w:val="00BB7F45"/>
    <w:rsid w:val="00BE6BCF"/>
    <w:rsid w:val="00C055D6"/>
    <w:rsid w:val="00C07660"/>
    <w:rsid w:val="00C24A3C"/>
    <w:rsid w:val="00C50E81"/>
    <w:rsid w:val="00C62091"/>
    <w:rsid w:val="00C6533E"/>
    <w:rsid w:val="00C66E41"/>
    <w:rsid w:val="00C71077"/>
    <w:rsid w:val="00C72DAB"/>
    <w:rsid w:val="00C74D29"/>
    <w:rsid w:val="00C829C0"/>
    <w:rsid w:val="00C84C6C"/>
    <w:rsid w:val="00C85EC1"/>
    <w:rsid w:val="00C933AE"/>
    <w:rsid w:val="00C97893"/>
    <w:rsid w:val="00CA7289"/>
    <w:rsid w:val="00CB4401"/>
    <w:rsid w:val="00CC0761"/>
    <w:rsid w:val="00CD0DFC"/>
    <w:rsid w:val="00CD470B"/>
    <w:rsid w:val="00CD4EE6"/>
    <w:rsid w:val="00CD51D5"/>
    <w:rsid w:val="00CE1D95"/>
    <w:rsid w:val="00CE3B02"/>
    <w:rsid w:val="00CE3C5E"/>
    <w:rsid w:val="00CE62C5"/>
    <w:rsid w:val="00CF2F33"/>
    <w:rsid w:val="00D01322"/>
    <w:rsid w:val="00D01675"/>
    <w:rsid w:val="00D021E7"/>
    <w:rsid w:val="00D05288"/>
    <w:rsid w:val="00D10998"/>
    <w:rsid w:val="00D17339"/>
    <w:rsid w:val="00D21B9E"/>
    <w:rsid w:val="00D2626B"/>
    <w:rsid w:val="00D27259"/>
    <w:rsid w:val="00D32C68"/>
    <w:rsid w:val="00D36874"/>
    <w:rsid w:val="00D50340"/>
    <w:rsid w:val="00D5732F"/>
    <w:rsid w:val="00D67C03"/>
    <w:rsid w:val="00D831C6"/>
    <w:rsid w:val="00D86027"/>
    <w:rsid w:val="00D87B93"/>
    <w:rsid w:val="00D9569F"/>
    <w:rsid w:val="00D965B2"/>
    <w:rsid w:val="00DA2AD1"/>
    <w:rsid w:val="00DA52BF"/>
    <w:rsid w:val="00DB49A8"/>
    <w:rsid w:val="00DC4F77"/>
    <w:rsid w:val="00DD3FA3"/>
    <w:rsid w:val="00DE0CA7"/>
    <w:rsid w:val="00DF183A"/>
    <w:rsid w:val="00E01804"/>
    <w:rsid w:val="00E01A08"/>
    <w:rsid w:val="00E110A6"/>
    <w:rsid w:val="00E17BCB"/>
    <w:rsid w:val="00E22D35"/>
    <w:rsid w:val="00E40CE0"/>
    <w:rsid w:val="00E451C3"/>
    <w:rsid w:val="00E53E8C"/>
    <w:rsid w:val="00E74F34"/>
    <w:rsid w:val="00E76D5E"/>
    <w:rsid w:val="00E80F6E"/>
    <w:rsid w:val="00E87FD8"/>
    <w:rsid w:val="00EB000C"/>
    <w:rsid w:val="00EC3CC2"/>
    <w:rsid w:val="00EC4F40"/>
    <w:rsid w:val="00ED063B"/>
    <w:rsid w:val="00EE3927"/>
    <w:rsid w:val="00EE6A8B"/>
    <w:rsid w:val="00EF1DCC"/>
    <w:rsid w:val="00F00486"/>
    <w:rsid w:val="00F00F3C"/>
    <w:rsid w:val="00F068ED"/>
    <w:rsid w:val="00F07B24"/>
    <w:rsid w:val="00F106FB"/>
    <w:rsid w:val="00F21C61"/>
    <w:rsid w:val="00F2330D"/>
    <w:rsid w:val="00F30DB0"/>
    <w:rsid w:val="00F33B6F"/>
    <w:rsid w:val="00F34F98"/>
    <w:rsid w:val="00F409F6"/>
    <w:rsid w:val="00F46021"/>
    <w:rsid w:val="00F51B34"/>
    <w:rsid w:val="00F569B7"/>
    <w:rsid w:val="00F64012"/>
    <w:rsid w:val="00F772D6"/>
    <w:rsid w:val="00F8135B"/>
    <w:rsid w:val="00F935AD"/>
    <w:rsid w:val="00F945FB"/>
    <w:rsid w:val="00FA14CB"/>
    <w:rsid w:val="00FA6391"/>
    <w:rsid w:val="00FB0F13"/>
    <w:rsid w:val="00FB543A"/>
    <w:rsid w:val="00FC7928"/>
    <w:rsid w:val="00FD2735"/>
    <w:rsid w:val="00FD4ACA"/>
    <w:rsid w:val="00FE2A24"/>
    <w:rsid w:val="00FE5928"/>
    <w:rsid w:val="00FF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19B6"/>
    <w:pPr>
      <w:keepNext/>
      <w:ind w:left="2880" w:hanging="2880"/>
      <w:outlineLvl w:val="0"/>
    </w:pPr>
    <w:rPr>
      <w:rFonts w:ascii="Courier New" w:hAnsi="Courier New" w:cs="Courier New"/>
      <w:b/>
      <w:bCs/>
    </w:rPr>
  </w:style>
  <w:style w:type="paragraph" w:styleId="Heading2">
    <w:name w:val="heading 2"/>
    <w:basedOn w:val="Normal"/>
    <w:next w:val="Normal"/>
    <w:link w:val="Heading2Char"/>
    <w:unhideWhenUsed/>
    <w:qFormat/>
    <w:rsid w:val="009219B6"/>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19B6"/>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9219B6"/>
    <w:rPr>
      <w:rFonts w:ascii="Courier New" w:eastAsia="Times New Roman" w:hAnsi="Courier New" w:cs="Courier New"/>
      <w:b/>
      <w:bCs/>
      <w:sz w:val="24"/>
      <w:szCs w:val="24"/>
    </w:rPr>
  </w:style>
  <w:style w:type="paragraph" w:styleId="Title">
    <w:name w:val="Title"/>
    <w:basedOn w:val="Normal"/>
    <w:link w:val="TitleChar"/>
    <w:qFormat/>
    <w:rsid w:val="009219B6"/>
    <w:pPr>
      <w:jc w:val="center"/>
    </w:pPr>
    <w:rPr>
      <w:rFonts w:ascii="Courier New" w:hAnsi="Courier New" w:cs="Courier New"/>
      <w:b/>
      <w:bCs/>
    </w:rPr>
  </w:style>
  <w:style w:type="character" w:customStyle="1" w:styleId="TitleChar">
    <w:name w:val="Title Char"/>
    <w:basedOn w:val="DefaultParagraphFont"/>
    <w:link w:val="Title"/>
    <w:rsid w:val="009219B6"/>
    <w:rPr>
      <w:rFonts w:ascii="Courier New" w:eastAsia="Times New Roman" w:hAnsi="Courier New" w:cs="Courier New"/>
      <w:b/>
      <w:bCs/>
      <w:sz w:val="24"/>
      <w:szCs w:val="24"/>
    </w:rPr>
  </w:style>
  <w:style w:type="paragraph" w:styleId="BodyText2">
    <w:name w:val="Body Text 2"/>
    <w:basedOn w:val="Normal"/>
    <w:link w:val="BodyText2Char"/>
    <w:semiHidden/>
    <w:unhideWhenUsed/>
    <w:rsid w:val="009219B6"/>
    <w:pPr>
      <w:spacing w:after="120" w:line="480" w:lineRule="auto"/>
    </w:pPr>
  </w:style>
  <w:style w:type="character" w:customStyle="1" w:styleId="BodyText2Char">
    <w:name w:val="Body Text 2 Char"/>
    <w:basedOn w:val="DefaultParagraphFont"/>
    <w:link w:val="BodyText2"/>
    <w:semiHidden/>
    <w:rsid w:val="009219B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32BB"/>
    <w:pPr>
      <w:tabs>
        <w:tab w:val="center" w:pos="4680"/>
        <w:tab w:val="right" w:pos="9360"/>
      </w:tabs>
    </w:pPr>
  </w:style>
  <w:style w:type="character" w:customStyle="1" w:styleId="HeaderChar">
    <w:name w:val="Header Char"/>
    <w:basedOn w:val="DefaultParagraphFont"/>
    <w:link w:val="Header"/>
    <w:uiPriority w:val="99"/>
    <w:rsid w:val="001832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2BB"/>
    <w:pPr>
      <w:tabs>
        <w:tab w:val="center" w:pos="4680"/>
        <w:tab w:val="right" w:pos="9360"/>
      </w:tabs>
    </w:pPr>
  </w:style>
  <w:style w:type="character" w:customStyle="1" w:styleId="FooterChar">
    <w:name w:val="Footer Char"/>
    <w:basedOn w:val="DefaultParagraphFont"/>
    <w:link w:val="Footer"/>
    <w:uiPriority w:val="99"/>
    <w:rsid w:val="001832BB"/>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C84C6C"/>
    <w:rPr>
      <w:sz w:val="20"/>
      <w:szCs w:val="20"/>
    </w:rPr>
  </w:style>
  <w:style w:type="character" w:customStyle="1" w:styleId="FootnoteTextChar">
    <w:name w:val="Footnote Text Char"/>
    <w:basedOn w:val="DefaultParagraphFont"/>
    <w:link w:val="FootnoteText"/>
    <w:rsid w:val="00C84C6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84C6C"/>
    <w:rPr>
      <w:vertAlign w:val="superscript"/>
    </w:rPr>
  </w:style>
  <w:style w:type="table" w:styleId="TableGrid">
    <w:name w:val="Table Grid"/>
    <w:basedOn w:val="TableNormal"/>
    <w:uiPriority w:val="59"/>
    <w:rsid w:val="00D0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4C7"/>
    <w:pPr>
      <w:ind w:left="720"/>
      <w:contextualSpacing/>
    </w:pPr>
  </w:style>
  <w:style w:type="paragraph" w:styleId="PlainText">
    <w:name w:val="Plain Text"/>
    <w:basedOn w:val="Normal"/>
    <w:link w:val="PlainTextChar"/>
    <w:semiHidden/>
    <w:unhideWhenUsed/>
    <w:rsid w:val="003647FF"/>
    <w:rPr>
      <w:rFonts w:ascii="Courier New" w:hAnsi="Courier New" w:cs="Courier New"/>
      <w:sz w:val="20"/>
      <w:szCs w:val="20"/>
    </w:rPr>
  </w:style>
  <w:style w:type="character" w:customStyle="1" w:styleId="PlainTextChar">
    <w:name w:val="Plain Text Char"/>
    <w:basedOn w:val="DefaultParagraphFont"/>
    <w:link w:val="PlainText"/>
    <w:semiHidden/>
    <w:rsid w:val="003647F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3647FF"/>
    <w:rPr>
      <w:color w:val="0000FF"/>
      <w:u w:val="single"/>
    </w:rPr>
  </w:style>
  <w:style w:type="paragraph" w:styleId="BodyTextIndent3">
    <w:name w:val="Body Text Indent 3"/>
    <w:basedOn w:val="Normal"/>
    <w:link w:val="BodyTextIndent3Char"/>
    <w:uiPriority w:val="99"/>
    <w:semiHidden/>
    <w:unhideWhenUsed/>
    <w:rsid w:val="00C6533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533E"/>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D3FA3"/>
    <w:rPr>
      <w:rFonts w:ascii="Tahoma" w:hAnsi="Tahoma" w:cs="Tahoma"/>
      <w:sz w:val="16"/>
      <w:szCs w:val="16"/>
    </w:rPr>
  </w:style>
  <w:style w:type="character" w:customStyle="1" w:styleId="BalloonTextChar">
    <w:name w:val="Balloon Text Char"/>
    <w:basedOn w:val="DefaultParagraphFont"/>
    <w:link w:val="BalloonText"/>
    <w:uiPriority w:val="99"/>
    <w:semiHidden/>
    <w:rsid w:val="00DD3F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19B6"/>
    <w:pPr>
      <w:keepNext/>
      <w:ind w:left="2880" w:hanging="2880"/>
      <w:outlineLvl w:val="0"/>
    </w:pPr>
    <w:rPr>
      <w:rFonts w:ascii="Courier New" w:hAnsi="Courier New" w:cs="Courier New"/>
      <w:b/>
      <w:bCs/>
    </w:rPr>
  </w:style>
  <w:style w:type="paragraph" w:styleId="Heading2">
    <w:name w:val="heading 2"/>
    <w:basedOn w:val="Normal"/>
    <w:next w:val="Normal"/>
    <w:link w:val="Heading2Char"/>
    <w:unhideWhenUsed/>
    <w:qFormat/>
    <w:rsid w:val="009219B6"/>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19B6"/>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9219B6"/>
    <w:rPr>
      <w:rFonts w:ascii="Courier New" w:eastAsia="Times New Roman" w:hAnsi="Courier New" w:cs="Courier New"/>
      <w:b/>
      <w:bCs/>
      <w:sz w:val="24"/>
      <w:szCs w:val="24"/>
    </w:rPr>
  </w:style>
  <w:style w:type="paragraph" w:styleId="Title">
    <w:name w:val="Title"/>
    <w:basedOn w:val="Normal"/>
    <w:link w:val="TitleChar"/>
    <w:qFormat/>
    <w:rsid w:val="009219B6"/>
    <w:pPr>
      <w:jc w:val="center"/>
    </w:pPr>
    <w:rPr>
      <w:rFonts w:ascii="Courier New" w:hAnsi="Courier New" w:cs="Courier New"/>
      <w:b/>
      <w:bCs/>
    </w:rPr>
  </w:style>
  <w:style w:type="character" w:customStyle="1" w:styleId="TitleChar">
    <w:name w:val="Title Char"/>
    <w:basedOn w:val="DefaultParagraphFont"/>
    <w:link w:val="Title"/>
    <w:rsid w:val="009219B6"/>
    <w:rPr>
      <w:rFonts w:ascii="Courier New" w:eastAsia="Times New Roman" w:hAnsi="Courier New" w:cs="Courier New"/>
      <w:b/>
      <w:bCs/>
      <w:sz w:val="24"/>
      <w:szCs w:val="24"/>
    </w:rPr>
  </w:style>
  <w:style w:type="paragraph" w:styleId="BodyText2">
    <w:name w:val="Body Text 2"/>
    <w:basedOn w:val="Normal"/>
    <w:link w:val="BodyText2Char"/>
    <w:semiHidden/>
    <w:unhideWhenUsed/>
    <w:rsid w:val="009219B6"/>
    <w:pPr>
      <w:spacing w:after="120" w:line="480" w:lineRule="auto"/>
    </w:pPr>
  </w:style>
  <w:style w:type="character" w:customStyle="1" w:styleId="BodyText2Char">
    <w:name w:val="Body Text 2 Char"/>
    <w:basedOn w:val="DefaultParagraphFont"/>
    <w:link w:val="BodyText2"/>
    <w:semiHidden/>
    <w:rsid w:val="009219B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32BB"/>
    <w:pPr>
      <w:tabs>
        <w:tab w:val="center" w:pos="4680"/>
        <w:tab w:val="right" w:pos="9360"/>
      </w:tabs>
    </w:pPr>
  </w:style>
  <w:style w:type="character" w:customStyle="1" w:styleId="HeaderChar">
    <w:name w:val="Header Char"/>
    <w:basedOn w:val="DefaultParagraphFont"/>
    <w:link w:val="Header"/>
    <w:uiPriority w:val="99"/>
    <w:rsid w:val="001832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2BB"/>
    <w:pPr>
      <w:tabs>
        <w:tab w:val="center" w:pos="4680"/>
        <w:tab w:val="right" w:pos="9360"/>
      </w:tabs>
    </w:pPr>
  </w:style>
  <w:style w:type="character" w:customStyle="1" w:styleId="FooterChar">
    <w:name w:val="Footer Char"/>
    <w:basedOn w:val="DefaultParagraphFont"/>
    <w:link w:val="Footer"/>
    <w:uiPriority w:val="99"/>
    <w:rsid w:val="001832BB"/>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C84C6C"/>
    <w:rPr>
      <w:sz w:val="20"/>
      <w:szCs w:val="20"/>
    </w:rPr>
  </w:style>
  <w:style w:type="character" w:customStyle="1" w:styleId="FootnoteTextChar">
    <w:name w:val="Footnote Text Char"/>
    <w:basedOn w:val="DefaultParagraphFont"/>
    <w:link w:val="FootnoteText"/>
    <w:rsid w:val="00C84C6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84C6C"/>
    <w:rPr>
      <w:vertAlign w:val="superscript"/>
    </w:rPr>
  </w:style>
  <w:style w:type="table" w:styleId="TableGrid">
    <w:name w:val="Table Grid"/>
    <w:basedOn w:val="TableNormal"/>
    <w:uiPriority w:val="59"/>
    <w:rsid w:val="00D0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4C7"/>
    <w:pPr>
      <w:ind w:left="720"/>
      <w:contextualSpacing/>
    </w:pPr>
  </w:style>
  <w:style w:type="paragraph" w:styleId="PlainText">
    <w:name w:val="Plain Text"/>
    <w:basedOn w:val="Normal"/>
    <w:link w:val="PlainTextChar"/>
    <w:semiHidden/>
    <w:unhideWhenUsed/>
    <w:rsid w:val="003647FF"/>
    <w:rPr>
      <w:rFonts w:ascii="Courier New" w:hAnsi="Courier New" w:cs="Courier New"/>
      <w:sz w:val="20"/>
      <w:szCs w:val="20"/>
    </w:rPr>
  </w:style>
  <w:style w:type="character" w:customStyle="1" w:styleId="PlainTextChar">
    <w:name w:val="Plain Text Char"/>
    <w:basedOn w:val="DefaultParagraphFont"/>
    <w:link w:val="PlainText"/>
    <w:semiHidden/>
    <w:rsid w:val="003647F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3647FF"/>
    <w:rPr>
      <w:color w:val="0000FF"/>
      <w:u w:val="single"/>
    </w:rPr>
  </w:style>
  <w:style w:type="paragraph" w:styleId="BodyTextIndent3">
    <w:name w:val="Body Text Indent 3"/>
    <w:basedOn w:val="Normal"/>
    <w:link w:val="BodyTextIndent3Char"/>
    <w:uiPriority w:val="99"/>
    <w:semiHidden/>
    <w:unhideWhenUsed/>
    <w:rsid w:val="00C6533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533E"/>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D3FA3"/>
    <w:rPr>
      <w:rFonts w:ascii="Tahoma" w:hAnsi="Tahoma" w:cs="Tahoma"/>
      <w:sz w:val="16"/>
      <w:szCs w:val="16"/>
    </w:rPr>
  </w:style>
  <w:style w:type="character" w:customStyle="1" w:styleId="BalloonTextChar">
    <w:name w:val="Balloon Text Char"/>
    <w:basedOn w:val="DefaultParagraphFont"/>
    <w:link w:val="BalloonText"/>
    <w:uiPriority w:val="99"/>
    <w:semiHidden/>
    <w:rsid w:val="00DD3F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7150">
      <w:bodyDiv w:val="1"/>
      <w:marLeft w:val="0"/>
      <w:marRight w:val="0"/>
      <w:marTop w:val="0"/>
      <w:marBottom w:val="0"/>
      <w:divBdr>
        <w:top w:val="none" w:sz="0" w:space="0" w:color="auto"/>
        <w:left w:val="none" w:sz="0" w:space="0" w:color="auto"/>
        <w:bottom w:val="none" w:sz="0" w:space="0" w:color="auto"/>
        <w:right w:val="none" w:sz="0" w:space="0" w:color="auto"/>
      </w:divBdr>
    </w:div>
    <w:div w:id="37285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D47E4-30D3-47FE-80B5-05E23BC3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4506</Words>
  <Characters>25688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2019-01-16T15:37:00Z</cp:lastPrinted>
  <dcterms:created xsi:type="dcterms:W3CDTF">2019-01-16T15:49:00Z</dcterms:created>
  <dcterms:modified xsi:type="dcterms:W3CDTF">2019-01-16T15:49:00Z</dcterms:modified>
</cp:coreProperties>
</file>