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F2" w:rsidRPr="0044122B" w:rsidRDefault="00F12B1C" w:rsidP="00896B92">
      <w:pPr>
        <w:pStyle w:val="NoSpacing"/>
        <w:jc w:val="center"/>
        <w:rPr>
          <w:rFonts w:ascii="Arial" w:hAnsi="Arial" w:cs="Arial"/>
          <w:b/>
          <w:i/>
          <w:sz w:val="24"/>
          <w:szCs w:val="24"/>
        </w:rPr>
      </w:pPr>
      <w:bookmarkStart w:id="0" w:name="_GoBack"/>
      <w:bookmarkEnd w:id="0"/>
      <w:r>
        <w:rPr>
          <w:rFonts w:ascii="Arial" w:hAnsi="Arial" w:cs="Arial"/>
          <w:b/>
          <w:i/>
          <w:sz w:val="24"/>
          <w:szCs w:val="24"/>
        </w:rPr>
        <w:t xml:space="preserve">Drug </w:t>
      </w:r>
      <w:r w:rsidR="0009633C">
        <w:rPr>
          <w:rFonts w:ascii="Arial" w:hAnsi="Arial" w:cs="Arial"/>
          <w:b/>
          <w:i/>
          <w:sz w:val="24"/>
          <w:szCs w:val="24"/>
        </w:rPr>
        <w:t>Monograph</w:t>
      </w:r>
    </w:p>
    <w:p w:rsidR="009F5A3B" w:rsidRPr="0044122B" w:rsidRDefault="009F5A3B" w:rsidP="004920E8">
      <w:pPr>
        <w:pStyle w:val="NoSpacing"/>
        <w:jc w:val="center"/>
        <w:rPr>
          <w:rFonts w:ascii="Arial" w:hAnsi="Arial" w:cs="Arial"/>
          <w:sz w:val="20"/>
          <w:szCs w:val="20"/>
        </w:rPr>
      </w:pP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Generic Name</w:t>
      </w:r>
      <w:r w:rsidRPr="00896B92">
        <w:rPr>
          <w:rFonts w:ascii="Arial" w:hAnsi="Arial" w:cs="Arial"/>
          <w:sz w:val="20"/>
          <w:szCs w:val="20"/>
        </w:rPr>
        <w:t>:</w:t>
      </w:r>
      <w:r w:rsidR="00730BE7" w:rsidRPr="00896B92">
        <w:rPr>
          <w:rFonts w:ascii="Arial" w:hAnsi="Arial" w:cs="Arial"/>
          <w:sz w:val="20"/>
          <w:szCs w:val="20"/>
        </w:rPr>
        <w:t xml:space="preserve"> </w:t>
      </w:r>
      <w:r w:rsidR="0078287A">
        <w:rPr>
          <w:rFonts w:ascii="Arial" w:hAnsi="Arial" w:cs="Arial"/>
          <w:sz w:val="20"/>
          <w:szCs w:val="20"/>
        </w:rPr>
        <w:t>oxycodone</w:t>
      </w:r>
      <w:r w:rsidR="000A09E6">
        <w:rPr>
          <w:rFonts w:ascii="Arial" w:hAnsi="Arial" w:cs="Arial"/>
          <w:sz w:val="20"/>
          <w:szCs w:val="20"/>
        </w:rPr>
        <w:t>/</w:t>
      </w:r>
      <w:r w:rsidR="0078287A">
        <w:rPr>
          <w:rFonts w:ascii="Arial" w:hAnsi="Arial" w:cs="Arial"/>
          <w:sz w:val="20"/>
          <w:szCs w:val="20"/>
        </w:rPr>
        <w:t>naltrexone extended-release</w:t>
      </w:r>
    </w:p>
    <w:p w:rsidR="009F5A3B" w:rsidRPr="0078287A" w:rsidRDefault="009F5A3B" w:rsidP="004920E8">
      <w:pPr>
        <w:pStyle w:val="NoSpacing"/>
        <w:rPr>
          <w:rFonts w:ascii="Arial" w:hAnsi="Arial" w:cs="Arial"/>
          <w:sz w:val="20"/>
          <w:szCs w:val="20"/>
        </w:rPr>
      </w:pPr>
      <w:r w:rsidRPr="0044122B">
        <w:rPr>
          <w:rFonts w:ascii="Arial" w:hAnsi="Arial" w:cs="Arial"/>
          <w:b/>
          <w:sz w:val="20"/>
          <w:szCs w:val="20"/>
        </w:rPr>
        <w:t>Trade Name</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78287A">
        <w:rPr>
          <w:rFonts w:ascii="Arial" w:hAnsi="Arial" w:cs="Arial"/>
          <w:sz w:val="20"/>
          <w:szCs w:val="20"/>
        </w:rPr>
        <w:t>Troxyca</w:t>
      </w:r>
      <w:proofErr w:type="spellEnd"/>
      <w:r w:rsidR="0078287A">
        <w:rPr>
          <w:rFonts w:ascii="Arial" w:hAnsi="Arial" w:cs="Arial"/>
          <w:sz w:val="20"/>
          <w:szCs w:val="20"/>
          <w:vertAlign w:val="superscript"/>
        </w:rPr>
        <w:t>®</w:t>
      </w:r>
      <w:r w:rsidR="0078287A">
        <w:rPr>
          <w:rFonts w:ascii="Arial" w:hAnsi="Arial" w:cs="Arial"/>
          <w:sz w:val="20"/>
          <w:szCs w:val="20"/>
        </w:rPr>
        <w:t xml:space="preserve"> ER</w:t>
      </w:r>
    </w:p>
    <w:p w:rsidR="00D90BD5" w:rsidRDefault="0009633C" w:rsidP="00D90BD5">
      <w:pPr>
        <w:pStyle w:val="NoSpacing"/>
        <w:rPr>
          <w:rFonts w:ascii="Arial" w:hAnsi="Arial" w:cs="Arial"/>
          <w:sz w:val="20"/>
          <w:szCs w:val="20"/>
        </w:rPr>
      </w:pPr>
      <w:r>
        <w:rPr>
          <w:rFonts w:ascii="Arial" w:hAnsi="Arial" w:cs="Arial"/>
          <w:b/>
          <w:bCs/>
          <w:sz w:val="20"/>
          <w:szCs w:val="20"/>
        </w:rPr>
        <w:t>Dosage Form</w:t>
      </w:r>
      <w:r w:rsidR="00D90BD5" w:rsidRPr="00D90BD5">
        <w:rPr>
          <w:rFonts w:ascii="Arial" w:hAnsi="Arial" w:cs="Arial"/>
          <w:bCs/>
          <w:sz w:val="20"/>
          <w:szCs w:val="20"/>
        </w:rPr>
        <w:t>:</w:t>
      </w:r>
      <w:r w:rsidR="00D90BD5">
        <w:rPr>
          <w:rFonts w:ascii="Arial" w:hAnsi="Arial" w:cs="Arial"/>
          <w:b/>
          <w:bCs/>
          <w:color w:val="FF0000"/>
          <w:sz w:val="20"/>
          <w:szCs w:val="20"/>
        </w:rPr>
        <w:t xml:space="preserve"> </w:t>
      </w:r>
      <w:r w:rsidR="0078287A" w:rsidRPr="0078287A">
        <w:rPr>
          <w:rFonts w:ascii="Arial" w:hAnsi="Arial" w:cs="Arial"/>
          <w:bCs/>
          <w:sz w:val="20"/>
          <w:szCs w:val="20"/>
        </w:rPr>
        <w:t>Extended-release capsule</w:t>
      </w:r>
    </w:p>
    <w:p w:rsidR="0009633C" w:rsidRPr="0009633C" w:rsidRDefault="0009633C" w:rsidP="00D90BD5">
      <w:pPr>
        <w:pStyle w:val="NoSpacing"/>
        <w:rPr>
          <w:rFonts w:ascii="Arial" w:hAnsi="Arial" w:cs="Arial"/>
          <w:bCs/>
          <w:sz w:val="20"/>
          <w:szCs w:val="20"/>
        </w:rPr>
      </w:pPr>
      <w:r>
        <w:rPr>
          <w:rFonts w:ascii="Arial" w:hAnsi="Arial" w:cs="Arial"/>
          <w:b/>
          <w:sz w:val="20"/>
          <w:szCs w:val="20"/>
        </w:rPr>
        <w:t xml:space="preserve">NDCs: </w:t>
      </w:r>
      <w:r w:rsidR="00C11CE5" w:rsidRPr="00C11CE5">
        <w:rPr>
          <w:rFonts w:ascii="Arial" w:hAnsi="Arial" w:cs="Arial"/>
          <w:sz w:val="20"/>
          <w:szCs w:val="20"/>
        </w:rPr>
        <w:t>60793-537-01, 60793-531-01, 60793-535-01, 60793-532-01, 60793-533-01, 60793-536-01</w:t>
      </w:r>
    </w:p>
    <w:p w:rsidR="009F5A3B" w:rsidRPr="0044122B" w:rsidRDefault="009F5A3B" w:rsidP="004920E8">
      <w:pPr>
        <w:pStyle w:val="NoSpacing"/>
        <w:rPr>
          <w:rFonts w:ascii="Arial" w:hAnsi="Arial" w:cs="Arial"/>
          <w:sz w:val="20"/>
          <w:szCs w:val="20"/>
        </w:rPr>
      </w:pPr>
      <w:r w:rsidRPr="0044122B">
        <w:rPr>
          <w:rFonts w:ascii="Arial" w:hAnsi="Arial" w:cs="Arial"/>
          <w:b/>
          <w:sz w:val="20"/>
          <w:szCs w:val="20"/>
        </w:rPr>
        <w:t>Manufacturer</w:t>
      </w:r>
      <w:r w:rsidRPr="0044122B">
        <w:rPr>
          <w:rFonts w:ascii="Arial" w:hAnsi="Arial" w:cs="Arial"/>
          <w:sz w:val="20"/>
          <w:szCs w:val="20"/>
        </w:rPr>
        <w:t>:</w:t>
      </w:r>
      <w:r w:rsidR="00730BE7" w:rsidRPr="0044122B">
        <w:rPr>
          <w:rFonts w:ascii="Arial" w:hAnsi="Arial" w:cs="Arial"/>
          <w:sz w:val="20"/>
          <w:szCs w:val="20"/>
        </w:rPr>
        <w:t xml:space="preserve"> </w:t>
      </w:r>
      <w:r w:rsidR="0078287A">
        <w:rPr>
          <w:rFonts w:ascii="Arial" w:hAnsi="Arial" w:cs="Arial"/>
          <w:sz w:val="20"/>
          <w:szCs w:val="20"/>
        </w:rPr>
        <w:t>Pfizer Inc.</w:t>
      </w:r>
    </w:p>
    <w:p w:rsidR="00D82FB1" w:rsidRPr="0009633C" w:rsidRDefault="002F791F" w:rsidP="004920E8">
      <w:pPr>
        <w:pStyle w:val="NoSpacing"/>
        <w:rPr>
          <w:rFonts w:ascii="Arial" w:hAnsi="Arial" w:cs="Arial"/>
          <w:sz w:val="20"/>
          <w:szCs w:val="20"/>
        </w:rPr>
      </w:pPr>
      <w:r>
        <w:rPr>
          <w:rFonts w:ascii="Arial" w:hAnsi="Arial" w:cs="Arial"/>
          <w:b/>
          <w:sz w:val="20"/>
          <w:szCs w:val="20"/>
        </w:rPr>
        <w:t xml:space="preserve">ADF Product </w:t>
      </w:r>
      <w:r w:rsidR="0009633C">
        <w:rPr>
          <w:rFonts w:ascii="Arial" w:hAnsi="Arial" w:cs="Arial"/>
          <w:b/>
          <w:sz w:val="20"/>
          <w:szCs w:val="20"/>
        </w:rPr>
        <w:t xml:space="preserve">Classification: </w:t>
      </w:r>
      <w:r w:rsidR="00951DDE">
        <w:rPr>
          <w:rFonts w:ascii="Arial" w:hAnsi="Arial" w:cs="Arial"/>
          <w:sz w:val="20"/>
          <w:szCs w:val="20"/>
        </w:rPr>
        <w:t>Agonist/Antagonist combination</w:t>
      </w:r>
    </w:p>
    <w:p w:rsidR="000401E7" w:rsidRPr="0044122B" w:rsidRDefault="000401E7" w:rsidP="004920E8">
      <w:pPr>
        <w:pStyle w:val="NoSpacing"/>
        <w:rPr>
          <w:rFonts w:ascii="Arial" w:hAnsi="Arial" w:cs="Arial"/>
          <w:sz w:val="20"/>
          <w:szCs w:val="20"/>
        </w:rPr>
      </w:pPr>
    </w:p>
    <w:p w:rsidR="009F5A3B" w:rsidRDefault="0009633C" w:rsidP="004920E8">
      <w:pPr>
        <w:pStyle w:val="NoSpacing"/>
        <w:rPr>
          <w:rFonts w:ascii="Arial" w:hAnsi="Arial" w:cs="Arial"/>
          <w:b/>
          <w:sz w:val="20"/>
          <w:szCs w:val="20"/>
          <w:u w:val="single"/>
        </w:rPr>
      </w:pPr>
      <w:r>
        <w:rPr>
          <w:rFonts w:ascii="Arial" w:hAnsi="Arial" w:cs="Arial"/>
          <w:b/>
          <w:sz w:val="20"/>
          <w:szCs w:val="20"/>
          <w:u w:val="single"/>
        </w:rPr>
        <w:t xml:space="preserve">Executive </w:t>
      </w:r>
      <w:r w:rsidR="009F5A3B" w:rsidRPr="0044122B">
        <w:rPr>
          <w:rFonts w:ascii="Arial" w:hAnsi="Arial" w:cs="Arial"/>
          <w:b/>
          <w:sz w:val="20"/>
          <w:szCs w:val="20"/>
          <w:u w:val="single"/>
        </w:rPr>
        <w:t>Summary</w:t>
      </w:r>
    </w:p>
    <w:p w:rsidR="00E446F8" w:rsidRDefault="00E446F8" w:rsidP="00E446F8">
      <w:pPr>
        <w:autoSpaceDE w:val="0"/>
        <w:autoSpaceDN w:val="0"/>
        <w:adjustRightInd w:val="0"/>
        <w:spacing w:after="0" w:line="240" w:lineRule="auto"/>
        <w:rPr>
          <w:rFonts w:ascii="Arial" w:hAnsi="Arial" w:cs="Arial"/>
          <w:sz w:val="20"/>
          <w:szCs w:val="20"/>
        </w:rPr>
      </w:pP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(oxycodone</w:t>
      </w:r>
      <w:r w:rsidR="000A09E6">
        <w:rPr>
          <w:rFonts w:ascii="Arial" w:hAnsi="Arial" w:cs="Arial"/>
          <w:bCs/>
          <w:sz w:val="20"/>
          <w:szCs w:val="20"/>
        </w:rPr>
        <w:t>/</w:t>
      </w:r>
      <w:r>
        <w:rPr>
          <w:rFonts w:ascii="Arial" w:hAnsi="Arial" w:cs="Arial"/>
          <w:bCs/>
          <w:sz w:val="20"/>
          <w:szCs w:val="20"/>
        </w:rPr>
        <w:t>naltrexone extended-release)</w:t>
      </w:r>
      <w:r w:rsidRPr="00320E3D">
        <w:rPr>
          <w:rFonts w:ascii="Arial" w:hAnsi="Arial" w:cs="Arial"/>
          <w:bCs/>
          <w:sz w:val="20"/>
          <w:szCs w:val="20"/>
        </w:rPr>
        <w:t xml:space="preserve"> is a combination </w:t>
      </w:r>
      <w:r>
        <w:rPr>
          <w:rFonts w:ascii="Arial" w:hAnsi="Arial" w:cs="Arial"/>
          <w:bCs/>
          <w:sz w:val="20"/>
          <w:szCs w:val="20"/>
        </w:rPr>
        <w:t xml:space="preserve">of oxycodone hydrochloride, an opioid agonist, and naltrexone hydrochloride, an </w:t>
      </w:r>
      <w:r w:rsidRPr="00320E3D">
        <w:rPr>
          <w:rFonts w:ascii="Arial" w:hAnsi="Arial" w:cs="Arial"/>
          <w:bCs/>
          <w:sz w:val="20"/>
          <w:szCs w:val="20"/>
        </w:rPr>
        <w:t>opioid antagonist</w:t>
      </w:r>
      <w:r>
        <w:rPr>
          <w:rFonts w:ascii="Arial" w:hAnsi="Arial" w:cs="Arial"/>
          <w:bCs/>
          <w:sz w:val="20"/>
          <w:szCs w:val="20"/>
        </w:rPr>
        <w:t>,</w:t>
      </w:r>
      <w:r w:rsidRPr="00320E3D">
        <w:rPr>
          <w:rFonts w:ascii="Arial" w:hAnsi="Arial" w:cs="Arial"/>
          <w:bCs/>
          <w:sz w:val="20"/>
          <w:szCs w:val="20"/>
        </w:rPr>
        <w:t xml:space="preserve"> </w:t>
      </w:r>
      <w:r>
        <w:rPr>
          <w:rFonts w:ascii="Arial" w:hAnsi="Arial" w:cs="Arial"/>
          <w:bCs/>
          <w:sz w:val="20"/>
          <w:szCs w:val="20"/>
        </w:rPr>
        <w:t>and is Food and Drug Administration (FDA)-approved</w:t>
      </w:r>
      <w:r w:rsidRPr="00320E3D">
        <w:rPr>
          <w:rFonts w:ascii="Arial" w:hAnsi="Arial" w:cs="Arial"/>
          <w:bCs/>
          <w:sz w:val="20"/>
          <w:szCs w:val="20"/>
        </w:rPr>
        <w:t xml:space="preserve"> for the management of pain </w:t>
      </w:r>
      <w:r>
        <w:rPr>
          <w:rFonts w:ascii="Arial" w:hAnsi="Arial" w:cs="Arial"/>
          <w:bCs/>
          <w:sz w:val="20"/>
          <w:szCs w:val="20"/>
        </w:rPr>
        <w:t xml:space="preserve">that is </w:t>
      </w:r>
      <w:r w:rsidRPr="00320E3D">
        <w:rPr>
          <w:rFonts w:ascii="Arial" w:hAnsi="Arial" w:cs="Arial"/>
          <w:bCs/>
          <w:sz w:val="20"/>
          <w:szCs w:val="20"/>
        </w:rPr>
        <w:t>severe enough to require daily, around-the-clock, long-term opioid treatment</w:t>
      </w:r>
      <w:r>
        <w:rPr>
          <w:rFonts w:ascii="Arial" w:hAnsi="Arial" w:cs="Arial"/>
          <w:bCs/>
          <w:sz w:val="20"/>
          <w:szCs w:val="20"/>
        </w:rPr>
        <w:t>,</w:t>
      </w:r>
      <w:r w:rsidRPr="00320E3D">
        <w:rPr>
          <w:rFonts w:ascii="Arial" w:hAnsi="Arial" w:cs="Arial"/>
          <w:bCs/>
          <w:sz w:val="20"/>
          <w:szCs w:val="20"/>
        </w:rPr>
        <w:t xml:space="preserve"> and for which alternative treatment options are inadequate</w:t>
      </w:r>
      <w:r>
        <w:rPr>
          <w:rFonts w:ascii="Arial" w:hAnsi="Arial" w:cs="Arial"/>
          <w:bCs/>
          <w:sz w:val="20"/>
          <w:szCs w:val="20"/>
        </w:rPr>
        <w:t xml:space="preserve">. </w:t>
      </w:r>
      <w:r w:rsidRPr="00320E3D">
        <w:rPr>
          <w:rFonts w:ascii="Arial" w:hAnsi="Arial" w:cs="Arial"/>
          <w:bCs/>
          <w:sz w:val="20"/>
          <w:szCs w:val="20"/>
        </w:rPr>
        <w:t xml:space="preserve">This agent, like other long-acting opioids, should be reserved for use in patients for whom alternative treatment options </w:t>
      </w:r>
      <w:r w:rsidR="0035516C">
        <w:rPr>
          <w:rFonts w:ascii="Arial" w:hAnsi="Arial" w:cs="Arial"/>
          <w:bCs/>
          <w:sz w:val="20"/>
          <w:szCs w:val="20"/>
        </w:rPr>
        <w:t>(e.g., non-opioid analgesics or</w:t>
      </w:r>
      <w:r w:rsidRPr="00320E3D">
        <w:rPr>
          <w:rFonts w:ascii="Arial" w:hAnsi="Arial" w:cs="Arial"/>
          <w:bCs/>
          <w:sz w:val="20"/>
          <w:szCs w:val="20"/>
        </w:rPr>
        <w:t xml:space="preserve"> </w:t>
      </w:r>
      <w:r w:rsidR="0035516C">
        <w:rPr>
          <w:rFonts w:ascii="Arial" w:hAnsi="Arial" w:cs="Arial"/>
          <w:bCs/>
          <w:sz w:val="20"/>
          <w:szCs w:val="20"/>
        </w:rPr>
        <w:t xml:space="preserve">immediate-release </w:t>
      </w:r>
      <w:r w:rsidRPr="00320E3D">
        <w:rPr>
          <w:rFonts w:ascii="Arial" w:hAnsi="Arial" w:cs="Arial"/>
          <w:bCs/>
          <w:sz w:val="20"/>
          <w:szCs w:val="20"/>
        </w:rPr>
        <w:t>opioids) are ineffective, not tolerated, or would be otherwise inadequate to provide sufficient management of pain</w:t>
      </w:r>
      <w:r w:rsidR="0035516C">
        <w:rPr>
          <w:rFonts w:ascii="Arial" w:hAnsi="Arial" w:cs="Arial"/>
          <w:bCs/>
          <w:sz w:val="20"/>
          <w:szCs w:val="20"/>
        </w:rPr>
        <w:t>. I</w:t>
      </w:r>
      <w:r w:rsidR="00AF6C34">
        <w:rPr>
          <w:rFonts w:ascii="Arial" w:hAnsi="Arial" w:cs="Arial"/>
          <w:bCs/>
          <w:sz w:val="20"/>
          <w:szCs w:val="20"/>
        </w:rPr>
        <w:t>t is</w:t>
      </w:r>
      <w:r>
        <w:rPr>
          <w:rFonts w:ascii="Arial" w:hAnsi="Arial" w:cs="Arial"/>
          <w:bCs/>
          <w:sz w:val="20"/>
          <w:szCs w:val="20"/>
        </w:rPr>
        <w:t xml:space="preserve"> not indicated for use on an as-needed basis.</w:t>
      </w:r>
      <w:r>
        <w:rPr>
          <w:rFonts w:ascii="Arial" w:hAnsi="Arial" w:cs="Arial"/>
          <w:bCs/>
          <w:sz w:val="20"/>
          <w:szCs w:val="20"/>
          <w:vertAlign w:val="superscript"/>
        </w:rPr>
        <w:t>1</w:t>
      </w:r>
      <w:r>
        <w:rPr>
          <w:rFonts w:ascii="Arial" w:hAnsi="Arial" w:cs="Arial"/>
          <w:bCs/>
          <w:sz w:val="20"/>
          <w:szCs w:val="20"/>
        </w:rPr>
        <w:t xml:space="preserve">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extended-release)</w:t>
      </w:r>
      <w:r>
        <w:rPr>
          <w:rFonts w:ascii="Arial" w:hAnsi="Arial" w:cs="Arial"/>
          <w:sz w:val="20"/>
          <w:szCs w:val="20"/>
        </w:rPr>
        <w:t xml:space="preserve"> is being evaluated by the Drug Formulary Commission, as it is a relatively new FDA-labeled abuse-deterrent formulation (ADF) in the marketplace to be considered for inclusion on the Massachusetts formulary of interchangeable abuse-deterrent drugs, as outlined in Chapter 258 of the Acts of 2014.</w:t>
      </w:r>
    </w:p>
    <w:p w:rsidR="00667EE8" w:rsidRDefault="00667EE8" w:rsidP="00E446F8">
      <w:pPr>
        <w:autoSpaceDE w:val="0"/>
        <w:autoSpaceDN w:val="0"/>
        <w:adjustRightInd w:val="0"/>
        <w:spacing w:after="0" w:line="240" w:lineRule="auto"/>
        <w:rPr>
          <w:rFonts w:ascii="Arial" w:hAnsi="Arial" w:cs="Arial"/>
          <w:sz w:val="20"/>
          <w:szCs w:val="20"/>
        </w:rPr>
      </w:pPr>
    </w:p>
    <w:p w:rsidR="00667EE8" w:rsidRPr="0064320D" w:rsidRDefault="00667EE8" w:rsidP="00E446F8">
      <w:pPr>
        <w:autoSpaceDE w:val="0"/>
        <w:autoSpaceDN w:val="0"/>
        <w:adjustRightInd w:val="0"/>
        <w:spacing w:after="0" w:line="240" w:lineRule="auto"/>
        <w:rPr>
          <w:rFonts w:ascii="Arial" w:hAnsi="Arial" w:cs="Arial"/>
          <w:sz w:val="20"/>
          <w:szCs w:val="20"/>
          <w:vertAlign w:val="superscript"/>
        </w:rPr>
      </w:pPr>
      <w:r>
        <w:rPr>
          <w:rFonts w:ascii="Arial" w:hAnsi="Arial" w:cs="Arial"/>
          <w:sz w:val="20"/>
          <w:szCs w:val="20"/>
        </w:rPr>
        <w:t xml:space="preserve">The efficacy and safety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extended-release) was evaluated in two phase III clinical trials.</w:t>
      </w:r>
      <w:r w:rsidR="00E23D7F">
        <w:rPr>
          <w:rFonts w:ascii="Arial" w:hAnsi="Arial" w:cs="Arial"/>
          <w:bCs/>
          <w:sz w:val="20"/>
          <w:szCs w:val="20"/>
          <w:vertAlign w:val="superscript"/>
        </w:rPr>
        <w:t>2-4</w:t>
      </w:r>
      <w:r>
        <w:rPr>
          <w:rFonts w:ascii="Arial" w:hAnsi="Arial" w:cs="Arial"/>
          <w:bCs/>
          <w:sz w:val="20"/>
          <w:szCs w:val="20"/>
        </w:rPr>
        <w:t xml:space="preserve"> </w:t>
      </w:r>
      <w:r w:rsidRPr="00E4185B">
        <w:rPr>
          <w:rFonts w:ascii="Arial" w:hAnsi="Arial" w:cs="Arial"/>
          <w:sz w:val="20"/>
          <w:szCs w:val="20"/>
        </w:rPr>
        <w:t xml:space="preserve">The first </w:t>
      </w:r>
      <w:r>
        <w:rPr>
          <w:rFonts w:ascii="Arial" w:hAnsi="Arial" w:cs="Arial"/>
          <w:sz w:val="20"/>
          <w:szCs w:val="20"/>
        </w:rPr>
        <w:t xml:space="preserve">trial was a </w:t>
      </w:r>
      <w:r w:rsidRPr="00E4185B">
        <w:rPr>
          <w:rFonts w:ascii="Arial" w:hAnsi="Arial" w:cs="Arial"/>
          <w:sz w:val="20"/>
          <w:szCs w:val="20"/>
        </w:rPr>
        <w:t xml:space="preserve">multicenter, </w:t>
      </w:r>
      <w:r>
        <w:rPr>
          <w:rFonts w:ascii="Arial" w:hAnsi="Arial" w:cs="Arial"/>
          <w:sz w:val="20"/>
          <w:szCs w:val="20"/>
        </w:rPr>
        <w:t xml:space="preserve">enriched-enrollment, </w:t>
      </w:r>
      <w:r w:rsidRPr="00E4185B">
        <w:rPr>
          <w:rFonts w:ascii="Arial" w:hAnsi="Arial" w:cs="Arial"/>
          <w:sz w:val="20"/>
          <w:szCs w:val="20"/>
        </w:rPr>
        <w:t xml:space="preserve">randomized, double-blind, placebo-controlled </w:t>
      </w:r>
      <w:r>
        <w:rPr>
          <w:rFonts w:ascii="Arial" w:hAnsi="Arial" w:cs="Arial"/>
          <w:sz w:val="20"/>
          <w:szCs w:val="20"/>
        </w:rPr>
        <w:t>study</w:t>
      </w:r>
      <w:r w:rsidRPr="00E4185B">
        <w:rPr>
          <w:rFonts w:ascii="Arial" w:hAnsi="Arial" w:cs="Arial"/>
          <w:sz w:val="20"/>
          <w:szCs w:val="20"/>
        </w:rPr>
        <w:t xml:space="preserve"> </w:t>
      </w:r>
      <w:r>
        <w:rPr>
          <w:rFonts w:ascii="Arial" w:hAnsi="Arial" w:cs="Arial"/>
          <w:sz w:val="20"/>
          <w:szCs w:val="20"/>
        </w:rPr>
        <w:t>in adult</w:t>
      </w:r>
      <w:r w:rsidR="004D311D">
        <w:rPr>
          <w:rFonts w:ascii="Arial" w:hAnsi="Arial" w:cs="Arial"/>
          <w:sz w:val="20"/>
          <w:szCs w:val="20"/>
        </w:rPr>
        <w:t xml:space="preserve">s </w:t>
      </w:r>
      <w:r w:rsidRPr="00E4185B">
        <w:rPr>
          <w:rFonts w:ascii="Arial" w:hAnsi="Arial" w:cs="Arial"/>
          <w:sz w:val="20"/>
          <w:szCs w:val="20"/>
        </w:rPr>
        <w:t>who had experienced at least three months of moderate-to-severe nonsp</w:t>
      </w:r>
      <w:r>
        <w:rPr>
          <w:rFonts w:ascii="Arial" w:hAnsi="Arial" w:cs="Arial"/>
          <w:sz w:val="20"/>
          <w:szCs w:val="20"/>
        </w:rPr>
        <w:t xml:space="preserve">ecific chronic lower back pain </w:t>
      </w:r>
      <w:r w:rsidR="0098676F">
        <w:rPr>
          <w:rFonts w:ascii="Arial" w:hAnsi="Arial" w:cs="Arial"/>
          <w:sz w:val="20"/>
          <w:szCs w:val="20"/>
        </w:rPr>
        <w:t xml:space="preserve">(CLBP) </w:t>
      </w:r>
      <w:r w:rsidRPr="00E4185B">
        <w:rPr>
          <w:rFonts w:ascii="Arial" w:hAnsi="Arial" w:cs="Arial"/>
          <w:sz w:val="20"/>
          <w:szCs w:val="20"/>
        </w:rPr>
        <w:t>not caused by another condition (N=</w:t>
      </w:r>
      <w:r>
        <w:rPr>
          <w:rFonts w:ascii="Arial" w:hAnsi="Arial" w:cs="Arial"/>
          <w:sz w:val="20"/>
          <w:szCs w:val="20"/>
        </w:rPr>
        <w:t>410</w:t>
      </w:r>
      <w:r w:rsidRPr="00E4185B">
        <w:rPr>
          <w:rFonts w:ascii="Arial" w:hAnsi="Arial" w:cs="Arial"/>
          <w:sz w:val="20"/>
          <w:szCs w:val="20"/>
        </w:rPr>
        <w:t>).</w:t>
      </w:r>
      <w:r>
        <w:rPr>
          <w:rFonts w:ascii="Arial" w:hAnsi="Arial" w:cs="Arial"/>
          <w:sz w:val="20"/>
          <w:szCs w:val="20"/>
        </w:rPr>
        <w:t xml:space="preserve"> Following a titration phase, 281 </w:t>
      </w:r>
      <w:r w:rsidR="0035516C">
        <w:rPr>
          <w:rFonts w:ascii="Arial" w:hAnsi="Arial" w:cs="Arial"/>
          <w:sz w:val="20"/>
          <w:szCs w:val="20"/>
        </w:rPr>
        <w:t>patients</w:t>
      </w:r>
      <w:r>
        <w:rPr>
          <w:rFonts w:ascii="Arial" w:hAnsi="Arial" w:cs="Arial"/>
          <w:sz w:val="20"/>
          <w:szCs w:val="20"/>
        </w:rPr>
        <w:t xml:space="preserve"> were randomized to</w:t>
      </w:r>
      <w:r w:rsidR="0035516C">
        <w:rPr>
          <w:rFonts w:ascii="Arial" w:hAnsi="Arial" w:cs="Arial"/>
          <w:sz w:val="20"/>
          <w:szCs w:val="20"/>
        </w:rPr>
        <w:t xml:space="preserve"> receive</w:t>
      </w:r>
      <w:r>
        <w:rPr>
          <w:rFonts w:ascii="Arial" w:hAnsi="Arial" w:cs="Arial"/>
          <w:sz w:val="20"/>
          <w:szCs w:val="20"/>
        </w:rPr>
        <w:t xml:space="preserve"> either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 xml:space="preserve">extended-release) or placebo for 12 weeks. </w:t>
      </w:r>
      <w:r w:rsidR="005F44BF">
        <w:rPr>
          <w:rFonts w:ascii="Arial" w:hAnsi="Arial" w:cs="Arial"/>
          <w:bCs/>
          <w:sz w:val="20"/>
          <w:szCs w:val="20"/>
        </w:rPr>
        <w:t xml:space="preserve">In the final two weeks of the double-blind treatment period, </w:t>
      </w:r>
      <w:r w:rsidR="005F44BF">
        <w:rPr>
          <w:rFonts w:ascii="Arial" w:hAnsi="Arial" w:cs="Arial"/>
          <w:sz w:val="20"/>
          <w:szCs w:val="20"/>
        </w:rPr>
        <w:t>t</w:t>
      </w:r>
      <w:r w:rsidR="005F44BF" w:rsidRPr="00E4185B">
        <w:rPr>
          <w:rFonts w:ascii="Arial" w:hAnsi="Arial" w:cs="Arial"/>
          <w:sz w:val="20"/>
          <w:szCs w:val="20"/>
        </w:rPr>
        <w:t xml:space="preserve">reatment with </w:t>
      </w:r>
      <w:proofErr w:type="spellStart"/>
      <w:r w:rsidR="005F44BF" w:rsidRPr="00E21213">
        <w:rPr>
          <w:rFonts w:ascii="Arial" w:hAnsi="Arial" w:cs="Arial"/>
          <w:bCs/>
          <w:sz w:val="20"/>
          <w:szCs w:val="20"/>
        </w:rPr>
        <w:t>Troxyca</w:t>
      </w:r>
      <w:proofErr w:type="spellEnd"/>
      <w:r w:rsidR="005F44BF">
        <w:rPr>
          <w:rFonts w:ascii="Arial" w:hAnsi="Arial" w:cs="Arial"/>
          <w:bCs/>
          <w:sz w:val="20"/>
          <w:szCs w:val="20"/>
          <w:vertAlign w:val="superscript"/>
        </w:rPr>
        <w:t>®</w:t>
      </w:r>
      <w:r w:rsidR="005F44BF" w:rsidRPr="00E4185B">
        <w:rPr>
          <w:rFonts w:ascii="Arial" w:hAnsi="Arial" w:cs="Arial"/>
          <w:sz w:val="20"/>
          <w:szCs w:val="20"/>
        </w:rPr>
        <w:t xml:space="preserve"> ER (</w:t>
      </w:r>
      <w:r w:rsidR="000A09E6">
        <w:rPr>
          <w:rFonts w:ascii="Arial" w:hAnsi="Arial" w:cs="Arial"/>
          <w:sz w:val="20"/>
          <w:szCs w:val="20"/>
        </w:rPr>
        <w:t>oxycodone/naltrexone</w:t>
      </w:r>
      <w:r w:rsidR="005F44BF" w:rsidRPr="00E4185B">
        <w:rPr>
          <w:rFonts w:ascii="Arial" w:hAnsi="Arial" w:cs="Arial"/>
          <w:sz w:val="20"/>
          <w:szCs w:val="20"/>
        </w:rPr>
        <w:t xml:space="preserve"> extended-release) was associated with a lower </w:t>
      </w:r>
      <w:r w:rsidR="005F44BF">
        <w:rPr>
          <w:rFonts w:ascii="Arial" w:hAnsi="Arial" w:cs="Arial"/>
          <w:sz w:val="20"/>
          <w:szCs w:val="20"/>
        </w:rPr>
        <w:t>increase</w:t>
      </w:r>
      <w:r w:rsidR="005F44BF" w:rsidRPr="00E4185B">
        <w:rPr>
          <w:rFonts w:ascii="Arial" w:hAnsi="Arial" w:cs="Arial"/>
          <w:sz w:val="20"/>
          <w:szCs w:val="20"/>
        </w:rPr>
        <w:t xml:space="preserve"> in mean </w:t>
      </w:r>
      <w:r w:rsidR="005F44BF">
        <w:rPr>
          <w:rFonts w:ascii="Arial" w:hAnsi="Arial" w:cs="Arial"/>
          <w:sz w:val="20"/>
          <w:szCs w:val="20"/>
        </w:rPr>
        <w:t xml:space="preserve">numeric rating scale (NRS) </w:t>
      </w:r>
      <w:r w:rsidR="005F44BF" w:rsidRPr="00E4185B">
        <w:rPr>
          <w:rFonts w:ascii="Arial" w:hAnsi="Arial" w:cs="Arial"/>
          <w:sz w:val="20"/>
          <w:szCs w:val="20"/>
        </w:rPr>
        <w:t xml:space="preserve">pain score </w:t>
      </w:r>
      <w:r w:rsidR="005F44BF">
        <w:rPr>
          <w:rFonts w:ascii="Arial" w:hAnsi="Arial" w:cs="Arial"/>
          <w:sz w:val="20"/>
          <w:szCs w:val="20"/>
        </w:rPr>
        <w:t xml:space="preserve">from baseline (0.60; 95% confidence interval [CI], 0.27 to 0.93) </w:t>
      </w:r>
      <w:r w:rsidR="005F44BF" w:rsidRPr="00E4185B">
        <w:rPr>
          <w:rFonts w:ascii="Arial" w:hAnsi="Arial" w:cs="Arial"/>
          <w:sz w:val="20"/>
          <w:szCs w:val="20"/>
        </w:rPr>
        <w:t>compared to placebo</w:t>
      </w:r>
      <w:r w:rsidR="005F44BF">
        <w:rPr>
          <w:rFonts w:ascii="Arial" w:hAnsi="Arial" w:cs="Arial"/>
          <w:sz w:val="20"/>
          <w:szCs w:val="20"/>
        </w:rPr>
        <w:t xml:space="preserve"> </w:t>
      </w:r>
      <w:r w:rsidR="005F44BF" w:rsidRPr="00E4185B">
        <w:rPr>
          <w:rFonts w:ascii="Arial" w:hAnsi="Arial" w:cs="Arial"/>
          <w:sz w:val="20"/>
          <w:szCs w:val="20"/>
        </w:rPr>
        <w:t>(</w:t>
      </w:r>
      <w:r w:rsidR="005F44BF">
        <w:rPr>
          <w:rFonts w:ascii="Arial" w:hAnsi="Arial" w:cs="Arial"/>
          <w:sz w:val="20"/>
          <w:szCs w:val="20"/>
        </w:rPr>
        <w:t>1.23; 95% CI, 0.87 to 1.58</w:t>
      </w:r>
      <w:r w:rsidR="005F44BF" w:rsidRPr="00E4185B">
        <w:rPr>
          <w:rFonts w:ascii="Arial" w:hAnsi="Arial" w:cs="Arial"/>
          <w:sz w:val="20"/>
          <w:szCs w:val="20"/>
        </w:rPr>
        <w:t>; diff</w:t>
      </w:r>
      <w:r w:rsidR="005F44BF">
        <w:rPr>
          <w:rFonts w:ascii="Arial" w:hAnsi="Arial" w:cs="Arial"/>
          <w:sz w:val="20"/>
          <w:szCs w:val="20"/>
        </w:rPr>
        <w:t xml:space="preserve">erence, -0.62; P=0.0114). </w:t>
      </w:r>
      <w:r w:rsidR="0035516C">
        <w:rPr>
          <w:rFonts w:ascii="Arial" w:hAnsi="Arial" w:cs="Arial"/>
          <w:sz w:val="20"/>
          <w:szCs w:val="20"/>
        </w:rPr>
        <w:t>Notably</w:t>
      </w:r>
      <w:r w:rsidR="005F44BF">
        <w:rPr>
          <w:rFonts w:ascii="Arial" w:hAnsi="Arial" w:cs="Arial"/>
          <w:sz w:val="20"/>
          <w:szCs w:val="20"/>
        </w:rPr>
        <w:t xml:space="preserve">, treatment with </w:t>
      </w:r>
      <w:proofErr w:type="spellStart"/>
      <w:r w:rsidR="005F44BF" w:rsidRPr="00E21213">
        <w:rPr>
          <w:rFonts w:ascii="Arial" w:hAnsi="Arial" w:cs="Arial"/>
          <w:bCs/>
          <w:sz w:val="20"/>
          <w:szCs w:val="20"/>
        </w:rPr>
        <w:t>Troxyca</w:t>
      </w:r>
      <w:proofErr w:type="spellEnd"/>
      <w:r w:rsidR="005F44BF">
        <w:rPr>
          <w:rFonts w:ascii="Arial" w:hAnsi="Arial" w:cs="Arial"/>
          <w:bCs/>
          <w:sz w:val="20"/>
          <w:szCs w:val="20"/>
          <w:vertAlign w:val="superscript"/>
        </w:rPr>
        <w:t>®</w:t>
      </w:r>
      <w:r w:rsidR="005F44BF" w:rsidRPr="00E4185B">
        <w:rPr>
          <w:rFonts w:ascii="Arial" w:hAnsi="Arial" w:cs="Arial"/>
          <w:sz w:val="20"/>
          <w:szCs w:val="20"/>
        </w:rPr>
        <w:t xml:space="preserve"> ER (</w:t>
      </w:r>
      <w:r w:rsidR="000A09E6">
        <w:rPr>
          <w:rFonts w:ascii="Arial" w:hAnsi="Arial" w:cs="Arial"/>
          <w:sz w:val="20"/>
          <w:szCs w:val="20"/>
        </w:rPr>
        <w:t>oxycodone/naltrexone</w:t>
      </w:r>
      <w:r w:rsidR="005F44BF" w:rsidRPr="00E4185B">
        <w:rPr>
          <w:rFonts w:ascii="Arial" w:hAnsi="Arial" w:cs="Arial"/>
          <w:sz w:val="20"/>
          <w:szCs w:val="20"/>
        </w:rPr>
        <w:t xml:space="preserve"> extended-release)</w:t>
      </w:r>
      <w:r w:rsidR="005F44BF">
        <w:rPr>
          <w:rFonts w:ascii="Arial" w:hAnsi="Arial" w:cs="Arial"/>
          <w:sz w:val="20"/>
          <w:szCs w:val="20"/>
        </w:rPr>
        <w:t xml:space="preserve"> and placebo were both associated with an overall increase in mean NRS pain score from baseline in the final two weeks of the </w:t>
      </w:r>
      <w:r w:rsidR="003F3DF5">
        <w:rPr>
          <w:rFonts w:ascii="Arial" w:hAnsi="Arial" w:cs="Arial"/>
          <w:sz w:val="20"/>
          <w:szCs w:val="20"/>
        </w:rPr>
        <w:t xml:space="preserve">12-week </w:t>
      </w:r>
      <w:r w:rsidR="005F44BF">
        <w:rPr>
          <w:rFonts w:ascii="Arial" w:hAnsi="Arial" w:cs="Arial"/>
          <w:sz w:val="20"/>
          <w:szCs w:val="20"/>
        </w:rPr>
        <w:t>double-blind treatment period</w:t>
      </w:r>
      <w:r>
        <w:rPr>
          <w:rFonts w:ascii="Arial" w:hAnsi="Arial" w:cs="Arial"/>
          <w:sz w:val="20"/>
          <w:szCs w:val="20"/>
        </w:rPr>
        <w:t>.</w:t>
      </w:r>
      <w:r w:rsidR="00EB195F">
        <w:rPr>
          <w:rFonts w:ascii="Arial" w:hAnsi="Arial" w:cs="Arial"/>
          <w:sz w:val="20"/>
          <w:szCs w:val="20"/>
          <w:vertAlign w:val="superscript"/>
        </w:rPr>
        <w:t>3</w:t>
      </w:r>
      <w:r w:rsidR="004D311D">
        <w:rPr>
          <w:rFonts w:ascii="Arial" w:hAnsi="Arial" w:cs="Arial"/>
          <w:sz w:val="20"/>
          <w:szCs w:val="20"/>
        </w:rPr>
        <w:t xml:space="preserve"> </w:t>
      </w:r>
      <w:r w:rsidR="004D311D" w:rsidRPr="00E4185B">
        <w:rPr>
          <w:rFonts w:ascii="Arial" w:hAnsi="Arial" w:cs="Arial"/>
          <w:sz w:val="20"/>
          <w:szCs w:val="20"/>
        </w:rPr>
        <w:t xml:space="preserve">The second </w:t>
      </w:r>
      <w:r w:rsidR="004D311D">
        <w:rPr>
          <w:rFonts w:ascii="Arial" w:hAnsi="Arial" w:cs="Arial"/>
          <w:sz w:val="20"/>
          <w:szCs w:val="20"/>
        </w:rPr>
        <w:t xml:space="preserve">trial was a </w:t>
      </w:r>
      <w:r w:rsidR="004D311D" w:rsidRPr="00E4185B">
        <w:rPr>
          <w:rFonts w:ascii="Arial" w:hAnsi="Arial" w:cs="Arial"/>
          <w:sz w:val="20"/>
          <w:szCs w:val="20"/>
        </w:rPr>
        <w:t>multicenter, open-label study</w:t>
      </w:r>
      <w:r w:rsidR="004D311D">
        <w:rPr>
          <w:rFonts w:ascii="Arial" w:hAnsi="Arial" w:cs="Arial"/>
          <w:sz w:val="20"/>
          <w:szCs w:val="20"/>
        </w:rPr>
        <w:t xml:space="preserve"> in adults with moderate-to-severe chronic non-cancer pain</w:t>
      </w:r>
      <w:r w:rsidR="0098676F">
        <w:rPr>
          <w:rFonts w:ascii="Arial" w:hAnsi="Arial" w:cs="Arial"/>
          <w:sz w:val="20"/>
          <w:szCs w:val="20"/>
        </w:rPr>
        <w:t xml:space="preserve"> (CNCP)</w:t>
      </w:r>
      <w:r w:rsidR="004D311D">
        <w:rPr>
          <w:rFonts w:ascii="Arial" w:hAnsi="Arial" w:cs="Arial"/>
          <w:sz w:val="20"/>
          <w:szCs w:val="20"/>
        </w:rPr>
        <w:t xml:space="preserve"> </w:t>
      </w:r>
      <w:r w:rsidR="004D311D" w:rsidRPr="00E4185B">
        <w:rPr>
          <w:rFonts w:ascii="Arial" w:hAnsi="Arial" w:cs="Arial"/>
          <w:sz w:val="20"/>
          <w:szCs w:val="20"/>
        </w:rPr>
        <w:t>(N=</w:t>
      </w:r>
      <w:r w:rsidR="004D311D">
        <w:rPr>
          <w:rFonts w:ascii="Arial" w:hAnsi="Arial" w:cs="Arial"/>
          <w:sz w:val="20"/>
          <w:szCs w:val="20"/>
        </w:rPr>
        <w:t>395</w:t>
      </w:r>
      <w:r w:rsidR="0064320D">
        <w:rPr>
          <w:rFonts w:ascii="Arial" w:hAnsi="Arial" w:cs="Arial"/>
          <w:sz w:val="20"/>
          <w:szCs w:val="20"/>
        </w:rPr>
        <w:t>).</w:t>
      </w:r>
      <w:r w:rsidR="0064320D" w:rsidRPr="0064320D">
        <w:t xml:space="preserve"> </w:t>
      </w:r>
      <w:r w:rsidR="0064320D" w:rsidRPr="0064320D">
        <w:rPr>
          <w:rFonts w:ascii="Arial" w:hAnsi="Arial" w:cs="Arial"/>
          <w:sz w:val="20"/>
          <w:szCs w:val="20"/>
        </w:rPr>
        <w:t xml:space="preserve">The primary endpoint was the number and type of treatment-emergent adverse events (TEAE) associated with treatment with </w:t>
      </w:r>
      <w:proofErr w:type="spellStart"/>
      <w:r w:rsidR="0064320D" w:rsidRPr="0064320D">
        <w:rPr>
          <w:rFonts w:ascii="Arial" w:hAnsi="Arial" w:cs="Arial"/>
          <w:sz w:val="20"/>
          <w:szCs w:val="20"/>
        </w:rPr>
        <w:t>Troxyca</w:t>
      </w:r>
      <w:proofErr w:type="spellEnd"/>
      <w:r w:rsidR="0064320D" w:rsidRPr="0064320D">
        <w:rPr>
          <w:rFonts w:ascii="Arial" w:hAnsi="Arial" w:cs="Arial"/>
          <w:sz w:val="20"/>
          <w:szCs w:val="20"/>
          <w:vertAlign w:val="superscript"/>
        </w:rPr>
        <w:t>®</w:t>
      </w:r>
      <w:r w:rsidR="0064320D" w:rsidRPr="0064320D">
        <w:rPr>
          <w:rFonts w:ascii="Arial" w:hAnsi="Arial" w:cs="Arial"/>
          <w:sz w:val="20"/>
          <w:szCs w:val="20"/>
        </w:rPr>
        <w:t xml:space="preserve"> ER (</w:t>
      </w:r>
      <w:r w:rsidR="000A09E6">
        <w:rPr>
          <w:rFonts w:ascii="Arial" w:hAnsi="Arial" w:cs="Arial"/>
          <w:sz w:val="20"/>
          <w:szCs w:val="20"/>
        </w:rPr>
        <w:t>oxycodone/naltrexone</w:t>
      </w:r>
      <w:r w:rsidR="0064320D" w:rsidRPr="0064320D">
        <w:rPr>
          <w:rFonts w:ascii="Arial" w:hAnsi="Arial" w:cs="Arial"/>
          <w:sz w:val="20"/>
          <w:szCs w:val="20"/>
        </w:rPr>
        <w:t xml:space="preserve"> extend</w:t>
      </w:r>
      <w:r w:rsidR="0064320D">
        <w:rPr>
          <w:rFonts w:ascii="Arial" w:hAnsi="Arial" w:cs="Arial"/>
          <w:sz w:val="20"/>
          <w:szCs w:val="20"/>
        </w:rPr>
        <w:t>ed-release) for up to 12 months;</w:t>
      </w:r>
      <w:r w:rsidR="0064320D" w:rsidRPr="0064320D">
        <w:rPr>
          <w:rFonts w:ascii="Arial" w:hAnsi="Arial" w:cs="Arial"/>
          <w:sz w:val="20"/>
          <w:szCs w:val="20"/>
        </w:rPr>
        <w:t xml:space="preserve"> </w:t>
      </w:r>
      <w:r w:rsidR="0064320D">
        <w:rPr>
          <w:rFonts w:ascii="Arial" w:hAnsi="Arial" w:cs="Arial"/>
          <w:sz w:val="20"/>
          <w:szCs w:val="20"/>
        </w:rPr>
        <w:t>a</w:t>
      </w:r>
      <w:r w:rsidR="0064320D" w:rsidRPr="0064320D">
        <w:rPr>
          <w:rFonts w:ascii="Arial" w:hAnsi="Arial" w:cs="Arial"/>
          <w:sz w:val="20"/>
          <w:szCs w:val="20"/>
        </w:rPr>
        <w:t xml:space="preserve"> total o</w:t>
      </w:r>
      <w:r w:rsidR="00D65D3F">
        <w:rPr>
          <w:rFonts w:ascii="Arial" w:hAnsi="Arial" w:cs="Arial"/>
          <w:sz w:val="20"/>
          <w:szCs w:val="20"/>
        </w:rPr>
        <w:t>f 343 patients (86.8%) reported TEAE</w:t>
      </w:r>
      <w:r w:rsidR="0064320D">
        <w:rPr>
          <w:rFonts w:ascii="Arial" w:hAnsi="Arial" w:cs="Arial"/>
          <w:sz w:val="20"/>
          <w:szCs w:val="20"/>
        </w:rPr>
        <w:t xml:space="preserve">, but only </w:t>
      </w:r>
      <w:r w:rsidR="0064320D" w:rsidRPr="0064320D">
        <w:rPr>
          <w:rFonts w:ascii="Arial" w:hAnsi="Arial" w:cs="Arial"/>
          <w:sz w:val="20"/>
          <w:szCs w:val="20"/>
        </w:rPr>
        <w:t>207 patients (52.4%) reported treatment-related adverse events.</w:t>
      </w:r>
      <w:r w:rsidR="0035516C">
        <w:rPr>
          <w:rFonts w:ascii="Arial" w:hAnsi="Arial" w:cs="Arial"/>
          <w:sz w:val="20"/>
          <w:szCs w:val="20"/>
        </w:rPr>
        <w:t xml:space="preserve"> T</w:t>
      </w:r>
      <w:r w:rsidR="0064320D">
        <w:rPr>
          <w:rFonts w:ascii="Arial" w:hAnsi="Arial" w:cs="Arial"/>
          <w:sz w:val="20"/>
          <w:szCs w:val="20"/>
        </w:rPr>
        <w:t xml:space="preserve">reatment with </w:t>
      </w:r>
      <w:proofErr w:type="spellStart"/>
      <w:r w:rsidR="0064320D" w:rsidRPr="0064320D">
        <w:rPr>
          <w:rFonts w:ascii="Arial" w:hAnsi="Arial" w:cs="Arial"/>
          <w:sz w:val="20"/>
          <w:szCs w:val="20"/>
        </w:rPr>
        <w:t>Troxyca</w:t>
      </w:r>
      <w:proofErr w:type="spellEnd"/>
      <w:r w:rsidR="0064320D" w:rsidRPr="0064320D">
        <w:rPr>
          <w:rFonts w:ascii="Arial" w:hAnsi="Arial" w:cs="Arial"/>
          <w:sz w:val="20"/>
          <w:szCs w:val="20"/>
          <w:vertAlign w:val="superscript"/>
        </w:rPr>
        <w:t>®</w:t>
      </w:r>
      <w:r w:rsidR="0064320D" w:rsidRPr="0064320D">
        <w:rPr>
          <w:rFonts w:ascii="Arial" w:hAnsi="Arial" w:cs="Arial"/>
          <w:sz w:val="20"/>
          <w:szCs w:val="20"/>
        </w:rPr>
        <w:t xml:space="preserve"> ER (</w:t>
      </w:r>
      <w:r w:rsidR="000A09E6">
        <w:rPr>
          <w:rFonts w:ascii="Arial" w:hAnsi="Arial" w:cs="Arial"/>
          <w:sz w:val="20"/>
          <w:szCs w:val="20"/>
        </w:rPr>
        <w:t>oxycodone/naltrexone</w:t>
      </w:r>
      <w:r w:rsidR="0064320D" w:rsidRPr="0064320D">
        <w:rPr>
          <w:rFonts w:ascii="Arial" w:hAnsi="Arial" w:cs="Arial"/>
          <w:sz w:val="20"/>
          <w:szCs w:val="20"/>
        </w:rPr>
        <w:t xml:space="preserve"> extend</w:t>
      </w:r>
      <w:r w:rsidR="0064320D">
        <w:rPr>
          <w:rFonts w:ascii="Arial" w:hAnsi="Arial" w:cs="Arial"/>
          <w:sz w:val="20"/>
          <w:szCs w:val="20"/>
        </w:rPr>
        <w:t xml:space="preserve">ed-release) was associated with a statistically significant </w:t>
      </w:r>
      <w:r w:rsidR="0064320D" w:rsidRPr="001E5F59">
        <w:rPr>
          <w:rFonts w:ascii="Arial" w:hAnsi="Arial" w:cs="Arial"/>
          <w:sz w:val="20"/>
          <w:szCs w:val="20"/>
        </w:rPr>
        <w:t>decrease</w:t>
      </w:r>
      <w:r w:rsidR="0064320D">
        <w:rPr>
          <w:rFonts w:ascii="Arial" w:hAnsi="Arial" w:cs="Arial"/>
          <w:sz w:val="20"/>
          <w:szCs w:val="20"/>
        </w:rPr>
        <w:t xml:space="preserve"> from baseline</w:t>
      </w:r>
      <w:r w:rsidR="0064320D" w:rsidRPr="001E5F59">
        <w:rPr>
          <w:rFonts w:ascii="Arial" w:hAnsi="Arial" w:cs="Arial"/>
          <w:sz w:val="20"/>
          <w:szCs w:val="20"/>
        </w:rPr>
        <w:t xml:space="preserve"> in mean</w:t>
      </w:r>
      <w:r w:rsidR="0035516C">
        <w:rPr>
          <w:rFonts w:ascii="Arial" w:hAnsi="Arial" w:cs="Arial"/>
          <w:sz w:val="20"/>
          <w:szCs w:val="20"/>
        </w:rPr>
        <w:t xml:space="preserve"> Brief Pain Inventory (BPI)</w:t>
      </w:r>
      <w:r w:rsidR="0064320D" w:rsidRPr="001E5F59">
        <w:rPr>
          <w:rFonts w:ascii="Arial" w:hAnsi="Arial" w:cs="Arial"/>
          <w:sz w:val="20"/>
          <w:szCs w:val="20"/>
        </w:rPr>
        <w:t xml:space="preserve"> scores for worst, least, and average pain over the previous 24 hours and current pain </w:t>
      </w:r>
      <w:r w:rsidR="0064320D">
        <w:rPr>
          <w:rFonts w:ascii="Arial" w:hAnsi="Arial" w:cs="Arial"/>
          <w:sz w:val="20"/>
          <w:szCs w:val="20"/>
        </w:rPr>
        <w:t xml:space="preserve">at all visits except </w:t>
      </w:r>
      <w:r w:rsidR="0064320D" w:rsidRPr="001E5F59">
        <w:rPr>
          <w:rFonts w:ascii="Arial" w:hAnsi="Arial" w:cs="Arial"/>
          <w:sz w:val="20"/>
          <w:szCs w:val="20"/>
        </w:rPr>
        <w:t xml:space="preserve">for least </w:t>
      </w:r>
      <w:r w:rsidR="0064320D">
        <w:rPr>
          <w:rFonts w:ascii="Arial" w:hAnsi="Arial" w:cs="Arial"/>
          <w:sz w:val="20"/>
          <w:szCs w:val="20"/>
        </w:rPr>
        <w:t xml:space="preserve">pain </w:t>
      </w:r>
      <w:r w:rsidR="0064320D" w:rsidRPr="001E5F59">
        <w:rPr>
          <w:rFonts w:ascii="Arial" w:hAnsi="Arial" w:cs="Arial"/>
          <w:sz w:val="20"/>
          <w:szCs w:val="20"/>
        </w:rPr>
        <w:t>and current pain</w:t>
      </w:r>
      <w:r w:rsidR="0064320D">
        <w:rPr>
          <w:rFonts w:ascii="Arial" w:hAnsi="Arial" w:cs="Arial"/>
          <w:sz w:val="20"/>
          <w:szCs w:val="20"/>
        </w:rPr>
        <w:t xml:space="preserve">  at </w:t>
      </w:r>
      <w:r w:rsidR="0064320D" w:rsidRPr="001E5F59">
        <w:rPr>
          <w:rFonts w:ascii="Arial" w:hAnsi="Arial" w:cs="Arial"/>
          <w:sz w:val="20"/>
          <w:szCs w:val="20"/>
        </w:rPr>
        <w:t xml:space="preserve">week </w:t>
      </w:r>
      <w:r w:rsidR="0064320D">
        <w:rPr>
          <w:rFonts w:ascii="Arial" w:hAnsi="Arial" w:cs="Arial"/>
          <w:sz w:val="20"/>
          <w:szCs w:val="20"/>
        </w:rPr>
        <w:t>one</w:t>
      </w:r>
      <w:r w:rsidR="0064320D" w:rsidRPr="001E5F59">
        <w:rPr>
          <w:rFonts w:ascii="Arial" w:hAnsi="Arial" w:cs="Arial"/>
          <w:sz w:val="20"/>
          <w:szCs w:val="20"/>
        </w:rPr>
        <w:t xml:space="preserve"> </w:t>
      </w:r>
      <w:r w:rsidR="0064320D">
        <w:rPr>
          <w:rFonts w:ascii="Arial" w:hAnsi="Arial" w:cs="Arial"/>
          <w:sz w:val="20"/>
          <w:szCs w:val="20"/>
        </w:rPr>
        <w:t>(P≤0.0273)</w:t>
      </w:r>
      <w:r w:rsidR="0064320D" w:rsidRPr="001E5F59">
        <w:rPr>
          <w:rFonts w:ascii="Arial" w:hAnsi="Arial" w:cs="Arial"/>
          <w:sz w:val="20"/>
          <w:szCs w:val="20"/>
        </w:rPr>
        <w:t>.</w:t>
      </w:r>
      <w:r w:rsidR="0064320D">
        <w:rPr>
          <w:rFonts w:ascii="Arial" w:hAnsi="Arial" w:cs="Arial"/>
          <w:sz w:val="20"/>
          <w:szCs w:val="20"/>
          <w:vertAlign w:val="superscript"/>
        </w:rPr>
        <w:t>2</w:t>
      </w:r>
      <w:r w:rsidR="00E23D7F">
        <w:rPr>
          <w:rFonts w:ascii="Arial" w:hAnsi="Arial" w:cs="Arial"/>
          <w:sz w:val="20"/>
          <w:szCs w:val="20"/>
          <w:vertAlign w:val="superscript"/>
        </w:rPr>
        <w:t>,4</w:t>
      </w:r>
    </w:p>
    <w:p w:rsidR="00E446F8" w:rsidRPr="00E446F8" w:rsidRDefault="00E446F8" w:rsidP="00E446F8">
      <w:pPr>
        <w:autoSpaceDE w:val="0"/>
        <w:autoSpaceDN w:val="0"/>
        <w:spacing w:after="0" w:line="240" w:lineRule="auto"/>
        <w:rPr>
          <w:rFonts w:ascii="Arial" w:hAnsi="Arial" w:cs="Arial"/>
          <w:bCs/>
          <w:sz w:val="20"/>
          <w:szCs w:val="20"/>
        </w:rPr>
      </w:pPr>
    </w:p>
    <w:p w:rsidR="00E446F8" w:rsidRDefault="00E446F8" w:rsidP="00E446F8">
      <w:pPr>
        <w:autoSpaceDE w:val="0"/>
        <w:autoSpaceDN w:val="0"/>
        <w:spacing w:after="0" w:line="240" w:lineRule="auto"/>
        <w:rPr>
          <w:rFonts w:ascii="Arial" w:hAnsi="Arial" w:cs="Arial"/>
          <w:bCs/>
          <w:sz w:val="20"/>
          <w:szCs w:val="20"/>
        </w:rPr>
      </w:pP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extended-release) is formulated as a capsule that contains pellets consisting of oxycodone hydrochloride and sequestered naltrexone hydrochloride. Manipulation of these pellets by crushing, dissolving, or chewing could lead to a rapid release and absorption of a potentially fatal dose of oxycodone, as well as a sufficient quantity of naltrexone to precipitate withdrawal in opioid-dependent individuals.</w:t>
      </w:r>
      <w:r>
        <w:rPr>
          <w:rFonts w:ascii="Arial" w:hAnsi="Arial" w:cs="Arial"/>
          <w:bCs/>
          <w:sz w:val="20"/>
          <w:szCs w:val="20"/>
          <w:vertAlign w:val="superscript"/>
        </w:rPr>
        <w:t>1</w:t>
      </w:r>
      <w:r>
        <w:rPr>
          <w:rFonts w:ascii="Arial" w:hAnsi="Arial" w:cs="Arial"/>
          <w:bCs/>
          <w:sz w:val="20"/>
          <w:szCs w:val="20"/>
        </w:rPr>
        <w:t xml:space="preserve">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 xml:space="preserve">extended-release) is the only ADF of oxycodone that has </w:t>
      </w:r>
      <w:r w:rsidR="003367AD">
        <w:rPr>
          <w:rFonts w:ascii="Arial" w:hAnsi="Arial" w:cs="Arial"/>
          <w:bCs/>
          <w:sz w:val="20"/>
          <w:szCs w:val="20"/>
        </w:rPr>
        <w:t>FDA</w:t>
      </w:r>
      <w:r w:rsidR="00B81463">
        <w:rPr>
          <w:rFonts w:ascii="Arial" w:hAnsi="Arial" w:cs="Arial"/>
          <w:bCs/>
          <w:sz w:val="20"/>
          <w:szCs w:val="20"/>
        </w:rPr>
        <w:t>-approved abuse-</w:t>
      </w:r>
      <w:r>
        <w:rPr>
          <w:rFonts w:ascii="Arial" w:hAnsi="Arial" w:cs="Arial"/>
          <w:bCs/>
          <w:sz w:val="20"/>
          <w:szCs w:val="20"/>
        </w:rPr>
        <w:t>reduction claims in the labeling for both oral and intranasal routes of abuse.</w:t>
      </w:r>
      <w:r>
        <w:rPr>
          <w:rFonts w:ascii="Arial" w:hAnsi="Arial" w:cs="Arial"/>
          <w:bCs/>
          <w:sz w:val="20"/>
          <w:szCs w:val="20"/>
          <w:vertAlign w:val="superscript"/>
        </w:rPr>
        <w:t>2</w:t>
      </w:r>
      <w:r>
        <w:rPr>
          <w:rFonts w:ascii="Arial" w:hAnsi="Arial" w:cs="Arial"/>
          <w:bCs/>
          <w:sz w:val="20"/>
          <w:szCs w:val="20"/>
        </w:rPr>
        <w:t xml:space="preserve"> </w:t>
      </w:r>
      <w:proofErr w:type="spellStart"/>
      <w:r w:rsidRPr="00E446F8">
        <w:rPr>
          <w:rFonts w:ascii="Arial" w:hAnsi="Arial" w:cs="Arial"/>
          <w:bCs/>
          <w:sz w:val="20"/>
          <w:szCs w:val="20"/>
        </w:rPr>
        <w:t>Troxyca</w:t>
      </w:r>
      <w:proofErr w:type="spellEnd"/>
      <w:r w:rsidRPr="00E446F8">
        <w:rPr>
          <w:rFonts w:ascii="Arial" w:hAnsi="Arial" w:cs="Arial"/>
          <w:bCs/>
          <w:sz w:val="20"/>
          <w:szCs w:val="20"/>
          <w:vertAlign w:val="superscript"/>
        </w:rPr>
        <w:t>®</w:t>
      </w:r>
      <w:r w:rsidRPr="00E446F8">
        <w:rPr>
          <w:rFonts w:ascii="Arial" w:hAnsi="Arial" w:cs="Arial"/>
          <w:bCs/>
          <w:sz w:val="20"/>
          <w:szCs w:val="20"/>
        </w:rPr>
        <w:t xml:space="preserve"> ER (</w:t>
      </w:r>
      <w:r w:rsidR="000A09E6">
        <w:rPr>
          <w:rFonts w:ascii="Arial" w:hAnsi="Arial" w:cs="Arial"/>
          <w:bCs/>
          <w:sz w:val="20"/>
          <w:szCs w:val="20"/>
        </w:rPr>
        <w:t>oxycodone/naltrexone</w:t>
      </w:r>
      <w:r w:rsidRPr="00E446F8">
        <w:rPr>
          <w:rFonts w:ascii="Arial" w:hAnsi="Arial" w:cs="Arial"/>
          <w:bCs/>
          <w:sz w:val="20"/>
          <w:szCs w:val="20"/>
        </w:rPr>
        <w:t xml:space="preserve"> extended-release) capsules utilize </w:t>
      </w:r>
      <w:r>
        <w:rPr>
          <w:rFonts w:ascii="Arial" w:hAnsi="Arial" w:cs="Arial"/>
          <w:bCs/>
          <w:sz w:val="20"/>
          <w:szCs w:val="20"/>
        </w:rPr>
        <w:t xml:space="preserve">a </w:t>
      </w:r>
      <w:r w:rsidRPr="00E446F8">
        <w:rPr>
          <w:rFonts w:ascii="Arial" w:hAnsi="Arial" w:cs="Arial"/>
          <w:bCs/>
          <w:sz w:val="20"/>
          <w:szCs w:val="20"/>
        </w:rPr>
        <w:t xml:space="preserve">mechanism of abuse-deterrence </w:t>
      </w:r>
      <w:r>
        <w:rPr>
          <w:rFonts w:ascii="Arial" w:hAnsi="Arial" w:cs="Arial"/>
          <w:bCs/>
          <w:sz w:val="20"/>
          <w:szCs w:val="20"/>
        </w:rPr>
        <w:t>similar to that of</w:t>
      </w:r>
      <w:r w:rsidRPr="00E446F8">
        <w:rPr>
          <w:rFonts w:ascii="Arial" w:hAnsi="Arial" w:cs="Arial"/>
          <w:bCs/>
          <w:sz w:val="20"/>
          <w:szCs w:val="20"/>
        </w:rPr>
        <w:t xml:space="preserve"> </w:t>
      </w:r>
      <w:proofErr w:type="spellStart"/>
      <w:r w:rsidRPr="00E446F8">
        <w:rPr>
          <w:rFonts w:ascii="Arial" w:hAnsi="Arial" w:cs="Arial"/>
          <w:bCs/>
          <w:sz w:val="20"/>
          <w:szCs w:val="20"/>
        </w:rPr>
        <w:t>Embeda</w:t>
      </w:r>
      <w:proofErr w:type="spellEnd"/>
      <w:r w:rsidRPr="00E446F8">
        <w:rPr>
          <w:rFonts w:ascii="Arial" w:hAnsi="Arial" w:cs="Arial"/>
          <w:bCs/>
          <w:sz w:val="20"/>
          <w:szCs w:val="20"/>
          <w:vertAlign w:val="superscript"/>
        </w:rPr>
        <w:t>®</w:t>
      </w:r>
      <w:r w:rsidRPr="00E446F8">
        <w:rPr>
          <w:rFonts w:ascii="Arial" w:hAnsi="Arial" w:cs="Arial"/>
          <w:bCs/>
          <w:sz w:val="20"/>
          <w:szCs w:val="20"/>
        </w:rPr>
        <w:t xml:space="preserve"> (morphine sulfate</w:t>
      </w:r>
      <w:r w:rsidR="004A4272">
        <w:rPr>
          <w:rFonts w:ascii="Arial" w:hAnsi="Arial" w:cs="Arial"/>
          <w:bCs/>
          <w:sz w:val="20"/>
          <w:szCs w:val="20"/>
        </w:rPr>
        <w:t>/</w:t>
      </w:r>
      <w:r w:rsidRPr="00E446F8">
        <w:rPr>
          <w:rFonts w:ascii="Arial" w:hAnsi="Arial" w:cs="Arial"/>
          <w:bCs/>
          <w:sz w:val="20"/>
          <w:szCs w:val="20"/>
        </w:rPr>
        <w:t>naltrexone extended-release) capsules; both capsules contain pellets composed of an opioid agonist with an opioid antagonist sequestered in the core of each pellet.</w:t>
      </w:r>
      <w:r w:rsidR="00E23D7F">
        <w:rPr>
          <w:rFonts w:ascii="Arial" w:hAnsi="Arial" w:cs="Arial"/>
          <w:bCs/>
          <w:sz w:val="20"/>
          <w:szCs w:val="20"/>
          <w:vertAlign w:val="superscript"/>
        </w:rPr>
        <w:t>5</w:t>
      </w:r>
    </w:p>
    <w:p w:rsidR="00857F09" w:rsidRDefault="00857F09" w:rsidP="00E212A9">
      <w:pPr>
        <w:pStyle w:val="NoSpacing"/>
        <w:rPr>
          <w:rFonts w:ascii="Arial" w:hAnsi="Arial" w:cs="Arial"/>
          <w:b/>
          <w:sz w:val="20"/>
          <w:szCs w:val="20"/>
          <w:u w:val="single"/>
        </w:rPr>
      </w:pPr>
    </w:p>
    <w:p w:rsidR="00857F09" w:rsidRDefault="00E446F8" w:rsidP="00E212A9">
      <w:pPr>
        <w:pStyle w:val="NoSpacing"/>
        <w:rPr>
          <w:rFonts w:ascii="Arial" w:hAnsi="Arial" w:cs="Arial"/>
          <w:bCs/>
          <w:sz w:val="20"/>
          <w:szCs w:val="20"/>
        </w:rPr>
      </w:pPr>
      <w:r w:rsidRPr="00E446F8">
        <w:rPr>
          <w:rFonts w:ascii="Arial" w:hAnsi="Arial" w:cs="Arial"/>
          <w:sz w:val="20"/>
          <w:szCs w:val="20"/>
        </w:rPr>
        <w:t xml:space="preserve">In addition to </w:t>
      </w:r>
      <w:r w:rsidRPr="00D6669C">
        <w:rPr>
          <w:rFonts w:ascii="Arial" w:hAnsi="Arial" w:cs="Arial"/>
          <w:i/>
          <w:sz w:val="20"/>
          <w:szCs w:val="20"/>
        </w:rPr>
        <w:t>in vitro</w:t>
      </w:r>
      <w:r w:rsidRPr="00E446F8">
        <w:rPr>
          <w:rFonts w:ascii="Arial" w:hAnsi="Arial" w:cs="Arial"/>
          <w:sz w:val="20"/>
          <w:szCs w:val="20"/>
        </w:rPr>
        <w:t xml:space="preserve"> manipulation and extraction studies</w:t>
      </w:r>
      <w:r>
        <w:rPr>
          <w:rFonts w:ascii="Arial" w:hAnsi="Arial" w:cs="Arial"/>
          <w:sz w:val="20"/>
          <w:szCs w:val="20"/>
        </w:rPr>
        <w:t xml:space="preserve">,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extended-release) was evaluated in clinical abuse potential studies for both the oral and intranasal routes. In the oral clinical abuse pot</w:t>
      </w:r>
      <w:r w:rsidR="00D36FC0">
        <w:rPr>
          <w:rFonts w:ascii="Arial" w:hAnsi="Arial" w:cs="Arial"/>
          <w:bCs/>
          <w:sz w:val="20"/>
          <w:szCs w:val="20"/>
        </w:rPr>
        <w:t>ential study</w:t>
      </w:r>
      <w:r w:rsidR="000D4142">
        <w:rPr>
          <w:rFonts w:ascii="Arial" w:hAnsi="Arial" w:cs="Arial"/>
          <w:bCs/>
          <w:sz w:val="20"/>
          <w:szCs w:val="20"/>
        </w:rPr>
        <w:t>, drug liking</w:t>
      </w:r>
      <w:r w:rsidR="00D6669C">
        <w:rPr>
          <w:rFonts w:ascii="Arial" w:hAnsi="Arial" w:cs="Arial"/>
          <w:bCs/>
          <w:sz w:val="20"/>
          <w:szCs w:val="20"/>
        </w:rPr>
        <w:t>, drug high,</w:t>
      </w:r>
      <w:r w:rsidR="000D4142">
        <w:rPr>
          <w:rFonts w:ascii="Arial" w:hAnsi="Arial" w:cs="Arial"/>
          <w:bCs/>
          <w:sz w:val="20"/>
          <w:szCs w:val="20"/>
        </w:rPr>
        <w:t xml:space="preserve"> and willingness to take drug again scores for both crushed and intact </w:t>
      </w:r>
      <w:proofErr w:type="spellStart"/>
      <w:r w:rsidR="000D4142" w:rsidRPr="00E21213">
        <w:rPr>
          <w:rFonts w:ascii="Arial" w:hAnsi="Arial" w:cs="Arial"/>
          <w:bCs/>
          <w:sz w:val="20"/>
          <w:szCs w:val="20"/>
        </w:rPr>
        <w:t>Troxyca</w:t>
      </w:r>
      <w:proofErr w:type="spellEnd"/>
      <w:r w:rsidR="000D4142">
        <w:rPr>
          <w:rFonts w:ascii="Arial" w:hAnsi="Arial" w:cs="Arial"/>
          <w:bCs/>
          <w:sz w:val="20"/>
          <w:szCs w:val="20"/>
          <w:vertAlign w:val="superscript"/>
        </w:rPr>
        <w:t>®</w:t>
      </w:r>
      <w:r w:rsidR="000D4142" w:rsidRPr="00320E3D">
        <w:rPr>
          <w:rFonts w:ascii="Arial" w:hAnsi="Arial" w:cs="Arial"/>
          <w:bCs/>
          <w:sz w:val="20"/>
          <w:szCs w:val="20"/>
        </w:rPr>
        <w:t xml:space="preserve"> ER</w:t>
      </w:r>
      <w:r w:rsidR="000D4142">
        <w:rPr>
          <w:rFonts w:ascii="Arial" w:hAnsi="Arial" w:cs="Arial"/>
          <w:bCs/>
          <w:sz w:val="20"/>
          <w:szCs w:val="20"/>
        </w:rPr>
        <w:t xml:space="preserve"> (</w:t>
      </w:r>
      <w:r w:rsidR="000A09E6">
        <w:rPr>
          <w:rFonts w:ascii="Arial" w:hAnsi="Arial" w:cs="Arial"/>
          <w:bCs/>
          <w:sz w:val="20"/>
          <w:szCs w:val="20"/>
        </w:rPr>
        <w:t>oxycodone/naltrexone</w:t>
      </w:r>
      <w:r w:rsidR="000D4142" w:rsidRPr="00E54689">
        <w:rPr>
          <w:rFonts w:ascii="Arial" w:hAnsi="Arial" w:cs="Arial"/>
          <w:bCs/>
          <w:sz w:val="20"/>
          <w:szCs w:val="20"/>
        </w:rPr>
        <w:t xml:space="preserve"> </w:t>
      </w:r>
      <w:r w:rsidR="000D4142">
        <w:rPr>
          <w:rFonts w:ascii="Arial" w:hAnsi="Arial" w:cs="Arial"/>
          <w:bCs/>
          <w:sz w:val="20"/>
          <w:szCs w:val="20"/>
        </w:rPr>
        <w:t>extended-release) were significantly lower than for crushed oxycodone immediate-release (IR).</w:t>
      </w:r>
      <w:r w:rsidR="003B4259">
        <w:rPr>
          <w:rFonts w:ascii="Arial" w:hAnsi="Arial" w:cs="Arial"/>
          <w:bCs/>
          <w:sz w:val="20"/>
          <w:szCs w:val="20"/>
          <w:vertAlign w:val="superscript"/>
        </w:rPr>
        <w:t>6</w:t>
      </w:r>
      <w:r w:rsidR="000D4142">
        <w:rPr>
          <w:rFonts w:ascii="Arial" w:hAnsi="Arial" w:cs="Arial"/>
          <w:bCs/>
          <w:sz w:val="20"/>
          <w:szCs w:val="20"/>
        </w:rPr>
        <w:t xml:space="preserve"> In the intranasal clinical abuse potential study, drug liking</w:t>
      </w:r>
      <w:r w:rsidR="00D6669C">
        <w:rPr>
          <w:rFonts w:ascii="Arial" w:hAnsi="Arial" w:cs="Arial"/>
          <w:bCs/>
          <w:sz w:val="20"/>
          <w:szCs w:val="20"/>
        </w:rPr>
        <w:t>, drug high,</w:t>
      </w:r>
      <w:r w:rsidR="000D4142">
        <w:rPr>
          <w:rFonts w:ascii="Arial" w:hAnsi="Arial" w:cs="Arial"/>
          <w:bCs/>
          <w:sz w:val="20"/>
          <w:szCs w:val="20"/>
        </w:rPr>
        <w:t xml:space="preserve"> and willingness to take drug again scores for crushed </w:t>
      </w:r>
      <w:proofErr w:type="spellStart"/>
      <w:r w:rsidR="000D4142" w:rsidRPr="00E21213">
        <w:rPr>
          <w:rFonts w:ascii="Arial" w:hAnsi="Arial" w:cs="Arial"/>
          <w:bCs/>
          <w:sz w:val="20"/>
          <w:szCs w:val="20"/>
        </w:rPr>
        <w:t>Troxyca</w:t>
      </w:r>
      <w:proofErr w:type="spellEnd"/>
      <w:r w:rsidR="000D4142">
        <w:rPr>
          <w:rFonts w:ascii="Arial" w:hAnsi="Arial" w:cs="Arial"/>
          <w:bCs/>
          <w:sz w:val="20"/>
          <w:szCs w:val="20"/>
          <w:vertAlign w:val="superscript"/>
        </w:rPr>
        <w:t>®</w:t>
      </w:r>
      <w:r w:rsidR="000D4142" w:rsidRPr="00320E3D">
        <w:rPr>
          <w:rFonts w:ascii="Arial" w:hAnsi="Arial" w:cs="Arial"/>
          <w:bCs/>
          <w:sz w:val="20"/>
          <w:szCs w:val="20"/>
        </w:rPr>
        <w:t xml:space="preserve"> ER</w:t>
      </w:r>
      <w:r w:rsidR="000D4142">
        <w:rPr>
          <w:rFonts w:ascii="Arial" w:hAnsi="Arial" w:cs="Arial"/>
          <w:bCs/>
          <w:sz w:val="20"/>
          <w:szCs w:val="20"/>
        </w:rPr>
        <w:t xml:space="preserve"> (</w:t>
      </w:r>
      <w:r w:rsidR="000A09E6">
        <w:rPr>
          <w:rFonts w:ascii="Arial" w:hAnsi="Arial" w:cs="Arial"/>
          <w:bCs/>
          <w:sz w:val="20"/>
          <w:szCs w:val="20"/>
        </w:rPr>
        <w:t>oxycodone/naltrexone</w:t>
      </w:r>
      <w:r w:rsidR="000D4142" w:rsidRPr="00E54689">
        <w:rPr>
          <w:rFonts w:ascii="Arial" w:hAnsi="Arial" w:cs="Arial"/>
          <w:bCs/>
          <w:sz w:val="20"/>
          <w:szCs w:val="20"/>
        </w:rPr>
        <w:t xml:space="preserve"> </w:t>
      </w:r>
      <w:r w:rsidR="000D4142">
        <w:rPr>
          <w:rFonts w:ascii="Arial" w:hAnsi="Arial" w:cs="Arial"/>
          <w:bCs/>
          <w:sz w:val="20"/>
          <w:szCs w:val="20"/>
        </w:rPr>
        <w:t>extended-release) were significantly lower than for crushed oxycodone IR.</w:t>
      </w:r>
      <w:r w:rsidR="003B4259">
        <w:rPr>
          <w:rFonts w:ascii="Arial" w:hAnsi="Arial" w:cs="Arial"/>
          <w:bCs/>
          <w:sz w:val="20"/>
          <w:szCs w:val="20"/>
          <w:vertAlign w:val="superscript"/>
        </w:rPr>
        <w:t>7</w:t>
      </w:r>
      <w:r w:rsidR="000D4142">
        <w:rPr>
          <w:rFonts w:ascii="Arial" w:hAnsi="Arial" w:cs="Arial"/>
          <w:bCs/>
          <w:sz w:val="20"/>
          <w:szCs w:val="20"/>
        </w:rPr>
        <w:t xml:space="preserve"> In a simulated intravenous abuse potential study, drug liking scores and scores for feeling high on the drug for simulated crushed </w:t>
      </w:r>
      <w:proofErr w:type="spellStart"/>
      <w:r w:rsidR="000D4142" w:rsidRPr="00E21213">
        <w:rPr>
          <w:rFonts w:ascii="Arial" w:hAnsi="Arial" w:cs="Arial"/>
          <w:bCs/>
          <w:sz w:val="20"/>
          <w:szCs w:val="20"/>
        </w:rPr>
        <w:t>Troxyca</w:t>
      </w:r>
      <w:proofErr w:type="spellEnd"/>
      <w:r w:rsidR="000D4142">
        <w:rPr>
          <w:rFonts w:ascii="Arial" w:hAnsi="Arial" w:cs="Arial"/>
          <w:bCs/>
          <w:sz w:val="20"/>
          <w:szCs w:val="20"/>
          <w:vertAlign w:val="superscript"/>
        </w:rPr>
        <w:t>®</w:t>
      </w:r>
      <w:r w:rsidR="000D4142" w:rsidRPr="00320E3D">
        <w:rPr>
          <w:rFonts w:ascii="Arial" w:hAnsi="Arial" w:cs="Arial"/>
          <w:bCs/>
          <w:sz w:val="20"/>
          <w:szCs w:val="20"/>
        </w:rPr>
        <w:t xml:space="preserve"> ER</w:t>
      </w:r>
      <w:r w:rsidR="000D4142">
        <w:rPr>
          <w:rFonts w:ascii="Arial" w:hAnsi="Arial" w:cs="Arial"/>
          <w:bCs/>
          <w:sz w:val="20"/>
          <w:szCs w:val="20"/>
        </w:rPr>
        <w:t xml:space="preserve"> (</w:t>
      </w:r>
      <w:r w:rsidR="000A09E6">
        <w:rPr>
          <w:rFonts w:ascii="Arial" w:hAnsi="Arial" w:cs="Arial"/>
          <w:bCs/>
          <w:sz w:val="20"/>
          <w:szCs w:val="20"/>
        </w:rPr>
        <w:t>oxycodone/naltrexone</w:t>
      </w:r>
      <w:r w:rsidR="000D4142" w:rsidRPr="00E54689">
        <w:rPr>
          <w:rFonts w:ascii="Arial" w:hAnsi="Arial" w:cs="Arial"/>
          <w:bCs/>
          <w:sz w:val="20"/>
          <w:szCs w:val="20"/>
        </w:rPr>
        <w:t xml:space="preserve"> </w:t>
      </w:r>
      <w:r w:rsidR="000D4142">
        <w:rPr>
          <w:rFonts w:ascii="Arial" w:hAnsi="Arial" w:cs="Arial"/>
          <w:bCs/>
          <w:sz w:val="20"/>
          <w:szCs w:val="20"/>
        </w:rPr>
        <w:t>extended-release) were significantly lower than for intravenous oxycodone</w:t>
      </w:r>
      <w:r w:rsidR="00DF75F1">
        <w:rPr>
          <w:rFonts w:ascii="Arial" w:hAnsi="Arial" w:cs="Arial"/>
          <w:bCs/>
          <w:sz w:val="20"/>
          <w:szCs w:val="20"/>
        </w:rPr>
        <w:t>.</w:t>
      </w:r>
      <w:r w:rsidR="000D4142">
        <w:rPr>
          <w:rFonts w:ascii="Arial" w:hAnsi="Arial" w:cs="Arial"/>
          <w:bCs/>
          <w:sz w:val="20"/>
          <w:szCs w:val="20"/>
        </w:rPr>
        <w:t xml:space="preserve"> However, it is </w:t>
      </w:r>
      <w:r w:rsidR="00DF75F1">
        <w:rPr>
          <w:rFonts w:ascii="Arial" w:hAnsi="Arial" w:cs="Arial"/>
          <w:bCs/>
          <w:sz w:val="20"/>
          <w:szCs w:val="20"/>
        </w:rPr>
        <w:t>unknown</w:t>
      </w:r>
      <w:r w:rsidR="000D4142">
        <w:rPr>
          <w:rFonts w:ascii="Arial" w:hAnsi="Arial" w:cs="Arial"/>
          <w:bCs/>
          <w:sz w:val="20"/>
          <w:szCs w:val="20"/>
        </w:rPr>
        <w:t xml:space="preserve"> whether the results of </w:t>
      </w:r>
      <w:r w:rsidR="00DF75F1">
        <w:rPr>
          <w:rFonts w:ascii="Arial" w:hAnsi="Arial" w:cs="Arial"/>
          <w:bCs/>
          <w:sz w:val="20"/>
          <w:szCs w:val="20"/>
        </w:rPr>
        <w:t>the</w:t>
      </w:r>
      <w:r w:rsidR="000D4142">
        <w:rPr>
          <w:rFonts w:ascii="Arial" w:hAnsi="Arial" w:cs="Arial"/>
          <w:bCs/>
          <w:sz w:val="20"/>
          <w:szCs w:val="20"/>
        </w:rPr>
        <w:t xml:space="preserve"> study simulating intravenous abuse potential truly predict a reduction in</w:t>
      </w:r>
      <w:r w:rsidR="00DF75F1">
        <w:rPr>
          <w:rFonts w:ascii="Arial" w:hAnsi="Arial" w:cs="Arial"/>
          <w:bCs/>
          <w:sz w:val="20"/>
          <w:szCs w:val="20"/>
        </w:rPr>
        <w:t xml:space="preserve"> abuse by the intravenous route</w:t>
      </w:r>
      <w:r w:rsidR="009A2C95">
        <w:rPr>
          <w:rFonts w:ascii="Arial" w:hAnsi="Arial" w:cs="Arial"/>
          <w:bCs/>
          <w:sz w:val="20"/>
          <w:szCs w:val="20"/>
        </w:rPr>
        <w:t xml:space="preserve">. </w:t>
      </w:r>
      <w:r w:rsidR="009A2C95" w:rsidRPr="009A2C95">
        <w:rPr>
          <w:rFonts w:ascii="Arial" w:hAnsi="Arial" w:cs="Arial"/>
          <w:sz w:val="20"/>
          <w:szCs w:val="20"/>
        </w:rPr>
        <w:t xml:space="preserve">As it becomes available, postmarketing data may provide more information on the abuse liability of </w:t>
      </w:r>
      <w:proofErr w:type="spellStart"/>
      <w:r w:rsidR="009A2C95" w:rsidRPr="009A2C95">
        <w:rPr>
          <w:rFonts w:ascii="Arial" w:hAnsi="Arial" w:cs="Arial"/>
          <w:sz w:val="20"/>
          <w:szCs w:val="20"/>
        </w:rPr>
        <w:t>Troxyca</w:t>
      </w:r>
      <w:proofErr w:type="spellEnd"/>
      <w:r w:rsidR="009A2C95" w:rsidRPr="009A2C95">
        <w:rPr>
          <w:rFonts w:ascii="Arial" w:hAnsi="Arial" w:cs="Arial"/>
          <w:sz w:val="20"/>
          <w:szCs w:val="20"/>
          <w:vertAlign w:val="superscript"/>
        </w:rPr>
        <w:t>®</w:t>
      </w:r>
      <w:r w:rsidR="009A2C95" w:rsidRPr="009A2C95">
        <w:rPr>
          <w:rFonts w:ascii="Arial" w:hAnsi="Arial" w:cs="Arial"/>
          <w:sz w:val="20"/>
          <w:szCs w:val="20"/>
        </w:rPr>
        <w:t xml:space="preserve"> ER (</w:t>
      </w:r>
      <w:r w:rsidR="000A09E6">
        <w:rPr>
          <w:rFonts w:ascii="Arial" w:hAnsi="Arial" w:cs="Arial"/>
          <w:bCs/>
          <w:sz w:val="20"/>
          <w:szCs w:val="20"/>
        </w:rPr>
        <w:t>oxycodone/naltrexone</w:t>
      </w:r>
      <w:r w:rsidR="009A2C95" w:rsidRPr="009A2C95">
        <w:rPr>
          <w:rFonts w:ascii="Arial" w:hAnsi="Arial" w:cs="Arial"/>
          <w:bCs/>
          <w:sz w:val="20"/>
          <w:szCs w:val="20"/>
        </w:rPr>
        <w:t xml:space="preserve"> extended-release</w:t>
      </w:r>
      <w:r w:rsidR="009A2C95" w:rsidRPr="009A2C95">
        <w:rPr>
          <w:rFonts w:ascii="Arial" w:hAnsi="Arial" w:cs="Arial"/>
          <w:sz w:val="20"/>
          <w:szCs w:val="20"/>
        </w:rPr>
        <w:t>)</w:t>
      </w:r>
      <w:r w:rsidR="00DF75F1" w:rsidRPr="009A2C95">
        <w:rPr>
          <w:rFonts w:ascii="Arial" w:hAnsi="Arial" w:cs="Arial"/>
          <w:bCs/>
          <w:sz w:val="20"/>
          <w:szCs w:val="20"/>
        </w:rPr>
        <w:t>.</w:t>
      </w:r>
      <w:r w:rsidR="00DF75F1" w:rsidRPr="009A2C95">
        <w:rPr>
          <w:rFonts w:ascii="Arial" w:hAnsi="Arial" w:cs="Arial"/>
          <w:bCs/>
          <w:sz w:val="20"/>
          <w:szCs w:val="20"/>
          <w:vertAlign w:val="superscript"/>
        </w:rPr>
        <w:t>2</w:t>
      </w:r>
      <w:proofErr w:type="gramStart"/>
      <w:r w:rsidR="003B4259">
        <w:rPr>
          <w:rFonts w:ascii="Arial" w:hAnsi="Arial" w:cs="Arial"/>
          <w:bCs/>
          <w:sz w:val="20"/>
          <w:szCs w:val="20"/>
          <w:vertAlign w:val="superscript"/>
        </w:rPr>
        <w:t>,8</w:t>
      </w:r>
      <w:proofErr w:type="gramEnd"/>
    </w:p>
    <w:p w:rsidR="006D6556" w:rsidRDefault="006D6556" w:rsidP="00E212A9">
      <w:pPr>
        <w:pStyle w:val="NoSpacing"/>
        <w:rPr>
          <w:rFonts w:ascii="Arial" w:hAnsi="Arial" w:cs="Arial"/>
          <w:b/>
          <w:sz w:val="20"/>
          <w:szCs w:val="20"/>
          <w:u w:val="single"/>
        </w:rPr>
      </w:pPr>
    </w:p>
    <w:p w:rsidR="00D74B0B" w:rsidRDefault="00AB342E" w:rsidP="00E212A9">
      <w:pPr>
        <w:pStyle w:val="NoSpacing"/>
        <w:rPr>
          <w:rFonts w:ascii="Arial" w:hAnsi="Arial" w:cs="Arial"/>
          <w:sz w:val="20"/>
          <w:szCs w:val="20"/>
        </w:rPr>
      </w:pPr>
      <w:r>
        <w:rPr>
          <w:rFonts w:ascii="Arial" w:hAnsi="Arial" w:cs="Arial"/>
          <w:b/>
          <w:sz w:val="20"/>
          <w:szCs w:val="20"/>
          <w:u w:val="single"/>
        </w:rPr>
        <w:t>Reference Data</w:t>
      </w:r>
    </w:p>
    <w:p w:rsidR="00D74B0B" w:rsidRDefault="00D74B0B" w:rsidP="00D74B0B">
      <w:pPr>
        <w:spacing w:after="0" w:line="240" w:lineRule="auto"/>
        <w:rPr>
          <w:rFonts w:ascii="Arial" w:hAnsi="Arial" w:cs="Arial"/>
          <w:sz w:val="20"/>
          <w:szCs w:val="20"/>
        </w:rPr>
      </w:pP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Pr>
          <w:rFonts w:ascii="Arial" w:hAnsi="Arial" w:cs="Arial"/>
          <w:bCs/>
          <w:sz w:val="20"/>
          <w:szCs w:val="20"/>
        </w:rPr>
        <w:t xml:space="preserve"> extended-release)</w:t>
      </w:r>
      <w:r w:rsidRPr="00320E3D">
        <w:rPr>
          <w:rFonts w:ascii="Arial" w:hAnsi="Arial" w:cs="Arial"/>
          <w:bCs/>
          <w:sz w:val="20"/>
          <w:szCs w:val="20"/>
        </w:rPr>
        <w:t xml:space="preserve"> is a combination </w:t>
      </w:r>
      <w:r>
        <w:rPr>
          <w:rFonts w:ascii="Arial" w:hAnsi="Arial" w:cs="Arial"/>
          <w:bCs/>
          <w:sz w:val="20"/>
          <w:szCs w:val="20"/>
        </w:rPr>
        <w:t xml:space="preserve">of oxycodone hydrochloride, an opioid agonist, and naltrexone hydrochloride, an </w:t>
      </w:r>
      <w:r w:rsidRPr="00320E3D">
        <w:rPr>
          <w:rFonts w:ascii="Arial" w:hAnsi="Arial" w:cs="Arial"/>
          <w:bCs/>
          <w:sz w:val="20"/>
          <w:szCs w:val="20"/>
        </w:rPr>
        <w:t>opioid antagonist</w:t>
      </w:r>
      <w:r>
        <w:rPr>
          <w:rFonts w:ascii="Arial" w:hAnsi="Arial" w:cs="Arial"/>
          <w:bCs/>
          <w:sz w:val="20"/>
          <w:szCs w:val="20"/>
        </w:rPr>
        <w:t>,</w:t>
      </w:r>
      <w:r w:rsidRPr="00320E3D">
        <w:rPr>
          <w:rFonts w:ascii="Arial" w:hAnsi="Arial" w:cs="Arial"/>
          <w:bCs/>
          <w:sz w:val="20"/>
          <w:szCs w:val="20"/>
        </w:rPr>
        <w:t xml:space="preserve"> </w:t>
      </w:r>
      <w:r>
        <w:rPr>
          <w:rFonts w:ascii="Arial" w:hAnsi="Arial" w:cs="Arial"/>
          <w:bCs/>
          <w:sz w:val="20"/>
          <w:szCs w:val="20"/>
        </w:rPr>
        <w:t>and is FDA-approved</w:t>
      </w:r>
      <w:r w:rsidRPr="00320E3D">
        <w:rPr>
          <w:rFonts w:ascii="Arial" w:hAnsi="Arial" w:cs="Arial"/>
          <w:bCs/>
          <w:sz w:val="20"/>
          <w:szCs w:val="20"/>
        </w:rPr>
        <w:t xml:space="preserve"> for the management of pain </w:t>
      </w:r>
      <w:r>
        <w:rPr>
          <w:rFonts w:ascii="Arial" w:hAnsi="Arial" w:cs="Arial"/>
          <w:bCs/>
          <w:sz w:val="20"/>
          <w:szCs w:val="20"/>
        </w:rPr>
        <w:t xml:space="preserve">that is </w:t>
      </w:r>
      <w:r w:rsidRPr="00320E3D">
        <w:rPr>
          <w:rFonts w:ascii="Arial" w:hAnsi="Arial" w:cs="Arial"/>
          <w:bCs/>
          <w:sz w:val="20"/>
          <w:szCs w:val="20"/>
        </w:rPr>
        <w:t>severe enough to require daily, around-the-clock, long-term opioid treatment</w:t>
      </w:r>
      <w:r>
        <w:rPr>
          <w:rFonts w:ascii="Arial" w:hAnsi="Arial" w:cs="Arial"/>
          <w:bCs/>
          <w:sz w:val="20"/>
          <w:szCs w:val="20"/>
        </w:rPr>
        <w:t>,</w:t>
      </w:r>
      <w:r w:rsidRPr="00320E3D">
        <w:rPr>
          <w:rFonts w:ascii="Arial" w:hAnsi="Arial" w:cs="Arial"/>
          <w:bCs/>
          <w:sz w:val="20"/>
          <w:szCs w:val="20"/>
        </w:rPr>
        <w:t xml:space="preserve"> and for which alternative treatment options are inadequate</w:t>
      </w:r>
      <w:r>
        <w:rPr>
          <w:rFonts w:ascii="Arial" w:hAnsi="Arial" w:cs="Arial"/>
          <w:bCs/>
          <w:sz w:val="20"/>
          <w:szCs w:val="20"/>
        </w:rPr>
        <w:t xml:space="preserve">. </w:t>
      </w:r>
      <w:r w:rsidRPr="00320E3D">
        <w:rPr>
          <w:rFonts w:ascii="Arial" w:hAnsi="Arial" w:cs="Arial"/>
          <w:bCs/>
          <w:sz w:val="20"/>
          <w:szCs w:val="20"/>
        </w:rPr>
        <w:t>This agent, like other long-acting opioids, should be reserved for use in patients for whom alternative treatment options (e.g., non-opioid analgesics or immediate-release opioids) are ineffective, not tolerated, or would be otherwise inadequate to provide sufficient management of pain</w:t>
      </w:r>
      <w:r w:rsidR="00D6669C">
        <w:rPr>
          <w:rFonts w:ascii="Arial" w:hAnsi="Arial" w:cs="Arial"/>
          <w:bCs/>
          <w:sz w:val="20"/>
          <w:szCs w:val="20"/>
        </w:rPr>
        <w:t>. I</w:t>
      </w:r>
      <w:r>
        <w:rPr>
          <w:rFonts w:ascii="Arial" w:hAnsi="Arial" w:cs="Arial"/>
          <w:bCs/>
          <w:sz w:val="20"/>
          <w:szCs w:val="20"/>
        </w:rPr>
        <w:t xml:space="preserve">t is not indicated for use on an as-needed basis. </w:t>
      </w:r>
      <w:r w:rsidRPr="00D74B0B">
        <w:rPr>
          <w:rFonts w:ascii="Arial" w:hAnsi="Arial" w:cs="Arial"/>
          <w:sz w:val="20"/>
          <w:szCs w:val="20"/>
        </w:rPr>
        <w:t>The FDA has designated this drug a schedule II controlled substance due to the associated risks of addiction, abuse, and misuse, even at recommended treatment doses. Similar</w:t>
      </w:r>
      <w:r w:rsidR="00D6669C">
        <w:rPr>
          <w:rFonts w:ascii="Arial" w:hAnsi="Arial" w:cs="Arial"/>
          <w:sz w:val="20"/>
          <w:szCs w:val="20"/>
        </w:rPr>
        <w:t>ly</w:t>
      </w:r>
      <w:r w:rsidRPr="00D74B0B">
        <w:rPr>
          <w:rFonts w:ascii="Arial" w:hAnsi="Arial" w:cs="Arial"/>
          <w:sz w:val="20"/>
          <w:szCs w:val="20"/>
        </w:rPr>
        <w:t xml:space="preserve"> to other extended-release opioid analgesics, it is also associated with greater risks of overdose and death.</w:t>
      </w:r>
      <w:r w:rsidRPr="00D74B0B">
        <w:rPr>
          <w:rFonts w:ascii="Arial" w:hAnsi="Arial" w:cs="Arial"/>
          <w:sz w:val="20"/>
          <w:szCs w:val="20"/>
          <w:vertAlign w:val="superscript"/>
        </w:rPr>
        <w:t>1</w:t>
      </w:r>
    </w:p>
    <w:p w:rsidR="00D74B0B" w:rsidRDefault="00D74B0B" w:rsidP="00D74B0B">
      <w:pPr>
        <w:spacing w:after="0" w:line="240" w:lineRule="auto"/>
        <w:rPr>
          <w:rFonts w:ascii="Arial" w:hAnsi="Arial" w:cs="Arial"/>
          <w:sz w:val="20"/>
          <w:szCs w:val="20"/>
        </w:rPr>
      </w:pPr>
    </w:p>
    <w:p w:rsidR="00D74B0B" w:rsidRPr="002D003C" w:rsidRDefault="00D74B0B" w:rsidP="00D74B0B">
      <w:pPr>
        <w:autoSpaceDE w:val="0"/>
        <w:autoSpaceDN w:val="0"/>
        <w:spacing w:after="0" w:line="240" w:lineRule="auto"/>
        <w:rPr>
          <w:rFonts w:ascii="Arial" w:hAnsi="Arial" w:cs="Arial"/>
          <w:bCs/>
          <w:sz w:val="20"/>
          <w:szCs w:val="20"/>
          <w:vertAlign w:val="superscript"/>
        </w:rPr>
      </w:pP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 xml:space="preserve">extended-release) capsules contains pellets consisting of oxycodone hydrochloride and sequestered naltrexone hydrochloride at a ratio of 100:12. Oxycodone is a full opioid agonist and is relatively selective for the </w:t>
      </w:r>
      <w:r w:rsidRPr="00D74B0B">
        <w:rPr>
          <w:rFonts w:ascii="Arial" w:hAnsi="Arial" w:cs="Arial"/>
          <w:bCs/>
          <w:sz w:val="20"/>
          <w:szCs w:val="20"/>
        </w:rPr>
        <w:t xml:space="preserve">µ-opioid </w:t>
      </w:r>
      <w:r>
        <w:rPr>
          <w:rFonts w:ascii="Arial" w:hAnsi="Arial" w:cs="Arial"/>
          <w:bCs/>
          <w:sz w:val="20"/>
          <w:szCs w:val="20"/>
        </w:rPr>
        <w:t>receptor</w:t>
      </w:r>
      <w:r w:rsidR="004A4272">
        <w:rPr>
          <w:rFonts w:ascii="Arial" w:hAnsi="Arial" w:cs="Arial"/>
          <w:bCs/>
          <w:sz w:val="20"/>
          <w:szCs w:val="20"/>
        </w:rPr>
        <w:t>;</w:t>
      </w:r>
      <w:r>
        <w:rPr>
          <w:rFonts w:ascii="Arial" w:hAnsi="Arial" w:cs="Arial"/>
          <w:bCs/>
          <w:sz w:val="20"/>
          <w:szCs w:val="20"/>
        </w:rPr>
        <w:t xml:space="preserve"> although</w:t>
      </w:r>
      <w:r w:rsidR="004A4272">
        <w:rPr>
          <w:rFonts w:ascii="Arial" w:hAnsi="Arial" w:cs="Arial"/>
          <w:bCs/>
          <w:sz w:val="20"/>
          <w:szCs w:val="20"/>
        </w:rPr>
        <w:t>,</w:t>
      </w:r>
      <w:r>
        <w:rPr>
          <w:rFonts w:ascii="Arial" w:hAnsi="Arial" w:cs="Arial"/>
          <w:bCs/>
          <w:sz w:val="20"/>
          <w:szCs w:val="20"/>
        </w:rPr>
        <w:t xml:space="preserve"> it can bind to other opioid receptors at higher doses. The primary therapeutic action of oxycodone is analgesia; however, it may also re</w:t>
      </w:r>
      <w:r w:rsidR="00637CE9">
        <w:rPr>
          <w:rFonts w:ascii="Arial" w:hAnsi="Arial" w:cs="Arial"/>
          <w:bCs/>
          <w:sz w:val="20"/>
          <w:szCs w:val="20"/>
        </w:rPr>
        <w:t>sult in respiratory depression</w:t>
      </w:r>
      <w:r>
        <w:rPr>
          <w:rFonts w:ascii="Arial" w:hAnsi="Arial" w:cs="Arial"/>
          <w:bCs/>
          <w:sz w:val="20"/>
          <w:szCs w:val="20"/>
        </w:rPr>
        <w:t xml:space="preserve">, reduced gastrointestinal motility, </w:t>
      </w:r>
      <w:r w:rsidR="00637CE9">
        <w:rPr>
          <w:rFonts w:ascii="Arial" w:hAnsi="Arial" w:cs="Arial"/>
          <w:bCs/>
          <w:sz w:val="20"/>
          <w:szCs w:val="20"/>
        </w:rPr>
        <w:t>and changes in the circulatory, endocrine, and autonomic nervous systems.</w:t>
      </w:r>
      <w:r>
        <w:rPr>
          <w:rFonts w:ascii="Arial" w:hAnsi="Arial" w:cs="Arial"/>
          <w:bCs/>
          <w:sz w:val="20"/>
          <w:szCs w:val="20"/>
        </w:rPr>
        <w:t xml:space="preserve"> </w:t>
      </w:r>
      <w:r w:rsidRPr="00D74B0B">
        <w:rPr>
          <w:rFonts w:ascii="Arial" w:hAnsi="Arial" w:cs="Arial"/>
          <w:bCs/>
          <w:sz w:val="20"/>
          <w:szCs w:val="20"/>
        </w:rPr>
        <w:t xml:space="preserve">Naltrexone is a centrally-acting, µ-opioid antagonist that reverses the subjective and analgesic effects of </w:t>
      </w:r>
      <w:r w:rsidR="00D6669C" w:rsidRPr="00D74B0B">
        <w:rPr>
          <w:rFonts w:ascii="Arial" w:hAnsi="Arial" w:cs="Arial"/>
          <w:bCs/>
          <w:sz w:val="20"/>
          <w:szCs w:val="20"/>
        </w:rPr>
        <w:t>µ</w:t>
      </w:r>
      <w:r w:rsidRPr="00D74B0B">
        <w:rPr>
          <w:rFonts w:ascii="Arial" w:hAnsi="Arial" w:cs="Arial"/>
          <w:bCs/>
          <w:sz w:val="20"/>
          <w:szCs w:val="20"/>
        </w:rPr>
        <w:t>-opioid agonists by competitively binding at the µ-opioid receptors.</w:t>
      </w:r>
      <w:r w:rsidR="002D003C">
        <w:rPr>
          <w:rFonts w:ascii="Arial" w:hAnsi="Arial" w:cs="Arial"/>
          <w:bCs/>
          <w:sz w:val="20"/>
          <w:szCs w:val="20"/>
        </w:rPr>
        <w:t xml:space="preserve"> </w:t>
      </w:r>
      <w:r w:rsidR="002D003C" w:rsidRPr="00872CBA">
        <w:rPr>
          <w:rFonts w:ascii="Arial" w:hAnsi="Arial" w:cs="Arial"/>
          <w:sz w:val="20"/>
          <w:szCs w:val="20"/>
        </w:rPr>
        <w:t xml:space="preserve">When </w:t>
      </w:r>
      <w:proofErr w:type="spellStart"/>
      <w:r w:rsidR="002D003C" w:rsidRPr="00E21213">
        <w:rPr>
          <w:rFonts w:ascii="Arial" w:hAnsi="Arial" w:cs="Arial"/>
          <w:bCs/>
          <w:sz w:val="20"/>
          <w:szCs w:val="20"/>
        </w:rPr>
        <w:t>Troxyca</w:t>
      </w:r>
      <w:proofErr w:type="spellEnd"/>
      <w:r w:rsidR="002D003C">
        <w:rPr>
          <w:rFonts w:ascii="Arial" w:hAnsi="Arial" w:cs="Arial"/>
          <w:bCs/>
          <w:sz w:val="20"/>
          <w:szCs w:val="20"/>
          <w:vertAlign w:val="superscript"/>
        </w:rPr>
        <w:t>®</w:t>
      </w:r>
      <w:r w:rsidR="002D003C" w:rsidRPr="00320E3D">
        <w:rPr>
          <w:rFonts w:ascii="Arial" w:hAnsi="Arial" w:cs="Arial"/>
          <w:bCs/>
          <w:sz w:val="20"/>
          <w:szCs w:val="20"/>
        </w:rPr>
        <w:t xml:space="preserve"> ER</w:t>
      </w:r>
      <w:r w:rsidR="002D003C">
        <w:rPr>
          <w:rFonts w:ascii="Arial" w:hAnsi="Arial" w:cs="Arial"/>
          <w:bCs/>
          <w:sz w:val="20"/>
          <w:szCs w:val="20"/>
        </w:rPr>
        <w:t xml:space="preserve"> (</w:t>
      </w:r>
      <w:r w:rsidR="000A09E6">
        <w:rPr>
          <w:rFonts w:ascii="Arial" w:hAnsi="Arial" w:cs="Arial"/>
          <w:bCs/>
          <w:sz w:val="20"/>
          <w:szCs w:val="20"/>
        </w:rPr>
        <w:t>oxycodone/naltrexone</w:t>
      </w:r>
      <w:r w:rsidR="002D003C" w:rsidRPr="00E54689">
        <w:rPr>
          <w:rFonts w:ascii="Arial" w:hAnsi="Arial" w:cs="Arial"/>
          <w:bCs/>
          <w:sz w:val="20"/>
          <w:szCs w:val="20"/>
        </w:rPr>
        <w:t xml:space="preserve"> </w:t>
      </w:r>
      <w:r w:rsidR="002D003C">
        <w:rPr>
          <w:rFonts w:ascii="Arial" w:hAnsi="Arial" w:cs="Arial"/>
          <w:bCs/>
          <w:sz w:val="20"/>
          <w:szCs w:val="20"/>
        </w:rPr>
        <w:t>extended-release)</w:t>
      </w:r>
      <w:r w:rsidR="002D003C" w:rsidRPr="00872CBA">
        <w:rPr>
          <w:rFonts w:ascii="Arial" w:hAnsi="Arial" w:cs="Arial"/>
          <w:sz w:val="20"/>
          <w:szCs w:val="20"/>
        </w:rPr>
        <w:t xml:space="preserve"> is taken orally as directed, the </w:t>
      </w:r>
      <w:r w:rsidR="002D003C">
        <w:rPr>
          <w:rFonts w:ascii="Arial" w:hAnsi="Arial" w:cs="Arial"/>
          <w:sz w:val="20"/>
          <w:szCs w:val="20"/>
        </w:rPr>
        <w:t>oxycodone</w:t>
      </w:r>
      <w:r w:rsidR="002D003C" w:rsidRPr="00872CBA">
        <w:rPr>
          <w:rFonts w:ascii="Arial" w:hAnsi="Arial" w:cs="Arial"/>
          <w:sz w:val="20"/>
          <w:szCs w:val="20"/>
        </w:rPr>
        <w:t xml:space="preserve"> relieves pain while the sequestered naltrexone passes through the body with no clinical effect. However, if </w:t>
      </w:r>
      <w:proofErr w:type="spellStart"/>
      <w:r w:rsidR="002D003C" w:rsidRPr="00E21213">
        <w:rPr>
          <w:rFonts w:ascii="Arial" w:hAnsi="Arial" w:cs="Arial"/>
          <w:bCs/>
          <w:sz w:val="20"/>
          <w:szCs w:val="20"/>
        </w:rPr>
        <w:t>Troxyca</w:t>
      </w:r>
      <w:proofErr w:type="spellEnd"/>
      <w:r w:rsidR="002D003C">
        <w:rPr>
          <w:rFonts w:ascii="Arial" w:hAnsi="Arial" w:cs="Arial"/>
          <w:bCs/>
          <w:sz w:val="20"/>
          <w:szCs w:val="20"/>
          <w:vertAlign w:val="superscript"/>
        </w:rPr>
        <w:t>®</w:t>
      </w:r>
      <w:r w:rsidR="002D003C" w:rsidRPr="00320E3D">
        <w:rPr>
          <w:rFonts w:ascii="Arial" w:hAnsi="Arial" w:cs="Arial"/>
          <w:bCs/>
          <w:sz w:val="20"/>
          <w:szCs w:val="20"/>
        </w:rPr>
        <w:t xml:space="preserve"> ER</w:t>
      </w:r>
      <w:r w:rsidR="002D003C">
        <w:rPr>
          <w:rFonts w:ascii="Arial" w:hAnsi="Arial" w:cs="Arial"/>
          <w:bCs/>
          <w:sz w:val="20"/>
          <w:szCs w:val="20"/>
        </w:rPr>
        <w:t xml:space="preserve"> (</w:t>
      </w:r>
      <w:r w:rsidR="000A09E6">
        <w:rPr>
          <w:rFonts w:ascii="Arial" w:hAnsi="Arial" w:cs="Arial"/>
          <w:bCs/>
          <w:sz w:val="20"/>
          <w:szCs w:val="20"/>
        </w:rPr>
        <w:t>oxycodone/naltrexone</w:t>
      </w:r>
      <w:r w:rsidR="002D003C" w:rsidRPr="00E54689">
        <w:rPr>
          <w:rFonts w:ascii="Arial" w:hAnsi="Arial" w:cs="Arial"/>
          <w:bCs/>
          <w:sz w:val="20"/>
          <w:szCs w:val="20"/>
        </w:rPr>
        <w:t xml:space="preserve"> </w:t>
      </w:r>
      <w:r w:rsidR="002D003C">
        <w:rPr>
          <w:rFonts w:ascii="Arial" w:hAnsi="Arial" w:cs="Arial"/>
          <w:bCs/>
          <w:sz w:val="20"/>
          <w:szCs w:val="20"/>
        </w:rPr>
        <w:t xml:space="preserve">extended-release) </w:t>
      </w:r>
      <w:r w:rsidR="002D003C" w:rsidRPr="00872CBA">
        <w:rPr>
          <w:rFonts w:ascii="Arial" w:hAnsi="Arial" w:cs="Arial"/>
          <w:sz w:val="20"/>
          <w:szCs w:val="20"/>
        </w:rPr>
        <w:t>is crushed, chewed, or dissolved</w:t>
      </w:r>
      <w:r w:rsidR="002D003C">
        <w:rPr>
          <w:rFonts w:ascii="Arial" w:hAnsi="Arial" w:cs="Arial"/>
          <w:sz w:val="20"/>
          <w:szCs w:val="20"/>
        </w:rPr>
        <w:t>,</w:t>
      </w:r>
      <w:r w:rsidR="002D003C" w:rsidRPr="00872CBA">
        <w:rPr>
          <w:rFonts w:ascii="Arial" w:hAnsi="Arial" w:cs="Arial"/>
          <w:sz w:val="20"/>
          <w:szCs w:val="20"/>
        </w:rPr>
        <w:t xml:space="preserve"> up to 100% of the sequestered naltrexone is released, reversing the effects of </w:t>
      </w:r>
      <w:r w:rsidR="002D003C">
        <w:rPr>
          <w:rFonts w:ascii="Arial" w:hAnsi="Arial" w:cs="Arial"/>
          <w:sz w:val="20"/>
          <w:szCs w:val="20"/>
        </w:rPr>
        <w:t xml:space="preserve">oxycodone and </w:t>
      </w:r>
      <w:r w:rsidR="002D003C" w:rsidRPr="00872CBA">
        <w:rPr>
          <w:rFonts w:ascii="Arial" w:hAnsi="Arial" w:cs="Arial"/>
          <w:sz w:val="20"/>
          <w:szCs w:val="20"/>
        </w:rPr>
        <w:t>potentially pre</w:t>
      </w:r>
      <w:r w:rsidR="00E81533">
        <w:rPr>
          <w:rFonts w:ascii="Arial" w:hAnsi="Arial" w:cs="Arial"/>
          <w:sz w:val="20"/>
          <w:szCs w:val="20"/>
        </w:rPr>
        <w:t>cipitating withdrawal in opioid-</w:t>
      </w:r>
      <w:r w:rsidR="002D003C" w:rsidRPr="00872CBA">
        <w:rPr>
          <w:rFonts w:ascii="Arial" w:hAnsi="Arial" w:cs="Arial"/>
          <w:sz w:val="20"/>
          <w:szCs w:val="20"/>
        </w:rPr>
        <w:t>tolerant individuals. Due to the presence of talc as one of the product excipients, parenteral abuse can be expected to result in local tissue necrosis, infection, pulmonary granulomas, and increased risk of endocarditis and valvular heart injury.</w:t>
      </w:r>
      <w:r w:rsidR="002D003C">
        <w:rPr>
          <w:rFonts w:ascii="Arial" w:hAnsi="Arial" w:cs="Arial"/>
          <w:sz w:val="20"/>
          <w:szCs w:val="20"/>
          <w:vertAlign w:val="superscript"/>
        </w:rPr>
        <w:t>1</w:t>
      </w:r>
    </w:p>
    <w:p w:rsidR="00D74B0B" w:rsidRDefault="00D74B0B" w:rsidP="00D74B0B">
      <w:pPr>
        <w:autoSpaceDE w:val="0"/>
        <w:autoSpaceDN w:val="0"/>
        <w:spacing w:after="0" w:line="240" w:lineRule="auto"/>
        <w:rPr>
          <w:rFonts w:ascii="Arial" w:hAnsi="Arial" w:cs="Arial"/>
          <w:bCs/>
          <w:sz w:val="20"/>
          <w:szCs w:val="20"/>
        </w:rPr>
      </w:pPr>
    </w:p>
    <w:p w:rsidR="00D74B0B" w:rsidRPr="00A159C5" w:rsidRDefault="00D74B0B" w:rsidP="00D74B0B">
      <w:pPr>
        <w:autoSpaceDE w:val="0"/>
        <w:autoSpaceDN w:val="0"/>
        <w:spacing w:after="0" w:line="240" w:lineRule="auto"/>
        <w:rPr>
          <w:rFonts w:ascii="Arial" w:hAnsi="Arial" w:cs="Arial"/>
          <w:bCs/>
          <w:sz w:val="20"/>
          <w:szCs w:val="20"/>
        </w:rPr>
      </w:pP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extended-release) is the only ADF of oxycod</w:t>
      </w:r>
      <w:r w:rsidR="00E81533">
        <w:rPr>
          <w:rFonts w:ascii="Arial" w:hAnsi="Arial" w:cs="Arial"/>
          <w:bCs/>
          <w:sz w:val="20"/>
          <w:szCs w:val="20"/>
        </w:rPr>
        <w:t>one that has FDA-approved abuse-</w:t>
      </w:r>
      <w:r>
        <w:rPr>
          <w:rFonts w:ascii="Arial" w:hAnsi="Arial" w:cs="Arial"/>
          <w:bCs/>
          <w:sz w:val="20"/>
          <w:szCs w:val="20"/>
        </w:rPr>
        <w:t>reduction claims in the labeling for both oral and intranasal routes of abuse.</w:t>
      </w:r>
      <w:r>
        <w:rPr>
          <w:rFonts w:ascii="Arial" w:hAnsi="Arial" w:cs="Arial"/>
          <w:bCs/>
          <w:sz w:val="20"/>
          <w:szCs w:val="20"/>
          <w:vertAlign w:val="superscript"/>
        </w:rPr>
        <w:t>2</w:t>
      </w:r>
      <w:r>
        <w:rPr>
          <w:rFonts w:ascii="Arial" w:hAnsi="Arial" w:cs="Arial"/>
          <w:bCs/>
          <w:sz w:val="20"/>
          <w:szCs w:val="20"/>
        </w:rPr>
        <w:t xml:space="preserve"> </w:t>
      </w:r>
      <w:proofErr w:type="spellStart"/>
      <w:r w:rsidR="00285A55" w:rsidRPr="00E446F8">
        <w:rPr>
          <w:rFonts w:ascii="Arial" w:hAnsi="Arial" w:cs="Arial"/>
          <w:bCs/>
          <w:sz w:val="20"/>
          <w:szCs w:val="20"/>
        </w:rPr>
        <w:t>Troxyca</w:t>
      </w:r>
      <w:proofErr w:type="spellEnd"/>
      <w:r w:rsidR="00285A55" w:rsidRPr="00E446F8">
        <w:rPr>
          <w:rFonts w:ascii="Arial" w:hAnsi="Arial" w:cs="Arial"/>
          <w:bCs/>
          <w:sz w:val="20"/>
          <w:szCs w:val="20"/>
          <w:vertAlign w:val="superscript"/>
        </w:rPr>
        <w:t>®</w:t>
      </w:r>
      <w:r w:rsidR="00285A55" w:rsidRPr="00E446F8">
        <w:rPr>
          <w:rFonts w:ascii="Arial" w:hAnsi="Arial" w:cs="Arial"/>
          <w:bCs/>
          <w:sz w:val="20"/>
          <w:szCs w:val="20"/>
        </w:rPr>
        <w:t xml:space="preserve"> ER (</w:t>
      </w:r>
      <w:r w:rsidR="000A09E6">
        <w:rPr>
          <w:rFonts w:ascii="Arial" w:hAnsi="Arial" w:cs="Arial"/>
          <w:bCs/>
          <w:sz w:val="20"/>
          <w:szCs w:val="20"/>
        </w:rPr>
        <w:t>oxycodone/naltrexone</w:t>
      </w:r>
      <w:r w:rsidR="00E81533">
        <w:rPr>
          <w:rFonts w:ascii="Arial" w:hAnsi="Arial" w:cs="Arial"/>
          <w:bCs/>
          <w:sz w:val="20"/>
          <w:szCs w:val="20"/>
        </w:rPr>
        <w:t xml:space="preserve"> extended-release)</w:t>
      </w:r>
      <w:r w:rsidR="00285A55">
        <w:rPr>
          <w:rFonts w:ascii="Arial" w:hAnsi="Arial" w:cs="Arial"/>
          <w:bCs/>
          <w:sz w:val="20"/>
          <w:szCs w:val="20"/>
        </w:rPr>
        <w:t xml:space="preserve"> is only the second oral agent in an extended-release capsule formulation to utilize a sequestered core of the </w:t>
      </w:r>
      <w:r w:rsidR="00285A55" w:rsidRPr="00D74B0B">
        <w:rPr>
          <w:rFonts w:ascii="Arial" w:hAnsi="Arial" w:cs="Arial"/>
          <w:bCs/>
          <w:sz w:val="20"/>
          <w:szCs w:val="20"/>
        </w:rPr>
        <w:t>µ</w:t>
      </w:r>
      <w:r w:rsidR="00285A55">
        <w:rPr>
          <w:rFonts w:ascii="Arial" w:hAnsi="Arial" w:cs="Arial"/>
          <w:bCs/>
          <w:sz w:val="20"/>
          <w:szCs w:val="20"/>
        </w:rPr>
        <w:t xml:space="preserve">-opioid antagonist, naltrexone; the first to utilize this mechanism of abuse deterrence was </w:t>
      </w:r>
      <w:r w:rsidR="00285A55" w:rsidRPr="00E446F8">
        <w:rPr>
          <w:rFonts w:ascii="Arial" w:hAnsi="Arial" w:cs="Arial"/>
          <w:bCs/>
          <w:sz w:val="20"/>
          <w:szCs w:val="20"/>
        </w:rPr>
        <w:t>Embeda</w:t>
      </w:r>
      <w:r w:rsidR="00285A55" w:rsidRPr="00E446F8">
        <w:rPr>
          <w:rFonts w:ascii="Arial" w:hAnsi="Arial" w:cs="Arial"/>
          <w:bCs/>
          <w:sz w:val="20"/>
          <w:szCs w:val="20"/>
          <w:vertAlign w:val="superscript"/>
        </w:rPr>
        <w:t>®</w:t>
      </w:r>
      <w:r w:rsidR="00285A55" w:rsidRPr="00E446F8">
        <w:rPr>
          <w:rFonts w:ascii="Arial" w:hAnsi="Arial" w:cs="Arial"/>
          <w:bCs/>
          <w:sz w:val="20"/>
          <w:szCs w:val="20"/>
        </w:rPr>
        <w:t xml:space="preserve"> (morphine sulfate-naltrexone extended-release)</w:t>
      </w:r>
      <w:r w:rsidRPr="00E446F8">
        <w:rPr>
          <w:rFonts w:ascii="Arial" w:hAnsi="Arial" w:cs="Arial"/>
          <w:bCs/>
          <w:sz w:val="20"/>
          <w:szCs w:val="20"/>
        </w:rPr>
        <w:t>.</w:t>
      </w:r>
      <w:r w:rsidR="00EB195F">
        <w:rPr>
          <w:rFonts w:ascii="Arial" w:hAnsi="Arial" w:cs="Arial"/>
          <w:bCs/>
          <w:sz w:val="20"/>
          <w:szCs w:val="20"/>
          <w:vertAlign w:val="superscript"/>
        </w:rPr>
        <w:t>4</w:t>
      </w:r>
      <w:r w:rsidR="00A159C5">
        <w:rPr>
          <w:rFonts w:ascii="Arial" w:hAnsi="Arial" w:cs="Arial"/>
          <w:bCs/>
          <w:sz w:val="20"/>
          <w:szCs w:val="20"/>
        </w:rPr>
        <w:t xml:space="preserve"> </w:t>
      </w:r>
      <w:r w:rsidR="00A159C5" w:rsidRPr="00D84DF0">
        <w:rPr>
          <w:rFonts w:ascii="Arial" w:hAnsi="Arial" w:cs="Arial"/>
          <w:bCs/>
          <w:sz w:val="20"/>
          <w:szCs w:val="20"/>
        </w:rPr>
        <w:t>Other oxycodone formulations with FDA-app</w:t>
      </w:r>
      <w:r w:rsidR="00E81533">
        <w:rPr>
          <w:rFonts w:ascii="Arial" w:hAnsi="Arial" w:cs="Arial"/>
          <w:bCs/>
          <w:sz w:val="20"/>
          <w:szCs w:val="20"/>
        </w:rPr>
        <w:t>roved labeling describing abuse-</w:t>
      </w:r>
      <w:r w:rsidR="00A159C5" w:rsidRPr="00D84DF0">
        <w:rPr>
          <w:rFonts w:ascii="Arial" w:hAnsi="Arial" w:cs="Arial"/>
          <w:bCs/>
          <w:sz w:val="20"/>
          <w:szCs w:val="20"/>
        </w:rPr>
        <w:t>deterrent properties include OxyContin</w:t>
      </w:r>
      <w:r w:rsidR="00A159C5" w:rsidRPr="00D84DF0">
        <w:rPr>
          <w:rFonts w:ascii="Arial" w:hAnsi="Arial" w:cs="Arial"/>
          <w:bCs/>
          <w:sz w:val="20"/>
          <w:szCs w:val="20"/>
          <w:vertAlign w:val="superscript"/>
        </w:rPr>
        <w:t>®</w:t>
      </w:r>
      <w:r w:rsidR="00A159C5" w:rsidRPr="00D84DF0">
        <w:rPr>
          <w:rFonts w:ascii="Arial" w:hAnsi="Arial" w:cs="Arial"/>
          <w:bCs/>
          <w:sz w:val="20"/>
          <w:szCs w:val="20"/>
        </w:rPr>
        <w:t xml:space="preserve"> (oxycodone extended-release) tablets, </w:t>
      </w:r>
      <w:proofErr w:type="spellStart"/>
      <w:r w:rsidR="00A159C5" w:rsidRPr="00D84DF0">
        <w:rPr>
          <w:rFonts w:ascii="Arial" w:hAnsi="Arial" w:cs="Arial"/>
          <w:bCs/>
          <w:sz w:val="20"/>
          <w:szCs w:val="20"/>
        </w:rPr>
        <w:t>Targiniq</w:t>
      </w:r>
      <w:proofErr w:type="spellEnd"/>
      <w:r w:rsidR="00A159C5" w:rsidRPr="00D84DF0">
        <w:rPr>
          <w:rFonts w:ascii="Arial" w:hAnsi="Arial" w:cs="Arial"/>
          <w:bCs/>
          <w:sz w:val="20"/>
          <w:szCs w:val="20"/>
          <w:vertAlign w:val="superscript"/>
        </w:rPr>
        <w:t>®</w:t>
      </w:r>
      <w:r w:rsidR="00A159C5" w:rsidRPr="00D84DF0">
        <w:rPr>
          <w:rFonts w:ascii="Arial" w:hAnsi="Arial" w:cs="Arial"/>
          <w:bCs/>
          <w:sz w:val="20"/>
          <w:szCs w:val="20"/>
        </w:rPr>
        <w:t xml:space="preserve"> ER (oxycodone</w:t>
      </w:r>
      <w:r w:rsidR="004A4272">
        <w:rPr>
          <w:rFonts w:ascii="Arial" w:hAnsi="Arial" w:cs="Arial"/>
          <w:bCs/>
          <w:sz w:val="20"/>
          <w:szCs w:val="20"/>
        </w:rPr>
        <w:t>/</w:t>
      </w:r>
      <w:r w:rsidR="00A159C5" w:rsidRPr="00D84DF0">
        <w:rPr>
          <w:rFonts w:ascii="Arial" w:hAnsi="Arial" w:cs="Arial"/>
          <w:bCs/>
          <w:sz w:val="20"/>
          <w:szCs w:val="20"/>
        </w:rPr>
        <w:t xml:space="preserve">naloxone extended-release) tablets, and </w:t>
      </w:r>
      <w:proofErr w:type="spellStart"/>
      <w:r w:rsidR="00A159C5" w:rsidRPr="00D84DF0">
        <w:rPr>
          <w:rFonts w:ascii="Arial" w:hAnsi="Arial" w:cs="Arial"/>
          <w:bCs/>
          <w:sz w:val="20"/>
          <w:szCs w:val="20"/>
        </w:rPr>
        <w:t>Xtampza</w:t>
      </w:r>
      <w:proofErr w:type="spellEnd"/>
      <w:r w:rsidR="00A159C5" w:rsidRPr="00D84DF0">
        <w:rPr>
          <w:rFonts w:ascii="Arial" w:hAnsi="Arial" w:cs="Arial"/>
          <w:bCs/>
          <w:sz w:val="20"/>
          <w:szCs w:val="20"/>
          <w:vertAlign w:val="superscript"/>
        </w:rPr>
        <w:t>®</w:t>
      </w:r>
      <w:r w:rsidR="00A159C5" w:rsidRPr="00D84DF0">
        <w:rPr>
          <w:rFonts w:ascii="Arial" w:hAnsi="Arial" w:cs="Arial"/>
          <w:bCs/>
          <w:sz w:val="20"/>
          <w:szCs w:val="20"/>
        </w:rPr>
        <w:t xml:space="preserve"> ER (oxycodone extended-release) capsules.</w:t>
      </w:r>
      <w:r w:rsidR="00CE1584">
        <w:rPr>
          <w:rFonts w:ascii="Arial" w:hAnsi="Arial" w:cs="Arial"/>
          <w:bCs/>
          <w:sz w:val="20"/>
          <w:szCs w:val="20"/>
          <w:vertAlign w:val="superscript"/>
        </w:rPr>
        <w:t>9-11</w:t>
      </w:r>
      <w:r w:rsidR="00A159C5">
        <w:rPr>
          <w:rFonts w:ascii="Arial" w:hAnsi="Arial" w:cs="Arial"/>
          <w:bCs/>
          <w:sz w:val="20"/>
          <w:szCs w:val="20"/>
        </w:rPr>
        <w:t xml:space="preserve"> </w:t>
      </w:r>
      <w:r w:rsidR="00A159C5" w:rsidRPr="00A159C5">
        <w:rPr>
          <w:rFonts w:ascii="Arial" w:hAnsi="Arial" w:cs="Arial"/>
          <w:bCs/>
          <w:sz w:val="20"/>
          <w:szCs w:val="20"/>
        </w:rPr>
        <w:t>Table 1 outlines the currently available, long-acting opioid therapies and wheth</w:t>
      </w:r>
      <w:r w:rsidR="00E81533">
        <w:rPr>
          <w:rFonts w:ascii="Arial" w:hAnsi="Arial" w:cs="Arial"/>
          <w:bCs/>
          <w:sz w:val="20"/>
          <w:szCs w:val="20"/>
        </w:rPr>
        <w:t>er they have a designated abuse-</w:t>
      </w:r>
      <w:r w:rsidR="00A159C5" w:rsidRPr="00A159C5">
        <w:rPr>
          <w:rFonts w:ascii="Arial" w:hAnsi="Arial" w:cs="Arial"/>
          <w:bCs/>
          <w:sz w:val="20"/>
          <w:szCs w:val="20"/>
        </w:rPr>
        <w:t>deterrent formula</w:t>
      </w:r>
      <w:r w:rsidR="00DF641E">
        <w:rPr>
          <w:rFonts w:ascii="Arial" w:hAnsi="Arial" w:cs="Arial"/>
          <w:bCs/>
          <w:sz w:val="20"/>
          <w:szCs w:val="20"/>
        </w:rPr>
        <w:t>tion available per package labe</w:t>
      </w:r>
      <w:r w:rsidR="00A159C5" w:rsidRPr="00A159C5">
        <w:rPr>
          <w:rFonts w:ascii="Arial" w:hAnsi="Arial" w:cs="Arial"/>
          <w:bCs/>
          <w:sz w:val="20"/>
          <w:szCs w:val="20"/>
        </w:rPr>
        <w:t>ling.</w:t>
      </w:r>
    </w:p>
    <w:p w:rsidR="00D74B0B" w:rsidRDefault="00D74B0B" w:rsidP="00D74B0B">
      <w:pPr>
        <w:spacing w:after="0" w:line="240" w:lineRule="auto"/>
        <w:rPr>
          <w:rFonts w:ascii="Arial" w:hAnsi="Arial" w:cs="Arial"/>
          <w:sz w:val="20"/>
          <w:szCs w:val="20"/>
        </w:rPr>
      </w:pPr>
    </w:p>
    <w:p w:rsidR="00E212A9" w:rsidRPr="00D74B0B" w:rsidRDefault="00D74B0B" w:rsidP="00D74B0B">
      <w:pPr>
        <w:spacing w:after="0" w:line="240" w:lineRule="auto"/>
        <w:rPr>
          <w:rFonts w:ascii="Arial" w:hAnsi="Arial" w:cs="Arial"/>
          <w:sz w:val="20"/>
          <w:szCs w:val="20"/>
        </w:rPr>
      </w:pPr>
      <w:r>
        <w:rPr>
          <w:rFonts w:ascii="Arial" w:hAnsi="Arial" w:cs="Arial"/>
          <w:sz w:val="20"/>
          <w:szCs w:val="20"/>
        </w:rPr>
        <w:br w:type="page"/>
      </w:r>
    </w:p>
    <w:p w:rsidR="00A0691A" w:rsidRDefault="00A0691A" w:rsidP="00E212A9">
      <w:pPr>
        <w:pStyle w:val="NoSpacing"/>
        <w:rPr>
          <w:rFonts w:ascii="Arial" w:hAnsi="Arial" w:cs="Arial"/>
          <w:sz w:val="20"/>
          <w:szCs w:val="20"/>
        </w:rPr>
      </w:pPr>
    </w:p>
    <w:p w:rsidR="00A0691A" w:rsidRPr="00A0691A" w:rsidRDefault="00A0691A" w:rsidP="00A0691A">
      <w:pPr>
        <w:spacing w:after="0" w:line="240" w:lineRule="auto"/>
        <w:rPr>
          <w:rFonts w:ascii="Arial" w:hAnsi="Arial" w:cs="Arial"/>
          <w:b/>
          <w:sz w:val="20"/>
          <w:szCs w:val="20"/>
        </w:rPr>
      </w:pPr>
      <w:r w:rsidRPr="00A0691A">
        <w:rPr>
          <w:rFonts w:ascii="Arial" w:hAnsi="Arial" w:cs="Arial"/>
          <w:b/>
          <w:sz w:val="20"/>
          <w:szCs w:val="20"/>
        </w:rPr>
        <w:t>Table 1. Long-Acting Opioid Availability</w:t>
      </w:r>
      <w:r w:rsidR="00CE1584">
        <w:rPr>
          <w:rFonts w:ascii="Arial" w:hAnsi="Arial" w:cs="Arial"/>
          <w:b/>
          <w:sz w:val="20"/>
          <w:szCs w:val="20"/>
          <w:vertAlign w:val="superscript"/>
        </w:rPr>
        <w:t>12-14</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0"/>
        <w:gridCol w:w="3060"/>
        <w:gridCol w:w="2466"/>
      </w:tblGrid>
      <w:tr w:rsidR="0093521C" w:rsidRPr="00B5437C" w:rsidTr="0093521C">
        <w:trPr>
          <w:tblHeader/>
        </w:trPr>
        <w:tc>
          <w:tcPr>
            <w:tcW w:w="4050" w:type="dxa"/>
            <w:tcBorders>
              <w:bottom w:val="single" w:sz="4" w:space="0" w:color="000000"/>
            </w:tcBorders>
            <w:shd w:val="clear" w:color="auto" w:fill="C0C0C0"/>
            <w:vAlign w:val="center"/>
          </w:tcPr>
          <w:p w:rsidR="0093521C" w:rsidRPr="00B5437C" w:rsidRDefault="0093521C" w:rsidP="0093521C">
            <w:pPr>
              <w:pStyle w:val="NoSpacing"/>
              <w:jc w:val="center"/>
              <w:rPr>
                <w:rFonts w:ascii="Arial" w:hAnsi="Arial" w:cs="Arial"/>
                <w:b/>
                <w:sz w:val="20"/>
                <w:szCs w:val="20"/>
              </w:rPr>
            </w:pPr>
            <w:r w:rsidRPr="00B5437C">
              <w:rPr>
                <w:rFonts w:ascii="Arial" w:hAnsi="Arial" w:cs="Arial"/>
                <w:b/>
                <w:sz w:val="20"/>
                <w:szCs w:val="20"/>
              </w:rPr>
              <w:t>Generic Name (Trade name)</w:t>
            </w:r>
          </w:p>
        </w:tc>
        <w:tc>
          <w:tcPr>
            <w:tcW w:w="3060" w:type="dxa"/>
            <w:tcBorders>
              <w:bottom w:val="single" w:sz="4" w:space="0" w:color="000000"/>
            </w:tcBorders>
            <w:shd w:val="clear" w:color="auto" w:fill="C0C0C0"/>
          </w:tcPr>
          <w:p w:rsidR="0093521C" w:rsidRPr="00B5437C" w:rsidRDefault="0093521C" w:rsidP="0093521C">
            <w:pPr>
              <w:pStyle w:val="NoSpacing"/>
              <w:jc w:val="center"/>
              <w:rPr>
                <w:rFonts w:ascii="Arial" w:hAnsi="Arial" w:cs="Arial"/>
                <w:b/>
                <w:sz w:val="20"/>
                <w:szCs w:val="20"/>
              </w:rPr>
            </w:pPr>
            <w:r>
              <w:rPr>
                <w:rFonts w:ascii="Arial" w:hAnsi="Arial" w:cs="Arial"/>
                <w:b/>
                <w:sz w:val="20"/>
                <w:szCs w:val="20"/>
              </w:rPr>
              <w:t>Abuse Deterrent Formulation Available</w:t>
            </w:r>
          </w:p>
        </w:tc>
        <w:tc>
          <w:tcPr>
            <w:tcW w:w="2466" w:type="dxa"/>
            <w:tcBorders>
              <w:bottom w:val="single" w:sz="4" w:space="0" w:color="000000"/>
            </w:tcBorders>
            <w:shd w:val="clear" w:color="auto" w:fill="C0C0C0"/>
          </w:tcPr>
          <w:p w:rsidR="0093521C" w:rsidRPr="00B5437C" w:rsidRDefault="0093521C" w:rsidP="0093521C">
            <w:pPr>
              <w:pStyle w:val="NoSpacing"/>
              <w:jc w:val="center"/>
              <w:rPr>
                <w:rFonts w:ascii="Arial" w:hAnsi="Arial" w:cs="Arial"/>
                <w:b/>
                <w:sz w:val="20"/>
                <w:szCs w:val="20"/>
              </w:rPr>
            </w:pPr>
            <w:r>
              <w:rPr>
                <w:rFonts w:ascii="Arial" w:hAnsi="Arial" w:cs="Arial"/>
                <w:b/>
                <w:sz w:val="20"/>
                <w:szCs w:val="20"/>
              </w:rPr>
              <w:t xml:space="preserve">Commercially Available </w:t>
            </w:r>
          </w:p>
        </w:tc>
      </w:tr>
      <w:tr w:rsidR="0093521C" w:rsidRPr="00B5437C" w:rsidTr="0093521C">
        <w:tc>
          <w:tcPr>
            <w:tcW w:w="4050" w:type="dxa"/>
          </w:tcPr>
          <w:p w:rsidR="0093521C" w:rsidRPr="00A956C8" w:rsidRDefault="0093521C" w:rsidP="0093521C">
            <w:pPr>
              <w:pStyle w:val="NoSpacing"/>
              <w:rPr>
                <w:rFonts w:ascii="Arial" w:hAnsi="Arial" w:cs="Arial"/>
                <w:sz w:val="20"/>
                <w:szCs w:val="20"/>
              </w:rPr>
            </w:pPr>
            <w:r>
              <w:rPr>
                <w:rFonts w:ascii="Arial" w:hAnsi="Arial" w:cs="Arial"/>
                <w:sz w:val="20"/>
                <w:szCs w:val="20"/>
              </w:rPr>
              <w:t>Buprenorphine (Belbuca</w:t>
            </w:r>
            <w:r w:rsidRPr="00D52883">
              <w:rPr>
                <w:rFonts w:ascii="Arial" w:hAnsi="Arial" w:cs="Arial"/>
                <w:sz w:val="20"/>
                <w:szCs w:val="20"/>
                <w:vertAlign w:val="superscript"/>
              </w:rPr>
              <w:t>®</w:t>
            </w:r>
            <w:r>
              <w:rPr>
                <w:rFonts w:ascii="Arial" w:hAnsi="Arial" w:cs="Arial"/>
                <w:sz w:val="20"/>
                <w:szCs w:val="20"/>
              </w:rPr>
              <w:t>, Butrans</w:t>
            </w:r>
            <w:r w:rsidRPr="00D52883">
              <w:rPr>
                <w:rFonts w:ascii="Arial" w:hAnsi="Arial" w:cs="Arial"/>
                <w:sz w:val="20"/>
                <w:szCs w:val="20"/>
                <w:vertAlign w:val="superscript"/>
              </w:rPr>
              <w:t>®</w:t>
            </w:r>
            <w:r>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Pr>
                <w:rFonts w:ascii="Arial" w:hAnsi="Arial" w:cs="Arial"/>
                <w:sz w:val="20"/>
                <w:szCs w:val="20"/>
              </w:rPr>
              <w:t>-</w:t>
            </w:r>
          </w:p>
        </w:tc>
        <w:tc>
          <w:tcPr>
            <w:tcW w:w="2466" w:type="dxa"/>
          </w:tcPr>
          <w:p w:rsidR="0093521C" w:rsidRPr="00064254" w:rsidRDefault="0093521C" w:rsidP="0093521C">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Fentanyl (Duragesic</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(Hysingla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AE30C6" w:rsidRPr="00B5437C" w:rsidTr="0093521C">
        <w:tc>
          <w:tcPr>
            <w:tcW w:w="4050" w:type="dxa"/>
          </w:tcPr>
          <w:p w:rsidR="00AE30C6" w:rsidRPr="00AE30C6" w:rsidRDefault="00AE30C6" w:rsidP="0093521C">
            <w:pPr>
              <w:pStyle w:val="NoSpacing"/>
              <w:rPr>
                <w:rFonts w:ascii="Arial" w:hAnsi="Arial" w:cs="Arial"/>
                <w:sz w:val="20"/>
                <w:szCs w:val="20"/>
              </w:rPr>
            </w:pPr>
            <w:r>
              <w:rPr>
                <w:rFonts w:ascii="Arial" w:hAnsi="Arial" w:cs="Arial"/>
                <w:sz w:val="20"/>
                <w:szCs w:val="20"/>
              </w:rPr>
              <w:t>Hydrocodone (</w:t>
            </w:r>
            <w:proofErr w:type="spellStart"/>
            <w:r>
              <w:rPr>
                <w:rFonts w:ascii="Arial" w:hAnsi="Arial" w:cs="Arial"/>
                <w:sz w:val="20"/>
                <w:szCs w:val="20"/>
              </w:rPr>
              <w:t>Vantrela</w:t>
            </w:r>
            <w:proofErr w:type="spellEnd"/>
            <w:r>
              <w:rPr>
                <w:rFonts w:ascii="Arial" w:hAnsi="Arial" w:cs="Arial"/>
                <w:sz w:val="20"/>
                <w:szCs w:val="20"/>
                <w:vertAlign w:val="superscript"/>
              </w:rPr>
              <w:t>®</w:t>
            </w:r>
            <w:r>
              <w:rPr>
                <w:rFonts w:ascii="Arial" w:hAnsi="Arial" w:cs="Arial"/>
                <w:sz w:val="20"/>
                <w:szCs w:val="20"/>
              </w:rPr>
              <w:t xml:space="preserve"> ER)</w:t>
            </w:r>
          </w:p>
        </w:tc>
        <w:tc>
          <w:tcPr>
            <w:tcW w:w="3060" w:type="dxa"/>
          </w:tcPr>
          <w:p w:rsidR="00AE30C6" w:rsidRPr="00136CA1" w:rsidRDefault="00AE30C6" w:rsidP="0093521C">
            <w:pPr>
              <w:pStyle w:val="NoSpacing"/>
              <w:jc w:val="center"/>
              <w:rPr>
                <w:rFonts w:ascii="Arial" w:hAnsi="Arial" w:cs="Arial"/>
                <w:sz w:val="20"/>
                <w:szCs w:val="20"/>
              </w:rPr>
            </w:pPr>
            <w:r w:rsidRPr="00AE30C6">
              <w:rPr>
                <w:rFonts w:ascii="MS Gothic" w:eastAsia="MS Gothic" w:hAnsi="MS Gothic" w:cs="MS Gothic" w:hint="eastAsia"/>
                <w:sz w:val="20"/>
                <w:szCs w:val="20"/>
              </w:rPr>
              <w:t>✓</w:t>
            </w:r>
          </w:p>
        </w:tc>
        <w:tc>
          <w:tcPr>
            <w:tcW w:w="2466" w:type="dxa"/>
          </w:tcPr>
          <w:p w:rsidR="00AE30C6" w:rsidRPr="00E16889" w:rsidRDefault="00E16889" w:rsidP="0093521C">
            <w:pPr>
              <w:spacing w:after="0" w:line="240" w:lineRule="auto"/>
              <w:jc w:val="center"/>
              <w:rPr>
                <w:rStyle w:val="st1"/>
                <w:rFonts w:ascii="Arial" w:eastAsia="MS Gothic" w:hAnsi="Arial" w:cs="Arial"/>
                <w:sz w:val="20"/>
                <w:szCs w:val="20"/>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Pr>
                <w:rStyle w:val="st1"/>
                <w:rFonts w:ascii="Arial" w:eastAsia="MS Gothic" w:hAnsi="Arial" w:cs="Arial"/>
                <w:sz w:val="20"/>
                <w:szCs w:val="20"/>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(Zohydro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BE62A6" w:rsidRDefault="0093521C" w:rsidP="0093521C">
            <w:pPr>
              <w:spacing w:after="0" w:line="240" w:lineRule="auto"/>
              <w:jc w:val="center"/>
            </w:pPr>
            <w:r w:rsidRPr="00BE62A6">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Hydromorphone (Exalgo</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C05448" w:rsidRDefault="0093521C" w:rsidP="0093521C">
            <w:pPr>
              <w:pStyle w:val="NoSpacing"/>
              <w:rPr>
                <w:rFonts w:ascii="Arial" w:hAnsi="Arial" w:cs="Arial"/>
                <w:sz w:val="20"/>
                <w:szCs w:val="20"/>
              </w:rPr>
            </w:pPr>
            <w:r>
              <w:rPr>
                <w:rFonts w:ascii="Arial" w:hAnsi="Arial" w:cs="Arial"/>
                <w:sz w:val="20"/>
                <w:szCs w:val="20"/>
              </w:rPr>
              <w:t>Levorphanol</w:t>
            </w:r>
            <w:r w:rsidR="00C05448">
              <w:rPr>
                <w:rFonts w:ascii="Arial" w:hAnsi="Arial" w:cs="Arial"/>
                <w:sz w:val="20"/>
                <w:szCs w:val="20"/>
              </w:rPr>
              <w:t xml:space="preserve"> (Levo-Dromoran</w:t>
            </w:r>
            <w:r w:rsidR="00C05448">
              <w:rPr>
                <w:rFonts w:ascii="Arial" w:hAnsi="Arial" w:cs="Arial"/>
                <w:sz w:val="20"/>
                <w:szCs w:val="20"/>
                <w:vertAlign w:val="superscript"/>
              </w:rPr>
              <w:t>®</w:t>
            </w:r>
            <w:r w:rsidR="00C05448">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c>
          <w:tcPr>
            <w:tcW w:w="4050" w:type="dxa"/>
          </w:tcPr>
          <w:p w:rsidR="0093521C" w:rsidRPr="00FE2809" w:rsidRDefault="0093521C" w:rsidP="0093521C">
            <w:pPr>
              <w:pStyle w:val="NoSpacing"/>
              <w:rPr>
                <w:rFonts w:ascii="Arial" w:hAnsi="Arial" w:cs="Arial"/>
                <w:sz w:val="20"/>
                <w:szCs w:val="20"/>
              </w:rPr>
            </w:pPr>
            <w:r w:rsidRPr="00FE2809">
              <w:rPr>
                <w:rFonts w:ascii="Arial" w:hAnsi="Arial" w:cs="Arial"/>
                <w:sz w:val="20"/>
                <w:szCs w:val="20"/>
              </w:rPr>
              <w:t>Methadone (Diskets Disper</w:t>
            </w:r>
            <w:r>
              <w:rPr>
                <w:rFonts w:ascii="Arial" w:hAnsi="Arial" w:cs="Arial"/>
                <w:sz w:val="20"/>
                <w:szCs w:val="20"/>
              </w:rPr>
              <w:t>s</w:t>
            </w:r>
            <w:r w:rsidRPr="00FE2809">
              <w:rPr>
                <w:rFonts w:ascii="Arial" w:hAnsi="Arial" w:cs="Arial"/>
                <w:sz w:val="20"/>
                <w:szCs w:val="20"/>
              </w:rPr>
              <w:t>ible</w:t>
            </w:r>
            <w:r w:rsidRPr="00FE2809">
              <w:rPr>
                <w:rFonts w:ascii="Arial" w:hAnsi="Arial" w:cs="Arial"/>
                <w:sz w:val="20"/>
                <w:szCs w:val="20"/>
                <w:vertAlign w:val="superscript"/>
              </w:rPr>
              <w:t>®</w:t>
            </w:r>
            <w:r w:rsidRPr="00FE2809">
              <w:rPr>
                <w:rFonts w:ascii="Arial" w:hAnsi="Arial" w:cs="Arial"/>
                <w:sz w:val="20"/>
                <w:szCs w:val="20"/>
              </w:rPr>
              <w:t>, Dolophine</w:t>
            </w:r>
            <w:r w:rsidRPr="00FE2809">
              <w:rPr>
                <w:rFonts w:ascii="Arial" w:hAnsi="Arial" w:cs="Arial"/>
                <w:sz w:val="20"/>
                <w:szCs w:val="20"/>
                <w:vertAlign w:val="superscript"/>
              </w:rPr>
              <w:t>®</w:t>
            </w:r>
            <w:r w:rsidRPr="00FE2809">
              <w:rPr>
                <w:rFonts w:ascii="Arial" w:hAnsi="Arial" w:cs="Arial"/>
                <w:sz w:val="20"/>
                <w:szCs w:val="20"/>
              </w:rPr>
              <w:t>, Methadose</w:t>
            </w:r>
            <w:r w:rsidRPr="00FE2809">
              <w:rPr>
                <w:rFonts w:ascii="Arial" w:hAnsi="Arial" w:cs="Arial"/>
                <w:sz w:val="20"/>
                <w:szCs w:val="20"/>
                <w:vertAlign w:val="superscript"/>
              </w:rPr>
              <w:t>®</w:t>
            </w:r>
            <w:r w:rsidRPr="00FE2809">
              <w:rPr>
                <w:rFonts w:ascii="Arial" w:hAnsi="Arial" w:cs="Arial"/>
                <w:sz w:val="20"/>
                <w:szCs w:val="20"/>
              </w:rPr>
              <w:t>, Methadone Intensol</w:t>
            </w:r>
            <w:r w:rsidRPr="00FE2809">
              <w:rPr>
                <w:rFonts w:ascii="Arial" w:hAnsi="Arial" w:cs="Arial"/>
                <w:sz w:val="20"/>
                <w:szCs w:val="20"/>
                <w:vertAlign w:val="superscript"/>
              </w:rPr>
              <w:t>®</w:t>
            </w:r>
            <w:r w:rsidRPr="00FE2809">
              <w:rPr>
                <w:rFonts w:ascii="Arial" w:hAnsi="Arial" w:cs="Arial"/>
                <w:sz w:val="20"/>
                <w:szCs w:val="20"/>
              </w:rPr>
              <w:t>)</w:t>
            </w:r>
          </w:p>
        </w:tc>
        <w:tc>
          <w:tcPr>
            <w:tcW w:w="3060" w:type="dxa"/>
          </w:tcPr>
          <w:p w:rsidR="0093521C" w:rsidRPr="00FE2809" w:rsidRDefault="0093521C" w:rsidP="0093521C">
            <w:pPr>
              <w:pStyle w:val="NoSpacing"/>
              <w:jc w:val="center"/>
              <w:rPr>
                <w:rFonts w:ascii="Arial" w:hAnsi="Arial" w:cs="Arial"/>
                <w:sz w:val="20"/>
                <w:szCs w:val="20"/>
              </w:rPr>
            </w:pPr>
            <w:r w:rsidRPr="00FE2809">
              <w:rPr>
                <w:rFonts w:ascii="Arial" w:hAnsi="Arial" w:cs="Arial"/>
                <w:sz w:val="20"/>
                <w:szCs w:val="20"/>
              </w:rPr>
              <w:t>-</w:t>
            </w:r>
          </w:p>
        </w:tc>
        <w:tc>
          <w:tcPr>
            <w:tcW w:w="2466" w:type="dxa"/>
          </w:tcPr>
          <w:p w:rsidR="0093521C" w:rsidRPr="00FE2809" w:rsidRDefault="0093521C" w:rsidP="0093521C">
            <w:pPr>
              <w:spacing w:after="0" w:line="240" w:lineRule="auto"/>
              <w:jc w:val="center"/>
            </w:pPr>
            <w:r w:rsidRPr="00FE2809">
              <w:rPr>
                <w:rStyle w:val="st1"/>
                <w:rFonts w:ascii="MS Gothic" w:eastAsia="MS Gothic" w:hAnsi="MS Gothic" w:cs="MS Gothic" w:hint="eastAsia"/>
                <w:lang w:val="en"/>
              </w:rPr>
              <w:t>✓</w:t>
            </w:r>
          </w:p>
        </w:tc>
      </w:tr>
      <w:tr w:rsidR="0093521C" w:rsidRPr="00B5437C" w:rsidTr="0093521C">
        <w:tc>
          <w:tcPr>
            <w:tcW w:w="4050" w:type="dxa"/>
          </w:tcPr>
          <w:p w:rsidR="0093521C" w:rsidRPr="006D2582" w:rsidRDefault="0093521C" w:rsidP="0093521C">
            <w:pPr>
              <w:pStyle w:val="NoSpacing"/>
              <w:rPr>
                <w:rFonts w:ascii="Arial" w:hAnsi="Arial" w:cs="Arial"/>
                <w:sz w:val="20"/>
                <w:szCs w:val="20"/>
                <w:highlight w:val="yellow"/>
              </w:rPr>
            </w:pPr>
            <w:r w:rsidRPr="008E4FB0">
              <w:rPr>
                <w:rFonts w:ascii="Arial" w:hAnsi="Arial" w:cs="Arial"/>
                <w:sz w:val="20"/>
                <w:szCs w:val="20"/>
              </w:rPr>
              <w:t>Morphine sulfate (Avinza</w:t>
            </w:r>
            <w:r w:rsidRPr="008E4FB0">
              <w:rPr>
                <w:rFonts w:ascii="Arial" w:hAnsi="Arial" w:cs="Arial"/>
                <w:sz w:val="20"/>
                <w:szCs w:val="20"/>
                <w:vertAlign w:val="superscript"/>
              </w:rPr>
              <w:t>®</w:t>
            </w:r>
            <w:r w:rsidRPr="008E4FB0">
              <w:rPr>
                <w:rFonts w:ascii="Arial" w:hAnsi="Arial" w:cs="Arial"/>
                <w:sz w:val="20"/>
                <w:szCs w:val="20"/>
              </w:rPr>
              <w:t>, Kadian</w:t>
            </w:r>
            <w:r w:rsidRPr="008E4FB0">
              <w:rPr>
                <w:rFonts w:ascii="Arial" w:hAnsi="Arial" w:cs="Arial"/>
                <w:sz w:val="20"/>
                <w:szCs w:val="20"/>
                <w:vertAlign w:val="superscript"/>
              </w:rPr>
              <w:t>®</w:t>
            </w:r>
            <w:r w:rsidRPr="008E4FB0">
              <w:rPr>
                <w:rFonts w:ascii="Arial" w:hAnsi="Arial" w:cs="Arial"/>
                <w:sz w:val="20"/>
                <w:szCs w:val="20"/>
              </w:rPr>
              <w:t>, MS Contin</w:t>
            </w:r>
            <w:r w:rsidRPr="008E4FB0">
              <w:rPr>
                <w:rFonts w:ascii="Arial" w:hAnsi="Arial" w:cs="Arial"/>
                <w:sz w:val="20"/>
                <w:szCs w:val="20"/>
                <w:vertAlign w:val="superscript"/>
              </w:rPr>
              <w:t>®</w:t>
            </w:r>
            <w:r w:rsidRPr="008E4FB0">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C75E2" w:rsidRPr="00B5437C" w:rsidTr="0093521C">
        <w:tc>
          <w:tcPr>
            <w:tcW w:w="4050" w:type="dxa"/>
          </w:tcPr>
          <w:p w:rsidR="009C75E2" w:rsidRPr="009C75E2" w:rsidRDefault="009C75E2" w:rsidP="0093521C">
            <w:pPr>
              <w:pStyle w:val="NoSpacing"/>
              <w:rPr>
                <w:rFonts w:ascii="Arial" w:hAnsi="Arial" w:cs="Arial"/>
                <w:sz w:val="20"/>
                <w:szCs w:val="20"/>
              </w:rPr>
            </w:pPr>
            <w:r>
              <w:rPr>
                <w:rFonts w:ascii="Arial" w:hAnsi="Arial" w:cs="Arial"/>
                <w:sz w:val="20"/>
                <w:szCs w:val="20"/>
              </w:rPr>
              <w:t>Morphine sulfate (</w:t>
            </w:r>
            <w:proofErr w:type="spellStart"/>
            <w:r>
              <w:rPr>
                <w:rFonts w:ascii="Arial" w:hAnsi="Arial" w:cs="Arial"/>
                <w:sz w:val="20"/>
                <w:szCs w:val="20"/>
              </w:rPr>
              <w:t>Arymo</w:t>
            </w:r>
            <w:proofErr w:type="spellEnd"/>
            <w:r>
              <w:rPr>
                <w:rFonts w:ascii="Arial" w:hAnsi="Arial" w:cs="Arial"/>
                <w:sz w:val="20"/>
                <w:szCs w:val="20"/>
                <w:vertAlign w:val="superscript"/>
              </w:rPr>
              <w:t>®</w:t>
            </w:r>
            <w:r>
              <w:rPr>
                <w:rFonts w:ascii="Arial" w:hAnsi="Arial" w:cs="Arial"/>
                <w:sz w:val="20"/>
                <w:szCs w:val="20"/>
              </w:rPr>
              <w:t xml:space="preserve"> ER)</w:t>
            </w:r>
          </w:p>
        </w:tc>
        <w:tc>
          <w:tcPr>
            <w:tcW w:w="3060" w:type="dxa"/>
          </w:tcPr>
          <w:p w:rsidR="009C75E2" w:rsidRPr="00136CA1" w:rsidRDefault="009C75E2" w:rsidP="0093521C">
            <w:pPr>
              <w:pStyle w:val="NoSpacing"/>
              <w:jc w:val="center"/>
              <w:rPr>
                <w:rStyle w:val="st1"/>
                <w:rFonts w:ascii="MS Gothic" w:eastAsia="MS Gothic" w:hAnsi="MS Gothic" w:cs="MS Gothic"/>
                <w:lang w:val="en"/>
              </w:rPr>
            </w:pPr>
            <w:r w:rsidRPr="009C75E2">
              <w:rPr>
                <w:rStyle w:val="st1"/>
                <w:rFonts w:ascii="MS Gothic" w:eastAsia="MS Gothic" w:hAnsi="MS Gothic" w:cs="MS Gothic"/>
                <w:lang w:val="en"/>
              </w:rPr>
              <w:t>✓</w:t>
            </w:r>
          </w:p>
        </w:tc>
        <w:tc>
          <w:tcPr>
            <w:tcW w:w="2466" w:type="dxa"/>
          </w:tcPr>
          <w:p w:rsidR="009C75E2" w:rsidRPr="00E16889" w:rsidRDefault="00E16889" w:rsidP="0093521C">
            <w:pPr>
              <w:spacing w:after="0" w:line="240" w:lineRule="auto"/>
              <w:jc w:val="center"/>
              <w:rPr>
                <w:rStyle w:val="st1"/>
                <w:rFonts w:ascii="Arial" w:eastAsia="MS Gothic" w:hAnsi="Arial" w:cs="Arial"/>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B5437C" w:rsidTr="0093521C">
        <w:tc>
          <w:tcPr>
            <w:tcW w:w="4050" w:type="dxa"/>
          </w:tcPr>
          <w:p w:rsidR="0093521C" w:rsidRPr="00573A3A" w:rsidRDefault="0093521C" w:rsidP="0093521C">
            <w:pPr>
              <w:pStyle w:val="NoSpacing"/>
              <w:rPr>
                <w:rFonts w:ascii="Arial" w:hAnsi="Arial" w:cs="Arial"/>
                <w:sz w:val="20"/>
                <w:szCs w:val="20"/>
              </w:rPr>
            </w:pPr>
            <w:r>
              <w:rPr>
                <w:rFonts w:ascii="Arial" w:hAnsi="Arial" w:cs="Arial"/>
                <w:sz w:val="20"/>
                <w:szCs w:val="20"/>
              </w:rPr>
              <w:t>Morphine sulfate (</w:t>
            </w:r>
            <w:proofErr w:type="spellStart"/>
            <w:r>
              <w:rPr>
                <w:rFonts w:ascii="Arial" w:hAnsi="Arial" w:cs="Arial"/>
                <w:sz w:val="20"/>
                <w:szCs w:val="20"/>
              </w:rPr>
              <w:t>MorphaBond</w:t>
            </w:r>
            <w:proofErr w:type="spellEnd"/>
            <w:r>
              <w:rPr>
                <w:rFonts w:ascii="Arial" w:hAnsi="Arial" w:cs="Arial"/>
                <w:sz w:val="20"/>
                <w:szCs w:val="20"/>
                <w:vertAlign w:val="superscript"/>
              </w:rPr>
              <w:t>®</w:t>
            </w:r>
            <w:r>
              <w:rPr>
                <w:rFonts w:ascii="Arial" w:hAnsi="Arial" w:cs="Arial"/>
                <w:sz w:val="20"/>
                <w:szCs w:val="20"/>
              </w:rPr>
              <w:t>)</w:t>
            </w:r>
          </w:p>
        </w:tc>
        <w:tc>
          <w:tcPr>
            <w:tcW w:w="3060" w:type="dxa"/>
          </w:tcPr>
          <w:p w:rsidR="0093521C" w:rsidRPr="00064254"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064254" w:rsidRDefault="0093521C" w:rsidP="0093521C">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3521C" w:rsidRPr="00B5437C"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Morphine sulfate/naltrexone (Embeda</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BE62A6" w:rsidRDefault="0093521C" w:rsidP="0093521C">
            <w:pPr>
              <w:pStyle w:val="NoSpacing"/>
              <w:rPr>
                <w:rFonts w:ascii="Arial" w:hAnsi="Arial" w:cs="Arial"/>
                <w:sz w:val="20"/>
                <w:szCs w:val="20"/>
              </w:rPr>
            </w:pPr>
            <w:r w:rsidRPr="00BE62A6">
              <w:rPr>
                <w:rFonts w:ascii="Arial" w:hAnsi="Arial" w:cs="Arial"/>
                <w:sz w:val="20"/>
                <w:szCs w:val="20"/>
              </w:rPr>
              <w:t>Oxycodone (OxyContin</w:t>
            </w:r>
            <w:r w:rsidRPr="00BE62A6">
              <w:rPr>
                <w:rFonts w:ascii="Arial" w:hAnsi="Arial" w:cs="Arial"/>
                <w:sz w:val="20"/>
                <w:szCs w:val="20"/>
                <w:vertAlign w:val="superscript"/>
              </w:rPr>
              <w:t>®</w:t>
            </w:r>
            <w:r w:rsidRPr="00BE62A6">
              <w:rPr>
                <w:rFonts w:ascii="Arial" w:hAnsi="Arial" w:cs="Arial"/>
                <w:sz w:val="20"/>
                <w:szCs w:val="20"/>
              </w:rPr>
              <w:t>)</w:t>
            </w:r>
          </w:p>
        </w:tc>
        <w:tc>
          <w:tcPr>
            <w:tcW w:w="3060" w:type="dxa"/>
          </w:tcPr>
          <w:p w:rsidR="0093521C" w:rsidRPr="00BE62A6" w:rsidRDefault="0093521C" w:rsidP="0093521C">
            <w:pPr>
              <w:pStyle w:val="NoSpacing"/>
              <w:jc w:val="center"/>
              <w:rPr>
                <w:rFonts w:ascii="Arial" w:hAnsi="Arial" w:cs="Arial"/>
                <w:sz w:val="20"/>
                <w:szCs w:val="20"/>
              </w:rPr>
            </w:pPr>
            <w:r w:rsidRPr="00BE62A6">
              <w:rPr>
                <w:rStyle w:val="st1"/>
                <w:rFonts w:ascii="MS Gothic" w:eastAsia="MS Gothic" w:hAnsi="MS Gothic" w:cs="MS Gothic" w:hint="eastAsia"/>
                <w:lang w:val="en"/>
              </w:rPr>
              <w:t>✓</w:t>
            </w:r>
          </w:p>
        </w:tc>
        <w:tc>
          <w:tcPr>
            <w:tcW w:w="2466" w:type="dxa"/>
          </w:tcPr>
          <w:p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rsidTr="0093521C">
        <w:trPr>
          <w:trHeight w:val="70"/>
        </w:trPr>
        <w:tc>
          <w:tcPr>
            <w:tcW w:w="4050" w:type="dxa"/>
          </w:tcPr>
          <w:p w:rsidR="0093521C" w:rsidRPr="00573A3A" w:rsidRDefault="0093521C" w:rsidP="0093521C">
            <w:pPr>
              <w:pStyle w:val="NoSpacing"/>
              <w:rPr>
                <w:rFonts w:ascii="Arial" w:hAnsi="Arial" w:cs="Arial"/>
                <w:sz w:val="20"/>
                <w:szCs w:val="20"/>
              </w:rPr>
            </w:pPr>
            <w:r>
              <w:rPr>
                <w:rFonts w:ascii="Arial" w:hAnsi="Arial" w:cs="Arial"/>
                <w:sz w:val="20"/>
                <w:szCs w:val="20"/>
              </w:rPr>
              <w:t>Oxycodone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sidR="006D6556">
              <w:rPr>
                <w:rFonts w:ascii="Arial" w:hAnsi="Arial" w:cs="Arial"/>
                <w:sz w:val="20"/>
                <w:szCs w:val="20"/>
              </w:rPr>
              <w:t>)</w:t>
            </w:r>
          </w:p>
        </w:tc>
        <w:tc>
          <w:tcPr>
            <w:tcW w:w="3060" w:type="dxa"/>
          </w:tcPr>
          <w:p w:rsidR="0093521C" w:rsidRPr="00BE62A6" w:rsidRDefault="0093521C" w:rsidP="0093521C">
            <w:pPr>
              <w:pStyle w:val="NoSpacing"/>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c>
          <w:tcPr>
            <w:tcW w:w="2466" w:type="dxa"/>
          </w:tcPr>
          <w:p w:rsidR="0093521C" w:rsidRPr="00064254" w:rsidRDefault="00AE0E67" w:rsidP="0093521C">
            <w:pPr>
              <w:spacing w:after="0" w:line="240" w:lineRule="auto"/>
              <w:jc w:val="center"/>
              <w:rPr>
                <w:rStyle w:val="st1"/>
                <w:rFonts w:ascii="MS Gothic" w:eastAsia="MS Gothic" w:hAnsi="MS Gothic" w:cs="MS Gothic"/>
                <w:lang w:val="en"/>
              </w:rPr>
            </w:pPr>
            <w:r w:rsidRPr="00AE0E67">
              <w:rPr>
                <w:rStyle w:val="st1"/>
                <w:rFonts w:ascii="MS Gothic" w:eastAsia="MS Gothic" w:hAnsi="MS Gothic" w:cs="MS Gothic"/>
                <w:lang w:val="en"/>
              </w:rPr>
              <w:t>✓</w:t>
            </w:r>
          </w:p>
        </w:tc>
      </w:tr>
      <w:tr w:rsidR="0093521C" w:rsidRPr="00136CA1"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Oxycodone/naloxone (Targiniq</w:t>
            </w:r>
            <w:r>
              <w:rPr>
                <w:rFonts w:ascii="Arial" w:hAnsi="Arial" w:cs="Arial"/>
                <w:sz w:val="20"/>
                <w:szCs w:val="20"/>
              </w:rPr>
              <w:t xml:space="preserve">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rsidR="0093521C" w:rsidRPr="00136CA1" w:rsidRDefault="0093521C" w:rsidP="0093521C">
            <w:pPr>
              <w:spacing w:after="0" w:line="240" w:lineRule="auto"/>
              <w:jc w:val="center"/>
              <w:rPr>
                <w:rStyle w:val="st1"/>
                <w:rFonts w:ascii="MS Gothic" w:eastAsia="MS Gothic" w:hAnsi="MS Gothic" w:cs="MS Gothic"/>
                <w:lang w:val="en"/>
              </w:rPr>
            </w:pPr>
            <w:r w:rsidRPr="00136CA1">
              <w:rPr>
                <w:rStyle w:val="st1"/>
                <w:rFonts w:ascii="MS Gothic" w:eastAsia="MS Gothic" w:hAnsi="MS Gothic" w:cs="MS Gothic"/>
                <w:lang w:val="en"/>
              </w:rPr>
              <w:t>-</w:t>
            </w:r>
          </w:p>
        </w:tc>
      </w:tr>
      <w:tr w:rsidR="00AE0E67" w:rsidRPr="00136CA1" w:rsidTr="0093521C">
        <w:tc>
          <w:tcPr>
            <w:tcW w:w="4050" w:type="dxa"/>
          </w:tcPr>
          <w:p w:rsidR="00AE0E67" w:rsidRPr="00AE0E67" w:rsidRDefault="00AE0E67" w:rsidP="0093521C">
            <w:pPr>
              <w:pStyle w:val="NoSpacing"/>
              <w:rPr>
                <w:rFonts w:ascii="Arial" w:hAnsi="Arial" w:cs="Arial"/>
                <w:sz w:val="20"/>
                <w:szCs w:val="20"/>
              </w:rPr>
            </w:pPr>
            <w:r>
              <w:rPr>
                <w:rFonts w:ascii="Arial" w:hAnsi="Arial" w:cs="Arial"/>
                <w:sz w:val="20"/>
                <w:szCs w:val="20"/>
              </w:rPr>
              <w:t>Oxycodone/naltrexone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w:t>
            </w:r>
          </w:p>
        </w:tc>
        <w:tc>
          <w:tcPr>
            <w:tcW w:w="3060" w:type="dxa"/>
          </w:tcPr>
          <w:p w:rsidR="00AE0E67" w:rsidRPr="00136CA1" w:rsidRDefault="00AE0E67" w:rsidP="0093521C">
            <w:pPr>
              <w:pStyle w:val="NoSpacing"/>
              <w:jc w:val="center"/>
              <w:rPr>
                <w:rStyle w:val="st1"/>
                <w:rFonts w:ascii="MS Gothic" w:eastAsia="MS Gothic" w:hAnsi="MS Gothic" w:cs="MS Gothic"/>
                <w:lang w:val="en"/>
              </w:rPr>
            </w:pPr>
            <w:r w:rsidRPr="00136CA1">
              <w:rPr>
                <w:rStyle w:val="st1"/>
                <w:rFonts w:ascii="MS Gothic" w:eastAsia="MS Gothic" w:hAnsi="MS Gothic" w:cs="MS Gothic" w:hint="eastAsia"/>
                <w:lang w:val="en"/>
              </w:rPr>
              <w:t>✓</w:t>
            </w:r>
          </w:p>
        </w:tc>
        <w:tc>
          <w:tcPr>
            <w:tcW w:w="2466" w:type="dxa"/>
          </w:tcPr>
          <w:p w:rsidR="00AE0E67" w:rsidRPr="00E16889" w:rsidRDefault="00E16889" w:rsidP="0093521C">
            <w:pPr>
              <w:spacing w:after="0" w:line="240" w:lineRule="auto"/>
              <w:jc w:val="center"/>
              <w:rPr>
                <w:rStyle w:val="st1"/>
                <w:rFonts w:ascii="Arial" w:eastAsia="MS Gothic" w:hAnsi="Arial" w:cs="Arial"/>
                <w:lang w:val="en"/>
              </w:rPr>
            </w:pPr>
            <w:r>
              <w:rPr>
                <w:rStyle w:val="st1"/>
                <w:rFonts w:ascii="MS Gothic" w:eastAsia="MS Gothic" w:hAnsi="MS Gothic" w:cs="MS Gothic"/>
                <w:lang w:val="en"/>
              </w:rPr>
              <w:t xml:space="preserve"> </w:t>
            </w:r>
            <w:r w:rsidRPr="00136CA1">
              <w:rPr>
                <w:rStyle w:val="st1"/>
                <w:rFonts w:ascii="MS Gothic" w:eastAsia="MS Gothic" w:hAnsi="MS Gothic" w:cs="MS Gothic" w:hint="eastAsia"/>
                <w:lang w:val="en"/>
              </w:rPr>
              <w:t>✓</w:t>
            </w:r>
            <w:r w:rsidRPr="00E16889">
              <w:rPr>
                <w:rStyle w:val="st1"/>
                <w:rFonts w:ascii="Arial" w:eastAsia="MS Gothic" w:hAnsi="Arial" w:cs="Arial"/>
                <w:sz w:val="20"/>
                <w:szCs w:val="20"/>
                <w:lang w:val="en"/>
              </w:rPr>
              <w:t>*</w:t>
            </w:r>
          </w:p>
        </w:tc>
      </w:tr>
      <w:tr w:rsidR="0093521C" w:rsidRPr="00136CA1" w:rsidTr="0093521C">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Oxymorphone (Opana</w:t>
            </w:r>
            <w:r w:rsidRPr="00136CA1">
              <w:rPr>
                <w:rFonts w:ascii="Arial" w:hAnsi="Arial" w:cs="Arial"/>
                <w:sz w:val="20"/>
                <w:szCs w:val="20"/>
                <w:vertAlign w:val="superscript"/>
              </w:rPr>
              <w:t>®</w:t>
            </w:r>
            <w:r w:rsidRPr="00136CA1">
              <w:rPr>
                <w:rFonts w:ascii="Arial" w:hAnsi="Arial" w:cs="Arial"/>
                <w:sz w:val="20"/>
                <w:szCs w:val="20"/>
              </w:rPr>
              <w:t xml:space="preserve"> ER)</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136CA1" w:rsidTr="0093521C">
        <w:trPr>
          <w:trHeight w:val="70"/>
        </w:trPr>
        <w:tc>
          <w:tcPr>
            <w:tcW w:w="4050" w:type="dxa"/>
          </w:tcPr>
          <w:p w:rsidR="0093521C" w:rsidRPr="00136CA1" w:rsidRDefault="0093521C" w:rsidP="0093521C">
            <w:pPr>
              <w:pStyle w:val="NoSpacing"/>
              <w:rPr>
                <w:rFonts w:ascii="Arial" w:hAnsi="Arial" w:cs="Arial"/>
                <w:sz w:val="20"/>
                <w:szCs w:val="20"/>
              </w:rPr>
            </w:pPr>
            <w:r w:rsidRPr="00136CA1">
              <w:rPr>
                <w:rFonts w:ascii="Arial" w:hAnsi="Arial" w:cs="Arial"/>
                <w:sz w:val="20"/>
                <w:szCs w:val="20"/>
              </w:rPr>
              <w:t>Tapentadol (Nucynta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bl>
    <w:p w:rsidR="004F44E7" w:rsidRPr="00E16889" w:rsidRDefault="00E16889" w:rsidP="00E212A9">
      <w:pPr>
        <w:pStyle w:val="NoSpacing"/>
        <w:rPr>
          <w:rFonts w:ascii="Arial" w:hAnsi="Arial" w:cs="Arial"/>
          <w:sz w:val="16"/>
          <w:szCs w:val="16"/>
        </w:rPr>
      </w:pPr>
      <w:r w:rsidRPr="00E16889">
        <w:rPr>
          <w:rFonts w:ascii="Arial" w:hAnsi="Arial" w:cs="Arial"/>
          <w:sz w:val="16"/>
          <w:szCs w:val="16"/>
        </w:rPr>
        <w:t>*Manufacturer reports launch scheduled for Q1 2017</w:t>
      </w:r>
    </w:p>
    <w:p w:rsidR="00E16889" w:rsidRDefault="00E16889" w:rsidP="00E212A9">
      <w:pPr>
        <w:pStyle w:val="NoSpacing"/>
        <w:rPr>
          <w:rFonts w:ascii="Arial" w:hAnsi="Arial" w:cs="Arial"/>
          <w:b/>
          <w:sz w:val="20"/>
          <w:szCs w:val="20"/>
        </w:rPr>
      </w:pPr>
    </w:p>
    <w:p w:rsidR="00201C3C" w:rsidRDefault="00A0691A" w:rsidP="00201C3C">
      <w:pPr>
        <w:pStyle w:val="NoSpacing"/>
        <w:rPr>
          <w:rFonts w:ascii="Arial" w:hAnsi="Arial" w:cs="Arial"/>
          <w:b/>
          <w:sz w:val="20"/>
          <w:szCs w:val="20"/>
          <w:u w:val="single"/>
        </w:rPr>
      </w:pPr>
      <w:r>
        <w:rPr>
          <w:rFonts w:ascii="Arial" w:hAnsi="Arial" w:cs="Arial"/>
          <w:b/>
          <w:sz w:val="20"/>
          <w:szCs w:val="20"/>
          <w:u w:val="single"/>
        </w:rPr>
        <w:t>Therapeutic Indications/Efficacy</w:t>
      </w:r>
    </w:p>
    <w:p w:rsidR="00526C44" w:rsidRDefault="009D3713" w:rsidP="00FD63AA">
      <w:pPr>
        <w:spacing w:after="0" w:line="240" w:lineRule="auto"/>
        <w:rPr>
          <w:rFonts w:ascii="Arial" w:hAnsi="Arial" w:cs="Arial"/>
          <w:sz w:val="20"/>
          <w:szCs w:val="20"/>
        </w:rPr>
      </w:pPr>
      <w:r w:rsidRPr="00872CBA">
        <w:rPr>
          <w:rFonts w:ascii="Arial" w:hAnsi="Arial" w:cs="Arial"/>
          <w:sz w:val="20"/>
          <w:szCs w:val="20"/>
        </w:rPr>
        <w:t>The available efficacy and safety studies</w:t>
      </w:r>
      <w:r>
        <w:rPr>
          <w:rFonts w:ascii="Arial" w:hAnsi="Arial" w:cs="Arial"/>
          <w:sz w:val="20"/>
          <w:szCs w:val="20"/>
        </w:rPr>
        <w:t>,</w:t>
      </w:r>
      <w:r w:rsidRPr="00872CBA">
        <w:rPr>
          <w:rFonts w:ascii="Arial" w:hAnsi="Arial" w:cs="Arial"/>
          <w:sz w:val="20"/>
          <w:szCs w:val="20"/>
        </w:rPr>
        <w:t xml:space="preserve"> as well as trials assessing the abuse-deterrence of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w:t>
      </w:r>
      <w:r w:rsidR="000A09E6">
        <w:rPr>
          <w:rFonts w:ascii="Arial" w:hAnsi="Arial" w:cs="Arial"/>
          <w:sz w:val="20"/>
          <w:szCs w:val="20"/>
        </w:rPr>
        <w:t>oxycodone/naltrexone</w:t>
      </w:r>
      <w:r>
        <w:rPr>
          <w:rFonts w:ascii="Arial" w:hAnsi="Arial" w:cs="Arial"/>
          <w:sz w:val="20"/>
          <w:szCs w:val="20"/>
        </w:rPr>
        <w:t xml:space="preserve"> extended-release),</w:t>
      </w:r>
      <w:r w:rsidRPr="00872CBA">
        <w:rPr>
          <w:rFonts w:ascii="Arial" w:hAnsi="Arial" w:cs="Arial"/>
          <w:sz w:val="20"/>
          <w:szCs w:val="20"/>
        </w:rPr>
        <w:t xml:space="preserve"> are outlined in Table 2.</w:t>
      </w:r>
    </w:p>
    <w:p w:rsidR="00F44B9D" w:rsidRDefault="00F44B9D" w:rsidP="00FD63AA">
      <w:pPr>
        <w:spacing w:after="0" w:line="240" w:lineRule="auto"/>
        <w:rPr>
          <w:rFonts w:ascii="Arial" w:hAnsi="Arial" w:cs="Arial"/>
          <w:sz w:val="20"/>
          <w:szCs w:val="20"/>
        </w:rPr>
      </w:pPr>
    </w:p>
    <w:p w:rsidR="00C96864" w:rsidRDefault="0098676F" w:rsidP="00FD63AA">
      <w:pPr>
        <w:spacing w:after="0" w:line="240" w:lineRule="auto"/>
        <w:rPr>
          <w:rFonts w:ascii="Arial" w:hAnsi="Arial" w:cs="Arial"/>
          <w:sz w:val="20"/>
          <w:szCs w:val="20"/>
        </w:rPr>
      </w:pPr>
      <w:r>
        <w:rPr>
          <w:rFonts w:ascii="Arial" w:hAnsi="Arial" w:cs="Arial"/>
          <w:sz w:val="20"/>
          <w:szCs w:val="20"/>
        </w:rPr>
        <w:t xml:space="preserve">A multicenter, enriched-enrollment, randomized, double-blind, placebo-controlled, phase III study involving 410 patients with </w:t>
      </w:r>
      <w:r w:rsidR="00792857">
        <w:rPr>
          <w:rFonts w:ascii="Arial" w:hAnsi="Arial" w:cs="Arial"/>
          <w:sz w:val="20"/>
          <w:szCs w:val="20"/>
        </w:rPr>
        <w:t xml:space="preserve">nonspecific </w:t>
      </w:r>
      <w:r>
        <w:rPr>
          <w:rFonts w:ascii="Arial" w:hAnsi="Arial" w:cs="Arial"/>
          <w:sz w:val="20"/>
          <w:szCs w:val="20"/>
        </w:rPr>
        <w:t xml:space="preserve">CLBP evaluated the efficacy of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w:t>
      </w:r>
      <w:r w:rsidR="000A09E6">
        <w:rPr>
          <w:rFonts w:ascii="Arial" w:hAnsi="Arial" w:cs="Arial"/>
          <w:sz w:val="20"/>
          <w:szCs w:val="20"/>
        </w:rPr>
        <w:t>oxycodone/naltrexone</w:t>
      </w:r>
      <w:r>
        <w:rPr>
          <w:rFonts w:ascii="Arial" w:hAnsi="Arial" w:cs="Arial"/>
          <w:sz w:val="20"/>
          <w:szCs w:val="20"/>
        </w:rPr>
        <w:t xml:space="preserve"> extended-release). Following a titration phase, 281 subjects were randomized to either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320E3D">
        <w:rPr>
          <w:rFonts w:ascii="Arial" w:hAnsi="Arial" w:cs="Arial"/>
          <w:bCs/>
          <w:sz w:val="20"/>
          <w:szCs w:val="20"/>
        </w:rPr>
        <w:t xml:space="preserve"> ER</w:t>
      </w:r>
      <w:r>
        <w:rPr>
          <w:rFonts w:ascii="Arial" w:hAnsi="Arial" w:cs="Arial"/>
          <w:bCs/>
          <w:sz w:val="20"/>
          <w:szCs w:val="20"/>
        </w:rPr>
        <w:t xml:space="preserve"> (</w:t>
      </w:r>
      <w:r w:rsidR="000A09E6">
        <w:rPr>
          <w:rFonts w:ascii="Arial" w:hAnsi="Arial" w:cs="Arial"/>
          <w:bCs/>
          <w:sz w:val="20"/>
          <w:szCs w:val="20"/>
        </w:rPr>
        <w:t>oxycodone/naltrexone</w:t>
      </w:r>
      <w:r w:rsidRPr="00E54689">
        <w:rPr>
          <w:rFonts w:ascii="Arial" w:hAnsi="Arial" w:cs="Arial"/>
          <w:bCs/>
          <w:sz w:val="20"/>
          <w:szCs w:val="20"/>
        </w:rPr>
        <w:t xml:space="preserve"> </w:t>
      </w:r>
      <w:r>
        <w:rPr>
          <w:rFonts w:ascii="Arial" w:hAnsi="Arial" w:cs="Arial"/>
          <w:bCs/>
          <w:sz w:val="20"/>
          <w:szCs w:val="20"/>
        </w:rPr>
        <w:t xml:space="preserve">extended-release) or placebo for 12 weeks. In the final two weeks of the double-blind treatment period, </w:t>
      </w:r>
      <w:r>
        <w:rPr>
          <w:rFonts w:ascii="Arial" w:hAnsi="Arial" w:cs="Arial"/>
          <w:sz w:val="20"/>
          <w:szCs w:val="20"/>
        </w:rPr>
        <w:t>t</w:t>
      </w:r>
      <w:r w:rsidRPr="00E4185B">
        <w:rPr>
          <w:rFonts w:ascii="Arial" w:hAnsi="Arial" w:cs="Arial"/>
          <w:sz w:val="20"/>
          <w:szCs w:val="20"/>
        </w:rPr>
        <w:t xml:space="preserve">reatment with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E4185B">
        <w:rPr>
          <w:rFonts w:ascii="Arial" w:hAnsi="Arial" w:cs="Arial"/>
          <w:sz w:val="20"/>
          <w:szCs w:val="20"/>
        </w:rPr>
        <w:t xml:space="preserve"> ER (</w:t>
      </w:r>
      <w:r w:rsidR="000A09E6">
        <w:rPr>
          <w:rFonts w:ascii="Arial" w:hAnsi="Arial" w:cs="Arial"/>
          <w:sz w:val="20"/>
          <w:szCs w:val="20"/>
        </w:rPr>
        <w:t>oxycodone/naltrexone</w:t>
      </w:r>
      <w:r w:rsidRPr="00E4185B">
        <w:rPr>
          <w:rFonts w:ascii="Arial" w:hAnsi="Arial" w:cs="Arial"/>
          <w:sz w:val="20"/>
          <w:szCs w:val="20"/>
        </w:rPr>
        <w:t xml:space="preserve"> extended-release) was associated with a lower </w:t>
      </w:r>
      <w:r>
        <w:rPr>
          <w:rFonts w:ascii="Arial" w:hAnsi="Arial" w:cs="Arial"/>
          <w:sz w:val="20"/>
          <w:szCs w:val="20"/>
        </w:rPr>
        <w:t>increase</w:t>
      </w:r>
      <w:r w:rsidRPr="00E4185B">
        <w:rPr>
          <w:rFonts w:ascii="Arial" w:hAnsi="Arial" w:cs="Arial"/>
          <w:sz w:val="20"/>
          <w:szCs w:val="20"/>
        </w:rPr>
        <w:t xml:space="preserve"> in mean </w:t>
      </w:r>
      <w:r w:rsidR="00633DFD">
        <w:rPr>
          <w:rFonts w:ascii="Arial" w:hAnsi="Arial" w:cs="Arial"/>
          <w:sz w:val="20"/>
          <w:szCs w:val="20"/>
        </w:rPr>
        <w:t>NRS</w:t>
      </w:r>
      <w:r>
        <w:rPr>
          <w:rFonts w:ascii="Arial" w:hAnsi="Arial" w:cs="Arial"/>
          <w:sz w:val="20"/>
          <w:szCs w:val="20"/>
        </w:rPr>
        <w:t xml:space="preserve"> </w:t>
      </w:r>
      <w:r w:rsidRPr="00E4185B">
        <w:rPr>
          <w:rFonts w:ascii="Arial" w:hAnsi="Arial" w:cs="Arial"/>
          <w:sz w:val="20"/>
          <w:szCs w:val="20"/>
        </w:rPr>
        <w:t xml:space="preserve">pain score </w:t>
      </w:r>
      <w:r>
        <w:rPr>
          <w:rFonts w:ascii="Arial" w:hAnsi="Arial" w:cs="Arial"/>
          <w:sz w:val="20"/>
          <w:szCs w:val="20"/>
        </w:rPr>
        <w:t xml:space="preserve">from baseline (0.60; 95% </w:t>
      </w:r>
      <w:r w:rsidR="00E81533">
        <w:rPr>
          <w:rFonts w:ascii="Arial" w:hAnsi="Arial" w:cs="Arial"/>
          <w:sz w:val="20"/>
          <w:szCs w:val="20"/>
        </w:rPr>
        <w:t>CI</w:t>
      </w:r>
      <w:r>
        <w:rPr>
          <w:rFonts w:ascii="Arial" w:hAnsi="Arial" w:cs="Arial"/>
          <w:sz w:val="20"/>
          <w:szCs w:val="20"/>
        </w:rPr>
        <w:t xml:space="preserve">, 0.27 to 0.93) </w:t>
      </w:r>
      <w:r w:rsidRPr="00E4185B">
        <w:rPr>
          <w:rFonts w:ascii="Arial" w:hAnsi="Arial" w:cs="Arial"/>
          <w:sz w:val="20"/>
          <w:szCs w:val="20"/>
        </w:rPr>
        <w:t>compared to placebo</w:t>
      </w:r>
      <w:r>
        <w:rPr>
          <w:rFonts w:ascii="Arial" w:hAnsi="Arial" w:cs="Arial"/>
          <w:sz w:val="20"/>
          <w:szCs w:val="20"/>
        </w:rPr>
        <w:t xml:space="preserve"> </w:t>
      </w:r>
      <w:r w:rsidRPr="00E4185B">
        <w:rPr>
          <w:rFonts w:ascii="Arial" w:hAnsi="Arial" w:cs="Arial"/>
          <w:sz w:val="20"/>
          <w:szCs w:val="20"/>
        </w:rPr>
        <w:t>(</w:t>
      </w:r>
      <w:r>
        <w:rPr>
          <w:rFonts w:ascii="Arial" w:hAnsi="Arial" w:cs="Arial"/>
          <w:sz w:val="20"/>
          <w:szCs w:val="20"/>
        </w:rPr>
        <w:t>1.23; 95% CI, 0.87 to 1.58</w:t>
      </w:r>
      <w:r w:rsidRPr="00E4185B">
        <w:rPr>
          <w:rFonts w:ascii="Arial" w:hAnsi="Arial" w:cs="Arial"/>
          <w:sz w:val="20"/>
          <w:szCs w:val="20"/>
        </w:rPr>
        <w:t>; diff</w:t>
      </w:r>
      <w:r>
        <w:rPr>
          <w:rFonts w:ascii="Arial" w:hAnsi="Arial" w:cs="Arial"/>
          <w:sz w:val="20"/>
          <w:szCs w:val="20"/>
        </w:rPr>
        <w:t>erence, -0.62; P=0.0114).</w:t>
      </w:r>
      <w:r w:rsidR="00313407">
        <w:rPr>
          <w:rFonts w:ascii="Arial" w:hAnsi="Arial" w:cs="Arial"/>
          <w:sz w:val="20"/>
          <w:szCs w:val="20"/>
        </w:rPr>
        <w:t xml:space="preserve"> T</w:t>
      </w:r>
      <w:r>
        <w:rPr>
          <w:rFonts w:ascii="Arial" w:hAnsi="Arial" w:cs="Arial"/>
          <w:sz w:val="20"/>
          <w:szCs w:val="20"/>
        </w:rPr>
        <w:t xml:space="preserve">reatment with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E4185B">
        <w:rPr>
          <w:rFonts w:ascii="Arial" w:hAnsi="Arial" w:cs="Arial"/>
          <w:sz w:val="20"/>
          <w:szCs w:val="20"/>
        </w:rPr>
        <w:t xml:space="preserve"> ER (</w:t>
      </w:r>
      <w:r w:rsidR="000A09E6">
        <w:rPr>
          <w:rFonts w:ascii="Arial" w:hAnsi="Arial" w:cs="Arial"/>
          <w:sz w:val="20"/>
          <w:szCs w:val="20"/>
        </w:rPr>
        <w:t>oxycodone/naltrexone</w:t>
      </w:r>
      <w:r w:rsidRPr="00E4185B">
        <w:rPr>
          <w:rFonts w:ascii="Arial" w:hAnsi="Arial" w:cs="Arial"/>
          <w:sz w:val="20"/>
          <w:szCs w:val="20"/>
        </w:rPr>
        <w:t xml:space="preserve"> extended-release)</w:t>
      </w:r>
      <w:r>
        <w:rPr>
          <w:rFonts w:ascii="Arial" w:hAnsi="Arial" w:cs="Arial"/>
          <w:sz w:val="20"/>
          <w:szCs w:val="20"/>
        </w:rPr>
        <w:t xml:space="preserve"> and placebo were both associated with an overall increase in mean NRS pain score from baseline in the final two weeks of the 12-week double-blind treatment period.</w:t>
      </w:r>
      <w:r w:rsidRPr="0098676F">
        <w:rPr>
          <w:rFonts w:ascii="Arial" w:hAnsi="Arial" w:cs="Arial"/>
          <w:sz w:val="20"/>
          <w:szCs w:val="20"/>
        </w:rPr>
        <w:t xml:space="preserve"> </w:t>
      </w:r>
      <w:r>
        <w:rPr>
          <w:rFonts w:ascii="Arial" w:hAnsi="Arial" w:cs="Arial"/>
          <w:sz w:val="20"/>
          <w:szCs w:val="20"/>
        </w:rPr>
        <w:t>Greater</w:t>
      </w:r>
      <w:r w:rsidRPr="00E4185B">
        <w:rPr>
          <w:rFonts w:ascii="Arial" w:hAnsi="Arial" w:cs="Arial"/>
          <w:sz w:val="20"/>
          <w:szCs w:val="20"/>
        </w:rPr>
        <w:t xml:space="preserve"> proportions of patients treated with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E4185B">
        <w:rPr>
          <w:rFonts w:ascii="Arial" w:hAnsi="Arial" w:cs="Arial"/>
          <w:sz w:val="20"/>
          <w:szCs w:val="20"/>
        </w:rPr>
        <w:t xml:space="preserve"> ER (</w:t>
      </w:r>
      <w:r w:rsidR="000A09E6">
        <w:rPr>
          <w:rFonts w:ascii="Arial" w:hAnsi="Arial" w:cs="Arial"/>
          <w:sz w:val="20"/>
          <w:szCs w:val="20"/>
        </w:rPr>
        <w:t>oxycodone/naltrexone</w:t>
      </w:r>
      <w:r w:rsidRPr="00E4185B">
        <w:rPr>
          <w:rFonts w:ascii="Arial" w:hAnsi="Arial" w:cs="Arial"/>
          <w:sz w:val="20"/>
          <w:szCs w:val="20"/>
        </w:rPr>
        <w:t xml:space="preserve"> extended-release) reported a ≥30% decrease (57.5 vs 44.0%, respectively; P=0.0248) and a ≥50% decrease (39.7 vs 29.9%, respectively; P=0.0874) in weekly average NRS pain score from baseline to the final two weeks of treatment compared to placebo.</w:t>
      </w:r>
      <w:r w:rsidRPr="009C2338">
        <w:t xml:space="preserve"> </w:t>
      </w:r>
      <w:r w:rsidRPr="00E4185B">
        <w:rPr>
          <w:rFonts w:ascii="Arial" w:hAnsi="Arial" w:cs="Arial"/>
          <w:sz w:val="20"/>
          <w:szCs w:val="20"/>
        </w:rPr>
        <w:t xml:space="preserve">Changes in </w:t>
      </w:r>
      <w:r w:rsidRPr="00B52C8F">
        <w:rPr>
          <w:rFonts w:ascii="Arial" w:hAnsi="Arial" w:cs="Arial"/>
          <w:sz w:val="20"/>
          <w:szCs w:val="20"/>
        </w:rPr>
        <w:t xml:space="preserve">Roland Morris Disability Questionnaire </w:t>
      </w:r>
      <w:r>
        <w:rPr>
          <w:rFonts w:ascii="Arial" w:hAnsi="Arial" w:cs="Arial"/>
          <w:sz w:val="20"/>
          <w:szCs w:val="20"/>
        </w:rPr>
        <w:t>(</w:t>
      </w:r>
      <w:r w:rsidRPr="00E4185B">
        <w:rPr>
          <w:rFonts w:ascii="Arial" w:hAnsi="Arial" w:cs="Arial"/>
          <w:sz w:val="20"/>
          <w:szCs w:val="20"/>
        </w:rPr>
        <w:t>RMDQ</w:t>
      </w:r>
      <w:r>
        <w:rPr>
          <w:rFonts w:ascii="Arial" w:hAnsi="Arial" w:cs="Arial"/>
          <w:sz w:val="20"/>
          <w:szCs w:val="20"/>
        </w:rPr>
        <w:t>)</w:t>
      </w:r>
      <w:r w:rsidRPr="00E4185B">
        <w:rPr>
          <w:rFonts w:ascii="Arial" w:hAnsi="Arial" w:cs="Arial"/>
          <w:sz w:val="20"/>
          <w:szCs w:val="20"/>
        </w:rPr>
        <w:t xml:space="preserve"> score and </w:t>
      </w:r>
      <w:r w:rsidRPr="00B52C8F">
        <w:rPr>
          <w:rFonts w:ascii="Arial" w:hAnsi="Arial" w:cs="Arial"/>
          <w:sz w:val="20"/>
          <w:szCs w:val="20"/>
        </w:rPr>
        <w:t xml:space="preserve">Patient Global Assessment </w:t>
      </w:r>
      <w:r>
        <w:rPr>
          <w:rFonts w:ascii="Arial" w:hAnsi="Arial" w:cs="Arial"/>
          <w:sz w:val="20"/>
          <w:szCs w:val="20"/>
        </w:rPr>
        <w:t>(</w:t>
      </w:r>
      <w:r w:rsidRPr="00E4185B">
        <w:rPr>
          <w:rFonts w:ascii="Arial" w:hAnsi="Arial" w:cs="Arial"/>
          <w:sz w:val="20"/>
          <w:szCs w:val="20"/>
        </w:rPr>
        <w:t>PGA</w:t>
      </w:r>
      <w:r>
        <w:rPr>
          <w:rFonts w:ascii="Arial" w:hAnsi="Arial" w:cs="Arial"/>
          <w:sz w:val="20"/>
          <w:szCs w:val="20"/>
        </w:rPr>
        <w:t>)</w:t>
      </w:r>
      <w:r w:rsidRPr="00E4185B">
        <w:rPr>
          <w:rFonts w:ascii="Arial" w:hAnsi="Arial" w:cs="Arial"/>
          <w:sz w:val="20"/>
          <w:szCs w:val="20"/>
        </w:rPr>
        <w:t xml:space="preserve"> of low back pain from baseline to 12 weeks were not significantly different between treatment groups. Treatment with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sidRPr="00E4185B">
        <w:rPr>
          <w:rFonts w:ascii="Arial" w:hAnsi="Arial" w:cs="Arial"/>
          <w:sz w:val="20"/>
          <w:szCs w:val="20"/>
        </w:rPr>
        <w:t xml:space="preserve"> ER (</w:t>
      </w:r>
      <w:r w:rsidR="000A09E6">
        <w:rPr>
          <w:rFonts w:ascii="Arial" w:hAnsi="Arial" w:cs="Arial"/>
          <w:sz w:val="20"/>
          <w:szCs w:val="20"/>
        </w:rPr>
        <w:t>oxycodone/naltrexone</w:t>
      </w:r>
      <w:r w:rsidRPr="00E4185B">
        <w:rPr>
          <w:rFonts w:ascii="Arial" w:hAnsi="Arial" w:cs="Arial"/>
          <w:sz w:val="20"/>
          <w:szCs w:val="20"/>
        </w:rPr>
        <w:t xml:space="preserve"> extended-release) was associated with a numerically lower rate of acetaminophen use compared to placebo (34.9 vs 43.3%), as well as a lower average dose (167.7 vs 252.1 mg/day, respectively</w:t>
      </w:r>
      <w:r>
        <w:rPr>
          <w:rFonts w:ascii="Arial" w:hAnsi="Arial" w:cs="Arial"/>
          <w:sz w:val="20"/>
          <w:szCs w:val="20"/>
        </w:rPr>
        <w:t>; P=0.939</w:t>
      </w:r>
      <w:r w:rsidRPr="00E4185B">
        <w:rPr>
          <w:rFonts w:ascii="Arial" w:hAnsi="Arial" w:cs="Arial"/>
          <w:sz w:val="20"/>
          <w:szCs w:val="20"/>
        </w:rPr>
        <w:t>)</w:t>
      </w:r>
      <w:r>
        <w:rPr>
          <w:rFonts w:ascii="Arial" w:hAnsi="Arial" w:cs="Arial"/>
          <w:sz w:val="20"/>
          <w:szCs w:val="20"/>
        </w:rPr>
        <w:t xml:space="preserve">. A total of 27.2% of patients randomized to treatment with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w:t>
      </w:r>
      <w:r w:rsidR="000A09E6">
        <w:rPr>
          <w:rFonts w:ascii="Arial" w:hAnsi="Arial" w:cs="Arial"/>
          <w:sz w:val="20"/>
          <w:szCs w:val="20"/>
        </w:rPr>
        <w:t>oxycodone/naltrexone</w:t>
      </w:r>
      <w:r w:rsidRPr="00E4185B">
        <w:rPr>
          <w:rFonts w:ascii="Arial" w:hAnsi="Arial" w:cs="Arial"/>
          <w:sz w:val="20"/>
          <w:szCs w:val="20"/>
        </w:rPr>
        <w:t xml:space="preserve"> extended-release</w:t>
      </w:r>
      <w:r>
        <w:rPr>
          <w:rFonts w:ascii="Arial" w:hAnsi="Arial" w:cs="Arial"/>
          <w:sz w:val="20"/>
          <w:szCs w:val="20"/>
        </w:rPr>
        <w:t>) discontinued treatment during the double-blind treatment period. Notably, only 43.6% of patients in the intent-to-treat population had used opioids in the 30 days prior to the initiation of the study.</w:t>
      </w:r>
      <w:r w:rsidR="00633DFD">
        <w:rPr>
          <w:rFonts w:ascii="Arial" w:hAnsi="Arial" w:cs="Arial"/>
          <w:sz w:val="20"/>
          <w:szCs w:val="20"/>
          <w:vertAlign w:val="superscript"/>
        </w:rPr>
        <w:t>3</w:t>
      </w:r>
    </w:p>
    <w:p w:rsidR="0098676F" w:rsidRDefault="0098676F" w:rsidP="00FD63AA">
      <w:pPr>
        <w:spacing w:after="0" w:line="240" w:lineRule="auto"/>
        <w:rPr>
          <w:rFonts w:ascii="Arial" w:hAnsi="Arial" w:cs="Arial"/>
          <w:sz w:val="20"/>
          <w:szCs w:val="20"/>
        </w:rPr>
      </w:pPr>
    </w:p>
    <w:p w:rsidR="0098676F" w:rsidRPr="00965270" w:rsidRDefault="0098676F" w:rsidP="00FD63AA">
      <w:pPr>
        <w:spacing w:after="0" w:line="240" w:lineRule="auto"/>
        <w:rPr>
          <w:rFonts w:ascii="Arial" w:hAnsi="Arial" w:cs="Arial"/>
          <w:sz w:val="20"/>
          <w:szCs w:val="20"/>
        </w:rPr>
      </w:pPr>
      <w:r>
        <w:rPr>
          <w:rFonts w:ascii="Arial" w:hAnsi="Arial" w:cs="Arial"/>
          <w:sz w:val="20"/>
          <w:szCs w:val="20"/>
        </w:rPr>
        <w:t xml:space="preserve">A multicenter, open-label, phase III study involving 395 patients with moderate-to-severe CNCP evaluated the safety and efficacy of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w:t>
      </w:r>
      <w:r w:rsidRPr="0098676F">
        <w:rPr>
          <w:rFonts w:ascii="Arial" w:hAnsi="Arial" w:cs="Arial"/>
          <w:sz w:val="20"/>
          <w:szCs w:val="20"/>
        </w:rPr>
        <w:t>(</w:t>
      </w:r>
      <w:r w:rsidR="000A09E6">
        <w:rPr>
          <w:rFonts w:ascii="Arial" w:hAnsi="Arial" w:cs="Arial"/>
          <w:sz w:val="20"/>
          <w:szCs w:val="20"/>
        </w:rPr>
        <w:t>oxycodone/naltrexone</w:t>
      </w:r>
      <w:r w:rsidRPr="0098676F">
        <w:rPr>
          <w:rFonts w:ascii="Arial" w:hAnsi="Arial" w:cs="Arial"/>
          <w:sz w:val="20"/>
          <w:szCs w:val="20"/>
        </w:rPr>
        <w:t xml:space="preserve"> extended-release)</w:t>
      </w:r>
      <w:r w:rsidR="00380931">
        <w:rPr>
          <w:rFonts w:ascii="Arial" w:hAnsi="Arial" w:cs="Arial"/>
          <w:sz w:val="20"/>
          <w:szCs w:val="20"/>
        </w:rPr>
        <w:t xml:space="preserve"> over 12 months</w:t>
      </w:r>
      <w:r>
        <w:rPr>
          <w:rFonts w:ascii="Arial" w:hAnsi="Arial" w:cs="Arial"/>
          <w:sz w:val="20"/>
          <w:szCs w:val="20"/>
        </w:rPr>
        <w:t xml:space="preserve">. </w:t>
      </w:r>
      <w:r w:rsidR="00084F1A">
        <w:rPr>
          <w:rFonts w:ascii="Arial" w:hAnsi="Arial" w:cs="Arial"/>
          <w:sz w:val="20"/>
          <w:szCs w:val="20"/>
        </w:rPr>
        <w:t xml:space="preserve">Opioid-naïve patients initiated therapy with </w:t>
      </w:r>
      <w:proofErr w:type="spellStart"/>
      <w:r w:rsidR="00084F1A">
        <w:rPr>
          <w:rFonts w:ascii="Arial" w:hAnsi="Arial" w:cs="Arial"/>
          <w:sz w:val="20"/>
          <w:szCs w:val="20"/>
        </w:rPr>
        <w:t>Troxyca</w:t>
      </w:r>
      <w:proofErr w:type="spellEnd"/>
      <w:r w:rsidR="00084F1A">
        <w:rPr>
          <w:rFonts w:ascii="Arial" w:hAnsi="Arial" w:cs="Arial"/>
          <w:sz w:val="20"/>
          <w:szCs w:val="20"/>
          <w:vertAlign w:val="superscript"/>
        </w:rPr>
        <w:t>®</w:t>
      </w:r>
      <w:r w:rsidR="00084F1A">
        <w:rPr>
          <w:rFonts w:ascii="Arial" w:hAnsi="Arial" w:cs="Arial"/>
          <w:sz w:val="20"/>
          <w:szCs w:val="20"/>
        </w:rPr>
        <w:t xml:space="preserve"> ER </w:t>
      </w:r>
      <w:r w:rsidR="00084F1A" w:rsidRPr="0098676F">
        <w:rPr>
          <w:rFonts w:ascii="Arial" w:hAnsi="Arial" w:cs="Arial"/>
          <w:sz w:val="20"/>
          <w:szCs w:val="20"/>
        </w:rPr>
        <w:t>(</w:t>
      </w:r>
      <w:r w:rsidR="000A09E6">
        <w:rPr>
          <w:rFonts w:ascii="Arial" w:hAnsi="Arial" w:cs="Arial"/>
          <w:sz w:val="20"/>
          <w:szCs w:val="20"/>
        </w:rPr>
        <w:t>oxycodone/naltrexone</w:t>
      </w:r>
      <w:r w:rsidR="00084F1A" w:rsidRPr="0098676F">
        <w:rPr>
          <w:rFonts w:ascii="Arial" w:hAnsi="Arial" w:cs="Arial"/>
          <w:sz w:val="20"/>
          <w:szCs w:val="20"/>
        </w:rPr>
        <w:t xml:space="preserve"> extended-release)</w:t>
      </w:r>
      <w:r w:rsidR="00084F1A">
        <w:rPr>
          <w:rFonts w:ascii="Arial" w:hAnsi="Arial" w:cs="Arial"/>
          <w:sz w:val="20"/>
          <w:szCs w:val="20"/>
        </w:rPr>
        <w:t xml:space="preserve"> 10 mg twice daily and opioid-experienced patients converted to </w:t>
      </w:r>
      <w:proofErr w:type="spellStart"/>
      <w:r w:rsidR="00084F1A">
        <w:rPr>
          <w:rFonts w:ascii="Arial" w:hAnsi="Arial" w:cs="Arial"/>
          <w:sz w:val="20"/>
          <w:szCs w:val="20"/>
        </w:rPr>
        <w:t>Troxyca</w:t>
      </w:r>
      <w:proofErr w:type="spellEnd"/>
      <w:r w:rsidR="00084F1A">
        <w:rPr>
          <w:rFonts w:ascii="Arial" w:hAnsi="Arial" w:cs="Arial"/>
          <w:sz w:val="20"/>
          <w:szCs w:val="20"/>
          <w:vertAlign w:val="superscript"/>
        </w:rPr>
        <w:t>®</w:t>
      </w:r>
      <w:r w:rsidR="00084F1A">
        <w:rPr>
          <w:rFonts w:ascii="Arial" w:hAnsi="Arial" w:cs="Arial"/>
          <w:sz w:val="20"/>
          <w:szCs w:val="20"/>
        </w:rPr>
        <w:t xml:space="preserve"> ER </w:t>
      </w:r>
      <w:r w:rsidR="00084F1A" w:rsidRPr="0098676F">
        <w:rPr>
          <w:rFonts w:ascii="Arial" w:hAnsi="Arial" w:cs="Arial"/>
          <w:sz w:val="20"/>
          <w:szCs w:val="20"/>
        </w:rPr>
        <w:t>(</w:t>
      </w:r>
      <w:r w:rsidR="000A09E6">
        <w:rPr>
          <w:rFonts w:ascii="Arial" w:hAnsi="Arial" w:cs="Arial"/>
          <w:sz w:val="20"/>
          <w:szCs w:val="20"/>
        </w:rPr>
        <w:t>oxycodone/naltrexone</w:t>
      </w:r>
      <w:r w:rsidR="00084F1A" w:rsidRPr="0098676F">
        <w:rPr>
          <w:rFonts w:ascii="Arial" w:hAnsi="Arial" w:cs="Arial"/>
          <w:sz w:val="20"/>
          <w:szCs w:val="20"/>
        </w:rPr>
        <w:t xml:space="preserve"> extended-release)</w:t>
      </w:r>
      <w:r w:rsidR="00084F1A">
        <w:rPr>
          <w:rFonts w:ascii="Arial" w:hAnsi="Arial" w:cs="Arial"/>
          <w:sz w:val="20"/>
          <w:szCs w:val="20"/>
        </w:rPr>
        <w:t xml:space="preserve"> based on their current daily opioid dose; dose adjustments were made at </w:t>
      </w:r>
      <w:r w:rsidR="00084F1A" w:rsidRPr="00965270">
        <w:rPr>
          <w:rFonts w:ascii="Arial" w:hAnsi="Arial" w:cs="Arial"/>
          <w:sz w:val="20"/>
          <w:szCs w:val="20"/>
        </w:rPr>
        <w:t xml:space="preserve">the investigator’s discretion. </w:t>
      </w:r>
      <w:r w:rsidRPr="00965270">
        <w:rPr>
          <w:rFonts w:ascii="Arial" w:hAnsi="Arial" w:cs="Arial"/>
          <w:sz w:val="20"/>
          <w:szCs w:val="20"/>
        </w:rPr>
        <w:t xml:space="preserve">The primary endpoint was the number and type of TEAE associated with treatment with </w:t>
      </w:r>
      <w:proofErr w:type="spellStart"/>
      <w:r w:rsidRPr="00965270">
        <w:rPr>
          <w:rFonts w:ascii="Arial" w:hAnsi="Arial" w:cs="Arial"/>
          <w:bCs/>
          <w:sz w:val="20"/>
          <w:szCs w:val="20"/>
        </w:rPr>
        <w:t>Troxyca</w:t>
      </w:r>
      <w:proofErr w:type="spellEnd"/>
      <w:r w:rsidRPr="00965270">
        <w:rPr>
          <w:rFonts w:ascii="Arial" w:hAnsi="Arial" w:cs="Arial"/>
          <w:bCs/>
          <w:sz w:val="20"/>
          <w:szCs w:val="20"/>
          <w:vertAlign w:val="superscript"/>
        </w:rPr>
        <w:t>®</w:t>
      </w:r>
      <w:r w:rsidRPr="00965270">
        <w:rPr>
          <w:rFonts w:ascii="Arial" w:hAnsi="Arial" w:cs="Arial"/>
          <w:sz w:val="20"/>
          <w:szCs w:val="20"/>
        </w:rPr>
        <w:t xml:space="preserve"> ER (</w:t>
      </w:r>
      <w:r w:rsidR="000A09E6">
        <w:rPr>
          <w:rFonts w:ascii="Arial" w:hAnsi="Arial" w:cs="Arial"/>
          <w:sz w:val="20"/>
          <w:szCs w:val="20"/>
        </w:rPr>
        <w:t>oxycodone/naltrexone</w:t>
      </w:r>
      <w:r w:rsidRPr="00965270">
        <w:rPr>
          <w:rFonts w:ascii="Arial" w:hAnsi="Arial" w:cs="Arial"/>
          <w:sz w:val="20"/>
          <w:szCs w:val="20"/>
        </w:rPr>
        <w:t xml:space="preserve"> extended-release) for up to 12 months. A total of 343 patients (86.8%) reported TEAE. However, only 207 patients (52.4%) reported</w:t>
      </w:r>
      <w:r w:rsidRPr="00965270">
        <w:rPr>
          <w:rFonts w:ascii="Arial" w:hAnsi="Arial" w:cs="Arial"/>
        </w:rPr>
        <w:t xml:space="preserve"> </w:t>
      </w:r>
      <w:r w:rsidRPr="00965270">
        <w:rPr>
          <w:rFonts w:ascii="Arial" w:hAnsi="Arial" w:cs="Arial"/>
          <w:sz w:val="20"/>
          <w:szCs w:val="20"/>
        </w:rPr>
        <w:t xml:space="preserve">treatment-related adverse events. The most common TEAE leading to discontinuation were nausea (4.6%), constipation (2.5%), and vomiting (2.0%). A total of 26 patients (6.6%) reported serious adverse events. The incidence of any TEAE was similar between opioid-naïve (85.9%) and opioid-experienced (87.1%) patients. </w:t>
      </w:r>
      <w:r w:rsidR="00603B58" w:rsidRPr="00965270">
        <w:rPr>
          <w:rFonts w:ascii="Arial" w:hAnsi="Arial" w:cs="Arial"/>
          <w:sz w:val="20"/>
          <w:szCs w:val="20"/>
        </w:rPr>
        <w:t xml:space="preserve">The decrease from baseline in mean </w:t>
      </w:r>
      <w:r w:rsidR="002B3721">
        <w:rPr>
          <w:rFonts w:ascii="Arial" w:hAnsi="Arial" w:cs="Arial"/>
          <w:sz w:val="20"/>
          <w:szCs w:val="20"/>
        </w:rPr>
        <w:t>BPI</w:t>
      </w:r>
      <w:r w:rsidR="00603B58" w:rsidRPr="00965270">
        <w:rPr>
          <w:rFonts w:ascii="Arial" w:hAnsi="Arial" w:cs="Arial"/>
          <w:sz w:val="20"/>
          <w:szCs w:val="20"/>
        </w:rPr>
        <w:t xml:space="preserve"> scores for worst, least, and average pain over the previous 24 hours and current pain was statistically significant at all visits except for least and current pain  at week one (P≤0.0273). </w:t>
      </w:r>
      <w:r w:rsidRPr="00965270">
        <w:rPr>
          <w:rFonts w:ascii="Arial" w:hAnsi="Arial" w:cs="Arial"/>
          <w:sz w:val="20"/>
          <w:szCs w:val="20"/>
        </w:rPr>
        <w:t>A total of 158 patients (40.0%) completed the 12 months of treatment. The most common reasons for discontinuation included TEAE (19.0%), withdrawal of consent (12.9%), and lack of efficacy (9.4%).</w:t>
      </w:r>
      <w:r w:rsidRPr="00965270">
        <w:rPr>
          <w:rFonts w:ascii="Arial" w:hAnsi="Arial" w:cs="Arial"/>
          <w:sz w:val="20"/>
          <w:szCs w:val="20"/>
          <w:vertAlign w:val="superscript"/>
        </w:rPr>
        <w:t>2</w:t>
      </w:r>
      <w:proofErr w:type="gramStart"/>
      <w:r w:rsidR="003B4259">
        <w:rPr>
          <w:rFonts w:ascii="Arial" w:hAnsi="Arial" w:cs="Arial"/>
          <w:sz w:val="20"/>
          <w:szCs w:val="20"/>
          <w:vertAlign w:val="superscript"/>
        </w:rPr>
        <w:t>,4</w:t>
      </w:r>
      <w:proofErr w:type="gramEnd"/>
    </w:p>
    <w:p w:rsidR="00FD63AA" w:rsidRPr="00965270" w:rsidRDefault="00FD63AA" w:rsidP="00FD63AA">
      <w:pPr>
        <w:spacing w:after="0" w:line="240" w:lineRule="auto"/>
        <w:rPr>
          <w:rFonts w:ascii="Arial" w:hAnsi="Arial" w:cs="Arial"/>
          <w:sz w:val="20"/>
          <w:szCs w:val="20"/>
        </w:rPr>
      </w:pPr>
    </w:p>
    <w:p w:rsidR="00D854CF" w:rsidRPr="00965270" w:rsidRDefault="00D55BB8" w:rsidP="00FD63AA">
      <w:pPr>
        <w:spacing w:after="0" w:line="240" w:lineRule="auto"/>
        <w:rPr>
          <w:rFonts w:ascii="Arial" w:hAnsi="Arial" w:cs="Arial"/>
          <w:sz w:val="20"/>
          <w:szCs w:val="20"/>
          <w:vertAlign w:val="superscript"/>
        </w:rPr>
      </w:pPr>
      <w:proofErr w:type="spellStart"/>
      <w:r w:rsidRPr="00965270">
        <w:rPr>
          <w:rFonts w:ascii="Arial" w:hAnsi="Arial" w:cs="Arial"/>
          <w:sz w:val="20"/>
          <w:szCs w:val="20"/>
        </w:rPr>
        <w:t>Troxyca</w:t>
      </w:r>
      <w:proofErr w:type="spellEnd"/>
      <w:r w:rsidRPr="00965270">
        <w:rPr>
          <w:rFonts w:ascii="Arial" w:hAnsi="Arial" w:cs="Arial"/>
          <w:sz w:val="20"/>
          <w:szCs w:val="20"/>
          <w:vertAlign w:val="superscript"/>
        </w:rPr>
        <w:t>®</w:t>
      </w:r>
      <w:r w:rsidRPr="00965270">
        <w:rPr>
          <w:rFonts w:ascii="Arial" w:hAnsi="Arial" w:cs="Arial"/>
          <w:sz w:val="20"/>
          <w:szCs w:val="20"/>
        </w:rPr>
        <w:t xml:space="preserve"> ER (</w:t>
      </w:r>
      <w:r w:rsidR="000A09E6">
        <w:rPr>
          <w:rFonts w:ascii="Arial" w:hAnsi="Arial" w:cs="Arial"/>
          <w:sz w:val="20"/>
          <w:szCs w:val="20"/>
        </w:rPr>
        <w:t>oxycodone/naltrexone</w:t>
      </w:r>
      <w:r w:rsidRPr="00965270">
        <w:rPr>
          <w:rFonts w:ascii="Arial" w:hAnsi="Arial" w:cs="Arial"/>
          <w:sz w:val="20"/>
          <w:szCs w:val="20"/>
        </w:rPr>
        <w:t xml:space="preserve"> extended-release) has been evaluated in abuse deterrence studies.</w:t>
      </w:r>
      <w:r w:rsidR="00F605F7">
        <w:rPr>
          <w:rFonts w:ascii="Arial" w:hAnsi="Arial" w:cs="Arial"/>
          <w:sz w:val="20"/>
          <w:szCs w:val="20"/>
          <w:vertAlign w:val="superscript"/>
        </w:rPr>
        <w:t>6,7</w:t>
      </w:r>
      <w:r w:rsidRPr="00965270">
        <w:rPr>
          <w:rFonts w:ascii="Arial" w:hAnsi="Arial" w:cs="Arial"/>
          <w:sz w:val="20"/>
          <w:szCs w:val="20"/>
        </w:rPr>
        <w:t xml:space="preserve"> In a single-center, randomized, double-blind, double-dummy, placebo-controlled, phase I, six-way crossover study</w:t>
      </w:r>
      <w:r w:rsidR="0065560A">
        <w:rPr>
          <w:rFonts w:ascii="Arial" w:hAnsi="Arial" w:cs="Arial"/>
          <w:sz w:val="20"/>
          <w:szCs w:val="20"/>
        </w:rPr>
        <w:t xml:space="preserve"> </w:t>
      </w:r>
      <w:r w:rsidRPr="00965270">
        <w:rPr>
          <w:rFonts w:ascii="Arial" w:hAnsi="Arial" w:cs="Arial"/>
          <w:sz w:val="20"/>
          <w:szCs w:val="20"/>
        </w:rPr>
        <w:t xml:space="preserve">that compared orally-administered </w:t>
      </w:r>
      <w:r w:rsidR="0065560A">
        <w:rPr>
          <w:rFonts w:ascii="Arial" w:hAnsi="Arial" w:cs="Arial"/>
          <w:sz w:val="20"/>
          <w:szCs w:val="20"/>
        </w:rPr>
        <w:t>crushed</w:t>
      </w:r>
      <w:r w:rsidRPr="00965270">
        <w:rPr>
          <w:rFonts w:ascii="Arial" w:hAnsi="Arial" w:cs="Arial"/>
          <w:sz w:val="20"/>
          <w:szCs w:val="20"/>
        </w:rPr>
        <w:t xml:space="preserve"> </w:t>
      </w:r>
      <w:proofErr w:type="spellStart"/>
      <w:r w:rsidRPr="00965270">
        <w:rPr>
          <w:rFonts w:ascii="Arial" w:hAnsi="Arial" w:cs="Arial"/>
          <w:sz w:val="20"/>
          <w:szCs w:val="20"/>
        </w:rPr>
        <w:t>Troxyca</w:t>
      </w:r>
      <w:proofErr w:type="spellEnd"/>
      <w:r w:rsidRPr="00965270">
        <w:rPr>
          <w:rFonts w:ascii="Arial" w:hAnsi="Arial" w:cs="Arial"/>
          <w:sz w:val="20"/>
          <w:szCs w:val="20"/>
          <w:vertAlign w:val="superscript"/>
        </w:rPr>
        <w:t>®</w:t>
      </w:r>
      <w:r w:rsidRPr="00965270">
        <w:rPr>
          <w:rFonts w:ascii="Arial" w:hAnsi="Arial" w:cs="Arial"/>
          <w:sz w:val="20"/>
          <w:szCs w:val="20"/>
        </w:rPr>
        <w:t xml:space="preserve"> ER (</w:t>
      </w:r>
      <w:r w:rsidR="000A09E6">
        <w:rPr>
          <w:rFonts w:ascii="Arial" w:hAnsi="Arial" w:cs="Arial"/>
          <w:sz w:val="20"/>
          <w:szCs w:val="20"/>
        </w:rPr>
        <w:t>oxycodone/naltrexone</w:t>
      </w:r>
      <w:r w:rsidRPr="00965270">
        <w:rPr>
          <w:rFonts w:ascii="Arial" w:hAnsi="Arial" w:cs="Arial"/>
          <w:sz w:val="20"/>
          <w:szCs w:val="20"/>
        </w:rPr>
        <w:t xml:space="preserve"> extended-release) </w:t>
      </w:r>
      <w:r w:rsidR="0065560A">
        <w:rPr>
          <w:rFonts w:ascii="Arial" w:hAnsi="Arial" w:cs="Arial"/>
          <w:sz w:val="20"/>
          <w:szCs w:val="20"/>
        </w:rPr>
        <w:t xml:space="preserve">and intact </w:t>
      </w:r>
      <w:proofErr w:type="spellStart"/>
      <w:r w:rsidR="0065560A" w:rsidRPr="00965270">
        <w:rPr>
          <w:rFonts w:ascii="Arial" w:hAnsi="Arial" w:cs="Arial"/>
          <w:sz w:val="20"/>
          <w:szCs w:val="20"/>
        </w:rPr>
        <w:t>Troxyca</w:t>
      </w:r>
      <w:proofErr w:type="spellEnd"/>
      <w:r w:rsidR="0065560A" w:rsidRPr="00965270">
        <w:rPr>
          <w:rFonts w:ascii="Arial" w:hAnsi="Arial" w:cs="Arial"/>
          <w:sz w:val="20"/>
          <w:szCs w:val="20"/>
          <w:vertAlign w:val="superscript"/>
        </w:rPr>
        <w:t>®</w:t>
      </w:r>
      <w:r w:rsidR="0065560A" w:rsidRPr="00965270">
        <w:rPr>
          <w:rFonts w:ascii="Arial" w:hAnsi="Arial" w:cs="Arial"/>
          <w:sz w:val="20"/>
          <w:szCs w:val="20"/>
        </w:rPr>
        <w:t xml:space="preserve"> ER (</w:t>
      </w:r>
      <w:r w:rsidR="000A09E6">
        <w:rPr>
          <w:rFonts w:ascii="Arial" w:hAnsi="Arial" w:cs="Arial"/>
          <w:sz w:val="20"/>
          <w:szCs w:val="20"/>
        </w:rPr>
        <w:t>oxycodone/naltrexone</w:t>
      </w:r>
      <w:r w:rsidR="0065560A" w:rsidRPr="00965270">
        <w:rPr>
          <w:rFonts w:ascii="Arial" w:hAnsi="Arial" w:cs="Arial"/>
          <w:sz w:val="20"/>
          <w:szCs w:val="20"/>
        </w:rPr>
        <w:t xml:space="preserve"> extended-release) </w:t>
      </w:r>
      <w:r w:rsidR="0065560A">
        <w:rPr>
          <w:rFonts w:ascii="Arial" w:hAnsi="Arial" w:cs="Arial"/>
          <w:sz w:val="20"/>
          <w:szCs w:val="20"/>
        </w:rPr>
        <w:t xml:space="preserve">capsules </w:t>
      </w:r>
      <w:r w:rsidRPr="00965270">
        <w:rPr>
          <w:rFonts w:ascii="Arial" w:hAnsi="Arial" w:cs="Arial"/>
          <w:sz w:val="20"/>
          <w:szCs w:val="20"/>
        </w:rPr>
        <w:t xml:space="preserve">to crushed oxycodone </w:t>
      </w:r>
      <w:r w:rsidR="00617131">
        <w:rPr>
          <w:rFonts w:ascii="Arial" w:hAnsi="Arial" w:cs="Arial"/>
          <w:sz w:val="20"/>
          <w:szCs w:val="20"/>
        </w:rPr>
        <w:t>IR</w:t>
      </w:r>
      <w:r w:rsidRPr="00965270">
        <w:rPr>
          <w:rFonts w:ascii="Arial" w:hAnsi="Arial" w:cs="Arial"/>
          <w:sz w:val="20"/>
          <w:szCs w:val="20"/>
        </w:rPr>
        <w:t xml:space="preserve"> tablets</w:t>
      </w:r>
      <w:r w:rsidR="0065560A">
        <w:rPr>
          <w:rFonts w:ascii="Arial" w:hAnsi="Arial" w:cs="Arial"/>
          <w:sz w:val="20"/>
          <w:szCs w:val="20"/>
        </w:rPr>
        <w:t xml:space="preserve"> </w:t>
      </w:r>
      <w:r w:rsidRPr="00965270">
        <w:rPr>
          <w:rFonts w:ascii="Arial" w:hAnsi="Arial" w:cs="Arial"/>
          <w:sz w:val="20"/>
          <w:szCs w:val="20"/>
        </w:rPr>
        <w:t>and placebo</w:t>
      </w:r>
      <w:r w:rsidR="0065560A" w:rsidRPr="0065560A">
        <w:rPr>
          <w:rFonts w:ascii="Arial" w:hAnsi="Arial" w:cs="Arial"/>
          <w:sz w:val="20"/>
          <w:szCs w:val="20"/>
        </w:rPr>
        <w:t xml:space="preserve"> </w:t>
      </w:r>
      <w:r w:rsidR="0065560A">
        <w:rPr>
          <w:rFonts w:ascii="Arial" w:hAnsi="Arial" w:cs="Arial"/>
          <w:sz w:val="20"/>
          <w:szCs w:val="20"/>
        </w:rPr>
        <w:t>in nondependent recreational opioid users</w:t>
      </w:r>
      <w:r w:rsidRPr="00965270">
        <w:rPr>
          <w:rFonts w:ascii="Arial" w:hAnsi="Arial" w:cs="Arial"/>
          <w:sz w:val="20"/>
          <w:szCs w:val="20"/>
        </w:rPr>
        <w:t xml:space="preserve">, the mean </w:t>
      </w:r>
      <w:r w:rsidR="00CE5C69">
        <w:rPr>
          <w:rFonts w:ascii="Arial" w:hAnsi="Arial" w:cs="Arial"/>
          <w:sz w:val="20"/>
          <w:szCs w:val="20"/>
        </w:rPr>
        <w:t xml:space="preserve">peak </w:t>
      </w:r>
      <w:r w:rsidRPr="00965270">
        <w:rPr>
          <w:rFonts w:ascii="Arial" w:hAnsi="Arial" w:cs="Arial"/>
          <w:sz w:val="20"/>
          <w:szCs w:val="20"/>
        </w:rPr>
        <w:t xml:space="preserve">effects of treatment based on the visual analogue scale (VAS) for </w:t>
      </w:r>
      <w:r w:rsidR="00D854CF" w:rsidRPr="00965270">
        <w:rPr>
          <w:rFonts w:ascii="Arial" w:hAnsi="Arial" w:cs="Arial"/>
          <w:sz w:val="20"/>
          <w:szCs w:val="20"/>
        </w:rPr>
        <w:t>“drug liking”</w:t>
      </w:r>
      <w:r w:rsidRPr="00965270">
        <w:rPr>
          <w:rFonts w:ascii="Arial" w:hAnsi="Arial" w:cs="Arial"/>
          <w:sz w:val="20"/>
          <w:szCs w:val="20"/>
        </w:rPr>
        <w:t xml:space="preserve"> were </w:t>
      </w:r>
      <w:r w:rsidR="00312D92">
        <w:rPr>
          <w:rFonts w:ascii="Arial" w:hAnsi="Arial" w:cs="Arial"/>
          <w:sz w:val="20"/>
          <w:szCs w:val="20"/>
        </w:rPr>
        <w:t>70.2</w:t>
      </w:r>
      <w:r w:rsidR="00D854CF" w:rsidRPr="00965270">
        <w:rPr>
          <w:rFonts w:ascii="Arial" w:hAnsi="Arial" w:cs="Arial"/>
          <w:sz w:val="20"/>
          <w:szCs w:val="20"/>
        </w:rPr>
        <w:t xml:space="preserve">, 59.3, 74.5, 85.5, 89.8, and 51.6 for the crushed 40 mg/4.8 mg pellets, intact 60 mg/7.2 mg capsules, crushed 60 mg/7.2 mg pellets, crushed oxycodone </w:t>
      </w:r>
      <w:r w:rsidR="003E7453">
        <w:rPr>
          <w:rFonts w:ascii="Arial" w:hAnsi="Arial" w:cs="Arial"/>
          <w:sz w:val="20"/>
          <w:szCs w:val="20"/>
        </w:rPr>
        <w:t xml:space="preserve">IR </w:t>
      </w:r>
      <w:r w:rsidR="00A8542F" w:rsidRPr="00965270">
        <w:rPr>
          <w:rFonts w:ascii="Arial" w:hAnsi="Arial" w:cs="Arial"/>
          <w:sz w:val="20"/>
          <w:szCs w:val="20"/>
        </w:rPr>
        <w:t xml:space="preserve">40 mg </w:t>
      </w:r>
      <w:r w:rsidR="00D854CF" w:rsidRPr="00965270">
        <w:rPr>
          <w:rFonts w:ascii="Arial" w:hAnsi="Arial" w:cs="Arial"/>
          <w:sz w:val="20"/>
          <w:szCs w:val="20"/>
        </w:rPr>
        <w:t>tablets, crushed oxycodone</w:t>
      </w:r>
      <w:r w:rsidR="003E7453">
        <w:rPr>
          <w:rFonts w:ascii="Arial" w:hAnsi="Arial" w:cs="Arial"/>
          <w:sz w:val="20"/>
          <w:szCs w:val="20"/>
        </w:rPr>
        <w:t xml:space="preserve"> IR</w:t>
      </w:r>
      <w:r w:rsidR="00D854CF" w:rsidRPr="00965270">
        <w:rPr>
          <w:rFonts w:ascii="Arial" w:hAnsi="Arial" w:cs="Arial"/>
          <w:sz w:val="20"/>
          <w:szCs w:val="20"/>
        </w:rPr>
        <w:t xml:space="preserve"> </w:t>
      </w:r>
      <w:r w:rsidR="00A8542F" w:rsidRPr="00965270">
        <w:rPr>
          <w:rFonts w:ascii="Arial" w:hAnsi="Arial" w:cs="Arial"/>
          <w:sz w:val="20"/>
          <w:szCs w:val="20"/>
        </w:rPr>
        <w:t xml:space="preserve">60 mg </w:t>
      </w:r>
      <w:r w:rsidR="00D854CF" w:rsidRPr="00965270">
        <w:rPr>
          <w:rFonts w:ascii="Arial" w:hAnsi="Arial" w:cs="Arial"/>
          <w:sz w:val="20"/>
          <w:szCs w:val="20"/>
        </w:rPr>
        <w:t xml:space="preserve">tablets, and placebo, respectively (P≤0.0001 for </w:t>
      </w:r>
      <w:r w:rsidR="00CB74D2">
        <w:rPr>
          <w:rFonts w:ascii="Arial" w:hAnsi="Arial" w:cs="Arial"/>
          <w:sz w:val="20"/>
          <w:szCs w:val="20"/>
        </w:rPr>
        <w:t>drug vs oxycodone IR;</w:t>
      </w:r>
      <w:r w:rsidR="00D854CF" w:rsidRPr="00965270">
        <w:rPr>
          <w:rFonts w:ascii="Arial" w:hAnsi="Arial" w:cs="Arial"/>
          <w:sz w:val="20"/>
          <w:szCs w:val="20"/>
        </w:rPr>
        <w:t xml:space="preserve"> P≤0.05</w:t>
      </w:r>
      <w:r w:rsidR="00CB74D2">
        <w:rPr>
          <w:rFonts w:ascii="Arial" w:hAnsi="Arial" w:cs="Arial"/>
          <w:sz w:val="20"/>
          <w:szCs w:val="20"/>
        </w:rPr>
        <w:t xml:space="preserve"> for drug vs placebo</w:t>
      </w:r>
      <w:r w:rsidR="00D854CF" w:rsidRPr="00965270">
        <w:rPr>
          <w:rFonts w:ascii="Arial" w:hAnsi="Arial" w:cs="Arial"/>
          <w:sz w:val="20"/>
          <w:szCs w:val="20"/>
        </w:rPr>
        <w:t xml:space="preserve">). The mean </w:t>
      </w:r>
      <w:r w:rsidR="00CE5C69">
        <w:rPr>
          <w:rFonts w:ascii="Arial" w:hAnsi="Arial" w:cs="Arial"/>
          <w:sz w:val="20"/>
          <w:szCs w:val="20"/>
        </w:rPr>
        <w:t xml:space="preserve">peak </w:t>
      </w:r>
      <w:r w:rsidR="00D854CF" w:rsidRPr="00965270">
        <w:rPr>
          <w:rFonts w:ascii="Arial" w:hAnsi="Arial" w:cs="Arial"/>
          <w:sz w:val="20"/>
          <w:szCs w:val="20"/>
        </w:rPr>
        <w:t>effects of treatment on the VAS for “high” were 55.4, 9.7, 71.6, 112.1, 117.7, and 2.8 for the crushed 40 mg/4.8 mg pellets, intact 60 mg/7.2 mg capsules, crushed 60 mg/7.2 mg pellets, crushed oxycodone</w:t>
      </w:r>
      <w:r w:rsidR="003E7453">
        <w:rPr>
          <w:rFonts w:ascii="Arial" w:hAnsi="Arial" w:cs="Arial"/>
          <w:sz w:val="20"/>
          <w:szCs w:val="20"/>
        </w:rPr>
        <w:t xml:space="preserve"> IR</w:t>
      </w:r>
      <w:r w:rsidR="00D854CF" w:rsidRPr="00965270">
        <w:rPr>
          <w:rFonts w:ascii="Arial" w:hAnsi="Arial" w:cs="Arial"/>
          <w:sz w:val="20"/>
          <w:szCs w:val="20"/>
        </w:rPr>
        <w:t xml:space="preserve"> </w:t>
      </w:r>
      <w:r w:rsidR="00A8542F" w:rsidRPr="00965270">
        <w:rPr>
          <w:rFonts w:ascii="Arial" w:hAnsi="Arial" w:cs="Arial"/>
          <w:sz w:val="20"/>
          <w:szCs w:val="20"/>
        </w:rPr>
        <w:t xml:space="preserve">40 mg </w:t>
      </w:r>
      <w:r w:rsidR="00D854CF" w:rsidRPr="00965270">
        <w:rPr>
          <w:rFonts w:ascii="Arial" w:hAnsi="Arial" w:cs="Arial"/>
          <w:sz w:val="20"/>
          <w:szCs w:val="20"/>
        </w:rPr>
        <w:t>tablets, crushed oxycodone</w:t>
      </w:r>
      <w:r w:rsidR="00A8542F">
        <w:rPr>
          <w:rFonts w:ascii="Arial" w:hAnsi="Arial" w:cs="Arial"/>
          <w:sz w:val="20"/>
          <w:szCs w:val="20"/>
        </w:rPr>
        <w:t xml:space="preserve"> </w:t>
      </w:r>
      <w:r w:rsidR="003E7453">
        <w:rPr>
          <w:rFonts w:ascii="Arial" w:hAnsi="Arial" w:cs="Arial"/>
          <w:sz w:val="20"/>
          <w:szCs w:val="20"/>
        </w:rPr>
        <w:t xml:space="preserve">IR </w:t>
      </w:r>
      <w:r w:rsidR="00A8542F" w:rsidRPr="00965270">
        <w:rPr>
          <w:rFonts w:ascii="Arial" w:hAnsi="Arial" w:cs="Arial"/>
          <w:sz w:val="20"/>
          <w:szCs w:val="20"/>
        </w:rPr>
        <w:t>60 mg</w:t>
      </w:r>
      <w:r w:rsidR="00D854CF" w:rsidRPr="00965270">
        <w:rPr>
          <w:rFonts w:ascii="Arial" w:hAnsi="Arial" w:cs="Arial"/>
          <w:sz w:val="20"/>
          <w:szCs w:val="20"/>
        </w:rPr>
        <w:t xml:space="preserve"> tablets, and placebo, respectively (</w:t>
      </w:r>
      <w:r w:rsidR="00CB74D2" w:rsidRPr="00CB74D2">
        <w:rPr>
          <w:rFonts w:ascii="Arial" w:hAnsi="Arial" w:cs="Arial"/>
          <w:sz w:val="20"/>
          <w:szCs w:val="20"/>
        </w:rPr>
        <w:t>P≤0.0001 for drug vs oxycodone IR; P≤0.05 for drug vs placebo</w:t>
      </w:r>
      <w:r w:rsidR="00FB3D0E" w:rsidRPr="00965270">
        <w:rPr>
          <w:rFonts w:ascii="Arial" w:hAnsi="Arial" w:cs="Arial"/>
          <w:sz w:val="20"/>
          <w:szCs w:val="20"/>
        </w:rPr>
        <w:t xml:space="preserve">). </w:t>
      </w:r>
      <w:r w:rsidR="00465C24" w:rsidRPr="00965270">
        <w:rPr>
          <w:rFonts w:ascii="Arial" w:hAnsi="Arial" w:cs="Arial"/>
          <w:sz w:val="20"/>
          <w:szCs w:val="20"/>
        </w:rPr>
        <w:t xml:space="preserve">Mean “take drug again” scores based on the VAS were also significantly lower for all dosages of crushed and intact </w:t>
      </w:r>
      <w:proofErr w:type="spellStart"/>
      <w:r w:rsidR="00465C24" w:rsidRPr="00965270">
        <w:rPr>
          <w:rFonts w:ascii="Arial" w:hAnsi="Arial" w:cs="Arial"/>
          <w:sz w:val="20"/>
          <w:szCs w:val="20"/>
        </w:rPr>
        <w:t>Troxyca</w:t>
      </w:r>
      <w:proofErr w:type="spellEnd"/>
      <w:r w:rsidR="00465C24" w:rsidRPr="00965270">
        <w:rPr>
          <w:rFonts w:ascii="Arial" w:hAnsi="Arial" w:cs="Arial"/>
          <w:sz w:val="20"/>
          <w:szCs w:val="20"/>
          <w:vertAlign w:val="superscript"/>
        </w:rPr>
        <w:t>®</w:t>
      </w:r>
      <w:r w:rsidR="00465C24" w:rsidRPr="00965270">
        <w:rPr>
          <w:rFonts w:ascii="Arial" w:hAnsi="Arial" w:cs="Arial"/>
          <w:sz w:val="20"/>
          <w:szCs w:val="20"/>
        </w:rPr>
        <w:t xml:space="preserve"> ER (</w:t>
      </w:r>
      <w:r w:rsidR="000A09E6">
        <w:rPr>
          <w:rFonts w:ascii="Arial" w:hAnsi="Arial" w:cs="Arial"/>
          <w:sz w:val="20"/>
          <w:szCs w:val="20"/>
        </w:rPr>
        <w:t>oxycodone/naltrexone</w:t>
      </w:r>
      <w:r w:rsidR="00465C24" w:rsidRPr="00965270">
        <w:rPr>
          <w:rFonts w:ascii="Arial" w:hAnsi="Arial" w:cs="Arial"/>
          <w:sz w:val="20"/>
          <w:szCs w:val="20"/>
        </w:rPr>
        <w:t xml:space="preserve"> extended-release) compared to corresponding doses of crushed oxycodone </w:t>
      </w:r>
      <w:r w:rsidR="00617131">
        <w:rPr>
          <w:rFonts w:ascii="Arial" w:hAnsi="Arial" w:cs="Arial"/>
          <w:sz w:val="20"/>
          <w:szCs w:val="20"/>
        </w:rPr>
        <w:t>IR</w:t>
      </w:r>
      <w:r w:rsidR="00617131" w:rsidRPr="00965270">
        <w:rPr>
          <w:rFonts w:ascii="Arial" w:hAnsi="Arial" w:cs="Arial"/>
          <w:sz w:val="20"/>
          <w:szCs w:val="20"/>
        </w:rPr>
        <w:t xml:space="preserve"> </w:t>
      </w:r>
      <w:r w:rsidR="00465C24" w:rsidRPr="00965270">
        <w:rPr>
          <w:rFonts w:ascii="Arial" w:hAnsi="Arial" w:cs="Arial"/>
          <w:sz w:val="20"/>
          <w:szCs w:val="20"/>
        </w:rPr>
        <w:t xml:space="preserve">(P&lt;0.001), with the exception of crushed </w:t>
      </w:r>
      <w:proofErr w:type="spellStart"/>
      <w:r w:rsidR="00465C24" w:rsidRPr="00965270">
        <w:rPr>
          <w:rFonts w:ascii="Arial" w:hAnsi="Arial" w:cs="Arial"/>
          <w:sz w:val="20"/>
          <w:szCs w:val="20"/>
        </w:rPr>
        <w:t>Troxyca</w:t>
      </w:r>
      <w:proofErr w:type="spellEnd"/>
      <w:r w:rsidR="00465C24" w:rsidRPr="00965270">
        <w:rPr>
          <w:rFonts w:ascii="Arial" w:hAnsi="Arial" w:cs="Arial"/>
          <w:sz w:val="20"/>
          <w:szCs w:val="20"/>
          <w:vertAlign w:val="superscript"/>
        </w:rPr>
        <w:t>®</w:t>
      </w:r>
      <w:r w:rsidR="00465C24" w:rsidRPr="00965270">
        <w:rPr>
          <w:rFonts w:ascii="Arial" w:hAnsi="Arial" w:cs="Arial"/>
          <w:sz w:val="20"/>
          <w:szCs w:val="20"/>
        </w:rPr>
        <w:t xml:space="preserve"> ER (</w:t>
      </w:r>
      <w:r w:rsidR="000A09E6">
        <w:rPr>
          <w:rFonts w:ascii="Arial" w:hAnsi="Arial" w:cs="Arial"/>
          <w:sz w:val="20"/>
          <w:szCs w:val="20"/>
        </w:rPr>
        <w:t>oxycodone/naltrexone</w:t>
      </w:r>
      <w:r w:rsidR="00465C24" w:rsidRPr="00965270">
        <w:rPr>
          <w:rFonts w:ascii="Arial" w:hAnsi="Arial" w:cs="Arial"/>
          <w:sz w:val="20"/>
          <w:szCs w:val="20"/>
        </w:rPr>
        <w:t xml:space="preserve"> extended-release) 60 </w:t>
      </w:r>
      <w:r w:rsidR="00845EE2">
        <w:rPr>
          <w:rFonts w:ascii="Arial" w:hAnsi="Arial" w:cs="Arial"/>
          <w:sz w:val="20"/>
          <w:szCs w:val="20"/>
        </w:rPr>
        <w:t>mg/7.2 mg vs</w:t>
      </w:r>
      <w:r w:rsidR="00465C24" w:rsidRPr="00965270">
        <w:rPr>
          <w:rFonts w:ascii="Arial" w:hAnsi="Arial" w:cs="Arial"/>
          <w:sz w:val="20"/>
          <w:szCs w:val="20"/>
        </w:rPr>
        <w:t xml:space="preserve"> crushed oxycodone </w:t>
      </w:r>
      <w:r w:rsidR="00617131">
        <w:rPr>
          <w:rFonts w:ascii="Arial" w:hAnsi="Arial" w:cs="Arial"/>
          <w:sz w:val="20"/>
          <w:szCs w:val="20"/>
        </w:rPr>
        <w:t>IR</w:t>
      </w:r>
      <w:r w:rsidR="00617131" w:rsidRPr="00965270">
        <w:rPr>
          <w:rFonts w:ascii="Arial" w:hAnsi="Arial" w:cs="Arial"/>
          <w:sz w:val="20"/>
          <w:szCs w:val="20"/>
        </w:rPr>
        <w:t xml:space="preserve"> </w:t>
      </w:r>
      <w:r w:rsidR="00465C24" w:rsidRPr="00965270">
        <w:rPr>
          <w:rFonts w:ascii="Arial" w:hAnsi="Arial" w:cs="Arial"/>
          <w:sz w:val="20"/>
          <w:szCs w:val="20"/>
        </w:rPr>
        <w:t>60 mg</w:t>
      </w:r>
      <w:r w:rsidR="00D854CF" w:rsidRPr="00965270">
        <w:rPr>
          <w:rFonts w:ascii="Arial" w:hAnsi="Arial" w:cs="Arial"/>
          <w:sz w:val="20"/>
          <w:szCs w:val="20"/>
        </w:rPr>
        <w:t>.</w:t>
      </w:r>
      <w:r w:rsidR="00DD1104" w:rsidRPr="00965270">
        <w:rPr>
          <w:rFonts w:ascii="Arial" w:hAnsi="Arial" w:cs="Arial"/>
          <w:sz w:val="20"/>
          <w:szCs w:val="20"/>
        </w:rPr>
        <w:t xml:space="preserve"> All crushed doses were administered as oral solutions.</w:t>
      </w:r>
      <w:r w:rsidR="00F605F7">
        <w:rPr>
          <w:rFonts w:ascii="Arial" w:hAnsi="Arial" w:cs="Arial"/>
          <w:sz w:val="20"/>
          <w:szCs w:val="20"/>
          <w:vertAlign w:val="superscript"/>
        </w:rPr>
        <w:t>6</w:t>
      </w:r>
    </w:p>
    <w:p w:rsidR="003C1ACB" w:rsidRPr="00965270" w:rsidRDefault="003C1ACB" w:rsidP="00FD63AA">
      <w:pPr>
        <w:spacing w:after="0" w:line="240" w:lineRule="auto"/>
        <w:rPr>
          <w:rFonts w:ascii="Arial" w:hAnsi="Arial" w:cs="Arial"/>
          <w:sz w:val="20"/>
          <w:szCs w:val="20"/>
        </w:rPr>
      </w:pPr>
    </w:p>
    <w:p w:rsidR="00D854CF" w:rsidRPr="00965270" w:rsidRDefault="00DD1104" w:rsidP="00FD63AA">
      <w:pPr>
        <w:spacing w:after="0" w:line="240" w:lineRule="auto"/>
        <w:rPr>
          <w:rFonts w:ascii="Arial" w:hAnsi="Arial" w:cs="Arial"/>
          <w:sz w:val="20"/>
          <w:szCs w:val="20"/>
          <w:vertAlign w:val="superscript"/>
        </w:rPr>
      </w:pPr>
      <w:r w:rsidRPr="00965270">
        <w:rPr>
          <w:rFonts w:ascii="Arial" w:hAnsi="Arial" w:cs="Arial"/>
          <w:sz w:val="20"/>
          <w:szCs w:val="20"/>
        </w:rPr>
        <w:t xml:space="preserve">In a randomized, double-blind, placebo and active-controlled, phase I, four-way crossover study that compared </w:t>
      </w:r>
      <w:proofErr w:type="spellStart"/>
      <w:r w:rsidRPr="00965270">
        <w:rPr>
          <w:rFonts w:ascii="Arial" w:hAnsi="Arial" w:cs="Arial"/>
          <w:sz w:val="20"/>
          <w:szCs w:val="20"/>
        </w:rPr>
        <w:t>intranasally</w:t>
      </w:r>
      <w:proofErr w:type="spellEnd"/>
      <w:r w:rsidRPr="00965270">
        <w:rPr>
          <w:rFonts w:ascii="Arial" w:hAnsi="Arial" w:cs="Arial"/>
          <w:sz w:val="20"/>
          <w:szCs w:val="20"/>
        </w:rPr>
        <w:t xml:space="preserve">-administered crushed </w:t>
      </w:r>
      <w:proofErr w:type="spellStart"/>
      <w:r w:rsidRPr="00965270">
        <w:rPr>
          <w:rFonts w:ascii="Arial" w:hAnsi="Arial" w:cs="Arial"/>
          <w:sz w:val="20"/>
          <w:szCs w:val="20"/>
        </w:rPr>
        <w:t>Troxyca</w:t>
      </w:r>
      <w:proofErr w:type="spellEnd"/>
      <w:r w:rsidRPr="00965270">
        <w:rPr>
          <w:rFonts w:ascii="Arial" w:hAnsi="Arial" w:cs="Arial"/>
          <w:sz w:val="20"/>
          <w:szCs w:val="20"/>
          <w:vertAlign w:val="superscript"/>
        </w:rPr>
        <w:t>®</w:t>
      </w:r>
      <w:r w:rsidRPr="00965270">
        <w:rPr>
          <w:rFonts w:ascii="Arial" w:hAnsi="Arial" w:cs="Arial"/>
          <w:sz w:val="20"/>
          <w:szCs w:val="20"/>
        </w:rPr>
        <w:t xml:space="preserve"> ER (</w:t>
      </w:r>
      <w:r w:rsidR="000A09E6">
        <w:rPr>
          <w:rFonts w:ascii="Arial" w:hAnsi="Arial" w:cs="Arial"/>
          <w:sz w:val="20"/>
          <w:szCs w:val="20"/>
        </w:rPr>
        <w:t>oxycodone/naltrexone</w:t>
      </w:r>
      <w:r w:rsidRPr="00965270">
        <w:rPr>
          <w:rFonts w:ascii="Arial" w:hAnsi="Arial" w:cs="Arial"/>
          <w:sz w:val="20"/>
          <w:szCs w:val="20"/>
        </w:rPr>
        <w:t xml:space="preserve"> extended-release) to crushed oxycodone </w:t>
      </w:r>
      <w:r w:rsidR="00617131">
        <w:rPr>
          <w:rFonts w:ascii="Arial" w:hAnsi="Arial" w:cs="Arial"/>
          <w:sz w:val="20"/>
          <w:szCs w:val="20"/>
        </w:rPr>
        <w:t>IR</w:t>
      </w:r>
      <w:r w:rsidR="00617131" w:rsidRPr="00965270">
        <w:rPr>
          <w:rFonts w:ascii="Arial" w:hAnsi="Arial" w:cs="Arial"/>
          <w:sz w:val="20"/>
          <w:szCs w:val="20"/>
        </w:rPr>
        <w:t xml:space="preserve"> </w:t>
      </w:r>
      <w:r w:rsidRPr="00965270">
        <w:rPr>
          <w:rFonts w:ascii="Arial" w:hAnsi="Arial" w:cs="Arial"/>
          <w:sz w:val="20"/>
          <w:szCs w:val="20"/>
        </w:rPr>
        <w:t>tablets and placebo</w:t>
      </w:r>
      <w:r w:rsidR="0065560A" w:rsidRPr="0065560A">
        <w:rPr>
          <w:rFonts w:ascii="Arial" w:hAnsi="Arial" w:cs="Arial"/>
          <w:sz w:val="20"/>
          <w:szCs w:val="20"/>
        </w:rPr>
        <w:t xml:space="preserve"> </w:t>
      </w:r>
      <w:r w:rsidR="0065560A">
        <w:rPr>
          <w:rFonts w:ascii="Arial" w:hAnsi="Arial" w:cs="Arial"/>
          <w:sz w:val="20"/>
          <w:szCs w:val="20"/>
        </w:rPr>
        <w:t>in nondependent recreational opioid users</w:t>
      </w:r>
      <w:r w:rsidRPr="00965270">
        <w:rPr>
          <w:rFonts w:ascii="Arial" w:hAnsi="Arial" w:cs="Arial"/>
          <w:sz w:val="20"/>
          <w:szCs w:val="20"/>
        </w:rPr>
        <w:t>, the mean</w:t>
      </w:r>
      <w:r w:rsidR="00CE5C69">
        <w:rPr>
          <w:rFonts w:ascii="Arial" w:hAnsi="Arial" w:cs="Arial"/>
          <w:sz w:val="20"/>
          <w:szCs w:val="20"/>
        </w:rPr>
        <w:t xml:space="preserve"> peak</w:t>
      </w:r>
      <w:r w:rsidRPr="00965270">
        <w:rPr>
          <w:rFonts w:ascii="Arial" w:hAnsi="Arial" w:cs="Arial"/>
          <w:sz w:val="20"/>
          <w:szCs w:val="20"/>
        </w:rPr>
        <w:t xml:space="preserve"> effects of treatment based on the VAS for “drug liking” were 51.0, 60.5, 51.3, and 92.8 for the </w:t>
      </w:r>
      <w:proofErr w:type="spellStart"/>
      <w:r w:rsidR="003E7453">
        <w:rPr>
          <w:rFonts w:ascii="Arial" w:hAnsi="Arial" w:cs="Arial"/>
          <w:sz w:val="20"/>
          <w:szCs w:val="20"/>
        </w:rPr>
        <w:t>Troxyca</w:t>
      </w:r>
      <w:proofErr w:type="spellEnd"/>
      <w:r w:rsidR="003E7453">
        <w:rPr>
          <w:rFonts w:ascii="Arial" w:hAnsi="Arial" w:cs="Arial"/>
          <w:sz w:val="20"/>
          <w:szCs w:val="20"/>
          <w:vertAlign w:val="superscript"/>
        </w:rPr>
        <w:t>®</w:t>
      </w:r>
      <w:r w:rsidR="003E7453">
        <w:rPr>
          <w:rFonts w:ascii="Arial" w:hAnsi="Arial" w:cs="Arial"/>
          <w:sz w:val="20"/>
          <w:szCs w:val="20"/>
        </w:rPr>
        <w:t xml:space="preserve"> ER </w:t>
      </w:r>
      <w:r w:rsidRPr="00965270">
        <w:rPr>
          <w:rFonts w:ascii="Arial" w:hAnsi="Arial" w:cs="Arial"/>
          <w:sz w:val="20"/>
          <w:szCs w:val="20"/>
        </w:rPr>
        <w:t>placebo</w:t>
      </w:r>
      <w:r w:rsidR="00965270" w:rsidRPr="00965270">
        <w:rPr>
          <w:rFonts w:ascii="Arial" w:hAnsi="Arial" w:cs="Arial"/>
          <w:sz w:val="20"/>
          <w:szCs w:val="20"/>
        </w:rPr>
        <w:t xml:space="preserve">, crushed 30 mg/3.6 mg pellets, the </w:t>
      </w:r>
      <w:r w:rsidR="003E7453">
        <w:rPr>
          <w:rFonts w:ascii="Arial" w:hAnsi="Arial" w:cs="Arial"/>
          <w:sz w:val="20"/>
          <w:szCs w:val="20"/>
        </w:rPr>
        <w:t xml:space="preserve">oxycodone IR </w:t>
      </w:r>
      <w:r w:rsidR="00965270" w:rsidRPr="00965270">
        <w:rPr>
          <w:rFonts w:ascii="Arial" w:hAnsi="Arial" w:cs="Arial"/>
          <w:sz w:val="20"/>
          <w:szCs w:val="20"/>
        </w:rPr>
        <w:t xml:space="preserve">placebo, and crushed oxycodone </w:t>
      </w:r>
      <w:r w:rsidR="003E7453">
        <w:rPr>
          <w:rFonts w:ascii="Arial" w:hAnsi="Arial" w:cs="Arial"/>
          <w:sz w:val="20"/>
          <w:szCs w:val="20"/>
        </w:rPr>
        <w:t xml:space="preserve">IR </w:t>
      </w:r>
      <w:r w:rsidR="00965270" w:rsidRPr="00965270">
        <w:rPr>
          <w:rFonts w:ascii="Arial" w:hAnsi="Arial" w:cs="Arial"/>
          <w:sz w:val="20"/>
          <w:szCs w:val="20"/>
        </w:rPr>
        <w:t>30 mg tablets, respectively (P≤0.01</w:t>
      </w:r>
      <w:r w:rsidR="00965270">
        <w:rPr>
          <w:rFonts w:ascii="Arial" w:hAnsi="Arial" w:cs="Arial"/>
          <w:sz w:val="20"/>
          <w:szCs w:val="20"/>
        </w:rPr>
        <w:t xml:space="preserve"> for drug vs placebo; P</w:t>
      </w:r>
      <w:r w:rsidR="00965270" w:rsidRPr="00965270">
        <w:rPr>
          <w:rFonts w:ascii="Arial" w:hAnsi="Arial" w:cs="Arial"/>
          <w:sz w:val="20"/>
          <w:szCs w:val="20"/>
        </w:rPr>
        <w:t>≤</w:t>
      </w:r>
      <w:r w:rsidR="00313254">
        <w:rPr>
          <w:rFonts w:ascii="Arial" w:hAnsi="Arial" w:cs="Arial"/>
          <w:sz w:val="20"/>
          <w:szCs w:val="20"/>
        </w:rPr>
        <w:t>0.0001 for drug vs</w:t>
      </w:r>
      <w:r w:rsidR="00965270">
        <w:rPr>
          <w:rFonts w:ascii="Arial" w:hAnsi="Arial" w:cs="Arial"/>
          <w:sz w:val="20"/>
          <w:szCs w:val="20"/>
        </w:rPr>
        <w:t xml:space="preserve"> oxycodone</w:t>
      </w:r>
      <w:r w:rsidR="003E7453">
        <w:rPr>
          <w:rFonts w:ascii="Arial" w:hAnsi="Arial" w:cs="Arial"/>
          <w:sz w:val="20"/>
          <w:szCs w:val="20"/>
        </w:rPr>
        <w:t xml:space="preserve"> IR</w:t>
      </w:r>
      <w:r w:rsidR="00965270">
        <w:rPr>
          <w:rFonts w:ascii="Arial" w:hAnsi="Arial" w:cs="Arial"/>
          <w:sz w:val="20"/>
          <w:szCs w:val="20"/>
        </w:rPr>
        <w:t>)</w:t>
      </w:r>
      <w:r w:rsidRPr="00965270">
        <w:rPr>
          <w:rFonts w:ascii="Arial" w:hAnsi="Arial" w:cs="Arial"/>
          <w:sz w:val="20"/>
          <w:szCs w:val="20"/>
        </w:rPr>
        <w:t xml:space="preserve">. The mean </w:t>
      </w:r>
      <w:r w:rsidR="00CE5C69">
        <w:rPr>
          <w:rFonts w:ascii="Arial" w:hAnsi="Arial" w:cs="Arial"/>
          <w:sz w:val="20"/>
          <w:szCs w:val="20"/>
        </w:rPr>
        <w:t xml:space="preserve">peak </w:t>
      </w:r>
      <w:r w:rsidRPr="00965270">
        <w:rPr>
          <w:rFonts w:ascii="Arial" w:hAnsi="Arial" w:cs="Arial"/>
          <w:sz w:val="20"/>
          <w:szCs w:val="20"/>
        </w:rPr>
        <w:t>effects of treatment on the VAS for “high” were</w:t>
      </w:r>
      <w:r w:rsidR="00965270">
        <w:rPr>
          <w:rFonts w:ascii="Arial" w:hAnsi="Arial" w:cs="Arial"/>
          <w:sz w:val="20"/>
          <w:szCs w:val="20"/>
        </w:rPr>
        <w:t xml:space="preserve"> 0.7, 25.2, 7.0, and 86.9 </w:t>
      </w:r>
      <w:r w:rsidR="00965270" w:rsidRPr="00965270">
        <w:rPr>
          <w:rFonts w:ascii="Arial" w:hAnsi="Arial" w:cs="Arial"/>
          <w:sz w:val="20"/>
          <w:szCs w:val="20"/>
        </w:rPr>
        <w:t xml:space="preserve">for the </w:t>
      </w:r>
      <w:proofErr w:type="spellStart"/>
      <w:r w:rsidR="003E7453">
        <w:rPr>
          <w:rFonts w:ascii="Arial" w:hAnsi="Arial" w:cs="Arial"/>
          <w:sz w:val="20"/>
          <w:szCs w:val="20"/>
        </w:rPr>
        <w:t>Troxyca</w:t>
      </w:r>
      <w:proofErr w:type="spellEnd"/>
      <w:r w:rsidR="003E7453">
        <w:rPr>
          <w:rFonts w:ascii="Arial" w:hAnsi="Arial" w:cs="Arial"/>
          <w:sz w:val="20"/>
          <w:szCs w:val="20"/>
          <w:vertAlign w:val="superscript"/>
        </w:rPr>
        <w:t>®</w:t>
      </w:r>
      <w:r w:rsidR="003E7453">
        <w:rPr>
          <w:rFonts w:ascii="Arial" w:hAnsi="Arial" w:cs="Arial"/>
          <w:sz w:val="20"/>
          <w:szCs w:val="20"/>
        </w:rPr>
        <w:t xml:space="preserve"> ER </w:t>
      </w:r>
      <w:r w:rsidR="00965270" w:rsidRPr="00965270">
        <w:rPr>
          <w:rFonts w:ascii="Arial" w:hAnsi="Arial" w:cs="Arial"/>
          <w:sz w:val="20"/>
          <w:szCs w:val="20"/>
        </w:rPr>
        <w:t>placebo, crushed 30 mg/3.6 mg pellets, the oxycodone</w:t>
      </w:r>
      <w:r w:rsidR="003E7453">
        <w:rPr>
          <w:rFonts w:ascii="Arial" w:hAnsi="Arial" w:cs="Arial"/>
          <w:sz w:val="20"/>
          <w:szCs w:val="20"/>
        </w:rPr>
        <w:t xml:space="preserve"> IR placebo</w:t>
      </w:r>
      <w:r w:rsidR="00965270" w:rsidRPr="00965270">
        <w:rPr>
          <w:rFonts w:ascii="Arial" w:hAnsi="Arial" w:cs="Arial"/>
          <w:sz w:val="20"/>
          <w:szCs w:val="20"/>
        </w:rPr>
        <w:t xml:space="preserve">, and crushed oxycodone </w:t>
      </w:r>
      <w:r w:rsidR="003E7453">
        <w:rPr>
          <w:rFonts w:ascii="Arial" w:hAnsi="Arial" w:cs="Arial"/>
          <w:sz w:val="20"/>
          <w:szCs w:val="20"/>
        </w:rPr>
        <w:t xml:space="preserve">IR </w:t>
      </w:r>
      <w:r w:rsidR="00965270" w:rsidRPr="00965270">
        <w:rPr>
          <w:rFonts w:ascii="Arial" w:hAnsi="Arial" w:cs="Arial"/>
          <w:sz w:val="20"/>
          <w:szCs w:val="20"/>
        </w:rPr>
        <w:t>30 mg tablets, respectively (P≤0.01</w:t>
      </w:r>
      <w:r w:rsidR="00965270">
        <w:rPr>
          <w:rFonts w:ascii="Arial" w:hAnsi="Arial" w:cs="Arial"/>
          <w:sz w:val="20"/>
          <w:szCs w:val="20"/>
        </w:rPr>
        <w:t xml:space="preserve"> for drug vs placebo; P</w:t>
      </w:r>
      <w:r w:rsidR="00965270" w:rsidRPr="00965270">
        <w:rPr>
          <w:rFonts w:ascii="Arial" w:hAnsi="Arial" w:cs="Arial"/>
          <w:sz w:val="20"/>
          <w:szCs w:val="20"/>
        </w:rPr>
        <w:t>≤</w:t>
      </w:r>
      <w:r w:rsidR="00313254">
        <w:rPr>
          <w:rFonts w:ascii="Arial" w:hAnsi="Arial" w:cs="Arial"/>
          <w:sz w:val="20"/>
          <w:szCs w:val="20"/>
        </w:rPr>
        <w:t>0.0001 for drug vs</w:t>
      </w:r>
      <w:r w:rsidR="00965270">
        <w:rPr>
          <w:rFonts w:ascii="Arial" w:hAnsi="Arial" w:cs="Arial"/>
          <w:sz w:val="20"/>
          <w:szCs w:val="20"/>
        </w:rPr>
        <w:t xml:space="preserve"> oxycodone</w:t>
      </w:r>
      <w:r w:rsidR="003E7453">
        <w:rPr>
          <w:rFonts w:ascii="Arial" w:hAnsi="Arial" w:cs="Arial"/>
          <w:sz w:val="20"/>
          <w:szCs w:val="20"/>
        </w:rPr>
        <w:t xml:space="preserve"> IR</w:t>
      </w:r>
      <w:r w:rsidR="00965270">
        <w:rPr>
          <w:rFonts w:ascii="Arial" w:hAnsi="Arial" w:cs="Arial"/>
          <w:sz w:val="20"/>
          <w:szCs w:val="20"/>
        </w:rPr>
        <w:t>)</w:t>
      </w:r>
      <w:r w:rsidR="00C779D2">
        <w:rPr>
          <w:rFonts w:ascii="Arial" w:hAnsi="Arial" w:cs="Arial"/>
          <w:sz w:val="20"/>
          <w:szCs w:val="20"/>
        </w:rPr>
        <w:t xml:space="preserve">. </w:t>
      </w:r>
      <w:r w:rsidR="00C779D2" w:rsidRPr="00965270">
        <w:rPr>
          <w:rFonts w:ascii="Arial" w:hAnsi="Arial" w:cs="Arial"/>
          <w:sz w:val="20"/>
          <w:szCs w:val="20"/>
        </w:rPr>
        <w:t>Mean “take drug again” scores based on the VAS were also significantly lower for</w:t>
      </w:r>
      <w:r w:rsidR="00C779D2">
        <w:rPr>
          <w:rFonts w:ascii="Arial" w:hAnsi="Arial" w:cs="Arial"/>
          <w:sz w:val="20"/>
          <w:szCs w:val="20"/>
        </w:rPr>
        <w:t xml:space="preserve"> crushed </w:t>
      </w:r>
      <w:proofErr w:type="spellStart"/>
      <w:r w:rsidR="00C779D2">
        <w:rPr>
          <w:rFonts w:ascii="Arial" w:hAnsi="Arial" w:cs="Arial"/>
          <w:sz w:val="20"/>
          <w:szCs w:val="20"/>
        </w:rPr>
        <w:t>T</w:t>
      </w:r>
      <w:r w:rsidR="00C779D2" w:rsidRPr="00965270">
        <w:rPr>
          <w:rFonts w:ascii="Arial" w:hAnsi="Arial" w:cs="Arial"/>
          <w:sz w:val="20"/>
          <w:szCs w:val="20"/>
        </w:rPr>
        <w:t>roxyca</w:t>
      </w:r>
      <w:proofErr w:type="spellEnd"/>
      <w:r w:rsidR="00C779D2" w:rsidRPr="00965270">
        <w:rPr>
          <w:rFonts w:ascii="Arial" w:hAnsi="Arial" w:cs="Arial"/>
          <w:sz w:val="20"/>
          <w:szCs w:val="20"/>
          <w:vertAlign w:val="superscript"/>
        </w:rPr>
        <w:t>®</w:t>
      </w:r>
      <w:r w:rsidR="00C779D2" w:rsidRPr="00965270">
        <w:rPr>
          <w:rFonts w:ascii="Arial" w:hAnsi="Arial" w:cs="Arial"/>
          <w:sz w:val="20"/>
          <w:szCs w:val="20"/>
        </w:rPr>
        <w:t xml:space="preserve"> ER (</w:t>
      </w:r>
      <w:r w:rsidR="000A09E6">
        <w:rPr>
          <w:rFonts w:ascii="Arial" w:hAnsi="Arial" w:cs="Arial"/>
          <w:sz w:val="20"/>
          <w:szCs w:val="20"/>
        </w:rPr>
        <w:t>oxycodone/naltrexone</w:t>
      </w:r>
      <w:r w:rsidR="00C779D2" w:rsidRPr="00965270">
        <w:rPr>
          <w:rFonts w:ascii="Arial" w:hAnsi="Arial" w:cs="Arial"/>
          <w:sz w:val="20"/>
          <w:szCs w:val="20"/>
        </w:rPr>
        <w:t xml:space="preserve"> extended-release)</w:t>
      </w:r>
      <w:r w:rsidR="00C779D2">
        <w:rPr>
          <w:rFonts w:ascii="Arial" w:hAnsi="Arial" w:cs="Arial"/>
          <w:sz w:val="20"/>
          <w:szCs w:val="20"/>
        </w:rPr>
        <w:t xml:space="preserve"> compared to the corresponding dose of crushed oxycodone </w:t>
      </w:r>
      <w:r w:rsidR="00617131">
        <w:rPr>
          <w:rFonts w:ascii="Arial" w:hAnsi="Arial" w:cs="Arial"/>
          <w:sz w:val="20"/>
          <w:szCs w:val="20"/>
        </w:rPr>
        <w:t>IR</w:t>
      </w:r>
      <w:r w:rsidR="00617131" w:rsidRPr="00965270">
        <w:rPr>
          <w:rFonts w:ascii="Arial" w:hAnsi="Arial" w:cs="Arial"/>
          <w:sz w:val="20"/>
          <w:szCs w:val="20"/>
        </w:rPr>
        <w:t xml:space="preserve"> </w:t>
      </w:r>
      <w:r w:rsidR="00C779D2">
        <w:rPr>
          <w:rFonts w:ascii="Arial" w:hAnsi="Arial" w:cs="Arial"/>
          <w:sz w:val="20"/>
          <w:szCs w:val="20"/>
        </w:rPr>
        <w:t>(P</w:t>
      </w:r>
      <w:r w:rsidR="00C779D2" w:rsidRPr="00965270">
        <w:rPr>
          <w:rFonts w:ascii="Arial" w:hAnsi="Arial" w:cs="Arial"/>
          <w:sz w:val="20"/>
          <w:szCs w:val="20"/>
        </w:rPr>
        <w:t>≤</w:t>
      </w:r>
      <w:r w:rsidR="00C779D2">
        <w:rPr>
          <w:rFonts w:ascii="Arial" w:hAnsi="Arial" w:cs="Arial"/>
          <w:sz w:val="20"/>
          <w:szCs w:val="20"/>
        </w:rPr>
        <w:t>0.0001)</w:t>
      </w:r>
      <w:r w:rsidRPr="00965270">
        <w:rPr>
          <w:rFonts w:ascii="Arial" w:hAnsi="Arial" w:cs="Arial"/>
          <w:sz w:val="20"/>
          <w:szCs w:val="20"/>
        </w:rPr>
        <w:t>.</w:t>
      </w:r>
      <w:r w:rsidR="00F605F7">
        <w:rPr>
          <w:rFonts w:ascii="Arial" w:hAnsi="Arial" w:cs="Arial"/>
          <w:sz w:val="20"/>
          <w:szCs w:val="20"/>
          <w:vertAlign w:val="superscript"/>
        </w:rPr>
        <w:t>7</w:t>
      </w:r>
    </w:p>
    <w:p w:rsidR="00AA3D30" w:rsidRDefault="00AA3D30" w:rsidP="00FD63AA">
      <w:pPr>
        <w:spacing w:after="0" w:line="240" w:lineRule="auto"/>
        <w:rPr>
          <w:rFonts w:ascii="Arial" w:hAnsi="Arial" w:cs="Arial"/>
          <w:sz w:val="20"/>
          <w:szCs w:val="20"/>
        </w:rPr>
      </w:pPr>
    </w:p>
    <w:p w:rsidR="00AA3D30" w:rsidRDefault="0065560A" w:rsidP="00FD63AA">
      <w:pPr>
        <w:spacing w:after="0" w:line="240" w:lineRule="auto"/>
        <w:rPr>
          <w:rFonts w:ascii="Arial" w:hAnsi="Arial" w:cs="Arial"/>
          <w:sz w:val="20"/>
          <w:szCs w:val="20"/>
        </w:rPr>
      </w:pPr>
      <w:r>
        <w:rPr>
          <w:rFonts w:ascii="Arial" w:hAnsi="Arial" w:cs="Arial"/>
          <w:sz w:val="20"/>
          <w:szCs w:val="20"/>
        </w:rPr>
        <w:t>A</w:t>
      </w:r>
      <w:r w:rsidR="00C87581">
        <w:rPr>
          <w:rFonts w:ascii="Arial" w:hAnsi="Arial" w:cs="Arial"/>
          <w:sz w:val="20"/>
          <w:szCs w:val="20"/>
        </w:rPr>
        <w:t xml:space="preserve"> single-center, randomized, double-blind, placebo-controlled, phase I, three-way crossover study</w:t>
      </w:r>
      <w:r>
        <w:rPr>
          <w:rFonts w:ascii="Arial" w:hAnsi="Arial" w:cs="Arial"/>
          <w:sz w:val="20"/>
          <w:szCs w:val="20"/>
        </w:rPr>
        <w:t xml:space="preserve"> aimed to simulate the effects of injection of crushed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w:t>
      </w:r>
      <w:r w:rsidR="000A09E6">
        <w:rPr>
          <w:rFonts w:ascii="Arial" w:hAnsi="Arial" w:cs="Arial"/>
          <w:sz w:val="20"/>
          <w:szCs w:val="20"/>
        </w:rPr>
        <w:t>oxycodone/naltrexone</w:t>
      </w:r>
      <w:r>
        <w:rPr>
          <w:rFonts w:ascii="Arial" w:hAnsi="Arial" w:cs="Arial"/>
          <w:sz w:val="20"/>
          <w:szCs w:val="20"/>
        </w:rPr>
        <w:t xml:space="preserve"> extended-release) by comparing intravenous administration of a single dose of crushed oxycodone </w:t>
      </w:r>
      <w:proofErr w:type="spellStart"/>
      <w:r>
        <w:rPr>
          <w:rFonts w:ascii="Arial" w:hAnsi="Arial" w:cs="Arial"/>
          <w:sz w:val="20"/>
          <w:szCs w:val="20"/>
        </w:rPr>
        <w:t>oxycodone</w:t>
      </w:r>
      <w:proofErr w:type="spellEnd"/>
      <w:r>
        <w:rPr>
          <w:rFonts w:ascii="Arial" w:hAnsi="Arial" w:cs="Arial"/>
          <w:sz w:val="20"/>
          <w:szCs w:val="20"/>
        </w:rPr>
        <w:t xml:space="preserve"> 20 mg and naltrexone 2.4 mg in solution to single doses of oxycodone 20 mg or placebo (0.9% sodium chloride)</w:t>
      </w:r>
      <w:r w:rsidRPr="0065560A">
        <w:rPr>
          <w:rFonts w:ascii="Arial" w:hAnsi="Arial" w:cs="Arial"/>
          <w:sz w:val="20"/>
          <w:szCs w:val="20"/>
        </w:rPr>
        <w:t xml:space="preserve"> </w:t>
      </w:r>
      <w:r>
        <w:rPr>
          <w:rFonts w:ascii="Arial" w:hAnsi="Arial" w:cs="Arial"/>
          <w:sz w:val="20"/>
          <w:szCs w:val="20"/>
        </w:rPr>
        <w:t>in nondependent recreational opioid users. The mean</w:t>
      </w:r>
      <w:r w:rsidR="00CE5C69">
        <w:rPr>
          <w:rFonts w:ascii="Arial" w:hAnsi="Arial" w:cs="Arial"/>
          <w:sz w:val="20"/>
          <w:szCs w:val="20"/>
        </w:rPr>
        <w:t xml:space="preserve"> peak</w:t>
      </w:r>
      <w:r>
        <w:rPr>
          <w:rFonts w:ascii="Arial" w:hAnsi="Arial" w:cs="Arial"/>
          <w:sz w:val="20"/>
          <w:szCs w:val="20"/>
        </w:rPr>
        <w:t xml:space="preserve"> effects of treatment </w:t>
      </w:r>
      <w:r w:rsidRPr="00965270">
        <w:rPr>
          <w:rFonts w:ascii="Arial" w:hAnsi="Arial" w:cs="Arial"/>
          <w:sz w:val="20"/>
          <w:szCs w:val="20"/>
        </w:rPr>
        <w:t>based on the VAS for “drug liking” were</w:t>
      </w:r>
      <w:r>
        <w:rPr>
          <w:rFonts w:ascii="Arial" w:hAnsi="Arial" w:cs="Arial"/>
          <w:sz w:val="20"/>
          <w:szCs w:val="20"/>
        </w:rPr>
        <w:t xml:space="preserve"> 58.2, 92.4, and 52.2 for simulated crushed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w:t>
      </w:r>
      <w:r w:rsidR="001F6437">
        <w:rPr>
          <w:rFonts w:ascii="Arial" w:hAnsi="Arial" w:cs="Arial"/>
          <w:sz w:val="20"/>
          <w:szCs w:val="20"/>
        </w:rPr>
        <w:t xml:space="preserve"> (</w:t>
      </w:r>
      <w:r w:rsidR="000A09E6">
        <w:rPr>
          <w:rFonts w:ascii="Arial" w:hAnsi="Arial" w:cs="Arial"/>
          <w:sz w:val="20"/>
          <w:szCs w:val="20"/>
        </w:rPr>
        <w:t>oxycodone/naltrexone</w:t>
      </w:r>
      <w:r w:rsidR="001F6437">
        <w:rPr>
          <w:rFonts w:ascii="Arial" w:hAnsi="Arial" w:cs="Arial"/>
          <w:sz w:val="20"/>
          <w:szCs w:val="20"/>
        </w:rPr>
        <w:t xml:space="preserve"> extended-release), oxycodone, and placebo, respectively (P</w:t>
      </w:r>
      <w:r w:rsidR="001F6437" w:rsidRPr="00965270">
        <w:rPr>
          <w:rFonts w:ascii="Arial" w:hAnsi="Arial" w:cs="Arial"/>
          <w:sz w:val="20"/>
          <w:szCs w:val="20"/>
        </w:rPr>
        <w:t>≤</w:t>
      </w:r>
      <w:r w:rsidR="00313254">
        <w:rPr>
          <w:rFonts w:ascii="Arial" w:hAnsi="Arial" w:cs="Arial"/>
          <w:sz w:val="20"/>
          <w:szCs w:val="20"/>
        </w:rPr>
        <w:t>0.0001 for drug vs</w:t>
      </w:r>
      <w:r w:rsidR="001F6437">
        <w:rPr>
          <w:rFonts w:ascii="Arial" w:hAnsi="Arial" w:cs="Arial"/>
          <w:sz w:val="20"/>
          <w:szCs w:val="20"/>
        </w:rPr>
        <w:t xml:space="preserve"> placebo; P</w:t>
      </w:r>
      <w:r w:rsidR="001F6437" w:rsidRPr="00965270">
        <w:rPr>
          <w:rFonts w:ascii="Arial" w:hAnsi="Arial" w:cs="Arial"/>
          <w:sz w:val="20"/>
          <w:szCs w:val="20"/>
        </w:rPr>
        <w:t>≤</w:t>
      </w:r>
      <w:r w:rsidR="00845EE2">
        <w:rPr>
          <w:rFonts w:ascii="Arial" w:hAnsi="Arial" w:cs="Arial"/>
          <w:sz w:val="20"/>
          <w:szCs w:val="20"/>
        </w:rPr>
        <w:t xml:space="preserve">0.001 for drug vs </w:t>
      </w:r>
      <w:r w:rsidR="001F6437">
        <w:rPr>
          <w:rFonts w:ascii="Arial" w:hAnsi="Arial" w:cs="Arial"/>
          <w:sz w:val="20"/>
          <w:szCs w:val="20"/>
        </w:rPr>
        <w:t xml:space="preserve">oxycodone). The mean </w:t>
      </w:r>
      <w:r w:rsidR="00CE5C69">
        <w:rPr>
          <w:rFonts w:ascii="Arial" w:hAnsi="Arial" w:cs="Arial"/>
          <w:sz w:val="20"/>
          <w:szCs w:val="20"/>
        </w:rPr>
        <w:t xml:space="preserve">peak </w:t>
      </w:r>
      <w:r w:rsidR="001F6437">
        <w:rPr>
          <w:rFonts w:ascii="Arial" w:hAnsi="Arial" w:cs="Arial"/>
          <w:sz w:val="20"/>
          <w:szCs w:val="20"/>
        </w:rPr>
        <w:t xml:space="preserve">effects of treatment </w:t>
      </w:r>
      <w:r w:rsidR="001F6437" w:rsidRPr="00965270">
        <w:rPr>
          <w:rFonts w:ascii="Arial" w:hAnsi="Arial" w:cs="Arial"/>
          <w:sz w:val="20"/>
          <w:szCs w:val="20"/>
        </w:rPr>
        <w:t>based on the VAS for “</w:t>
      </w:r>
      <w:r w:rsidR="001F6437">
        <w:rPr>
          <w:rFonts w:ascii="Arial" w:hAnsi="Arial" w:cs="Arial"/>
          <w:sz w:val="20"/>
          <w:szCs w:val="20"/>
        </w:rPr>
        <w:t>high</w:t>
      </w:r>
      <w:r w:rsidR="001F6437" w:rsidRPr="00965270">
        <w:rPr>
          <w:rFonts w:ascii="Arial" w:hAnsi="Arial" w:cs="Arial"/>
          <w:sz w:val="20"/>
          <w:szCs w:val="20"/>
        </w:rPr>
        <w:t>” were</w:t>
      </w:r>
      <w:r w:rsidR="001F6437">
        <w:rPr>
          <w:rFonts w:ascii="Arial" w:hAnsi="Arial" w:cs="Arial"/>
          <w:sz w:val="20"/>
          <w:szCs w:val="20"/>
        </w:rPr>
        <w:t xml:space="preserve"> 17.2, 93.1, and 3.4 for simulated crushed </w:t>
      </w:r>
      <w:proofErr w:type="spellStart"/>
      <w:r w:rsidR="001F6437">
        <w:rPr>
          <w:rFonts w:ascii="Arial" w:hAnsi="Arial" w:cs="Arial"/>
          <w:sz w:val="20"/>
          <w:szCs w:val="20"/>
        </w:rPr>
        <w:t>Troxyca</w:t>
      </w:r>
      <w:proofErr w:type="spellEnd"/>
      <w:r w:rsidR="001F6437">
        <w:rPr>
          <w:rFonts w:ascii="Arial" w:hAnsi="Arial" w:cs="Arial"/>
          <w:sz w:val="20"/>
          <w:szCs w:val="20"/>
          <w:vertAlign w:val="superscript"/>
        </w:rPr>
        <w:t>®</w:t>
      </w:r>
      <w:r w:rsidR="001F6437">
        <w:rPr>
          <w:rFonts w:ascii="Arial" w:hAnsi="Arial" w:cs="Arial"/>
          <w:sz w:val="20"/>
          <w:szCs w:val="20"/>
        </w:rPr>
        <w:t xml:space="preserve"> ER (</w:t>
      </w:r>
      <w:r w:rsidR="000A09E6">
        <w:rPr>
          <w:rFonts w:ascii="Arial" w:hAnsi="Arial" w:cs="Arial"/>
          <w:sz w:val="20"/>
          <w:szCs w:val="20"/>
        </w:rPr>
        <w:t>oxycodone/naltrexone</w:t>
      </w:r>
      <w:r w:rsidR="001F6437">
        <w:rPr>
          <w:rFonts w:ascii="Arial" w:hAnsi="Arial" w:cs="Arial"/>
          <w:sz w:val="20"/>
          <w:szCs w:val="20"/>
        </w:rPr>
        <w:t xml:space="preserve"> extended-release), oxycodone, and placebo, respectively (P</w:t>
      </w:r>
      <w:r w:rsidR="001F6437" w:rsidRPr="00965270">
        <w:rPr>
          <w:rFonts w:ascii="Arial" w:hAnsi="Arial" w:cs="Arial"/>
          <w:sz w:val="20"/>
          <w:szCs w:val="20"/>
        </w:rPr>
        <w:t>≤</w:t>
      </w:r>
      <w:r w:rsidR="00313254">
        <w:rPr>
          <w:rFonts w:ascii="Arial" w:hAnsi="Arial" w:cs="Arial"/>
          <w:sz w:val="20"/>
          <w:szCs w:val="20"/>
        </w:rPr>
        <w:t>0.0001 for drug vs</w:t>
      </w:r>
      <w:r w:rsidR="001F6437">
        <w:rPr>
          <w:rFonts w:ascii="Arial" w:hAnsi="Arial" w:cs="Arial"/>
          <w:sz w:val="20"/>
          <w:szCs w:val="20"/>
        </w:rPr>
        <w:t xml:space="preserve"> placebo; P</w:t>
      </w:r>
      <w:r w:rsidR="001F6437" w:rsidRPr="00965270">
        <w:rPr>
          <w:rFonts w:ascii="Arial" w:hAnsi="Arial" w:cs="Arial"/>
          <w:sz w:val="20"/>
          <w:szCs w:val="20"/>
        </w:rPr>
        <w:t>≤</w:t>
      </w:r>
      <w:r w:rsidR="001F6437">
        <w:rPr>
          <w:rFonts w:ascii="Arial" w:hAnsi="Arial" w:cs="Arial"/>
          <w:sz w:val="20"/>
          <w:szCs w:val="20"/>
        </w:rPr>
        <w:t>0.001 for drug vs oxycodone)</w:t>
      </w:r>
      <w:r w:rsidR="004479F5">
        <w:rPr>
          <w:rFonts w:ascii="Arial" w:hAnsi="Arial" w:cs="Arial"/>
          <w:sz w:val="20"/>
          <w:szCs w:val="20"/>
        </w:rPr>
        <w:t xml:space="preserve">. </w:t>
      </w:r>
      <w:r w:rsidR="004479F5" w:rsidRPr="00965270">
        <w:rPr>
          <w:rFonts w:ascii="Arial" w:hAnsi="Arial" w:cs="Arial"/>
          <w:sz w:val="20"/>
          <w:szCs w:val="20"/>
        </w:rPr>
        <w:t>Mean “take drug again” scores based on the VAS were also significantly lower for</w:t>
      </w:r>
      <w:r w:rsidR="004479F5">
        <w:rPr>
          <w:rFonts w:ascii="Arial" w:hAnsi="Arial" w:cs="Arial"/>
          <w:sz w:val="20"/>
          <w:szCs w:val="20"/>
        </w:rPr>
        <w:t xml:space="preserve"> simulated crushed </w:t>
      </w:r>
      <w:proofErr w:type="spellStart"/>
      <w:r w:rsidR="004479F5">
        <w:rPr>
          <w:rFonts w:ascii="Arial" w:hAnsi="Arial" w:cs="Arial"/>
          <w:sz w:val="20"/>
          <w:szCs w:val="20"/>
        </w:rPr>
        <w:t>T</w:t>
      </w:r>
      <w:r w:rsidR="004479F5" w:rsidRPr="00965270">
        <w:rPr>
          <w:rFonts w:ascii="Arial" w:hAnsi="Arial" w:cs="Arial"/>
          <w:sz w:val="20"/>
          <w:szCs w:val="20"/>
        </w:rPr>
        <w:t>roxyca</w:t>
      </w:r>
      <w:proofErr w:type="spellEnd"/>
      <w:r w:rsidR="004479F5" w:rsidRPr="00965270">
        <w:rPr>
          <w:rFonts w:ascii="Arial" w:hAnsi="Arial" w:cs="Arial"/>
          <w:sz w:val="20"/>
          <w:szCs w:val="20"/>
          <w:vertAlign w:val="superscript"/>
        </w:rPr>
        <w:t>®</w:t>
      </w:r>
      <w:r w:rsidR="004479F5" w:rsidRPr="00965270">
        <w:rPr>
          <w:rFonts w:ascii="Arial" w:hAnsi="Arial" w:cs="Arial"/>
          <w:sz w:val="20"/>
          <w:szCs w:val="20"/>
        </w:rPr>
        <w:t xml:space="preserve"> ER (</w:t>
      </w:r>
      <w:r w:rsidR="000A09E6">
        <w:rPr>
          <w:rFonts w:ascii="Arial" w:hAnsi="Arial" w:cs="Arial"/>
          <w:sz w:val="20"/>
          <w:szCs w:val="20"/>
        </w:rPr>
        <w:t>oxycodone/naltrexone</w:t>
      </w:r>
      <w:r w:rsidR="004479F5" w:rsidRPr="00965270">
        <w:rPr>
          <w:rFonts w:ascii="Arial" w:hAnsi="Arial" w:cs="Arial"/>
          <w:sz w:val="20"/>
          <w:szCs w:val="20"/>
        </w:rPr>
        <w:t xml:space="preserve"> extended-release)</w:t>
      </w:r>
      <w:r w:rsidR="004479F5">
        <w:rPr>
          <w:rFonts w:ascii="Arial" w:hAnsi="Arial" w:cs="Arial"/>
          <w:sz w:val="20"/>
          <w:szCs w:val="20"/>
        </w:rPr>
        <w:t xml:space="preserve"> compared to the corresponding dose of oxycodone (P</w:t>
      </w:r>
      <w:r w:rsidR="004479F5" w:rsidRPr="00965270">
        <w:rPr>
          <w:rFonts w:ascii="Arial" w:hAnsi="Arial" w:cs="Arial"/>
          <w:sz w:val="20"/>
          <w:szCs w:val="20"/>
        </w:rPr>
        <w:t>≤</w:t>
      </w:r>
      <w:r w:rsidR="004479F5">
        <w:rPr>
          <w:rFonts w:ascii="Arial" w:hAnsi="Arial" w:cs="Arial"/>
          <w:sz w:val="20"/>
          <w:szCs w:val="20"/>
        </w:rPr>
        <w:t>0.001)</w:t>
      </w:r>
      <w:r w:rsidR="001F6437">
        <w:rPr>
          <w:rFonts w:ascii="Arial" w:hAnsi="Arial" w:cs="Arial"/>
          <w:sz w:val="20"/>
          <w:szCs w:val="20"/>
        </w:rPr>
        <w:t>.</w:t>
      </w:r>
      <w:r w:rsidR="001F6437">
        <w:rPr>
          <w:rFonts w:ascii="Arial" w:hAnsi="Arial" w:cs="Arial"/>
          <w:sz w:val="20"/>
          <w:szCs w:val="20"/>
          <w:vertAlign w:val="superscript"/>
        </w:rPr>
        <w:t>2</w:t>
      </w:r>
      <w:proofErr w:type="gramStart"/>
      <w:r w:rsidR="003B4259">
        <w:rPr>
          <w:rFonts w:ascii="Arial" w:hAnsi="Arial" w:cs="Arial"/>
          <w:sz w:val="20"/>
          <w:szCs w:val="20"/>
          <w:vertAlign w:val="superscript"/>
        </w:rPr>
        <w:t>,8</w:t>
      </w:r>
      <w:proofErr w:type="gramEnd"/>
      <w:r w:rsidR="001F6437">
        <w:rPr>
          <w:rFonts w:ascii="Arial" w:hAnsi="Arial" w:cs="Arial"/>
          <w:sz w:val="20"/>
          <w:szCs w:val="20"/>
        </w:rPr>
        <w:t xml:space="preserve"> </w:t>
      </w:r>
    </w:p>
    <w:p w:rsidR="00AA3D30" w:rsidRDefault="00AA3D30" w:rsidP="00FD63AA">
      <w:pPr>
        <w:spacing w:after="0" w:line="240" w:lineRule="auto"/>
        <w:rPr>
          <w:rFonts w:ascii="Arial" w:hAnsi="Arial" w:cs="Arial"/>
          <w:sz w:val="20"/>
          <w:szCs w:val="20"/>
        </w:rPr>
      </w:pPr>
    </w:p>
    <w:p w:rsidR="002C1A10" w:rsidRDefault="002C1A10" w:rsidP="00FD63AA">
      <w:pPr>
        <w:spacing w:after="0" w:line="240" w:lineRule="auto"/>
        <w:rPr>
          <w:rFonts w:ascii="Arial" w:hAnsi="Arial" w:cs="Arial"/>
          <w:sz w:val="20"/>
          <w:szCs w:val="20"/>
        </w:rPr>
      </w:pPr>
    </w:p>
    <w:p w:rsidR="00AC7CB8" w:rsidRPr="00965270" w:rsidRDefault="00AC7CB8" w:rsidP="00201C3C">
      <w:pPr>
        <w:rPr>
          <w:rFonts w:ascii="Arial" w:hAnsi="Arial" w:cs="Arial"/>
        </w:rPr>
        <w:sectPr w:rsidR="00AC7CB8" w:rsidRPr="00965270" w:rsidSect="008A4984">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1C2825" w:rsidRPr="0044122B" w:rsidRDefault="00150F67" w:rsidP="004920E8">
      <w:pPr>
        <w:pStyle w:val="NoSpacing"/>
        <w:ind w:left="-770"/>
        <w:rPr>
          <w:rFonts w:ascii="Arial" w:hAnsi="Arial" w:cs="Arial"/>
          <w:b/>
          <w:sz w:val="20"/>
          <w:szCs w:val="20"/>
        </w:rPr>
      </w:pPr>
      <w:r w:rsidRPr="0044122B">
        <w:rPr>
          <w:rFonts w:ascii="Arial" w:hAnsi="Arial" w:cs="Arial"/>
          <w:b/>
          <w:sz w:val="20"/>
          <w:szCs w:val="20"/>
        </w:rPr>
        <w:t xml:space="preserve">Table </w:t>
      </w:r>
      <w:r w:rsidR="004F27CC">
        <w:rPr>
          <w:rFonts w:ascii="Arial" w:hAnsi="Arial" w:cs="Arial"/>
          <w:b/>
          <w:sz w:val="20"/>
          <w:szCs w:val="20"/>
        </w:rPr>
        <w:t>2</w:t>
      </w:r>
      <w:r w:rsidRPr="0044122B">
        <w:rPr>
          <w:rFonts w:ascii="Arial" w:hAnsi="Arial" w:cs="Arial"/>
          <w:b/>
          <w:sz w:val="20"/>
          <w:szCs w:val="20"/>
        </w:rPr>
        <w:t>. Clinical Trials</w:t>
      </w:r>
    </w:p>
    <w:tbl>
      <w:tblPr>
        <w:tblW w:w="1373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2640"/>
        <w:gridCol w:w="1760"/>
        <w:gridCol w:w="1540"/>
        <w:gridCol w:w="1760"/>
        <w:gridCol w:w="6030"/>
      </w:tblGrid>
      <w:tr w:rsidR="00AE7C5C" w:rsidRPr="0044122B" w:rsidTr="001723DB">
        <w:trPr>
          <w:tblHeader/>
        </w:trPr>
        <w:tc>
          <w:tcPr>
            <w:tcW w:w="2640" w:type="dxa"/>
            <w:shd w:val="clear" w:color="auto" w:fill="C0C0C0"/>
            <w:vAlign w:val="center"/>
          </w:tcPr>
          <w:p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Study and Drug Regimen</w:t>
            </w:r>
          </w:p>
        </w:tc>
        <w:tc>
          <w:tcPr>
            <w:tcW w:w="1760" w:type="dxa"/>
            <w:shd w:val="clear" w:color="auto" w:fill="C0C0C0"/>
            <w:vAlign w:val="center"/>
          </w:tcPr>
          <w:p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Study Design and</w:t>
            </w:r>
          </w:p>
          <w:p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Demographics</w:t>
            </w:r>
          </w:p>
        </w:tc>
        <w:tc>
          <w:tcPr>
            <w:tcW w:w="1540" w:type="dxa"/>
            <w:shd w:val="clear" w:color="auto" w:fill="C0C0C0"/>
            <w:vAlign w:val="center"/>
          </w:tcPr>
          <w:p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Sample Size</w:t>
            </w:r>
          </w:p>
          <w:p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and Study Duration</w:t>
            </w:r>
          </w:p>
        </w:tc>
        <w:tc>
          <w:tcPr>
            <w:tcW w:w="1760" w:type="dxa"/>
            <w:shd w:val="clear" w:color="auto" w:fill="C0C0C0"/>
            <w:vAlign w:val="center"/>
          </w:tcPr>
          <w:p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End Points</w:t>
            </w:r>
          </w:p>
        </w:tc>
        <w:tc>
          <w:tcPr>
            <w:tcW w:w="6030" w:type="dxa"/>
            <w:shd w:val="clear" w:color="auto" w:fill="C0C0C0"/>
            <w:vAlign w:val="center"/>
          </w:tcPr>
          <w:p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Results</w:t>
            </w:r>
          </w:p>
        </w:tc>
      </w:tr>
      <w:tr w:rsidR="00AE7C5C" w:rsidRPr="0044122B" w:rsidTr="001723DB">
        <w:tc>
          <w:tcPr>
            <w:tcW w:w="2640" w:type="dxa"/>
          </w:tcPr>
          <w:p w:rsidR="00AE7C5C" w:rsidRPr="009D6D28" w:rsidRDefault="00B24242" w:rsidP="000B3401">
            <w:pPr>
              <w:spacing w:after="0" w:line="240" w:lineRule="auto"/>
              <w:rPr>
                <w:rFonts w:ascii="Arial" w:hAnsi="Arial" w:cs="Arial"/>
                <w:sz w:val="20"/>
                <w:szCs w:val="20"/>
              </w:rPr>
            </w:pPr>
            <w:proofErr w:type="spellStart"/>
            <w:r>
              <w:rPr>
                <w:rFonts w:ascii="Arial" w:hAnsi="Arial" w:cs="Arial"/>
                <w:sz w:val="20"/>
                <w:szCs w:val="20"/>
              </w:rPr>
              <w:t>Rauck</w:t>
            </w:r>
            <w:proofErr w:type="spellEnd"/>
            <w:r>
              <w:rPr>
                <w:rFonts w:ascii="Arial" w:hAnsi="Arial" w:cs="Arial"/>
                <w:sz w:val="20"/>
                <w:szCs w:val="20"/>
              </w:rPr>
              <w:t xml:space="preserve"> et al</w:t>
            </w:r>
            <w:r w:rsidR="00633DFD">
              <w:rPr>
                <w:rFonts w:ascii="Arial" w:hAnsi="Arial" w:cs="Arial"/>
                <w:sz w:val="20"/>
                <w:szCs w:val="20"/>
                <w:vertAlign w:val="superscript"/>
              </w:rPr>
              <w:t>3</w:t>
            </w:r>
            <w:r w:rsidR="009D6D28">
              <w:rPr>
                <w:rFonts w:ascii="Arial" w:hAnsi="Arial" w:cs="Arial"/>
                <w:sz w:val="20"/>
                <w:szCs w:val="20"/>
              </w:rPr>
              <w:t>*</w:t>
            </w:r>
          </w:p>
          <w:p w:rsidR="000A0219" w:rsidRDefault="000A0219" w:rsidP="000B3401">
            <w:pPr>
              <w:spacing w:after="0" w:line="240" w:lineRule="auto"/>
              <w:rPr>
                <w:rFonts w:ascii="Arial" w:hAnsi="Arial" w:cs="Arial"/>
                <w:sz w:val="20"/>
                <w:szCs w:val="20"/>
              </w:rPr>
            </w:pPr>
          </w:p>
          <w:p w:rsidR="000A0219" w:rsidRDefault="000A0219" w:rsidP="000B3401">
            <w:pPr>
              <w:spacing w:after="0" w:line="240" w:lineRule="auto"/>
              <w:rPr>
                <w:rFonts w:ascii="Arial" w:hAnsi="Arial" w:cs="Arial"/>
                <w:sz w:val="20"/>
                <w:szCs w:val="20"/>
              </w:rPr>
            </w:pPr>
            <w:r>
              <w:rPr>
                <w:rFonts w:ascii="Arial" w:hAnsi="Arial" w:cs="Arial"/>
                <w:sz w:val="20"/>
                <w:szCs w:val="20"/>
              </w:rPr>
              <w:t xml:space="preserve">Oxycodone/naltrexone ER capsules  20 mg to 160 mg oxycodone component </w:t>
            </w:r>
          </w:p>
          <w:p w:rsidR="000A0219" w:rsidRDefault="000A0219" w:rsidP="000B3401">
            <w:pPr>
              <w:spacing w:after="0" w:line="240" w:lineRule="auto"/>
              <w:rPr>
                <w:rFonts w:ascii="Arial" w:hAnsi="Arial" w:cs="Arial"/>
                <w:sz w:val="20"/>
                <w:szCs w:val="20"/>
              </w:rPr>
            </w:pPr>
          </w:p>
          <w:p w:rsidR="000A0219" w:rsidRDefault="000A0219" w:rsidP="000B3401">
            <w:pPr>
              <w:spacing w:after="0" w:line="240" w:lineRule="auto"/>
              <w:rPr>
                <w:rFonts w:ascii="Arial" w:hAnsi="Arial" w:cs="Arial"/>
                <w:sz w:val="20"/>
                <w:szCs w:val="20"/>
              </w:rPr>
            </w:pPr>
            <w:r>
              <w:rPr>
                <w:rFonts w:ascii="Arial" w:hAnsi="Arial" w:cs="Arial"/>
                <w:sz w:val="20"/>
                <w:szCs w:val="20"/>
              </w:rPr>
              <w:t>vs</w:t>
            </w:r>
          </w:p>
          <w:p w:rsidR="000A0219" w:rsidRDefault="000A0219" w:rsidP="000B3401">
            <w:pPr>
              <w:spacing w:after="0" w:line="240" w:lineRule="auto"/>
              <w:rPr>
                <w:rFonts w:ascii="Arial" w:hAnsi="Arial" w:cs="Arial"/>
                <w:sz w:val="20"/>
                <w:szCs w:val="20"/>
              </w:rPr>
            </w:pPr>
          </w:p>
          <w:p w:rsidR="000A0219" w:rsidRDefault="000A0219" w:rsidP="000B3401">
            <w:pPr>
              <w:spacing w:after="0" w:line="240" w:lineRule="auto"/>
              <w:rPr>
                <w:rFonts w:ascii="Arial" w:hAnsi="Arial" w:cs="Arial"/>
                <w:sz w:val="20"/>
                <w:szCs w:val="20"/>
              </w:rPr>
            </w:pPr>
            <w:r>
              <w:rPr>
                <w:rFonts w:ascii="Arial" w:hAnsi="Arial" w:cs="Arial"/>
                <w:sz w:val="20"/>
                <w:szCs w:val="20"/>
              </w:rPr>
              <w:t>placebo</w:t>
            </w:r>
          </w:p>
          <w:p w:rsidR="00845EE2" w:rsidRDefault="00845EE2" w:rsidP="000B3401">
            <w:pPr>
              <w:spacing w:after="0" w:line="240" w:lineRule="auto"/>
              <w:rPr>
                <w:rFonts w:ascii="Arial" w:hAnsi="Arial" w:cs="Arial"/>
                <w:sz w:val="20"/>
                <w:szCs w:val="20"/>
              </w:rPr>
            </w:pPr>
          </w:p>
          <w:p w:rsidR="000A0219" w:rsidRDefault="000A0219" w:rsidP="000B3401">
            <w:pPr>
              <w:spacing w:after="0" w:line="240" w:lineRule="auto"/>
              <w:rPr>
                <w:rFonts w:ascii="Arial" w:hAnsi="Arial" w:cs="Arial"/>
                <w:sz w:val="20"/>
                <w:szCs w:val="20"/>
              </w:rPr>
            </w:pPr>
            <w:r>
              <w:rPr>
                <w:rFonts w:ascii="Arial" w:hAnsi="Arial" w:cs="Arial"/>
                <w:sz w:val="20"/>
                <w:szCs w:val="20"/>
              </w:rPr>
              <w:t xml:space="preserve">All patients were titrated to an individualized total daily dose of oxycodone/naltrexone ER capsules </w:t>
            </w:r>
            <w:r w:rsidRPr="000A0219">
              <w:rPr>
                <w:rFonts w:ascii="Arial" w:hAnsi="Arial" w:cs="Arial"/>
                <w:sz w:val="20"/>
                <w:szCs w:val="20"/>
              </w:rPr>
              <w:t>between 20 mg and 160 mg of oxycodone</w:t>
            </w:r>
            <w:r>
              <w:rPr>
                <w:rFonts w:ascii="Arial" w:hAnsi="Arial" w:cs="Arial"/>
                <w:sz w:val="20"/>
                <w:szCs w:val="20"/>
              </w:rPr>
              <w:t xml:space="preserve"> during a four-to-six week OL titration phase.</w:t>
            </w:r>
          </w:p>
          <w:p w:rsidR="000A0219" w:rsidRDefault="000A0219" w:rsidP="000B3401">
            <w:pPr>
              <w:spacing w:after="0" w:line="240" w:lineRule="auto"/>
              <w:rPr>
                <w:rFonts w:ascii="Arial" w:hAnsi="Arial" w:cs="Arial"/>
                <w:sz w:val="20"/>
                <w:szCs w:val="20"/>
              </w:rPr>
            </w:pPr>
          </w:p>
          <w:p w:rsidR="000A0219" w:rsidRDefault="000A0219" w:rsidP="000B3401">
            <w:pPr>
              <w:spacing w:after="0" w:line="240" w:lineRule="auto"/>
              <w:rPr>
                <w:rFonts w:ascii="Arial" w:hAnsi="Arial" w:cs="Arial"/>
                <w:sz w:val="20"/>
                <w:szCs w:val="20"/>
              </w:rPr>
            </w:pPr>
            <w:r>
              <w:rPr>
                <w:rFonts w:ascii="Arial" w:hAnsi="Arial" w:cs="Arial"/>
                <w:sz w:val="20"/>
                <w:szCs w:val="20"/>
              </w:rPr>
              <w:t>At randomizatio</w:t>
            </w:r>
            <w:r w:rsidR="00A80D8F">
              <w:rPr>
                <w:rFonts w:ascii="Arial" w:hAnsi="Arial" w:cs="Arial"/>
                <w:sz w:val="20"/>
                <w:szCs w:val="20"/>
              </w:rPr>
              <w:t>n, patients were randomized to c</w:t>
            </w:r>
            <w:r>
              <w:rPr>
                <w:rFonts w:ascii="Arial" w:hAnsi="Arial" w:cs="Arial"/>
                <w:sz w:val="20"/>
                <w:szCs w:val="20"/>
              </w:rPr>
              <w:t>on</w:t>
            </w:r>
            <w:r w:rsidR="00A80D8F">
              <w:rPr>
                <w:rFonts w:ascii="Arial" w:hAnsi="Arial" w:cs="Arial"/>
                <w:sz w:val="20"/>
                <w:szCs w:val="20"/>
              </w:rPr>
              <w:t>t</w:t>
            </w:r>
            <w:r>
              <w:rPr>
                <w:rFonts w:ascii="Arial" w:hAnsi="Arial" w:cs="Arial"/>
                <w:sz w:val="20"/>
                <w:szCs w:val="20"/>
              </w:rPr>
              <w:t xml:space="preserve">inue their dose or a blinded two week taper to placebo for the 12 week DB treatment phase. </w:t>
            </w:r>
          </w:p>
          <w:p w:rsidR="00A80D8F" w:rsidRDefault="00A80D8F" w:rsidP="000B3401">
            <w:pPr>
              <w:spacing w:after="0" w:line="240" w:lineRule="auto"/>
              <w:rPr>
                <w:rFonts w:ascii="Arial" w:hAnsi="Arial" w:cs="Arial"/>
                <w:sz w:val="20"/>
                <w:szCs w:val="20"/>
              </w:rPr>
            </w:pPr>
          </w:p>
          <w:p w:rsidR="00A80D8F" w:rsidRPr="000A0219" w:rsidRDefault="00A80D8F" w:rsidP="000B3401">
            <w:pPr>
              <w:spacing w:after="0" w:line="240" w:lineRule="auto"/>
              <w:rPr>
                <w:rFonts w:ascii="Arial" w:hAnsi="Arial" w:cs="Arial"/>
                <w:sz w:val="20"/>
                <w:szCs w:val="20"/>
              </w:rPr>
            </w:pPr>
            <w:r>
              <w:rPr>
                <w:rFonts w:ascii="Arial" w:hAnsi="Arial" w:cs="Arial"/>
                <w:sz w:val="20"/>
                <w:szCs w:val="20"/>
              </w:rPr>
              <w:t>Patients who completed the 12 week DB treatment phase or discontinued before the end of 12 weeks entered a two week post-treatment phase,</w:t>
            </w:r>
            <w:r w:rsidR="009A4C64">
              <w:rPr>
                <w:rFonts w:ascii="Arial" w:hAnsi="Arial" w:cs="Arial"/>
                <w:sz w:val="20"/>
                <w:szCs w:val="20"/>
              </w:rPr>
              <w:t xml:space="preserve"> during which they were tapered off of oxycodone/naltrexone ER or placebo.</w:t>
            </w:r>
          </w:p>
        </w:tc>
        <w:tc>
          <w:tcPr>
            <w:tcW w:w="1760" w:type="dxa"/>
          </w:tcPr>
          <w:p w:rsidR="00AE7C5C" w:rsidRDefault="000A09E6" w:rsidP="000B3401">
            <w:pPr>
              <w:spacing w:after="0" w:line="240" w:lineRule="auto"/>
              <w:rPr>
                <w:rFonts w:ascii="Arial" w:hAnsi="Arial" w:cs="Arial"/>
                <w:sz w:val="20"/>
                <w:szCs w:val="20"/>
              </w:rPr>
            </w:pPr>
            <w:r>
              <w:rPr>
                <w:rFonts w:ascii="Arial" w:hAnsi="Arial" w:cs="Arial"/>
                <w:sz w:val="20"/>
                <w:szCs w:val="20"/>
              </w:rPr>
              <w:t>MC, DB, PC, RCT</w:t>
            </w:r>
          </w:p>
          <w:p w:rsidR="000A09E6" w:rsidRDefault="000A09E6" w:rsidP="000B3401">
            <w:pPr>
              <w:spacing w:after="0" w:line="240" w:lineRule="auto"/>
              <w:rPr>
                <w:rFonts w:ascii="Arial" w:hAnsi="Arial" w:cs="Arial"/>
                <w:sz w:val="20"/>
                <w:szCs w:val="20"/>
              </w:rPr>
            </w:pPr>
          </w:p>
          <w:p w:rsidR="000A09E6" w:rsidRPr="00B5437C" w:rsidRDefault="000A09E6" w:rsidP="000A09E6">
            <w:pPr>
              <w:spacing w:after="0" w:line="240" w:lineRule="auto"/>
              <w:rPr>
                <w:rFonts w:ascii="Arial" w:hAnsi="Arial" w:cs="Arial"/>
                <w:sz w:val="20"/>
                <w:szCs w:val="20"/>
              </w:rPr>
            </w:pPr>
            <w:r>
              <w:rPr>
                <w:rFonts w:ascii="Arial" w:hAnsi="Arial" w:cs="Arial"/>
                <w:sz w:val="20"/>
                <w:szCs w:val="20"/>
              </w:rPr>
              <w:t xml:space="preserve">Patients aged 18 years or older with </w:t>
            </w:r>
            <w:r w:rsidR="004B503C">
              <w:rPr>
                <w:rFonts w:ascii="Arial" w:hAnsi="Arial" w:cs="Arial"/>
                <w:sz w:val="20"/>
                <w:szCs w:val="20"/>
              </w:rPr>
              <w:t xml:space="preserve">nonspecific </w:t>
            </w:r>
            <w:r>
              <w:rPr>
                <w:rFonts w:ascii="Arial" w:hAnsi="Arial" w:cs="Arial"/>
                <w:sz w:val="20"/>
                <w:szCs w:val="20"/>
              </w:rPr>
              <w:t xml:space="preserve">moderate-to-severe CLBP for at least three months prior to screening and without </w:t>
            </w:r>
            <w:r w:rsidRPr="000A09E6">
              <w:rPr>
                <w:rFonts w:ascii="Arial" w:hAnsi="Arial" w:cs="Arial"/>
                <w:sz w:val="20"/>
                <w:szCs w:val="20"/>
              </w:rPr>
              <w:t>active major depression in the past year</w:t>
            </w:r>
            <w:r>
              <w:rPr>
                <w:rFonts w:ascii="Arial" w:hAnsi="Arial" w:cs="Arial"/>
                <w:sz w:val="20"/>
                <w:szCs w:val="20"/>
              </w:rPr>
              <w:t>, BMI &gt;40 kg/m</w:t>
            </w:r>
            <w:r>
              <w:rPr>
                <w:rFonts w:ascii="Arial" w:hAnsi="Arial" w:cs="Arial"/>
                <w:sz w:val="20"/>
                <w:szCs w:val="20"/>
                <w:vertAlign w:val="superscript"/>
              </w:rPr>
              <w:t>2</w:t>
            </w:r>
            <w:r>
              <w:rPr>
                <w:rFonts w:ascii="Arial" w:hAnsi="Arial" w:cs="Arial"/>
                <w:sz w:val="20"/>
                <w:szCs w:val="20"/>
              </w:rPr>
              <w:t>, positive urine toxicology test for illicit substances,</w:t>
            </w:r>
            <w:r w:rsidR="004B503C">
              <w:rPr>
                <w:rFonts w:ascii="Arial" w:hAnsi="Arial" w:cs="Arial"/>
                <w:sz w:val="20"/>
                <w:szCs w:val="20"/>
              </w:rPr>
              <w:t xml:space="preserve"> history of drug or alcohol abuse,</w:t>
            </w:r>
            <w:r>
              <w:rPr>
                <w:rFonts w:ascii="Arial" w:hAnsi="Arial" w:cs="Arial"/>
                <w:sz w:val="20"/>
                <w:szCs w:val="20"/>
              </w:rPr>
              <w:t xml:space="preserve"> or</w:t>
            </w:r>
            <w:r w:rsidRPr="000A09E6">
              <w:rPr>
                <w:rFonts w:ascii="Arial" w:hAnsi="Arial" w:cs="Arial"/>
                <w:sz w:val="20"/>
                <w:szCs w:val="20"/>
              </w:rPr>
              <w:t xml:space="preserve"> </w:t>
            </w:r>
            <w:r>
              <w:rPr>
                <w:rFonts w:ascii="Arial" w:hAnsi="Arial" w:cs="Arial"/>
                <w:sz w:val="20"/>
                <w:szCs w:val="20"/>
              </w:rPr>
              <w:t>co-morbid pain conditions within the past two years that could interfere with the assessment of self-evaluation of CLBP</w:t>
            </w:r>
          </w:p>
        </w:tc>
        <w:tc>
          <w:tcPr>
            <w:tcW w:w="1540" w:type="dxa"/>
          </w:tcPr>
          <w:p w:rsidR="00AE7C5C" w:rsidRDefault="000A09E6" w:rsidP="000B3401">
            <w:pPr>
              <w:spacing w:after="0" w:line="240" w:lineRule="auto"/>
              <w:jc w:val="center"/>
              <w:rPr>
                <w:rFonts w:ascii="Arial" w:hAnsi="Arial" w:cs="Arial"/>
                <w:sz w:val="20"/>
                <w:szCs w:val="20"/>
              </w:rPr>
            </w:pPr>
            <w:r>
              <w:rPr>
                <w:rFonts w:ascii="Arial" w:hAnsi="Arial" w:cs="Arial"/>
                <w:sz w:val="20"/>
                <w:szCs w:val="20"/>
              </w:rPr>
              <w:t>N=410</w:t>
            </w:r>
          </w:p>
          <w:p w:rsidR="000A09E6" w:rsidRDefault="000A09E6" w:rsidP="000B3401">
            <w:pPr>
              <w:spacing w:after="0" w:line="240" w:lineRule="auto"/>
              <w:jc w:val="center"/>
              <w:rPr>
                <w:rFonts w:ascii="Arial" w:hAnsi="Arial" w:cs="Arial"/>
                <w:sz w:val="20"/>
                <w:szCs w:val="20"/>
              </w:rPr>
            </w:pPr>
          </w:p>
          <w:p w:rsidR="000A09E6" w:rsidRPr="00B5437C" w:rsidRDefault="000A09E6" w:rsidP="000B3401">
            <w:pPr>
              <w:spacing w:after="0" w:line="240" w:lineRule="auto"/>
              <w:jc w:val="center"/>
              <w:rPr>
                <w:rFonts w:ascii="Arial" w:hAnsi="Arial" w:cs="Arial"/>
                <w:sz w:val="20"/>
                <w:szCs w:val="20"/>
              </w:rPr>
            </w:pPr>
            <w:r>
              <w:rPr>
                <w:rFonts w:ascii="Arial" w:hAnsi="Arial" w:cs="Arial"/>
                <w:sz w:val="20"/>
                <w:szCs w:val="20"/>
              </w:rPr>
              <w:t>12 weeks</w:t>
            </w:r>
          </w:p>
        </w:tc>
        <w:tc>
          <w:tcPr>
            <w:tcW w:w="1760" w:type="dxa"/>
          </w:tcPr>
          <w:p w:rsidR="00AE7C5C" w:rsidRDefault="000A09E6" w:rsidP="000B3401">
            <w:pPr>
              <w:spacing w:after="0" w:line="240" w:lineRule="auto"/>
              <w:rPr>
                <w:rFonts w:ascii="Arial" w:hAnsi="Arial" w:cs="Arial"/>
                <w:sz w:val="20"/>
                <w:szCs w:val="20"/>
              </w:rPr>
            </w:pPr>
            <w:r>
              <w:rPr>
                <w:rFonts w:ascii="Arial" w:hAnsi="Arial" w:cs="Arial"/>
                <w:sz w:val="20"/>
                <w:szCs w:val="20"/>
              </w:rPr>
              <w:t>Primary:</w:t>
            </w:r>
          </w:p>
          <w:p w:rsidR="000A09E6" w:rsidRDefault="000A09E6" w:rsidP="000B3401">
            <w:pPr>
              <w:spacing w:after="0" w:line="240" w:lineRule="auto"/>
              <w:rPr>
                <w:rFonts w:ascii="Arial" w:hAnsi="Arial" w:cs="Arial"/>
                <w:sz w:val="20"/>
                <w:szCs w:val="20"/>
              </w:rPr>
            </w:pPr>
            <w:r>
              <w:rPr>
                <w:rFonts w:ascii="Arial" w:hAnsi="Arial" w:cs="Arial"/>
                <w:sz w:val="20"/>
                <w:szCs w:val="20"/>
              </w:rPr>
              <w:t>Mean change in weekly average NR</w:t>
            </w:r>
            <w:r w:rsidR="00A76DA5">
              <w:rPr>
                <w:rFonts w:ascii="Arial" w:hAnsi="Arial" w:cs="Arial"/>
                <w:sz w:val="20"/>
                <w:szCs w:val="20"/>
              </w:rPr>
              <w:t>S p</w:t>
            </w:r>
            <w:r>
              <w:rPr>
                <w:rFonts w:ascii="Arial" w:hAnsi="Arial" w:cs="Arial"/>
                <w:sz w:val="20"/>
                <w:szCs w:val="20"/>
              </w:rPr>
              <w:t>ain score from randomization to the final two weeks of the DB treatment phase</w:t>
            </w:r>
          </w:p>
          <w:p w:rsidR="000A09E6" w:rsidRDefault="000A09E6" w:rsidP="000B3401">
            <w:pPr>
              <w:spacing w:after="0" w:line="240" w:lineRule="auto"/>
              <w:rPr>
                <w:rFonts w:ascii="Arial" w:hAnsi="Arial" w:cs="Arial"/>
                <w:sz w:val="20"/>
                <w:szCs w:val="20"/>
              </w:rPr>
            </w:pPr>
          </w:p>
          <w:p w:rsidR="000A09E6" w:rsidRDefault="000A09E6" w:rsidP="000B3401">
            <w:pPr>
              <w:spacing w:after="0" w:line="240" w:lineRule="auto"/>
              <w:rPr>
                <w:rFonts w:ascii="Arial" w:hAnsi="Arial" w:cs="Arial"/>
                <w:sz w:val="20"/>
                <w:szCs w:val="20"/>
              </w:rPr>
            </w:pPr>
            <w:r>
              <w:rPr>
                <w:rFonts w:ascii="Arial" w:hAnsi="Arial" w:cs="Arial"/>
                <w:sz w:val="20"/>
                <w:szCs w:val="20"/>
              </w:rPr>
              <w:t>Secondary:</w:t>
            </w:r>
          </w:p>
          <w:p w:rsidR="000A09E6" w:rsidRPr="00B5437C" w:rsidRDefault="000A09E6" w:rsidP="00446CB2">
            <w:pPr>
              <w:spacing w:after="0" w:line="240" w:lineRule="auto"/>
              <w:rPr>
                <w:rFonts w:ascii="Arial" w:hAnsi="Arial" w:cs="Arial"/>
                <w:sz w:val="20"/>
                <w:szCs w:val="20"/>
              </w:rPr>
            </w:pPr>
            <w:r>
              <w:rPr>
                <w:rFonts w:ascii="Arial" w:hAnsi="Arial" w:cs="Arial"/>
                <w:sz w:val="20"/>
                <w:szCs w:val="20"/>
              </w:rPr>
              <w:t xml:space="preserve">Change in </w:t>
            </w:r>
            <w:r w:rsidR="009B0CA8">
              <w:rPr>
                <w:rFonts w:ascii="Arial" w:hAnsi="Arial" w:cs="Arial"/>
                <w:sz w:val="20"/>
                <w:szCs w:val="20"/>
              </w:rPr>
              <w:t xml:space="preserve">mean </w:t>
            </w:r>
            <w:r>
              <w:rPr>
                <w:rFonts w:ascii="Arial" w:hAnsi="Arial" w:cs="Arial"/>
                <w:sz w:val="20"/>
                <w:szCs w:val="20"/>
              </w:rPr>
              <w:t xml:space="preserve">RMDQ total score and </w:t>
            </w:r>
            <w:r w:rsidR="009B0CA8">
              <w:rPr>
                <w:rFonts w:ascii="Arial" w:hAnsi="Arial" w:cs="Arial"/>
                <w:sz w:val="20"/>
                <w:szCs w:val="20"/>
              </w:rPr>
              <w:t xml:space="preserve">proportion of patients with each </w:t>
            </w:r>
            <w:r>
              <w:rPr>
                <w:rFonts w:ascii="Arial" w:hAnsi="Arial" w:cs="Arial"/>
                <w:sz w:val="20"/>
                <w:szCs w:val="20"/>
              </w:rPr>
              <w:t xml:space="preserve">PGA </w:t>
            </w:r>
            <w:r w:rsidR="00446CB2">
              <w:rPr>
                <w:rFonts w:ascii="Arial" w:hAnsi="Arial" w:cs="Arial"/>
                <w:sz w:val="20"/>
                <w:szCs w:val="20"/>
              </w:rPr>
              <w:t>category</w:t>
            </w:r>
            <w:r w:rsidR="009B0CA8">
              <w:rPr>
                <w:rFonts w:ascii="Arial" w:hAnsi="Arial" w:cs="Arial"/>
                <w:sz w:val="20"/>
                <w:szCs w:val="20"/>
              </w:rPr>
              <w:t xml:space="preserve"> </w:t>
            </w:r>
            <w:r w:rsidR="00446CB2">
              <w:rPr>
                <w:rFonts w:ascii="Arial" w:hAnsi="Arial" w:cs="Arial"/>
                <w:sz w:val="20"/>
                <w:szCs w:val="20"/>
              </w:rPr>
              <w:t>for</w:t>
            </w:r>
            <w:r>
              <w:rPr>
                <w:rFonts w:ascii="Arial" w:hAnsi="Arial" w:cs="Arial"/>
                <w:sz w:val="20"/>
                <w:szCs w:val="20"/>
              </w:rPr>
              <w:t xml:space="preserve"> low back pain from randomization to week 12, 5-point categorical Satisfaction with Treatment, BPI-sf, and use of rescue acetaminophen</w:t>
            </w:r>
            <w:r w:rsidR="004B503C">
              <w:rPr>
                <w:rFonts w:ascii="Arial" w:hAnsi="Arial" w:cs="Arial"/>
                <w:sz w:val="20"/>
                <w:szCs w:val="20"/>
              </w:rPr>
              <w:t>, safety and tolerability, signs and symptoms of opiate withdrawal via COWS</w:t>
            </w:r>
          </w:p>
        </w:tc>
        <w:tc>
          <w:tcPr>
            <w:tcW w:w="6030" w:type="dxa"/>
          </w:tcPr>
          <w:p w:rsidR="00A76DA5" w:rsidRDefault="00A76DA5" w:rsidP="00A76DA5">
            <w:pPr>
              <w:spacing w:after="0" w:line="240" w:lineRule="auto"/>
              <w:rPr>
                <w:rFonts w:ascii="Arial" w:hAnsi="Arial" w:cs="Arial"/>
                <w:sz w:val="20"/>
                <w:szCs w:val="20"/>
              </w:rPr>
            </w:pPr>
            <w:r>
              <w:rPr>
                <w:rFonts w:ascii="Arial" w:hAnsi="Arial" w:cs="Arial"/>
                <w:sz w:val="20"/>
                <w:szCs w:val="20"/>
              </w:rPr>
              <w:t>Primary:</w:t>
            </w:r>
          </w:p>
          <w:p w:rsidR="00A76DA5" w:rsidRPr="00A76DA5" w:rsidRDefault="00A76DA5" w:rsidP="00A76DA5">
            <w:pPr>
              <w:spacing w:after="0" w:line="240" w:lineRule="auto"/>
              <w:rPr>
                <w:rFonts w:ascii="Arial" w:hAnsi="Arial" w:cs="Arial"/>
                <w:sz w:val="20"/>
                <w:szCs w:val="20"/>
              </w:rPr>
            </w:pPr>
            <w:r w:rsidRPr="00A76DA5">
              <w:rPr>
                <w:rFonts w:ascii="Arial" w:hAnsi="Arial" w:cs="Arial"/>
                <w:sz w:val="20"/>
                <w:szCs w:val="20"/>
              </w:rPr>
              <w:t xml:space="preserve">Treatment with </w:t>
            </w:r>
            <w:r>
              <w:rPr>
                <w:rFonts w:ascii="Arial" w:hAnsi="Arial" w:cs="Arial"/>
                <w:sz w:val="20"/>
                <w:szCs w:val="20"/>
              </w:rPr>
              <w:t xml:space="preserve">oxycodone/naltrexone ER </w:t>
            </w:r>
            <w:r w:rsidRPr="00A76DA5">
              <w:rPr>
                <w:rFonts w:ascii="Arial" w:hAnsi="Arial" w:cs="Arial"/>
                <w:sz w:val="20"/>
                <w:szCs w:val="20"/>
              </w:rPr>
              <w:t xml:space="preserve">was associated with a lower increase in mean NRS pain score (0.60; 95% CI, 0.27 to 0.93) compared to placebo (1.23; 95% CI, 0.87 to 1.58; difference, -0.62; P=0.0114). The mean </w:t>
            </w:r>
            <w:r>
              <w:rPr>
                <w:rFonts w:ascii="Arial" w:hAnsi="Arial" w:cs="Arial"/>
                <w:sz w:val="20"/>
                <w:szCs w:val="20"/>
              </w:rPr>
              <w:t xml:space="preserve">(SD) </w:t>
            </w:r>
            <w:r w:rsidRPr="00A76DA5">
              <w:rPr>
                <w:rFonts w:ascii="Arial" w:hAnsi="Arial" w:cs="Arial"/>
                <w:sz w:val="20"/>
                <w:szCs w:val="20"/>
              </w:rPr>
              <w:t>weekly NRS pain score at baseline was 3.0</w:t>
            </w:r>
            <w:r>
              <w:rPr>
                <w:rFonts w:ascii="Arial" w:hAnsi="Arial" w:cs="Arial"/>
                <w:sz w:val="20"/>
                <w:szCs w:val="20"/>
              </w:rPr>
              <w:t xml:space="preserve"> (1.25)</w:t>
            </w:r>
            <w:r w:rsidRPr="00A76DA5">
              <w:rPr>
                <w:rFonts w:ascii="Arial" w:hAnsi="Arial" w:cs="Arial"/>
                <w:sz w:val="20"/>
                <w:szCs w:val="20"/>
              </w:rPr>
              <w:t xml:space="preserve"> for </w:t>
            </w:r>
            <w:r>
              <w:rPr>
                <w:rFonts w:ascii="Arial" w:hAnsi="Arial" w:cs="Arial"/>
                <w:sz w:val="20"/>
                <w:szCs w:val="20"/>
              </w:rPr>
              <w:t>the oxycodone/</w:t>
            </w:r>
            <w:r w:rsidRPr="00A76DA5">
              <w:rPr>
                <w:rFonts w:ascii="Arial" w:hAnsi="Arial" w:cs="Arial"/>
                <w:sz w:val="20"/>
                <w:szCs w:val="20"/>
              </w:rPr>
              <w:t xml:space="preserve">naltrexone </w:t>
            </w:r>
            <w:r>
              <w:rPr>
                <w:rFonts w:ascii="Arial" w:hAnsi="Arial" w:cs="Arial"/>
                <w:sz w:val="20"/>
                <w:szCs w:val="20"/>
              </w:rPr>
              <w:t>ER</w:t>
            </w:r>
            <w:r w:rsidRPr="00A76DA5">
              <w:rPr>
                <w:rFonts w:ascii="Arial" w:hAnsi="Arial" w:cs="Arial"/>
                <w:sz w:val="20"/>
                <w:szCs w:val="20"/>
              </w:rPr>
              <w:t xml:space="preserve"> group and 3.1</w:t>
            </w:r>
            <w:r>
              <w:rPr>
                <w:rFonts w:ascii="Arial" w:hAnsi="Arial" w:cs="Arial"/>
                <w:sz w:val="20"/>
                <w:szCs w:val="20"/>
              </w:rPr>
              <w:t xml:space="preserve"> (1.04)</w:t>
            </w:r>
            <w:r w:rsidRPr="00A76DA5">
              <w:rPr>
                <w:rFonts w:ascii="Arial" w:hAnsi="Arial" w:cs="Arial"/>
                <w:sz w:val="20"/>
                <w:szCs w:val="20"/>
              </w:rPr>
              <w:t xml:space="preserve"> for the placebo group. During the final two weeks of the treatment period, these scores increased to 3.6</w:t>
            </w:r>
            <w:r>
              <w:rPr>
                <w:rFonts w:ascii="Arial" w:hAnsi="Arial" w:cs="Arial"/>
                <w:sz w:val="20"/>
                <w:szCs w:val="20"/>
              </w:rPr>
              <w:t xml:space="preserve"> (2.04)</w:t>
            </w:r>
            <w:r w:rsidRPr="00A76DA5">
              <w:rPr>
                <w:rFonts w:ascii="Arial" w:hAnsi="Arial" w:cs="Arial"/>
                <w:sz w:val="20"/>
                <w:szCs w:val="20"/>
              </w:rPr>
              <w:t xml:space="preserve"> and 4.3 </w:t>
            </w:r>
            <w:r>
              <w:rPr>
                <w:rFonts w:ascii="Arial" w:hAnsi="Arial" w:cs="Arial"/>
                <w:sz w:val="20"/>
                <w:szCs w:val="20"/>
              </w:rPr>
              <w:t xml:space="preserve">(2.24) </w:t>
            </w:r>
            <w:r w:rsidRPr="00A76DA5">
              <w:rPr>
                <w:rFonts w:ascii="Arial" w:hAnsi="Arial" w:cs="Arial"/>
                <w:sz w:val="20"/>
                <w:szCs w:val="20"/>
              </w:rPr>
              <w:t xml:space="preserve">for </w:t>
            </w:r>
            <w:r>
              <w:rPr>
                <w:rFonts w:ascii="Arial" w:hAnsi="Arial" w:cs="Arial"/>
                <w:sz w:val="20"/>
                <w:szCs w:val="20"/>
              </w:rPr>
              <w:t>oxycodone/</w:t>
            </w:r>
            <w:r w:rsidRPr="00A76DA5">
              <w:rPr>
                <w:rFonts w:ascii="Arial" w:hAnsi="Arial" w:cs="Arial"/>
                <w:sz w:val="20"/>
                <w:szCs w:val="20"/>
              </w:rPr>
              <w:t xml:space="preserve">naltrexone </w:t>
            </w:r>
            <w:r>
              <w:rPr>
                <w:rFonts w:ascii="Arial" w:hAnsi="Arial" w:cs="Arial"/>
                <w:sz w:val="20"/>
                <w:szCs w:val="20"/>
              </w:rPr>
              <w:t>ER</w:t>
            </w:r>
            <w:r w:rsidRPr="00A76DA5">
              <w:rPr>
                <w:rFonts w:ascii="Arial" w:hAnsi="Arial" w:cs="Arial"/>
                <w:sz w:val="20"/>
                <w:szCs w:val="20"/>
              </w:rPr>
              <w:t xml:space="preserve"> and placebo, respectively.</w:t>
            </w:r>
          </w:p>
          <w:p w:rsidR="00A76DA5" w:rsidRDefault="00A76DA5" w:rsidP="00A76DA5">
            <w:pPr>
              <w:spacing w:after="0" w:line="240" w:lineRule="auto"/>
              <w:rPr>
                <w:rFonts w:ascii="Arial" w:hAnsi="Arial" w:cs="Arial"/>
                <w:sz w:val="20"/>
                <w:szCs w:val="20"/>
              </w:rPr>
            </w:pPr>
          </w:p>
          <w:p w:rsidR="00A76DA5" w:rsidRDefault="00A76DA5" w:rsidP="00A76DA5">
            <w:pPr>
              <w:spacing w:after="0" w:line="240" w:lineRule="auto"/>
              <w:rPr>
                <w:rFonts w:ascii="Arial" w:hAnsi="Arial" w:cs="Arial"/>
                <w:sz w:val="20"/>
                <w:szCs w:val="20"/>
              </w:rPr>
            </w:pPr>
            <w:r>
              <w:rPr>
                <w:rFonts w:ascii="Arial" w:hAnsi="Arial" w:cs="Arial"/>
                <w:sz w:val="20"/>
                <w:szCs w:val="20"/>
              </w:rPr>
              <w:t>Secondary:</w:t>
            </w:r>
          </w:p>
          <w:p w:rsidR="00A76DA5" w:rsidRDefault="00A76DA5" w:rsidP="00A76DA5">
            <w:pPr>
              <w:spacing w:after="0" w:line="240" w:lineRule="auto"/>
              <w:rPr>
                <w:rFonts w:ascii="Arial" w:hAnsi="Arial" w:cs="Arial"/>
                <w:sz w:val="20"/>
                <w:szCs w:val="20"/>
              </w:rPr>
            </w:pPr>
            <w:r w:rsidRPr="00E4185B">
              <w:rPr>
                <w:rFonts w:ascii="Arial" w:hAnsi="Arial" w:cs="Arial"/>
                <w:sz w:val="20"/>
                <w:szCs w:val="20"/>
              </w:rPr>
              <w:t xml:space="preserve">Changes in </w:t>
            </w:r>
            <w:r w:rsidR="009B0CA8">
              <w:rPr>
                <w:rFonts w:ascii="Arial" w:hAnsi="Arial" w:cs="Arial"/>
                <w:sz w:val="20"/>
                <w:szCs w:val="20"/>
              </w:rPr>
              <w:t xml:space="preserve">mean </w:t>
            </w:r>
            <w:r w:rsidRPr="00E4185B">
              <w:rPr>
                <w:rFonts w:ascii="Arial" w:hAnsi="Arial" w:cs="Arial"/>
                <w:sz w:val="20"/>
                <w:szCs w:val="20"/>
              </w:rPr>
              <w:t xml:space="preserve">RMDQ score from </w:t>
            </w:r>
            <w:r w:rsidR="009B0CA8">
              <w:rPr>
                <w:rFonts w:ascii="Arial" w:hAnsi="Arial" w:cs="Arial"/>
                <w:sz w:val="20"/>
                <w:szCs w:val="20"/>
              </w:rPr>
              <w:t>randomization</w:t>
            </w:r>
            <w:r w:rsidRPr="00E4185B">
              <w:rPr>
                <w:rFonts w:ascii="Arial" w:hAnsi="Arial" w:cs="Arial"/>
                <w:sz w:val="20"/>
                <w:szCs w:val="20"/>
              </w:rPr>
              <w:t xml:space="preserve"> to 12 weeks were not significantly different between </w:t>
            </w:r>
            <w:r w:rsidR="009B0CA8">
              <w:rPr>
                <w:rFonts w:ascii="Arial" w:hAnsi="Arial" w:cs="Arial"/>
                <w:sz w:val="20"/>
                <w:szCs w:val="20"/>
              </w:rPr>
              <w:t>oxycodone/naltrexone ER and placebo (0.67 vs 0.50; P=0.7547)</w:t>
            </w:r>
            <w:r w:rsidRPr="00E4185B">
              <w:rPr>
                <w:rFonts w:ascii="Arial" w:hAnsi="Arial" w:cs="Arial"/>
                <w:sz w:val="20"/>
                <w:szCs w:val="20"/>
              </w:rPr>
              <w:t xml:space="preserve">. </w:t>
            </w:r>
          </w:p>
          <w:p w:rsidR="00A76DA5" w:rsidRDefault="00A76DA5" w:rsidP="00A76DA5">
            <w:pPr>
              <w:spacing w:after="0" w:line="240" w:lineRule="auto"/>
              <w:rPr>
                <w:rFonts w:ascii="Arial" w:hAnsi="Arial" w:cs="Arial"/>
                <w:sz w:val="20"/>
                <w:szCs w:val="20"/>
              </w:rPr>
            </w:pPr>
          </w:p>
          <w:p w:rsidR="009B0CA8" w:rsidRDefault="009B0CA8" w:rsidP="00A76DA5">
            <w:pPr>
              <w:spacing w:after="0" w:line="240" w:lineRule="auto"/>
              <w:rPr>
                <w:rFonts w:ascii="Arial" w:hAnsi="Arial" w:cs="Arial"/>
                <w:sz w:val="20"/>
                <w:szCs w:val="20"/>
              </w:rPr>
            </w:pPr>
            <w:r w:rsidRPr="009B0CA8">
              <w:rPr>
                <w:rFonts w:ascii="Arial" w:hAnsi="Arial" w:cs="Arial"/>
                <w:sz w:val="20"/>
                <w:szCs w:val="20"/>
              </w:rPr>
              <w:t xml:space="preserve">Changes in </w:t>
            </w:r>
            <w:r w:rsidR="00446CB2">
              <w:rPr>
                <w:rFonts w:ascii="Arial" w:hAnsi="Arial" w:cs="Arial"/>
                <w:sz w:val="20"/>
                <w:szCs w:val="20"/>
              </w:rPr>
              <w:t>proportions of patients with each</w:t>
            </w:r>
            <w:r w:rsidRPr="009B0CA8">
              <w:rPr>
                <w:rFonts w:ascii="Arial" w:hAnsi="Arial" w:cs="Arial"/>
                <w:sz w:val="20"/>
                <w:szCs w:val="20"/>
              </w:rPr>
              <w:t xml:space="preserve"> PGA</w:t>
            </w:r>
            <w:r w:rsidR="00446CB2">
              <w:rPr>
                <w:rFonts w:ascii="Arial" w:hAnsi="Arial" w:cs="Arial"/>
                <w:sz w:val="20"/>
                <w:szCs w:val="20"/>
              </w:rPr>
              <w:t xml:space="preserve"> category</w:t>
            </w:r>
            <w:r w:rsidRPr="009B0CA8">
              <w:rPr>
                <w:rFonts w:ascii="Arial" w:hAnsi="Arial" w:cs="Arial"/>
                <w:sz w:val="20"/>
                <w:szCs w:val="20"/>
              </w:rPr>
              <w:t xml:space="preserve"> of </w:t>
            </w:r>
            <w:r w:rsidR="00446CB2">
              <w:rPr>
                <w:rFonts w:ascii="Arial" w:hAnsi="Arial" w:cs="Arial"/>
                <w:sz w:val="20"/>
                <w:szCs w:val="20"/>
              </w:rPr>
              <w:t>low back pain</w:t>
            </w:r>
            <w:r w:rsidRPr="009B0CA8">
              <w:rPr>
                <w:rFonts w:ascii="Arial" w:hAnsi="Arial" w:cs="Arial"/>
                <w:sz w:val="20"/>
                <w:szCs w:val="20"/>
              </w:rPr>
              <w:t xml:space="preserve"> from randomization to 12 weeks were not significantly different between oxycodone/naltrexone ER and placebo (P=0.</w:t>
            </w:r>
            <w:r w:rsidR="00446CB2">
              <w:rPr>
                <w:rFonts w:ascii="Arial" w:hAnsi="Arial" w:cs="Arial"/>
                <w:sz w:val="20"/>
                <w:szCs w:val="20"/>
              </w:rPr>
              <w:t>1272</w:t>
            </w:r>
            <w:r w:rsidRPr="009B0CA8">
              <w:rPr>
                <w:rFonts w:ascii="Arial" w:hAnsi="Arial" w:cs="Arial"/>
                <w:sz w:val="20"/>
                <w:szCs w:val="20"/>
              </w:rPr>
              <w:t xml:space="preserve">). </w:t>
            </w:r>
          </w:p>
          <w:p w:rsidR="007B0E03" w:rsidRDefault="007B0E03" w:rsidP="00A76DA5">
            <w:pPr>
              <w:spacing w:after="0" w:line="240" w:lineRule="auto"/>
              <w:rPr>
                <w:rFonts w:ascii="Arial" w:hAnsi="Arial" w:cs="Arial"/>
                <w:sz w:val="20"/>
                <w:szCs w:val="20"/>
              </w:rPr>
            </w:pPr>
          </w:p>
          <w:p w:rsidR="007B0E03" w:rsidRPr="007B0E03" w:rsidRDefault="007B0E03" w:rsidP="007B0E03">
            <w:pPr>
              <w:spacing w:after="0" w:line="240" w:lineRule="auto"/>
              <w:rPr>
                <w:rFonts w:ascii="Arial" w:hAnsi="Arial" w:cs="Arial"/>
                <w:sz w:val="20"/>
                <w:szCs w:val="20"/>
              </w:rPr>
            </w:pPr>
            <w:r w:rsidRPr="007B0E03">
              <w:rPr>
                <w:rFonts w:ascii="Arial" w:hAnsi="Arial" w:cs="Arial"/>
                <w:sz w:val="20"/>
                <w:szCs w:val="20"/>
              </w:rPr>
              <w:t xml:space="preserve">Greater proportions of patients treated with oxycodone/naltrexone ER reported a ≥30% decrease (57.5 vs 44.0%, respectively; P=0.0248) and a ≥50% decrease (39.7 vs 29.9%, respectively; P=0.0874) in weekly average NRS pain score from </w:t>
            </w:r>
            <w:r>
              <w:rPr>
                <w:rFonts w:ascii="Arial" w:hAnsi="Arial" w:cs="Arial"/>
                <w:sz w:val="20"/>
                <w:szCs w:val="20"/>
              </w:rPr>
              <w:t>randomization</w:t>
            </w:r>
            <w:r w:rsidRPr="007B0E03">
              <w:rPr>
                <w:rFonts w:ascii="Arial" w:hAnsi="Arial" w:cs="Arial"/>
                <w:sz w:val="20"/>
                <w:szCs w:val="20"/>
              </w:rPr>
              <w:t xml:space="preserve"> to the final two weeks of treatment compared to placebo.</w:t>
            </w:r>
          </w:p>
          <w:p w:rsidR="007B0E03" w:rsidRPr="007B0E03" w:rsidRDefault="007B0E03" w:rsidP="007B0E03">
            <w:pPr>
              <w:spacing w:after="0" w:line="240" w:lineRule="auto"/>
              <w:rPr>
                <w:rFonts w:ascii="Arial" w:hAnsi="Arial" w:cs="Arial"/>
                <w:sz w:val="20"/>
                <w:szCs w:val="20"/>
              </w:rPr>
            </w:pPr>
          </w:p>
          <w:p w:rsidR="007B0E03" w:rsidRDefault="007B0E03" w:rsidP="007B0E03">
            <w:pPr>
              <w:spacing w:after="0" w:line="240" w:lineRule="auto"/>
              <w:rPr>
                <w:rFonts w:ascii="Arial" w:hAnsi="Arial" w:cs="Arial"/>
                <w:sz w:val="20"/>
                <w:szCs w:val="20"/>
              </w:rPr>
            </w:pPr>
            <w:r w:rsidRPr="007B0E03">
              <w:rPr>
                <w:rFonts w:ascii="Arial" w:hAnsi="Arial" w:cs="Arial"/>
                <w:sz w:val="20"/>
                <w:szCs w:val="20"/>
              </w:rPr>
              <w:t>The time to loss of 30% and 50% analgesic response was statistically significantly longer with oxycodone/naltrexone ER than with placebo (P = 0.0024 for 30% and P = 0.0021 for 50%). Patients treated with oxycodone/naltrexone ER took a significantly longer time to discontinue treatment due to investigator-reported lack of efficacy during the double-blind treatment period when compared with patients receiving placebo (P = 0.006).</w:t>
            </w:r>
          </w:p>
          <w:p w:rsidR="009B0CA8" w:rsidRDefault="009B0CA8" w:rsidP="00A76DA5">
            <w:pPr>
              <w:spacing w:after="0" w:line="240" w:lineRule="auto"/>
              <w:rPr>
                <w:rFonts w:ascii="Arial" w:hAnsi="Arial" w:cs="Arial"/>
                <w:sz w:val="20"/>
                <w:szCs w:val="20"/>
              </w:rPr>
            </w:pPr>
          </w:p>
          <w:p w:rsidR="00A76DA5" w:rsidRDefault="00A76DA5" w:rsidP="00A76DA5">
            <w:pPr>
              <w:spacing w:after="0" w:line="240" w:lineRule="auto"/>
              <w:rPr>
                <w:rFonts w:ascii="Arial" w:hAnsi="Arial" w:cs="Arial"/>
                <w:sz w:val="20"/>
                <w:szCs w:val="20"/>
              </w:rPr>
            </w:pPr>
            <w:r w:rsidRPr="00E4185B">
              <w:rPr>
                <w:rFonts w:ascii="Arial" w:hAnsi="Arial" w:cs="Arial"/>
                <w:sz w:val="20"/>
                <w:szCs w:val="20"/>
              </w:rPr>
              <w:t xml:space="preserve">Treatment with </w:t>
            </w:r>
            <w:r w:rsidR="009B0CA8">
              <w:rPr>
                <w:rFonts w:ascii="Arial" w:hAnsi="Arial" w:cs="Arial"/>
                <w:sz w:val="20"/>
                <w:szCs w:val="20"/>
              </w:rPr>
              <w:t>oxycodone/</w:t>
            </w:r>
            <w:r w:rsidR="009B0CA8" w:rsidRPr="00A76DA5">
              <w:rPr>
                <w:rFonts w:ascii="Arial" w:hAnsi="Arial" w:cs="Arial"/>
                <w:sz w:val="20"/>
                <w:szCs w:val="20"/>
              </w:rPr>
              <w:t xml:space="preserve">naltrexone </w:t>
            </w:r>
            <w:r w:rsidR="009B0CA8">
              <w:rPr>
                <w:rFonts w:ascii="Arial" w:hAnsi="Arial" w:cs="Arial"/>
                <w:sz w:val="20"/>
                <w:szCs w:val="20"/>
              </w:rPr>
              <w:t>ER</w:t>
            </w:r>
            <w:r w:rsidR="009B0CA8" w:rsidRPr="00E4185B">
              <w:rPr>
                <w:rFonts w:ascii="Arial" w:hAnsi="Arial" w:cs="Arial"/>
                <w:sz w:val="20"/>
                <w:szCs w:val="20"/>
              </w:rPr>
              <w:t xml:space="preserve"> </w:t>
            </w:r>
            <w:r w:rsidRPr="00E4185B">
              <w:rPr>
                <w:rFonts w:ascii="Arial" w:hAnsi="Arial" w:cs="Arial"/>
                <w:sz w:val="20"/>
                <w:szCs w:val="20"/>
              </w:rPr>
              <w:t>was associated with a numerically lower rate of acetaminophen use compared to placebo (34.9 vs 43.3%), as well as a lower average dose (167.</w:t>
            </w:r>
            <w:r>
              <w:rPr>
                <w:rFonts w:ascii="Arial" w:hAnsi="Arial" w:cs="Arial"/>
                <w:sz w:val="20"/>
                <w:szCs w:val="20"/>
              </w:rPr>
              <w:t>7 vs 252.1 mg/day, respectively</w:t>
            </w:r>
            <w:r w:rsidRPr="00E4185B">
              <w:rPr>
                <w:rFonts w:ascii="Arial" w:hAnsi="Arial" w:cs="Arial"/>
                <w:sz w:val="20"/>
                <w:szCs w:val="20"/>
              </w:rPr>
              <w:t xml:space="preserve">; P=0.939). </w:t>
            </w:r>
          </w:p>
          <w:p w:rsidR="00A76DA5" w:rsidRDefault="00A76DA5" w:rsidP="00A76DA5">
            <w:pPr>
              <w:spacing w:after="0" w:line="240" w:lineRule="auto"/>
              <w:rPr>
                <w:rFonts w:ascii="Arial" w:hAnsi="Arial" w:cs="Arial"/>
                <w:sz w:val="20"/>
                <w:szCs w:val="20"/>
              </w:rPr>
            </w:pPr>
          </w:p>
          <w:p w:rsidR="00A76DA5" w:rsidRDefault="00A76DA5" w:rsidP="00A76DA5">
            <w:pPr>
              <w:spacing w:after="0" w:line="240" w:lineRule="auto"/>
              <w:rPr>
                <w:rFonts w:ascii="Arial" w:hAnsi="Arial" w:cs="Arial"/>
                <w:sz w:val="20"/>
                <w:szCs w:val="20"/>
              </w:rPr>
            </w:pPr>
            <w:r w:rsidRPr="00E4185B">
              <w:rPr>
                <w:rFonts w:ascii="Arial" w:hAnsi="Arial" w:cs="Arial"/>
                <w:sz w:val="20"/>
                <w:szCs w:val="20"/>
              </w:rPr>
              <w:t xml:space="preserve">A significantly </w:t>
            </w:r>
            <w:r>
              <w:rPr>
                <w:rFonts w:ascii="Arial" w:hAnsi="Arial" w:cs="Arial"/>
                <w:sz w:val="20"/>
                <w:szCs w:val="20"/>
              </w:rPr>
              <w:t>greater</w:t>
            </w:r>
            <w:r w:rsidRPr="00E4185B">
              <w:rPr>
                <w:rFonts w:ascii="Arial" w:hAnsi="Arial" w:cs="Arial"/>
                <w:sz w:val="20"/>
                <w:szCs w:val="20"/>
              </w:rPr>
              <w:t xml:space="preserve"> proportion of patients treated with </w:t>
            </w:r>
            <w:r w:rsidR="009B0CA8">
              <w:rPr>
                <w:rFonts w:ascii="Arial" w:hAnsi="Arial" w:cs="Arial"/>
                <w:sz w:val="20"/>
                <w:szCs w:val="20"/>
              </w:rPr>
              <w:t>oxycodone/</w:t>
            </w:r>
            <w:r w:rsidR="009B0CA8" w:rsidRPr="00A76DA5">
              <w:rPr>
                <w:rFonts w:ascii="Arial" w:hAnsi="Arial" w:cs="Arial"/>
                <w:sz w:val="20"/>
                <w:szCs w:val="20"/>
              </w:rPr>
              <w:t xml:space="preserve">naltrexone </w:t>
            </w:r>
            <w:r w:rsidR="009B0CA8">
              <w:rPr>
                <w:rFonts w:ascii="Arial" w:hAnsi="Arial" w:cs="Arial"/>
                <w:sz w:val="20"/>
                <w:szCs w:val="20"/>
              </w:rPr>
              <w:t>ER</w:t>
            </w:r>
            <w:r w:rsidRPr="00E4185B">
              <w:rPr>
                <w:rFonts w:ascii="Arial" w:hAnsi="Arial" w:cs="Arial"/>
                <w:sz w:val="20"/>
                <w:szCs w:val="20"/>
              </w:rPr>
              <w:t xml:space="preserve"> reported being satisfied or very satisfied with treatment compared to placebo (79.7 vs 59.2%, respectively; P=0.0004). </w:t>
            </w:r>
          </w:p>
          <w:p w:rsidR="00C30926" w:rsidRDefault="00C30926" w:rsidP="00A76DA5">
            <w:pPr>
              <w:spacing w:after="0" w:line="240" w:lineRule="auto"/>
              <w:rPr>
                <w:rFonts w:ascii="Arial" w:hAnsi="Arial" w:cs="Arial"/>
                <w:sz w:val="20"/>
                <w:szCs w:val="20"/>
              </w:rPr>
            </w:pPr>
          </w:p>
          <w:p w:rsidR="00C30926" w:rsidRDefault="00C30926" w:rsidP="00A76DA5">
            <w:pPr>
              <w:spacing w:after="0" w:line="240" w:lineRule="auto"/>
              <w:rPr>
                <w:rFonts w:ascii="Arial" w:hAnsi="Arial" w:cs="Arial"/>
                <w:sz w:val="20"/>
                <w:szCs w:val="20"/>
              </w:rPr>
            </w:pPr>
            <w:r>
              <w:rPr>
                <w:rFonts w:ascii="Arial" w:hAnsi="Arial" w:cs="Arial"/>
                <w:sz w:val="20"/>
                <w:szCs w:val="20"/>
              </w:rPr>
              <w:t xml:space="preserve">Significant differences were observed between oxycodone/naltrexone ER and placebo for all subscales of the BPI-sf from randomization to weeks 8 and 12, with the exception of worst pain and pain interference index at week 8. Average pain scores were lower with oxycodone/naltrexone ER (3.1 at week 8, 3.2 at week 12) compared to placebo (3.9 at week 8, 4.2 at week 12). Mean changes for the BPI-sf subscales for worst pain </w:t>
            </w:r>
            <w:r w:rsidRPr="00C30926">
              <w:rPr>
                <w:rFonts w:ascii="Arial" w:hAnsi="Arial" w:cs="Arial"/>
                <w:sz w:val="20"/>
                <w:szCs w:val="20"/>
              </w:rPr>
              <w:t>(0.4 vs 1.4, respectively; P&lt;0.0001)</w:t>
            </w:r>
            <w:r>
              <w:rPr>
                <w:rFonts w:ascii="Arial" w:hAnsi="Arial" w:cs="Arial"/>
                <w:sz w:val="20"/>
                <w:szCs w:val="20"/>
              </w:rPr>
              <w:t xml:space="preserve"> and pain interference (0.4 vs 1.1, respectively; P=0.0018) were lower with oxycodone/naltrexone ER compared to placebo.</w:t>
            </w:r>
          </w:p>
          <w:p w:rsidR="00A76DA5" w:rsidRDefault="00A76DA5" w:rsidP="00A76DA5">
            <w:pPr>
              <w:spacing w:after="0" w:line="240" w:lineRule="auto"/>
              <w:rPr>
                <w:rFonts w:ascii="Arial" w:hAnsi="Arial" w:cs="Arial"/>
                <w:sz w:val="20"/>
                <w:szCs w:val="20"/>
              </w:rPr>
            </w:pPr>
          </w:p>
          <w:p w:rsidR="00A76DA5" w:rsidRDefault="00A76DA5" w:rsidP="00A76DA5">
            <w:pPr>
              <w:autoSpaceDE w:val="0"/>
              <w:autoSpaceDN w:val="0"/>
              <w:spacing w:after="0" w:line="240" w:lineRule="auto"/>
              <w:rPr>
                <w:rFonts w:ascii="Arial" w:hAnsi="Arial" w:cs="Arial"/>
                <w:sz w:val="20"/>
                <w:szCs w:val="20"/>
              </w:rPr>
            </w:pPr>
            <w:r>
              <w:rPr>
                <w:rFonts w:ascii="Arial" w:hAnsi="Arial" w:cs="Arial"/>
                <w:sz w:val="20"/>
                <w:szCs w:val="20"/>
              </w:rPr>
              <w:t xml:space="preserve">A total of 12 patients (8.2%) in the </w:t>
            </w:r>
            <w:r w:rsidR="009B0CA8">
              <w:rPr>
                <w:rFonts w:ascii="Arial" w:hAnsi="Arial" w:cs="Arial"/>
                <w:sz w:val="20"/>
                <w:szCs w:val="20"/>
              </w:rPr>
              <w:t>oxycodone/</w:t>
            </w:r>
            <w:r w:rsidR="009B0CA8" w:rsidRPr="00A76DA5">
              <w:rPr>
                <w:rFonts w:ascii="Arial" w:hAnsi="Arial" w:cs="Arial"/>
                <w:sz w:val="20"/>
                <w:szCs w:val="20"/>
              </w:rPr>
              <w:t xml:space="preserve">naltrexone </w:t>
            </w:r>
            <w:r w:rsidR="009B0CA8">
              <w:rPr>
                <w:rFonts w:ascii="Arial" w:hAnsi="Arial" w:cs="Arial"/>
                <w:sz w:val="20"/>
                <w:szCs w:val="20"/>
              </w:rPr>
              <w:t>ER</w:t>
            </w:r>
            <w:r>
              <w:rPr>
                <w:rFonts w:ascii="Arial" w:hAnsi="Arial" w:cs="Arial"/>
                <w:sz w:val="20"/>
                <w:szCs w:val="20"/>
              </w:rPr>
              <w:t xml:space="preserve"> group and eight patients (6.0%) in the placebo group discontinued treatment during the double-blind treatment period because of TEAE. A total of 83 patients (56.8%) in the </w:t>
            </w:r>
            <w:r w:rsidR="009B0CA8">
              <w:rPr>
                <w:rFonts w:ascii="Arial" w:hAnsi="Arial" w:cs="Arial"/>
                <w:sz w:val="20"/>
                <w:szCs w:val="20"/>
              </w:rPr>
              <w:t>oxycodone/</w:t>
            </w:r>
            <w:r w:rsidR="009B0CA8" w:rsidRPr="00A76DA5">
              <w:rPr>
                <w:rFonts w:ascii="Arial" w:hAnsi="Arial" w:cs="Arial"/>
                <w:sz w:val="20"/>
                <w:szCs w:val="20"/>
              </w:rPr>
              <w:t xml:space="preserve">naltrexone </w:t>
            </w:r>
            <w:r w:rsidR="009B0CA8">
              <w:rPr>
                <w:rFonts w:ascii="Arial" w:hAnsi="Arial" w:cs="Arial"/>
                <w:sz w:val="20"/>
                <w:szCs w:val="20"/>
              </w:rPr>
              <w:t xml:space="preserve">ER </w:t>
            </w:r>
            <w:r>
              <w:rPr>
                <w:rFonts w:ascii="Arial" w:hAnsi="Arial" w:cs="Arial"/>
                <w:sz w:val="20"/>
                <w:szCs w:val="20"/>
              </w:rPr>
              <w:t>group and 75 patients (56.0%) in the placebo group</w:t>
            </w:r>
            <w:r w:rsidR="00D2146D">
              <w:rPr>
                <w:rFonts w:ascii="Arial" w:hAnsi="Arial" w:cs="Arial"/>
                <w:sz w:val="20"/>
                <w:szCs w:val="20"/>
              </w:rPr>
              <w:t xml:space="preserve"> experienced at least one TEAE; a total of 39 patients (26.7%) in the oxycodone/naltrexone ER group and 23 patients (17.2%) in the placebo group experienced at least one treatment-related TEAE. </w:t>
            </w:r>
          </w:p>
          <w:p w:rsidR="00A76DA5" w:rsidRDefault="00A76DA5" w:rsidP="00A76DA5">
            <w:pPr>
              <w:autoSpaceDE w:val="0"/>
              <w:autoSpaceDN w:val="0"/>
              <w:spacing w:after="0" w:line="240" w:lineRule="auto"/>
              <w:rPr>
                <w:rFonts w:ascii="Arial" w:hAnsi="Arial" w:cs="Arial"/>
                <w:sz w:val="20"/>
                <w:szCs w:val="20"/>
              </w:rPr>
            </w:pPr>
          </w:p>
          <w:p w:rsidR="00A76DA5" w:rsidRDefault="00A76DA5" w:rsidP="00A76DA5">
            <w:pPr>
              <w:spacing w:after="0" w:line="240" w:lineRule="auto"/>
              <w:rPr>
                <w:rFonts w:ascii="Arial" w:hAnsi="Arial" w:cs="Arial"/>
                <w:sz w:val="20"/>
                <w:szCs w:val="20"/>
              </w:rPr>
            </w:pPr>
            <w:r>
              <w:rPr>
                <w:rFonts w:ascii="Arial" w:hAnsi="Arial" w:cs="Arial"/>
                <w:sz w:val="20"/>
                <w:szCs w:val="20"/>
              </w:rPr>
              <w:t xml:space="preserve">During the </w:t>
            </w:r>
            <w:r w:rsidR="002A2966">
              <w:rPr>
                <w:rFonts w:ascii="Arial" w:hAnsi="Arial" w:cs="Arial"/>
                <w:sz w:val="20"/>
                <w:szCs w:val="20"/>
              </w:rPr>
              <w:t>DB</w:t>
            </w:r>
            <w:r>
              <w:rPr>
                <w:rFonts w:ascii="Arial" w:hAnsi="Arial" w:cs="Arial"/>
                <w:sz w:val="20"/>
                <w:szCs w:val="20"/>
              </w:rPr>
              <w:t xml:space="preserve"> treatment </w:t>
            </w:r>
            <w:r w:rsidR="002A2966">
              <w:rPr>
                <w:rFonts w:ascii="Arial" w:hAnsi="Arial" w:cs="Arial"/>
                <w:sz w:val="20"/>
                <w:szCs w:val="20"/>
              </w:rPr>
              <w:t>phase</w:t>
            </w:r>
            <w:r>
              <w:rPr>
                <w:rFonts w:ascii="Arial" w:hAnsi="Arial" w:cs="Arial"/>
                <w:sz w:val="20"/>
                <w:szCs w:val="20"/>
              </w:rPr>
              <w:t xml:space="preserve">, 95% of patients in the </w:t>
            </w:r>
            <w:r w:rsidR="009B0CA8">
              <w:rPr>
                <w:rFonts w:ascii="Arial" w:hAnsi="Arial" w:cs="Arial"/>
                <w:sz w:val="20"/>
                <w:szCs w:val="20"/>
              </w:rPr>
              <w:t>oxycodone/</w:t>
            </w:r>
            <w:r w:rsidR="009B0CA8" w:rsidRPr="00A76DA5">
              <w:rPr>
                <w:rFonts w:ascii="Arial" w:hAnsi="Arial" w:cs="Arial"/>
                <w:sz w:val="20"/>
                <w:szCs w:val="20"/>
              </w:rPr>
              <w:t xml:space="preserve">naltrexone </w:t>
            </w:r>
            <w:r w:rsidR="009B0CA8">
              <w:rPr>
                <w:rFonts w:ascii="Arial" w:hAnsi="Arial" w:cs="Arial"/>
                <w:sz w:val="20"/>
                <w:szCs w:val="20"/>
              </w:rPr>
              <w:t xml:space="preserve">ER </w:t>
            </w:r>
            <w:r>
              <w:rPr>
                <w:rFonts w:ascii="Arial" w:hAnsi="Arial" w:cs="Arial"/>
                <w:sz w:val="20"/>
                <w:szCs w:val="20"/>
              </w:rPr>
              <w:t xml:space="preserve">group and 97.6% of patients in the placebo group had maximum COWS scores &lt;5, which indicates no opiate withdrawal. A total of seven patients (5%) in the </w:t>
            </w:r>
            <w:r w:rsidR="009B0CA8">
              <w:rPr>
                <w:rFonts w:ascii="Arial" w:hAnsi="Arial" w:cs="Arial"/>
                <w:sz w:val="20"/>
                <w:szCs w:val="20"/>
              </w:rPr>
              <w:t>oxycodone/</w:t>
            </w:r>
            <w:r w:rsidR="009B0CA8" w:rsidRPr="00A76DA5">
              <w:rPr>
                <w:rFonts w:ascii="Arial" w:hAnsi="Arial" w:cs="Arial"/>
                <w:sz w:val="20"/>
                <w:szCs w:val="20"/>
              </w:rPr>
              <w:t xml:space="preserve">naltrexone </w:t>
            </w:r>
            <w:r w:rsidR="009B0CA8">
              <w:rPr>
                <w:rFonts w:ascii="Arial" w:hAnsi="Arial" w:cs="Arial"/>
                <w:sz w:val="20"/>
                <w:szCs w:val="20"/>
              </w:rPr>
              <w:t xml:space="preserve">ER </w:t>
            </w:r>
            <w:r>
              <w:rPr>
                <w:rFonts w:ascii="Arial" w:hAnsi="Arial" w:cs="Arial"/>
                <w:sz w:val="20"/>
                <w:szCs w:val="20"/>
              </w:rPr>
              <w:t>group and two patients (1.6%) in the placebo group had maximum COWS scores between 5 and 12, which indicates mild withdrawal. One patient (0.8%) in the placebo group had a maximum COWS score between 13 and 24, which indicates moderate withdrawal.</w:t>
            </w:r>
          </w:p>
          <w:p w:rsidR="00D2146D" w:rsidRDefault="00D2146D" w:rsidP="00A76DA5">
            <w:pPr>
              <w:spacing w:after="0" w:line="240" w:lineRule="auto"/>
              <w:rPr>
                <w:rFonts w:ascii="Arial" w:hAnsi="Arial" w:cs="Arial"/>
                <w:sz w:val="20"/>
                <w:szCs w:val="20"/>
              </w:rPr>
            </w:pPr>
          </w:p>
          <w:p w:rsidR="00D2146D" w:rsidRDefault="00D2146D" w:rsidP="00A76DA5">
            <w:pPr>
              <w:spacing w:after="0" w:line="240" w:lineRule="auto"/>
              <w:rPr>
                <w:rFonts w:ascii="Arial" w:hAnsi="Arial" w:cs="Arial"/>
                <w:sz w:val="20"/>
                <w:szCs w:val="20"/>
              </w:rPr>
            </w:pPr>
            <w:r w:rsidRPr="00D2146D">
              <w:rPr>
                <w:rFonts w:ascii="Arial" w:hAnsi="Arial" w:cs="Arial"/>
                <w:sz w:val="20"/>
                <w:szCs w:val="20"/>
              </w:rPr>
              <w:t>No significant changes in vital signs, 12-lead ECG, or laboratory values were observed during the study.</w:t>
            </w:r>
          </w:p>
          <w:p w:rsidR="008F17CC" w:rsidRPr="008F17CC" w:rsidRDefault="008F17CC" w:rsidP="008F17CC">
            <w:pPr>
              <w:spacing w:after="0" w:line="240" w:lineRule="auto"/>
              <w:rPr>
                <w:rFonts w:ascii="Arial" w:hAnsi="Arial" w:cs="Arial"/>
                <w:sz w:val="20"/>
                <w:szCs w:val="20"/>
              </w:rPr>
            </w:pPr>
          </w:p>
          <w:p w:rsidR="008F17CC" w:rsidRPr="008F17CC" w:rsidRDefault="008F17CC" w:rsidP="008F17CC">
            <w:pPr>
              <w:spacing w:after="0" w:line="240" w:lineRule="auto"/>
              <w:rPr>
                <w:rFonts w:ascii="Arial" w:hAnsi="Arial" w:cs="Arial"/>
                <w:sz w:val="20"/>
                <w:szCs w:val="20"/>
              </w:rPr>
            </w:pPr>
            <w:r w:rsidRPr="008F17CC">
              <w:rPr>
                <w:rFonts w:ascii="Arial" w:hAnsi="Arial" w:cs="Arial"/>
                <w:sz w:val="20"/>
                <w:szCs w:val="20"/>
              </w:rPr>
              <w:t xml:space="preserve">Patients treated with </w:t>
            </w:r>
            <w:r>
              <w:rPr>
                <w:rFonts w:ascii="Arial" w:hAnsi="Arial" w:cs="Arial"/>
                <w:sz w:val="20"/>
                <w:szCs w:val="20"/>
              </w:rPr>
              <w:t xml:space="preserve">oxycodone/naltrexone ER </w:t>
            </w:r>
            <w:r w:rsidRPr="008F17CC">
              <w:rPr>
                <w:rFonts w:ascii="Arial" w:hAnsi="Arial" w:cs="Arial"/>
                <w:sz w:val="20"/>
                <w:szCs w:val="20"/>
              </w:rPr>
              <w:t xml:space="preserve">had mean oxycodone plasma concentrations of 25.9 ng/mL and 22.6 ng/mL at randomization </w:t>
            </w:r>
            <w:r>
              <w:rPr>
                <w:rFonts w:ascii="Arial" w:hAnsi="Arial" w:cs="Arial"/>
                <w:sz w:val="20"/>
                <w:szCs w:val="20"/>
              </w:rPr>
              <w:t>and week 12</w:t>
            </w:r>
            <w:r w:rsidRPr="008F17CC">
              <w:rPr>
                <w:rFonts w:ascii="Arial" w:hAnsi="Arial" w:cs="Arial"/>
                <w:sz w:val="20"/>
                <w:szCs w:val="20"/>
              </w:rPr>
              <w:t xml:space="preserve">, respectively. Mean noroxycodone plasma concentrations were 27.1 ng/mL at randomization </w:t>
            </w:r>
            <w:r>
              <w:rPr>
                <w:rFonts w:ascii="Arial" w:hAnsi="Arial" w:cs="Arial"/>
                <w:sz w:val="20"/>
                <w:szCs w:val="20"/>
              </w:rPr>
              <w:t>and 26.3 ng/mL at week 12</w:t>
            </w:r>
            <w:r w:rsidRPr="008F17CC">
              <w:rPr>
                <w:rFonts w:ascii="Arial" w:hAnsi="Arial" w:cs="Arial"/>
                <w:sz w:val="20"/>
                <w:szCs w:val="20"/>
              </w:rPr>
              <w:t xml:space="preserve">. Plasma oxycodone and noroxycodone concentrations increased in a dose-related manner and were relatively constant between week </w:t>
            </w:r>
            <w:r w:rsidR="00B67696">
              <w:rPr>
                <w:rFonts w:ascii="Arial" w:hAnsi="Arial" w:cs="Arial"/>
                <w:sz w:val="20"/>
                <w:szCs w:val="20"/>
              </w:rPr>
              <w:t>four</w:t>
            </w:r>
            <w:r w:rsidR="00B67696" w:rsidRPr="008F17CC">
              <w:rPr>
                <w:rFonts w:ascii="Arial" w:hAnsi="Arial" w:cs="Arial"/>
                <w:sz w:val="20"/>
                <w:szCs w:val="20"/>
              </w:rPr>
              <w:t xml:space="preserve"> </w:t>
            </w:r>
            <w:r w:rsidRPr="008F17CC">
              <w:rPr>
                <w:rFonts w:ascii="Arial" w:hAnsi="Arial" w:cs="Arial"/>
                <w:sz w:val="20"/>
                <w:szCs w:val="20"/>
              </w:rPr>
              <w:t xml:space="preserve">and the end of the study. </w:t>
            </w:r>
          </w:p>
          <w:p w:rsidR="008F17CC" w:rsidRPr="008F17CC" w:rsidRDefault="008F17CC" w:rsidP="008F17CC">
            <w:pPr>
              <w:spacing w:after="0" w:line="240" w:lineRule="auto"/>
              <w:rPr>
                <w:rFonts w:ascii="Arial" w:hAnsi="Arial" w:cs="Arial"/>
                <w:sz w:val="20"/>
                <w:szCs w:val="20"/>
              </w:rPr>
            </w:pPr>
          </w:p>
          <w:p w:rsidR="008F17CC" w:rsidRPr="008F17CC" w:rsidRDefault="008F17CC" w:rsidP="008F17CC">
            <w:pPr>
              <w:spacing w:after="0" w:line="240" w:lineRule="auto"/>
              <w:rPr>
                <w:rFonts w:ascii="Arial" w:hAnsi="Arial" w:cs="Arial"/>
                <w:sz w:val="20"/>
                <w:szCs w:val="20"/>
              </w:rPr>
            </w:pPr>
            <w:r w:rsidRPr="008F17CC">
              <w:rPr>
                <w:rFonts w:ascii="Arial" w:hAnsi="Arial" w:cs="Arial"/>
                <w:sz w:val="20"/>
                <w:szCs w:val="20"/>
              </w:rPr>
              <w:t xml:space="preserve">The naltrexone plasma concentrations in patients treated with </w:t>
            </w:r>
            <w:r>
              <w:rPr>
                <w:rFonts w:ascii="Arial" w:hAnsi="Arial" w:cs="Arial"/>
                <w:sz w:val="20"/>
                <w:szCs w:val="20"/>
              </w:rPr>
              <w:t xml:space="preserve">oxycodone/naltrexone ER </w:t>
            </w:r>
            <w:r w:rsidRPr="008F17CC">
              <w:rPr>
                <w:rFonts w:ascii="Arial" w:hAnsi="Arial" w:cs="Arial"/>
                <w:sz w:val="20"/>
                <w:szCs w:val="20"/>
              </w:rPr>
              <w:t>were below the limit of qu</w:t>
            </w:r>
            <w:r>
              <w:rPr>
                <w:rFonts w:ascii="Arial" w:hAnsi="Arial" w:cs="Arial"/>
                <w:sz w:val="20"/>
                <w:szCs w:val="20"/>
              </w:rPr>
              <w:t xml:space="preserve">antification (&lt;4 </w:t>
            </w:r>
            <w:proofErr w:type="spellStart"/>
            <w:r>
              <w:rPr>
                <w:rFonts w:ascii="Arial" w:hAnsi="Arial" w:cs="Arial"/>
                <w:sz w:val="20"/>
                <w:szCs w:val="20"/>
              </w:rPr>
              <w:t>pg</w:t>
            </w:r>
            <w:proofErr w:type="spellEnd"/>
            <w:r>
              <w:rPr>
                <w:rFonts w:ascii="Arial" w:hAnsi="Arial" w:cs="Arial"/>
                <w:sz w:val="20"/>
                <w:szCs w:val="20"/>
              </w:rPr>
              <w:t xml:space="preserve">/mL) in 82% </w:t>
            </w:r>
            <w:r w:rsidRPr="008F17CC">
              <w:rPr>
                <w:rFonts w:ascii="Arial" w:hAnsi="Arial" w:cs="Arial"/>
                <w:sz w:val="20"/>
                <w:szCs w:val="20"/>
              </w:rPr>
              <w:t>of samples collected across study visi</w:t>
            </w:r>
            <w:r>
              <w:rPr>
                <w:rFonts w:ascii="Arial" w:hAnsi="Arial" w:cs="Arial"/>
                <w:sz w:val="20"/>
                <w:szCs w:val="20"/>
              </w:rPr>
              <w:t>ts. In the remaining 18%</w:t>
            </w:r>
            <w:r w:rsidRPr="008F17CC">
              <w:rPr>
                <w:rFonts w:ascii="Arial" w:hAnsi="Arial" w:cs="Arial"/>
                <w:sz w:val="20"/>
                <w:szCs w:val="20"/>
              </w:rPr>
              <w:t xml:space="preserve"> of samples, a majority </w:t>
            </w:r>
            <w:r>
              <w:rPr>
                <w:rFonts w:ascii="Arial" w:hAnsi="Arial" w:cs="Arial"/>
                <w:sz w:val="20"/>
                <w:szCs w:val="20"/>
              </w:rPr>
              <w:t xml:space="preserve">83% </w:t>
            </w:r>
            <w:r w:rsidRPr="008F17CC">
              <w:rPr>
                <w:rFonts w:ascii="Arial" w:hAnsi="Arial" w:cs="Arial"/>
                <w:sz w:val="20"/>
                <w:szCs w:val="20"/>
              </w:rPr>
              <w:t xml:space="preserve">were </w:t>
            </w:r>
            <w:r>
              <w:rPr>
                <w:rFonts w:ascii="Times New Roman" w:hAnsi="Times New Roman"/>
                <w:sz w:val="20"/>
                <w:szCs w:val="20"/>
              </w:rPr>
              <w:t>≤</w:t>
            </w:r>
            <w:r w:rsidRPr="008F17CC">
              <w:rPr>
                <w:rFonts w:ascii="Arial" w:hAnsi="Arial" w:cs="Arial"/>
                <w:sz w:val="20"/>
                <w:szCs w:val="20"/>
              </w:rPr>
              <w:t>4</w:t>
            </w:r>
            <w:r>
              <w:rPr>
                <w:rFonts w:ascii="Arial" w:hAnsi="Arial" w:cs="Arial"/>
                <w:sz w:val="20"/>
                <w:szCs w:val="20"/>
              </w:rPr>
              <w:t xml:space="preserve">0 </w:t>
            </w:r>
            <w:proofErr w:type="spellStart"/>
            <w:r>
              <w:rPr>
                <w:rFonts w:ascii="Arial" w:hAnsi="Arial" w:cs="Arial"/>
                <w:sz w:val="20"/>
                <w:szCs w:val="20"/>
              </w:rPr>
              <w:t>pg</w:t>
            </w:r>
            <w:proofErr w:type="spellEnd"/>
            <w:r>
              <w:rPr>
                <w:rFonts w:ascii="Arial" w:hAnsi="Arial" w:cs="Arial"/>
                <w:sz w:val="20"/>
                <w:szCs w:val="20"/>
              </w:rPr>
              <w:t>/</w:t>
            </w:r>
            <w:proofErr w:type="spellStart"/>
            <w:r>
              <w:rPr>
                <w:rFonts w:ascii="Arial" w:hAnsi="Arial" w:cs="Arial"/>
                <w:sz w:val="20"/>
                <w:szCs w:val="20"/>
              </w:rPr>
              <w:t>mL.</w:t>
            </w:r>
            <w:proofErr w:type="spellEnd"/>
            <w:r>
              <w:rPr>
                <w:rFonts w:ascii="Arial" w:hAnsi="Arial" w:cs="Arial"/>
                <w:sz w:val="20"/>
                <w:szCs w:val="20"/>
              </w:rPr>
              <w:t xml:space="preserve"> Similarly, for </w:t>
            </w:r>
            <w:r w:rsidR="00E95602" w:rsidRPr="00E95602">
              <w:rPr>
                <w:rFonts w:ascii="Arial" w:hAnsi="Arial" w:cs="Arial"/>
                <w:sz w:val="20"/>
                <w:szCs w:val="20"/>
              </w:rPr>
              <w:t>6-β-</w:t>
            </w:r>
            <w:proofErr w:type="spellStart"/>
            <w:r w:rsidR="00E95602" w:rsidRPr="00E95602">
              <w:rPr>
                <w:rFonts w:ascii="Arial" w:hAnsi="Arial" w:cs="Arial"/>
                <w:sz w:val="20"/>
                <w:szCs w:val="20"/>
              </w:rPr>
              <w:t>naltrexol</w:t>
            </w:r>
            <w:proofErr w:type="spellEnd"/>
            <w:r w:rsidRPr="008F17CC">
              <w:rPr>
                <w:rFonts w:ascii="Arial" w:hAnsi="Arial" w:cs="Arial"/>
                <w:sz w:val="20"/>
                <w:szCs w:val="20"/>
              </w:rPr>
              <w:t xml:space="preserve">, a majority of observed plasma concentrations were low. </w:t>
            </w:r>
            <w:r>
              <w:rPr>
                <w:rFonts w:ascii="Arial" w:hAnsi="Arial" w:cs="Arial"/>
                <w:sz w:val="20"/>
                <w:szCs w:val="20"/>
              </w:rPr>
              <w:t>The</w:t>
            </w:r>
            <w:r w:rsidRPr="008F17CC">
              <w:rPr>
                <w:rFonts w:ascii="Arial" w:hAnsi="Arial" w:cs="Arial"/>
                <w:sz w:val="20"/>
                <w:szCs w:val="20"/>
              </w:rPr>
              <w:t xml:space="preserve"> mean (highest) concentration of naltrexone was 5.3 (118) </w:t>
            </w:r>
            <w:proofErr w:type="spellStart"/>
            <w:r w:rsidRPr="008F17CC">
              <w:rPr>
                <w:rFonts w:ascii="Arial" w:hAnsi="Arial" w:cs="Arial"/>
                <w:sz w:val="20"/>
                <w:szCs w:val="20"/>
              </w:rPr>
              <w:t>pg</w:t>
            </w:r>
            <w:proofErr w:type="spellEnd"/>
            <w:r w:rsidRPr="008F17CC">
              <w:rPr>
                <w:rFonts w:ascii="Arial" w:hAnsi="Arial" w:cs="Arial"/>
                <w:sz w:val="20"/>
                <w:szCs w:val="20"/>
              </w:rPr>
              <w:t>/mL at randomization a</w:t>
            </w:r>
            <w:r>
              <w:rPr>
                <w:rFonts w:ascii="Arial" w:hAnsi="Arial" w:cs="Arial"/>
                <w:sz w:val="20"/>
                <w:szCs w:val="20"/>
              </w:rPr>
              <w:t xml:space="preserve">nd 3.0 (103) </w:t>
            </w:r>
            <w:proofErr w:type="spellStart"/>
            <w:r>
              <w:rPr>
                <w:rFonts w:ascii="Arial" w:hAnsi="Arial" w:cs="Arial"/>
                <w:sz w:val="20"/>
                <w:szCs w:val="20"/>
              </w:rPr>
              <w:t>pg</w:t>
            </w:r>
            <w:proofErr w:type="spellEnd"/>
            <w:r>
              <w:rPr>
                <w:rFonts w:ascii="Arial" w:hAnsi="Arial" w:cs="Arial"/>
                <w:sz w:val="20"/>
                <w:szCs w:val="20"/>
              </w:rPr>
              <w:t>/mL at week 12</w:t>
            </w:r>
            <w:r w:rsidRPr="008F17CC">
              <w:rPr>
                <w:rFonts w:ascii="Arial" w:hAnsi="Arial" w:cs="Arial"/>
                <w:sz w:val="20"/>
                <w:szCs w:val="20"/>
              </w:rPr>
              <w:t xml:space="preserve"> in patients </w:t>
            </w:r>
            <w:r>
              <w:rPr>
                <w:rFonts w:ascii="Arial" w:hAnsi="Arial" w:cs="Arial"/>
                <w:sz w:val="20"/>
                <w:szCs w:val="20"/>
              </w:rPr>
              <w:t>treated with</w:t>
            </w:r>
            <w:r w:rsidRPr="008F17CC">
              <w:rPr>
                <w:rFonts w:ascii="Arial" w:hAnsi="Arial" w:cs="Arial"/>
                <w:sz w:val="20"/>
                <w:szCs w:val="20"/>
              </w:rPr>
              <w:t xml:space="preserve"> </w:t>
            </w:r>
            <w:r>
              <w:rPr>
                <w:rFonts w:ascii="Arial" w:hAnsi="Arial" w:cs="Arial"/>
                <w:sz w:val="20"/>
                <w:szCs w:val="20"/>
              </w:rPr>
              <w:t>oxycodone/naltrexone ER</w:t>
            </w:r>
            <w:r w:rsidRPr="008F17CC">
              <w:rPr>
                <w:rFonts w:ascii="Arial" w:hAnsi="Arial" w:cs="Arial"/>
                <w:sz w:val="20"/>
                <w:szCs w:val="20"/>
              </w:rPr>
              <w:t xml:space="preserve">. For patients randomized to placebo, the mean (highest) concentration of naltrexone was 24.9 (1090) </w:t>
            </w:r>
            <w:proofErr w:type="spellStart"/>
            <w:r w:rsidRPr="008F17CC">
              <w:rPr>
                <w:rFonts w:ascii="Arial" w:hAnsi="Arial" w:cs="Arial"/>
                <w:sz w:val="20"/>
                <w:szCs w:val="20"/>
              </w:rPr>
              <w:t>pg</w:t>
            </w:r>
            <w:proofErr w:type="spellEnd"/>
            <w:r w:rsidRPr="008F17CC">
              <w:rPr>
                <w:rFonts w:ascii="Arial" w:hAnsi="Arial" w:cs="Arial"/>
                <w:sz w:val="20"/>
                <w:szCs w:val="20"/>
              </w:rPr>
              <w:t xml:space="preserve">/mL at randomization </w:t>
            </w:r>
            <w:r>
              <w:rPr>
                <w:rFonts w:ascii="Arial" w:hAnsi="Arial" w:cs="Arial"/>
                <w:sz w:val="20"/>
                <w:szCs w:val="20"/>
              </w:rPr>
              <w:t xml:space="preserve">and 0 </w:t>
            </w:r>
            <w:proofErr w:type="spellStart"/>
            <w:r>
              <w:rPr>
                <w:rFonts w:ascii="Arial" w:hAnsi="Arial" w:cs="Arial"/>
                <w:sz w:val="20"/>
                <w:szCs w:val="20"/>
              </w:rPr>
              <w:t>pg</w:t>
            </w:r>
            <w:proofErr w:type="spellEnd"/>
            <w:r>
              <w:rPr>
                <w:rFonts w:ascii="Arial" w:hAnsi="Arial" w:cs="Arial"/>
                <w:sz w:val="20"/>
                <w:szCs w:val="20"/>
              </w:rPr>
              <w:t>/mL at week 12</w:t>
            </w:r>
            <w:r w:rsidRPr="008F17CC">
              <w:rPr>
                <w:rFonts w:ascii="Arial" w:hAnsi="Arial" w:cs="Arial"/>
                <w:sz w:val="20"/>
                <w:szCs w:val="20"/>
              </w:rPr>
              <w:t xml:space="preserve">. </w:t>
            </w:r>
          </w:p>
          <w:p w:rsidR="008F17CC" w:rsidRPr="008F17CC" w:rsidRDefault="008F17CC" w:rsidP="008F17CC">
            <w:pPr>
              <w:spacing w:after="0" w:line="240" w:lineRule="auto"/>
              <w:rPr>
                <w:rFonts w:ascii="Arial" w:hAnsi="Arial" w:cs="Arial"/>
                <w:sz w:val="20"/>
                <w:szCs w:val="20"/>
              </w:rPr>
            </w:pPr>
            <w:r>
              <w:rPr>
                <w:rFonts w:ascii="Arial" w:hAnsi="Arial" w:cs="Arial"/>
                <w:sz w:val="20"/>
                <w:szCs w:val="20"/>
              </w:rPr>
              <w:t xml:space="preserve">  </w:t>
            </w:r>
          </w:p>
          <w:p w:rsidR="008F17CC" w:rsidRPr="00B5437C" w:rsidRDefault="008F17CC" w:rsidP="008F17CC">
            <w:pPr>
              <w:spacing w:after="0" w:line="240" w:lineRule="auto"/>
              <w:rPr>
                <w:rFonts w:ascii="Arial" w:hAnsi="Arial" w:cs="Arial"/>
                <w:sz w:val="20"/>
                <w:szCs w:val="20"/>
              </w:rPr>
            </w:pPr>
            <w:r w:rsidRPr="008F17CC">
              <w:rPr>
                <w:rFonts w:ascii="Arial" w:hAnsi="Arial" w:cs="Arial"/>
                <w:sz w:val="20"/>
                <w:szCs w:val="20"/>
              </w:rPr>
              <w:t xml:space="preserve">Five patients had naltrexone concentrations &gt;200 </w:t>
            </w:r>
            <w:proofErr w:type="spellStart"/>
            <w:r w:rsidRPr="008F17CC">
              <w:rPr>
                <w:rFonts w:ascii="Arial" w:hAnsi="Arial" w:cs="Arial"/>
                <w:sz w:val="20"/>
                <w:szCs w:val="20"/>
              </w:rPr>
              <w:t>pg</w:t>
            </w:r>
            <w:proofErr w:type="spellEnd"/>
            <w:r w:rsidRPr="008F17CC">
              <w:rPr>
                <w:rFonts w:ascii="Arial" w:hAnsi="Arial" w:cs="Arial"/>
                <w:sz w:val="20"/>
                <w:szCs w:val="20"/>
              </w:rPr>
              <w:t xml:space="preserve">/mL; none of these patients had </w:t>
            </w:r>
            <w:r>
              <w:rPr>
                <w:rFonts w:ascii="Arial" w:hAnsi="Arial" w:cs="Arial"/>
                <w:sz w:val="20"/>
                <w:szCs w:val="20"/>
              </w:rPr>
              <w:t>adverse events</w:t>
            </w:r>
            <w:r w:rsidRPr="008F17CC">
              <w:rPr>
                <w:rFonts w:ascii="Arial" w:hAnsi="Arial" w:cs="Arial"/>
                <w:sz w:val="20"/>
                <w:szCs w:val="20"/>
              </w:rPr>
              <w:t xml:space="preserve"> of withdrawal or clinically meaningful COWS scores. In </w:t>
            </w:r>
            <w:r>
              <w:rPr>
                <w:rFonts w:ascii="Arial" w:hAnsi="Arial" w:cs="Arial"/>
                <w:sz w:val="20"/>
                <w:szCs w:val="20"/>
              </w:rPr>
              <w:t>the two</w:t>
            </w:r>
            <w:r w:rsidRPr="008F17CC">
              <w:rPr>
                <w:rFonts w:ascii="Arial" w:hAnsi="Arial" w:cs="Arial"/>
                <w:sz w:val="20"/>
                <w:szCs w:val="20"/>
              </w:rPr>
              <w:t xml:space="preserve"> patients with the highest observed na</w:t>
            </w:r>
            <w:r>
              <w:rPr>
                <w:rFonts w:ascii="Arial" w:hAnsi="Arial" w:cs="Arial"/>
                <w:sz w:val="20"/>
                <w:szCs w:val="20"/>
              </w:rPr>
              <w:t>ltrexone concentrations (</w:t>
            </w:r>
            <w:r w:rsidRPr="008F17CC">
              <w:rPr>
                <w:rFonts w:ascii="Arial" w:hAnsi="Arial" w:cs="Arial"/>
                <w:sz w:val="20"/>
                <w:szCs w:val="20"/>
              </w:rPr>
              <w:t xml:space="preserve">581 </w:t>
            </w:r>
            <w:proofErr w:type="spellStart"/>
            <w:r w:rsidRPr="008F17CC">
              <w:rPr>
                <w:rFonts w:ascii="Arial" w:hAnsi="Arial" w:cs="Arial"/>
                <w:sz w:val="20"/>
                <w:szCs w:val="20"/>
              </w:rPr>
              <w:t>pg</w:t>
            </w:r>
            <w:proofErr w:type="spellEnd"/>
            <w:r w:rsidRPr="008F17CC">
              <w:rPr>
                <w:rFonts w:ascii="Arial" w:hAnsi="Arial" w:cs="Arial"/>
                <w:sz w:val="20"/>
                <w:szCs w:val="20"/>
              </w:rPr>
              <w:t xml:space="preserve">/mL and 1090 </w:t>
            </w:r>
            <w:proofErr w:type="spellStart"/>
            <w:r w:rsidRPr="008F17CC">
              <w:rPr>
                <w:rFonts w:ascii="Arial" w:hAnsi="Arial" w:cs="Arial"/>
                <w:sz w:val="20"/>
                <w:szCs w:val="20"/>
              </w:rPr>
              <w:t>pg</w:t>
            </w:r>
            <w:proofErr w:type="spellEnd"/>
            <w:r w:rsidRPr="008F17CC">
              <w:rPr>
                <w:rFonts w:ascii="Arial" w:hAnsi="Arial" w:cs="Arial"/>
                <w:sz w:val="20"/>
                <w:szCs w:val="20"/>
              </w:rPr>
              <w:t xml:space="preserve">/mL), COWS scores were </w:t>
            </w:r>
            <w:r>
              <w:rPr>
                <w:rFonts w:ascii="Times New Roman" w:hAnsi="Times New Roman"/>
                <w:sz w:val="20"/>
                <w:szCs w:val="20"/>
              </w:rPr>
              <w:t>≤</w:t>
            </w:r>
            <w:r w:rsidRPr="008F17CC">
              <w:rPr>
                <w:rFonts w:ascii="Arial" w:hAnsi="Arial" w:cs="Arial"/>
                <w:sz w:val="20"/>
                <w:szCs w:val="20"/>
              </w:rPr>
              <w:t xml:space="preserve">2 at all visits. </w:t>
            </w:r>
            <w:r>
              <w:rPr>
                <w:rFonts w:ascii="Arial" w:hAnsi="Arial" w:cs="Arial"/>
                <w:sz w:val="20"/>
                <w:szCs w:val="20"/>
              </w:rPr>
              <w:t>W</w:t>
            </w:r>
            <w:r w:rsidRPr="008F17CC">
              <w:rPr>
                <w:rFonts w:ascii="Arial" w:hAnsi="Arial" w:cs="Arial"/>
                <w:sz w:val="20"/>
                <w:szCs w:val="20"/>
              </w:rPr>
              <w:t xml:space="preserve">ithdrawal syndrome could </w:t>
            </w:r>
            <w:r>
              <w:rPr>
                <w:rFonts w:ascii="Arial" w:hAnsi="Arial" w:cs="Arial"/>
                <w:sz w:val="20"/>
                <w:szCs w:val="20"/>
              </w:rPr>
              <w:t xml:space="preserve">not </w:t>
            </w:r>
            <w:r w:rsidRPr="008F17CC">
              <w:rPr>
                <w:rFonts w:ascii="Arial" w:hAnsi="Arial" w:cs="Arial"/>
                <w:sz w:val="20"/>
                <w:szCs w:val="20"/>
              </w:rPr>
              <w:t>be attribute</w:t>
            </w:r>
            <w:r>
              <w:rPr>
                <w:rFonts w:ascii="Arial" w:hAnsi="Arial" w:cs="Arial"/>
                <w:sz w:val="20"/>
                <w:szCs w:val="20"/>
              </w:rPr>
              <w:t>d to naltrexone concentrations in any of the four patients treated with oxycodone/naltrexone ER who reported the adverse event of withdrawal syndrome</w:t>
            </w:r>
            <w:r w:rsidRPr="008F17CC">
              <w:rPr>
                <w:rFonts w:ascii="Arial" w:hAnsi="Arial" w:cs="Arial"/>
                <w:sz w:val="20"/>
                <w:szCs w:val="20"/>
              </w:rPr>
              <w:t xml:space="preserve">. There was no apparent correlation between plasma naltrexone concentrations and the daily dose of naltrexone present in </w:t>
            </w:r>
            <w:r>
              <w:rPr>
                <w:rFonts w:ascii="Arial" w:hAnsi="Arial" w:cs="Arial"/>
                <w:sz w:val="20"/>
                <w:szCs w:val="20"/>
              </w:rPr>
              <w:t>oxycodone/naltrexone ER</w:t>
            </w:r>
            <w:r w:rsidRPr="008F17CC">
              <w:rPr>
                <w:rFonts w:ascii="Arial" w:hAnsi="Arial" w:cs="Arial"/>
                <w:sz w:val="20"/>
                <w:szCs w:val="20"/>
              </w:rPr>
              <w:t>. Naltrexone concentrations appeared not to be correlated with pain sc</w:t>
            </w:r>
            <w:r>
              <w:rPr>
                <w:rFonts w:ascii="Arial" w:hAnsi="Arial" w:cs="Arial"/>
                <w:sz w:val="20"/>
                <w:szCs w:val="20"/>
              </w:rPr>
              <w:t xml:space="preserve">ores or COWS scores. </w:t>
            </w:r>
          </w:p>
        </w:tc>
      </w:tr>
      <w:tr w:rsidR="00AE7C5C" w:rsidRPr="0044122B" w:rsidTr="001723DB">
        <w:tc>
          <w:tcPr>
            <w:tcW w:w="2640" w:type="dxa"/>
          </w:tcPr>
          <w:p w:rsidR="002A2966" w:rsidRPr="009D6D28" w:rsidRDefault="002A2966" w:rsidP="002A2966">
            <w:pPr>
              <w:spacing w:after="0" w:line="240" w:lineRule="auto"/>
              <w:rPr>
                <w:rFonts w:ascii="Arial" w:hAnsi="Arial" w:cs="Arial"/>
                <w:sz w:val="20"/>
                <w:szCs w:val="20"/>
              </w:rPr>
            </w:pPr>
            <w:r w:rsidRPr="002A2966">
              <w:rPr>
                <w:rFonts w:ascii="Arial" w:hAnsi="Arial" w:cs="Arial"/>
                <w:sz w:val="20"/>
                <w:szCs w:val="20"/>
              </w:rPr>
              <w:t>Arora et al</w:t>
            </w:r>
            <w:r w:rsidRPr="002A2966">
              <w:rPr>
                <w:rFonts w:ascii="Arial" w:hAnsi="Arial" w:cs="Arial"/>
                <w:sz w:val="20"/>
                <w:szCs w:val="20"/>
                <w:vertAlign w:val="superscript"/>
              </w:rPr>
              <w:t>2</w:t>
            </w:r>
            <w:r w:rsidR="003B4259">
              <w:rPr>
                <w:rFonts w:ascii="Arial" w:hAnsi="Arial" w:cs="Arial"/>
                <w:sz w:val="20"/>
                <w:szCs w:val="20"/>
                <w:vertAlign w:val="superscript"/>
              </w:rPr>
              <w:t>,4</w:t>
            </w:r>
            <w:r w:rsidR="009D6D28">
              <w:rPr>
                <w:rFonts w:ascii="Arial" w:hAnsi="Arial" w:cs="Arial"/>
                <w:sz w:val="20"/>
                <w:szCs w:val="20"/>
              </w:rPr>
              <w:t>*</w:t>
            </w:r>
          </w:p>
          <w:p w:rsidR="002A2966" w:rsidRPr="002A2966" w:rsidRDefault="002A2966" w:rsidP="002A2966">
            <w:pPr>
              <w:spacing w:after="0" w:line="240" w:lineRule="auto"/>
              <w:rPr>
                <w:rFonts w:ascii="Arial" w:hAnsi="Arial" w:cs="Arial"/>
                <w:sz w:val="20"/>
                <w:szCs w:val="20"/>
              </w:rPr>
            </w:pPr>
          </w:p>
          <w:p w:rsidR="002A2966" w:rsidRDefault="002A2966" w:rsidP="002A2966">
            <w:pPr>
              <w:spacing w:after="0" w:line="240" w:lineRule="auto"/>
              <w:rPr>
                <w:rFonts w:ascii="Arial" w:hAnsi="Arial" w:cs="Arial"/>
                <w:sz w:val="20"/>
                <w:szCs w:val="20"/>
              </w:rPr>
            </w:pPr>
            <w:r>
              <w:rPr>
                <w:rFonts w:ascii="Arial" w:hAnsi="Arial" w:cs="Arial"/>
                <w:sz w:val="20"/>
                <w:szCs w:val="20"/>
              </w:rPr>
              <w:t>Oxycodone/</w:t>
            </w:r>
            <w:r w:rsidRPr="002A2966">
              <w:rPr>
                <w:rFonts w:ascii="Arial" w:hAnsi="Arial" w:cs="Arial"/>
                <w:sz w:val="20"/>
                <w:szCs w:val="20"/>
              </w:rPr>
              <w:t xml:space="preserve">naltrexone </w:t>
            </w:r>
            <w:r>
              <w:rPr>
                <w:rFonts w:ascii="Arial" w:hAnsi="Arial" w:cs="Arial"/>
                <w:sz w:val="20"/>
                <w:szCs w:val="20"/>
              </w:rPr>
              <w:t>ER capsules</w:t>
            </w:r>
            <w:r w:rsidRPr="002A2966">
              <w:rPr>
                <w:rFonts w:ascii="Arial" w:hAnsi="Arial" w:cs="Arial"/>
                <w:sz w:val="20"/>
                <w:szCs w:val="20"/>
              </w:rPr>
              <w:t xml:space="preserve"> 3 mg</w:t>
            </w:r>
            <w:r>
              <w:rPr>
                <w:rFonts w:ascii="Arial" w:hAnsi="Arial" w:cs="Arial"/>
                <w:sz w:val="20"/>
                <w:szCs w:val="20"/>
              </w:rPr>
              <w:t xml:space="preserve"> to 189 mg oxycodone component</w:t>
            </w:r>
          </w:p>
          <w:p w:rsidR="002A2966" w:rsidRDefault="002A2966" w:rsidP="002A2966">
            <w:pPr>
              <w:spacing w:after="0" w:line="240" w:lineRule="auto"/>
              <w:rPr>
                <w:rFonts w:ascii="Arial" w:hAnsi="Arial" w:cs="Arial"/>
                <w:sz w:val="20"/>
                <w:szCs w:val="20"/>
              </w:rPr>
            </w:pPr>
          </w:p>
          <w:p w:rsidR="002A2966" w:rsidRDefault="002A2966" w:rsidP="002A2966">
            <w:pPr>
              <w:spacing w:after="0" w:line="240" w:lineRule="auto"/>
              <w:rPr>
                <w:rFonts w:ascii="Arial" w:hAnsi="Arial" w:cs="Arial"/>
                <w:sz w:val="20"/>
                <w:szCs w:val="20"/>
              </w:rPr>
            </w:pPr>
            <w:r w:rsidRPr="002A2966">
              <w:rPr>
                <w:rFonts w:ascii="Arial" w:hAnsi="Arial" w:cs="Arial"/>
                <w:sz w:val="20"/>
                <w:szCs w:val="20"/>
              </w:rPr>
              <w:t>Opioid-naïve patients initiated therapy with oxycodone/naltrexone</w:t>
            </w:r>
            <w:r>
              <w:rPr>
                <w:rFonts w:ascii="Arial" w:hAnsi="Arial" w:cs="Arial"/>
                <w:sz w:val="20"/>
                <w:szCs w:val="20"/>
              </w:rPr>
              <w:t xml:space="preserve"> ER</w:t>
            </w:r>
            <w:r w:rsidRPr="002A2966">
              <w:rPr>
                <w:rFonts w:ascii="Arial" w:hAnsi="Arial" w:cs="Arial"/>
                <w:sz w:val="20"/>
                <w:szCs w:val="20"/>
              </w:rPr>
              <w:t xml:space="preserve"> 10 mg </w:t>
            </w:r>
            <w:r>
              <w:rPr>
                <w:rFonts w:ascii="Arial" w:hAnsi="Arial" w:cs="Arial"/>
                <w:sz w:val="20"/>
                <w:szCs w:val="20"/>
              </w:rPr>
              <w:t>BID</w:t>
            </w:r>
            <w:r w:rsidRPr="002A2966">
              <w:rPr>
                <w:rFonts w:ascii="Arial" w:hAnsi="Arial" w:cs="Arial"/>
                <w:sz w:val="20"/>
                <w:szCs w:val="20"/>
              </w:rPr>
              <w:t xml:space="preserve"> and opioid-e</w:t>
            </w:r>
            <w:r>
              <w:rPr>
                <w:rFonts w:ascii="Arial" w:hAnsi="Arial" w:cs="Arial"/>
                <w:sz w:val="20"/>
                <w:szCs w:val="20"/>
              </w:rPr>
              <w:t>xperienced patients converted to oxycodone/naltrexone ER</w:t>
            </w:r>
            <w:r w:rsidRPr="002A2966">
              <w:rPr>
                <w:rFonts w:ascii="Arial" w:hAnsi="Arial" w:cs="Arial"/>
                <w:sz w:val="20"/>
                <w:szCs w:val="20"/>
              </w:rPr>
              <w:t xml:space="preserve"> based on their current daily opioid dose; dose adjustments were made at the investigator’s discretion.</w:t>
            </w:r>
          </w:p>
        </w:tc>
        <w:tc>
          <w:tcPr>
            <w:tcW w:w="1760" w:type="dxa"/>
          </w:tcPr>
          <w:p w:rsidR="00AE7C5C" w:rsidRDefault="002A2966" w:rsidP="00483F31">
            <w:pPr>
              <w:spacing w:after="0" w:line="240" w:lineRule="auto"/>
              <w:rPr>
                <w:rFonts w:ascii="Arial" w:hAnsi="Arial" w:cs="Arial"/>
                <w:sz w:val="20"/>
                <w:szCs w:val="20"/>
              </w:rPr>
            </w:pPr>
            <w:r>
              <w:rPr>
                <w:rFonts w:ascii="Arial" w:hAnsi="Arial" w:cs="Arial"/>
                <w:sz w:val="20"/>
                <w:szCs w:val="20"/>
              </w:rPr>
              <w:t>MC, OL</w:t>
            </w:r>
          </w:p>
          <w:p w:rsidR="002A2966" w:rsidRDefault="002A2966" w:rsidP="00483F31">
            <w:pPr>
              <w:spacing w:after="0" w:line="240" w:lineRule="auto"/>
              <w:rPr>
                <w:rFonts w:ascii="Arial" w:hAnsi="Arial" w:cs="Arial"/>
                <w:sz w:val="20"/>
                <w:szCs w:val="20"/>
              </w:rPr>
            </w:pPr>
          </w:p>
          <w:p w:rsidR="002A2966" w:rsidRDefault="002A2966" w:rsidP="00845EE2">
            <w:pPr>
              <w:spacing w:after="0" w:line="240" w:lineRule="auto"/>
              <w:rPr>
                <w:rFonts w:ascii="Arial" w:hAnsi="Arial" w:cs="Arial"/>
                <w:sz w:val="20"/>
                <w:szCs w:val="20"/>
              </w:rPr>
            </w:pPr>
            <w:r w:rsidRPr="002A2966">
              <w:rPr>
                <w:rFonts w:ascii="Arial" w:hAnsi="Arial" w:cs="Arial"/>
                <w:sz w:val="20"/>
                <w:szCs w:val="20"/>
              </w:rPr>
              <w:t xml:space="preserve">Patients aged 18 years or older with moderate-to-severe CNCP requiring around-the-clock analgesia and not expected to last </w:t>
            </w:r>
            <w:r w:rsidR="00845EE2">
              <w:rPr>
                <w:rFonts w:ascii="Arial" w:hAnsi="Arial" w:cs="Arial"/>
                <w:sz w:val="20"/>
                <w:szCs w:val="20"/>
              </w:rPr>
              <w:t>less than three</w:t>
            </w:r>
            <w:r w:rsidRPr="002A2966">
              <w:rPr>
                <w:rFonts w:ascii="Arial" w:hAnsi="Arial" w:cs="Arial"/>
                <w:sz w:val="20"/>
                <w:szCs w:val="20"/>
              </w:rPr>
              <w:t xml:space="preserve"> months, and without documented alcohol or drug abuse within one year of study enrollment</w:t>
            </w:r>
            <w:r>
              <w:rPr>
                <w:rFonts w:ascii="Arial" w:hAnsi="Arial" w:cs="Arial"/>
                <w:sz w:val="20"/>
                <w:szCs w:val="20"/>
              </w:rPr>
              <w:t xml:space="preserve"> or clinically significant medical conditions that would interfere with the study or pose a risk to the patient</w:t>
            </w:r>
          </w:p>
        </w:tc>
        <w:tc>
          <w:tcPr>
            <w:tcW w:w="1540" w:type="dxa"/>
          </w:tcPr>
          <w:p w:rsidR="00AE7C5C" w:rsidRDefault="002A2966" w:rsidP="000B3401">
            <w:pPr>
              <w:spacing w:after="0" w:line="240" w:lineRule="auto"/>
              <w:jc w:val="center"/>
              <w:rPr>
                <w:rFonts w:ascii="Arial" w:hAnsi="Arial" w:cs="Arial"/>
                <w:sz w:val="20"/>
                <w:szCs w:val="20"/>
              </w:rPr>
            </w:pPr>
            <w:r>
              <w:rPr>
                <w:rFonts w:ascii="Arial" w:hAnsi="Arial" w:cs="Arial"/>
                <w:sz w:val="20"/>
                <w:szCs w:val="20"/>
              </w:rPr>
              <w:t>N=395</w:t>
            </w:r>
          </w:p>
          <w:p w:rsidR="002A2966" w:rsidRDefault="002A2966" w:rsidP="000B3401">
            <w:pPr>
              <w:spacing w:after="0" w:line="240" w:lineRule="auto"/>
              <w:jc w:val="center"/>
              <w:rPr>
                <w:rFonts w:ascii="Arial" w:hAnsi="Arial" w:cs="Arial"/>
                <w:sz w:val="20"/>
                <w:szCs w:val="20"/>
              </w:rPr>
            </w:pPr>
          </w:p>
          <w:p w:rsidR="002A2966" w:rsidRDefault="002A2966" w:rsidP="000B3401">
            <w:pPr>
              <w:spacing w:after="0" w:line="240" w:lineRule="auto"/>
              <w:jc w:val="center"/>
              <w:rPr>
                <w:rFonts w:ascii="Arial" w:hAnsi="Arial" w:cs="Arial"/>
                <w:sz w:val="20"/>
                <w:szCs w:val="20"/>
              </w:rPr>
            </w:pPr>
            <w:r>
              <w:rPr>
                <w:rFonts w:ascii="Arial" w:hAnsi="Arial" w:cs="Arial"/>
                <w:sz w:val="20"/>
                <w:szCs w:val="20"/>
              </w:rPr>
              <w:t>12 months</w:t>
            </w:r>
          </w:p>
        </w:tc>
        <w:tc>
          <w:tcPr>
            <w:tcW w:w="1760" w:type="dxa"/>
          </w:tcPr>
          <w:p w:rsidR="00AE7C5C" w:rsidRDefault="002A2966" w:rsidP="000B3401">
            <w:pPr>
              <w:spacing w:after="0" w:line="240" w:lineRule="auto"/>
              <w:rPr>
                <w:rFonts w:ascii="Arial" w:hAnsi="Arial" w:cs="Arial"/>
                <w:sz w:val="20"/>
                <w:szCs w:val="20"/>
              </w:rPr>
            </w:pPr>
            <w:r>
              <w:rPr>
                <w:rFonts w:ascii="Arial" w:hAnsi="Arial" w:cs="Arial"/>
                <w:sz w:val="20"/>
                <w:szCs w:val="20"/>
              </w:rPr>
              <w:t>Primary:</w:t>
            </w:r>
          </w:p>
          <w:p w:rsidR="002A2966" w:rsidRDefault="002A2966" w:rsidP="000B3401">
            <w:pPr>
              <w:spacing w:after="0" w:line="240" w:lineRule="auto"/>
              <w:rPr>
                <w:rFonts w:ascii="Arial" w:hAnsi="Arial" w:cs="Arial"/>
                <w:sz w:val="20"/>
                <w:szCs w:val="20"/>
              </w:rPr>
            </w:pPr>
            <w:r w:rsidRPr="002A2966">
              <w:rPr>
                <w:rFonts w:ascii="Arial" w:hAnsi="Arial" w:cs="Arial"/>
                <w:sz w:val="20"/>
                <w:szCs w:val="20"/>
              </w:rPr>
              <w:t>Number and type of adverse events and treatment-related adverse events</w:t>
            </w:r>
          </w:p>
          <w:p w:rsidR="002A2966" w:rsidRDefault="002A2966" w:rsidP="000B3401">
            <w:pPr>
              <w:spacing w:after="0" w:line="240" w:lineRule="auto"/>
              <w:rPr>
                <w:rFonts w:ascii="Arial" w:hAnsi="Arial" w:cs="Arial"/>
                <w:sz w:val="20"/>
                <w:szCs w:val="20"/>
              </w:rPr>
            </w:pPr>
          </w:p>
          <w:p w:rsidR="002A2966" w:rsidRDefault="002A2966" w:rsidP="000B3401">
            <w:pPr>
              <w:spacing w:after="0" w:line="240" w:lineRule="auto"/>
              <w:rPr>
                <w:rFonts w:ascii="Arial" w:hAnsi="Arial" w:cs="Arial"/>
                <w:sz w:val="20"/>
                <w:szCs w:val="20"/>
              </w:rPr>
            </w:pPr>
            <w:r>
              <w:rPr>
                <w:rFonts w:ascii="Arial" w:hAnsi="Arial" w:cs="Arial"/>
                <w:sz w:val="20"/>
                <w:szCs w:val="20"/>
              </w:rPr>
              <w:t>Secondary:</w:t>
            </w:r>
          </w:p>
          <w:p w:rsidR="002A2966" w:rsidRDefault="002A2966" w:rsidP="000B3401">
            <w:pPr>
              <w:spacing w:after="0" w:line="240" w:lineRule="auto"/>
              <w:rPr>
                <w:rFonts w:ascii="Arial" w:hAnsi="Arial" w:cs="Arial"/>
                <w:sz w:val="20"/>
                <w:szCs w:val="20"/>
              </w:rPr>
            </w:pPr>
            <w:r w:rsidRPr="002A2966">
              <w:rPr>
                <w:rFonts w:ascii="Arial" w:hAnsi="Arial" w:cs="Arial"/>
                <w:sz w:val="20"/>
                <w:szCs w:val="20"/>
              </w:rPr>
              <w:t>Changes in laboratory values, vital signs, and 12-lead ECG, opioid withdrawal symptoms assessed via COWS, dosing patterns, aberrant medication-related behaviors assessed via COMM</w:t>
            </w:r>
            <w:r w:rsidRPr="002A2966">
              <w:rPr>
                <w:rFonts w:ascii="Arial" w:hAnsi="Arial" w:cs="Arial"/>
                <w:sz w:val="20"/>
                <w:szCs w:val="20"/>
                <w:vertAlign w:val="superscript"/>
              </w:rPr>
              <w:t>TM</w:t>
            </w:r>
            <w:r w:rsidRPr="002A2966">
              <w:rPr>
                <w:rFonts w:ascii="Arial" w:hAnsi="Arial" w:cs="Arial"/>
                <w:sz w:val="20"/>
                <w:szCs w:val="20"/>
              </w:rPr>
              <w:t>, change in BPI score</w:t>
            </w:r>
          </w:p>
        </w:tc>
        <w:tc>
          <w:tcPr>
            <w:tcW w:w="6030" w:type="dxa"/>
          </w:tcPr>
          <w:p w:rsidR="00D40D2E" w:rsidRPr="00D40D2E" w:rsidRDefault="00D40D2E" w:rsidP="00D40D2E">
            <w:pPr>
              <w:spacing w:after="0" w:line="240" w:lineRule="auto"/>
              <w:rPr>
                <w:rFonts w:ascii="Arial" w:hAnsi="Arial" w:cs="Arial"/>
                <w:sz w:val="20"/>
                <w:szCs w:val="20"/>
              </w:rPr>
            </w:pPr>
            <w:r w:rsidRPr="00D40D2E">
              <w:rPr>
                <w:rFonts w:ascii="Arial" w:hAnsi="Arial" w:cs="Arial"/>
                <w:sz w:val="20"/>
                <w:szCs w:val="20"/>
              </w:rPr>
              <w:t>Primary:</w:t>
            </w:r>
          </w:p>
          <w:p w:rsidR="00D40D2E" w:rsidRPr="00D40D2E" w:rsidRDefault="00D40D2E" w:rsidP="00D40D2E">
            <w:pPr>
              <w:spacing w:after="0" w:line="240" w:lineRule="auto"/>
              <w:rPr>
                <w:rFonts w:ascii="Arial" w:hAnsi="Arial" w:cs="Arial"/>
                <w:sz w:val="20"/>
                <w:szCs w:val="20"/>
              </w:rPr>
            </w:pPr>
            <w:r w:rsidRPr="00D40D2E">
              <w:rPr>
                <w:rFonts w:ascii="Arial" w:hAnsi="Arial" w:cs="Arial"/>
                <w:sz w:val="20"/>
                <w:szCs w:val="20"/>
              </w:rPr>
              <w:t xml:space="preserve">A total of 343 patients (86.8%) reported TEAE; </w:t>
            </w:r>
            <w:r>
              <w:rPr>
                <w:rFonts w:ascii="Arial" w:hAnsi="Arial" w:cs="Arial"/>
                <w:sz w:val="20"/>
                <w:szCs w:val="20"/>
              </w:rPr>
              <w:t>only</w:t>
            </w:r>
            <w:r w:rsidRPr="00D40D2E">
              <w:rPr>
                <w:rFonts w:ascii="Arial" w:hAnsi="Arial" w:cs="Arial"/>
                <w:sz w:val="20"/>
                <w:szCs w:val="20"/>
              </w:rPr>
              <w:t xml:space="preserve"> 207 patients (52.4%) reported treatment-related adverse events. The most common TEAE leading to discontinuation were nausea (4.6%), constipation (2.5%), and vomiting (2.0%). The incidence of any TEAE was similar between opioid-naïve (85.9%) and opioid-experienced (87.1%) patients. </w:t>
            </w:r>
          </w:p>
          <w:p w:rsidR="00D40D2E" w:rsidRPr="00D40D2E" w:rsidRDefault="00D40D2E" w:rsidP="00D40D2E">
            <w:pPr>
              <w:spacing w:after="0" w:line="240" w:lineRule="auto"/>
              <w:rPr>
                <w:rFonts w:ascii="Arial" w:hAnsi="Arial" w:cs="Arial"/>
                <w:sz w:val="20"/>
                <w:szCs w:val="20"/>
              </w:rPr>
            </w:pPr>
          </w:p>
          <w:p w:rsidR="00D40D2E" w:rsidRPr="00D40D2E" w:rsidRDefault="00D40D2E" w:rsidP="00D40D2E">
            <w:pPr>
              <w:spacing w:after="0" w:line="240" w:lineRule="auto"/>
              <w:rPr>
                <w:rFonts w:ascii="Arial" w:hAnsi="Arial" w:cs="Arial"/>
                <w:sz w:val="20"/>
                <w:szCs w:val="20"/>
              </w:rPr>
            </w:pPr>
            <w:r w:rsidRPr="00D40D2E">
              <w:rPr>
                <w:rFonts w:ascii="Arial" w:hAnsi="Arial" w:cs="Arial"/>
                <w:sz w:val="20"/>
                <w:szCs w:val="20"/>
              </w:rPr>
              <w:t>A total of 26 patients (6.6%) reported serious adverse events. The most common serious adverse events were acute myocardial infarction, non-cardiac chest pain, pneumonia, convulsion, and nephrolithiasis; each was reported by two patients (0.5%). Two patients reported serious adverse events deemed reasonably attributable to the study drug: abdominal pain caused by possible bacterial infection, and cholelithiasis.</w:t>
            </w:r>
          </w:p>
          <w:p w:rsidR="00D40D2E" w:rsidRPr="00D40D2E" w:rsidRDefault="00D40D2E" w:rsidP="00D40D2E">
            <w:pPr>
              <w:spacing w:after="0" w:line="240" w:lineRule="auto"/>
              <w:rPr>
                <w:rFonts w:ascii="Arial" w:hAnsi="Arial" w:cs="Arial"/>
                <w:sz w:val="20"/>
                <w:szCs w:val="20"/>
              </w:rPr>
            </w:pPr>
          </w:p>
          <w:p w:rsidR="00D40D2E" w:rsidRPr="00D40D2E" w:rsidRDefault="00D40D2E" w:rsidP="00D40D2E">
            <w:pPr>
              <w:spacing w:after="0" w:line="240" w:lineRule="auto"/>
              <w:rPr>
                <w:rFonts w:ascii="Arial" w:hAnsi="Arial" w:cs="Arial"/>
                <w:sz w:val="20"/>
                <w:szCs w:val="20"/>
              </w:rPr>
            </w:pPr>
            <w:r w:rsidRPr="00D40D2E">
              <w:rPr>
                <w:rFonts w:ascii="Arial" w:hAnsi="Arial" w:cs="Arial"/>
                <w:sz w:val="20"/>
                <w:szCs w:val="20"/>
              </w:rPr>
              <w:t>Secondary:</w:t>
            </w:r>
          </w:p>
          <w:p w:rsidR="00D40D2E" w:rsidRPr="00D40D2E" w:rsidRDefault="00D40D2E" w:rsidP="00D40D2E">
            <w:pPr>
              <w:spacing w:after="0" w:line="240" w:lineRule="auto"/>
              <w:rPr>
                <w:rFonts w:ascii="Arial" w:hAnsi="Arial" w:cs="Arial"/>
                <w:sz w:val="20"/>
                <w:szCs w:val="20"/>
              </w:rPr>
            </w:pPr>
            <w:r w:rsidRPr="00D40D2E">
              <w:rPr>
                <w:rFonts w:ascii="Arial" w:hAnsi="Arial" w:cs="Arial"/>
                <w:sz w:val="20"/>
                <w:szCs w:val="20"/>
              </w:rPr>
              <w:t xml:space="preserve">There were no clinically relevant changes in any laboratory values, vital signs, or 12-lead ECG throughout the study. </w:t>
            </w:r>
          </w:p>
          <w:p w:rsidR="00D40D2E" w:rsidRPr="00D40D2E" w:rsidRDefault="00D40D2E" w:rsidP="00D40D2E">
            <w:pPr>
              <w:spacing w:after="0" w:line="240" w:lineRule="auto"/>
              <w:rPr>
                <w:rFonts w:ascii="Arial" w:hAnsi="Arial" w:cs="Arial"/>
                <w:sz w:val="20"/>
                <w:szCs w:val="20"/>
              </w:rPr>
            </w:pPr>
          </w:p>
          <w:p w:rsidR="00D40D2E" w:rsidRPr="00D40D2E" w:rsidRDefault="00D40D2E" w:rsidP="00D40D2E">
            <w:pPr>
              <w:spacing w:after="0" w:line="240" w:lineRule="auto"/>
              <w:rPr>
                <w:rFonts w:ascii="Arial" w:hAnsi="Arial" w:cs="Arial"/>
                <w:sz w:val="20"/>
                <w:szCs w:val="20"/>
              </w:rPr>
            </w:pPr>
            <w:r w:rsidRPr="00D40D2E">
              <w:rPr>
                <w:rFonts w:ascii="Arial" w:hAnsi="Arial" w:cs="Arial"/>
                <w:sz w:val="20"/>
                <w:szCs w:val="20"/>
              </w:rPr>
              <w:t>A total of 86.6% of patients had a maximum observed COWS score of 0 to 4, which indicates no opiate withdrawal. COWS scores of 5 to 12, which indicate mild withdrawal, were observed in 13.2% of patients. Moderately severe withdrawal symptoms were reported for one opioid-experienced patient, who was also determined to be non-adherent to the medication based on plasma naltrexone and oxycodone levels below the limits of quantitation.</w:t>
            </w:r>
          </w:p>
          <w:p w:rsidR="00D40D2E" w:rsidRPr="00D40D2E" w:rsidRDefault="00D40D2E" w:rsidP="00D40D2E">
            <w:pPr>
              <w:spacing w:after="0" w:line="240" w:lineRule="auto"/>
              <w:rPr>
                <w:rFonts w:ascii="Arial" w:hAnsi="Arial" w:cs="Arial"/>
                <w:sz w:val="20"/>
                <w:szCs w:val="20"/>
              </w:rPr>
            </w:pPr>
          </w:p>
          <w:p w:rsidR="00D40D2E" w:rsidRPr="00D40D2E" w:rsidRDefault="00D40D2E" w:rsidP="00D40D2E">
            <w:pPr>
              <w:spacing w:after="0" w:line="240" w:lineRule="auto"/>
              <w:rPr>
                <w:rFonts w:ascii="Arial" w:hAnsi="Arial" w:cs="Arial"/>
                <w:sz w:val="20"/>
                <w:szCs w:val="20"/>
              </w:rPr>
            </w:pPr>
            <w:r w:rsidRPr="00D40D2E">
              <w:rPr>
                <w:rFonts w:ascii="Arial" w:hAnsi="Arial" w:cs="Arial"/>
                <w:sz w:val="20"/>
                <w:szCs w:val="20"/>
              </w:rPr>
              <w:t>The percentage of patients with COMM</w:t>
            </w:r>
            <w:r w:rsidRPr="00D40D2E">
              <w:rPr>
                <w:rFonts w:ascii="Arial" w:hAnsi="Arial" w:cs="Arial"/>
                <w:sz w:val="20"/>
                <w:szCs w:val="20"/>
                <w:vertAlign w:val="superscript"/>
              </w:rPr>
              <w:t>TM</w:t>
            </w:r>
            <w:r w:rsidRPr="00D40D2E">
              <w:rPr>
                <w:rFonts w:ascii="Arial" w:hAnsi="Arial" w:cs="Arial"/>
                <w:sz w:val="20"/>
                <w:szCs w:val="20"/>
              </w:rPr>
              <w:t xml:space="preserve"> scores ≥9, which indicates aberrant behavior, decreased from 21.3% at baseline to 3.7% at month 11; there was no strong relation observed between COMM</w:t>
            </w:r>
            <w:r w:rsidRPr="00D40D2E">
              <w:rPr>
                <w:rFonts w:ascii="Arial" w:hAnsi="Arial" w:cs="Arial"/>
                <w:sz w:val="20"/>
                <w:szCs w:val="20"/>
                <w:vertAlign w:val="superscript"/>
              </w:rPr>
              <w:t>TM</w:t>
            </w:r>
            <w:r w:rsidRPr="00D40D2E">
              <w:rPr>
                <w:rFonts w:ascii="Arial" w:hAnsi="Arial" w:cs="Arial"/>
                <w:sz w:val="20"/>
                <w:szCs w:val="20"/>
              </w:rPr>
              <w:t xml:space="preserve"> score and reason for discontinuation. </w:t>
            </w:r>
          </w:p>
          <w:p w:rsidR="00D40D2E" w:rsidRPr="00D40D2E" w:rsidRDefault="00D40D2E" w:rsidP="00D40D2E">
            <w:pPr>
              <w:spacing w:after="0" w:line="240" w:lineRule="auto"/>
              <w:rPr>
                <w:rFonts w:ascii="Arial" w:hAnsi="Arial" w:cs="Arial"/>
                <w:sz w:val="20"/>
                <w:szCs w:val="20"/>
              </w:rPr>
            </w:pPr>
          </w:p>
          <w:p w:rsidR="00AE7C5C" w:rsidRDefault="00D40D2E" w:rsidP="00D40D2E">
            <w:pPr>
              <w:spacing w:after="0" w:line="240" w:lineRule="auto"/>
              <w:rPr>
                <w:rFonts w:ascii="Arial" w:hAnsi="Arial" w:cs="Arial"/>
                <w:sz w:val="20"/>
                <w:szCs w:val="20"/>
              </w:rPr>
            </w:pPr>
            <w:r w:rsidRPr="00D40D2E">
              <w:rPr>
                <w:rFonts w:ascii="Arial" w:hAnsi="Arial" w:cs="Arial"/>
                <w:sz w:val="20"/>
                <w:szCs w:val="20"/>
              </w:rPr>
              <w:t>The decrease from baseline in mean pain scores for worst, least, and average pain over the previous 24 hours and current pain was statistically significant at all visits except for least and current pain  at week one (P≤0.0273).</w:t>
            </w:r>
          </w:p>
          <w:p w:rsidR="008F6F57" w:rsidRDefault="008F6F57" w:rsidP="00D40D2E">
            <w:pPr>
              <w:spacing w:after="0" w:line="240" w:lineRule="auto"/>
              <w:rPr>
                <w:rFonts w:ascii="Arial" w:hAnsi="Arial" w:cs="Arial"/>
                <w:sz w:val="20"/>
                <w:szCs w:val="20"/>
              </w:rPr>
            </w:pPr>
          </w:p>
          <w:p w:rsidR="008F6F57" w:rsidRDefault="008F6F57" w:rsidP="00D40D2E">
            <w:pPr>
              <w:spacing w:after="0" w:line="240" w:lineRule="auto"/>
              <w:rPr>
                <w:rFonts w:ascii="Arial" w:hAnsi="Arial" w:cs="Arial"/>
                <w:sz w:val="20"/>
                <w:szCs w:val="20"/>
              </w:rPr>
            </w:pPr>
            <w:r w:rsidRPr="008F6F57">
              <w:rPr>
                <w:rFonts w:ascii="Arial" w:hAnsi="Arial" w:cs="Arial"/>
                <w:sz w:val="20"/>
                <w:szCs w:val="20"/>
              </w:rPr>
              <w:t>Mean steady-state plasma ox</w:t>
            </w:r>
            <w:r>
              <w:rPr>
                <w:rFonts w:ascii="Arial" w:hAnsi="Arial" w:cs="Arial"/>
                <w:sz w:val="20"/>
                <w:szCs w:val="20"/>
              </w:rPr>
              <w:t xml:space="preserve">ycodone levels ranged from 15.1 ng/mL in the 10 to 40 </w:t>
            </w:r>
            <w:r w:rsidRPr="008F6F57">
              <w:rPr>
                <w:rFonts w:ascii="Arial" w:hAnsi="Arial" w:cs="Arial"/>
                <w:sz w:val="20"/>
                <w:szCs w:val="20"/>
              </w:rPr>
              <w:t>mg do</w:t>
            </w:r>
            <w:r>
              <w:rPr>
                <w:rFonts w:ascii="Arial" w:hAnsi="Arial" w:cs="Arial"/>
                <w:sz w:val="20"/>
                <w:szCs w:val="20"/>
              </w:rPr>
              <w:t xml:space="preserve">se group to 82.8 ng/mL in the &gt;120 </w:t>
            </w:r>
            <w:r w:rsidRPr="008F6F57">
              <w:rPr>
                <w:rFonts w:ascii="Arial" w:hAnsi="Arial" w:cs="Arial"/>
                <w:sz w:val="20"/>
                <w:szCs w:val="20"/>
              </w:rPr>
              <w:t xml:space="preserve">mg dose group. Mean steady-state plasma naltrexone levels </w:t>
            </w:r>
            <w:r>
              <w:rPr>
                <w:rFonts w:ascii="Arial" w:hAnsi="Arial" w:cs="Arial"/>
                <w:sz w:val="20"/>
                <w:szCs w:val="20"/>
              </w:rPr>
              <w:t xml:space="preserve">ranged from 1.7 </w:t>
            </w:r>
            <w:proofErr w:type="spellStart"/>
            <w:r>
              <w:rPr>
                <w:rFonts w:ascii="Arial" w:hAnsi="Arial" w:cs="Arial"/>
                <w:sz w:val="20"/>
                <w:szCs w:val="20"/>
              </w:rPr>
              <w:t>pg</w:t>
            </w:r>
            <w:proofErr w:type="spellEnd"/>
            <w:r>
              <w:rPr>
                <w:rFonts w:ascii="Arial" w:hAnsi="Arial" w:cs="Arial"/>
                <w:sz w:val="20"/>
                <w:szCs w:val="20"/>
              </w:rPr>
              <w:t xml:space="preserve">/mL in the 10 to 40 </w:t>
            </w:r>
            <w:r w:rsidRPr="008F6F57">
              <w:rPr>
                <w:rFonts w:ascii="Arial" w:hAnsi="Arial" w:cs="Arial"/>
                <w:sz w:val="20"/>
                <w:szCs w:val="20"/>
              </w:rPr>
              <w:t>mg do</w:t>
            </w:r>
            <w:r>
              <w:rPr>
                <w:rFonts w:ascii="Arial" w:hAnsi="Arial" w:cs="Arial"/>
                <w:sz w:val="20"/>
                <w:szCs w:val="20"/>
              </w:rPr>
              <w:t xml:space="preserve">se group to 11.6 </w:t>
            </w:r>
            <w:proofErr w:type="spellStart"/>
            <w:r>
              <w:rPr>
                <w:rFonts w:ascii="Arial" w:hAnsi="Arial" w:cs="Arial"/>
                <w:sz w:val="20"/>
                <w:szCs w:val="20"/>
              </w:rPr>
              <w:t>pg</w:t>
            </w:r>
            <w:proofErr w:type="spellEnd"/>
            <w:r>
              <w:rPr>
                <w:rFonts w:ascii="Arial" w:hAnsi="Arial" w:cs="Arial"/>
                <w:sz w:val="20"/>
                <w:szCs w:val="20"/>
              </w:rPr>
              <w:t xml:space="preserve">/mL in the &gt;120 </w:t>
            </w:r>
            <w:r w:rsidRPr="008F6F57">
              <w:rPr>
                <w:rFonts w:ascii="Arial" w:hAnsi="Arial" w:cs="Arial"/>
                <w:sz w:val="20"/>
                <w:szCs w:val="20"/>
              </w:rPr>
              <w:t>mg dose group. During the study, neither naltrexone nor 6-β-</w:t>
            </w:r>
            <w:proofErr w:type="spellStart"/>
            <w:r w:rsidRPr="008F6F57">
              <w:rPr>
                <w:rFonts w:ascii="Arial" w:hAnsi="Arial" w:cs="Arial"/>
                <w:sz w:val="20"/>
                <w:szCs w:val="20"/>
              </w:rPr>
              <w:t>naltrexol</w:t>
            </w:r>
            <w:proofErr w:type="spellEnd"/>
            <w:r w:rsidRPr="008F6F57">
              <w:rPr>
                <w:rFonts w:ascii="Arial" w:hAnsi="Arial" w:cs="Arial"/>
                <w:sz w:val="20"/>
                <w:szCs w:val="20"/>
              </w:rPr>
              <w:t xml:space="preserve"> plasma concentrations accumulated.</w:t>
            </w:r>
          </w:p>
        </w:tc>
      </w:tr>
      <w:tr w:rsidR="00AE7C5C" w:rsidRPr="0044122B" w:rsidTr="001723DB">
        <w:tc>
          <w:tcPr>
            <w:tcW w:w="2640" w:type="dxa"/>
          </w:tcPr>
          <w:p w:rsidR="00AE7C5C" w:rsidRPr="009D6D28" w:rsidRDefault="00000994" w:rsidP="000B3401">
            <w:pPr>
              <w:spacing w:after="0" w:line="240" w:lineRule="auto"/>
              <w:rPr>
                <w:rFonts w:ascii="Arial" w:hAnsi="Arial" w:cs="Arial"/>
                <w:sz w:val="20"/>
                <w:szCs w:val="20"/>
              </w:rPr>
            </w:pPr>
            <w:proofErr w:type="spellStart"/>
            <w:r>
              <w:rPr>
                <w:rFonts w:ascii="Arial" w:hAnsi="Arial" w:cs="Arial"/>
                <w:sz w:val="20"/>
                <w:szCs w:val="20"/>
              </w:rPr>
              <w:t>Setnik</w:t>
            </w:r>
            <w:proofErr w:type="spellEnd"/>
            <w:r>
              <w:rPr>
                <w:rFonts w:ascii="Arial" w:hAnsi="Arial" w:cs="Arial"/>
                <w:sz w:val="20"/>
                <w:szCs w:val="20"/>
              </w:rPr>
              <w:t xml:space="preserve"> et al</w:t>
            </w:r>
            <w:r w:rsidR="003B4259">
              <w:rPr>
                <w:rFonts w:ascii="Arial" w:hAnsi="Arial" w:cs="Arial"/>
                <w:sz w:val="20"/>
                <w:szCs w:val="20"/>
                <w:vertAlign w:val="superscript"/>
              </w:rPr>
              <w:t>6</w:t>
            </w:r>
            <w:r w:rsidR="009D6D28">
              <w:rPr>
                <w:rFonts w:ascii="Arial" w:hAnsi="Arial" w:cs="Arial"/>
                <w:sz w:val="20"/>
                <w:szCs w:val="20"/>
              </w:rPr>
              <w:t>*</w:t>
            </w:r>
          </w:p>
          <w:p w:rsidR="00000994" w:rsidRDefault="00000994" w:rsidP="000B3401">
            <w:pPr>
              <w:spacing w:after="0" w:line="240" w:lineRule="auto"/>
              <w:rPr>
                <w:rFonts w:ascii="Arial" w:hAnsi="Arial" w:cs="Arial"/>
                <w:sz w:val="20"/>
                <w:szCs w:val="20"/>
              </w:rPr>
            </w:pPr>
          </w:p>
          <w:p w:rsidR="00000994" w:rsidRDefault="00000994" w:rsidP="000B3401">
            <w:pPr>
              <w:spacing w:after="0" w:line="240" w:lineRule="auto"/>
              <w:rPr>
                <w:rFonts w:ascii="Arial" w:hAnsi="Arial" w:cs="Arial"/>
                <w:sz w:val="20"/>
                <w:szCs w:val="20"/>
              </w:rPr>
            </w:pPr>
            <w:r>
              <w:rPr>
                <w:rFonts w:ascii="Arial" w:hAnsi="Arial" w:cs="Arial"/>
                <w:sz w:val="20"/>
                <w:szCs w:val="20"/>
              </w:rPr>
              <w:t>Intact oxycodone/naltrexone ER 60 mg/7.2 mg</w:t>
            </w:r>
          </w:p>
          <w:p w:rsidR="001D2E54" w:rsidRDefault="001D2E54" w:rsidP="000B3401">
            <w:pPr>
              <w:spacing w:after="0" w:line="240" w:lineRule="auto"/>
              <w:rPr>
                <w:rFonts w:ascii="Arial" w:hAnsi="Arial" w:cs="Arial"/>
                <w:sz w:val="20"/>
                <w:szCs w:val="20"/>
              </w:rPr>
            </w:pPr>
          </w:p>
          <w:p w:rsidR="001D2E54" w:rsidRDefault="001D2E54" w:rsidP="000B3401">
            <w:pPr>
              <w:spacing w:after="0" w:line="240" w:lineRule="auto"/>
              <w:rPr>
                <w:rFonts w:ascii="Arial" w:hAnsi="Arial" w:cs="Arial"/>
                <w:sz w:val="20"/>
                <w:szCs w:val="20"/>
              </w:rPr>
            </w:pPr>
            <w:r>
              <w:rPr>
                <w:rFonts w:ascii="Arial" w:hAnsi="Arial" w:cs="Arial"/>
                <w:sz w:val="20"/>
                <w:szCs w:val="20"/>
              </w:rPr>
              <w:t>vs</w:t>
            </w:r>
          </w:p>
          <w:p w:rsidR="001D2E54" w:rsidRDefault="001D2E54" w:rsidP="000B3401">
            <w:pPr>
              <w:spacing w:after="0" w:line="240" w:lineRule="auto"/>
              <w:rPr>
                <w:rFonts w:ascii="Arial" w:hAnsi="Arial" w:cs="Arial"/>
                <w:sz w:val="20"/>
                <w:szCs w:val="20"/>
              </w:rPr>
            </w:pPr>
          </w:p>
          <w:p w:rsidR="001D2E54" w:rsidRDefault="001D2E54" w:rsidP="000B3401">
            <w:pPr>
              <w:spacing w:after="0" w:line="240" w:lineRule="auto"/>
              <w:rPr>
                <w:rFonts w:ascii="Arial" w:hAnsi="Arial" w:cs="Arial"/>
                <w:sz w:val="20"/>
                <w:szCs w:val="20"/>
              </w:rPr>
            </w:pPr>
            <w:r>
              <w:rPr>
                <w:rFonts w:ascii="Arial" w:hAnsi="Arial" w:cs="Arial"/>
                <w:sz w:val="20"/>
                <w:szCs w:val="20"/>
              </w:rPr>
              <w:t>crushed oxycodone/naltrexone ER 60 mg/7.2 mg</w:t>
            </w:r>
          </w:p>
          <w:p w:rsidR="00845EE2" w:rsidRDefault="00845EE2" w:rsidP="000B3401">
            <w:pPr>
              <w:spacing w:after="0" w:line="240" w:lineRule="auto"/>
              <w:rPr>
                <w:rFonts w:ascii="Arial" w:hAnsi="Arial" w:cs="Arial"/>
                <w:sz w:val="20"/>
                <w:szCs w:val="20"/>
              </w:rPr>
            </w:pPr>
          </w:p>
          <w:p w:rsidR="00845EE2" w:rsidRDefault="00845EE2" w:rsidP="00845EE2">
            <w:pPr>
              <w:spacing w:after="0" w:line="240" w:lineRule="auto"/>
              <w:rPr>
                <w:rFonts w:ascii="Arial" w:hAnsi="Arial" w:cs="Arial"/>
                <w:sz w:val="20"/>
                <w:szCs w:val="20"/>
              </w:rPr>
            </w:pPr>
            <w:r>
              <w:rPr>
                <w:rFonts w:ascii="Arial" w:hAnsi="Arial" w:cs="Arial"/>
                <w:sz w:val="20"/>
                <w:szCs w:val="20"/>
              </w:rPr>
              <w:t>vs</w:t>
            </w:r>
          </w:p>
          <w:p w:rsidR="00845EE2" w:rsidRDefault="00845EE2" w:rsidP="00845EE2">
            <w:pPr>
              <w:spacing w:after="0" w:line="240" w:lineRule="auto"/>
              <w:rPr>
                <w:rFonts w:ascii="Arial" w:hAnsi="Arial" w:cs="Arial"/>
                <w:sz w:val="20"/>
                <w:szCs w:val="20"/>
              </w:rPr>
            </w:pPr>
          </w:p>
          <w:p w:rsidR="00845EE2" w:rsidRDefault="00845EE2" w:rsidP="000B3401">
            <w:pPr>
              <w:spacing w:after="0" w:line="240" w:lineRule="auto"/>
              <w:rPr>
                <w:rFonts w:ascii="Arial" w:hAnsi="Arial" w:cs="Arial"/>
                <w:sz w:val="20"/>
                <w:szCs w:val="20"/>
              </w:rPr>
            </w:pPr>
            <w:r>
              <w:rPr>
                <w:rFonts w:ascii="Arial" w:hAnsi="Arial" w:cs="Arial"/>
                <w:sz w:val="20"/>
                <w:szCs w:val="20"/>
              </w:rPr>
              <w:t>crushed oxycodone/naltrexone ER 40 mg/4.8 mg</w:t>
            </w:r>
          </w:p>
          <w:p w:rsidR="001D2E54" w:rsidRDefault="001D2E54" w:rsidP="000B3401">
            <w:pPr>
              <w:spacing w:after="0" w:line="240" w:lineRule="auto"/>
              <w:rPr>
                <w:rFonts w:ascii="Arial" w:hAnsi="Arial" w:cs="Arial"/>
                <w:sz w:val="20"/>
                <w:szCs w:val="20"/>
              </w:rPr>
            </w:pPr>
          </w:p>
          <w:p w:rsidR="001D2E54" w:rsidRDefault="001D2E54" w:rsidP="000B3401">
            <w:pPr>
              <w:spacing w:after="0" w:line="240" w:lineRule="auto"/>
              <w:rPr>
                <w:rFonts w:ascii="Arial" w:hAnsi="Arial" w:cs="Arial"/>
                <w:sz w:val="20"/>
                <w:szCs w:val="20"/>
              </w:rPr>
            </w:pPr>
            <w:r>
              <w:rPr>
                <w:rFonts w:ascii="Arial" w:hAnsi="Arial" w:cs="Arial"/>
                <w:sz w:val="20"/>
                <w:szCs w:val="20"/>
              </w:rPr>
              <w:t xml:space="preserve">vs </w:t>
            </w:r>
          </w:p>
          <w:p w:rsidR="001D2E54" w:rsidRDefault="001D2E54" w:rsidP="000B3401">
            <w:pPr>
              <w:spacing w:after="0" w:line="240" w:lineRule="auto"/>
              <w:rPr>
                <w:rFonts w:ascii="Arial" w:hAnsi="Arial" w:cs="Arial"/>
                <w:sz w:val="20"/>
                <w:szCs w:val="20"/>
              </w:rPr>
            </w:pPr>
          </w:p>
          <w:p w:rsidR="001D2E54" w:rsidRDefault="001D2E54" w:rsidP="000B3401">
            <w:pPr>
              <w:spacing w:after="0" w:line="240" w:lineRule="auto"/>
              <w:rPr>
                <w:rFonts w:ascii="Arial" w:hAnsi="Arial" w:cs="Arial"/>
                <w:sz w:val="20"/>
                <w:szCs w:val="20"/>
              </w:rPr>
            </w:pPr>
            <w:r>
              <w:rPr>
                <w:rFonts w:ascii="Arial" w:hAnsi="Arial" w:cs="Arial"/>
                <w:sz w:val="20"/>
                <w:szCs w:val="20"/>
              </w:rPr>
              <w:t>crushed oxycodone IR 60 mg</w:t>
            </w:r>
          </w:p>
          <w:p w:rsidR="001D2E54" w:rsidRDefault="001D2E54" w:rsidP="000B3401">
            <w:pPr>
              <w:spacing w:after="0" w:line="240" w:lineRule="auto"/>
              <w:rPr>
                <w:rFonts w:ascii="Arial" w:hAnsi="Arial" w:cs="Arial"/>
                <w:sz w:val="20"/>
                <w:szCs w:val="20"/>
              </w:rPr>
            </w:pPr>
          </w:p>
          <w:p w:rsidR="001D2E54" w:rsidRDefault="001D2E54" w:rsidP="000B3401">
            <w:pPr>
              <w:spacing w:after="0" w:line="240" w:lineRule="auto"/>
              <w:rPr>
                <w:rFonts w:ascii="Arial" w:hAnsi="Arial" w:cs="Arial"/>
                <w:sz w:val="20"/>
                <w:szCs w:val="20"/>
              </w:rPr>
            </w:pPr>
            <w:r>
              <w:rPr>
                <w:rFonts w:ascii="Arial" w:hAnsi="Arial" w:cs="Arial"/>
                <w:sz w:val="20"/>
                <w:szCs w:val="20"/>
              </w:rPr>
              <w:t>vs</w:t>
            </w:r>
          </w:p>
          <w:p w:rsidR="001D2E54" w:rsidRDefault="001D2E54" w:rsidP="000B3401">
            <w:pPr>
              <w:spacing w:after="0" w:line="240" w:lineRule="auto"/>
              <w:rPr>
                <w:rFonts w:ascii="Arial" w:hAnsi="Arial" w:cs="Arial"/>
                <w:sz w:val="20"/>
                <w:szCs w:val="20"/>
              </w:rPr>
            </w:pPr>
          </w:p>
          <w:p w:rsidR="001D2E54" w:rsidRDefault="001D2E54" w:rsidP="000B3401">
            <w:pPr>
              <w:spacing w:after="0" w:line="240" w:lineRule="auto"/>
              <w:rPr>
                <w:rFonts w:ascii="Arial" w:hAnsi="Arial" w:cs="Arial"/>
                <w:sz w:val="20"/>
                <w:szCs w:val="20"/>
              </w:rPr>
            </w:pPr>
            <w:r>
              <w:rPr>
                <w:rFonts w:ascii="Arial" w:hAnsi="Arial" w:cs="Arial"/>
                <w:sz w:val="20"/>
                <w:szCs w:val="20"/>
              </w:rPr>
              <w:t>crushed oxycodone IR 40 mg</w:t>
            </w:r>
          </w:p>
          <w:p w:rsidR="00845EE2" w:rsidRDefault="00845EE2" w:rsidP="000B3401">
            <w:pPr>
              <w:spacing w:after="0" w:line="240" w:lineRule="auto"/>
              <w:rPr>
                <w:rFonts w:ascii="Arial" w:hAnsi="Arial" w:cs="Arial"/>
                <w:sz w:val="20"/>
                <w:szCs w:val="20"/>
              </w:rPr>
            </w:pPr>
          </w:p>
          <w:p w:rsidR="00845EE2" w:rsidRDefault="00845EE2" w:rsidP="000B3401">
            <w:pPr>
              <w:spacing w:after="0" w:line="240" w:lineRule="auto"/>
              <w:rPr>
                <w:rFonts w:ascii="Arial" w:hAnsi="Arial" w:cs="Arial"/>
                <w:sz w:val="20"/>
                <w:szCs w:val="20"/>
              </w:rPr>
            </w:pPr>
            <w:r>
              <w:rPr>
                <w:rFonts w:ascii="Arial" w:hAnsi="Arial" w:cs="Arial"/>
                <w:sz w:val="20"/>
                <w:szCs w:val="20"/>
              </w:rPr>
              <w:t xml:space="preserve">vs </w:t>
            </w:r>
          </w:p>
          <w:p w:rsidR="00845EE2" w:rsidRDefault="00845EE2" w:rsidP="000B3401">
            <w:pPr>
              <w:spacing w:after="0" w:line="240" w:lineRule="auto"/>
              <w:rPr>
                <w:rFonts w:ascii="Arial" w:hAnsi="Arial" w:cs="Arial"/>
                <w:sz w:val="20"/>
                <w:szCs w:val="20"/>
              </w:rPr>
            </w:pPr>
          </w:p>
          <w:p w:rsidR="00845EE2" w:rsidRDefault="00845EE2" w:rsidP="000B3401">
            <w:pPr>
              <w:spacing w:after="0" w:line="240" w:lineRule="auto"/>
              <w:rPr>
                <w:rFonts w:ascii="Arial" w:hAnsi="Arial" w:cs="Arial"/>
                <w:sz w:val="20"/>
                <w:szCs w:val="20"/>
              </w:rPr>
            </w:pPr>
            <w:r>
              <w:rPr>
                <w:rFonts w:ascii="Arial" w:hAnsi="Arial" w:cs="Arial"/>
                <w:sz w:val="20"/>
                <w:szCs w:val="20"/>
              </w:rPr>
              <w:t>placebo</w:t>
            </w:r>
          </w:p>
          <w:p w:rsidR="001D2E54" w:rsidRDefault="001D2E54" w:rsidP="000B3401">
            <w:pPr>
              <w:spacing w:after="0" w:line="240" w:lineRule="auto"/>
              <w:rPr>
                <w:rFonts w:ascii="Arial" w:hAnsi="Arial" w:cs="Arial"/>
                <w:sz w:val="20"/>
                <w:szCs w:val="20"/>
              </w:rPr>
            </w:pPr>
          </w:p>
          <w:p w:rsidR="001D2E54" w:rsidRDefault="001D2E54" w:rsidP="001D2E54">
            <w:pPr>
              <w:spacing w:after="0" w:line="240" w:lineRule="auto"/>
              <w:rPr>
                <w:rFonts w:ascii="Arial" w:hAnsi="Arial" w:cs="Arial"/>
                <w:sz w:val="20"/>
                <w:szCs w:val="20"/>
              </w:rPr>
            </w:pPr>
            <w:r>
              <w:rPr>
                <w:rFonts w:ascii="Arial" w:hAnsi="Arial" w:cs="Arial"/>
                <w:sz w:val="20"/>
                <w:szCs w:val="20"/>
              </w:rPr>
              <w:t>This trial consisted of a screening visit and three phases: a naloxone challenge, a drug discrimination phase, and a treatment phase. The treatment phase consisted of six single-dose phases separated by a washout period of ≥5 days.</w:t>
            </w:r>
          </w:p>
          <w:p w:rsidR="00A75021" w:rsidRDefault="00A75021" w:rsidP="001D2E54">
            <w:pPr>
              <w:spacing w:after="0" w:line="240" w:lineRule="auto"/>
              <w:rPr>
                <w:rFonts w:ascii="Arial" w:hAnsi="Arial" w:cs="Arial"/>
                <w:sz w:val="20"/>
                <w:szCs w:val="20"/>
              </w:rPr>
            </w:pPr>
          </w:p>
          <w:p w:rsidR="00A75021" w:rsidRPr="00000994" w:rsidRDefault="00A75021" w:rsidP="001D2E54">
            <w:pPr>
              <w:spacing w:after="0" w:line="240" w:lineRule="auto"/>
              <w:rPr>
                <w:rFonts w:ascii="Arial" w:hAnsi="Arial" w:cs="Arial"/>
                <w:sz w:val="20"/>
                <w:szCs w:val="20"/>
              </w:rPr>
            </w:pPr>
            <w:r w:rsidRPr="00A75021">
              <w:rPr>
                <w:rFonts w:ascii="Arial" w:hAnsi="Arial" w:cs="Arial"/>
                <w:sz w:val="20"/>
                <w:szCs w:val="20"/>
              </w:rPr>
              <w:t>All crushed doses administered during the treatment phase were administered orally as a solution</w:t>
            </w:r>
            <w:r>
              <w:rPr>
                <w:rFonts w:ascii="Arial" w:hAnsi="Arial" w:cs="Arial"/>
                <w:sz w:val="20"/>
                <w:szCs w:val="20"/>
              </w:rPr>
              <w:t>.</w:t>
            </w:r>
          </w:p>
        </w:tc>
        <w:tc>
          <w:tcPr>
            <w:tcW w:w="1760" w:type="dxa"/>
          </w:tcPr>
          <w:p w:rsidR="00AE7C5C" w:rsidRDefault="00096264" w:rsidP="00483F31">
            <w:pPr>
              <w:spacing w:after="0" w:line="240" w:lineRule="auto"/>
              <w:rPr>
                <w:rFonts w:ascii="Arial" w:hAnsi="Arial" w:cs="Arial"/>
                <w:sz w:val="20"/>
                <w:szCs w:val="20"/>
              </w:rPr>
            </w:pPr>
            <w:r>
              <w:rPr>
                <w:rFonts w:ascii="Arial" w:hAnsi="Arial" w:cs="Arial"/>
                <w:sz w:val="20"/>
                <w:szCs w:val="20"/>
              </w:rPr>
              <w:t xml:space="preserve">AC, </w:t>
            </w:r>
            <w:r w:rsidR="00000994">
              <w:rPr>
                <w:rFonts w:ascii="Arial" w:hAnsi="Arial" w:cs="Arial"/>
                <w:sz w:val="20"/>
                <w:szCs w:val="20"/>
              </w:rPr>
              <w:t xml:space="preserve">DB, DD, </w:t>
            </w:r>
            <w:r>
              <w:rPr>
                <w:rFonts w:ascii="Arial" w:hAnsi="Arial" w:cs="Arial"/>
                <w:sz w:val="20"/>
                <w:szCs w:val="20"/>
              </w:rPr>
              <w:t xml:space="preserve">PC, </w:t>
            </w:r>
            <w:r w:rsidR="00000994">
              <w:rPr>
                <w:rFonts w:ascii="Arial" w:hAnsi="Arial" w:cs="Arial"/>
                <w:sz w:val="20"/>
                <w:szCs w:val="20"/>
              </w:rPr>
              <w:t>RCT, XO</w:t>
            </w:r>
          </w:p>
          <w:p w:rsidR="00000994" w:rsidRDefault="00000994" w:rsidP="00483F31">
            <w:pPr>
              <w:spacing w:after="0" w:line="240" w:lineRule="auto"/>
              <w:rPr>
                <w:rFonts w:ascii="Arial" w:hAnsi="Arial" w:cs="Arial"/>
                <w:sz w:val="20"/>
                <w:szCs w:val="20"/>
              </w:rPr>
            </w:pPr>
          </w:p>
          <w:p w:rsidR="00000994" w:rsidRDefault="00000994" w:rsidP="0032688D">
            <w:pPr>
              <w:spacing w:after="0" w:line="240" w:lineRule="auto"/>
              <w:rPr>
                <w:rFonts w:ascii="Arial" w:hAnsi="Arial" w:cs="Arial"/>
                <w:sz w:val="20"/>
                <w:szCs w:val="20"/>
              </w:rPr>
            </w:pPr>
            <w:r>
              <w:rPr>
                <w:rFonts w:ascii="Arial" w:hAnsi="Arial" w:cs="Arial"/>
                <w:sz w:val="20"/>
                <w:szCs w:val="20"/>
              </w:rPr>
              <w:t xml:space="preserve">Healthy </w:t>
            </w:r>
            <w:r w:rsidRPr="00000994">
              <w:rPr>
                <w:rFonts w:ascii="Arial" w:hAnsi="Arial" w:cs="Arial"/>
                <w:sz w:val="20"/>
                <w:szCs w:val="20"/>
              </w:rPr>
              <w:t xml:space="preserve">non-dependent recreational opioid users </w:t>
            </w:r>
            <w:r>
              <w:rPr>
                <w:rFonts w:ascii="Arial" w:hAnsi="Arial" w:cs="Arial"/>
                <w:sz w:val="20"/>
                <w:szCs w:val="20"/>
              </w:rPr>
              <w:t xml:space="preserve">aged 18 to 55 years who </w:t>
            </w:r>
            <w:r w:rsidR="0032688D">
              <w:rPr>
                <w:rFonts w:ascii="Arial" w:hAnsi="Arial" w:cs="Arial"/>
                <w:sz w:val="20"/>
                <w:szCs w:val="20"/>
              </w:rPr>
              <w:t>have</w:t>
            </w:r>
            <w:r>
              <w:rPr>
                <w:rFonts w:ascii="Arial" w:hAnsi="Arial" w:cs="Arial"/>
                <w:sz w:val="20"/>
                <w:szCs w:val="20"/>
              </w:rPr>
              <w:t xml:space="preserve"> used opioids for non-therapeutic purposes at least 10 times in the past year and at least once in the past eight weeks</w:t>
            </w:r>
          </w:p>
        </w:tc>
        <w:tc>
          <w:tcPr>
            <w:tcW w:w="1540" w:type="dxa"/>
          </w:tcPr>
          <w:p w:rsidR="00AE7C5C" w:rsidRDefault="00000994" w:rsidP="000B3401">
            <w:pPr>
              <w:spacing w:after="0" w:line="240" w:lineRule="auto"/>
              <w:jc w:val="center"/>
              <w:rPr>
                <w:rFonts w:ascii="Arial" w:hAnsi="Arial" w:cs="Arial"/>
                <w:sz w:val="20"/>
                <w:szCs w:val="20"/>
              </w:rPr>
            </w:pPr>
            <w:r>
              <w:rPr>
                <w:rFonts w:ascii="Arial" w:hAnsi="Arial" w:cs="Arial"/>
                <w:sz w:val="20"/>
                <w:szCs w:val="20"/>
              </w:rPr>
              <w:t>N=32</w:t>
            </w:r>
          </w:p>
          <w:p w:rsidR="00000994" w:rsidRDefault="00000994" w:rsidP="000B3401">
            <w:pPr>
              <w:spacing w:after="0" w:line="240" w:lineRule="auto"/>
              <w:jc w:val="center"/>
              <w:rPr>
                <w:rFonts w:ascii="Arial" w:hAnsi="Arial" w:cs="Arial"/>
                <w:sz w:val="20"/>
                <w:szCs w:val="20"/>
              </w:rPr>
            </w:pPr>
          </w:p>
          <w:p w:rsidR="00000994" w:rsidRDefault="00000994" w:rsidP="00000994">
            <w:pPr>
              <w:spacing w:after="0" w:line="240" w:lineRule="auto"/>
              <w:jc w:val="center"/>
              <w:rPr>
                <w:rFonts w:ascii="Arial" w:hAnsi="Arial" w:cs="Arial"/>
                <w:sz w:val="20"/>
                <w:szCs w:val="20"/>
              </w:rPr>
            </w:pPr>
            <w:r>
              <w:rPr>
                <w:rFonts w:ascii="Arial" w:hAnsi="Arial" w:cs="Arial"/>
                <w:sz w:val="20"/>
                <w:szCs w:val="20"/>
              </w:rPr>
              <w:t xml:space="preserve">Six </w:t>
            </w:r>
            <w:r w:rsidR="00A8542F">
              <w:rPr>
                <w:rFonts w:ascii="Arial" w:hAnsi="Arial" w:cs="Arial"/>
                <w:sz w:val="20"/>
                <w:szCs w:val="20"/>
              </w:rPr>
              <w:t xml:space="preserve">treatment </w:t>
            </w:r>
            <w:r>
              <w:rPr>
                <w:rFonts w:ascii="Arial" w:hAnsi="Arial" w:cs="Arial"/>
                <w:sz w:val="20"/>
                <w:szCs w:val="20"/>
              </w:rPr>
              <w:t>phases</w:t>
            </w:r>
          </w:p>
        </w:tc>
        <w:tc>
          <w:tcPr>
            <w:tcW w:w="1760" w:type="dxa"/>
          </w:tcPr>
          <w:p w:rsidR="00AE7C5C" w:rsidRDefault="001D2E54" w:rsidP="00684115">
            <w:pPr>
              <w:spacing w:after="0" w:line="240" w:lineRule="auto"/>
              <w:rPr>
                <w:rFonts w:ascii="Arial" w:hAnsi="Arial" w:cs="Arial"/>
                <w:sz w:val="20"/>
                <w:szCs w:val="20"/>
              </w:rPr>
            </w:pPr>
            <w:r>
              <w:rPr>
                <w:rFonts w:ascii="Arial" w:hAnsi="Arial" w:cs="Arial"/>
                <w:sz w:val="20"/>
                <w:szCs w:val="20"/>
              </w:rPr>
              <w:t>Primary:</w:t>
            </w:r>
          </w:p>
          <w:p w:rsidR="001D2E54" w:rsidRPr="009834AA" w:rsidRDefault="00312D92" w:rsidP="00684115">
            <w:pPr>
              <w:spacing w:after="0" w:line="240" w:lineRule="auto"/>
              <w:rPr>
                <w:rFonts w:ascii="Arial" w:hAnsi="Arial" w:cs="Arial"/>
                <w:sz w:val="20"/>
                <w:szCs w:val="20"/>
              </w:rPr>
            </w:pPr>
            <w:r>
              <w:rPr>
                <w:rFonts w:ascii="Arial" w:hAnsi="Arial" w:cs="Arial"/>
                <w:sz w:val="20"/>
                <w:szCs w:val="20"/>
              </w:rPr>
              <w:t xml:space="preserve">LS mean </w:t>
            </w:r>
            <w:proofErr w:type="spellStart"/>
            <w:r w:rsidR="00CE5C69">
              <w:rPr>
                <w:rFonts w:ascii="Arial" w:hAnsi="Arial" w:cs="Arial"/>
                <w:sz w:val="20"/>
                <w:szCs w:val="20"/>
              </w:rPr>
              <w:t>E</w:t>
            </w:r>
            <w:r w:rsidR="00CE5C69">
              <w:rPr>
                <w:rFonts w:ascii="Arial" w:hAnsi="Arial" w:cs="Arial"/>
                <w:sz w:val="20"/>
                <w:szCs w:val="20"/>
                <w:vertAlign w:val="subscript"/>
              </w:rPr>
              <w:t>max</w:t>
            </w:r>
            <w:proofErr w:type="spellEnd"/>
            <w:r w:rsidR="00CE5C69">
              <w:rPr>
                <w:rFonts w:ascii="Arial" w:hAnsi="Arial" w:cs="Arial"/>
                <w:sz w:val="20"/>
                <w:szCs w:val="20"/>
              </w:rPr>
              <w:t xml:space="preserve"> and AUE</w:t>
            </w:r>
            <w:r w:rsidR="00CE5C69">
              <w:rPr>
                <w:rFonts w:ascii="Arial" w:hAnsi="Arial" w:cs="Arial"/>
                <w:sz w:val="20"/>
                <w:szCs w:val="20"/>
                <w:vertAlign w:val="subscript"/>
              </w:rPr>
              <w:t>0-2h</w:t>
            </w:r>
            <w:r w:rsidR="00CE5C69">
              <w:rPr>
                <w:rFonts w:ascii="Arial" w:hAnsi="Arial" w:cs="Arial"/>
                <w:sz w:val="20"/>
                <w:szCs w:val="20"/>
              </w:rPr>
              <w:t xml:space="preserve"> for </w:t>
            </w:r>
            <w:r w:rsidR="00601E83">
              <w:rPr>
                <w:rFonts w:ascii="Arial" w:hAnsi="Arial" w:cs="Arial"/>
                <w:sz w:val="20"/>
                <w:szCs w:val="20"/>
              </w:rPr>
              <w:t>“drug liking”</w:t>
            </w:r>
            <w:r w:rsidR="009834AA">
              <w:rPr>
                <w:rFonts w:ascii="Arial" w:hAnsi="Arial" w:cs="Arial"/>
                <w:sz w:val="20"/>
                <w:szCs w:val="20"/>
              </w:rPr>
              <w:t xml:space="preserve"> </w:t>
            </w:r>
            <w:r w:rsidR="00CE5C69">
              <w:rPr>
                <w:rFonts w:ascii="Arial" w:hAnsi="Arial" w:cs="Arial"/>
                <w:sz w:val="20"/>
                <w:szCs w:val="20"/>
              </w:rPr>
              <w:t xml:space="preserve">and </w:t>
            </w:r>
            <w:r w:rsidR="00601E83">
              <w:rPr>
                <w:rFonts w:ascii="Arial" w:hAnsi="Arial" w:cs="Arial"/>
                <w:sz w:val="20"/>
                <w:szCs w:val="20"/>
              </w:rPr>
              <w:t>“high”</w:t>
            </w:r>
            <w:r w:rsidR="00CE5C69">
              <w:rPr>
                <w:rFonts w:ascii="Arial" w:hAnsi="Arial" w:cs="Arial"/>
                <w:sz w:val="20"/>
                <w:szCs w:val="20"/>
              </w:rPr>
              <w:t xml:space="preserve"> via the VAS</w:t>
            </w:r>
          </w:p>
          <w:p w:rsidR="001D2E54" w:rsidRDefault="001D2E54" w:rsidP="00684115">
            <w:pPr>
              <w:spacing w:after="0" w:line="240" w:lineRule="auto"/>
              <w:rPr>
                <w:rFonts w:ascii="Arial" w:hAnsi="Arial" w:cs="Arial"/>
                <w:sz w:val="20"/>
                <w:szCs w:val="20"/>
              </w:rPr>
            </w:pPr>
          </w:p>
          <w:p w:rsidR="001D2E54" w:rsidRDefault="001D2E54" w:rsidP="00684115">
            <w:pPr>
              <w:spacing w:after="0" w:line="240" w:lineRule="auto"/>
              <w:rPr>
                <w:rFonts w:ascii="Arial" w:hAnsi="Arial" w:cs="Arial"/>
                <w:sz w:val="20"/>
                <w:szCs w:val="20"/>
              </w:rPr>
            </w:pPr>
            <w:r>
              <w:rPr>
                <w:rFonts w:ascii="Arial" w:hAnsi="Arial" w:cs="Arial"/>
                <w:sz w:val="20"/>
                <w:szCs w:val="20"/>
              </w:rPr>
              <w:t>Secondary:</w:t>
            </w:r>
          </w:p>
          <w:p w:rsidR="001D2E54" w:rsidRPr="00312D92" w:rsidRDefault="00601E83" w:rsidP="00684115">
            <w:pPr>
              <w:spacing w:after="0" w:line="240" w:lineRule="auto"/>
              <w:rPr>
                <w:rFonts w:ascii="Arial" w:hAnsi="Arial" w:cs="Arial"/>
                <w:sz w:val="20"/>
                <w:szCs w:val="20"/>
              </w:rPr>
            </w:pPr>
            <w:r>
              <w:rPr>
                <w:rFonts w:ascii="Arial" w:hAnsi="Arial" w:cs="Arial"/>
                <w:sz w:val="20"/>
                <w:szCs w:val="20"/>
              </w:rPr>
              <w:t>VAS measures for “take drug again,” “overall drug liking,” “good drug effects,” “bad drug effects,” “any drug effects,” “feel sick,” “nausea,” “sleepy,” and “dizzy</w:t>
            </w:r>
            <w:r w:rsidR="00312D92">
              <w:rPr>
                <w:rFonts w:ascii="Arial" w:hAnsi="Arial" w:cs="Arial"/>
                <w:sz w:val="20"/>
                <w:szCs w:val="20"/>
              </w:rPr>
              <w:t>,</w:t>
            </w:r>
            <w:r>
              <w:rPr>
                <w:rFonts w:ascii="Arial" w:hAnsi="Arial" w:cs="Arial"/>
                <w:sz w:val="20"/>
                <w:szCs w:val="20"/>
              </w:rPr>
              <w:t>”</w:t>
            </w:r>
            <w:r w:rsidR="00312D92">
              <w:rPr>
                <w:rFonts w:ascii="Arial" w:hAnsi="Arial" w:cs="Arial"/>
                <w:sz w:val="20"/>
                <w:szCs w:val="20"/>
              </w:rPr>
              <w:t xml:space="preserve"> pupillometry, </w:t>
            </w:r>
            <w:r w:rsidR="00A8542F">
              <w:rPr>
                <w:rFonts w:ascii="Arial" w:hAnsi="Arial" w:cs="Arial"/>
                <w:sz w:val="20"/>
                <w:szCs w:val="20"/>
              </w:rPr>
              <w:t>safety</w:t>
            </w:r>
            <w:r w:rsidR="00312D92">
              <w:rPr>
                <w:rFonts w:ascii="Arial" w:hAnsi="Arial" w:cs="Arial"/>
                <w:sz w:val="20"/>
                <w:szCs w:val="20"/>
              </w:rPr>
              <w:t xml:space="preserve">, plasma oxycodone and naltrexone </w:t>
            </w:r>
            <w:proofErr w:type="spellStart"/>
            <w:r w:rsidR="00312D92">
              <w:rPr>
                <w:rFonts w:ascii="Arial" w:hAnsi="Arial" w:cs="Arial"/>
                <w:sz w:val="20"/>
                <w:szCs w:val="20"/>
              </w:rPr>
              <w:t>C</w:t>
            </w:r>
            <w:r w:rsidR="00312D92">
              <w:rPr>
                <w:rFonts w:ascii="Arial" w:hAnsi="Arial" w:cs="Arial"/>
                <w:sz w:val="20"/>
                <w:szCs w:val="20"/>
                <w:vertAlign w:val="subscript"/>
              </w:rPr>
              <w:t>max</w:t>
            </w:r>
            <w:proofErr w:type="spellEnd"/>
            <w:r w:rsidR="00312D92">
              <w:rPr>
                <w:rFonts w:ascii="Arial" w:hAnsi="Arial" w:cs="Arial"/>
                <w:sz w:val="20"/>
                <w:szCs w:val="20"/>
              </w:rPr>
              <w:t xml:space="preserve">, </w:t>
            </w:r>
            <w:proofErr w:type="spellStart"/>
            <w:r w:rsidR="00312D92">
              <w:rPr>
                <w:rFonts w:ascii="Arial" w:hAnsi="Arial" w:cs="Arial"/>
                <w:sz w:val="20"/>
                <w:szCs w:val="20"/>
              </w:rPr>
              <w:t>T</w:t>
            </w:r>
            <w:r w:rsidR="00312D92">
              <w:rPr>
                <w:rFonts w:ascii="Arial" w:hAnsi="Arial" w:cs="Arial"/>
                <w:sz w:val="20"/>
                <w:szCs w:val="20"/>
                <w:vertAlign w:val="subscript"/>
              </w:rPr>
              <w:t>max</w:t>
            </w:r>
            <w:proofErr w:type="spellEnd"/>
            <w:r w:rsidR="00312D92">
              <w:rPr>
                <w:rFonts w:ascii="Arial" w:hAnsi="Arial" w:cs="Arial"/>
                <w:sz w:val="20"/>
                <w:szCs w:val="20"/>
              </w:rPr>
              <w:t>, AUC</w:t>
            </w:r>
            <w:r w:rsidR="00312D92">
              <w:rPr>
                <w:rFonts w:ascii="Arial" w:hAnsi="Arial" w:cs="Arial"/>
                <w:sz w:val="20"/>
                <w:szCs w:val="20"/>
                <w:vertAlign w:val="subscript"/>
              </w:rPr>
              <w:t>0-2h</w:t>
            </w:r>
            <w:r w:rsidR="00312D92">
              <w:rPr>
                <w:rFonts w:ascii="Arial" w:hAnsi="Arial" w:cs="Arial"/>
                <w:sz w:val="20"/>
                <w:szCs w:val="20"/>
              </w:rPr>
              <w:t xml:space="preserve">, </w:t>
            </w:r>
            <w:proofErr w:type="spellStart"/>
            <w:r w:rsidR="00312D92">
              <w:rPr>
                <w:rFonts w:ascii="Arial" w:hAnsi="Arial" w:cs="Arial"/>
                <w:sz w:val="20"/>
                <w:szCs w:val="20"/>
              </w:rPr>
              <w:t>AUC</w:t>
            </w:r>
            <w:r w:rsidR="00312D92">
              <w:rPr>
                <w:rFonts w:ascii="Arial" w:hAnsi="Arial" w:cs="Arial"/>
                <w:sz w:val="20"/>
                <w:szCs w:val="20"/>
                <w:vertAlign w:val="subscript"/>
              </w:rPr>
              <w:t>inf</w:t>
            </w:r>
            <w:proofErr w:type="spellEnd"/>
            <w:r w:rsidR="00312D92">
              <w:rPr>
                <w:rFonts w:ascii="Arial" w:hAnsi="Arial" w:cs="Arial"/>
                <w:sz w:val="20"/>
                <w:szCs w:val="20"/>
              </w:rPr>
              <w:t>, and half-life</w:t>
            </w:r>
          </w:p>
          <w:p w:rsidR="001D2E54" w:rsidRDefault="001D2E54" w:rsidP="00684115">
            <w:pPr>
              <w:spacing w:after="0" w:line="240" w:lineRule="auto"/>
              <w:rPr>
                <w:rFonts w:ascii="Arial" w:hAnsi="Arial" w:cs="Arial"/>
                <w:sz w:val="20"/>
                <w:szCs w:val="20"/>
              </w:rPr>
            </w:pPr>
          </w:p>
        </w:tc>
        <w:tc>
          <w:tcPr>
            <w:tcW w:w="6030" w:type="dxa"/>
          </w:tcPr>
          <w:p w:rsidR="00AE7C5C" w:rsidRDefault="00312D92" w:rsidP="00483F31">
            <w:pPr>
              <w:spacing w:after="0" w:line="240" w:lineRule="auto"/>
              <w:rPr>
                <w:rFonts w:ascii="Arial" w:hAnsi="Arial" w:cs="Arial"/>
                <w:sz w:val="20"/>
                <w:szCs w:val="20"/>
              </w:rPr>
            </w:pPr>
            <w:r>
              <w:rPr>
                <w:rFonts w:ascii="Arial" w:hAnsi="Arial" w:cs="Arial"/>
                <w:sz w:val="20"/>
                <w:szCs w:val="20"/>
              </w:rPr>
              <w:t>Primary:</w:t>
            </w:r>
          </w:p>
          <w:p w:rsidR="00312D92" w:rsidRDefault="00312D92" w:rsidP="002F0A07">
            <w:pPr>
              <w:spacing w:after="0" w:line="240" w:lineRule="auto"/>
              <w:rPr>
                <w:rFonts w:ascii="Arial" w:hAnsi="Arial" w:cs="Arial"/>
                <w:sz w:val="20"/>
                <w:szCs w:val="20"/>
              </w:rPr>
            </w:pPr>
            <w:r>
              <w:rPr>
                <w:rFonts w:ascii="Arial" w:hAnsi="Arial" w:cs="Arial"/>
                <w:sz w:val="20"/>
                <w:szCs w:val="20"/>
              </w:rPr>
              <w:t>LS mean</w:t>
            </w:r>
            <w:r w:rsidR="00CE5C69">
              <w:rPr>
                <w:rFonts w:ascii="Arial" w:hAnsi="Arial" w:cs="Arial"/>
                <w:sz w:val="20"/>
                <w:szCs w:val="20"/>
              </w:rPr>
              <w:t xml:space="preserve"> </w:t>
            </w:r>
            <w:proofErr w:type="spellStart"/>
            <w:r w:rsidR="00CE5C69">
              <w:rPr>
                <w:rFonts w:ascii="Arial" w:hAnsi="Arial" w:cs="Arial"/>
                <w:sz w:val="20"/>
                <w:szCs w:val="20"/>
              </w:rPr>
              <w:t>E</w:t>
            </w:r>
            <w:r w:rsidR="00CE5C69">
              <w:rPr>
                <w:rFonts w:ascii="Arial" w:hAnsi="Arial" w:cs="Arial"/>
                <w:sz w:val="20"/>
                <w:szCs w:val="20"/>
                <w:vertAlign w:val="subscript"/>
              </w:rPr>
              <w:t>max</w:t>
            </w:r>
            <w:proofErr w:type="spellEnd"/>
            <w:r>
              <w:rPr>
                <w:rFonts w:ascii="Arial" w:hAnsi="Arial" w:cs="Arial"/>
                <w:sz w:val="20"/>
                <w:szCs w:val="20"/>
              </w:rPr>
              <w:t xml:space="preserve"> (95% CI) </w:t>
            </w:r>
            <w:r w:rsidR="00CE5C69">
              <w:rPr>
                <w:rFonts w:ascii="Arial" w:hAnsi="Arial" w:cs="Arial"/>
                <w:sz w:val="20"/>
                <w:szCs w:val="20"/>
              </w:rPr>
              <w:t xml:space="preserve">for </w:t>
            </w:r>
            <w:r w:rsidR="00601E83">
              <w:rPr>
                <w:rFonts w:ascii="Arial" w:hAnsi="Arial" w:cs="Arial"/>
                <w:sz w:val="20"/>
                <w:szCs w:val="20"/>
              </w:rPr>
              <w:t>“drug liking”</w:t>
            </w:r>
            <w:r>
              <w:rPr>
                <w:rFonts w:ascii="Arial" w:hAnsi="Arial" w:cs="Arial"/>
                <w:sz w:val="20"/>
                <w:szCs w:val="20"/>
              </w:rPr>
              <w:t xml:space="preserve"> via the VAS were 70.2</w:t>
            </w:r>
            <w:r w:rsidR="007A32BB">
              <w:rPr>
                <w:rFonts w:ascii="Arial" w:hAnsi="Arial" w:cs="Arial"/>
                <w:sz w:val="20"/>
                <w:szCs w:val="20"/>
              </w:rPr>
              <w:t xml:space="preserve"> (64.6 to 75.7)</w:t>
            </w:r>
            <w:r w:rsidRPr="00312D92">
              <w:rPr>
                <w:rFonts w:ascii="Arial" w:hAnsi="Arial" w:cs="Arial"/>
                <w:sz w:val="20"/>
                <w:szCs w:val="20"/>
              </w:rPr>
              <w:t>, 59.3</w:t>
            </w:r>
            <w:r w:rsidR="007A32BB">
              <w:rPr>
                <w:rFonts w:ascii="Arial" w:hAnsi="Arial" w:cs="Arial"/>
                <w:sz w:val="20"/>
                <w:szCs w:val="20"/>
              </w:rPr>
              <w:t xml:space="preserve"> (53.7 to 64.9)</w:t>
            </w:r>
            <w:r w:rsidRPr="00312D92">
              <w:rPr>
                <w:rFonts w:ascii="Arial" w:hAnsi="Arial" w:cs="Arial"/>
                <w:sz w:val="20"/>
                <w:szCs w:val="20"/>
              </w:rPr>
              <w:t>, 74.5</w:t>
            </w:r>
            <w:r w:rsidR="007A32BB">
              <w:rPr>
                <w:rFonts w:ascii="Arial" w:hAnsi="Arial" w:cs="Arial"/>
                <w:sz w:val="20"/>
                <w:szCs w:val="20"/>
              </w:rPr>
              <w:t xml:space="preserve"> (68.9 to 80.1)</w:t>
            </w:r>
            <w:r w:rsidRPr="00312D92">
              <w:rPr>
                <w:rFonts w:ascii="Arial" w:hAnsi="Arial" w:cs="Arial"/>
                <w:sz w:val="20"/>
                <w:szCs w:val="20"/>
              </w:rPr>
              <w:t>, 85.5</w:t>
            </w:r>
            <w:r w:rsidR="007A32BB">
              <w:rPr>
                <w:rFonts w:ascii="Arial" w:hAnsi="Arial" w:cs="Arial"/>
                <w:sz w:val="20"/>
                <w:szCs w:val="20"/>
              </w:rPr>
              <w:t xml:space="preserve"> (79.9 to 91.1)</w:t>
            </w:r>
            <w:r w:rsidRPr="00312D92">
              <w:rPr>
                <w:rFonts w:ascii="Arial" w:hAnsi="Arial" w:cs="Arial"/>
                <w:sz w:val="20"/>
                <w:szCs w:val="20"/>
              </w:rPr>
              <w:t>, 89.8</w:t>
            </w:r>
            <w:r w:rsidR="007A32BB">
              <w:rPr>
                <w:rFonts w:ascii="Arial" w:hAnsi="Arial" w:cs="Arial"/>
                <w:sz w:val="20"/>
                <w:szCs w:val="20"/>
              </w:rPr>
              <w:t xml:space="preserve"> (84.2 to 95.4)</w:t>
            </w:r>
            <w:r w:rsidRPr="00312D92">
              <w:rPr>
                <w:rFonts w:ascii="Arial" w:hAnsi="Arial" w:cs="Arial"/>
                <w:sz w:val="20"/>
                <w:szCs w:val="20"/>
              </w:rPr>
              <w:t>, and 51.6</w:t>
            </w:r>
            <w:r w:rsidR="007A32BB">
              <w:rPr>
                <w:rFonts w:ascii="Arial" w:hAnsi="Arial" w:cs="Arial"/>
                <w:sz w:val="20"/>
                <w:szCs w:val="20"/>
              </w:rPr>
              <w:t xml:space="preserve"> (46.0 to 57.2)</w:t>
            </w:r>
            <w:r w:rsidRPr="00312D92">
              <w:rPr>
                <w:rFonts w:ascii="Arial" w:hAnsi="Arial" w:cs="Arial"/>
                <w:sz w:val="20"/>
                <w:szCs w:val="20"/>
              </w:rPr>
              <w:t xml:space="preserve"> for crushed </w:t>
            </w:r>
            <w:r w:rsidR="007A32BB">
              <w:rPr>
                <w:rFonts w:ascii="Arial" w:hAnsi="Arial" w:cs="Arial"/>
                <w:sz w:val="20"/>
                <w:szCs w:val="20"/>
              </w:rPr>
              <w:t xml:space="preserve">oxycodone/naltrexone ER </w:t>
            </w:r>
            <w:r w:rsidRPr="00312D92">
              <w:rPr>
                <w:rFonts w:ascii="Arial" w:hAnsi="Arial" w:cs="Arial"/>
                <w:sz w:val="20"/>
                <w:szCs w:val="20"/>
              </w:rPr>
              <w:t>40 mg/4.8 mg, intact</w:t>
            </w:r>
            <w:r w:rsidR="007A32BB">
              <w:rPr>
                <w:rFonts w:ascii="Arial" w:hAnsi="Arial" w:cs="Arial"/>
                <w:sz w:val="20"/>
                <w:szCs w:val="20"/>
              </w:rPr>
              <w:t xml:space="preserve"> oxycodone/naltrexone ER</w:t>
            </w:r>
            <w:r w:rsidRPr="00312D92">
              <w:rPr>
                <w:rFonts w:ascii="Arial" w:hAnsi="Arial" w:cs="Arial"/>
                <w:sz w:val="20"/>
                <w:szCs w:val="20"/>
              </w:rPr>
              <w:t xml:space="preserve"> 60 mg/7.2 mg, crushed </w:t>
            </w:r>
            <w:r w:rsidR="007A32BB">
              <w:rPr>
                <w:rFonts w:ascii="Arial" w:hAnsi="Arial" w:cs="Arial"/>
                <w:sz w:val="20"/>
                <w:szCs w:val="20"/>
              </w:rPr>
              <w:t xml:space="preserve">oxycodone/naltrexone ER </w:t>
            </w:r>
            <w:r w:rsidRPr="00312D92">
              <w:rPr>
                <w:rFonts w:ascii="Arial" w:hAnsi="Arial" w:cs="Arial"/>
                <w:sz w:val="20"/>
                <w:szCs w:val="20"/>
              </w:rPr>
              <w:t xml:space="preserve">60 mg/7.2 mg, crushed oxycodone </w:t>
            </w:r>
            <w:r w:rsidR="00F50397">
              <w:rPr>
                <w:rFonts w:ascii="Arial" w:hAnsi="Arial" w:cs="Arial"/>
                <w:sz w:val="20"/>
                <w:szCs w:val="20"/>
              </w:rPr>
              <w:t xml:space="preserve">IR </w:t>
            </w:r>
            <w:r w:rsidR="002F0A07" w:rsidRPr="00312D92">
              <w:rPr>
                <w:rFonts w:ascii="Arial" w:hAnsi="Arial" w:cs="Arial"/>
                <w:sz w:val="20"/>
                <w:szCs w:val="20"/>
              </w:rPr>
              <w:t>40 mg</w:t>
            </w:r>
            <w:r w:rsidRPr="00312D92">
              <w:rPr>
                <w:rFonts w:ascii="Arial" w:hAnsi="Arial" w:cs="Arial"/>
                <w:sz w:val="20"/>
                <w:szCs w:val="20"/>
              </w:rPr>
              <w:t xml:space="preserve">, crushed oxycodone </w:t>
            </w:r>
            <w:r w:rsidR="00F50397">
              <w:rPr>
                <w:rFonts w:ascii="Arial" w:hAnsi="Arial" w:cs="Arial"/>
                <w:sz w:val="20"/>
                <w:szCs w:val="20"/>
              </w:rPr>
              <w:t xml:space="preserve">IR </w:t>
            </w:r>
            <w:r w:rsidR="002F0A07" w:rsidRPr="00312D92">
              <w:rPr>
                <w:rFonts w:ascii="Arial" w:hAnsi="Arial" w:cs="Arial"/>
                <w:sz w:val="20"/>
                <w:szCs w:val="20"/>
              </w:rPr>
              <w:t>60 mg</w:t>
            </w:r>
            <w:r w:rsidRPr="00312D92">
              <w:rPr>
                <w:rFonts w:ascii="Arial" w:hAnsi="Arial" w:cs="Arial"/>
                <w:sz w:val="20"/>
                <w:szCs w:val="20"/>
              </w:rPr>
              <w:t>, and placebo, respectively</w:t>
            </w:r>
            <w:r w:rsidR="00CE5C69">
              <w:rPr>
                <w:rFonts w:ascii="Arial" w:hAnsi="Arial" w:cs="Arial"/>
                <w:sz w:val="20"/>
                <w:szCs w:val="20"/>
              </w:rPr>
              <w:t xml:space="preserve"> </w:t>
            </w:r>
            <w:r w:rsidRPr="00312D92">
              <w:rPr>
                <w:rFonts w:ascii="Arial" w:hAnsi="Arial" w:cs="Arial"/>
                <w:sz w:val="20"/>
                <w:szCs w:val="20"/>
              </w:rPr>
              <w:t xml:space="preserve">(P≤0.0001 for all comparisons </w:t>
            </w:r>
            <w:r w:rsidR="00CE5C69">
              <w:rPr>
                <w:rFonts w:ascii="Arial" w:hAnsi="Arial" w:cs="Arial"/>
                <w:sz w:val="20"/>
                <w:szCs w:val="20"/>
              </w:rPr>
              <w:t xml:space="preserve">of oxycodone/naltrexone ER to oxycodone IR; </w:t>
            </w:r>
            <w:r w:rsidRPr="00312D92">
              <w:rPr>
                <w:rFonts w:ascii="Arial" w:hAnsi="Arial" w:cs="Arial"/>
                <w:sz w:val="20"/>
                <w:szCs w:val="20"/>
              </w:rPr>
              <w:t>P≤0.05</w:t>
            </w:r>
            <w:r w:rsidR="000873C0">
              <w:rPr>
                <w:rFonts w:ascii="Arial" w:hAnsi="Arial" w:cs="Arial"/>
                <w:sz w:val="20"/>
                <w:szCs w:val="20"/>
              </w:rPr>
              <w:t xml:space="preserve"> for all comparisons </w:t>
            </w:r>
            <w:r w:rsidR="00CE5C69">
              <w:rPr>
                <w:rFonts w:ascii="Arial" w:hAnsi="Arial" w:cs="Arial"/>
                <w:sz w:val="20"/>
                <w:szCs w:val="20"/>
              </w:rPr>
              <w:t>to placebo</w:t>
            </w:r>
            <w:r w:rsidRPr="00312D92">
              <w:rPr>
                <w:rFonts w:ascii="Arial" w:hAnsi="Arial" w:cs="Arial"/>
                <w:sz w:val="20"/>
                <w:szCs w:val="20"/>
              </w:rPr>
              <w:t>).</w:t>
            </w:r>
          </w:p>
          <w:p w:rsidR="002F0A07" w:rsidRDefault="002F0A07" w:rsidP="002F0A07">
            <w:pPr>
              <w:spacing w:after="0" w:line="240" w:lineRule="auto"/>
              <w:rPr>
                <w:rFonts w:ascii="Arial" w:hAnsi="Arial" w:cs="Arial"/>
                <w:sz w:val="20"/>
                <w:szCs w:val="20"/>
              </w:rPr>
            </w:pPr>
          </w:p>
          <w:p w:rsidR="002F0A07" w:rsidRDefault="002F0A07" w:rsidP="00CE5C69">
            <w:pPr>
              <w:spacing w:after="0" w:line="240" w:lineRule="auto"/>
              <w:rPr>
                <w:rFonts w:ascii="Arial" w:hAnsi="Arial" w:cs="Arial"/>
                <w:sz w:val="20"/>
                <w:szCs w:val="20"/>
              </w:rPr>
            </w:pPr>
            <w:r>
              <w:rPr>
                <w:rFonts w:ascii="Arial" w:hAnsi="Arial" w:cs="Arial"/>
                <w:sz w:val="20"/>
                <w:szCs w:val="20"/>
              </w:rPr>
              <w:t>LS mean</w:t>
            </w:r>
            <w:r w:rsidR="00CE5C69">
              <w:rPr>
                <w:rFonts w:ascii="Arial" w:hAnsi="Arial" w:cs="Arial"/>
                <w:sz w:val="20"/>
                <w:szCs w:val="20"/>
              </w:rPr>
              <w:t xml:space="preserve"> AUE</w:t>
            </w:r>
            <w:r w:rsidR="00CE5C69">
              <w:rPr>
                <w:rFonts w:ascii="Arial" w:hAnsi="Arial" w:cs="Arial"/>
                <w:sz w:val="20"/>
                <w:szCs w:val="20"/>
                <w:vertAlign w:val="subscript"/>
              </w:rPr>
              <w:t>0-2h</w:t>
            </w:r>
            <w:r>
              <w:rPr>
                <w:rFonts w:ascii="Arial" w:hAnsi="Arial" w:cs="Arial"/>
                <w:sz w:val="20"/>
                <w:szCs w:val="20"/>
              </w:rPr>
              <w:t xml:space="preserve"> (95% CI) </w:t>
            </w:r>
            <w:r w:rsidR="00861A39">
              <w:rPr>
                <w:rFonts w:ascii="Arial" w:hAnsi="Arial" w:cs="Arial"/>
                <w:sz w:val="20"/>
                <w:szCs w:val="20"/>
              </w:rPr>
              <w:t xml:space="preserve">for </w:t>
            </w:r>
            <w:r w:rsidR="00601E83">
              <w:rPr>
                <w:rFonts w:ascii="Arial" w:hAnsi="Arial" w:cs="Arial"/>
                <w:sz w:val="20"/>
                <w:szCs w:val="20"/>
              </w:rPr>
              <w:t>“drug liking”</w:t>
            </w:r>
            <w:r>
              <w:rPr>
                <w:rFonts w:ascii="Arial" w:hAnsi="Arial" w:cs="Arial"/>
                <w:sz w:val="20"/>
                <w:szCs w:val="20"/>
              </w:rPr>
              <w:t xml:space="preserve"> via the VAS were </w:t>
            </w:r>
            <w:r w:rsidR="00CE5C69">
              <w:rPr>
                <w:rFonts w:ascii="Arial" w:hAnsi="Arial" w:cs="Arial"/>
                <w:sz w:val="20"/>
                <w:szCs w:val="20"/>
              </w:rPr>
              <w:t xml:space="preserve">118.4 (109.6 to 127.1), 100.1 (91.4 to 108.9), 127.3 (118.5 to 136.0), 141.3 (132.5 to 150.1), 149.5 (140.7 to 158.3), and 100.1 (91.4 to 108.9) for </w:t>
            </w:r>
            <w:r w:rsidR="00CE5C69" w:rsidRPr="00312D92">
              <w:rPr>
                <w:rFonts w:ascii="Arial" w:hAnsi="Arial" w:cs="Arial"/>
                <w:sz w:val="20"/>
                <w:szCs w:val="20"/>
              </w:rPr>
              <w:t xml:space="preserve">crushed </w:t>
            </w:r>
            <w:r w:rsidR="00CE5C69">
              <w:rPr>
                <w:rFonts w:ascii="Arial" w:hAnsi="Arial" w:cs="Arial"/>
                <w:sz w:val="20"/>
                <w:szCs w:val="20"/>
              </w:rPr>
              <w:t xml:space="preserve">oxycodone/naltrexone ER </w:t>
            </w:r>
            <w:r w:rsidR="00CE5C69" w:rsidRPr="00312D92">
              <w:rPr>
                <w:rFonts w:ascii="Arial" w:hAnsi="Arial" w:cs="Arial"/>
                <w:sz w:val="20"/>
                <w:szCs w:val="20"/>
              </w:rPr>
              <w:t>40 mg/4.8 mg, intact</w:t>
            </w:r>
            <w:r w:rsidR="00CE5C69">
              <w:rPr>
                <w:rFonts w:ascii="Arial" w:hAnsi="Arial" w:cs="Arial"/>
                <w:sz w:val="20"/>
                <w:szCs w:val="20"/>
              </w:rPr>
              <w:t xml:space="preserve"> oxycodone/naltrexone ER</w:t>
            </w:r>
            <w:r w:rsidR="00CE5C69" w:rsidRPr="00312D92">
              <w:rPr>
                <w:rFonts w:ascii="Arial" w:hAnsi="Arial" w:cs="Arial"/>
                <w:sz w:val="20"/>
                <w:szCs w:val="20"/>
              </w:rPr>
              <w:t xml:space="preserve"> 60 mg/7.2 mg, crushed </w:t>
            </w:r>
            <w:r w:rsidR="00CE5C69">
              <w:rPr>
                <w:rFonts w:ascii="Arial" w:hAnsi="Arial" w:cs="Arial"/>
                <w:sz w:val="20"/>
                <w:szCs w:val="20"/>
              </w:rPr>
              <w:t xml:space="preserve">oxycodone/naltrexone ER </w:t>
            </w:r>
            <w:r w:rsidR="00CE5C69" w:rsidRPr="00312D92">
              <w:rPr>
                <w:rFonts w:ascii="Arial" w:hAnsi="Arial" w:cs="Arial"/>
                <w:sz w:val="20"/>
                <w:szCs w:val="20"/>
              </w:rPr>
              <w:t xml:space="preserve">60 mg/7.2 mg, crushed oxycodone </w:t>
            </w:r>
            <w:r w:rsidR="00F50397">
              <w:rPr>
                <w:rFonts w:ascii="Arial" w:hAnsi="Arial" w:cs="Arial"/>
                <w:sz w:val="20"/>
                <w:szCs w:val="20"/>
              </w:rPr>
              <w:t xml:space="preserve">IR </w:t>
            </w:r>
            <w:r w:rsidR="00CE5C69" w:rsidRPr="00312D92">
              <w:rPr>
                <w:rFonts w:ascii="Arial" w:hAnsi="Arial" w:cs="Arial"/>
                <w:sz w:val="20"/>
                <w:szCs w:val="20"/>
              </w:rPr>
              <w:t xml:space="preserve">40 mg, crushed oxycodone </w:t>
            </w:r>
            <w:r w:rsidR="00F50397">
              <w:rPr>
                <w:rFonts w:ascii="Arial" w:hAnsi="Arial" w:cs="Arial"/>
                <w:sz w:val="20"/>
                <w:szCs w:val="20"/>
              </w:rPr>
              <w:t xml:space="preserve">IR </w:t>
            </w:r>
            <w:r w:rsidR="00CE5C69" w:rsidRPr="00312D92">
              <w:rPr>
                <w:rFonts w:ascii="Arial" w:hAnsi="Arial" w:cs="Arial"/>
                <w:sz w:val="20"/>
                <w:szCs w:val="20"/>
              </w:rPr>
              <w:t>60 mg, and placebo, respectively</w:t>
            </w:r>
            <w:r w:rsidR="00CE5C69">
              <w:rPr>
                <w:rFonts w:ascii="Arial" w:hAnsi="Arial" w:cs="Arial"/>
                <w:sz w:val="20"/>
                <w:szCs w:val="20"/>
              </w:rPr>
              <w:t xml:space="preserve"> </w:t>
            </w:r>
            <w:r>
              <w:rPr>
                <w:rFonts w:ascii="Arial" w:hAnsi="Arial" w:cs="Arial"/>
                <w:sz w:val="20"/>
                <w:szCs w:val="20"/>
              </w:rPr>
              <w:t>(</w:t>
            </w:r>
            <w:r w:rsidR="00CE5C69" w:rsidRPr="00CE5C69">
              <w:rPr>
                <w:rFonts w:ascii="Arial" w:hAnsi="Arial" w:cs="Arial"/>
                <w:sz w:val="20"/>
                <w:szCs w:val="20"/>
              </w:rPr>
              <w:t>P≤0.0001 for all comparisons of oxycodone/naltrexone ER to oxycodone IR</w:t>
            </w:r>
            <w:r w:rsidR="000873C0">
              <w:rPr>
                <w:rFonts w:ascii="Arial" w:hAnsi="Arial" w:cs="Arial"/>
                <w:sz w:val="20"/>
                <w:szCs w:val="20"/>
              </w:rPr>
              <w:t xml:space="preserve">; P≤0.05 for all comparisons </w:t>
            </w:r>
            <w:r w:rsidR="00CE5C69" w:rsidRPr="00CE5C69">
              <w:rPr>
                <w:rFonts w:ascii="Arial" w:hAnsi="Arial" w:cs="Arial"/>
                <w:sz w:val="20"/>
                <w:szCs w:val="20"/>
              </w:rPr>
              <w:t>to placebo</w:t>
            </w:r>
            <w:r w:rsidR="00CE5C69">
              <w:rPr>
                <w:rFonts w:ascii="Arial" w:hAnsi="Arial" w:cs="Arial"/>
                <w:sz w:val="20"/>
                <w:szCs w:val="20"/>
              </w:rPr>
              <w:t>, except intact oxycodone/naltrexone ER).</w:t>
            </w:r>
          </w:p>
          <w:p w:rsidR="00861A39" w:rsidRDefault="00861A39" w:rsidP="00CE5C69">
            <w:pPr>
              <w:spacing w:after="0" w:line="240" w:lineRule="auto"/>
              <w:rPr>
                <w:rFonts w:ascii="Arial" w:hAnsi="Arial" w:cs="Arial"/>
                <w:sz w:val="20"/>
                <w:szCs w:val="20"/>
              </w:rPr>
            </w:pPr>
          </w:p>
          <w:p w:rsidR="00861A39" w:rsidRDefault="00861A39" w:rsidP="00CE5C69">
            <w:pPr>
              <w:spacing w:after="0" w:line="240" w:lineRule="auto"/>
              <w:rPr>
                <w:rFonts w:ascii="Arial" w:hAnsi="Arial" w:cs="Arial"/>
                <w:sz w:val="20"/>
                <w:szCs w:val="20"/>
              </w:rPr>
            </w:pPr>
            <w:r w:rsidRPr="00861A39">
              <w:rPr>
                <w:rFonts w:ascii="Arial" w:hAnsi="Arial" w:cs="Arial"/>
                <w:sz w:val="20"/>
                <w:szCs w:val="20"/>
              </w:rPr>
              <w:t xml:space="preserve">The majority of </w:t>
            </w:r>
            <w:r>
              <w:rPr>
                <w:rFonts w:ascii="Arial" w:hAnsi="Arial" w:cs="Arial"/>
                <w:sz w:val="20"/>
                <w:szCs w:val="20"/>
              </w:rPr>
              <w:t>patients</w:t>
            </w:r>
            <w:r w:rsidRPr="00861A39">
              <w:rPr>
                <w:rFonts w:ascii="Arial" w:hAnsi="Arial" w:cs="Arial"/>
                <w:sz w:val="20"/>
                <w:szCs w:val="20"/>
              </w:rPr>
              <w:t xml:space="preserve"> had a reduction in </w:t>
            </w:r>
            <w:proofErr w:type="spellStart"/>
            <w:r w:rsidRPr="00861A39">
              <w:rPr>
                <w:rFonts w:ascii="Arial" w:hAnsi="Arial" w:cs="Arial"/>
                <w:sz w:val="20"/>
                <w:szCs w:val="20"/>
              </w:rPr>
              <w:t>E</w:t>
            </w:r>
            <w:r w:rsidRPr="00861A39">
              <w:rPr>
                <w:rFonts w:ascii="Arial" w:hAnsi="Arial" w:cs="Arial"/>
                <w:sz w:val="20"/>
                <w:szCs w:val="20"/>
                <w:vertAlign w:val="subscript"/>
              </w:rPr>
              <w:t>max</w:t>
            </w:r>
            <w:proofErr w:type="spellEnd"/>
            <w:r>
              <w:rPr>
                <w:rFonts w:ascii="Arial" w:hAnsi="Arial" w:cs="Arial"/>
                <w:sz w:val="20"/>
                <w:szCs w:val="20"/>
              </w:rPr>
              <w:t xml:space="preserve"> for </w:t>
            </w:r>
            <w:r w:rsidR="000873C0">
              <w:rPr>
                <w:rFonts w:ascii="Arial" w:hAnsi="Arial" w:cs="Arial"/>
                <w:sz w:val="20"/>
                <w:szCs w:val="20"/>
              </w:rPr>
              <w:t>“drug liking”</w:t>
            </w:r>
            <w:r w:rsidRPr="00861A39">
              <w:rPr>
                <w:rFonts w:ascii="Arial" w:hAnsi="Arial" w:cs="Arial"/>
                <w:sz w:val="20"/>
                <w:szCs w:val="20"/>
              </w:rPr>
              <w:t xml:space="preserve"> </w:t>
            </w:r>
            <w:r w:rsidR="0046041D">
              <w:rPr>
                <w:rFonts w:ascii="Arial" w:hAnsi="Arial" w:cs="Arial"/>
                <w:sz w:val="20"/>
                <w:szCs w:val="20"/>
              </w:rPr>
              <w:t>with</w:t>
            </w:r>
            <w:r w:rsidRPr="00861A39">
              <w:rPr>
                <w:rFonts w:ascii="Arial" w:hAnsi="Arial" w:cs="Arial"/>
                <w:sz w:val="20"/>
                <w:szCs w:val="20"/>
              </w:rPr>
              <w:t xml:space="preserve"> crushed </w:t>
            </w:r>
            <w:r>
              <w:rPr>
                <w:rFonts w:ascii="Arial" w:hAnsi="Arial" w:cs="Arial"/>
                <w:sz w:val="20"/>
                <w:szCs w:val="20"/>
              </w:rPr>
              <w:t>oxycodone/naltrexone ER</w:t>
            </w:r>
            <w:r w:rsidRPr="00861A39">
              <w:rPr>
                <w:rFonts w:ascii="Arial" w:hAnsi="Arial" w:cs="Arial"/>
                <w:sz w:val="20"/>
                <w:szCs w:val="20"/>
              </w:rPr>
              <w:t xml:space="preserve"> 40 mg/4.8 mg (72%), crushed </w:t>
            </w:r>
            <w:r>
              <w:rPr>
                <w:rFonts w:ascii="Arial" w:hAnsi="Arial" w:cs="Arial"/>
                <w:sz w:val="20"/>
                <w:szCs w:val="20"/>
              </w:rPr>
              <w:t>oxycodone/naltrexone ER</w:t>
            </w:r>
            <w:r w:rsidRPr="00861A39">
              <w:rPr>
                <w:rFonts w:ascii="Arial" w:hAnsi="Arial" w:cs="Arial"/>
                <w:sz w:val="20"/>
                <w:szCs w:val="20"/>
              </w:rPr>
              <w:t xml:space="preserve"> 60 mg/7.2 mg (75%), and intact </w:t>
            </w:r>
            <w:r>
              <w:rPr>
                <w:rFonts w:ascii="Arial" w:hAnsi="Arial" w:cs="Arial"/>
                <w:sz w:val="20"/>
                <w:szCs w:val="20"/>
              </w:rPr>
              <w:t xml:space="preserve">oxycodone/naltrexone ER </w:t>
            </w:r>
            <w:r w:rsidRPr="00861A39">
              <w:rPr>
                <w:rFonts w:ascii="Arial" w:hAnsi="Arial" w:cs="Arial"/>
                <w:sz w:val="20"/>
                <w:szCs w:val="20"/>
              </w:rPr>
              <w:t>60 mg/7.2 mg (91%) relative to thei</w:t>
            </w:r>
            <w:r>
              <w:rPr>
                <w:rFonts w:ascii="Arial" w:hAnsi="Arial" w:cs="Arial"/>
                <w:sz w:val="20"/>
                <w:szCs w:val="20"/>
              </w:rPr>
              <w:t>r respective doses of crushed</w:t>
            </w:r>
            <w:r w:rsidRPr="00861A39">
              <w:rPr>
                <w:rFonts w:ascii="Arial" w:hAnsi="Arial" w:cs="Arial"/>
                <w:sz w:val="20"/>
                <w:szCs w:val="20"/>
              </w:rPr>
              <w:t xml:space="preserve"> oxycodone </w:t>
            </w:r>
            <w:r>
              <w:rPr>
                <w:rFonts w:ascii="Arial" w:hAnsi="Arial" w:cs="Arial"/>
                <w:sz w:val="20"/>
                <w:szCs w:val="20"/>
              </w:rPr>
              <w:t xml:space="preserve">IR </w:t>
            </w:r>
            <w:r w:rsidRPr="00861A39">
              <w:rPr>
                <w:rFonts w:ascii="Arial" w:hAnsi="Arial" w:cs="Arial"/>
                <w:sz w:val="20"/>
                <w:szCs w:val="20"/>
              </w:rPr>
              <w:t xml:space="preserve">40 mg and 60 mg. </w:t>
            </w:r>
          </w:p>
          <w:p w:rsidR="00CE5C69" w:rsidRDefault="00CE5C69" w:rsidP="00CE5C69">
            <w:pPr>
              <w:spacing w:after="0" w:line="240" w:lineRule="auto"/>
              <w:rPr>
                <w:rFonts w:ascii="Arial" w:hAnsi="Arial" w:cs="Arial"/>
                <w:sz w:val="20"/>
                <w:szCs w:val="20"/>
              </w:rPr>
            </w:pPr>
          </w:p>
          <w:p w:rsidR="00CE5C69" w:rsidRDefault="00CE5C69" w:rsidP="00CE5C69">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(95% CI) for </w:t>
            </w:r>
            <w:r w:rsidR="00601E83">
              <w:rPr>
                <w:rFonts w:ascii="Arial" w:hAnsi="Arial" w:cs="Arial"/>
                <w:sz w:val="20"/>
                <w:szCs w:val="20"/>
              </w:rPr>
              <w:t>“high”</w:t>
            </w:r>
            <w:r>
              <w:rPr>
                <w:rFonts w:ascii="Arial" w:hAnsi="Arial" w:cs="Arial"/>
                <w:sz w:val="20"/>
                <w:szCs w:val="20"/>
              </w:rPr>
              <w:t xml:space="preserve"> via the VAS were </w:t>
            </w:r>
            <w:r w:rsidR="00F50397">
              <w:rPr>
                <w:rFonts w:ascii="Arial" w:hAnsi="Arial" w:cs="Arial"/>
                <w:sz w:val="20"/>
                <w:szCs w:val="20"/>
              </w:rPr>
              <w:t>46.5 (35.6 to 57.4), 22.5 (11.6 to 33.4), 52.8 (41.9 to 63.7), 78.6 (67.7 to 89.5), 85.7 (74.8 to 96.6), and 10.2 (-0.7 to 21.1)</w:t>
            </w:r>
            <w:r w:rsidR="00953DAF">
              <w:rPr>
                <w:rFonts w:ascii="Arial" w:hAnsi="Arial" w:cs="Arial"/>
                <w:sz w:val="20"/>
                <w:szCs w:val="20"/>
              </w:rPr>
              <w:t xml:space="preserve"> </w:t>
            </w:r>
            <w:r w:rsidRPr="00312D92">
              <w:rPr>
                <w:rFonts w:ascii="Arial" w:hAnsi="Arial" w:cs="Arial"/>
                <w:sz w:val="20"/>
                <w:szCs w:val="20"/>
              </w:rPr>
              <w:t xml:space="preserve">for crushed </w:t>
            </w:r>
            <w:r>
              <w:rPr>
                <w:rFonts w:ascii="Arial" w:hAnsi="Arial" w:cs="Arial"/>
                <w:sz w:val="20"/>
                <w:szCs w:val="20"/>
              </w:rPr>
              <w:t xml:space="preserve">oxycodone/naltrexone ER </w:t>
            </w:r>
            <w:r w:rsidRPr="00312D92">
              <w:rPr>
                <w:rFonts w:ascii="Arial" w:hAnsi="Arial" w:cs="Arial"/>
                <w:sz w:val="20"/>
                <w:szCs w:val="20"/>
              </w:rPr>
              <w:t>40 mg/4.8 mg, intact</w:t>
            </w:r>
            <w:r>
              <w:rPr>
                <w:rFonts w:ascii="Arial" w:hAnsi="Arial" w:cs="Arial"/>
                <w:sz w:val="20"/>
                <w:szCs w:val="20"/>
              </w:rPr>
              <w:t xml:space="preserve"> oxycodone/naltrexone ER</w:t>
            </w:r>
            <w:r w:rsidRPr="00312D92">
              <w:rPr>
                <w:rFonts w:ascii="Arial" w:hAnsi="Arial" w:cs="Arial"/>
                <w:sz w:val="20"/>
                <w:szCs w:val="20"/>
              </w:rPr>
              <w:t xml:space="preserve"> 60 mg/7.2 mg, crushed </w:t>
            </w:r>
            <w:r>
              <w:rPr>
                <w:rFonts w:ascii="Arial" w:hAnsi="Arial" w:cs="Arial"/>
                <w:sz w:val="20"/>
                <w:szCs w:val="20"/>
              </w:rPr>
              <w:t xml:space="preserve">oxycodone/naltrexone ER </w:t>
            </w:r>
            <w:r w:rsidRPr="00312D92">
              <w:rPr>
                <w:rFonts w:ascii="Arial" w:hAnsi="Arial" w:cs="Arial"/>
                <w:sz w:val="20"/>
                <w:szCs w:val="20"/>
              </w:rPr>
              <w:t>60 mg/7.2 mg, crushed oxycodone</w:t>
            </w:r>
            <w:r w:rsidR="00F50397">
              <w:rPr>
                <w:rFonts w:ascii="Arial" w:hAnsi="Arial" w:cs="Arial"/>
                <w:sz w:val="20"/>
                <w:szCs w:val="20"/>
              </w:rPr>
              <w:t xml:space="preserve"> IR</w:t>
            </w:r>
            <w:r w:rsidRPr="00312D92">
              <w:rPr>
                <w:rFonts w:ascii="Arial" w:hAnsi="Arial" w:cs="Arial"/>
                <w:sz w:val="20"/>
                <w:szCs w:val="20"/>
              </w:rPr>
              <w:t xml:space="preserve"> 40</w:t>
            </w:r>
            <w:r w:rsidR="00F50397">
              <w:rPr>
                <w:rFonts w:ascii="Arial" w:hAnsi="Arial" w:cs="Arial"/>
                <w:sz w:val="20"/>
                <w:szCs w:val="20"/>
              </w:rPr>
              <w:t xml:space="preserve"> </w:t>
            </w:r>
            <w:r w:rsidRPr="00312D92">
              <w:rPr>
                <w:rFonts w:ascii="Arial" w:hAnsi="Arial" w:cs="Arial"/>
                <w:sz w:val="20"/>
                <w:szCs w:val="20"/>
              </w:rPr>
              <w:t xml:space="preserve">mg, crushed oxycodone </w:t>
            </w:r>
            <w:r w:rsidR="00F50397">
              <w:rPr>
                <w:rFonts w:ascii="Arial" w:hAnsi="Arial" w:cs="Arial"/>
                <w:sz w:val="20"/>
                <w:szCs w:val="20"/>
              </w:rPr>
              <w:t xml:space="preserve">IR </w:t>
            </w:r>
            <w:r w:rsidRPr="00312D92">
              <w:rPr>
                <w:rFonts w:ascii="Arial" w:hAnsi="Arial" w:cs="Arial"/>
                <w:sz w:val="20"/>
                <w:szCs w:val="20"/>
              </w:rPr>
              <w:t>60 mg, and placebo, respectively</w:t>
            </w:r>
            <w:r>
              <w:rPr>
                <w:rFonts w:ascii="Arial" w:hAnsi="Arial" w:cs="Arial"/>
                <w:sz w:val="20"/>
                <w:szCs w:val="20"/>
              </w:rPr>
              <w:t xml:space="preserve"> </w:t>
            </w:r>
            <w:r w:rsidRPr="00312D92">
              <w:rPr>
                <w:rFonts w:ascii="Arial" w:hAnsi="Arial" w:cs="Arial"/>
                <w:sz w:val="20"/>
                <w:szCs w:val="20"/>
              </w:rPr>
              <w:t xml:space="preserve">(P≤0.0001 for all comparisons </w:t>
            </w:r>
            <w:r>
              <w:rPr>
                <w:rFonts w:ascii="Arial" w:hAnsi="Arial" w:cs="Arial"/>
                <w:sz w:val="20"/>
                <w:szCs w:val="20"/>
              </w:rPr>
              <w:t xml:space="preserve">of oxycodone/naltrexone ER to oxycodone IR; </w:t>
            </w:r>
            <w:r w:rsidRPr="00312D92">
              <w:rPr>
                <w:rFonts w:ascii="Arial" w:hAnsi="Arial" w:cs="Arial"/>
                <w:sz w:val="20"/>
                <w:szCs w:val="20"/>
              </w:rPr>
              <w:t>P≤0.05</w:t>
            </w:r>
            <w:r>
              <w:rPr>
                <w:rFonts w:ascii="Arial" w:hAnsi="Arial" w:cs="Arial"/>
                <w:sz w:val="20"/>
                <w:szCs w:val="20"/>
              </w:rPr>
              <w:t xml:space="preserve"> for all comparisons to placebo</w:t>
            </w:r>
            <w:r w:rsidRPr="00312D92">
              <w:rPr>
                <w:rFonts w:ascii="Arial" w:hAnsi="Arial" w:cs="Arial"/>
                <w:sz w:val="20"/>
                <w:szCs w:val="20"/>
              </w:rPr>
              <w:t>).</w:t>
            </w:r>
          </w:p>
          <w:p w:rsidR="00CE5C69" w:rsidRDefault="00CE5C69" w:rsidP="00CE5C69">
            <w:pPr>
              <w:spacing w:after="0" w:line="240" w:lineRule="auto"/>
              <w:rPr>
                <w:rFonts w:ascii="Arial" w:hAnsi="Arial" w:cs="Arial"/>
                <w:sz w:val="20"/>
                <w:szCs w:val="20"/>
              </w:rPr>
            </w:pPr>
          </w:p>
          <w:p w:rsidR="00CE5C69" w:rsidRDefault="00CE5C69" w:rsidP="00CE5C69">
            <w:pPr>
              <w:spacing w:after="0" w:line="240" w:lineRule="auto"/>
              <w:rPr>
                <w:rFonts w:ascii="Arial" w:hAnsi="Arial" w:cs="Arial"/>
                <w:sz w:val="20"/>
                <w:szCs w:val="20"/>
              </w:rPr>
            </w:pPr>
            <w:r>
              <w:rPr>
                <w:rFonts w:ascii="Arial" w:hAnsi="Arial" w:cs="Arial"/>
                <w:sz w:val="20"/>
                <w:szCs w:val="20"/>
              </w:rPr>
              <w:t>LS mean AUE</w:t>
            </w:r>
            <w:r>
              <w:rPr>
                <w:rFonts w:ascii="Arial" w:hAnsi="Arial" w:cs="Arial"/>
                <w:sz w:val="20"/>
                <w:szCs w:val="20"/>
                <w:vertAlign w:val="subscript"/>
              </w:rPr>
              <w:t>0-2h</w:t>
            </w:r>
            <w:r>
              <w:rPr>
                <w:rFonts w:ascii="Arial" w:hAnsi="Arial" w:cs="Arial"/>
                <w:sz w:val="20"/>
                <w:szCs w:val="20"/>
              </w:rPr>
              <w:t xml:space="preserve"> (95% CI) </w:t>
            </w:r>
            <w:r w:rsidR="00861A39">
              <w:rPr>
                <w:rFonts w:ascii="Arial" w:hAnsi="Arial" w:cs="Arial"/>
                <w:sz w:val="20"/>
                <w:szCs w:val="20"/>
              </w:rPr>
              <w:t xml:space="preserve">for </w:t>
            </w:r>
            <w:r w:rsidR="00601E83">
              <w:rPr>
                <w:rFonts w:ascii="Arial" w:hAnsi="Arial" w:cs="Arial"/>
                <w:sz w:val="20"/>
                <w:szCs w:val="20"/>
              </w:rPr>
              <w:t>“high”</w:t>
            </w:r>
            <w:r>
              <w:rPr>
                <w:rFonts w:ascii="Arial" w:hAnsi="Arial" w:cs="Arial"/>
                <w:sz w:val="20"/>
                <w:szCs w:val="20"/>
              </w:rPr>
              <w:t xml:space="preserve"> via the VAS were</w:t>
            </w:r>
            <w:r w:rsidR="00953DAF">
              <w:rPr>
                <w:rFonts w:ascii="Arial" w:hAnsi="Arial" w:cs="Arial"/>
                <w:sz w:val="20"/>
                <w:szCs w:val="20"/>
              </w:rPr>
              <w:t xml:space="preserve"> 55.4 (40.4 to 70.4), 9.7 (-5.3 to 24.7), 71.6 (56.6 to 86.6), 112.1 (97.1 to 127.1), 117.7 (102.7 to 132.7), and 2.8 (-12.2 to 17.8) </w:t>
            </w:r>
            <w:r>
              <w:rPr>
                <w:rFonts w:ascii="Arial" w:hAnsi="Arial" w:cs="Arial"/>
                <w:sz w:val="20"/>
                <w:szCs w:val="20"/>
              </w:rPr>
              <w:t xml:space="preserve">for </w:t>
            </w:r>
            <w:r w:rsidRPr="00312D92">
              <w:rPr>
                <w:rFonts w:ascii="Arial" w:hAnsi="Arial" w:cs="Arial"/>
                <w:sz w:val="20"/>
                <w:szCs w:val="20"/>
              </w:rPr>
              <w:t xml:space="preserve">crushed </w:t>
            </w:r>
            <w:r>
              <w:rPr>
                <w:rFonts w:ascii="Arial" w:hAnsi="Arial" w:cs="Arial"/>
                <w:sz w:val="20"/>
                <w:szCs w:val="20"/>
              </w:rPr>
              <w:t xml:space="preserve">oxycodone/naltrexone ER </w:t>
            </w:r>
            <w:r w:rsidRPr="00312D92">
              <w:rPr>
                <w:rFonts w:ascii="Arial" w:hAnsi="Arial" w:cs="Arial"/>
                <w:sz w:val="20"/>
                <w:szCs w:val="20"/>
              </w:rPr>
              <w:t>40 mg/4.8 mg, intact</w:t>
            </w:r>
            <w:r>
              <w:rPr>
                <w:rFonts w:ascii="Arial" w:hAnsi="Arial" w:cs="Arial"/>
                <w:sz w:val="20"/>
                <w:szCs w:val="20"/>
              </w:rPr>
              <w:t xml:space="preserve"> oxycodone/naltrexone ER</w:t>
            </w:r>
            <w:r w:rsidRPr="00312D92">
              <w:rPr>
                <w:rFonts w:ascii="Arial" w:hAnsi="Arial" w:cs="Arial"/>
                <w:sz w:val="20"/>
                <w:szCs w:val="20"/>
              </w:rPr>
              <w:t xml:space="preserve"> 60 mg/7.2 mg, crushed </w:t>
            </w:r>
            <w:r>
              <w:rPr>
                <w:rFonts w:ascii="Arial" w:hAnsi="Arial" w:cs="Arial"/>
                <w:sz w:val="20"/>
                <w:szCs w:val="20"/>
              </w:rPr>
              <w:t xml:space="preserve">oxycodone/naltrexone ER </w:t>
            </w:r>
            <w:r w:rsidRPr="00312D92">
              <w:rPr>
                <w:rFonts w:ascii="Arial" w:hAnsi="Arial" w:cs="Arial"/>
                <w:sz w:val="20"/>
                <w:szCs w:val="20"/>
              </w:rPr>
              <w:t xml:space="preserve">60 mg/7.2 mg, crushed oxycodone </w:t>
            </w:r>
            <w:r w:rsidR="00F50397">
              <w:rPr>
                <w:rFonts w:ascii="Arial" w:hAnsi="Arial" w:cs="Arial"/>
                <w:sz w:val="20"/>
                <w:szCs w:val="20"/>
              </w:rPr>
              <w:t xml:space="preserve">IR </w:t>
            </w:r>
            <w:r w:rsidRPr="00312D92">
              <w:rPr>
                <w:rFonts w:ascii="Arial" w:hAnsi="Arial" w:cs="Arial"/>
                <w:sz w:val="20"/>
                <w:szCs w:val="20"/>
              </w:rPr>
              <w:t xml:space="preserve">40 mg, crushed oxycodone </w:t>
            </w:r>
            <w:r w:rsidR="00F50397">
              <w:rPr>
                <w:rFonts w:ascii="Arial" w:hAnsi="Arial" w:cs="Arial"/>
                <w:sz w:val="20"/>
                <w:szCs w:val="20"/>
              </w:rPr>
              <w:t xml:space="preserve">IR </w:t>
            </w:r>
            <w:r w:rsidRPr="00312D92">
              <w:rPr>
                <w:rFonts w:ascii="Arial" w:hAnsi="Arial" w:cs="Arial"/>
                <w:sz w:val="20"/>
                <w:szCs w:val="20"/>
              </w:rPr>
              <w:t>60 mg, and placebo, respectively</w:t>
            </w:r>
            <w:r>
              <w:rPr>
                <w:rFonts w:ascii="Arial" w:hAnsi="Arial" w:cs="Arial"/>
                <w:sz w:val="20"/>
                <w:szCs w:val="20"/>
              </w:rPr>
              <w:t xml:space="preserve"> (</w:t>
            </w:r>
            <w:r w:rsidRPr="00CE5C69">
              <w:rPr>
                <w:rFonts w:ascii="Arial" w:hAnsi="Arial" w:cs="Arial"/>
                <w:sz w:val="20"/>
                <w:szCs w:val="20"/>
              </w:rPr>
              <w:t>P≤0.0001 for all comparisons of oxycodone/naltrexone ER to oxycodone IR</w:t>
            </w:r>
            <w:r w:rsidR="000873C0">
              <w:rPr>
                <w:rFonts w:ascii="Arial" w:hAnsi="Arial" w:cs="Arial"/>
                <w:sz w:val="20"/>
                <w:szCs w:val="20"/>
              </w:rPr>
              <w:t xml:space="preserve">; P≤0.05 for all comparisons </w:t>
            </w:r>
            <w:r w:rsidRPr="00CE5C69">
              <w:rPr>
                <w:rFonts w:ascii="Arial" w:hAnsi="Arial" w:cs="Arial"/>
                <w:sz w:val="20"/>
                <w:szCs w:val="20"/>
              </w:rPr>
              <w:t>to placebo</w:t>
            </w:r>
            <w:r>
              <w:rPr>
                <w:rFonts w:ascii="Arial" w:hAnsi="Arial" w:cs="Arial"/>
                <w:sz w:val="20"/>
                <w:szCs w:val="20"/>
              </w:rPr>
              <w:t>, except intact oxycodone/naltrexone ER).</w:t>
            </w:r>
          </w:p>
          <w:p w:rsidR="00861A39" w:rsidRDefault="00861A39" w:rsidP="00861A39">
            <w:pPr>
              <w:spacing w:after="0" w:line="240" w:lineRule="auto"/>
              <w:rPr>
                <w:rFonts w:ascii="Arial" w:hAnsi="Arial" w:cs="Arial"/>
                <w:sz w:val="20"/>
                <w:szCs w:val="20"/>
              </w:rPr>
            </w:pPr>
          </w:p>
          <w:p w:rsidR="00861A39" w:rsidRDefault="00861A39" w:rsidP="00861A39">
            <w:pPr>
              <w:spacing w:after="0" w:line="240" w:lineRule="auto"/>
              <w:rPr>
                <w:rFonts w:ascii="Arial" w:hAnsi="Arial" w:cs="Arial"/>
                <w:sz w:val="20"/>
                <w:szCs w:val="20"/>
              </w:rPr>
            </w:pPr>
            <w:r>
              <w:rPr>
                <w:rFonts w:ascii="Arial" w:hAnsi="Arial" w:cs="Arial"/>
                <w:sz w:val="20"/>
                <w:szCs w:val="20"/>
              </w:rPr>
              <w:t>The</w:t>
            </w:r>
            <w:r w:rsidRPr="00861A39">
              <w:rPr>
                <w:rFonts w:ascii="Arial" w:hAnsi="Arial" w:cs="Arial"/>
                <w:sz w:val="20"/>
                <w:szCs w:val="20"/>
              </w:rPr>
              <w:t xml:space="preserve"> majority of </w:t>
            </w:r>
            <w:r>
              <w:rPr>
                <w:rFonts w:ascii="Arial" w:hAnsi="Arial" w:cs="Arial"/>
                <w:sz w:val="20"/>
                <w:szCs w:val="20"/>
              </w:rPr>
              <w:t>patients had a reduction in</w:t>
            </w:r>
            <w:r w:rsidRPr="00861A39">
              <w:rPr>
                <w:rFonts w:ascii="Arial" w:hAnsi="Arial" w:cs="Arial"/>
                <w:sz w:val="20"/>
                <w:szCs w:val="20"/>
              </w:rPr>
              <w:t xml:space="preserve"> </w:t>
            </w:r>
            <w:proofErr w:type="spellStart"/>
            <w:r w:rsidRPr="00861A39">
              <w:rPr>
                <w:rFonts w:ascii="Arial" w:hAnsi="Arial" w:cs="Arial"/>
                <w:sz w:val="20"/>
                <w:szCs w:val="20"/>
              </w:rPr>
              <w:t>E</w:t>
            </w:r>
            <w:r w:rsidRPr="00861A39">
              <w:rPr>
                <w:rFonts w:ascii="Arial" w:hAnsi="Arial" w:cs="Arial"/>
                <w:sz w:val="20"/>
                <w:szCs w:val="20"/>
                <w:vertAlign w:val="subscript"/>
              </w:rPr>
              <w:t>max</w:t>
            </w:r>
            <w:proofErr w:type="spellEnd"/>
            <w:r>
              <w:rPr>
                <w:rFonts w:ascii="Arial" w:hAnsi="Arial" w:cs="Arial"/>
                <w:sz w:val="20"/>
                <w:szCs w:val="20"/>
              </w:rPr>
              <w:t xml:space="preserve"> for </w:t>
            </w:r>
            <w:r w:rsidR="000873C0">
              <w:rPr>
                <w:rFonts w:ascii="Arial" w:hAnsi="Arial" w:cs="Arial"/>
                <w:sz w:val="20"/>
                <w:szCs w:val="20"/>
              </w:rPr>
              <w:t>“high”</w:t>
            </w:r>
            <w:r w:rsidRPr="00861A39">
              <w:rPr>
                <w:rFonts w:ascii="Arial" w:hAnsi="Arial" w:cs="Arial"/>
                <w:sz w:val="20"/>
                <w:szCs w:val="20"/>
              </w:rPr>
              <w:t xml:space="preserve"> </w:t>
            </w:r>
            <w:r w:rsidR="0046041D">
              <w:rPr>
                <w:rFonts w:ascii="Arial" w:hAnsi="Arial" w:cs="Arial"/>
                <w:sz w:val="20"/>
                <w:szCs w:val="20"/>
              </w:rPr>
              <w:t>with</w:t>
            </w:r>
            <w:r w:rsidRPr="00861A39">
              <w:rPr>
                <w:rFonts w:ascii="Arial" w:hAnsi="Arial" w:cs="Arial"/>
                <w:sz w:val="20"/>
                <w:szCs w:val="20"/>
              </w:rPr>
              <w:t xml:space="preserve"> crushed </w:t>
            </w:r>
            <w:r>
              <w:rPr>
                <w:rFonts w:ascii="Arial" w:hAnsi="Arial" w:cs="Arial"/>
                <w:sz w:val="20"/>
                <w:szCs w:val="20"/>
              </w:rPr>
              <w:t xml:space="preserve">oxycodone/naltrexone ER </w:t>
            </w:r>
            <w:r w:rsidRPr="00861A39">
              <w:rPr>
                <w:rFonts w:ascii="Arial" w:hAnsi="Arial" w:cs="Arial"/>
                <w:sz w:val="20"/>
                <w:szCs w:val="20"/>
              </w:rPr>
              <w:t xml:space="preserve">40 mg/4.8 mg (78%), crushed </w:t>
            </w:r>
            <w:r>
              <w:rPr>
                <w:rFonts w:ascii="Arial" w:hAnsi="Arial" w:cs="Arial"/>
                <w:sz w:val="20"/>
                <w:szCs w:val="20"/>
              </w:rPr>
              <w:t xml:space="preserve">oxycodone/naltrexone ER </w:t>
            </w:r>
            <w:r w:rsidRPr="00861A39">
              <w:rPr>
                <w:rFonts w:ascii="Arial" w:hAnsi="Arial" w:cs="Arial"/>
                <w:sz w:val="20"/>
                <w:szCs w:val="20"/>
              </w:rPr>
              <w:t xml:space="preserve">60 mg/7.2 mg (78%), and intact </w:t>
            </w:r>
            <w:r>
              <w:rPr>
                <w:rFonts w:ascii="Arial" w:hAnsi="Arial" w:cs="Arial"/>
                <w:sz w:val="20"/>
                <w:szCs w:val="20"/>
              </w:rPr>
              <w:t xml:space="preserve">oxycodone/naltrexone ER </w:t>
            </w:r>
            <w:r w:rsidRPr="00861A39">
              <w:rPr>
                <w:rFonts w:ascii="Arial" w:hAnsi="Arial" w:cs="Arial"/>
                <w:sz w:val="20"/>
                <w:szCs w:val="20"/>
              </w:rPr>
              <w:t xml:space="preserve">60 mg/7.2 mg (97%) relative to their respective doses of crushed oxycodone </w:t>
            </w:r>
            <w:r>
              <w:rPr>
                <w:rFonts w:ascii="Arial" w:hAnsi="Arial" w:cs="Arial"/>
                <w:sz w:val="20"/>
                <w:szCs w:val="20"/>
              </w:rPr>
              <w:t xml:space="preserve">IR </w:t>
            </w:r>
            <w:r w:rsidRPr="00861A39">
              <w:rPr>
                <w:rFonts w:ascii="Arial" w:hAnsi="Arial" w:cs="Arial"/>
                <w:sz w:val="20"/>
                <w:szCs w:val="20"/>
              </w:rPr>
              <w:t>40 mg and 60 mg.</w:t>
            </w:r>
          </w:p>
          <w:p w:rsidR="00861A39" w:rsidRDefault="00861A39" w:rsidP="00861A39">
            <w:pPr>
              <w:spacing w:after="0" w:line="240" w:lineRule="auto"/>
              <w:rPr>
                <w:rFonts w:ascii="Arial" w:hAnsi="Arial" w:cs="Arial"/>
                <w:sz w:val="20"/>
                <w:szCs w:val="20"/>
              </w:rPr>
            </w:pPr>
          </w:p>
          <w:p w:rsidR="00861A39" w:rsidRDefault="00861A39" w:rsidP="00861A39">
            <w:pPr>
              <w:spacing w:after="0" w:line="240" w:lineRule="auto"/>
              <w:rPr>
                <w:rFonts w:ascii="Arial" w:hAnsi="Arial" w:cs="Arial"/>
                <w:sz w:val="20"/>
                <w:szCs w:val="20"/>
              </w:rPr>
            </w:pPr>
            <w:r>
              <w:rPr>
                <w:rFonts w:ascii="Arial" w:hAnsi="Arial" w:cs="Arial"/>
                <w:sz w:val="20"/>
                <w:szCs w:val="20"/>
              </w:rPr>
              <w:t>Secondary:</w:t>
            </w:r>
          </w:p>
          <w:p w:rsidR="00861A39" w:rsidRDefault="00C603ED" w:rsidP="00861A39">
            <w:pPr>
              <w:spacing w:after="0" w:line="240" w:lineRule="auto"/>
              <w:rPr>
                <w:rFonts w:ascii="Arial" w:hAnsi="Arial" w:cs="Arial"/>
                <w:sz w:val="20"/>
                <w:szCs w:val="20"/>
              </w:rPr>
            </w:pPr>
            <w:r>
              <w:rPr>
                <w:rFonts w:ascii="Arial" w:hAnsi="Arial" w:cs="Arial"/>
                <w:sz w:val="20"/>
                <w:szCs w:val="20"/>
              </w:rPr>
              <w:t>Secondary</w:t>
            </w:r>
            <w:r w:rsidRPr="00C603ED">
              <w:rPr>
                <w:rFonts w:ascii="Arial" w:hAnsi="Arial" w:cs="Arial"/>
                <w:sz w:val="20"/>
                <w:szCs w:val="20"/>
              </w:rPr>
              <w:t xml:space="preserve"> VAS measures were generally lower for intact or crushed </w:t>
            </w:r>
            <w:r>
              <w:rPr>
                <w:rFonts w:ascii="Arial" w:hAnsi="Arial" w:cs="Arial"/>
                <w:sz w:val="20"/>
                <w:szCs w:val="20"/>
              </w:rPr>
              <w:t>oxycodone/naltrexone</w:t>
            </w:r>
            <w:r w:rsidRPr="00C603ED">
              <w:rPr>
                <w:rFonts w:ascii="Arial" w:hAnsi="Arial" w:cs="Arial"/>
                <w:sz w:val="20"/>
                <w:szCs w:val="20"/>
              </w:rPr>
              <w:t xml:space="preserve"> ER </w:t>
            </w:r>
            <w:r>
              <w:rPr>
                <w:rFonts w:ascii="Arial" w:hAnsi="Arial" w:cs="Arial"/>
                <w:sz w:val="20"/>
                <w:szCs w:val="20"/>
              </w:rPr>
              <w:t>compared to oxycodone IR</w:t>
            </w:r>
            <w:r w:rsidRPr="00C603ED">
              <w:rPr>
                <w:rFonts w:ascii="Arial" w:hAnsi="Arial" w:cs="Arial"/>
                <w:sz w:val="20"/>
                <w:szCs w:val="20"/>
              </w:rPr>
              <w:t xml:space="preserve">. </w:t>
            </w:r>
            <w:r>
              <w:rPr>
                <w:rFonts w:ascii="Arial" w:hAnsi="Arial" w:cs="Arial"/>
                <w:sz w:val="20"/>
                <w:szCs w:val="20"/>
              </w:rPr>
              <w:t xml:space="preserve">LS mean </w:t>
            </w:r>
            <w:proofErr w:type="spellStart"/>
            <w:r w:rsidRPr="00C603ED">
              <w:rPr>
                <w:rFonts w:ascii="Arial" w:hAnsi="Arial" w:cs="Arial"/>
                <w:sz w:val="20"/>
                <w:szCs w:val="20"/>
              </w:rPr>
              <w:t>E</w:t>
            </w:r>
            <w:r w:rsidRPr="00C603ED">
              <w:rPr>
                <w:rFonts w:ascii="Arial" w:hAnsi="Arial" w:cs="Arial"/>
                <w:sz w:val="20"/>
                <w:szCs w:val="20"/>
                <w:vertAlign w:val="subscript"/>
              </w:rPr>
              <w:t>max</w:t>
            </w:r>
            <w:proofErr w:type="spellEnd"/>
            <w:r w:rsidRPr="00C603ED">
              <w:rPr>
                <w:rFonts w:ascii="Arial" w:hAnsi="Arial" w:cs="Arial"/>
                <w:sz w:val="20"/>
                <w:szCs w:val="20"/>
              </w:rPr>
              <w:t xml:space="preserve"> scores </w:t>
            </w:r>
            <w:r>
              <w:rPr>
                <w:rFonts w:ascii="Arial" w:hAnsi="Arial" w:cs="Arial"/>
                <w:sz w:val="20"/>
                <w:szCs w:val="20"/>
              </w:rPr>
              <w:t xml:space="preserve">for </w:t>
            </w:r>
            <w:r w:rsidRPr="00C603ED">
              <w:rPr>
                <w:rFonts w:ascii="Arial" w:hAnsi="Arial" w:cs="Arial"/>
                <w:sz w:val="20"/>
                <w:szCs w:val="20"/>
              </w:rPr>
              <w:t xml:space="preserve">“overall drug liking” and “take drug again” </w:t>
            </w:r>
            <w:r>
              <w:rPr>
                <w:rFonts w:ascii="Arial" w:hAnsi="Arial" w:cs="Arial"/>
                <w:sz w:val="20"/>
                <w:szCs w:val="20"/>
              </w:rPr>
              <w:t xml:space="preserve">via the VAS were significantly lower for </w:t>
            </w:r>
            <w:r w:rsidRPr="00C603ED">
              <w:rPr>
                <w:rFonts w:ascii="Arial" w:hAnsi="Arial" w:cs="Arial"/>
                <w:sz w:val="20"/>
                <w:szCs w:val="20"/>
              </w:rPr>
              <w:t>crushed and intact oxycodone/naltrexone ER and placebo compared to corresponding doses of crushed oxycodone IR (</w:t>
            </w:r>
            <w:r>
              <w:rPr>
                <w:rFonts w:ascii="Arial" w:hAnsi="Arial" w:cs="Arial"/>
                <w:sz w:val="20"/>
                <w:szCs w:val="20"/>
              </w:rPr>
              <w:t>P&lt;</w:t>
            </w:r>
            <w:r w:rsidRPr="00C603ED">
              <w:rPr>
                <w:rFonts w:ascii="Arial" w:hAnsi="Arial" w:cs="Arial"/>
                <w:sz w:val="20"/>
                <w:szCs w:val="20"/>
              </w:rPr>
              <w:t xml:space="preserve">0.001), with the exception of crushed </w:t>
            </w:r>
            <w:r>
              <w:rPr>
                <w:rFonts w:ascii="Arial" w:hAnsi="Arial" w:cs="Arial"/>
                <w:sz w:val="20"/>
                <w:szCs w:val="20"/>
              </w:rPr>
              <w:t>oxycodone/naltrexone ER 60 mg/7.2 mg compared to</w:t>
            </w:r>
            <w:r w:rsidRPr="00C603ED">
              <w:rPr>
                <w:rFonts w:ascii="Arial" w:hAnsi="Arial" w:cs="Arial"/>
                <w:sz w:val="20"/>
                <w:szCs w:val="20"/>
              </w:rPr>
              <w:t xml:space="preserve"> crushed oxycodone IR 60 mg. LS mean </w:t>
            </w:r>
            <w:proofErr w:type="spellStart"/>
            <w:r w:rsidRPr="00C603ED">
              <w:rPr>
                <w:rFonts w:ascii="Arial" w:hAnsi="Arial" w:cs="Arial"/>
                <w:sz w:val="20"/>
                <w:szCs w:val="20"/>
              </w:rPr>
              <w:t>E</w:t>
            </w:r>
            <w:r w:rsidRPr="00C603ED">
              <w:rPr>
                <w:rFonts w:ascii="Arial" w:hAnsi="Arial" w:cs="Arial"/>
                <w:sz w:val="20"/>
                <w:szCs w:val="20"/>
                <w:vertAlign w:val="subscript"/>
              </w:rPr>
              <w:t>max</w:t>
            </w:r>
            <w:proofErr w:type="spellEnd"/>
            <w:r w:rsidRPr="00C603ED">
              <w:rPr>
                <w:rFonts w:ascii="Arial" w:hAnsi="Arial" w:cs="Arial"/>
                <w:sz w:val="20"/>
                <w:szCs w:val="20"/>
                <w:vertAlign w:val="subscript"/>
              </w:rPr>
              <w:t xml:space="preserve"> </w:t>
            </w:r>
            <w:r w:rsidRPr="00C603ED">
              <w:rPr>
                <w:rFonts w:ascii="Arial" w:hAnsi="Arial" w:cs="Arial"/>
                <w:sz w:val="20"/>
                <w:szCs w:val="20"/>
              </w:rPr>
              <w:t xml:space="preserve">scores for </w:t>
            </w:r>
            <w:r>
              <w:rPr>
                <w:rFonts w:ascii="Arial" w:hAnsi="Arial" w:cs="Arial"/>
                <w:sz w:val="20"/>
                <w:szCs w:val="20"/>
              </w:rPr>
              <w:t>“good drug effects”</w:t>
            </w:r>
            <w:r w:rsidRPr="00C603ED">
              <w:rPr>
                <w:rFonts w:ascii="Arial" w:hAnsi="Arial" w:cs="Arial"/>
                <w:sz w:val="20"/>
                <w:szCs w:val="20"/>
              </w:rPr>
              <w:t xml:space="preserve"> and </w:t>
            </w:r>
            <w:r>
              <w:rPr>
                <w:rFonts w:ascii="Arial" w:hAnsi="Arial" w:cs="Arial"/>
                <w:sz w:val="20"/>
                <w:szCs w:val="20"/>
              </w:rPr>
              <w:t>“any drug effects”</w:t>
            </w:r>
            <w:r w:rsidRPr="00C603ED">
              <w:rPr>
                <w:rFonts w:ascii="Arial" w:hAnsi="Arial" w:cs="Arial"/>
                <w:sz w:val="20"/>
                <w:szCs w:val="20"/>
              </w:rPr>
              <w:t xml:space="preserve"> </w:t>
            </w:r>
            <w:r>
              <w:rPr>
                <w:rFonts w:ascii="Arial" w:hAnsi="Arial" w:cs="Arial"/>
                <w:sz w:val="20"/>
                <w:szCs w:val="20"/>
              </w:rPr>
              <w:t>via the VAS</w:t>
            </w:r>
            <w:r w:rsidRPr="00C603ED">
              <w:rPr>
                <w:rFonts w:ascii="Arial" w:hAnsi="Arial" w:cs="Arial"/>
                <w:sz w:val="20"/>
                <w:szCs w:val="20"/>
              </w:rPr>
              <w:t xml:space="preserve"> were </w:t>
            </w:r>
            <w:r>
              <w:rPr>
                <w:rFonts w:ascii="Arial" w:hAnsi="Arial" w:cs="Arial"/>
                <w:sz w:val="20"/>
                <w:szCs w:val="20"/>
              </w:rPr>
              <w:t>significantly lower for crushed and intact</w:t>
            </w:r>
            <w:r w:rsidRPr="00C603ED">
              <w:rPr>
                <w:rFonts w:ascii="Arial" w:hAnsi="Arial" w:cs="Arial"/>
                <w:sz w:val="20"/>
                <w:szCs w:val="20"/>
              </w:rPr>
              <w:t xml:space="preserve"> </w:t>
            </w:r>
            <w:r>
              <w:rPr>
                <w:rFonts w:ascii="Arial" w:hAnsi="Arial" w:cs="Arial"/>
                <w:sz w:val="20"/>
                <w:szCs w:val="20"/>
              </w:rPr>
              <w:t>oxycodone/naltrexone</w:t>
            </w:r>
            <w:r w:rsidRPr="00C603ED">
              <w:rPr>
                <w:rFonts w:ascii="Arial" w:hAnsi="Arial" w:cs="Arial"/>
                <w:sz w:val="20"/>
                <w:szCs w:val="20"/>
              </w:rPr>
              <w:t xml:space="preserve"> ER </w:t>
            </w:r>
            <w:r>
              <w:rPr>
                <w:rFonts w:ascii="Arial" w:hAnsi="Arial" w:cs="Arial"/>
                <w:sz w:val="20"/>
                <w:szCs w:val="20"/>
              </w:rPr>
              <w:t>compared</w:t>
            </w:r>
            <w:r w:rsidRPr="00C603ED">
              <w:rPr>
                <w:rFonts w:ascii="Arial" w:hAnsi="Arial" w:cs="Arial"/>
                <w:sz w:val="20"/>
                <w:szCs w:val="20"/>
              </w:rPr>
              <w:t xml:space="preserve"> to corresponding doses of oxycodone IR </w:t>
            </w:r>
            <w:r>
              <w:rPr>
                <w:rFonts w:ascii="Arial" w:hAnsi="Arial" w:cs="Arial"/>
                <w:sz w:val="20"/>
                <w:szCs w:val="20"/>
              </w:rPr>
              <w:t>(P&lt;</w:t>
            </w:r>
            <w:r w:rsidRPr="00C603ED">
              <w:rPr>
                <w:rFonts w:ascii="Arial" w:hAnsi="Arial" w:cs="Arial"/>
                <w:sz w:val="20"/>
                <w:szCs w:val="20"/>
              </w:rPr>
              <w:t xml:space="preserve">0.0001). </w:t>
            </w:r>
            <w:r>
              <w:rPr>
                <w:rFonts w:ascii="Arial" w:hAnsi="Arial" w:cs="Arial"/>
                <w:sz w:val="20"/>
                <w:szCs w:val="20"/>
              </w:rPr>
              <w:t>This difference did not reach statistical significance for</w:t>
            </w:r>
            <w:r w:rsidRPr="00C603ED">
              <w:rPr>
                <w:rFonts w:ascii="Arial" w:hAnsi="Arial" w:cs="Arial"/>
                <w:sz w:val="20"/>
                <w:szCs w:val="20"/>
              </w:rPr>
              <w:t xml:space="preserve"> crushed </w:t>
            </w:r>
            <w:r>
              <w:rPr>
                <w:rFonts w:ascii="Arial" w:hAnsi="Arial" w:cs="Arial"/>
                <w:sz w:val="20"/>
                <w:szCs w:val="20"/>
              </w:rPr>
              <w:t>oxycodone/naltrexone</w:t>
            </w:r>
            <w:r w:rsidRPr="00C603ED">
              <w:rPr>
                <w:rFonts w:ascii="Arial" w:hAnsi="Arial" w:cs="Arial"/>
                <w:sz w:val="20"/>
                <w:szCs w:val="20"/>
              </w:rPr>
              <w:t xml:space="preserve"> ER 60 mg/7.2 mg compared to crushed oxycodone </w:t>
            </w:r>
            <w:r>
              <w:rPr>
                <w:rFonts w:ascii="Arial" w:hAnsi="Arial" w:cs="Arial"/>
                <w:sz w:val="20"/>
                <w:szCs w:val="20"/>
              </w:rPr>
              <w:t>IR 60 mg. For</w:t>
            </w:r>
            <w:r w:rsidRPr="00C603ED">
              <w:rPr>
                <w:rFonts w:ascii="Arial" w:hAnsi="Arial" w:cs="Arial"/>
                <w:sz w:val="20"/>
                <w:szCs w:val="20"/>
              </w:rPr>
              <w:t xml:space="preserve"> </w:t>
            </w:r>
            <w:r>
              <w:rPr>
                <w:rFonts w:ascii="Arial" w:hAnsi="Arial" w:cs="Arial"/>
                <w:sz w:val="20"/>
                <w:szCs w:val="20"/>
              </w:rPr>
              <w:t>“bad drug effects</w:t>
            </w:r>
            <w:r w:rsidRPr="00C603ED">
              <w:rPr>
                <w:rFonts w:ascii="Arial" w:hAnsi="Arial" w:cs="Arial"/>
                <w:sz w:val="20"/>
                <w:szCs w:val="20"/>
              </w:rPr>
              <w:t>,</w:t>
            </w:r>
            <w:r>
              <w:rPr>
                <w:rFonts w:ascii="Arial" w:hAnsi="Arial" w:cs="Arial"/>
                <w:sz w:val="20"/>
                <w:szCs w:val="20"/>
              </w:rPr>
              <w:t>”</w:t>
            </w:r>
            <w:r w:rsidRPr="00C603ED">
              <w:rPr>
                <w:rFonts w:ascii="Arial" w:hAnsi="Arial" w:cs="Arial"/>
                <w:sz w:val="20"/>
                <w:szCs w:val="20"/>
              </w:rPr>
              <w:t xml:space="preserve"> </w:t>
            </w:r>
            <w:r>
              <w:rPr>
                <w:rFonts w:ascii="Arial" w:hAnsi="Arial" w:cs="Arial"/>
                <w:sz w:val="20"/>
                <w:szCs w:val="20"/>
              </w:rPr>
              <w:t>“n</w:t>
            </w:r>
            <w:r w:rsidRPr="00C603ED">
              <w:rPr>
                <w:rFonts w:ascii="Arial" w:hAnsi="Arial" w:cs="Arial"/>
                <w:sz w:val="20"/>
                <w:szCs w:val="20"/>
              </w:rPr>
              <w:t>ausea,</w:t>
            </w:r>
            <w:r>
              <w:rPr>
                <w:rFonts w:ascii="Arial" w:hAnsi="Arial" w:cs="Arial"/>
                <w:sz w:val="20"/>
                <w:szCs w:val="20"/>
              </w:rPr>
              <w:t>”</w:t>
            </w:r>
            <w:r w:rsidRPr="00C603ED">
              <w:rPr>
                <w:rFonts w:ascii="Arial" w:hAnsi="Arial" w:cs="Arial"/>
                <w:sz w:val="20"/>
                <w:szCs w:val="20"/>
              </w:rPr>
              <w:t xml:space="preserve"> and </w:t>
            </w:r>
            <w:r>
              <w:rPr>
                <w:rFonts w:ascii="Arial" w:hAnsi="Arial" w:cs="Arial"/>
                <w:sz w:val="20"/>
                <w:szCs w:val="20"/>
              </w:rPr>
              <w:t>“feel s</w:t>
            </w:r>
            <w:r w:rsidRPr="00C603ED">
              <w:rPr>
                <w:rFonts w:ascii="Arial" w:hAnsi="Arial" w:cs="Arial"/>
                <w:sz w:val="20"/>
                <w:szCs w:val="20"/>
              </w:rPr>
              <w:t>ick,</w:t>
            </w:r>
            <w:r>
              <w:rPr>
                <w:rFonts w:ascii="Arial" w:hAnsi="Arial" w:cs="Arial"/>
                <w:sz w:val="20"/>
                <w:szCs w:val="20"/>
              </w:rPr>
              <w:t>”</w:t>
            </w:r>
            <w:r w:rsidRPr="00C603ED">
              <w:rPr>
                <w:rFonts w:ascii="Arial" w:hAnsi="Arial" w:cs="Arial"/>
                <w:sz w:val="20"/>
                <w:szCs w:val="20"/>
              </w:rPr>
              <w:t xml:space="preserve"> the majority of the comparisons resulted in significantly higher </w:t>
            </w:r>
            <w:proofErr w:type="spellStart"/>
            <w:r w:rsidRPr="00C603ED">
              <w:rPr>
                <w:rFonts w:ascii="Arial" w:hAnsi="Arial" w:cs="Arial"/>
                <w:sz w:val="20"/>
                <w:szCs w:val="20"/>
              </w:rPr>
              <w:t>E</w:t>
            </w:r>
            <w:r w:rsidRPr="00C603ED">
              <w:rPr>
                <w:rFonts w:ascii="Arial" w:hAnsi="Arial" w:cs="Arial"/>
                <w:sz w:val="20"/>
                <w:szCs w:val="20"/>
                <w:vertAlign w:val="subscript"/>
              </w:rPr>
              <w:t>max</w:t>
            </w:r>
            <w:proofErr w:type="spellEnd"/>
            <w:r w:rsidRPr="00C603ED">
              <w:rPr>
                <w:rFonts w:ascii="Arial" w:hAnsi="Arial" w:cs="Arial"/>
                <w:sz w:val="20"/>
                <w:szCs w:val="20"/>
              </w:rPr>
              <w:t xml:space="preserve"> scores for crushed ox</w:t>
            </w:r>
            <w:r>
              <w:rPr>
                <w:rFonts w:ascii="Arial" w:hAnsi="Arial" w:cs="Arial"/>
                <w:sz w:val="20"/>
                <w:szCs w:val="20"/>
              </w:rPr>
              <w:t xml:space="preserve">ycodone IR compared to placebo; </w:t>
            </w:r>
            <w:r w:rsidRPr="00C603ED">
              <w:rPr>
                <w:rFonts w:ascii="Arial" w:hAnsi="Arial" w:cs="Arial"/>
                <w:sz w:val="20"/>
                <w:szCs w:val="20"/>
              </w:rPr>
              <w:t xml:space="preserve">crushed </w:t>
            </w:r>
            <w:r>
              <w:rPr>
                <w:rFonts w:ascii="Arial" w:hAnsi="Arial" w:cs="Arial"/>
                <w:sz w:val="20"/>
                <w:szCs w:val="20"/>
              </w:rPr>
              <w:t>oxycodone/naltrexone</w:t>
            </w:r>
            <w:r w:rsidRPr="00C603ED">
              <w:rPr>
                <w:rFonts w:ascii="Arial" w:hAnsi="Arial" w:cs="Arial"/>
                <w:sz w:val="20"/>
                <w:szCs w:val="20"/>
              </w:rPr>
              <w:t xml:space="preserve"> ER 60 mg/7.2 mg </w:t>
            </w:r>
            <w:r>
              <w:rPr>
                <w:rFonts w:ascii="Arial" w:hAnsi="Arial" w:cs="Arial"/>
                <w:sz w:val="20"/>
                <w:szCs w:val="20"/>
              </w:rPr>
              <w:t>had</w:t>
            </w:r>
            <w:r w:rsidRPr="00C603ED">
              <w:rPr>
                <w:rFonts w:ascii="Arial" w:hAnsi="Arial" w:cs="Arial"/>
                <w:sz w:val="20"/>
                <w:szCs w:val="20"/>
              </w:rPr>
              <w:t xml:space="preserve"> significantly lower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scores </w:t>
            </w:r>
            <w:r w:rsidRPr="00C603ED">
              <w:rPr>
                <w:rFonts w:ascii="Arial" w:hAnsi="Arial" w:cs="Arial"/>
                <w:sz w:val="20"/>
                <w:szCs w:val="20"/>
              </w:rPr>
              <w:t>than crushed oxycodone IR 60 mg (</w:t>
            </w:r>
            <w:r>
              <w:rPr>
                <w:rFonts w:ascii="Arial" w:hAnsi="Arial" w:cs="Arial"/>
                <w:sz w:val="20"/>
                <w:szCs w:val="20"/>
              </w:rPr>
              <w:t>P&lt;</w:t>
            </w:r>
            <w:r w:rsidRPr="00C603ED">
              <w:rPr>
                <w:rFonts w:ascii="Arial" w:hAnsi="Arial" w:cs="Arial"/>
                <w:sz w:val="20"/>
                <w:szCs w:val="20"/>
              </w:rPr>
              <w:t>0.05).</w:t>
            </w:r>
          </w:p>
          <w:p w:rsidR="00861A39" w:rsidRDefault="00861A39" w:rsidP="00861A39">
            <w:pPr>
              <w:spacing w:after="0" w:line="240" w:lineRule="auto"/>
              <w:rPr>
                <w:rFonts w:ascii="Arial" w:hAnsi="Arial" w:cs="Arial"/>
                <w:sz w:val="20"/>
                <w:szCs w:val="20"/>
              </w:rPr>
            </w:pPr>
          </w:p>
          <w:p w:rsidR="00861A39" w:rsidRDefault="00861A39" w:rsidP="00861A39">
            <w:pPr>
              <w:spacing w:after="0" w:line="240" w:lineRule="auto"/>
              <w:rPr>
                <w:rFonts w:ascii="Arial" w:hAnsi="Arial" w:cs="Arial"/>
                <w:sz w:val="20"/>
                <w:szCs w:val="20"/>
              </w:rPr>
            </w:pPr>
            <w:r>
              <w:rPr>
                <w:rFonts w:ascii="Arial" w:hAnsi="Arial" w:cs="Arial"/>
                <w:sz w:val="20"/>
                <w:szCs w:val="20"/>
              </w:rPr>
              <w:t>G</w:t>
            </w:r>
            <w:r w:rsidRPr="00861A39">
              <w:rPr>
                <w:rFonts w:ascii="Arial" w:hAnsi="Arial" w:cs="Arial"/>
                <w:sz w:val="20"/>
                <w:szCs w:val="20"/>
              </w:rPr>
              <w:t>reater decreases in pupil diameter</w:t>
            </w:r>
            <w:r>
              <w:rPr>
                <w:rFonts w:ascii="Arial" w:hAnsi="Arial" w:cs="Arial"/>
                <w:sz w:val="20"/>
                <w:szCs w:val="20"/>
              </w:rPr>
              <w:t xml:space="preserve"> were seen with oxycodone IR</w:t>
            </w:r>
            <w:r w:rsidRPr="00861A39">
              <w:rPr>
                <w:rFonts w:ascii="Arial" w:hAnsi="Arial" w:cs="Arial"/>
                <w:sz w:val="20"/>
                <w:szCs w:val="20"/>
              </w:rPr>
              <w:t xml:space="preserve"> compared to corresponding doses of crushed </w:t>
            </w:r>
            <w:r>
              <w:rPr>
                <w:rFonts w:ascii="Arial" w:hAnsi="Arial" w:cs="Arial"/>
                <w:sz w:val="20"/>
                <w:szCs w:val="20"/>
              </w:rPr>
              <w:t>oxycodone/naltrexone</w:t>
            </w:r>
            <w:r w:rsidRPr="00861A39">
              <w:rPr>
                <w:rFonts w:ascii="Arial" w:hAnsi="Arial" w:cs="Arial"/>
                <w:sz w:val="20"/>
                <w:szCs w:val="20"/>
              </w:rPr>
              <w:t xml:space="preserve"> ER, and all crushed treatme</w:t>
            </w:r>
            <w:r>
              <w:rPr>
                <w:rFonts w:ascii="Arial" w:hAnsi="Arial" w:cs="Arial"/>
                <w:sz w:val="20"/>
                <w:szCs w:val="20"/>
              </w:rPr>
              <w:t>nts showed peak effects within one</w:t>
            </w:r>
            <w:r w:rsidRPr="00861A39">
              <w:rPr>
                <w:rFonts w:ascii="Arial" w:hAnsi="Arial" w:cs="Arial"/>
                <w:sz w:val="20"/>
                <w:szCs w:val="20"/>
              </w:rPr>
              <w:t xml:space="preserve"> hour </w:t>
            </w:r>
            <w:r>
              <w:rPr>
                <w:rFonts w:ascii="Arial" w:hAnsi="Arial" w:cs="Arial"/>
                <w:sz w:val="20"/>
                <w:szCs w:val="20"/>
              </w:rPr>
              <w:t>post-dose</w:t>
            </w:r>
            <w:r w:rsidRPr="00861A39">
              <w:rPr>
                <w:rFonts w:ascii="Arial" w:hAnsi="Arial" w:cs="Arial"/>
                <w:sz w:val="20"/>
                <w:szCs w:val="20"/>
              </w:rPr>
              <w:t>.</w:t>
            </w:r>
          </w:p>
          <w:p w:rsidR="00CD1D7D" w:rsidRDefault="00CD1D7D" w:rsidP="00861A39">
            <w:pPr>
              <w:spacing w:after="0" w:line="240" w:lineRule="auto"/>
              <w:rPr>
                <w:rFonts w:ascii="Arial" w:hAnsi="Arial" w:cs="Arial"/>
                <w:sz w:val="20"/>
                <w:szCs w:val="20"/>
              </w:rPr>
            </w:pPr>
          </w:p>
          <w:p w:rsidR="007E34BA" w:rsidRDefault="007E34BA" w:rsidP="00861A39">
            <w:pPr>
              <w:spacing w:after="0" w:line="240" w:lineRule="auto"/>
              <w:rPr>
                <w:rFonts w:ascii="Arial" w:hAnsi="Arial" w:cs="Arial"/>
                <w:sz w:val="20"/>
                <w:szCs w:val="20"/>
              </w:rPr>
            </w:pPr>
            <w:r w:rsidRPr="007E34BA">
              <w:rPr>
                <w:rFonts w:ascii="Arial" w:hAnsi="Arial" w:cs="Arial"/>
                <w:sz w:val="20"/>
                <w:szCs w:val="20"/>
              </w:rPr>
              <w:t xml:space="preserve">No deaths or serious </w:t>
            </w:r>
            <w:r>
              <w:rPr>
                <w:rFonts w:ascii="Arial" w:hAnsi="Arial" w:cs="Arial"/>
                <w:sz w:val="20"/>
                <w:szCs w:val="20"/>
              </w:rPr>
              <w:t>adverse events</w:t>
            </w:r>
            <w:r w:rsidRPr="007E34BA">
              <w:rPr>
                <w:rFonts w:ascii="Arial" w:hAnsi="Arial" w:cs="Arial"/>
                <w:sz w:val="20"/>
                <w:szCs w:val="20"/>
              </w:rPr>
              <w:t xml:space="preserve"> occurred during the treatment phase</w:t>
            </w:r>
            <w:r>
              <w:rPr>
                <w:rFonts w:ascii="Arial" w:hAnsi="Arial" w:cs="Arial"/>
                <w:sz w:val="20"/>
                <w:szCs w:val="20"/>
              </w:rPr>
              <w:t xml:space="preserve">.  </w:t>
            </w:r>
            <w:r w:rsidRPr="007E34BA">
              <w:rPr>
                <w:rFonts w:ascii="Arial" w:hAnsi="Arial" w:cs="Arial"/>
                <w:sz w:val="20"/>
                <w:szCs w:val="20"/>
              </w:rPr>
              <w:t xml:space="preserve">Fewer subjects reported </w:t>
            </w:r>
            <w:r>
              <w:rPr>
                <w:rFonts w:ascii="Arial" w:hAnsi="Arial" w:cs="Arial"/>
                <w:sz w:val="20"/>
                <w:szCs w:val="20"/>
              </w:rPr>
              <w:t>adverse events</w:t>
            </w:r>
            <w:r w:rsidRPr="007E34BA">
              <w:rPr>
                <w:rFonts w:ascii="Arial" w:hAnsi="Arial" w:cs="Arial"/>
                <w:sz w:val="20"/>
                <w:szCs w:val="20"/>
              </w:rPr>
              <w:t xml:space="preserve"> from all causalities after </w:t>
            </w:r>
            <w:r>
              <w:rPr>
                <w:rFonts w:ascii="Arial" w:hAnsi="Arial" w:cs="Arial"/>
                <w:sz w:val="20"/>
                <w:szCs w:val="20"/>
              </w:rPr>
              <w:t>intact or crushed oxycodone/naltrexone ER compared to</w:t>
            </w:r>
            <w:r w:rsidRPr="007E34BA">
              <w:rPr>
                <w:rFonts w:ascii="Arial" w:hAnsi="Arial" w:cs="Arial"/>
                <w:sz w:val="20"/>
                <w:szCs w:val="20"/>
              </w:rPr>
              <w:t xml:space="preserve"> oxycodone</w:t>
            </w:r>
            <w:r>
              <w:rPr>
                <w:rFonts w:ascii="Arial" w:hAnsi="Arial" w:cs="Arial"/>
                <w:sz w:val="20"/>
                <w:szCs w:val="20"/>
              </w:rPr>
              <w:t xml:space="preserve"> IR</w:t>
            </w:r>
            <w:r w:rsidR="00176D14">
              <w:rPr>
                <w:rFonts w:ascii="Arial" w:hAnsi="Arial" w:cs="Arial"/>
                <w:sz w:val="20"/>
                <w:szCs w:val="20"/>
              </w:rPr>
              <w:t>, with the exception of “feeling hot” and headache</w:t>
            </w:r>
            <w:r>
              <w:rPr>
                <w:rFonts w:ascii="Arial" w:hAnsi="Arial" w:cs="Arial"/>
                <w:sz w:val="20"/>
                <w:szCs w:val="20"/>
              </w:rPr>
              <w:t>.</w:t>
            </w:r>
          </w:p>
          <w:p w:rsidR="007E34BA" w:rsidRDefault="007E34BA" w:rsidP="00861A39">
            <w:pPr>
              <w:spacing w:after="0" w:line="240" w:lineRule="auto"/>
              <w:rPr>
                <w:rFonts w:ascii="Arial" w:hAnsi="Arial" w:cs="Arial"/>
                <w:sz w:val="20"/>
                <w:szCs w:val="20"/>
              </w:rPr>
            </w:pPr>
          </w:p>
          <w:p w:rsidR="00CD1D7D" w:rsidRDefault="00CD1D7D" w:rsidP="00CD1D7D">
            <w:pPr>
              <w:spacing w:after="0" w:line="240" w:lineRule="auto"/>
              <w:rPr>
                <w:rFonts w:ascii="Arial" w:hAnsi="Arial" w:cs="Arial"/>
                <w:sz w:val="20"/>
                <w:szCs w:val="20"/>
              </w:rPr>
            </w:pPr>
            <w:r w:rsidRPr="003C1ACB">
              <w:rPr>
                <w:rFonts w:ascii="Arial" w:hAnsi="Arial" w:cs="Arial"/>
                <w:sz w:val="20"/>
                <w:szCs w:val="20"/>
              </w:rPr>
              <w:t xml:space="preserve">During the first </w:t>
            </w:r>
            <w:r w:rsidR="001F6324">
              <w:rPr>
                <w:rFonts w:ascii="Arial" w:hAnsi="Arial" w:cs="Arial"/>
                <w:sz w:val="20"/>
                <w:szCs w:val="20"/>
              </w:rPr>
              <w:t>two</w:t>
            </w:r>
            <w:r>
              <w:rPr>
                <w:rFonts w:ascii="Arial" w:hAnsi="Arial" w:cs="Arial"/>
                <w:sz w:val="20"/>
                <w:szCs w:val="20"/>
              </w:rPr>
              <w:t xml:space="preserve"> hours after each </w:t>
            </w:r>
            <w:r w:rsidRPr="003C1ACB">
              <w:rPr>
                <w:rFonts w:ascii="Arial" w:hAnsi="Arial" w:cs="Arial"/>
                <w:sz w:val="20"/>
                <w:szCs w:val="20"/>
              </w:rPr>
              <w:t xml:space="preserve">dose, plasma concentrations of oxycodone were lower for intact </w:t>
            </w:r>
            <w:r>
              <w:rPr>
                <w:rFonts w:ascii="Arial" w:hAnsi="Arial" w:cs="Arial"/>
                <w:sz w:val="20"/>
                <w:szCs w:val="20"/>
              </w:rPr>
              <w:t>oxycodone/naltrexone</w:t>
            </w:r>
            <w:r w:rsidRPr="00861A39">
              <w:rPr>
                <w:rFonts w:ascii="Arial" w:hAnsi="Arial" w:cs="Arial"/>
                <w:sz w:val="20"/>
                <w:szCs w:val="20"/>
              </w:rPr>
              <w:t xml:space="preserve"> </w:t>
            </w:r>
            <w:r>
              <w:rPr>
                <w:rFonts w:ascii="Arial" w:hAnsi="Arial" w:cs="Arial"/>
                <w:sz w:val="20"/>
                <w:szCs w:val="20"/>
              </w:rPr>
              <w:t>ER</w:t>
            </w:r>
            <w:r w:rsidRPr="00965270">
              <w:rPr>
                <w:rFonts w:ascii="Arial" w:hAnsi="Arial" w:cs="Arial"/>
                <w:sz w:val="20"/>
                <w:szCs w:val="20"/>
              </w:rPr>
              <w:t xml:space="preserve"> </w:t>
            </w:r>
            <w:r w:rsidRPr="003C1ACB">
              <w:rPr>
                <w:rFonts w:ascii="Arial" w:hAnsi="Arial" w:cs="Arial"/>
                <w:sz w:val="20"/>
                <w:szCs w:val="20"/>
              </w:rPr>
              <w:t xml:space="preserve">compared to crushed </w:t>
            </w:r>
            <w:r>
              <w:rPr>
                <w:rFonts w:ascii="Arial" w:hAnsi="Arial" w:cs="Arial"/>
                <w:sz w:val="20"/>
                <w:szCs w:val="20"/>
              </w:rPr>
              <w:t>oxycodone/naltrexone</w:t>
            </w:r>
            <w:r w:rsidRPr="00861A39">
              <w:rPr>
                <w:rFonts w:ascii="Arial" w:hAnsi="Arial" w:cs="Arial"/>
                <w:sz w:val="20"/>
                <w:szCs w:val="20"/>
              </w:rPr>
              <w:t xml:space="preserve"> </w:t>
            </w:r>
            <w:r>
              <w:rPr>
                <w:rFonts w:ascii="Arial" w:hAnsi="Arial" w:cs="Arial"/>
                <w:sz w:val="20"/>
                <w:szCs w:val="20"/>
              </w:rPr>
              <w:t>ER</w:t>
            </w:r>
            <w:r w:rsidRPr="00965270">
              <w:rPr>
                <w:rFonts w:ascii="Arial" w:hAnsi="Arial" w:cs="Arial"/>
                <w:sz w:val="20"/>
                <w:szCs w:val="20"/>
              </w:rPr>
              <w:t xml:space="preserve"> </w:t>
            </w:r>
            <w:r w:rsidRPr="003C1ACB">
              <w:rPr>
                <w:rFonts w:ascii="Arial" w:hAnsi="Arial" w:cs="Arial"/>
                <w:sz w:val="20"/>
                <w:szCs w:val="20"/>
              </w:rPr>
              <w:t>or oxycodone</w:t>
            </w:r>
            <w:r>
              <w:rPr>
                <w:rFonts w:ascii="Arial" w:hAnsi="Arial" w:cs="Arial"/>
                <w:sz w:val="20"/>
                <w:szCs w:val="20"/>
              </w:rPr>
              <w:t xml:space="preserve"> IR</w:t>
            </w:r>
            <w:r w:rsidRPr="003C1ACB">
              <w:rPr>
                <w:rFonts w:ascii="Arial" w:hAnsi="Arial" w:cs="Arial"/>
                <w:sz w:val="20"/>
                <w:szCs w:val="20"/>
              </w:rPr>
              <w:t xml:space="preserve">. Oxycodone plasma exposures were comparable between crushed </w:t>
            </w:r>
            <w:r>
              <w:rPr>
                <w:rFonts w:ascii="Arial" w:hAnsi="Arial" w:cs="Arial"/>
                <w:sz w:val="20"/>
                <w:szCs w:val="20"/>
              </w:rPr>
              <w:t>oxycodone/naltrexone</w:t>
            </w:r>
            <w:r w:rsidRPr="00861A39">
              <w:rPr>
                <w:rFonts w:ascii="Arial" w:hAnsi="Arial" w:cs="Arial"/>
                <w:sz w:val="20"/>
                <w:szCs w:val="20"/>
              </w:rPr>
              <w:t xml:space="preserve"> </w:t>
            </w:r>
            <w:r>
              <w:rPr>
                <w:rFonts w:ascii="Arial" w:hAnsi="Arial" w:cs="Arial"/>
                <w:sz w:val="20"/>
                <w:szCs w:val="20"/>
              </w:rPr>
              <w:t xml:space="preserve">ER and corresponding dosages of </w:t>
            </w:r>
            <w:r w:rsidRPr="003C1ACB">
              <w:rPr>
                <w:rFonts w:ascii="Arial" w:hAnsi="Arial" w:cs="Arial"/>
                <w:sz w:val="20"/>
                <w:szCs w:val="20"/>
              </w:rPr>
              <w:t xml:space="preserve">crushed oxycodone </w:t>
            </w:r>
            <w:r>
              <w:rPr>
                <w:rFonts w:ascii="Arial" w:hAnsi="Arial" w:cs="Arial"/>
                <w:sz w:val="20"/>
                <w:szCs w:val="20"/>
              </w:rPr>
              <w:t xml:space="preserve">IR. </w:t>
            </w:r>
            <w:r w:rsidRPr="003C1ACB">
              <w:rPr>
                <w:rFonts w:ascii="Arial" w:hAnsi="Arial" w:cs="Arial"/>
                <w:sz w:val="20"/>
                <w:szCs w:val="20"/>
              </w:rPr>
              <w:t>Oxycodone mean C</w:t>
            </w:r>
            <w:r w:rsidRPr="003C1ACB">
              <w:rPr>
                <w:rFonts w:ascii="Arial" w:hAnsi="Arial" w:cs="Arial"/>
                <w:sz w:val="20"/>
                <w:szCs w:val="20"/>
                <w:vertAlign w:val="subscript"/>
              </w:rPr>
              <w:t>max</w:t>
            </w:r>
            <w:r w:rsidRPr="003C1ACB">
              <w:rPr>
                <w:rFonts w:ascii="Arial" w:hAnsi="Arial" w:cs="Arial"/>
                <w:sz w:val="20"/>
                <w:szCs w:val="20"/>
              </w:rPr>
              <w:t xml:space="preserve"> for crushed </w:t>
            </w:r>
            <w:r>
              <w:rPr>
                <w:rFonts w:ascii="Arial" w:hAnsi="Arial" w:cs="Arial"/>
                <w:sz w:val="20"/>
                <w:szCs w:val="20"/>
              </w:rPr>
              <w:t>oxycodone/naltrexone</w:t>
            </w:r>
            <w:r w:rsidRPr="00861A39">
              <w:rPr>
                <w:rFonts w:ascii="Arial" w:hAnsi="Arial" w:cs="Arial"/>
                <w:sz w:val="20"/>
                <w:szCs w:val="20"/>
              </w:rPr>
              <w:t xml:space="preserve"> </w:t>
            </w:r>
            <w:r>
              <w:rPr>
                <w:rFonts w:ascii="Arial" w:hAnsi="Arial" w:cs="Arial"/>
                <w:sz w:val="20"/>
                <w:szCs w:val="20"/>
              </w:rPr>
              <w:t>ER</w:t>
            </w:r>
            <w:r w:rsidRPr="003C1ACB">
              <w:rPr>
                <w:rFonts w:ascii="Arial" w:hAnsi="Arial" w:cs="Arial"/>
                <w:sz w:val="20"/>
                <w:szCs w:val="20"/>
              </w:rPr>
              <w:t xml:space="preserve"> 60 mg/7.2 mg </w:t>
            </w:r>
            <w:r>
              <w:rPr>
                <w:rFonts w:ascii="Arial" w:hAnsi="Arial" w:cs="Arial"/>
                <w:sz w:val="20"/>
                <w:szCs w:val="20"/>
              </w:rPr>
              <w:t xml:space="preserve">was similar to that of crushed </w:t>
            </w:r>
            <w:r w:rsidRPr="003C1ACB">
              <w:rPr>
                <w:rFonts w:ascii="Arial" w:hAnsi="Arial" w:cs="Arial"/>
                <w:sz w:val="20"/>
                <w:szCs w:val="20"/>
              </w:rPr>
              <w:t xml:space="preserve">oxycodone </w:t>
            </w:r>
            <w:r>
              <w:rPr>
                <w:rFonts w:ascii="Arial" w:hAnsi="Arial" w:cs="Arial"/>
                <w:sz w:val="20"/>
                <w:szCs w:val="20"/>
              </w:rPr>
              <w:t xml:space="preserve">IR, </w:t>
            </w:r>
            <w:r w:rsidRPr="003C1ACB">
              <w:rPr>
                <w:rFonts w:ascii="Arial" w:hAnsi="Arial" w:cs="Arial"/>
                <w:sz w:val="20"/>
                <w:szCs w:val="20"/>
              </w:rPr>
              <w:t xml:space="preserve">but was approximately </w:t>
            </w:r>
            <w:r>
              <w:rPr>
                <w:rFonts w:ascii="Arial" w:hAnsi="Arial" w:cs="Arial"/>
                <w:sz w:val="20"/>
                <w:szCs w:val="20"/>
              </w:rPr>
              <w:t>four times</w:t>
            </w:r>
            <w:r w:rsidRPr="003C1ACB">
              <w:rPr>
                <w:rFonts w:ascii="Arial" w:hAnsi="Arial" w:cs="Arial"/>
                <w:sz w:val="20"/>
                <w:szCs w:val="20"/>
              </w:rPr>
              <w:t xml:space="preserve"> greater </w:t>
            </w:r>
            <w:r>
              <w:rPr>
                <w:rFonts w:ascii="Arial" w:hAnsi="Arial" w:cs="Arial"/>
                <w:sz w:val="20"/>
                <w:szCs w:val="20"/>
              </w:rPr>
              <w:t>than that of</w:t>
            </w:r>
            <w:r w:rsidRPr="003C1ACB">
              <w:rPr>
                <w:rFonts w:ascii="Arial" w:hAnsi="Arial" w:cs="Arial"/>
                <w:sz w:val="20"/>
                <w:szCs w:val="20"/>
              </w:rPr>
              <w:t xml:space="preserve"> intact </w:t>
            </w:r>
            <w:r>
              <w:rPr>
                <w:rFonts w:ascii="Arial" w:hAnsi="Arial" w:cs="Arial"/>
                <w:sz w:val="20"/>
                <w:szCs w:val="20"/>
              </w:rPr>
              <w:t>oxycodone/naltrexone</w:t>
            </w:r>
            <w:r w:rsidRPr="00861A39">
              <w:rPr>
                <w:rFonts w:ascii="Arial" w:hAnsi="Arial" w:cs="Arial"/>
                <w:sz w:val="20"/>
                <w:szCs w:val="20"/>
              </w:rPr>
              <w:t xml:space="preserve"> </w:t>
            </w:r>
            <w:r>
              <w:rPr>
                <w:rFonts w:ascii="Arial" w:hAnsi="Arial" w:cs="Arial"/>
                <w:sz w:val="20"/>
                <w:szCs w:val="20"/>
              </w:rPr>
              <w:t xml:space="preserve">ER </w:t>
            </w:r>
            <w:r w:rsidRPr="003C1ACB">
              <w:rPr>
                <w:rFonts w:ascii="Arial" w:hAnsi="Arial" w:cs="Arial"/>
                <w:sz w:val="20"/>
                <w:szCs w:val="20"/>
              </w:rPr>
              <w:t xml:space="preserve">60 mg/7.2 mg. Intact </w:t>
            </w:r>
            <w:r>
              <w:rPr>
                <w:rFonts w:ascii="Arial" w:hAnsi="Arial" w:cs="Arial"/>
                <w:sz w:val="20"/>
                <w:szCs w:val="20"/>
              </w:rPr>
              <w:t>oxycodone/naltrexone</w:t>
            </w:r>
            <w:r w:rsidRPr="00861A39">
              <w:rPr>
                <w:rFonts w:ascii="Arial" w:hAnsi="Arial" w:cs="Arial"/>
                <w:sz w:val="20"/>
                <w:szCs w:val="20"/>
              </w:rPr>
              <w:t xml:space="preserve"> </w:t>
            </w:r>
            <w:r>
              <w:rPr>
                <w:rFonts w:ascii="Arial" w:hAnsi="Arial" w:cs="Arial"/>
                <w:sz w:val="20"/>
                <w:szCs w:val="20"/>
              </w:rPr>
              <w:t xml:space="preserve">ER </w:t>
            </w:r>
            <w:r w:rsidRPr="003C1ACB">
              <w:rPr>
                <w:rFonts w:ascii="Arial" w:hAnsi="Arial" w:cs="Arial"/>
                <w:sz w:val="20"/>
                <w:szCs w:val="20"/>
              </w:rPr>
              <w:t xml:space="preserve">had the longest median </w:t>
            </w:r>
            <w:proofErr w:type="spellStart"/>
            <w:r w:rsidRPr="003C1ACB">
              <w:rPr>
                <w:rFonts w:ascii="Arial" w:hAnsi="Arial" w:cs="Arial"/>
                <w:sz w:val="20"/>
                <w:szCs w:val="20"/>
              </w:rPr>
              <w:t>T</w:t>
            </w:r>
            <w:r w:rsidRPr="003C1ACB">
              <w:rPr>
                <w:rFonts w:ascii="Arial" w:hAnsi="Arial" w:cs="Arial"/>
                <w:sz w:val="20"/>
                <w:szCs w:val="20"/>
                <w:vertAlign w:val="subscript"/>
              </w:rPr>
              <w:t>max</w:t>
            </w:r>
            <w:proofErr w:type="spellEnd"/>
            <w:r w:rsidRPr="003C1ACB">
              <w:rPr>
                <w:rFonts w:ascii="Arial" w:hAnsi="Arial" w:cs="Arial"/>
                <w:sz w:val="20"/>
                <w:szCs w:val="20"/>
              </w:rPr>
              <w:t xml:space="preserve"> for oxycodone (12.1 hours) compared to crushed treatments</w:t>
            </w:r>
            <w:r>
              <w:rPr>
                <w:rFonts w:ascii="Arial" w:hAnsi="Arial" w:cs="Arial"/>
                <w:sz w:val="20"/>
                <w:szCs w:val="20"/>
              </w:rPr>
              <w:t xml:space="preserve">. </w:t>
            </w:r>
          </w:p>
          <w:p w:rsidR="00CD1D7D" w:rsidRDefault="00CD1D7D" w:rsidP="00CD1D7D">
            <w:pPr>
              <w:spacing w:after="0" w:line="240" w:lineRule="auto"/>
              <w:rPr>
                <w:rFonts w:ascii="Arial" w:hAnsi="Arial" w:cs="Arial"/>
                <w:sz w:val="20"/>
                <w:szCs w:val="20"/>
              </w:rPr>
            </w:pPr>
          </w:p>
          <w:p w:rsidR="00CD1D7D" w:rsidRPr="002F0A07" w:rsidRDefault="00CD1D7D" w:rsidP="00CD1D7D">
            <w:pPr>
              <w:spacing w:after="0" w:line="240" w:lineRule="auto"/>
              <w:rPr>
                <w:rFonts w:ascii="Arial" w:hAnsi="Arial" w:cs="Arial"/>
                <w:sz w:val="20"/>
                <w:szCs w:val="20"/>
              </w:rPr>
            </w:pPr>
            <w:r>
              <w:rPr>
                <w:rFonts w:ascii="Arial" w:hAnsi="Arial" w:cs="Arial"/>
                <w:sz w:val="20"/>
                <w:szCs w:val="20"/>
              </w:rPr>
              <w:t>T</w:t>
            </w:r>
            <w:r w:rsidRPr="003E4E0F">
              <w:rPr>
                <w:rFonts w:ascii="Arial" w:hAnsi="Arial" w:cs="Arial"/>
                <w:sz w:val="20"/>
                <w:szCs w:val="20"/>
              </w:rPr>
              <w:t xml:space="preserve">he majority of subjects </w:t>
            </w:r>
            <w:r>
              <w:rPr>
                <w:rFonts w:ascii="Arial" w:hAnsi="Arial" w:cs="Arial"/>
                <w:sz w:val="20"/>
                <w:szCs w:val="20"/>
              </w:rPr>
              <w:t>had</w:t>
            </w:r>
            <w:r w:rsidRPr="003E4E0F">
              <w:rPr>
                <w:rFonts w:ascii="Arial" w:hAnsi="Arial" w:cs="Arial"/>
                <w:sz w:val="20"/>
                <w:szCs w:val="20"/>
              </w:rPr>
              <w:t xml:space="preserve"> no observable </w:t>
            </w:r>
            <w:r>
              <w:rPr>
                <w:rFonts w:ascii="Arial" w:hAnsi="Arial" w:cs="Arial"/>
                <w:sz w:val="20"/>
                <w:szCs w:val="20"/>
              </w:rPr>
              <w:t>plasma exposures to naltrexone,</w:t>
            </w:r>
            <w:r w:rsidRPr="003E4E0F">
              <w:rPr>
                <w:rFonts w:ascii="Arial" w:hAnsi="Arial" w:cs="Arial"/>
                <w:sz w:val="20"/>
                <w:szCs w:val="20"/>
              </w:rPr>
              <w:t xml:space="preserve"> and most concentrations </w:t>
            </w:r>
            <w:r>
              <w:rPr>
                <w:rFonts w:ascii="Arial" w:hAnsi="Arial" w:cs="Arial"/>
                <w:sz w:val="20"/>
                <w:szCs w:val="20"/>
              </w:rPr>
              <w:t xml:space="preserve">were </w:t>
            </w:r>
            <w:r w:rsidRPr="003E4E0F">
              <w:rPr>
                <w:rFonts w:ascii="Arial" w:hAnsi="Arial" w:cs="Arial"/>
                <w:sz w:val="20"/>
                <w:szCs w:val="20"/>
              </w:rPr>
              <w:t>below the limit of detection</w:t>
            </w:r>
            <w:r w:rsidRPr="003C1ACB">
              <w:rPr>
                <w:rFonts w:ascii="Arial" w:hAnsi="Arial" w:cs="Arial"/>
                <w:sz w:val="20"/>
                <w:szCs w:val="20"/>
              </w:rPr>
              <w:t>.</w:t>
            </w:r>
            <w:r>
              <w:rPr>
                <w:rFonts w:ascii="Arial" w:hAnsi="Arial" w:cs="Arial"/>
                <w:sz w:val="20"/>
                <w:szCs w:val="20"/>
              </w:rPr>
              <w:t xml:space="preserve"> </w:t>
            </w:r>
            <w:r w:rsidRPr="00CD1D7D">
              <w:rPr>
                <w:rFonts w:ascii="Arial" w:hAnsi="Arial" w:cs="Arial"/>
                <w:sz w:val="20"/>
                <w:szCs w:val="20"/>
              </w:rPr>
              <w:t>Naltrexone C</w:t>
            </w:r>
            <w:r w:rsidRPr="00CD1D7D">
              <w:rPr>
                <w:rFonts w:ascii="Arial" w:hAnsi="Arial" w:cs="Arial"/>
                <w:sz w:val="20"/>
                <w:szCs w:val="20"/>
                <w:vertAlign w:val="subscript"/>
              </w:rPr>
              <w:t>max</w:t>
            </w:r>
            <w:r w:rsidRPr="00CD1D7D">
              <w:rPr>
                <w:rFonts w:ascii="Arial" w:hAnsi="Arial" w:cs="Arial"/>
                <w:sz w:val="20"/>
                <w:szCs w:val="20"/>
              </w:rPr>
              <w:t xml:space="preserve"> for crushed </w:t>
            </w:r>
            <w:r>
              <w:rPr>
                <w:rFonts w:ascii="Arial" w:hAnsi="Arial" w:cs="Arial"/>
                <w:sz w:val="20"/>
                <w:szCs w:val="20"/>
              </w:rPr>
              <w:t>oxycodone/naltrexone</w:t>
            </w:r>
            <w:r w:rsidRPr="00CD1D7D">
              <w:rPr>
                <w:rFonts w:ascii="Arial" w:hAnsi="Arial" w:cs="Arial"/>
                <w:sz w:val="20"/>
                <w:szCs w:val="20"/>
              </w:rPr>
              <w:t xml:space="preserve"> ER 40 mg/4.8 mg and 60 mg/7.2 mg was 1.1 ng/mL and 1.8 ng/mL, respectively, and was achieved within a median </w:t>
            </w:r>
            <w:proofErr w:type="spellStart"/>
            <w:r w:rsidRPr="00CD1D7D">
              <w:rPr>
                <w:rFonts w:ascii="Arial" w:hAnsi="Arial" w:cs="Arial"/>
                <w:sz w:val="20"/>
                <w:szCs w:val="20"/>
              </w:rPr>
              <w:t>T</w:t>
            </w:r>
            <w:r w:rsidRPr="00CD1D7D">
              <w:rPr>
                <w:rFonts w:ascii="Arial" w:hAnsi="Arial" w:cs="Arial"/>
                <w:sz w:val="20"/>
                <w:szCs w:val="20"/>
                <w:vertAlign w:val="subscript"/>
              </w:rPr>
              <w:t>max</w:t>
            </w:r>
            <w:proofErr w:type="spellEnd"/>
            <w:r>
              <w:rPr>
                <w:rFonts w:ascii="Arial" w:hAnsi="Arial" w:cs="Arial"/>
                <w:sz w:val="20"/>
                <w:szCs w:val="20"/>
              </w:rPr>
              <w:t xml:space="preserve"> of 0.6 hours post-</w:t>
            </w:r>
            <w:r w:rsidRPr="00CD1D7D">
              <w:rPr>
                <w:rFonts w:ascii="Arial" w:hAnsi="Arial" w:cs="Arial"/>
                <w:sz w:val="20"/>
                <w:szCs w:val="20"/>
              </w:rPr>
              <w:t xml:space="preserve">dose. The mean </w:t>
            </w:r>
            <w:r>
              <w:rPr>
                <w:rFonts w:ascii="Arial" w:hAnsi="Arial" w:cs="Arial"/>
                <w:sz w:val="20"/>
                <w:szCs w:val="20"/>
              </w:rPr>
              <w:t>half-life</w:t>
            </w:r>
            <w:r w:rsidRPr="00CD1D7D">
              <w:rPr>
                <w:rFonts w:ascii="Arial" w:hAnsi="Arial" w:cs="Arial"/>
                <w:sz w:val="20"/>
                <w:szCs w:val="20"/>
              </w:rPr>
              <w:t xml:space="preserve"> for naltrexone </w:t>
            </w:r>
            <w:r>
              <w:rPr>
                <w:rFonts w:ascii="Arial" w:hAnsi="Arial" w:cs="Arial"/>
                <w:sz w:val="20"/>
                <w:szCs w:val="20"/>
              </w:rPr>
              <w:t>for</w:t>
            </w:r>
            <w:r w:rsidRPr="00CD1D7D">
              <w:rPr>
                <w:rFonts w:ascii="Arial" w:hAnsi="Arial" w:cs="Arial"/>
                <w:sz w:val="20"/>
                <w:szCs w:val="20"/>
              </w:rPr>
              <w:t xml:space="preserve"> crushed </w:t>
            </w:r>
            <w:r>
              <w:rPr>
                <w:rFonts w:ascii="Arial" w:hAnsi="Arial" w:cs="Arial"/>
                <w:sz w:val="20"/>
                <w:szCs w:val="20"/>
              </w:rPr>
              <w:t>oxycodone/naltrexone</w:t>
            </w:r>
            <w:r w:rsidRPr="00CD1D7D">
              <w:rPr>
                <w:rFonts w:ascii="Arial" w:hAnsi="Arial" w:cs="Arial"/>
                <w:sz w:val="20"/>
                <w:szCs w:val="20"/>
              </w:rPr>
              <w:t xml:space="preserve"> ER ranged </w:t>
            </w:r>
            <w:r>
              <w:rPr>
                <w:rFonts w:ascii="Arial" w:hAnsi="Arial" w:cs="Arial"/>
                <w:sz w:val="20"/>
                <w:szCs w:val="20"/>
              </w:rPr>
              <w:t>from</w:t>
            </w:r>
            <w:r w:rsidRPr="00CD1D7D">
              <w:rPr>
                <w:rFonts w:ascii="Arial" w:hAnsi="Arial" w:cs="Arial"/>
                <w:sz w:val="20"/>
                <w:szCs w:val="20"/>
              </w:rPr>
              <w:t xml:space="preserve"> 5.4 </w:t>
            </w:r>
            <w:r>
              <w:rPr>
                <w:rFonts w:ascii="Arial" w:hAnsi="Arial" w:cs="Arial"/>
                <w:sz w:val="20"/>
                <w:szCs w:val="20"/>
              </w:rPr>
              <w:t>to</w:t>
            </w:r>
            <w:r w:rsidRPr="00CD1D7D">
              <w:rPr>
                <w:rFonts w:ascii="Arial" w:hAnsi="Arial" w:cs="Arial"/>
                <w:sz w:val="20"/>
                <w:szCs w:val="20"/>
              </w:rPr>
              <w:t xml:space="preserve"> 5.6 hours.</w:t>
            </w:r>
          </w:p>
        </w:tc>
      </w:tr>
      <w:tr w:rsidR="009D3713" w:rsidRPr="0044122B" w:rsidTr="001723DB">
        <w:tc>
          <w:tcPr>
            <w:tcW w:w="2640" w:type="dxa"/>
          </w:tcPr>
          <w:p w:rsidR="009D3713" w:rsidRPr="009D6D28" w:rsidRDefault="00000994" w:rsidP="000B3401">
            <w:pPr>
              <w:spacing w:after="0" w:line="240" w:lineRule="auto"/>
              <w:rPr>
                <w:rFonts w:ascii="Arial" w:hAnsi="Arial" w:cs="Arial"/>
                <w:sz w:val="20"/>
                <w:szCs w:val="20"/>
              </w:rPr>
            </w:pPr>
            <w:proofErr w:type="spellStart"/>
            <w:r>
              <w:rPr>
                <w:rFonts w:ascii="Arial" w:hAnsi="Arial" w:cs="Arial"/>
                <w:sz w:val="20"/>
                <w:szCs w:val="20"/>
              </w:rPr>
              <w:t>Setnik</w:t>
            </w:r>
            <w:proofErr w:type="spellEnd"/>
            <w:r>
              <w:rPr>
                <w:rFonts w:ascii="Arial" w:hAnsi="Arial" w:cs="Arial"/>
                <w:sz w:val="20"/>
                <w:szCs w:val="20"/>
              </w:rPr>
              <w:t xml:space="preserve"> et al</w:t>
            </w:r>
            <w:r w:rsidR="003B4259">
              <w:rPr>
                <w:rFonts w:ascii="Arial" w:hAnsi="Arial" w:cs="Arial"/>
                <w:sz w:val="20"/>
                <w:szCs w:val="20"/>
                <w:vertAlign w:val="superscript"/>
              </w:rPr>
              <w:t>7</w:t>
            </w:r>
            <w:r w:rsidR="009D6D28">
              <w:rPr>
                <w:rFonts w:ascii="Arial" w:hAnsi="Arial" w:cs="Arial"/>
                <w:sz w:val="20"/>
                <w:szCs w:val="20"/>
              </w:rPr>
              <w:t>*</w:t>
            </w:r>
          </w:p>
          <w:p w:rsidR="00000994" w:rsidRDefault="00000994" w:rsidP="000B3401">
            <w:pPr>
              <w:spacing w:after="0" w:line="240" w:lineRule="auto"/>
              <w:rPr>
                <w:rFonts w:ascii="Arial" w:hAnsi="Arial" w:cs="Arial"/>
                <w:sz w:val="20"/>
                <w:szCs w:val="20"/>
              </w:rPr>
            </w:pPr>
          </w:p>
          <w:p w:rsidR="00000994" w:rsidRDefault="00C60932" w:rsidP="000B3401">
            <w:pPr>
              <w:spacing w:after="0" w:line="240" w:lineRule="auto"/>
              <w:rPr>
                <w:rFonts w:ascii="Arial" w:hAnsi="Arial" w:cs="Arial"/>
                <w:sz w:val="20"/>
                <w:szCs w:val="20"/>
              </w:rPr>
            </w:pPr>
            <w:r>
              <w:rPr>
                <w:rFonts w:ascii="Arial" w:hAnsi="Arial" w:cs="Arial"/>
                <w:sz w:val="20"/>
                <w:szCs w:val="20"/>
              </w:rPr>
              <w:t>Crushed oxycodone/naltrexone ER 30 mg/3.6 mg</w:t>
            </w:r>
            <w:r w:rsidR="00C32628">
              <w:rPr>
                <w:rFonts w:ascii="Arial" w:hAnsi="Arial" w:cs="Arial"/>
                <w:sz w:val="20"/>
                <w:szCs w:val="20"/>
              </w:rPr>
              <w:t xml:space="preserve"> intranasally</w:t>
            </w:r>
          </w:p>
          <w:p w:rsidR="00C60932" w:rsidRDefault="00C60932" w:rsidP="000B3401">
            <w:pPr>
              <w:spacing w:after="0" w:line="240" w:lineRule="auto"/>
              <w:rPr>
                <w:rFonts w:ascii="Arial" w:hAnsi="Arial" w:cs="Arial"/>
                <w:sz w:val="20"/>
                <w:szCs w:val="20"/>
              </w:rPr>
            </w:pPr>
          </w:p>
          <w:p w:rsidR="00C60932" w:rsidRDefault="00C60932" w:rsidP="000B3401">
            <w:pPr>
              <w:spacing w:after="0" w:line="240" w:lineRule="auto"/>
              <w:rPr>
                <w:rFonts w:ascii="Arial" w:hAnsi="Arial" w:cs="Arial"/>
                <w:sz w:val="20"/>
                <w:szCs w:val="20"/>
              </w:rPr>
            </w:pPr>
            <w:r>
              <w:rPr>
                <w:rFonts w:ascii="Arial" w:hAnsi="Arial" w:cs="Arial"/>
                <w:sz w:val="20"/>
                <w:szCs w:val="20"/>
              </w:rPr>
              <w:t>vs</w:t>
            </w:r>
          </w:p>
          <w:p w:rsidR="00C60932" w:rsidRDefault="00C60932" w:rsidP="000B3401">
            <w:pPr>
              <w:spacing w:after="0" w:line="240" w:lineRule="auto"/>
              <w:rPr>
                <w:rFonts w:ascii="Arial" w:hAnsi="Arial" w:cs="Arial"/>
                <w:sz w:val="20"/>
                <w:szCs w:val="20"/>
              </w:rPr>
            </w:pPr>
          </w:p>
          <w:p w:rsidR="00C60932" w:rsidRDefault="00C60932" w:rsidP="000B3401">
            <w:pPr>
              <w:spacing w:after="0" w:line="240" w:lineRule="auto"/>
              <w:rPr>
                <w:rFonts w:ascii="Arial" w:hAnsi="Arial" w:cs="Arial"/>
                <w:sz w:val="20"/>
                <w:szCs w:val="20"/>
              </w:rPr>
            </w:pPr>
            <w:r>
              <w:rPr>
                <w:rFonts w:ascii="Arial" w:hAnsi="Arial" w:cs="Arial"/>
                <w:sz w:val="20"/>
                <w:szCs w:val="20"/>
              </w:rPr>
              <w:t>crushed oxycodone IR 30 mg</w:t>
            </w:r>
            <w:r w:rsidR="00C32628">
              <w:rPr>
                <w:rFonts w:ascii="Arial" w:hAnsi="Arial" w:cs="Arial"/>
                <w:sz w:val="20"/>
                <w:szCs w:val="20"/>
              </w:rPr>
              <w:t xml:space="preserve"> intranasally</w:t>
            </w:r>
          </w:p>
          <w:p w:rsidR="00C60932" w:rsidRDefault="00C60932" w:rsidP="000B3401">
            <w:pPr>
              <w:spacing w:after="0" w:line="240" w:lineRule="auto"/>
              <w:rPr>
                <w:rFonts w:ascii="Arial" w:hAnsi="Arial" w:cs="Arial"/>
                <w:sz w:val="20"/>
                <w:szCs w:val="20"/>
              </w:rPr>
            </w:pPr>
          </w:p>
          <w:p w:rsidR="00C60932" w:rsidRDefault="00C60932" w:rsidP="000B3401">
            <w:pPr>
              <w:spacing w:after="0" w:line="240" w:lineRule="auto"/>
              <w:rPr>
                <w:rFonts w:ascii="Arial" w:hAnsi="Arial" w:cs="Arial"/>
                <w:sz w:val="20"/>
                <w:szCs w:val="20"/>
              </w:rPr>
            </w:pPr>
            <w:r>
              <w:rPr>
                <w:rFonts w:ascii="Arial" w:hAnsi="Arial" w:cs="Arial"/>
                <w:sz w:val="20"/>
                <w:szCs w:val="20"/>
              </w:rPr>
              <w:t>vs</w:t>
            </w:r>
          </w:p>
          <w:p w:rsidR="00C60932" w:rsidRDefault="00C60932" w:rsidP="000B3401">
            <w:pPr>
              <w:spacing w:after="0" w:line="240" w:lineRule="auto"/>
              <w:rPr>
                <w:rFonts w:ascii="Arial" w:hAnsi="Arial" w:cs="Arial"/>
                <w:sz w:val="20"/>
                <w:szCs w:val="20"/>
              </w:rPr>
            </w:pPr>
          </w:p>
          <w:p w:rsidR="00C60932" w:rsidRDefault="00C60932" w:rsidP="000B3401">
            <w:pPr>
              <w:spacing w:after="0" w:line="240" w:lineRule="auto"/>
              <w:rPr>
                <w:rFonts w:ascii="Arial" w:hAnsi="Arial" w:cs="Arial"/>
                <w:sz w:val="20"/>
                <w:szCs w:val="20"/>
              </w:rPr>
            </w:pPr>
            <w:r>
              <w:rPr>
                <w:rFonts w:ascii="Arial" w:hAnsi="Arial" w:cs="Arial"/>
                <w:sz w:val="20"/>
                <w:szCs w:val="20"/>
              </w:rPr>
              <w:t>crushed weight-matched placebo of oxycodone/naltrexone ER</w:t>
            </w:r>
            <w:r w:rsidR="00C32628">
              <w:rPr>
                <w:rFonts w:ascii="Arial" w:hAnsi="Arial" w:cs="Arial"/>
                <w:sz w:val="20"/>
                <w:szCs w:val="20"/>
              </w:rPr>
              <w:t xml:space="preserve"> intranasally</w:t>
            </w:r>
          </w:p>
          <w:p w:rsidR="00C60932" w:rsidRDefault="00C60932" w:rsidP="000B3401">
            <w:pPr>
              <w:spacing w:after="0" w:line="240" w:lineRule="auto"/>
              <w:rPr>
                <w:rFonts w:ascii="Arial" w:hAnsi="Arial" w:cs="Arial"/>
                <w:sz w:val="20"/>
                <w:szCs w:val="20"/>
              </w:rPr>
            </w:pPr>
          </w:p>
          <w:p w:rsidR="00C60932" w:rsidRDefault="00C60932" w:rsidP="000B3401">
            <w:pPr>
              <w:spacing w:after="0" w:line="240" w:lineRule="auto"/>
              <w:rPr>
                <w:rFonts w:ascii="Arial" w:hAnsi="Arial" w:cs="Arial"/>
                <w:sz w:val="20"/>
                <w:szCs w:val="20"/>
              </w:rPr>
            </w:pPr>
            <w:r>
              <w:rPr>
                <w:rFonts w:ascii="Arial" w:hAnsi="Arial" w:cs="Arial"/>
                <w:sz w:val="20"/>
                <w:szCs w:val="20"/>
              </w:rPr>
              <w:t>vs</w:t>
            </w:r>
          </w:p>
          <w:p w:rsidR="00C60932" w:rsidRDefault="00C60932" w:rsidP="000B3401">
            <w:pPr>
              <w:spacing w:after="0" w:line="240" w:lineRule="auto"/>
              <w:rPr>
                <w:rFonts w:ascii="Arial" w:hAnsi="Arial" w:cs="Arial"/>
                <w:sz w:val="20"/>
                <w:szCs w:val="20"/>
              </w:rPr>
            </w:pPr>
          </w:p>
          <w:p w:rsidR="00C60932" w:rsidRDefault="00C60932" w:rsidP="000B3401">
            <w:pPr>
              <w:spacing w:after="0" w:line="240" w:lineRule="auto"/>
              <w:rPr>
                <w:rFonts w:ascii="Arial" w:hAnsi="Arial" w:cs="Arial"/>
                <w:sz w:val="20"/>
                <w:szCs w:val="20"/>
              </w:rPr>
            </w:pPr>
            <w:r>
              <w:rPr>
                <w:rFonts w:ascii="Arial" w:hAnsi="Arial" w:cs="Arial"/>
                <w:sz w:val="20"/>
                <w:szCs w:val="20"/>
              </w:rPr>
              <w:t>crushed weight-matched placebo of oxycodone IR</w:t>
            </w:r>
            <w:r w:rsidR="00C32628">
              <w:rPr>
                <w:rFonts w:ascii="Arial" w:hAnsi="Arial" w:cs="Arial"/>
                <w:sz w:val="20"/>
                <w:szCs w:val="20"/>
              </w:rPr>
              <w:t xml:space="preserve"> intranasally</w:t>
            </w:r>
          </w:p>
          <w:p w:rsidR="00C60932" w:rsidRDefault="00C60932" w:rsidP="000B3401">
            <w:pPr>
              <w:spacing w:after="0" w:line="240" w:lineRule="auto"/>
              <w:rPr>
                <w:rFonts w:ascii="Arial" w:hAnsi="Arial" w:cs="Arial"/>
                <w:sz w:val="20"/>
                <w:szCs w:val="20"/>
              </w:rPr>
            </w:pPr>
          </w:p>
          <w:p w:rsidR="00C60932" w:rsidRPr="00000994" w:rsidRDefault="00C60932" w:rsidP="000B3401">
            <w:pPr>
              <w:spacing w:after="0" w:line="240" w:lineRule="auto"/>
              <w:rPr>
                <w:rFonts w:ascii="Arial" w:hAnsi="Arial" w:cs="Arial"/>
                <w:sz w:val="20"/>
                <w:szCs w:val="20"/>
              </w:rPr>
            </w:pPr>
            <w:r>
              <w:rPr>
                <w:rFonts w:ascii="Arial" w:hAnsi="Arial" w:cs="Arial"/>
                <w:sz w:val="20"/>
                <w:szCs w:val="20"/>
              </w:rPr>
              <w:t xml:space="preserve">This trial consisted of four phases: a screening phase, </w:t>
            </w:r>
            <w:r w:rsidRPr="00C60932">
              <w:rPr>
                <w:rFonts w:ascii="Arial" w:hAnsi="Arial" w:cs="Arial"/>
                <w:sz w:val="20"/>
                <w:szCs w:val="20"/>
              </w:rPr>
              <w:t>a naloxone challenge, a drug discrimination phase, and a treatment phase</w:t>
            </w:r>
            <w:r>
              <w:rPr>
                <w:rFonts w:ascii="Arial" w:hAnsi="Arial" w:cs="Arial"/>
                <w:sz w:val="20"/>
                <w:szCs w:val="20"/>
              </w:rPr>
              <w:t>. The treatment phase consisted of four single-dose phases separated by a washout period of ≥5 days.</w:t>
            </w:r>
          </w:p>
        </w:tc>
        <w:tc>
          <w:tcPr>
            <w:tcW w:w="1760" w:type="dxa"/>
          </w:tcPr>
          <w:p w:rsidR="009D3713" w:rsidRDefault="00C60932" w:rsidP="00C60932">
            <w:pPr>
              <w:spacing w:after="0" w:line="240" w:lineRule="auto"/>
              <w:rPr>
                <w:rFonts w:ascii="Arial" w:hAnsi="Arial" w:cs="Arial"/>
                <w:sz w:val="20"/>
                <w:szCs w:val="20"/>
              </w:rPr>
            </w:pPr>
            <w:r>
              <w:rPr>
                <w:rFonts w:ascii="Arial" w:hAnsi="Arial" w:cs="Arial"/>
                <w:sz w:val="20"/>
                <w:szCs w:val="20"/>
              </w:rPr>
              <w:t xml:space="preserve">AC, DB, </w:t>
            </w:r>
            <w:r w:rsidR="00096264">
              <w:rPr>
                <w:rFonts w:ascii="Arial" w:hAnsi="Arial" w:cs="Arial"/>
                <w:sz w:val="20"/>
                <w:szCs w:val="20"/>
              </w:rPr>
              <w:t xml:space="preserve">DD, PC, </w:t>
            </w:r>
            <w:r>
              <w:rPr>
                <w:rFonts w:ascii="Arial" w:hAnsi="Arial" w:cs="Arial"/>
                <w:sz w:val="20"/>
                <w:szCs w:val="20"/>
              </w:rPr>
              <w:t>RCT, XO</w:t>
            </w:r>
          </w:p>
          <w:p w:rsidR="00C60932" w:rsidRDefault="00C60932" w:rsidP="00C60932">
            <w:pPr>
              <w:spacing w:after="0" w:line="240" w:lineRule="auto"/>
              <w:rPr>
                <w:rFonts w:ascii="Arial" w:hAnsi="Arial" w:cs="Arial"/>
                <w:sz w:val="20"/>
                <w:szCs w:val="20"/>
              </w:rPr>
            </w:pPr>
          </w:p>
          <w:p w:rsidR="00C60932" w:rsidRDefault="0032688D" w:rsidP="0032688D">
            <w:pPr>
              <w:spacing w:after="0" w:line="240" w:lineRule="auto"/>
              <w:rPr>
                <w:rFonts w:ascii="Arial" w:hAnsi="Arial" w:cs="Arial"/>
                <w:sz w:val="20"/>
                <w:szCs w:val="20"/>
              </w:rPr>
            </w:pPr>
            <w:r w:rsidRPr="0032688D">
              <w:rPr>
                <w:rFonts w:ascii="Arial" w:hAnsi="Arial" w:cs="Arial"/>
                <w:sz w:val="20"/>
                <w:szCs w:val="20"/>
              </w:rPr>
              <w:t xml:space="preserve">Healthy non-dependent recreational opioid users aged 18 to 55 years </w:t>
            </w:r>
            <w:r>
              <w:rPr>
                <w:rFonts w:ascii="Arial" w:hAnsi="Arial" w:cs="Arial"/>
                <w:sz w:val="20"/>
                <w:szCs w:val="20"/>
              </w:rPr>
              <w:t>with a BMI of 17.5 to 30.5 kg/m</w:t>
            </w:r>
            <w:r>
              <w:rPr>
                <w:rFonts w:ascii="Arial" w:hAnsi="Arial" w:cs="Arial"/>
                <w:sz w:val="20"/>
                <w:szCs w:val="20"/>
                <w:vertAlign w:val="superscript"/>
              </w:rPr>
              <w:t>2</w:t>
            </w:r>
            <w:r>
              <w:rPr>
                <w:rFonts w:ascii="Arial" w:hAnsi="Arial" w:cs="Arial"/>
                <w:sz w:val="20"/>
                <w:szCs w:val="20"/>
              </w:rPr>
              <w:t xml:space="preserve"> and weight ≥50 kg, without a history or current diagnosis of substance abuse or dependence, who are not seeking treatment for substance-related disorders, and </w:t>
            </w:r>
            <w:r w:rsidRPr="0032688D">
              <w:rPr>
                <w:rFonts w:ascii="Arial" w:hAnsi="Arial" w:cs="Arial"/>
                <w:sz w:val="20"/>
                <w:szCs w:val="20"/>
              </w:rPr>
              <w:t xml:space="preserve">who </w:t>
            </w:r>
            <w:r>
              <w:rPr>
                <w:rFonts w:ascii="Arial" w:hAnsi="Arial" w:cs="Arial"/>
                <w:sz w:val="20"/>
                <w:szCs w:val="20"/>
              </w:rPr>
              <w:t>have</w:t>
            </w:r>
            <w:r w:rsidRPr="0032688D">
              <w:rPr>
                <w:rFonts w:ascii="Arial" w:hAnsi="Arial" w:cs="Arial"/>
                <w:sz w:val="20"/>
                <w:szCs w:val="20"/>
              </w:rPr>
              <w:t xml:space="preserve"> used opioids for non-therapeutic purposes at least 10 times in the past year and at least once in the past eight weeks</w:t>
            </w:r>
            <w:r>
              <w:rPr>
                <w:rFonts w:ascii="Arial" w:hAnsi="Arial" w:cs="Arial"/>
                <w:sz w:val="20"/>
                <w:szCs w:val="20"/>
              </w:rPr>
              <w:t>, and who have used opioids intranasally at least three times in the past year</w:t>
            </w:r>
          </w:p>
        </w:tc>
        <w:tc>
          <w:tcPr>
            <w:tcW w:w="1540" w:type="dxa"/>
          </w:tcPr>
          <w:p w:rsidR="009D3713" w:rsidRDefault="0032688D" w:rsidP="000B3401">
            <w:pPr>
              <w:spacing w:after="0" w:line="240" w:lineRule="auto"/>
              <w:jc w:val="center"/>
              <w:rPr>
                <w:rFonts w:ascii="Arial" w:hAnsi="Arial" w:cs="Arial"/>
                <w:sz w:val="20"/>
                <w:szCs w:val="20"/>
              </w:rPr>
            </w:pPr>
            <w:r>
              <w:rPr>
                <w:rFonts w:ascii="Arial" w:hAnsi="Arial" w:cs="Arial"/>
                <w:sz w:val="20"/>
                <w:szCs w:val="20"/>
              </w:rPr>
              <w:t>N=</w:t>
            </w:r>
            <w:r w:rsidR="00A8542F">
              <w:rPr>
                <w:rFonts w:ascii="Arial" w:hAnsi="Arial" w:cs="Arial"/>
                <w:sz w:val="20"/>
                <w:szCs w:val="20"/>
              </w:rPr>
              <w:t>32</w:t>
            </w:r>
          </w:p>
          <w:p w:rsidR="00A8542F" w:rsidRDefault="00A8542F" w:rsidP="000B3401">
            <w:pPr>
              <w:spacing w:after="0" w:line="240" w:lineRule="auto"/>
              <w:jc w:val="center"/>
              <w:rPr>
                <w:rFonts w:ascii="Arial" w:hAnsi="Arial" w:cs="Arial"/>
                <w:sz w:val="20"/>
                <w:szCs w:val="20"/>
              </w:rPr>
            </w:pPr>
          </w:p>
          <w:p w:rsidR="00A8542F" w:rsidRDefault="00A8542F" w:rsidP="000B3401">
            <w:pPr>
              <w:spacing w:after="0" w:line="240" w:lineRule="auto"/>
              <w:jc w:val="center"/>
              <w:rPr>
                <w:rFonts w:ascii="Arial" w:hAnsi="Arial" w:cs="Arial"/>
                <w:sz w:val="20"/>
                <w:szCs w:val="20"/>
              </w:rPr>
            </w:pPr>
            <w:r>
              <w:rPr>
                <w:rFonts w:ascii="Arial" w:hAnsi="Arial" w:cs="Arial"/>
                <w:sz w:val="20"/>
                <w:szCs w:val="20"/>
              </w:rPr>
              <w:t>Four treatment phases</w:t>
            </w:r>
          </w:p>
        </w:tc>
        <w:tc>
          <w:tcPr>
            <w:tcW w:w="1760" w:type="dxa"/>
          </w:tcPr>
          <w:p w:rsidR="009D3713" w:rsidRDefault="00A8542F" w:rsidP="00684115">
            <w:pPr>
              <w:spacing w:after="0" w:line="240" w:lineRule="auto"/>
              <w:rPr>
                <w:rFonts w:ascii="Arial" w:hAnsi="Arial" w:cs="Arial"/>
                <w:sz w:val="20"/>
                <w:szCs w:val="20"/>
              </w:rPr>
            </w:pPr>
            <w:r>
              <w:rPr>
                <w:rFonts w:ascii="Arial" w:hAnsi="Arial" w:cs="Arial"/>
                <w:sz w:val="20"/>
                <w:szCs w:val="20"/>
              </w:rPr>
              <w:t>Primary:</w:t>
            </w:r>
          </w:p>
          <w:p w:rsidR="00A8542F" w:rsidRDefault="00A8542F" w:rsidP="00684115">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and AUE</w:t>
            </w:r>
            <w:r>
              <w:rPr>
                <w:rFonts w:ascii="Arial" w:hAnsi="Arial" w:cs="Arial"/>
                <w:sz w:val="20"/>
                <w:szCs w:val="20"/>
                <w:vertAlign w:val="subscript"/>
              </w:rPr>
              <w:t>0-2h</w:t>
            </w:r>
            <w:r>
              <w:rPr>
                <w:rFonts w:ascii="Arial" w:hAnsi="Arial" w:cs="Arial"/>
                <w:sz w:val="20"/>
                <w:szCs w:val="20"/>
              </w:rPr>
              <w:t xml:space="preserve"> for “drug liking” and “high” via the VAS</w:t>
            </w:r>
          </w:p>
          <w:p w:rsidR="00A8542F" w:rsidRDefault="00A8542F" w:rsidP="00684115">
            <w:pPr>
              <w:spacing w:after="0" w:line="240" w:lineRule="auto"/>
              <w:rPr>
                <w:rFonts w:ascii="Arial" w:hAnsi="Arial" w:cs="Arial"/>
                <w:sz w:val="20"/>
                <w:szCs w:val="20"/>
              </w:rPr>
            </w:pPr>
          </w:p>
          <w:p w:rsidR="00A8542F" w:rsidRDefault="00A8542F" w:rsidP="00684115">
            <w:pPr>
              <w:spacing w:after="0" w:line="240" w:lineRule="auto"/>
              <w:rPr>
                <w:rFonts w:ascii="Arial" w:hAnsi="Arial" w:cs="Arial"/>
                <w:sz w:val="20"/>
                <w:szCs w:val="20"/>
              </w:rPr>
            </w:pPr>
            <w:r>
              <w:rPr>
                <w:rFonts w:ascii="Arial" w:hAnsi="Arial" w:cs="Arial"/>
                <w:sz w:val="20"/>
                <w:szCs w:val="20"/>
              </w:rPr>
              <w:t>Secondary:</w:t>
            </w:r>
          </w:p>
          <w:p w:rsidR="00A8542F" w:rsidRPr="00312D92" w:rsidRDefault="00A8542F" w:rsidP="00A8542F">
            <w:pPr>
              <w:spacing w:after="0" w:line="240" w:lineRule="auto"/>
              <w:rPr>
                <w:rFonts w:ascii="Arial" w:hAnsi="Arial" w:cs="Arial"/>
                <w:sz w:val="20"/>
                <w:szCs w:val="20"/>
              </w:rPr>
            </w:pPr>
            <w:r>
              <w:rPr>
                <w:rFonts w:ascii="Arial" w:hAnsi="Arial" w:cs="Arial"/>
                <w:sz w:val="20"/>
                <w:szCs w:val="20"/>
              </w:rPr>
              <w:t xml:space="preserve">VAS measures for “take drug again,” “overall drug liking,” “good drug effects,” “bad drug effects,” “any drug effects,” “feel sick,” “nausea,” “sleepy,” and “dizzy,” pupillometry, safety, plasma oxycodone and naltrexone </w:t>
            </w:r>
            <w:proofErr w:type="spellStart"/>
            <w:r>
              <w:rPr>
                <w:rFonts w:ascii="Arial" w:hAnsi="Arial" w:cs="Arial"/>
                <w:sz w:val="20"/>
                <w:szCs w:val="20"/>
              </w:rPr>
              <w:t>C</w:t>
            </w:r>
            <w:r>
              <w:rPr>
                <w:rFonts w:ascii="Arial" w:hAnsi="Arial" w:cs="Arial"/>
                <w:sz w:val="20"/>
                <w:szCs w:val="20"/>
                <w:vertAlign w:val="subscript"/>
              </w:rPr>
              <w:t>max</w:t>
            </w:r>
            <w:proofErr w:type="spellEnd"/>
            <w:r>
              <w:rPr>
                <w:rFonts w:ascii="Arial" w:hAnsi="Arial" w:cs="Arial"/>
                <w:sz w:val="20"/>
                <w:szCs w:val="20"/>
              </w:rPr>
              <w:t xml:space="preserve">, </w:t>
            </w:r>
            <w:proofErr w:type="spellStart"/>
            <w:r>
              <w:rPr>
                <w:rFonts w:ascii="Arial" w:hAnsi="Arial" w:cs="Arial"/>
                <w:sz w:val="20"/>
                <w:szCs w:val="20"/>
              </w:rPr>
              <w:t>T</w:t>
            </w:r>
            <w:r>
              <w:rPr>
                <w:rFonts w:ascii="Arial" w:hAnsi="Arial" w:cs="Arial"/>
                <w:sz w:val="20"/>
                <w:szCs w:val="20"/>
                <w:vertAlign w:val="subscript"/>
              </w:rPr>
              <w:t>max</w:t>
            </w:r>
            <w:proofErr w:type="spellEnd"/>
            <w:r>
              <w:rPr>
                <w:rFonts w:ascii="Arial" w:hAnsi="Arial" w:cs="Arial"/>
                <w:sz w:val="20"/>
                <w:szCs w:val="20"/>
              </w:rPr>
              <w:t>, AUC</w:t>
            </w:r>
            <w:r>
              <w:rPr>
                <w:rFonts w:ascii="Arial" w:hAnsi="Arial" w:cs="Arial"/>
                <w:sz w:val="20"/>
                <w:szCs w:val="20"/>
                <w:vertAlign w:val="subscript"/>
              </w:rPr>
              <w:t>0-2h</w:t>
            </w:r>
            <w:r>
              <w:rPr>
                <w:rFonts w:ascii="Arial" w:hAnsi="Arial" w:cs="Arial"/>
                <w:sz w:val="20"/>
                <w:szCs w:val="20"/>
              </w:rPr>
              <w:t xml:space="preserve">, </w:t>
            </w:r>
            <w:proofErr w:type="spellStart"/>
            <w:r>
              <w:rPr>
                <w:rFonts w:ascii="Arial" w:hAnsi="Arial" w:cs="Arial"/>
                <w:sz w:val="20"/>
                <w:szCs w:val="20"/>
              </w:rPr>
              <w:t>AUC</w:t>
            </w:r>
            <w:r>
              <w:rPr>
                <w:rFonts w:ascii="Arial" w:hAnsi="Arial" w:cs="Arial"/>
                <w:sz w:val="20"/>
                <w:szCs w:val="20"/>
                <w:vertAlign w:val="subscript"/>
              </w:rPr>
              <w:t>inf</w:t>
            </w:r>
            <w:proofErr w:type="spellEnd"/>
            <w:r>
              <w:rPr>
                <w:rFonts w:ascii="Arial" w:hAnsi="Arial" w:cs="Arial"/>
                <w:sz w:val="20"/>
                <w:szCs w:val="20"/>
              </w:rPr>
              <w:t xml:space="preserve">, </w:t>
            </w:r>
            <w:proofErr w:type="spellStart"/>
            <w:r w:rsidRPr="00A8542F">
              <w:rPr>
                <w:rFonts w:ascii="Arial" w:hAnsi="Arial" w:cs="Arial"/>
                <w:sz w:val="20"/>
                <w:szCs w:val="20"/>
              </w:rPr>
              <w:t>AUC</w:t>
            </w:r>
            <w:r w:rsidRPr="00A8542F">
              <w:rPr>
                <w:rFonts w:ascii="Arial" w:hAnsi="Arial" w:cs="Arial"/>
                <w:sz w:val="20"/>
                <w:szCs w:val="20"/>
                <w:vertAlign w:val="subscript"/>
              </w:rPr>
              <w:t>last</w:t>
            </w:r>
            <w:proofErr w:type="spellEnd"/>
            <w:r>
              <w:rPr>
                <w:rFonts w:ascii="Arial" w:hAnsi="Arial" w:cs="Arial"/>
                <w:sz w:val="20"/>
                <w:szCs w:val="20"/>
              </w:rPr>
              <w:t xml:space="preserve">, </w:t>
            </w:r>
            <w:r w:rsidRPr="00A8542F">
              <w:rPr>
                <w:rFonts w:ascii="Arial" w:hAnsi="Arial" w:cs="Arial"/>
                <w:sz w:val="20"/>
                <w:szCs w:val="20"/>
              </w:rPr>
              <w:t>and</w:t>
            </w:r>
            <w:r>
              <w:rPr>
                <w:rFonts w:ascii="Arial" w:hAnsi="Arial" w:cs="Arial"/>
                <w:sz w:val="20"/>
                <w:szCs w:val="20"/>
              </w:rPr>
              <w:t xml:space="preserve"> half-life</w:t>
            </w:r>
          </w:p>
          <w:p w:rsidR="00A8542F" w:rsidRDefault="00A8542F" w:rsidP="00684115">
            <w:pPr>
              <w:spacing w:after="0" w:line="240" w:lineRule="auto"/>
              <w:rPr>
                <w:rFonts w:ascii="Arial" w:hAnsi="Arial" w:cs="Arial"/>
                <w:sz w:val="20"/>
                <w:szCs w:val="20"/>
              </w:rPr>
            </w:pPr>
          </w:p>
        </w:tc>
        <w:tc>
          <w:tcPr>
            <w:tcW w:w="6030" w:type="dxa"/>
          </w:tcPr>
          <w:p w:rsidR="009D3713" w:rsidRDefault="00A8542F" w:rsidP="00483F31">
            <w:pPr>
              <w:spacing w:after="0" w:line="240" w:lineRule="auto"/>
              <w:rPr>
                <w:rFonts w:ascii="Arial" w:hAnsi="Arial" w:cs="Arial"/>
                <w:sz w:val="20"/>
                <w:szCs w:val="20"/>
              </w:rPr>
            </w:pPr>
            <w:r>
              <w:rPr>
                <w:rFonts w:ascii="Arial" w:hAnsi="Arial" w:cs="Arial"/>
                <w:sz w:val="20"/>
                <w:szCs w:val="20"/>
              </w:rPr>
              <w:t>Primary:</w:t>
            </w:r>
          </w:p>
          <w:p w:rsidR="000873C0" w:rsidRDefault="000873C0" w:rsidP="000873C0">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(95% CI) for “drug liking” via the VAS were 60.5 (57.2 to 63.8), 51.0 (47.7 to 54.3), 92.8 (89.5 to 96.1), and 51.3 (48.0 to 54.6)</w:t>
            </w:r>
            <w:r w:rsidRPr="00312D92">
              <w:rPr>
                <w:rFonts w:ascii="Arial" w:hAnsi="Arial" w:cs="Arial"/>
                <w:sz w:val="20"/>
                <w:szCs w:val="20"/>
              </w:rPr>
              <w:t xml:space="preserve"> for crushed </w:t>
            </w:r>
            <w:r>
              <w:rPr>
                <w:rFonts w:ascii="Arial" w:hAnsi="Arial" w:cs="Arial"/>
                <w:sz w:val="20"/>
                <w:szCs w:val="20"/>
              </w:rPr>
              <w:t>oxycodone/naltrexone ER 30 mg/3.6</w:t>
            </w:r>
            <w:r w:rsidRPr="00312D92">
              <w:rPr>
                <w:rFonts w:ascii="Arial" w:hAnsi="Arial" w:cs="Arial"/>
                <w:sz w:val="20"/>
                <w:szCs w:val="20"/>
              </w:rPr>
              <w:t xml:space="preserve"> mg, </w:t>
            </w:r>
            <w:r>
              <w:rPr>
                <w:rFonts w:ascii="Arial" w:hAnsi="Arial" w:cs="Arial"/>
                <w:sz w:val="20"/>
                <w:szCs w:val="20"/>
              </w:rPr>
              <w:t>placebo for oxycodone/naltrexone</w:t>
            </w:r>
            <w:r w:rsidRPr="00312D92">
              <w:rPr>
                <w:rFonts w:ascii="Arial" w:hAnsi="Arial" w:cs="Arial"/>
                <w:sz w:val="20"/>
                <w:szCs w:val="20"/>
              </w:rPr>
              <w:t xml:space="preserve">, crushed oxycodone </w:t>
            </w:r>
            <w:r>
              <w:rPr>
                <w:rFonts w:ascii="Arial" w:hAnsi="Arial" w:cs="Arial"/>
                <w:sz w:val="20"/>
                <w:szCs w:val="20"/>
              </w:rPr>
              <w:t>IR 3</w:t>
            </w:r>
            <w:r w:rsidRPr="00312D92">
              <w:rPr>
                <w:rFonts w:ascii="Arial" w:hAnsi="Arial" w:cs="Arial"/>
                <w:sz w:val="20"/>
                <w:szCs w:val="20"/>
              </w:rPr>
              <w:t xml:space="preserve">0 mg, </w:t>
            </w:r>
            <w:r>
              <w:rPr>
                <w:rFonts w:ascii="Arial" w:hAnsi="Arial" w:cs="Arial"/>
                <w:sz w:val="20"/>
                <w:szCs w:val="20"/>
              </w:rPr>
              <w:t>and</w:t>
            </w:r>
            <w:r w:rsidRPr="00312D92">
              <w:rPr>
                <w:rFonts w:ascii="Arial" w:hAnsi="Arial" w:cs="Arial"/>
                <w:sz w:val="20"/>
                <w:szCs w:val="20"/>
              </w:rPr>
              <w:t xml:space="preserve"> placebo</w:t>
            </w:r>
            <w:r>
              <w:rPr>
                <w:rFonts w:ascii="Arial" w:hAnsi="Arial" w:cs="Arial"/>
                <w:sz w:val="20"/>
                <w:szCs w:val="20"/>
              </w:rPr>
              <w:t xml:space="preserve"> for oxycodone IR</w:t>
            </w:r>
            <w:r w:rsidRPr="00312D92">
              <w:rPr>
                <w:rFonts w:ascii="Arial" w:hAnsi="Arial" w:cs="Arial"/>
                <w:sz w:val="20"/>
                <w:szCs w:val="20"/>
              </w:rPr>
              <w:t>, respectively</w:t>
            </w:r>
            <w:r>
              <w:rPr>
                <w:rFonts w:ascii="Arial" w:hAnsi="Arial" w:cs="Arial"/>
                <w:sz w:val="20"/>
                <w:szCs w:val="20"/>
              </w:rPr>
              <w:t xml:space="preserve"> </w:t>
            </w:r>
            <w:r w:rsidRPr="00312D92">
              <w:rPr>
                <w:rFonts w:ascii="Arial" w:hAnsi="Arial" w:cs="Arial"/>
                <w:sz w:val="20"/>
                <w:szCs w:val="20"/>
              </w:rPr>
              <w:t xml:space="preserve">(P≤0.0001 for all comparisons </w:t>
            </w:r>
            <w:r>
              <w:rPr>
                <w:rFonts w:ascii="Arial" w:hAnsi="Arial" w:cs="Arial"/>
                <w:sz w:val="20"/>
                <w:szCs w:val="20"/>
              </w:rPr>
              <w:t>of oxycodone/naltrexone ER to oxycodone IR; P≤0.01 for all comparisons to placebo</w:t>
            </w:r>
            <w:r w:rsidRPr="00312D92">
              <w:rPr>
                <w:rFonts w:ascii="Arial" w:hAnsi="Arial" w:cs="Arial"/>
                <w:sz w:val="20"/>
                <w:szCs w:val="20"/>
              </w:rPr>
              <w:t>).</w:t>
            </w:r>
          </w:p>
          <w:p w:rsidR="000873C0" w:rsidRDefault="000873C0" w:rsidP="000873C0">
            <w:pPr>
              <w:spacing w:after="0" w:line="240" w:lineRule="auto"/>
              <w:rPr>
                <w:rFonts w:ascii="Arial" w:hAnsi="Arial" w:cs="Arial"/>
                <w:sz w:val="20"/>
                <w:szCs w:val="20"/>
              </w:rPr>
            </w:pPr>
          </w:p>
          <w:p w:rsidR="00A8542F" w:rsidRDefault="000873C0" w:rsidP="000873C0">
            <w:pPr>
              <w:spacing w:after="0" w:line="240" w:lineRule="auto"/>
              <w:rPr>
                <w:rFonts w:ascii="Arial" w:hAnsi="Arial" w:cs="Arial"/>
                <w:sz w:val="20"/>
                <w:szCs w:val="20"/>
              </w:rPr>
            </w:pPr>
            <w:r>
              <w:rPr>
                <w:rFonts w:ascii="Arial" w:hAnsi="Arial" w:cs="Arial"/>
                <w:sz w:val="20"/>
                <w:szCs w:val="20"/>
              </w:rPr>
              <w:t>LS mean AUE</w:t>
            </w:r>
            <w:r>
              <w:rPr>
                <w:rFonts w:ascii="Arial" w:hAnsi="Arial" w:cs="Arial"/>
                <w:sz w:val="20"/>
                <w:szCs w:val="20"/>
                <w:vertAlign w:val="subscript"/>
              </w:rPr>
              <w:t>0-2h</w:t>
            </w:r>
            <w:r>
              <w:rPr>
                <w:rFonts w:ascii="Arial" w:hAnsi="Arial" w:cs="Arial"/>
                <w:sz w:val="20"/>
                <w:szCs w:val="20"/>
              </w:rPr>
              <w:t xml:space="preserve"> (95% CI) for “drug liking” via the VAS were 105.4 (97.9 to 112.8), 98.8 (91.3 to 106.2), 160.0 (152.5 to 167.4), and 100.4 (92.9 to 107.8) </w:t>
            </w:r>
            <w:r w:rsidRPr="00312D92">
              <w:rPr>
                <w:rFonts w:ascii="Arial" w:hAnsi="Arial" w:cs="Arial"/>
                <w:sz w:val="20"/>
                <w:szCs w:val="20"/>
              </w:rPr>
              <w:t xml:space="preserve">for crushed </w:t>
            </w:r>
            <w:r>
              <w:rPr>
                <w:rFonts w:ascii="Arial" w:hAnsi="Arial" w:cs="Arial"/>
                <w:sz w:val="20"/>
                <w:szCs w:val="20"/>
              </w:rPr>
              <w:t>oxycodone/naltrexone ER 30 mg/3.6</w:t>
            </w:r>
            <w:r w:rsidRPr="00312D92">
              <w:rPr>
                <w:rFonts w:ascii="Arial" w:hAnsi="Arial" w:cs="Arial"/>
                <w:sz w:val="20"/>
                <w:szCs w:val="20"/>
              </w:rPr>
              <w:t xml:space="preserve"> mg, </w:t>
            </w:r>
            <w:r>
              <w:rPr>
                <w:rFonts w:ascii="Arial" w:hAnsi="Arial" w:cs="Arial"/>
                <w:sz w:val="20"/>
                <w:szCs w:val="20"/>
              </w:rPr>
              <w:t>placebo for oxycodone/naltrexone</w:t>
            </w:r>
            <w:r w:rsidRPr="00312D92">
              <w:rPr>
                <w:rFonts w:ascii="Arial" w:hAnsi="Arial" w:cs="Arial"/>
                <w:sz w:val="20"/>
                <w:szCs w:val="20"/>
              </w:rPr>
              <w:t xml:space="preserve">, crushed oxycodone </w:t>
            </w:r>
            <w:r>
              <w:rPr>
                <w:rFonts w:ascii="Arial" w:hAnsi="Arial" w:cs="Arial"/>
                <w:sz w:val="20"/>
                <w:szCs w:val="20"/>
              </w:rPr>
              <w:t>IR 3</w:t>
            </w:r>
            <w:r w:rsidRPr="00312D92">
              <w:rPr>
                <w:rFonts w:ascii="Arial" w:hAnsi="Arial" w:cs="Arial"/>
                <w:sz w:val="20"/>
                <w:szCs w:val="20"/>
              </w:rPr>
              <w:t xml:space="preserve">0 mg, </w:t>
            </w:r>
            <w:r>
              <w:rPr>
                <w:rFonts w:ascii="Arial" w:hAnsi="Arial" w:cs="Arial"/>
                <w:sz w:val="20"/>
                <w:szCs w:val="20"/>
              </w:rPr>
              <w:t>and</w:t>
            </w:r>
            <w:r w:rsidRPr="00312D92">
              <w:rPr>
                <w:rFonts w:ascii="Arial" w:hAnsi="Arial" w:cs="Arial"/>
                <w:sz w:val="20"/>
                <w:szCs w:val="20"/>
              </w:rPr>
              <w:t xml:space="preserve"> placebo</w:t>
            </w:r>
            <w:r>
              <w:rPr>
                <w:rFonts w:ascii="Arial" w:hAnsi="Arial" w:cs="Arial"/>
                <w:sz w:val="20"/>
                <w:szCs w:val="20"/>
              </w:rPr>
              <w:t xml:space="preserve"> for oxycodone IR</w:t>
            </w:r>
            <w:r w:rsidRPr="00312D92">
              <w:rPr>
                <w:rFonts w:ascii="Arial" w:hAnsi="Arial" w:cs="Arial"/>
                <w:sz w:val="20"/>
                <w:szCs w:val="20"/>
              </w:rPr>
              <w:t>, respectively</w:t>
            </w:r>
            <w:r>
              <w:rPr>
                <w:rFonts w:ascii="Arial" w:hAnsi="Arial" w:cs="Arial"/>
                <w:sz w:val="20"/>
                <w:szCs w:val="20"/>
              </w:rPr>
              <w:t xml:space="preserve"> </w:t>
            </w:r>
            <w:r w:rsidRPr="00312D92">
              <w:rPr>
                <w:rFonts w:ascii="Arial" w:hAnsi="Arial" w:cs="Arial"/>
                <w:sz w:val="20"/>
                <w:szCs w:val="20"/>
              </w:rPr>
              <w:t xml:space="preserve">(P≤0.0001 for all comparisons </w:t>
            </w:r>
            <w:r>
              <w:rPr>
                <w:rFonts w:ascii="Arial" w:hAnsi="Arial" w:cs="Arial"/>
                <w:sz w:val="20"/>
                <w:szCs w:val="20"/>
              </w:rPr>
              <w:t>of oxycodone/naltrexone ER to oxycodone IR; P≤0.01 for oxycodone IR vs placebo</w:t>
            </w:r>
            <w:r w:rsidRPr="00312D92">
              <w:rPr>
                <w:rFonts w:ascii="Arial" w:hAnsi="Arial" w:cs="Arial"/>
                <w:sz w:val="20"/>
                <w:szCs w:val="20"/>
              </w:rPr>
              <w:t>).</w:t>
            </w:r>
          </w:p>
          <w:p w:rsidR="000873C0" w:rsidRDefault="000873C0" w:rsidP="000873C0">
            <w:pPr>
              <w:spacing w:after="0" w:line="240" w:lineRule="auto"/>
              <w:rPr>
                <w:rFonts w:ascii="Arial" w:hAnsi="Arial" w:cs="Arial"/>
                <w:sz w:val="20"/>
                <w:szCs w:val="20"/>
              </w:rPr>
            </w:pPr>
          </w:p>
          <w:p w:rsidR="000873C0" w:rsidRDefault="000873C0" w:rsidP="000873C0">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(95% CI) for “high” via the VAS were </w:t>
            </w:r>
            <w:r w:rsidR="005A38BE">
              <w:rPr>
                <w:rFonts w:ascii="Arial" w:hAnsi="Arial" w:cs="Arial"/>
                <w:sz w:val="20"/>
                <w:szCs w:val="20"/>
              </w:rPr>
              <w:t>25.2 (17.6 to 32.9), 0.7 (-7.0 to 8.3), 86.9 (79.3 to 94.6), and 7.0 (-0.7 to 14.6)</w:t>
            </w:r>
            <w:r w:rsidRPr="00312D92">
              <w:rPr>
                <w:rFonts w:ascii="Arial" w:hAnsi="Arial" w:cs="Arial"/>
                <w:sz w:val="20"/>
                <w:szCs w:val="20"/>
              </w:rPr>
              <w:t xml:space="preserve"> for crushed </w:t>
            </w:r>
            <w:r>
              <w:rPr>
                <w:rFonts w:ascii="Arial" w:hAnsi="Arial" w:cs="Arial"/>
                <w:sz w:val="20"/>
                <w:szCs w:val="20"/>
              </w:rPr>
              <w:t>oxycodone/naltrexone ER 30 mg/3.6</w:t>
            </w:r>
            <w:r w:rsidRPr="00312D92">
              <w:rPr>
                <w:rFonts w:ascii="Arial" w:hAnsi="Arial" w:cs="Arial"/>
                <w:sz w:val="20"/>
                <w:szCs w:val="20"/>
              </w:rPr>
              <w:t xml:space="preserve"> mg, </w:t>
            </w:r>
            <w:r>
              <w:rPr>
                <w:rFonts w:ascii="Arial" w:hAnsi="Arial" w:cs="Arial"/>
                <w:sz w:val="20"/>
                <w:szCs w:val="20"/>
              </w:rPr>
              <w:t>placebo for oxycodone/naltrexone</w:t>
            </w:r>
            <w:r w:rsidRPr="00312D92">
              <w:rPr>
                <w:rFonts w:ascii="Arial" w:hAnsi="Arial" w:cs="Arial"/>
                <w:sz w:val="20"/>
                <w:szCs w:val="20"/>
              </w:rPr>
              <w:t xml:space="preserve">, crushed oxycodone </w:t>
            </w:r>
            <w:r>
              <w:rPr>
                <w:rFonts w:ascii="Arial" w:hAnsi="Arial" w:cs="Arial"/>
                <w:sz w:val="20"/>
                <w:szCs w:val="20"/>
              </w:rPr>
              <w:t>IR 3</w:t>
            </w:r>
            <w:r w:rsidRPr="00312D92">
              <w:rPr>
                <w:rFonts w:ascii="Arial" w:hAnsi="Arial" w:cs="Arial"/>
                <w:sz w:val="20"/>
                <w:szCs w:val="20"/>
              </w:rPr>
              <w:t xml:space="preserve">0 mg, </w:t>
            </w:r>
            <w:r>
              <w:rPr>
                <w:rFonts w:ascii="Arial" w:hAnsi="Arial" w:cs="Arial"/>
                <w:sz w:val="20"/>
                <w:szCs w:val="20"/>
              </w:rPr>
              <w:t>and</w:t>
            </w:r>
            <w:r w:rsidRPr="00312D92">
              <w:rPr>
                <w:rFonts w:ascii="Arial" w:hAnsi="Arial" w:cs="Arial"/>
                <w:sz w:val="20"/>
                <w:szCs w:val="20"/>
              </w:rPr>
              <w:t xml:space="preserve"> placebo</w:t>
            </w:r>
            <w:r>
              <w:rPr>
                <w:rFonts w:ascii="Arial" w:hAnsi="Arial" w:cs="Arial"/>
                <w:sz w:val="20"/>
                <w:szCs w:val="20"/>
              </w:rPr>
              <w:t xml:space="preserve"> for oxycodone IR</w:t>
            </w:r>
            <w:r w:rsidRPr="00312D92">
              <w:rPr>
                <w:rFonts w:ascii="Arial" w:hAnsi="Arial" w:cs="Arial"/>
                <w:sz w:val="20"/>
                <w:szCs w:val="20"/>
              </w:rPr>
              <w:t>, respectively</w:t>
            </w:r>
            <w:r>
              <w:rPr>
                <w:rFonts w:ascii="Arial" w:hAnsi="Arial" w:cs="Arial"/>
                <w:sz w:val="20"/>
                <w:szCs w:val="20"/>
              </w:rPr>
              <w:t xml:space="preserve"> </w:t>
            </w:r>
            <w:r w:rsidRPr="00312D92">
              <w:rPr>
                <w:rFonts w:ascii="Arial" w:hAnsi="Arial" w:cs="Arial"/>
                <w:sz w:val="20"/>
                <w:szCs w:val="20"/>
              </w:rPr>
              <w:t xml:space="preserve">(P≤0.0001 for all comparisons </w:t>
            </w:r>
            <w:r>
              <w:rPr>
                <w:rFonts w:ascii="Arial" w:hAnsi="Arial" w:cs="Arial"/>
                <w:sz w:val="20"/>
                <w:szCs w:val="20"/>
              </w:rPr>
              <w:t>of oxycodone/naltrexone ER to oxycodone IR; P≤0.01 for all comparisons to placebo</w:t>
            </w:r>
            <w:r w:rsidRPr="00312D92">
              <w:rPr>
                <w:rFonts w:ascii="Arial" w:hAnsi="Arial" w:cs="Arial"/>
                <w:sz w:val="20"/>
                <w:szCs w:val="20"/>
              </w:rPr>
              <w:t>).</w:t>
            </w:r>
          </w:p>
          <w:p w:rsidR="000873C0" w:rsidRDefault="000873C0" w:rsidP="000873C0">
            <w:pPr>
              <w:spacing w:after="0" w:line="240" w:lineRule="auto"/>
              <w:rPr>
                <w:rFonts w:ascii="Arial" w:hAnsi="Arial" w:cs="Arial"/>
                <w:sz w:val="20"/>
                <w:szCs w:val="20"/>
              </w:rPr>
            </w:pPr>
          </w:p>
          <w:p w:rsidR="005A38BE" w:rsidRDefault="005A38BE" w:rsidP="005A38BE">
            <w:pPr>
              <w:spacing w:after="0" w:line="240" w:lineRule="auto"/>
              <w:rPr>
                <w:rFonts w:ascii="Arial" w:hAnsi="Arial" w:cs="Arial"/>
                <w:sz w:val="20"/>
                <w:szCs w:val="20"/>
              </w:rPr>
            </w:pPr>
            <w:r>
              <w:rPr>
                <w:rFonts w:ascii="Arial" w:hAnsi="Arial" w:cs="Arial"/>
                <w:sz w:val="20"/>
                <w:szCs w:val="20"/>
              </w:rPr>
              <w:t>LS mean AUE</w:t>
            </w:r>
            <w:r>
              <w:rPr>
                <w:rFonts w:ascii="Arial" w:hAnsi="Arial" w:cs="Arial"/>
                <w:sz w:val="20"/>
                <w:szCs w:val="20"/>
                <w:vertAlign w:val="subscript"/>
              </w:rPr>
              <w:t>0-2h</w:t>
            </w:r>
            <w:r>
              <w:rPr>
                <w:rFonts w:ascii="Arial" w:hAnsi="Arial" w:cs="Arial"/>
                <w:sz w:val="20"/>
                <w:szCs w:val="20"/>
              </w:rPr>
              <w:t xml:space="preserve"> (95% CI) for “high” via the VAS were 27.1 (15.3 to 38.9), 0.2 (-11.6 to 12.0), 136.4 (124.6 to 148.2), and 5.6 (-6.2 to 17.5)</w:t>
            </w:r>
            <w:r w:rsidRPr="00312D92">
              <w:rPr>
                <w:rFonts w:ascii="Arial" w:hAnsi="Arial" w:cs="Arial"/>
                <w:sz w:val="20"/>
                <w:szCs w:val="20"/>
              </w:rPr>
              <w:t xml:space="preserve"> for crushed </w:t>
            </w:r>
            <w:r>
              <w:rPr>
                <w:rFonts w:ascii="Arial" w:hAnsi="Arial" w:cs="Arial"/>
                <w:sz w:val="20"/>
                <w:szCs w:val="20"/>
              </w:rPr>
              <w:t>oxycodone/naltrexone ER 30 mg/3.6</w:t>
            </w:r>
            <w:r w:rsidRPr="00312D92">
              <w:rPr>
                <w:rFonts w:ascii="Arial" w:hAnsi="Arial" w:cs="Arial"/>
                <w:sz w:val="20"/>
                <w:szCs w:val="20"/>
              </w:rPr>
              <w:t xml:space="preserve"> mg, </w:t>
            </w:r>
            <w:r>
              <w:rPr>
                <w:rFonts w:ascii="Arial" w:hAnsi="Arial" w:cs="Arial"/>
                <w:sz w:val="20"/>
                <w:szCs w:val="20"/>
              </w:rPr>
              <w:t>placebo for oxycodone/naltrexone</w:t>
            </w:r>
            <w:r w:rsidRPr="00312D92">
              <w:rPr>
                <w:rFonts w:ascii="Arial" w:hAnsi="Arial" w:cs="Arial"/>
                <w:sz w:val="20"/>
                <w:szCs w:val="20"/>
              </w:rPr>
              <w:t xml:space="preserve">, crushed oxycodone </w:t>
            </w:r>
            <w:r>
              <w:rPr>
                <w:rFonts w:ascii="Arial" w:hAnsi="Arial" w:cs="Arial"/>
                <w:sz w:val="20"/>
                <w:szCs w:val="20"/>
              </w:rPr>
              <w:t>IR 3</w:t>
            </w:r>
            <w:r w:rsidRPr="00312D92">
              <w:rPr>
                <w:rFonts w:ascii="Arial" w:hAnsi="Arial" w:cs="Arial"/>
                <w:sz w:val="20"/>
                <w:szCs w:val="20"/>
              </w:rPr>
              <w:t xml:space="preserve">0 mg, </w:t>
            </w:r>
            <w:r>
              <w:rPr>
                <w:rFonts w:ascii="Arial" w:hAnsi="Arial" w:cs="Arial"/>
                <w:sz w:val="20"/>
                <w:szCs w:val="20"/>
              </w:rPr>
              <w:t>and</w:t>
            </w:r>
            <w:r w:rsidRPr="00312D92">
              <w:rPr>
                <w:rFonts w:ascii="Arial" w:hAnsi="Arial" w:cs="Arial"/>
                <w:sz w:val="20"/>
                <w:szCs w:val="20"/>
              </w:rPr>
              <w:t xml:space="preserve"> placebo</w:t>
            </w:r>
            <w:r>
              <w:rPr>
                <w:rFonts w:ascii="Arial" w:hAnsi="Arial" w:cs="Arial"/>
                <w:sz w:val="20"/>
                <w:szCs w:val="20"/>
              </w:rPr>
              <w:t xml:space="preserve"> for oxycodone IR</w:t>
            </w:r>
            <w:r w:rsidRPr="00312D92">
              <w:rPr>
                <w:rFonts w:ascii="Arial" w:hAnsi="Arial" w:cs="Arial"/>
                <w:sz w:val="20"/>
                <w:szCs w:val="20"/>
              </w:rPr>
              <w:t>, respectively</w:t>
            </w:r>
            <w:r>
              <w:rPr>
                <w:rFonts w:ascii="Arial" w:hAnsi="Arial" w:cs="Arial"/>
                <w:sz w:val="20"/>
                <w:szCs w:val="20"/>
              </w:rPr>
              <w:t xml:space="preserve"> </w:t>
            </w:r>
            <w:r w:rsidRPr="00312D92">
              <w:rPr>
                <w:rFonts w:ascii="Arial" w:hAnsi="Arial" w:cs="Arial"/>
                <w:sz w:val="20"/>
                <w:szCs w:val="20"/>
              </w:rPr>
              <w:t xml:space="preserve">(P≤0.0001 for all comparisons </w:t>
            </w:r>
            <w:r>
              <w:rPr>
                <w:rFonts w:ascii="Arial" w:hAnsi="Arial" w:cs="Arial"/>
                <w:sz w:val="20"/>
                <w:szCs w:val="20"/>
              </w:rPr>
              <w:t>of oxycodone/naltrexone ER to oxycodone IR; P≤0.01 for all comparisons to placebo</w:t>
            </w:r>
            <w:r w:rsidRPr="00312D92">
              <w:rPr>
                <w:rFonts w:ascii="Arial" w:hAnsi="Arial" w:cs="Arial"/>
                <w:sz w:val="20"/>
                <w:szCs w:val="20"/>
              </w:rPr>
              <w:t>).</w:t>
            </w:r>
          </w:p>
          <w:p w:rsidR="005A38BE" w:rsidRDefault="005A38BE" w:rsidP="000873C0">
            <w:pPr>
              <w:spacing w:after="0" w:line="240" w:lineRule="auto"/>
              <w:rPr>
                <w:rFonts w:ascii="Arial" w:hAnsi="Arial" w:cs="Arial"/>
                <w:sz w:val="20"/>
                <w:szCs w:val="20"/>
              </w:rPr>
            </w:pPr>
          </w:p>
          <w:p w:rsidR="0046041D" w:rsidRDefault="0046041D" w:rsidP="0046041D">
            <w:pPr>
              <w:spacing w:after="0" w:line="240" w:lineRule="auto"/>
              <w:rPr>
                <w:rFonts w:ascii="Arial" w:hAnsi="Arial" w:cs="Arial"/>
                <w:sz w:val="20"/>
                <w:szCs w:val="20"/>
              </w:rPr>
            </w:pPr>
            <w:r w:rsidRPr="0046041D">
              <w:rPr>
                <w:rFonts w:ascii="Arial" w:hAnsi="Arial" w:cs="Arial"/>
                <w:sz w:val="20"/>
                <w:szCs w:val="20"/>
              </w:rPr>
              <w:t xml:space="preserve">The </w:t>
            </w:r>
            <w:r>
              <w:rPr>
                <w:rFonts w:ascii="Arial" w:hAnsi="Arial" w:cs="Arial"/>
                <w:sz w:val="20"/>
                <w:szCs w:val="20"/>
              </w:rPr>
              <w:t>“drug liking” and “high”</w:t>
            </w:r>
            <w:r w:rsidRPr="0046041D">
              <w:rPr>
                <w:rFonts w:ascii="Arial" w:hAnsi="Arial" w:cs="Arial"/>
                <w:sz w:val="20"/>
                <w:szCs w:val="20"/>
              </w:rPr>
              <w:t xml:space="preserve"> effects of crushed oxycodone</w:t>
            </w:r>
            <w:r>
              <w:rPr>
                <w:rFonts w:ascii="Arial" w:hAnsi="Arial" w:cs="Arial"/>
                <w:sz w:val="20"/>
                <w:szCs w:val="20"/>
              </w:rPr>
              <w:t xml:space="preserve"> IR</w:t>
            </w:r>
            <w:r w:rsidRPr="0046041D">
              <w:rPr>
                <w:rFonts w:ascii="Arial" w:hAnsi="Arial" w:cs="Arial"/>
                <w:sz w:val="20"/>
                <w:szCs w:val="20"/>
              </w:rPr>
              <w:t xml:space="preserve"> rose rapidly a</w:t>
            </w:r>
            <w:r>
              <w:rPr>
                <w:rFonts w:ascii="Arial" w:hAnsi="Arial" w:cs="Arial"/>
                <w:sz w:val="20"/>
                <w:szCs w:val="20"/>
              </w:rPr>
              <w:t>nd peaked at 30 minutes post-</w:t>
            </w:r>
            <w:r w:rsidRPr="0046041D">
              <w:rPr>
                <w:rFonts w:ascii="Arial" w:hAnsi="Arial" w:cs="Arial"/>
                <w:sz w:val="20"/>
                <w:szCs w:val="20"/>
              </w:rPr>
              <w:t>dose, foll</w:t>
            </w:r>
            <w:r>
              <w:rPr>
                <w:rFonts w:ascii="Arial" w:hAnsi="Arial" w:cs="Arial"/>
                <w:sz w:val="20"/>
                <w:szCs w:val="20"/>
              </w:rPr>
              <w:t xml:space="preserve">owed by a steep decline within three to </w:t>
            </w:r>
            <w:r w:rsidR="00EF107E">
              <w:rPr>
                <w:rFonts w:ascii="Arial" w:hAnsi="Arial" w:cs="Arial"/>
                <w:sz w:val="20"/>
                <w:szCs w:val="20"/>
              </w:rPr>
              <w:t>4</w:t>
            </w:r>
            <w:r w:rsidRPr="0046041D">
              <w:rPr>
                <w:rFonts w:ascii="Arial" w:hAnsi="Arial" w:cs="Arial"/>
                <w:sz w:val="20"/>
                <w:szCs w:val="20"/>
              </w:rPr>
              <w:t xml:space="preserve"> hours and a gradual decline by 12 to 24 hours toward placebo levels. The peak effects of crushed </w:t>
            </w:r>
            <w:r>
              <w:rPr>
                <w:rFonts w:ascii="Arial" w:hAnsi="Arial" w:cs="Arial"/>
                <w:sz w:val="20"/>
                <w:szCs w:val="20"/>
              </w:rPr>
              <w:t>oxycodone/naltrexone</w:t>
            </w:r>
            <w:r w:rsidRPr="0046041D">
              <w:rPr>
                <w:rFonts w:ascii="Arial" w:hAnsi="Arial" w:cs="Arial"/>
                <w:sz w:val="20"/>
                <w:szCs w:val="20"/>
              </w:rPr>
              <w:t xml:space="preserve"> ER oc</w:t>
            </w:r>
            <w:r>
              <w:rPr>
                <w:rFonts w:ascii="Arial" w:hAnsi="Arial" w:cs="Arial"/>
                <w:sz w:val="20"/>
                <w:szCs w:val="20"/>
              </w:rPr>
              <w:t>curred at 15 to 30 minutes post-</w:t>
            </w:r>
            <w:r w:rsidRPr="0046041D">
              <w:rPr>
                <w:rFonts w:ascii="Arial" w:hAnsi="Arial" w:cs="Arial"/>
                <w:sz w:val="20"/>
                <w:szCs w:val="20"/>
              </w:rPr>
              <w:t xml:space="preserve">dose, but both </w:t>
            </w:r>
            <w:r>
              <w:rPr>
                <w:rFonts w:ascii="Arial" w:hAnsi="Arial" w:cs="Arial"/>
                <w:sz w:val="20"/>
                <w:szCs w:val="20"/>
              </w:rPr>
              <w:t>“drug liking”</w:t>
            </w:r>
            <w:r w:rsidRPr="0046041D">
              <w:rPr>
                <w:rFonts w:ascii="Arial" w:hAnsi="Arial" w:cs="Arial"/>
                <w:sz w:val="20"/>
                <w:szCs w:val="20"/>
              </w:rPr>
              <w:t xml:space="preserve"> and </w:t>
            </w:r>
            <w:r>
              <w:rPr>
                <w:rFonts w:ascii="Arial" w:hAnsi="Arial" w:cs="Arial"/>
                <w:sz w:val="20"/>
                <w:szCs w:val="20"/>
              </w:rPr>
              <w:t>“high”</w:t>
            </w:r>
            <w:r w:rsidRPr="0046041D">
              <w:rPr>
                <w:rFonts w:ascii="Arial" w:hAnsi="Arial" w:cs="Arial"/>
                <w:sz w:val="20"/>
                <w:szCs w:val="20"/>
              </w:rPr>
              <w:t xml:space="preserve"> were lower across all time points compared to oxycodone </w:t>
            </w:r>
            <w:r>
              <w:rPr>
                <w:rFonts w:ascii="Arial" w:hAnsi="Arial" w:cs="Arial"/>
                <w:sz w:val="20"/>
                <w:szCs w:val="20"/>
              </w:rPr>
              <w:t>IR</w:t>
            </w:r>
            <w:r w:rsidRPr="0046041D">
              <w:rPr>
                <w:rFonts w:ascii="Arial" w:hAnsi="Arial" w:cs="Arial"/>
                <w:sz w:val="20"/>
                <w:szCs w:val="20"/>
              </w:rPr>
              <w:t>.</w:t>
            </w:r>
          </w:p>
          <w:p w:rsidR="0046041D" w:rsidRDefault="0046041D" w:rsidP="0046041D">
            <w:pPr>
              <w:spacing w:after="0" w:line="240" w:lineRule="auto"/>
              <w:rPr>
                <w:rFonts w:ascii="Arial" w:hAnsi="Arial" w:cs="Arial"/>
                <w:sz w:val="20"/>
                <w:szCs w:val="20"/>
              </w:rPr>
            </w:pPr>
          </w:p>
          <w:p w:rsidR="0046041D" w:rsidRDefault="0046041D" w:rsidP="00001284">
            <w:pPr>
              <w:spacing w:after="0" w:line="240" w:lineRule="auto"/>
              <w:rPr>
                <w:rFonts w:ascii="Arial" w:hAnsi="Arial" w:cs="Arial"/>
                <w:sz w:val="20"/>
                <w:szCs w:val="20"/>
              </w:rPr>
            </w:pPr>
            <w:r>
              <w:rPr>
                <w:rFonts w:ascii="Arial" w:hAnsi="Arial" w:cs="Arial"/>
                <w:sz w:val="20"/>
                <w:szCs w:val="20"/>
              </w:rPr>
              <w:t>T</w:t>
            </w:r>
            <w:r w:rsidRPr="0046041D">
              <w:rPr>
                <w:rFonts w:ascii="Arial" w:hAnsi="Arial" w:cs="Arial"/>
                <w:sz w:val="20"/>
                <w:szCs w:val="20"/>
              </w:rPr>
              <w:t xml:space="preserve">he majority of </w:t>
            </w:r>
            <w:r>
              <w:rPr>
                <w:rFonts w:ascii="Arial" w:hAnsi="Arial" w:cs="Arial"/>
                <w:sz w:val="20"/>
                <w:szCs w:val="20"/>
              </w:rPr>
              <w:t>patients</w:t>
            </w:r>
            <w:r w:rsidRPr="0046041D">
              <w:rPr>
                <w:rFonts w:ascii="Arial" w:hAnsi="Arial" w:cs="Arial"/>
                <w:sz w:val="20"/>
                <w:szCs w:val="20"/>
              </w:rPr>
              <w:t xml:space="preserve"> (</w:t>
            </w:r>
            <w:r>
              <w:rPr>
                <w:rFonts w:ascii="Arial" w:hAnsi="Arial" w:cs="Arial"/>
                <w:sz w:val="20"/>
                <w:szCs w:val="20"/>
              </w:rPr>
              <w:t>93%</w:t>
            </w:r>
            <w:r w:rsidRPr="0046041D">
              <w:rPr>
                <w:rFonts w:ascii="Arial" w:hAnsi="Arial" w:cs="Arial"/>
                <w:sz w:val="20"/>
                <w:szCs w:val="20"/>
              </w:rPr>
              <w:t xml:space="preserve">) receiving crushed </w:t>
            </w:r>
            <w:r>
              <w:rPr>
                <w:rFonts w:ascii="Arial" w:hAnsi="Arial" w:cs="Arial"/>
                <w:sz w:val="20"/>
                <w:szCs w:val="20"/>
              </w:rPr>
              <w:t>oxycodone/naltrexone</w:t>
            </w:r>
            <w:r w:rsidRPr="0046041D">
              <w:rPr>
                <w:rFonts w:ascii="Arial" w:hAnsi="Arial" w:cs="Arial"/>
                <w:sz w:val="20"/>
                <w:szCs w:val="20"/>
              </w:rPr>
              <w:t xml:space="preserve"> ER experienced </w:t>
            </w:r>
            <w:r>
              <w:rPr>
                <w:rFonts w:ascii="Arial" w:hAnsi="Arial" w:cs="Arial"/>
                <w:sz w:val="20"/>
                <w:szCs w:val="20"/>
              </w:rPr>
              <w:t>a</w:t>
            </w:r>
            <w:r w:rsidRPr="0046041D">
              <w:rPr>
                <w:rFonts w:ascii="Arial" w:hAnsi="Arial" w:cs="Arial"/>
                <w:sz w:val="20"/>
                <w:szCs w:val="20"/>
              </w:rPr>
              <w:t xml:space="preserve"> reduction in</w:t>
            </w:r>
            <w:r>
              <w:rPr>
                <w:rFonts w:ascii="Arial" w:hAnsi="Arial" w:cs="Arial"/>
                <w:sz w:val="20"/>
                <w:szCs w:val="20"/>
              </w:rPr>
              <w:t xml:space="preserve">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for</w:t>
            </w:r>
            <w:r w:rsidRPr="0046041D">
              <w:rPr>
                <w:rFonts w:ascii="Arial" w:hAnsi="Arial" w:cs="Arial"/>
                <w:sz w:val="20"/>
                <w:szCs w:val="20"/>
              </w:rPr>
              <w:t xml:space="preserve"> </w:t>
            </w:r>
            <w:r>
              <w:rPr>
                <w:rFonts w:ascii="Arial" w:hAnsi="Arial" w:cs="Arial"/>
                <w:sz w:val="20"/>
                <w:szCs w:val="20"/>
              </w:rPr>
              <w:t>“drug liking”</w:t>
            </w:r>
            <w:r w:rsidRPr="0046041D">
              <w:rPr>
                <w:rFonts w:ascii="Arial" w:hAnsi="Arial" w:cs="Arial"/>
                <w:sz w:val="20"/>
                <w:szCs w:val="20"/>
              </w:rPr>
              <w:t xml:space="preserve"> </w:t>
            </w:r>
            <w:r>
              <w:rPr>
                <w:rFonts w:ascii="Arial" w:hAnsi="Arial" w:cs="Arial"/>
                <w:sz w:val="20"/>
                <w:szCs w:val="20"/>
              </w:rPr>
              <w:t>compared</w:t>
            </w:r>
            <w:r w:rsidRPr="0046041D">
              <w:rPr>
                <w:rFonts w:ascii="Arial" w:hAnsi="Arial" w:cs="Arial"/>
                <w:sz w:val="20"/>
                <w:szCs w:val="20"/>
              </w:rPr>
              <w:t xml:space="preserve"> to </w:t>
            </w:r>
            <w:r>
              <w:rPr>
                <w:rFonts w:ascii="Arial" w:hAnsi="Arial" w:cs="Arial"/>
                <w:sz w:val="20"/>
                <w:szCs w:val="20"/>
              </w:rPr>
              <w:t>those receiving oxycodone IR</w:t>
            </w:r>
            <w:r w:rsidRPr="0046041D">
              <w:rPr>
                <w:rFonts w:ascii="Arial" w:hAnsi="Arial" w:cs="Arial"/>
                <w:sz w:val="20"/>
                <w:szCs w:val="20"/>
              </w:rPr>
              <w:t xml:space="preserve">. </w:t>
            </w:r>
            <w:r w:rsidR="00001284">
              <w:rPr>
                <w:rFonts w:ascii="Arial" w:hAnsi="Arial" w:cs="Arial"/>
                <w:sz w:val="20"/>
                <w:szCs w:val="20"/>
              </w:rPr>
              <w:t>Reductions of ≥</w:t>
            </w:r>
            <w:r w:rsidR="00001284" w:rsidRPr="0046041D">
              <w:rPr>
                <w:rFonts w:ascii="Arial" w:hAnsi="Arial" w:cs="Arial"/>
                <w:sz w:val="20"/>
                <w:szCs w:val="20"/>
              </w:rPr>
              <w:t xml:space="preserve">30% </w:t>
            </w:r>
            <w:r w:rsidR="00001284">
              <w:rPr>
                <w:rFonts w:ascii="Arial" w:hAnsi="Arial" w:cs="Arial"/>
                <w:sz w:val="20"/>
                <w:szCs w:val="20"/>
              </w:rPr>
              <w:t>and ≥</w:t>
            </w:r>
            <w:r w:rsidR="00001284" w:rsidRPr="0046041D">
              <w:rPr>
                <w:rFonts w:ascii="Arial" w:hAnsi="Arial" w:cs="Arial"/>
                <w:sz w:val="20"/>
                <w:szCs w:val="20"/>
              </w:rPr>
              <w:t>50%</w:t>
            </w:r>
            <w:r w:rsidR="00001284">
              <w:rPr>
                <w:rFonts w:ascii="Arial" w:hAnsi="Arial" w:cs="Arial"/>
                <w:sz w:val="20"/>
                <w:szCs w:val="20"/>
              </w:rPr>
              <w:t xml:space="preserve"> </w:t>
            </w:r>
            <w:r w:rsidRPr="0046041D">
              <w:rPr>
                <w:rFonts w:ascii="Arial" w:hAnsi="Arial" w:cs="Arial"/>
                <w:sz w:val="20"/>
                <w:szCs w:val="20"/>
              </w:rPr>
              <w:t xml:space="preserve">in </w:t>
            </w:r>
            <w:r>
              <w:rPr>
                <w:rFonts w:ascii="Arial" w:hAnsi="Arial" w:cs="Arial"/>
                <w:sz w:val="20"/>
                <w:szCs w:val="20"/>
              </w:rPr>
              <w:t>“drug liking”</w:t>
            </w:r>
            <w:r w:rsidRPr="0046041D">
              <w:rPr>
                <w:rFonts w:ascii="Arial" w:hAnsi="Arial" w:cs="Arial"/>
                <w:sz w:val="20"/>
                <w:szCs w:val="20"/>
              </w:rPr>
              <w:t xml:space="preserve"> </w:t>
            </w:r>
            <w:r w:rsidR="00001284">
              <w:rPr>
                <w:rFonts w:ascii="Arial" w:hAnsi="Arial" w:cs="Arial"/>
                <w:sz w:val="20"/>
                <w:szCs w:val="20"/>
              </w:rPr>
              <w:t>relative to oxycodone IR were</w:t>
            </w:r>
            <w:r>
              <w:rPr>
                <w:rFonts w:ascii="Arial" w:hAnsi="Arial" w:cs="Arial"/>
                <w:sz w:val="20"/>
                <w:szCs w:val="20"/>
              </w:rPr>
              <w:t xml:space="preserve"> experienced by 89% and 82% </w:t>
            </w:r>
            <w:r w:rsidRPr="0046041D">
              <w:rPr>
                <w:rFonts w:ascii="Arial" w:hAnsi="Arial" w:cs="Arial"/>
                <w:sz w:val="20"/>
                <w:szCs w:val="20"/>
              </w:rPr>
              <w:t xml:space="preserve">of </w:t>
            </w:r>
            <w:r>
              <w:rPr>
                <w:rFonts w:ascii="Arial" w:hAnsi="Arial" w:cs="Arial"/>
                <w:sz w:val="20"/>
                <w:szCs w:val="20"/>
              </w:rPr>
              <w:t>patients</w:t>
            </w:r>
            <w:r w:rsidRPr="0046041D">
              <w:rPr>
                <w:rFonts w:ascii="Arial" w:hAnsi="Arial" w:cs="Arial"/>
                <w:sz w:val="20"/>
                <w:szCs w:val="20"/>
              </w:rPr>
              <w:t>, respectively</w:t>
            </w:r>
            <w:r>
              <w:rPr>
                <w:rFonts w:ascii="Arial" w:hAnsi="Arial" w:cs="Arial"/>
                <w:sz w:val="20"/>
                <w:szCs w:val="20"/>
              </w:rPr>
              <w:t>,</w:t>
            </w:r>
            <w:r w:rsidRPr="0046041D">
              <w:rPr>
                <w:rFonts w:ascii="Arial" w:hAnsi="Arial" w:cs="Arial"/>
                <w:sz w:val="20"/>
                <w:szCs w:val="20"/>
              </w:rPr>
              <w:t xml:space="preserve"> </w:t>
            </w:r>
            <w:r>
              <w:rPr>
                <w:rFonts w:ascii="Arial" w:hAnsi="Arial" w:cs="Arial"/>
                <w:sz w:val="20"/>
                <w:szCs w:val="20"/>
              </w:rPr>
              <w:t>receiving oxycodone/naltrexone ER</w:t>
            </w:r>
            <w:r w:rsidR="00001284">
              <w:rPr>
                <w:rFonts w:ascii="Arial" w:hAnsi="Arial" w:cs="Arial"/>
                <w:sz w:val="20"/>
                <w:szCs w:val="20"/>
              </w:rPr>
              <w:t>. Reductions of ≥</w:t>
            </w:r>
            <w:r w:rsidR="00001284" w:rsidRPr="0046041D">
              <w:rPr>
                <w:rFonts w:ascii="Arial" w:hAnsi="Arial" w:cs="Arial"/>
                <w:sz w:val="20"/>
                <w:szCs w:val="20"/>
              </w:rPr>
              <w:t xml:space="preserve">30% </w:t>
            </w:r>
            <w:r w:rsidR="00001284">
              <w:rPr>
                <w:rFonts w:ascii="Arial" w:hAnsi="Arial" w:cs="Arial"/>
                <w:sz w:val="20"/>
                <w:szCs w:val="20"/>
              </w:rPr>
              <w:t>and ≥</w:t>
            </w:r>
            <w:r w:rsidR="00001284" w:rsidRPr="0046041D">
              <w:rPr>
                <w:rFonts w:ascii="Arial" w:hAnsi="Arial" w:cs="Arial"/>
                <w:sz w:val="20"/>
                <w:szCs w:val="20"/>
              </w:rPr>
              <w:t>50%</w:t>
            </w:r>
            <w:r w:rsidR="00001284">
              <w:rPr>
                <w:rFonts w:ascii="Arial" w:hAnsi="Arial" w:cs="Arial"/>
                <w:sz w:val="20"/>
                <w:szCs w:val="20"/>
              </w:rPr>
              <w:t xml:space="preserve"> </w:t>
            </w:r>
            <w:r w:rsidR="00001284" w:rsidRPr="0046041D">
              <w:rPr>
                <w:rFonts w:ascii="Arial" w:hAnsi="Arial" w:cs="Arial"/>
                <w:sz w:val="20"/>
                <w:szCs w:val="20"/>
              </w:rPr>
              <w:t>in</w:t>
            </w:r>
            <w:r w:rsidR="00001284">
              <w:rPr>
                <w:rFonts w:ascii="Arial" w:hAnsi="Arial" w:cs="Arial"/>
                <w:sz w:val="20"/>
                <w:szCs w:val="20"/>
              </w:rPr>
              <w:t xml:space="preserve"> </w:t>
            </w:r>
            <w:proofErr w:type="spellStart"/>
            <w:r w:rsidR="00001284">
              <w:rPr>
                <w:rFonts w:ascii="Arial" w:hAnsi="Arial" w:cs="Arial"/>
                <w:sz w:val="20"/>
                <w:szCs w:val="20"/>
              </w:rPr>
              <w:t>E</w:t>
            </w:r>
            <w:r w:rsidR="00001284">
              <w:rPr>
                <w:rFonts w:ascii="Arial" w:hAnsi="Arial" w:cs="Arial"/>
                <w:sz w:val="20"/>
                <w:szCs w:val="20"/>
                <w:vertAlign w:val="subscript"/>
              </w:rPr>
              <w:t>max</w:t>
            </w:r>
            <w:proofErr w:type="spellEnd"/>
            <w:r w:rsidR="00001284">
              <w:rPr>
                <w:rFonts w:ascii="Arial" w:hAnsi="Arial" w:cs="Arial"/>
                <w:sz w:val="20"/>
                <w:szCs w:val="20"/>
              </w:rPr>
              <w:t xml:space="preserve"> for</w:t>
            </w:r>
            <w:r w:rsidR="00001284" w:rsidRPr="0046041D">
              <w:rPr>
                <w:rFonts w:ascii="Arial" w:hAnsi="Arial" w:cs="Arial"/>
                <w:sz w:val="20"/>
                <w:szCs w:val="20"/>
              </w:rPr>
              <w:t xml:space="preserve"> </w:t>
            </w:r>
            <w:r w:rsidR="00001284">
              <w:rPr>
                <w:rFonts w:ascii="Arial" w:hAnsi="Arial" w:cs="Arial"/>
                <w:sz w:val="20"/>
                <w:szCs w:val="20"/>
              </w:rPr>
              <w:t>“high”</w:t>
            </w:r>
            <w:r w:rsidR="00001284" w:rsidRPr="0046041D">
              <w:rPr>
                <w:rFonts w:ascii="Arial" w:hAnsi="Arial" w:cs="Arial"/>
                <w:sz w:val="20"/>
                <w:szCs w:val="20"/>
              </w:rPr>
              <w:t xml:space="preserve"> </w:t>
            </w:r>
            <w:r w:rsidR="00001284" w:rsidRPr="00001284">
              <w:rPr>
                <w:rFonts w:ascii="Arial" w:hAnsi="Arial" w:cs="Arial"/>
                <w:sz w:val="20"/>
                <w:szCs w:val="20"/>
              </w:rPr>
              <w:t xml:space="preserve">relative to crushed oxycodone IR </w:t>
            </w:r>
            <w:r w:rsidR="00001284">
              <w:rPr>
                <w:rFonts w:ascii="Arial" w:hAnsi="Arial" w:cs="Arial"/>
                <w:sz w:val="20"/>
                <w:szCs w:val="20"/>
              </w:rPr>
              <w:t xml:space="preserve">were experienced by 79% and 71% </w:t>
            </w:r>
            <w:r w:rsidR="00001284" w:rsidRPr="0046041D">
              <w:rPr>
                <w:rFonts w:ascii="Arial" w:hAnsi="Arial" w:cs="Arial"/>
                <w:sz w:val="20"/>
                <w:szCs w:val="20"/>
              </w:rPr>
              <w:t xml:space="preserve">of </w:t>
            </w:r>
            <w:r w:rsidR="00001284">
              <w:rPr>
                <w:rFonts w:ascii="Arial" w:hAnsi="Arial" w:cs="Arial"/>
                <w:sz w:val="20"/>
                <w:szCs w:val="20"/>
              </w:rPr>
              <w:t>patients</w:t>
            </w:r>
            <w:r w:rsidR="00001284" w:rsidRPr="0046041D">
              <w:rPr>
                <w:rFonts w:ascii="Arial" w:hAnsi="Arial" w:cs="Arial"/>
                <w:sz w:val="20"/>
                <w:szCs w:val="20"/>
              </w:rPr>
              <w:t>, respectively</w:t>
            </w:r>
            <w:r w:rsidR="00001284">
              <w:rPr>
                <w:rFonts w:ascii="Arial" w:hAnsi="Arial" w:cs="Arial"/>
                <w:sz w:val="20"/>
                <w:szCs w:val="20"/>
              </w:rPr>
              <w:t>,</w:t>
            </w:r>
            <w:r w:rsidR="00001284" w:rsidRPr="0046041D">
              <w:rPr>
                <w:rFonts w:ascii="Arial" w:hAnsi="Arial" w:cs="Arial"/>
                <w:sz w:val="20"/>
                <w:szCs w:val="20"/>
              </w:rPr>
              <w:t xml:space="preserve"> </w:t>
            </w:r>
            <w:r w:rsidR="00001284">
              <w:rPr>
                <w:rFonts w:ascii="Arial" w:hAnsi="Arial" w:cs="Arial"/>
                <w:sz w:val="20"/>
                <w:szCs w:val="20"/>
              </w:rPr>
              <w:t>receiving oxycodone/naltrexone ER</w:t>
            </w:r>
            <w:r w:rsidR="00001284" w:rsidRPr="0046041D">
              <w:rPr>
                <w:rFonts w:ascii="Arial" w:hAnsi="Arial" w:cs="Arial"/>
                <w:sz w:val="20"/>
                <w:szCs w:val="20"/>
              </w:rPr>
              <w:t>.</w:t>
            </w:r>
          </w:p>
          <w:p w:rsidR="007B289E" w:rsidRDefault="007B289E" w:rsidP="00001284">
            <w:pPr>
              <w:spacing w:after="0" w:line="240" w:lineRule="auto"/>
              <w:rPr>
                <w:rFonts w:ascii="Arial" w:hAnsi="Arial" w:cs="Arial"/>
                <w:sz w:val="20"/>
                <w:szCs w:val="20"/>
              </w:rPr>
            </w:pPr>
          </w:p>
          <w:p w:rsidR="007B289E" w:rsidRDefault="007B289E" w:rsidP="00001284">
            <w:pPr>
              <w:spacing w:after="0" w:line="240" w:lineRule="auto"/>
              <w:rPr>
                <w:rFonts w:ascii="Arial" w:hAnsi="Arial" w:cs="Arial"/>
                <w:sz w:val="20"/>
                <w:szCs w:val="20"/>
              </w:rPr>
            </w:pPr>
            <w:r>
              <w:rPr>
                <w:rFonts w:ascii="Arial" w:hAnsi="Arial" w:cs="Arial"/>
                <w:sz w:val="20"/>
                <w:szCs w:val="20"/>
              </w:rPr>
              <w:t>Secondary:</w:t>
            </w:r>
          </w:p>
          <w:p w:rsidR="007B289E" w:rsidRPr="007B289E" w:rsidRDefault="007B289E" w:rsidP="007B289E">
            <w:pPr>
              <w:spacing w:after="0" w:line="240" w:lineRule="auto"/>
              <w:rPr>
                <w:rFonts w:ascii="Arial" w:hAnsi="Arial" w:cs="Arial"/>
                <w:sz w:val="20"/>
                <w:szCs w:val="20"/>
              </w:rPr>
            </w:pPr>
            <w:r>
              <w:rPr>
                <w:rFonts w:ascii="Arial" w:hAnsi="Arial" w:cs="Arial"/>
                <w:sz w:val="20"/>
                <w:szCs w:val="20"/>
              </w:rPr>
              <w:t>Secondary</w:t>
            </w:r>
            <w:r w:rsidRPr="00C603ED">
              <w:rPr>
                <w:rFonts w:ascii="Arial" w:hAnsi="Arial" w:cs="Arial"/>
                <w:sz w:val="20"/>
                <w:szCs w:val="20"/>
              </w:rPr>
              <w:t xml:space="preserve"> VAS measures were lower for crushed </w:t>
            </w:r>
            <w:r>
              <w:rPr>
                <w:rFonts w:ascii="Arial" w:hAnsi="Arial" w:cs="Arial"/>
                <w:sz w:val="20"/>
                <w:szCs w:val="20"/>
              </w:rPr>
              <w:t>oxycodone/naltrexone</w:t>
            </w:r>
            <w:r w:rsidRPr="00C603ED">
              <w:rPr>
                <w:rFonts w:ascii="Arial" w:hAnsi="Arial" w:cs="Arial"/>
                <w:sz w:val="20"/>
                <w:szCs w:val="20"/>
              </w:rPr>
              <w:t xml:space="preserve"> ER </w:t>
            </w:r>
            <w:r>
              <w:rPr>
                <w:rFonts w:ascii="Arial" w:hAnsi="Arial" w:cs="Arial"/>
                <w:sz w:val="20"/>
                <w:szCs w:val="20"/>
              </w:rPr>
              <w:t>compared to oxycodone IR.</w:t>
            </w:r>
            <w:r w:rsidRPr="007B289E">
              <w:rPr>
                <w:rFonts w:ascii="Arial" w:hAnsi="Arial" w:cs="Arial"/>
                <w:sz w:val="20"/>
                <w:szCs w:val="20"/>
              </w:rPr>
              <w:t xml:space="preserve"> </w:t>
            </w: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for “take drug again” and “overall drug liking” </w:t>
            </w:r>
            <w:r w:rsidRPr="007B289E">
              <w:rPr>
                <w:rFonts w:ascii="Arial" w:hAnsi="Arial" w:cs="Arial"/>
                <w:sz w:val="20"/>
                <w:szCs w:val="20"/>
              </w:rPr>
              <w:t>(P&lt;0.0001)</w:t>
            </w:r>
            <w:r>
              <w:rPr>
                <w:rFonts w:ascii="Arial" w:hAnsi="Arial" w:cs="Arial"/>
                <w:sz w:val="20"/>
                <w:szCs w:val="20"/>
              </w:rPr>
              <w:t xml:space="preserve">, as well as for “any drug effects,” “good drug effects,” “sleepy,” and “dizzy,” (P&lt;0.01) were significantly lower with oxycodone/naltrexone ER compared to oxycodone IR. 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for “bad drug effects” and “nausea” were lower and for “feel sick” were higher with oxycodone/naltrexone ER compared to oxycodone IR, but these differences were not statistically significant.</w:t>
            </w:r>
          </w:p>
          <w:p w:rsidR="007B289E" w:rsidRDefault="007B289E" w:rsidP="007B289E">
            <w:pPr>
              <w:spacing w:after="0" w:line="240" w:lineRule="auto"/>
              <w:rPr>
                <w:rFonts w:ascii="Arial" w:hAnsi="Arial" w:cs="Arial"/>
                <w:sz w:val="20"/>
                <w:szCs w:val="20"/>
              </w:rPr>
            </w:pPr>
          </w:p>
          <w:p w:rsidR="007B289E" w:rsidRDefault="00246A51" w:rsidP="00246A51">
            <w:pPr>
              <w:spacing w:after="0" w:line="240" w:lineRule="auto"/>
              <w:rPr>
                <w:rFonts w:ascii="Arial" w:hAnsi="Arial" w:cs="Arial"/>
                <w:sz w:val="20"/>
                <w:szCs w:val="20"/>
              </w:rPr>
            </w:pPr>
            <w:r>
              <w:rPr>
                <w:rFonts w:ascii="Arial" w:hAnsi="Arial" w:cs="Arial"/>
                <w:sz w:val="20"/>
                <w:szCs w:val="20"/>
              </w:rPr>
              <w:t>P</w:t>
            </w:r>
            <w:r w:rsidR="007B289E" w:rsidRPr="007B289E">
              <w:rPr>
                <w:rFonts w:ascii="Arial" w:hAnsi="Arial" w:cs="Arial"/>
                <w:sz w:val="20"/>
                <w:szCs w:val="20"/>
              </w:rPr>
              <w:t xml:space="preserve">eak reduction in pupil diameter and </w:t>
            </w:r>
            <w:r>
              <w:rPr>
                <w:rFonts w:ascii="Arial" w:hAnsi="Arial" w:cs="Arial"/>
                <w:sz w:val="20"/>
                <w:szCs w:val="20"/>
              </w:rPr>
              <w:t>AUE</w:t>
            </w:r>
            <w:r>
              <w:rPr>
                <w:rFonts w:ascii="Arial" w:hAnsi="Arial" w:cs="Arial"/>
                <w:sz w:val="20"/>
                <w:szCs w:val="20"/>
                <w:vertAlign w:val="subscript"/>
              </w:rPr>
              <w:t>0-2h</w:t>
            </w:r>
            <w:r w:rsidR="007B289E" w:rsidRPr="007B289E">
              <w:rPr>
                <w:rFonts w:ascii="Arial" w:hAnsi="Arial" w:cs="Arial"/>
                <w:sz w:val="20"/>
                <w:szCs w:val="20"/>
              </w:rPr>
              <w:t xml:space="preserve"> were significantly less with </w:t>
            </w:r>
            <w:r>
              <w:rPr>
                <w:rFonts w:ascii="Arial" w:hAnsi="Arial" w:cs="Arial"/>
                <w:sz w:val="20"/>
                <w:szCs w:val="20"/>
              </w:rPr>
              <w:t>oxycodone/naltrexone</w:t>
            </w:r>
            <w:r w:rsidR="007B289E" w:rsidRPr="007B289E">
              <w:rPr>
                <w:rFonts w:ascii="Arial" w:hAnsi="Arial" w:cs="Arial"/>
                <w:sz w:val="20"/>
                <w:szCs w:val="20"/>
              </w:rPr>
              <w:t xml:space="preserve"> ER </w:t>
            </w:r>
            <w:r>
              <w:rPr>
                <w:rFonts w:ascii="Arial" w:hAnsi="Arial" w:cs="Arial"/>
                <w:sz w:val="20"/>
                <w:szCs w:val="20"/>
              </w:rPr>
              <w:t>compared to</w:t>
            </w:r>
            <w:r w:rsidR="007B289E" w:rsidRPr="007B289E">
              <w:rPr>
                <w:rFonts w:ascii="Arial" w:hAnsi="Arial" w:cs="Arial"/>
                <w:sz w:val="20"/>
                <w:szCs w:val="20"/>
              </w:rPr>
              <w:t xml:space="preserve"> oxycodone </w:t>
            </w:r>
            <w:r>
              <w:rPr>
                <w:rFonts w:ascii="Arial" w:hAnsi="Arial" w:cs="Arial"/>
                <w:sz w:val="20"/>
                <w:szCs w:val="20"/>
              </w:rPr>
              <w:t>IR (P&lt;</w:t>
            </w:r>
            <w:r w:rsidR="007B289E" w:rsidRPr="007B289E">
              <w:rPr>
                <w:rFonts w:ascii="Arial" w:hAnsi="Arial" w:cs="Arial"/>
                <w:sz w:val="20"/>
                <w:szCs w:val="20"/>
              </w:rPr>
              <w:t>0.0001).</w:t>
            </w:r>
          </w:p>
          <w:p w:rsidR="003107C9" w:rsidRDefault="003107C9" w:rsidP="00246A51">
            <w:pPr>
              <w:spacing w:after="0" w:line="240" w:lineRule="auto"/>
              <w:rPr>
                <w:rFonts w:ascii="Arial" w:hAnsi="Arial" w:cs="Arial"/>
                <w:sz w:val="20"/>
                <w:szCs w:val="20"/>
              </w:rPr>
            </w:pPr>
          </w:p>
          <w:p w:rsidR="003107C9" w:rsidRDefault="003148E8" w:rsidP="00246A51">
            <w:pPr>
              <w:spacing w:after="0" w:line="240" w:lineRule="auto"/>
              <w:rPr>
                <w:rFonts w:ascii="Arial" w:hAnsi="Arial" w:cs="Arial"/>
                <w:sz w:val="20"/>
                <w:szCs w:val="20"/>
              </w:rPr>
            </w:pPr>
            <w:r>
              <w:rPr>
                <w:rFonts w:ascii="Arial" w:hAnsi="Arial" w:cs="Arial"/>
                <w:sz w:val="20"/>
                <w:szCs w:val="20"/>
              </w:rPr>
              <w:t>The</w:t>
            </w:r>
            <w:r w:rsidRPr="003148E8">
              <w:rPr>
                <w:rFonts w:ascii="Arial" w:hAnsi="Arial" w:cs="Arial"/>
                <w:sz w:val="20"/>
                <w:szCs w:val="20"/>
              </w:rPr>
              <w:t xml:space="preserve"> absorption of oxycodone</w:t>
            </w:r>
            <w:r>
              <w:rPr>
                <w:rFonts w:ascii="Arial" w:hAnsi="Arial" w:cs="Arial"/>
                <w:sz w:val="20"/>
                <w:szCs w:val="20"/>
              </w:rPr>
              <w:t xml:space="preserve"> was delayed with oxycodone/naltrexone</w:t>
            </w:r>
            <w:r w:rsidRPr="007B289E">
              <w:rPr>
                <w:rFonts w:ascii="Arial" w:hAnsi="Arial" w:cs="Arial"/>
                <w:sz w:val="20"/>
                <w:szCs w:val="20"/>
              </w:rPr>
              <w:t xml:space="preserve"> </w:t>
            </w:r>
            <w:r w:rsidRPr="003148E8">
              <w:rPr>
                <w:rFonts w:ascii="Arial" w:hAnsi="Arial" w:cs="Arial"/>
                <w:sz w:val="20"/>
                <w:szCs w:val="20"/>
              </w:rPr>
              <w:t xml:space="preserve">ER </w:t>
            </w:r>
            <w:r>
              <w:rPr>
                <w:rFonts w:ascii="Arial" w:hAnsi="Arial" w:cs="Arial"/>
                <w:sz w:val="20"/>
                <w:szCs w:val="20"/>
              </w:rPr>
              <w:t>compared to</w:t>
            </w:r>
            <w:r w:rsidRPr="003148E8">
              <w:rPr>
                <w:rFonts w:ascii="Arial" w:hAnsi="Arial" w:cs="Arial"/>
                <w:sz w:val="20"/>
                <w:szCs w:val="20"/>
              </w:rPr>
              <w:t xml:space="preserve"> oxycodone </w:t>
            </w:r>
            <w:r>
              <w:rPr>
                <w:rFonts w:ascii="Arial" w:hAnsi="Arial" w:cs="Arial"/>
                <w:sz w:val="20"/>
                <w:szCs w:val="20"/>
              </w:rPr>
              <w:t xml:space="preserve">IR </w:t>
            </w:r>
            <w:r w:rsidRPr="003148E8">
              <w:rPr>
                <w:rFonts w:ascii="Arial" w:hAnsi="Arial" w:cs="Arial"/>
                <w:sz w:val="20"/>
                <w:szCs w:val="20"/>
              </w:rPr>
              <w:t xml:space="preserve">(median </w:t>
            </w:r>
            <w:proofErr w:type="spellStart"/>
            <w:r w:rsidRPr="003148E8">
              <w:rPr>
                <w:rFonts w:ascii="Arial" w:hAnsi="Arial" w:cs="Arial"/>
                <w:sz w:val="20"/>
                <w:szCs w:val="20"/>
              </w:rPr>
              <w:t>T</w:t>
            </w:r>
            <w:r w:rsidRPr="003148E8">
              <w:rPr>
                <w:rFonts w:ascii="Arial" w:hAnsi="Arial" w:cs="Arial"/>
                <w:sz w:val="20"/>
                <w:szCs w:val="20"/>
                <w:vertAlign w:val="subscript"/>
              </w:rPr>
              <w:t>max</w:t>
            </w:r>
            <w:proofErr w:type="spellEnd"/>
            <w:r w:rsidR="007D7C4D">
              <w:rPr>
                <w:rFonts w:ascii="Arial" w:hAnsi="Arial" w:cs="Arial"/>
                <w:sz w:val="20"/>
                <w:szCs w:val="20"/>
              </w:rPr>
              <w:t>,</w:t>
            </w:r>
            <w:r w:rsidRPr="003148E8">
              <w:rPr>
                <w:rFonts w:ascii="Arial" w:hAnsi="Arial" w:cs="Arial"/>
                <w:sz w:val="20"/>
                <w:szCs w:val="20"/>
              </w:rPr>
              <w:t xml:space="preserve"> 1.6 </w:t>
            </w:r>
            <w:r>
              <w:rPr>
                <w:rFonts w:ascii="Arial" w:hAnsi="Arial" w:cs="Arial"/>
                <w:sz w:val="20"/>
                <w:szCs w:val="20"/>
              </w:rPr>
              <w:t xml:space="preserve">vs 0.5 hours post-dose, respectively). The </w:t>
            </w:r>
            <w:proofErr w:type="spellStart"/>
            <w:r>
              <w:rPr>
                <w:rFonts w:ascii="Arial" w:hAnsi="Arial" w:cs="Arial"/>
                <w:sz w:val="20"/>
                <w:szCs w:val="20"/>
              </w:rPr>
              <w:t>AUC</w:t>
            </w:r>
            <w:r>
              <w:rPr>
                <w:rFonts w:ascii="Arial" w:hAnsi="Arial" w:cs="Arial"/>
                <w:sz w:val="20"/>
                <w:szCs w:val="20"/>
                <w:vertAlign w:val="subscript"/>
              </w:rPr>
              <w:t>inf</w:t>
            </w:r>
            <w:proofErr w:type="spellEnd"/>
            <w:r w:rsidRPr="003148E8">
              <w:rPr>
                <w:rFonts w:ascii="Arial" w:hAnsi="Arial" w:cs="Arial"/>
                <w:sz w:val="20"/>
                <w:szCs w:val="20"/>
              </w:rPr>
              <w:t xml:space="preserve"> was 20% lower </w:t>
            </w:r>
            <w:r w:rsidR="00CB2FD3">
              <w:rPr>
                <w:rFonts w:ascii="Arial" w:hAnsi="Arial" w:cs="Arial"/>
                <w:sz w:val="20"/>
                <w:szCs w:val="20"/>
              </w:rPr>
              <w:t>and the</w:t>
            </w:r>
            <w:r w:rsidRPr="003148E8">
              <w:rPr>
                <w:rFonts w:ascii="Arial" w:hAnsi="Arial" w:cs="Arial"/>
                <w:sz w:val="20"/>
                <w:szCs w:val="20"/>
              </w:rPr>
              <w:t xml:space="preserve"> mean C</w:t>
            </w:r>
            <w:r w:rsidRPr="003148E8">
              <w:rPr>
                <w:rFonts w:ascii="Arial" w:hAnsi="Arial" w:cs="Arial"/>
                <w:sz w:val="20"/>
                <w:szCs w:val="20"/>
                <w:vertAlign w:val="subscript"/>
              </w:rPr>
              <w:t>max</w:t>
            </w:r>
            <w:r w:rsidRPr="003148E8">
              <w:rPr>
                <w:rFonts w:ascii="Arial" w:hAnsi="Arial" w:cs="Arial"/>
                <w:sz w:val="20"/>
                <w:szCs w:val="20"/>
              </w:rPr>
              <w:t xml:space="preserve"> </w:t>
            </w:r>
            <w:r>
              <w:rPr>
                <w:rFonts w:ascii="Arial" w:hAnsi="Arial" w:cs="Arial"/>
                <w:sz w:val="20"/>
                <w:szCs w:val="20"/>
              </w:rPr>
              <w:t>was</w:t>
            </w:r>
            <w:r w:rsidRPr="003148E8">
              <w:rPr>
                <w:rFonts w:ascii="Arial" w:hAnsi="Arial" w:cs="Arial"/>
                <w:sz w:val="20"/>
                <w:szCs w:val="20"/>
              </w:rPr>
              <w:t xml:space="preserve"> approximately 30% lower for </w:t>
            </w:r>
            <w:r>
              <w:rPr>
                <w:rFonts w:ascii="Arial" w:hAnsi="Arial" w:cs="Arial"/>
                <w:sz w:val="20"/>
                <w:szCs w:val="20"/>
              </w:rPr>
              <w:t>oxycodone/naltrexone</w:t>
            </w:r>
            <w:r w:rsidRPr="007B289E">
              <w:rPr>
                <w:rFonts w:ascii="Arial" w:hAnsi="Arial" w:cs="Arial"/>
                <w:sz w:val="20"/>
                <w:szCs w:val="20"/>
              </w:rPr>
              <w:t xml:space="preserve"> </w:t>
            </w:r>
            <w:r>
              <w:rPr>
                <w:rFonts w:ascii="Arial" w:hAnsi="Arial" w:cs="Arial"/>
                <w:sz w:val="20"/>
                <w:szCs w:val="20"/>
              </w:rPr>
              <w:t>E</w:t>
            </w:r>
            <w:r w:rsidRPr="003148E8">
              <w:rPr>
                <w:rFonts w:ascii="Arial" w:hAnsi="Arial" w:cs="Arial"/>
                <w:sz w:val="20"/>
                <w:szCs w:val="20"/>
              </w:rPr>
              <w:t xml:space="preserve">R </w:t>
            </w:r>
            <w:r>
              <w:rPr>
                <w:rFonts w:ascii="Arial" w:hAnsi="Arial" w:cs="Arial"/>
                <w:sz w:val="20"/>
                <w:szCs w:val="20"/>
              </w:rPr>
              <w:t>compared to</w:t>
            </w:r>
            <w:r w:rsidRPr="003148E8">
              <w:rPr>
                <w:rFonts w:ascii="Arial" w:hAnsi="Arial" w:cs="Arial"/>
                <w:sz w:val="20"/>
                <w:szCs w:val="20"/>
              </w:rPr>
              <w:t xml:space="preserve"> oxycodone</w:t>
            </w:r>
            <w:r>
              <w:rPr>
                <w:rFonts w:ascii="Arial" w:hAnsi="Arial" w:cs="Arial"/>
                <w:sz w:val="20"/>
                <w:szCs w:val="20"/>
              </w:rPr>
              <w:t xml:space="preserve"> IR</w:t>
            </w:r>
            <w:r w:rsidRPr="003148E8">
              <w:rPr>
                <w:rFonts w:ascii="Arial" w:hAnsi="Arial" w:cs="Arial"/>
                <w:sz w:val="20"/>
                <w:szCs w:val="20"/>
              </w:rPr>
              <w:t xml:space="preserve">. </w:t>
            </w:r>
            <w:r w:rsidR="00CB2FD3">
              <w:rPr>
                <w:rFonts w:ascii="Arial" w:hAnsi="Arial" w:cs="Arial"/>
                <w:sz w:val="20"/>
                <w:szCs w:val="20"/>
              </w:rPr>
              <w:t>The half-life of oxycodone was similar between the two groups (~</w:t>
            </w:r>
            <w:r w:rsidR="00EF107E">
              <w:rPr>
                <w:rFonts w:ascii="Arial" w:hAnsi="Arial" w:cs="Arial"/>
                <w:sz w:val="20"/>
                <w:szCs w:val="20"/>
              </w:rPr>
              <w:t>4</w:t>
            </w:r>
            <w:r w:rsidRPr="003148E8">
              <w:rPr>
                <w:rFonts w:ascii="Arial" w:hAnsi="Arial" w:cs="Arial"/>
                <w:sz w:val="20"/>
                <w:szCs w:val="20"/>
              </w:rPr>
              <w:t xml:space="preserve"> hours</w:t>
            </w:r>
            <w:r w:rsidR="00CB2FD3">
              <w:rPr>
                <w:rFonts w:ascii="Arial" w:hAnsi="Arial" w:cs="Arial"/>
                <w:sz w:val="20"/>
                <w:szCs w:val="20"/>
              </w:rPr>
              <w:t>)</w:t>
            </w:r>
            <w:r w:rsidRPr="003148E8">
              <w:rPr>
                <w:rFonts w:ascii="Arial" w:hAnsi="Arial" w:cs="Arial"/>
                <w:sz w:val="20"/>
                <w:szCs w:val="20"/>
              </w:rPr>
              <w:t>.</w:t>
            </w:r>
          </w:p>
          <w:p w:rsidR="003148E8" w:rsidRDefault="003148E8" w:rsidP="00246A51">
            <w:pPr>
              <w:spacing w:after="0" w:line="240" w:lineRule="auto"/>
              <w:rPr>
                <w:rFonts w:ascii="Arial" w:hAnsi="Arial" w:cs="Arial"/>
                <w:sz w:val="20"/>
                <w:szCs w:val="20"/>
              </w:rPr>
            </w:pPr>
          </w:p>
          <w:p w:rsidR="003148E8" w:rsidRDefault="00CB2FD3" w:rsidP="003148E8">
            <w:pPr>
              <w:spacing w:after="0" w:line="240" w:lineRule="auto"/>
              <w:rPr>
                <w:rFonts w:ascii="Arial" w:hAnsi="Arial" w:cs="Arial"/>
                <w:sz w:val="20"/>
                <w:szCs w:val="20"/>
              </w:rPr>
            </w:pPr>
            <w:r>
              <w:rPr>
                <w:rFonts w:ascii="Arial" w:hAnsi="Arial" w:cs="Arial"/>
                <w:sz w:val="20"/>
                <w:szCs w:val="20"/>
              </w:rPr>
              <w:t>The absorption of noroxycodone</w:t>
            </w:r>
            <w:r w:rsidR="003148E8" w:rsidRPr="003148E8">
              <w:rPr>
                <w:rFonts w:ascii="Arial" w:hAnsi="Arial" w:cs="Arial"/>
                <w:sz w:val="20"/>
                <w:szCs w:val="20"/>
              </w:rPr>
              <w:t xml:space="preserve"> was </w:t>
            </w:r>
            <w:r>
              <w:rPr>
                <w:rFonts w:ascii="Arial" w:hAnsi="Arial" w:cs="Arial"/>
                <w:sz w:val="20"/>
                <w:szCs w:val="20"/>
              </w:rPr>
              <w:t xml:space="preserve">more rapid </w:t>
            </w:r>
            <w:r w:rsidR="003148E8" w:rsidRPr="003148E8">
              <w:rPr>
                <w:rFonts w:ascii="Arial" w:hAnsi="Arial" w:cs="Arial"/>
                <w:sz w:val="20"/>
                <w:szCs w:val="20"/>
              </w:rPr>
              <w:t xml:space="preserve">with </w:t>
            </w:r>
            <w:r w:rsidR="003148E8">
              <w:rPr>
                <w:rFonts w:ascii="Arial" w:hAnsi="Arial" w:cs="Arial"/>
                <w:sz w:val="20"/>
                <w:szCs w:val="20"/>
              </w:rPr>
              <w:t>oxycodone/naltrexone</w:t>
            </w:r>
            <w:r w:rsidR="003148E8" w:rsidRPr="007B289E">
              <w:rPr>
                <w:rFonts w:ascii="Arial" w:hAnsi="Arial" w:cs="Arial"/>
                <w:sz w:val="20"/>
                <w:szCs w:val="20"/>
              </w:rPr>
              <w:t xml:space="preserve"> </w:t>
            </w:r>
            <w:r w:rsidR="003148E8" w:rsidRPr="003148E8">
              <w:rPr>
                <w:rFonts w:ascii="Arial" w:hAnsi="Arial" w:cs="Arial"/>
                <w:sz w:val="20"/>
                <w:szCs w:val="20"/>
              </w:rPr>
              <w:t xml:space="preserve">ER </w:t>
            </w:r>
            <w:r>
              <w:rPr>
                <w:rFonts w:ascii="Arial" w:hAnsi="Arial" w:cs="Arial"/>
                <w:sz w:val="20"/>
                <w:szCs w:val="20"/>
              </w:rPr>
              <w:t>compared to</w:t>
            </w:r>
            <w:r w:rsidR="003148E8" w:rsidRPr="003148E8">
              <w:rPr>
                <w:rFonts w:ascii="Arial" w:hAnsi="Arial" w:cs="Arial"/>
                <w:sz w:val="20"/>
                <w:szCs w:val="20"/>
              </w:rPr>
              <w:t xml:space="preserve"> oxycodone </w:t>
            </w:r>
            <w:r>
              <w:rPr>
                <w:rFonts w:ascii="Arial" w:hAnsi="Arial" w:cs="Arial"/>
                <w:sz w:val="20"/>
                <w:szCs w:val="20"/>
              </w:rPr>
              <w:t>IR</w:t>
            </w:r>
            <w:r w:rsidR="003148E8" w:rsidRPr="003148E8">
              <w:rPr>
                <w:rFonts w:ascii="Arial" w:hAnsi="Arial" w:cs="Arial"/>
                <w:sz w:val="20"/>
                <w:szCs w:val="20"/>
              </w:rPr>
              <w:t xml:space="preserve"> (median </w:t>
            </w:r>
            <w:proofErr w:type="spellStart"/>
            <w:r w:rsidR="003148E8" w:rsidRPr="003148E8">
              <w:rPr>
                <w:rFonts w:ascii="Arial" w:hAnsi="Arial" w:cs="Arial"/>
                <w:sz w:val="20"/>
                <w:szCs w:val="20"/>
              </w:rPr>
              <w:t>T</w:t>
            </w:r>
            <w:r w:rsidR="003148E8" w:rsidRPr="00CB2FD3">
              <w:rPr>
                <w:rFonts w:ascii="Arial" w:hAnsi="Arial" w:cs="Arial"/>
                <w:sz w:val="20"/>
                <w:szCs w:val="20"/>
                <w:vertAlign w:val="subscript"/>
              </w:rPr>
              <w:t>max</w:t>
            </w:r>
            <w:proofErr w:type="spellEnd"/>
            <w:r w:rsidR="003148E8" w:rsidRPr="003148E8">
              <w:rPr>
                <w:rFonts w:ascii="Arial" w:hAnsi="Arial" w:cs="Arial"/>
                <w:sz w:val="20"/>
                <w:szCs w:val="20"/>
              </w:rPr>
              <w:t xml:space="preserve">: 2.1 </w:t>
            </w:r>
            <w:r>
              <w:rPr>
                <w:rFonts w:ascii="Arial" w:hAnsi="Arial" w:cs="Arial"/>
                <w:sz w:val="20"/>
                <w:szCs w:val="20"/>
              </w:rPr>
              <w:t>vs 4.1 hours post-</w:t>
            </w:r>
            <w:r w:rsidR="003148E8" w:rsidRPr="003148E8">
              <w:rPr>
                <w:rFonts w:ascii="Arial" w:hAnsi="Arial" w:cs="Arial"/>
                <w:sz w:val="20"/>
                <w:szCs w:val="20"/>
              </w:rPr>
              <w:t>dose, respectively). The mean C</w:t>
            </w:r>
            <w:r w:rsidR="003148E8" w:rsidRPr="00CB2FD3">
              <w:rPr>
                <w:rFonts w:ascii="Arial" w:hAnsi="Arial" w:cs="Arial"/>
                <w:sz w:val="20"/>
                <w:szCs w:val="20"/>
                <w:vertAlign w:val="subscript"/>
              </w:rPr>
              <w:t>max</w:t>
            </w:r>
            <w:r w:rsidR="003148E8" w:rsidRPr="003148E8">
              <w:rPr>
                <w:rFonts w:ascii="Arial" w:hAnsi="Arial" w:cs="Arial"/>
                <w:sz w:val="20"/>
                <w:szCs w:val="20"/>
              </w:rPr>
              <w:t xml:space="preserve"> for noroxycodone was 52% greater </w:t>
            </w:r>
            <w:r>
              <w:rPr>
                <w:rFonts w:ascii="Arial" w:hAnsi="Arial" w:cs="Arial"/>
                <w:sz w:val="20"/>
                <w:szCs w:val="20"/>
              </w:rPr>
              <w:t>and the</w:t>
            </w:r>
            <w:r w:rsidR="003148E8" w:rsidRPr="003148E8">
              <w:rPr>
                <w:rFonts w:ascii="Arial" w:hAnsi="Arial" w:cs="Arial"/>
                <w:sz w:val="20"/>
                <w:szCs w:val="20"/>
              </w:rPr>
              <w:t xml:space="preserve"> </w:t>
            </w:r>
            <w:proofErr w:type="spellStart"/>
            <w:r>
              <w:rPr>
                <w:rFonts w:ascii="Arial" w:hAnsi="Arial" w:cs="Arial"/>
                <w:sz w:val="20"/>
                <w:szCs w:val="20"/>
              </w:rPr>
              <w:t>AUC</w:t>
            </w:r>
            <w:r w:rsidRPr="00CB2FD3">
              <w:rPr>
                <w:rFonts w:ascii="Arial" w:hAnsi="Arial" w:cs="Arial"/>
                <w:sz w:val="20"/>
                <w:szCs w:val="20"/>
                <w:vertAlign w:val="subscript"/>
              </w:rPr>
              <w:t>inf</w:t>
            </w:r>
            <w:proofErr w:type="spellEnd"/>
            <w:r>
              <w:rPr>
                <w:rFonts w:ascii="Arial" w:hAnsi="Arial" w:cs="Arial"/>
                <w:sz w:val="20"/>
                <w:szCs w:val="20"/>
              </w:rPr>
              <w:t xml:space="preserve"> </w:t>
            </w:r>
            <w:r w:rsidR="003148E8" w:rsidRPr="003148E8">
              <w:rPr>
                <w:rFonts w:ascii="Arial" w:hAnsi="Arial" w:cs="Arial"/>
                <w:sz w:val="20"/>
                <w:szCs w:val="20"/>
              </w:rPr>
              <w:t xml:space="preserve">was approximately 8% greater </w:t>
            </w:r>
            <w:r>
              <w:rPr>
                <w:rFonts w:ascii="Arial" w:hAnsi="Arial" w:cs="Arial"/>
                <w:sz w:val="20"/>
                <w:szCs w:val="20"/>
              </w:rPr>
              <w:t>with</w:t>
            </w:r>
            <w:r w:rsidR="003148E8" w:rsidRPr="003148E8">
              <w:rPr>
                <w:rFonts w:ascii="Arial" w:hAnsi="Arial" w:cs="Arial"/>
                <w:sz w:val="20"/>
                <w:szCs w:val="20"/>
              </w:rPr>
              <w:t xml:space="preserve"> </w:t>
            </w:r>
            <w:r w:rsidR="003148E8">
              <w:rPr>
                <w:rFonts w:ascii="Arial" w:hAnsi="Arial" w:cs="Arial"/>
                <w:sz w:val="20"/>
                <w:szCs w:val="20"/>
              </w:rPr>
              <w:t>oxycodone/naltrexone</w:t>
            </w:r>
            <w:r w:rsidR="003148E8" w:rsidRPr="007B289E">
              <w:rPr>
                <w:rFonts w:ascii="Arial" w:hAnsi="Arial" w:cs="Arial"/>
                <w:sz w:val="20"/>
                <w:szCs w:val="20"/>
              </w:rPr>
              <w:t xml:space="preserve"> </w:t>
            </w:r>
            <w:r w:rsidR="003148E8" w:rsidRPr="003148E8">
              <w:rPr>
                <w:rFonts w:ascii="Arial" w:hAnsi="Arial" w:cs="Arial"/>
                <w:sz w:val="20"/>
                <w:szCs w:val="20"/>
              </w:rPr>
              <w:t xml:space="preserve">ER </w:t>
            </w:r>
            <w:r>
              <w:rPr>
                <w:rFonts w:ascii="Arial" w:hAnsi="Arial" w:cs="Arial"/>
                <w:sz w:val="20"/>
                <w:szCs w:val="20"/>
              </w:rPr>
              <w:t xml:space="preserve">compared to </w:t>
            </w:r>
            <w:r w:rsidR="003148E8" w:rsidRPr="003148E8">
              <w:rPr>
                <w:rFonts w:ascii="Arial" w:hAnsi="Arial" w:cs="Arial"/>
                <w:sz w:val="20"/>
                <w:szCs w:val="20"/>
              </w:rPr>
              <w:t>oxycodone</w:t>
            </w:r>
            <w:r>
              <w:rPr>
                <w:rFonts w:ascii="Arial" w:hAnsi="Arial" w:cs="Arial"/>
                <w:sz w:val="20"/>
                <w:szCs w:val="20"/>
              </w:rPr>
              <w:t xml:space="preserve"> IR</w:t>
            </w:r>
            <w:r w:rsidR="003148E8" w:rsidRPr="003148E8">
              <w:rPr>
                <w:rFonts w:ascii="Arial" w:hAnsi="Arial" w:cs="Arial"/>
                <w:sz w:val="20"/>
                <w:szCs w:val="20"/>
              </w:rPr>
              <w:t xml:space="preserve">. </w:t>
            </w:r>
            <w:r w:rsidRPr="00CB2FD3">
              <w:rPr>
                <w:rFonts w:ascii="Arial" w:hAnsi="Arial" w:cs="Arial"/>
                <w:sz w:val="20"/>
                <w:szCs w:val="20"/>
              </w:rPr>
              <w:t xml:space="preserve">The half-life of </w:t>
            </w:r>
            <w:r>
              <w:rPr>
                <w:rFonts w:ascii="Arial" w:hAnsi="Arial" w:cs="Arial"/>
                <w:sz w:val="20"/>
                <w:szCs w:val="20"/>
              </w:rPr>
              <w:t>nor</w:t>
            </w:r>
            <w:r w:rsidRPr="00CB2FD3">
              <w:rPr>
                <w:rFonts w:ascii="Arial" w:hAnsi="Arial" w:cs="Arial"/>
                <w:sz w:val="20"/>
                <w:szCs w:val="20"/>
              </w:rPr>
              <w:t>oxycodone was si</w:t>
            </w:r>
            <w:r>
              <w:rPr>
                <w:rFonts w:ascii="Arial" w:hAnsi="Arial" w:cs="Arial"/>
                <w:sz w:val="20"/>
                <w:szCs w:val="20"/>
              </w:rPr>
              <w:t>milar between the two groups (~7</w:t>
            </w:r>
            <w:r w:rsidRPr="00CB2FD3">
              <w:rPr>
                <w:rFonts w:ascii="Arial" w:hAnsi="Arial" w:cs="Arial"/>
                <w:sz w:val="20"/>
                <w:szCs w:val="20"/>
              </w:rPr>
              <w:t xml:space="preserve"> hours).</w:t>
            </w:r>
          </w:p>
          <w:p w:rsidR="003148E8" w:rsidRDefault="003148E8" w:rsidP="003148E8">
            <w:pPr>
              <w:spacing w:after="0" w:line="240" w:lineRule="auto"/>
              <w:rPr>
                <w:rFonts w:ascii="Arial" w:hAnsi="Arial" w:cs="Arial"/>
                <w:sz w:val="20"/>
                <w:szCs w:val="20"/>
              </w:rPr>
            </w:pPr>
          </w:p>
          <w:p w:rsidR="003148E8" w:rsidRDefault="00576F6F" w:rsidP="00576F6F">
            <w:pPr>
              <w:spacing w:after="0" w:line="240" w:lineRule="auto"/>
              <w:rPr>
                <w:rFonts w:ascii="Arial" w:hAnsi="Arial" w:cs="Arial"/>
                <w:sz w:val="20"/>
                <w:szCs w:val="20"/>
              </w:rPr>
            </w:pPr>
            <w:r>
              <w:rPr>
                <w:rFonts w:ascii="Arial" w:hAnsi="Arial" w:cs="Arial"/>
                <w:sz w:val="20"/>
                <w:szCs w:val="20"/>
              </w:rPr>
              <w:t>The</w:t>
            </w:r>
            <w:r w:rsidR="003148E8" w:rsidRPr="003148E8">
              <w:rPr>
                <w:rFonts w:ascii="Arial" w:hAnsi="Arial" w:cs="Arial"/>
                <w:sz w:val="20"/>
                <w:szCs w:val="20"/>
              </w:rPr>
              <w:t xml:space="preserve"> mean C</w:t>
            </w:r>
            <w:r w:rsidR="003148E8" w:rsidRPr="00576F6F">
              <w:rPr>
                <w:rFonts w:ascii="Arial" w:hAnsi="Arial" w:cs="Arial"/>
                <w:sz w:val="20"/>
                <w:szCs w:val="20"/>
                <w:vertAlign w:val="subscript"/>
              </w:rPr>
              <w:t>max</w:t>
            </w:r>
            <w:r w:rsidR="003148E8" w:rsidRPr="003148E8">
              <w:rPr>
                <w:rFonts w:ascii="Arial" w:hAnsi="Arial" w:cs="Arial"/>
                <w:sz w:val="20"/>
                <w:szCs w:val="20"/>
              </w:rPr>
              <w:t xml:space="preserve"> for naltrexone was 4.372 ng/mL</w:t>
            </w:r>
            <w:r>
              <w:rPr>
                <w:rFonts w:ascii="Arial" w:hAnsi="Arial" w:cs="Arial"/>
                <w:sz w:val="20"/>
                <w:szCs w:val="20"/>
              </w:rPr>
              <w:t xml:space="preserve"> </w:t>
            </w:r>
            <w:r w:rsidR="0000619E">
              <w:rPr>
                <w:rFonts w:ascii="Arial" w:hAnsi="Arial" w:cs="Arial"/>
                <w:sz w:val="20"/>
                <w:szCs w:val="20"/>
              </w:rPr>
              <w:t>with</w:t>
            </w:r>
            <w:r>
              <w:rPr>
                <w:rFonts w:ascii="Arial" w:hAnsi="Arial" w:cs="Arial"/>
                <w:sz w:val="20"/>
                <w:szCs w:val="20"/>
              </w:rPr>
              <w:t xml:space="preserve"> oxycodone/naltrexone ER</w:t>
            </w:r>
            <w:r w:rsidR="0000619E">
              <w:rPr>
                <w:rFonts w:ascii="Arial" w:hAnsi="Arial" w:cs="Arial"/>
                <w:sz w:val="20"/>
                <w:szCs w:val="20"/>
              </w:rPr>
              <w:t>. T</w:t>
            </w:r>
            <w:r>
              <w:rPr>
                <w:rFonts w:ascii="Arial" w:hAnsi="Arial" w:cs="Arial"/>
                <w:sz w:val="20"/>
                <w:szCs w:val="20"/>
              </w:rPr>
              <w:t xml:space="preserve">he median </w:t>
            </w:r>
            <w:proofErr w:type="spellStart"/>
            <w:r>
              <w:rPr>
                <w:rFonts w:ascii="Arial" w:hAnsi="Arial" w:cs="Arial"/>
                <w:sz w:val="20"/>
                <w:szCs w:val="20"/>
              </w:rPr>
              <w:t>T</w:t>
            </w:r>
            <w:r>
              <w:rPr>
                <w:rFonts w:ascii="Arial" w:hAnsi="Arial" w:cs="Arial"/>
                <w:sz w:val="20"/>
                <w:szCs w:val="20"/>
                <w:vertAlign w:val="subscript"/>
              </w:rPr>
              <w:t>max</w:t>
            </w:r>
            <w:proofErr w:type="spellEnd"/>
            <w:r w:rsidR="003148E8" w:rsidRPr="003148E8">
              <w:rPr>
                <w:rFonts w:ascii="Arial" w:hAnsi="Arial" w:cs="Arial"/>
                <w:sz w:val="20"/>
                <w:szCs w:val="20"/>
              </w:rPr>
              <w:t xml:space="preserve"> was </w:t>
            </w:r>
            <w:r>
              <w:rPr>
                <w:rFonts w:ascii="Arial" w:hAnsi="Arial" w:cs="Arial"/>
                <w:sz w:val="20"/>
                <w:szCs w:val="20"/>
              </w:rPr>
              <w:t>18 minutes post-</w:t>
            </w:r>
            <w:r w:rsidR="0000619E">
              <w:rPr>
                <w:rFonts w:ascii="Arial" w:hAnsi="Arial" w:cs="Arial"/>
                <w:sz w:val="20"/>
                <w:szCs w:val="20"/>
              </w:rPr>
              <w:t>dose. T</w:t>
            </w:r>
            <w:r>
              <w:rPr>
                <w:rFonts w:ascii="Arial" w:hAnsi="Arial" w:cs="Arial"/>
                <w:sz w:val="20"/>
                <w:szCs w:val="20"/>
              </w:rPr>
              <w:t xml:space="preserve">he </w:t>
            </w:r>
            <w:r w:rsidR="003148E8" w:rsidRPr="003148E8">
              <w:rPr>
                <w:rFonts w:ascii="Arial" w:hAnsi="Arial" w:cs="Arial"/>
                <w:sz w:val="20"/>
                <w:szCs w:val="20"/>
              </w:rPr>
              <w:t xml:space="preserve">mean </w:t>
            </w:r>
            <w:proofErr w:type="spellStart"/>
            <w:r>
              <w:rPr>
                <w:rFonts w:ascii="Arial" w:hAnsi="Arial" w:cs="Arial"/>
                <w:sz w:val="20"/>
                <w:szCs w:val="20"/>
              </w:rPr>
              <w:t>AUC</w:t>
            </w:r>
            <w:r w:rsidRPr="00576F6F">
              <w:rPr>
                <w:rFonts w:ascii="Arial" w:hAnsi="Arial" w:cs="Arial"/>
                <w:sz w:val="20"/>
                <w:szCs w:val="20"/>
                <w:vertAlign w:val="subscript"/>
              </w:rPr>
              <w:t>inf</w:t>
            </w:r>
            <w:proofErr w:type="spellEnd"/>
            <w:r w:rsidR="003148E8" w:rsidRPr="003148E8">
              <w:rPr>
                <w:rFonts w:ascii="Arial" w:hAnsi="Arial" w:cs="Arial"/>
                <w:sz w:val="20"/>
                <w:szCs w:val="20"/>
              </w:rPr>
              <w:t xml:space="preserve"> was 10.7 </w:t>
            </w:r>
            <w:proofErr w:type="spellStart"/>
            <w:r w:rsidR="003148E8" w:rsidRPr="003148E8">
              <w:rPr>
                <w:rFonts w:ascii="Arial" w:hAnsi="Arial" w:cs="Arial"/>
                <w:sz w:val="20"/>
                <w:szCs w:val="20"/>
              </w:rPr>
              <w:t>ng</w:t>
            </w:r>
            <w:r>
              <w:rPr>
                <w:rFonts w:ascii="Arial" w:hAnsi="Arial" w:cs="Arial"/>
                <w:sz w:val="20"/>
                <w:szCs w:val="20"/>
              </w:rPr>
              <w:t>∙</w:t>
            </w:r>
            <w:r w:rsidR="0000619E">
              <w:rPr>
                <w:rFonts w:ascii="Arial" w:hAnsi="Arial" w:cs="Arial"/>
                <w:sz w:val="20"/>
                <w:szCs w:val="20"/>
              </w:rPr>
              <w:t>h</w:t>
            </w:r>
            <w:proofErr w:type="spellEnd"/>
            <w:r w:rsidR="0000619E">
              <w:rPr>
                <w:rFonts w:ascii="Arial" w:hAnsi="Arial" w:cs="Arial"/>
                <w:sz w:val="20"/>
                <w:szCs w:val="20"/>
              </w:rPr>
              <w:t>/mL</w:t>
            </w:r>
            <w:r w:rsidR="003148E8" w:rsidRPr="003148E8">
              <w:rPr>
                <w:rFonts w:ascii="Arial" w:hAnsi="Arial" w:cs="Arial"/>
                <w:sz w:val="20"/>
                <w:szCs w:val="20"/>
              </w:rPr>
              <w:t xml:space="preserve"> and </w:t>
            </w:r>
            <w:r>
              <w:rPr>
                <w:rFonts w:ascii="Arial" w:hAnsi="Arial" w:cs="Arial"/>
                <w:sz w:val="20"/>
                <w:szCs w:val="20"/>
              </w:rPr>
              <w:t>the half-life</w:t>
            </w:r>
            <w:r w:rsidR="003148E8" w:rsidRPr="003148E8">
              <w:rPr>
                <w:rFonts w:ascii="Arial" w:hAnsi="Arial" w:cs="Arial"/>
                <w:sz w:val="20"/>
                <w:szCs w:val="20"/>
              </w:rPr>
              <w:t xml:space="preserve"> was 3.6 hours.</w:t>
            </w:r>
          </w:p>
          <w:p w:rsidR="00DC72F0" w:rsidRDefault="00DC72F0" w:rsidP="00576F6F">
            <w:pPr>
              <w:spacing w:after="0" w:line="240" w:lineRule="auto"/>
              <w:rPr>
                <w:rFonts w:ascii="Arial" w:hAnsi="Arial" w:cs="Arial"/>
                <w:sz w:val="20"/>
                <w:szCs w:val="20"/>
              </w:rPr>
            </w:pPr>
          </w:p>
          <w:p w:rsidR="00DC72F0" w:rsidRDefault="00DC72F0" w:rsidP="00DC72F0">
            <w:pPr>
              <w:spacing w:after="0" w:line="240" w:lineRule="auto"/>
              <w:rPr>
                <w:rFonts w:ascii="Arial" w:hAnsi="Arial" w:cs="Arial"/>
                <w:sz w:val="20"/>
                <w:szCs w:val="20"/>
              </w:rPr>
            </w:pPr>
            <w:r>
              <w:rPr>
                <w:rFonts w:ascii="Arial" w:hAnsi="Arial" w:cs="Arial"/>
                <w:sz w:val="20"/>
                <w:szCs w:val="20"/>
              </w:rPr>
              <w:t xml:space="preserve">Adverse events characteristic of opioids </w:t>
            </w:r>
            <w:r w:rsidRPr="00DC72F0">
              <w:rPr>
                <w:rFonts w:ascii="Arial" w:hAnsi="Arial" w:cs="Arial"/>
                <w:sz w:val="20"/>
                <w:szCs w:val="20"/>
              </w:rPr>
              <w:t>(</w:t>
            </w:r>
            <w:r>
              <w:rPr>
                <w:rFonts w:ascii="Arial" w:hAnsi="Arial" w:cs="Arial"/>
                <w:sz w:val="20"/>
                <w:szCs w:val="20"/>
              </w:rPr>
              <w:t xml:space="preserve">i.e. </w:t>
            </w:r>
            <w:r w:rsidRPr="00DC72F0">
              <w:rPr>
                <w:rFonts w:ascii="Arial" w:hAnsi="Arial" w:cs="Arial"/>
                <w:sz w:val="20"/>
                <w:szCs w:val="20"/>
              </w:rPr>
              <w:t xml:space="preserve">euphoric mood, somnolence, nausea) were reported </w:t>
            </w:r>
            <w:r>
              <w:rPr>
                <w:rFonts w:ascii="Arial" w:hAnsi="Arial" w:cs="Arial"/>
                <w:sz w:val="20"/>
                <w:szCs w:val="20"/>
              </w:rPr>
              <w:t>less frequently</w:t>
            </w:r>
            <w:r w:rsidRPr="00DC72F0">
              <w:rPr>
                <w:rFonts w:ascii="Arial" w:hAnsi="Arial" w:cs="Arial"/>
                <w:sz w:val="20"/>
                <w:szCs w:val="20"/>
              </w:rPr>
              <w:t xml:space="preserve"> with </w:t>
            </w:r>
            <w:r>
              <w:rPr>
                <w:rFonts w:ascii="Arial" w:hAnsi="Arial" w:cs="Arial"/>
                <w:sz w:val="20"/>
                <w:szCs w:val="20"/>
              </w:rPr>
              <w:t>oxycodone/naltrexone</w:t>
            </w:r>
            <w:r w:rsidRPr="00DC72F0">
              <w:rPr>
                <w:rFonts w:ascii="Arial" w:hAnsi="Arial" w:cs="Arial"/>
                <w:sz w:val="20"/>
                <w:szCs w:val="20"/>
              </w:rPr>
              <w:t xml:space="preserve"> ER than with oxycodone</w:t>
            </w:r>
            <w:r>
              <w:rPr>
                <w:rFonts w:ascii="Arial" w:hAnsi="Arial" w:cs="Arial"/>
                <w:sz w:val="20"/>
                <w:szCs w:val="20"/>
              </w:rPr>
              <w:t xml:space="preserve"> IR,</w:t>
            </w:r>
            <w:r w:rsidRPr="00DC72F0">
              <w:rPr>
                <w:rFonts w:ascii="Arial" w:hAnsi="Arial" w:cs="Arial"/>
                <w:sz w:val="20"/>
                <w:szCs w:val="20"/>
              </w:rPr>
              <w:t xml:space="preserve"> particularly for euphoric mood (</w:t>
            </w:r>
            <w:r w:rsidR="00C32628">
              <w:rPr>
                <w:rFonts w:ascii="Arial" w:hAnsi="Arial" w:cs="Arial"/>
                <w:sz w:val="20"/>
                <w:szCs w:val="20"/>
              </w:rPr>
              <w:t>33</w:t>
            </w:r>
            <w:r>
              <w:rPr>
                <w:rFonts w:ascii="Arial" w:hAnsi="Arial" w:cs="Arial"/>
                <w:sz w:val="20"/>
                <w:szCs w:val="20"/>
              </w:rPr>
              <w:t xml:space="preserve"> vs 84%, respectively). No </w:t>
            </w:r>
            <w:r w:rsidRPr="00DC72F0">
              <w:rPr>
                <w:rFonts w:ascii="Arial" w:hAnsi="Arial" w:cs="Arial"/>
                <w:sz w:val="20"/>
                <w:szCs w:val="20"/>
              </w:rPr>
              <w:t>clinically significant abnormalities were seen in vital signs, ECG, physical examination, laboratory values, oxygen saturation, or end-tidal carbon dioxide.</w:t>
            </w:r>
          </w:p>
          <w:p w:rsidR="00DC72F0" w:rsidRDefault="00DC72F0" w:rsidP="00DC72F0">
            <w:pPr>
              <w:spacing w:after="0" w:line="240" w:lineRule="auto"/>
              <w:rPr>
                <w:rFonts w:ascii="Arial" w:hAnsi="Arial" w:cs="Arial"/>
                <w:sz w:val="20"/>
                <w:szCs w:val="20"/>
              </w:rPr>
            </w:pPr>
          </w:p>
          <w:p w:rsidR="00DC72F0" w:rsidRDefault="00DC72F0" w:rsidP="0029592B">
            <w:pPr>
              <w:spacing w:after="0" w:line="240" w:lineRule="auto"/>
              <w:rPr>
                <w:rFonts w:ascii="Arial" w:hAnsi="Arial" w:cs="Arial"/>
                <w:sz w:val="20"/>
                <w:szCs w:val="20"/>
              </w:rPr>
            </w:pPr>
            <w:r>
              <w:rPr>
                <w:rFonts w:ascii="Arial" w:hAnsi="Arial" w:cs="Arial"/>
                <w:sz w:val="20"/>
                <w:szCs w:val="20"/>
              </w:rPr>
              <w:t xml:space="preserve">Nasal </w:t>
            </w:r>
            <w:r w:rsidRPr="00DC72F0">
              <w:rPr>
                <w:rFonts w:ascii="Arial" w:hAnsi="Arial" w:cs="Arial"/>
                <w:sz w:val="20"/>
                <w:szCs w:val="20"/>
              </w:rPr>
              <w:t xml:space="preserve">tract–related </w:t>
            </w:r>
            <w:r>
              <w:rPr>
                <w:rFonts w:ascii="Arial" w:hAnsi="Arial" w:cs="Arial"/>
                <w:sz w:val="20"/>
                <w:szCs w:val="20"/>
              </w:rPr>
              <w:t>adverse events</w:t>
            </w:r>
            <w:r w:rsidRPr="00DC72F0">
              <w:rPr>
                <w:rFonts w:ascii="Arial" w:hAnsi="Arial" w:cs="Arial"/>
                <w:sz w:val="20"/>
                <w:szCs w:val="20"/>
              </w:rPr>
              <w:t xml:space="preserve"> were infrequent and mild in intensity</w:t>
            </w:r>
            <w:r>
              <w:rPr>
                <w:rFonts w:ascii="Arial" w:hAnsi="Arial" w:cs="Arial"/>
                <w:sz w:val="20"/>
                <w:szCs w:val="20"/>
              </w:rPr>
              <w:t>,</w:t>
            </w:r>
            <w:r w:rsidRPr="00DC72F0">
              <w:rPr>
                <w:rFonts w:ascii="Arial" w:hAnsi="Arial" w:cs="Arial"/>
                <w:sz w:val="20"/>
                <w:szCs w:val="20"/>
              </w:rPr>
              <w:t xml:space="preserve"> and occurred more commonly with oxycodone</w:t>
            </w:r>
            <w:r>
              <w:rPr>
                <w:rFonts w:ascii="Arial" w:hAnsi="Arial" w:cs="Arial"/>
                <w:sz w:val="20"/>
                <w:szCs w:val="20"/>
              </w:rPr>
              <w:t xml:space="preserve"> IR</w:t>
            </w:r>
            <w:r w:rsidRPr="00DC72F0">
              <w:rPr>
                <w:rFonts w:ascii="Arial" w:hAnsi="Arial" w:cs="Arial"/>
                <w:sz w:val="20"/>
                <w:szCs w:val="20"/>
              </w:rPr>
              <w:t xml:space="preserve">. </w:t>
            </w:r>
            <w:r>
              <w:rPr>
                <w:rFonts w:ascii="Arial" w:hAnsi="Arial" w:cs="Arial"/>
                <w:sz w:val="20"/>
                <w:szCs w:val="20"/>
              </w:rPr>
              <w:t>N</w:t>
            </w:r>
            <w:r w:rsidRPr="00DC72F0">
              <w:rPr>
                <w:rFonts w:ascii="Arial" w:hAnsi="Arial" w:cs="Arial"/>
                <w:sz w:val="20"/>
                <w:szCs w:val="20"/>
              </w:rPr>
              <w:t xml:space="preserve">asal irritation scores were low for all treatments, </w:t>
            </w:r>
            <w:r w:rsidR="0029592B">
              <w:rPr>
                <w:rFonts w:ascii="Arial" w:hAnsi="Arial" w:cs="Arial"/>
                <w:sz w:val="20"/>
                <w:szCs w:val="20"/>
              </w:rPr>
              <w:t xml:space="preserve">but were numerically </w:t>
            </w:r>
            <w:r w:rsidRPr="00DC72F0">
              <w:rPr>
                <w:rFonts w:ascii="Arial" w:hAnsi="Arial" w:cs="Arial"/>
                <w:sz w:val="20"/>
                <w:szCs w:val="20"/>
              </w:rPr>
              <w:t>higher</w:t>
            </w:r>
            <w:r w:rsidR="0029592B">
              <w:rPr>
                <w:rFonts w:ascii="Arial" w:hAnsi="Arial" w:cs="Arial"/>
                <w:sz w:val="20"/>
                <w:szCs w:val="20"/>
              </w:rPr>
              <w:t xml:space="preserve"> with oxycodone IR. M</w:t>
            </w:r>
            <w:r w:rsidR="0029592B" w:rsidRPr="00DC72F0">
              <w:rPr>
                <w:rFonts w:ascii="Arial" w:hAnsi="Arial" w:cs="Arial"/>
                <w:sz w:val="20"/>
                <w:szCs w:val="20"/>
              </w:rPr>
              <w:t xml:space="preserve">ean </w:t>
            </w:r>
            <w:proofErr w:type="spellStart"/>
            <w:r w:rsidR="0029592B" w:rsidRPr="00DC72F0">
              <w:rPr>
                <w:rFonts w:ascii="Arial" w:hAnsi="Arial" w:cs="Arial"/>
                <w:sz w:val="20"/>
                <w:szCs w:val="20"/>
              </w:rPr>
              <w:t>E</w:t>
            </w:r>
            <w:r w:rsidR="0029592B" w:rsidRPr="0029592B">
              <w:rPr>
                <w:rFonts w:ascii="Arial" w:hAnsi="Arial" w:cs="Arial"/>
                <w:sz w:val="20"/>
                <w:szCs w:val="20"/>
                <w:vertAlign w:val="subscript"/>
              </w:rPr>
              <w:t>max</w:t>
            </w:r>
            <w:proofErr w:type="spellEnd"/>
            <w:r w:rsidR="0029592B">
              <w:rPr>
                <w:rFonts w:ascii="Arial" w:hAnsi="Arial" w:cs="Arial"/>
                <w:sz w:val="20"/>
                <w:szCs w:val="20"/>
              </w:rPr>
              <w:t xml:space="preserve"> and AUE</w:t>
            </w:r>
            <w:r w:rsidR="0029592B">
              <w:rPr>
                <w:rFonts w:ascii="Arial" w:hAnsi="Arial" w:cs="Arial"/>
                <w:sz w:val="20"/>
                <w:szCs w:val="20"/>
                <w:vertAlign w:val="subscript"/>
              </w:rPr>
              <w:t>0-2h</w:t>
            </w:r>
            <w:r w:rsidR="0029592B">
              <w:rPr>
                <w:rFonts w:ascii="Arial" w:hAnsi="Arial" w:cs="Arial"/>
                <w:sz w:val="20"/>
                <w:szCs w:val="20"/>
              </w:rPr>
              <w:t xml:space="preserve"> f</w:t>
            </w:r>
            <w:r w:rsidRPr="00DC72F0">
              <w:rPr>
                <w:rFonts w:ascii="Arial" w:hAnsi="Arial" w:cs="Arial"/>
                <w:sz w:val="20"/>
                <w:szCs w:val="20"/>
              </w:rPr>
              <w:t>or burning, need to blow n</w:t>
            </w:r>
            <w:r w:rsidR="0029592B">
              <w:rPr>
                <w:rFonts w:ascii="Arial" w:hAnsi="Arial" w:cs="Arial"/>
                <w:sz w:val="20"/>
                <w:szCs w:val="20"/>
              </w:rPr>
              <w:t>ose, and facial pain/pressure were</w:t>
            </w:r>
            <w:r w:rsidR="006A1C70">
              <w:rPr>
                <w:rFonts w:ascii="Arial" w:hAnsi="Arial" w:cs="Arial"/>
                <w:sz w:val="20"/>
                <w:szCs w:val="20"/>
              </w:rPr>
              <w:t xml:space="preserve"> slightly</w:t>
            </w:r>
            <w:r w:rsidR="0029592B">
              <w:rPr>
                <w:rFonts w:ascii="Arial" w:hAnsi="Arial" w:cs="Arial"/>
                <w:sz w:val="20"/>
                <w:szCs w:val="20"/>
              </w:rPr>
              <w:t xml:space="preserve"> higher with oxycodone IR compared to oxycodone/naltrexone</w:t>
            </w:r>
            <w:r w:rsidRPr="00DC72F0">
              <w:rPr>
                <w:rFonts w:ascii="Arial" w:hAnsi="Arial" w:cs="Arial"/>
                <w:sz w:val="20"/>
                <w:szCs w:val="20"/>
              </w:rPr>
              <w:t xml:space="preserve"> ER </w:t>
            </w:r>
            <w:r w:rsidR="0029592B">
              <w:rPr>
                <w:rFonts w:ascii="Arial" w:hAnsi="Arial" w:cs="Arial"/>
                <w:sz w:val="20"/>
                <w:szCs w:val="20"/>
              </w:rPr>
              <w:t>and</w:t>
            </w:r>
            <w:r w:rsidRPr="00DC72F0">
              <w:rPr>
                <w:rFonts w:ascii="Arial" w:hAnsi="Arial" w:cs="Arial"/>
                <w:sz w:val="20"/>
                <w:szCs w:val="20"/>
              </w:rPr>
              <w:t xml:space="preserve"> placebo.</w:t>
            </w:r>
          </w:p>
        </w:tc>
      </w:tr>
      <w:tr w:rsidR="00B24242" w:rsidRPr="0044122B" w:rsidTr="001723DB">
        <w:tc>
          <w:tcPr>
            <w:tcW w:w="2640" w:type="dxa"/>
          </w:tcPr>
          <w:p w:rsidR="00B24242" w:rsidRDefault="00000994" w:rsidP="000B3401">
            <w:pPr>
              <w:spacing w:after="0" w:line="240" w:lineRule="auto"/>
              <w:rPr>
                <w:rFonts w:ascii="Arial" w:hAnsi="Arial" w:cs="Arial"/>
                <w:sz w:val="20"/>
                <w:szCs w:val="20"/>
              </w:rPr>
            </w:pPr>
            <w:proofErr w:type="spellStart"/>
            <w:r>
              <w:rPr>
                <w:rFonts w:ascii="Arial" w:hAnsi="Arial" w:cs="Arial"/>
                <w:sz w:val="20"/>
                <w:szCs w:val="20"/>
              </w:rPr>
              <w:t>Backonja</w:t>
            </w:r>
            <w:proofErr w:type="spellEnd"/>
            <w:r>
              <w:rPr>
                <w:rFonts w:ascii="Arial" w:hAnsi="Arial" w:cs="Arial"/>
                <w:sz w:val="20"/>
                <w:szCs w:val="20"/>
              </w:rPr>
              <w:t xml:space="preserve"> et al</w:t>
            </w:r>
            <w:r>
              <w:rPr>
                <w:rFonts w:ascii="Arial" w:hAnsi="Arial" w:cs="Arial"/>
                <w:sz w:val="20"/>
                <w:szCs w:val="20"/>
                <w:vertAlign w:val="superscript"/>
              </w:rPr>
              <w:t>2</w:t>
            </w:r>
            <w:r w:rsidR="003B4259">
              <w:rPr>
                <w:rFonts w:ascii="Arial" w:hAnsi="Arial" w:cs="Arial"/>
                <w:sz w:val="20"/>
                <w:szCs w:val="20"/>
                <w:vertAlign w:val="superscript"/>
              </w:rPr>
              <w:t>,8</w:t>
            </w:r>
            <w:r w:rsidR="000154A0">
              <w:rPr>
                <w:rFonts w:ascii="Arial" w:hAnsi="Arial" w:cs="Arial"/>
                <w:sz w:val="20"/>
                <w:szCs w:val="20"/>
              </w:rPr>
              <w:t>*</w:t>
            </w:r>
          </w:p>
          <w:p w:rsidR="000154A0" w:rsidRDefault="000154A0" w:rsidP="000B3401">
            <w:pPr>
              <w:spacing w:after="0" w:line="240" w:lineRule="auto"/>
              <w:rPr>
                <w:rFonts w:ascii="Arial" w:hAnsi="Arial" w:cs="Arial"/>
                <w:sz w:val="20"/>
                <w:szCs w:val="20"/>
              </w:rPr>
            </w:pPr>
          </w:p>
          <w:p w:rsidR="00000994" w:rsidRDefault="00105370" w:rsidP="000B3401">
            <w:pPr>
              <w:spacing w:after="0" w:line="240" w:lineRule="auto"/>
              <w:rPr>
                <w:rFonts w:ascii="Arial" w:hAnsi="Arial" w:cs="Arial"/>
                <w:sz w:val="20"/>
                <w:szCs w:val="20"/>
              </w:rPr>
            </w:pPr>
            <w:r>
              <w:rPr>
                <w:rFonts w:ascii="Arial" w:hAnsi="Arial" w:cs="Arial"/>
                <w:sz w:val="20"/>
                <w:szCs w:val="20"/>
              </w:rPr>
              <w:t xml:space="preserve">Oxycodone 20 mg </w:t>
            </w:r>
            <w:r w:rsidR="00384199">
              <w:rPr>
                <w:rFonts w:ascii="Arial" w:hAnsi="Arial" w:cs="Arial"/>
                <w:sz w:val="20"/>
                <w:szCs w:val="20"/>
              </w:rPr>
              <w:t>and naltrexone 2.4 mg IV in solution</w:t>
            </w:r>
          </w:p>
          <w:p w:rsidR="00384199" w:rsidRDefault="00384199" w:rsidP="000B3401">
            <w:pPr>
              <w:spacing w:after="0" w:line="240" w:lineRule="auto"/>
              <w:rPr>
                <w:rFonts w:ascii="Arial" w:hAnsi="Arial" w:cs="Arial"/>
                <w:sz w:val="20"/>
                <w:szCs w:val="20"/>
              </w:rPr>
            </w:pPr>
          </w:p>
          <w:p w:rsidR="00384199" w:rsidRDefault="00384199" w:rsidP="000B3401">
            <w:pPr>
              <w:spacing w:after="0" w:line="240" w:lineRule="auto"/>
              <w:rPr>
                <w:rFonts w:ascii="Arial" w:hAnsi="Arial" w:cs="Arial"/>
                <w:sz w:val="20"/>
                <w:szCs w:val="20"/>
              </w:rPr>
            </w:pPr>
            <w:r>
              <w:rPr>
                <w:rFonts w:ascii="Arial" w:hAnsi="Arial" w:cs="Arial"/>
                <w:sz w:val="20"/>
                <w:szCs w:val="20"/>
              </w:rPr>
              <w:t>vs</w:t>
            </w:r>
          </w:p>
          <w:p w:rsidR="00384199" w:rsidRDefault="00384199" w:rsidP="000B3401">
            <w:pPr>
              <w:spacing w:after="0" w:line="240" w:lineRule="auto"/>
              <w:rPr>
                <w:rFonts w:ascii="Arial" w:hAnsi="Arial" w:cs="Arial"/>
                <w:sz w:val="20"/>
                <w:szCs w:val="20"/>
              </w:rPr>
            </w:pPr>
          </w:p>
          <w:p w:rsidR="00384199" w:rsidRDefault="00384199" w:rsidP="000B3401">
            <w:pPr>
              <w:spacing w:after="0" w:line="240" w:lineRule="auto"/>
              <w:rPr>
                <w:rFonts w:ascii="Arial" w:hAnsi="Arial" w:cs="Arial"/>
                <w:sz w:val="20"/>
                <w:szCs w:val="20"/>
              </w:rPr>
            </w:pPr>
            <w:r>
              <w:rPr>
                <w:rFonts w:ascii="Arial" w:hAnsi="Arial" w:cs="Arial"/>
                <w:sz w:val="20"/>
                <w:szCs w:val="20"/>
              </w:rPr>
              <w:t>oxycodone 20 mg IV</w:t>
            </w:r>
          </w:p>
          <w:p w:rsidR="00384199" w:rsidRDefault="00384199" w:rsidP="000B3401">
            <w:pPr>
              <w:spacing w:after="0" w:line="240" w:lineRule="auto"/>
              <w:rPr>
                <w:rFonts w:ascii="Arial" w:hAnsi="Arial" w:cs="Arial"/>
                <w:sz w:val="20"/>
                <w:szCs w:val="20"/>
              </w:rPr>
            </w:pPr>
          </w:p>
          <w:p w:rsidR="00384199" w:rsidRDefault="00384199" w:rsidP="000B3401">
            <w:pPr>
              <w:spacing w:after="0" w:line="240" w:lineRule="auto"/>
              <w:rPr>
                <w:rFonts w:ascii="Arial" w:hAnsi="Arial" w:cs="Arial"/>
                <w:sz w:val="20"/>
                <w:szCs w:val="20"/>
              </w:rPr>
            </w:pPr>
            <w:r>
              <w:rPr>
                <w:rFonts w:ascii="Arial" w:hAnsi="Arial" w:cs="Arial"/>
                <w:sz w:val="20"/>
                <w:szCs w:val="20"/>
              </w:rPr>
              <w:t>vs</w:t>
            </w:r>
          </w:p>
          <w:p w:rsidR="00384199" w:rsidRDefault="00384199" w:rsidP="000B3401">
            <w:pPr>
              <w:spacing w:after="0" w:line="240" w:lineRule="auto"/>
              <w:rPr>
                <w:rFonts w:ascii="Arial" w:hAnsi="Arial" w:cs="Arial"/>
                <w:sz w:val="20"/>
                <w:szCs w:val="20"/>
              </w:rPr>
            </w:pPr>
          </w:p>
          <w:p w:rsidR="00384199" w:rsidRDefault="00384199" w:rsidP="000B3401">
            <w:pPr>
              <w:spacing w:after="0" w:line="240" w:lineRule="auto"/>
              <w:rPr>
                <w:rFonts w:ascii="Arial" w:hAnsi="Arial" w:cs="Arial"/>
                <w:sz w:val="20"/>
                <w:szCs w:val="20"/>
              </w:rPr>
            </w:pPr>
            <w:r>
              <w:rPr>
                <w:rFonts w:ascii="Arial" w:hAnsi="Arial" w:cs="Arial"/>
                <w:sz w:val="20"/>
                <w:szCs w:val="20"/>
              </w:rPr>
              <w:t>placebo (0.9% sodium chloride) IV</w:t>
            </w:r>
          </w:p>
          <w:p w:rsidR="00384199" w:rsidRDefault="00384199" w:rsidP="000B3401">
            <w:pPr>
              <w:spacing w:after="0" w:line="240" w:lineRule="auto"/>
              <w:rPr>
                <w:rFonts w:ascii="Arial" w:hAnsi="Arial" w:cs="Arial"/>
                <w:sz w:val="20"/>
                <w:szCs w:val="20"/>
              </w:rPr>
            </w:pPr>
          </w:p>
          <w:p w:rsidR="00384199" w:rsidRPr="00000994" w:rsidRDefault="00384199" w:rsidP="00384199">
            <w:pPr>
              <w:spacing w:after="0" w:line="240" w:lineRule="auto"/>
              <w:rPr>
                <w:rFonts w:ascii="Arial" w:hAnsi="Arial" w:cs="Arial"/>
                <w:sz w:val="20"/>
                <w:szCs w:val="20"/>
              </w:rPr>
            </w:pPr>
            <w:r>
              <w:rPr>
                <w:rFonts w:ascii="Arial" w:hAnsi="Arial" w:cs="Arial"/>
                <w:sz w:val="20"/>
                <w:szCs w:val="20"/>
              </w:rPr>
              <w:t xml:space="preserve">This trial consisted of four phases: a screening phase, </w:t>
            </w:r>
            <w:r w:rsidRPr="00C60932">
              <w:rPr>
                <w:rFonts w:ascii="Arial" w:hAnsi="Arial" w:cs="Arial"/>
                <w:sz w:val="20"/>
                <w:szCs w:val="20"/>
              </w:rPr>
              <w:t>a naloxone challenge, a drug discrimination phase, and a treatment phase</w:t>
            </w:r>
            <w:r>
              <w:rPr>
                <w:rFonts w:ascii="Arial" w:hAnsi="Arial" w:cs="Arial"/>
                <w:sz w:val="20"/>
                <w:szCs w:val="20"/>
              </w:rPr>
              <w:t>. The treatment phase consisted of three single-dose phases separated by a washout period of ≥5 days.</w:t>
            </w:r>
          </w:p>
        </w:tc>
        <w:tc>
          <w:tcPr>
            <w:tcW w:w="1760" w:type="dxa"/>
          </w:tcPr>
          <w:p w:rsidR="00B24242" w:rsidRDefault="00096264" w:rsidP="00096264">
            <w:pPr>
              <w:spacing w:after="0" w:line="240" w:lineRule="auto"/>
              <w:rPr>
                <w:rFonts w:ascii="Arial" w:hAnsi="Arial" w:cs="Arial"/>
                <w:sz w:val="20"/>
                <w:szCs w:val="20"/>
              </w:rPr>
            </w:pPr>
            <w:r>
              <w:rPr>
                <w:rFonts w:ascii="Arial" w:hAnsi="Arial" w:cs="Arial"/>
                <w:sz w:val="20"/>
                <w:szCs w:val="20"/>
              </w:rPr>
              <w:t>AC, DB, PC, RCT, XO</w:t>
            </w:r>
          </w:p>
          <w:p w:rsidR="00105370" w:rsidRDefault="00105370" w:rsidP="00096264">
            <w:pPr>
              <w:spacing w:after="0" w:line="240" w:lineRule="auto"/>
              <w:rPr>
                <w:rFonts w:ascii="Arial" w:hAnsi="Arial" w:cs="Arial"/>
                <w:sz w:val="20"/>
                <w:szCs w:val="20"/>
              </w:rPr>
            </w:pPr>
          </w:p>
          <w:p w:rsidR="00105370" w:rsidRDefault="00105370" w:rsidP="00384199">
            <w:pPr>
              <w:spacing w:after="0" w:line="240" w:lineRule="auto"/>
              <w:rPr>
                <w:rFonts w:ascii="Arial" w:hAnsi="Arial" w:cs="Arial"/>
                <w:sz w:val="20"/>
                <w:szCs w:val="20"/>
              </w:rPr>
            </w:pPr>
            <w:r>
              <w:rPr>
                <w:rFonts w:ascii="Arial" w:hAnsi="Arial" w:cs="Arial"/>
                <w:sz w:val="20"/>
                <w:szCs w:val="20"/>
              </w:rPr>
              <w:t xml:space="preserve">Healthy </w:t>
            </w:r>
            <w:r w:rsidRPr="00105370">
              <w:rPr>
                <w:rFonts w:ascii="Arial" w:hAnsi="Arial" w:cs="Arial"/>
                <w:sz w:val="20"/>
                <w:szCs w:val="20"/>
              </w:rPr>
              <w:t xml:space="preserve">non-dependent recreational opioid users </w:t>
            </w:r>
            <w:r>
              <w:rPr>
                <w:rFonts w:ascii="Arial" w:hAnsi="Arial" w:cs="Arial"/>
                <w:sz w:val="20"/>
                <w:szCs w:val="20"/>
              </w:rPr>
              <w:t xml:space="preserve">aged 18 to 55 years </w:t>
            </w:r>
            <w:r w:rsidR="00384199" w:rsidRPr="00384199">
              <w:rPr>
                <w:rFonts w:ascii="Arial" w:hAnsi="Arial" w:cs="Arial"/>
                <w:sz w:val="20"/>
                <w:szCs w:val="20"/>
              </w:rPr>
              <w:t xml:space="preserve">without a history or current diagnosis of substance abuse or dependence, who are not seeking treatment for substance-related disorders, </w:t>
            </w:r>
            <w:r w:rsidRPr="00105370">
              <w:rPr>
                <w:rFonts w:ascii="Arial" w:hAnsi="Arial" w:cs="Arial"/>
                <w:sz w:val="20"/>
                <w:szCs w:val="20"/>
              </w:rPr>
              <w:t xml:space="preserve">who have used opioids for non-therapeutic purposes at least 10 times in the past </w:t>
            </w:r>
            <w:r>
              <w:rPr>
                <w:rFonts w:ascii="Arial" w:hAnsi="Arial" w:cs="Arial"/>
                <w:sz w:val="20"/>
                <w:szCs w:val="20"/>
              </w:rPr>
              <w:t xml:space="preserve">year and </w:t>
            </w:r>
            <w:r w:rsidRPr="00105370">
              <w:rPr>
                <w:rFonts w:ascii="Arial" w:hAnsi="Arial" w:cs="Arial"/>
                <w:sz w:val="20"/>
                <w:szCs w:val="20"/>
              </w:rPr>
              <w:t xml:space="preserve">at least once in the past eight weeks, and who have used opioids </w:t>
            </w:r>
            <w:r>
              <w:rPr>
                <w:rFonts w:ascii="Arial" w:hAnsi="Arial" w:cs="Arial"/>
                <w:sz w:val="20"/>
                <w:szCs w:val="20"/>
              </w:rPr>
              <w:t xml:space="preserve">either </w:t>
            </w:r>
            <w:r w:rsidRPr="00105370">
              <w:rPr>
                <w:rFonts w:ascii="Arial" w:hAnsi="Arial" w:cs="Arial"/>
                <w:sz w:val="20"/>
                <w:szCs w:val="20"/>
              </w:rPr>
              <w:t xml:space="preserve">intranasally at least three times </w:t>
            </w:r>
            <w:r>
              <w:rPr>
                <w:rFonts w:ascii="Arial" w:hAnsi="Arial" w:cs="Arial"/>
                <w:sz w:val="20"/>
                <w:szCs w:val="20"/>
              </w:rPr>
              <w:t>or intravenously at least once in the past year</w:t>
            </w:r>
          </w:p>
        </w:tc>
        <w:tc>
          <w:tcPr>
            <w:tcW w:w="1540" w:type="dxa"/>
          </w:tcPr>
          <w:p w:rsidR="00B24242" w:rsidRDefault="00D24FFC" w:rsidP="000B3401">
            <w:pPr>
              <w:spacing w:after="0" w:line="240" w:lineRule="auto"/>
              <w:jc w:val="center"/>
              <w:rPr>
                <w:rFonts w:ascii="Arial" w:hAnsi="Arial" w:cs="Arial"/>
                <w:sz w:val="20"/>
                <w:szCs w:val="20"/>
              </w:rPr>
            </w:pPr>
            <w:r>
              <w:rPr>
                <w:rFonts w:ascii="Arial" w:hAnsi="Arial" w:cs="Arial"/>
                <w:sz w:val="20"/>
                <w:szCs w:val="20"/>
              </w:rPr>
              <w:t>N=29</w:t>
            </w:r>
          </w:p>
          <w:p w:rsidR="00D24FFC" w:rsidRDefault="00D24FFC" w:rsidP="000B3401">
            <w:pPr>
              <w:spacing w:after="0" w:line="240" w:lineRule="auto"/>
              <w:jc w:val="center"/>
              <w:rPr>
                <w:rFonts w:ascii="Arial" w:hAnsi="Arial" w:cs="Arial"/>
                <w:sz w:val="20"/>
                <w:szCs w:val="20"/>
              </w:rPr>
            </w:pPr>
          </w:p>
          <w:p w:rsidR="00D24FFC" w:rsidRDefault="00D24FFC" w:rsidP="000B3401">
            <w:pPr>
              <w:spacing w:after="0" w:line="240" w:lineRule="auto"/>
              <w:jc w:val="center"/>
              <w:rPr>
                <w:rFonts w:ascii="Arial" w:hAnsi="Arial" w:cs="Arial"/>
                <w:sz w:val="20"/>
                <w:szCs w:val="20"/>
              </w:rPr>
            </w:pPr>
            <w:r>
              <w:rPr>
                <w:rFonts w:ascii="Arial" w:hAnsi="Arial" w:cs="Arial"/>
                <w:sz w:val="20"/>
                <w:szCs w:val="20"/>
              </w:rPr>
              <w:t>Three treatment phases</w:t>
            </w:r>
          </w:p>
          <w:p w:rsidR="00D24FFC" w:rsidRDefault="00D24FFC" w:rsidP="000B3401">
            <w:pPr>
              <w:spacing w:after="0" w:line="240" w:lineRule="auto"/>
              <w:jc w:val="center"/>
              <w:rPr>
                <w:rFonts w:ascii="Arial" w:hAnsi="Arial" w:cs="Arial"/>
                <w:sz w:val="20"/>
                <w:szCs w:val="20"/>
              </w:rPr>
            </w:pPr>
          </w:p>
          <w:p w:rsidR="00D24FFC" w:rsidRDefault="00D24FFC" w:rsidP="000B3401">
            <w:pPr>
              <w:spacing w:after="0" w:line="240" w:lineRule="auto"/>
              <w:jc w:val="center"/>
              <w:rPr>
                <w:rFonts w:ascii="Arial" w:hAnsi="Arial" w:cs="Arial"/>
                <w:sz w:val="20"/>
                <w:szCs w:val="20"/>
              </w:rPr>
            </w:pPr>
          </w:p>
        </w:tc>
        <w:tc>
          <w:tcPr>
            <w:tcW w:w="1760" w:type="dxa"/>
          </w:tcPr>
          <w:p w:rsidR="001D7BDB" w:rsidRDefault="001D7BDB" w:rsidP="001D7BDB">
            <w:pPr>
              <w:spacing w:after="0" w:line="240" w:lineRule="auto"/>
              <w:rPr>
                <w:rFonts w:ascii="Arial" w:hAnsi="Arial" w:cs="Arial"/>
                <w:sz w:val="20"/>
                <w:szCs w:val="20"/>
              </w:rPr>
            </w:pPr>
            <w:r>
              <w:rPr>
                <w:rFonts w:ascii="Arial" w:hAnsi="Arial" w:cs="Arial"/>
                <w:sz w:val="20"/>
                <w:szCs w:val="20"/>
              </w:rPr>
              <w:t>Primary:</w:t>
            </w:r>
          </w:p>
          <w:p w:rsidR="001D7BDB" w:rsidRDefault="001D7BDB" w:rsidP="001D7BDB">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and AUE</w:t>
            </w:r>
            <w:r>
              <w:rPr>
                <w:rFonts w:ascii="Arial" w:hAnsi="Arial" w:cs="Arial"/>
                <w:sz w:val="20"/>
                <w:szCs w:val="20"/>
                <w:vertAlign w:val="subscript"/>
              </w:rPr>
              <w:t>0-2h</w:t>
            </w:r>
            <w:r>
              <w:rPr>
                <w:rFonts w:ascii="Arial" w:hAnsi="Arial" w:cs="Arial"/>
                <w:sz w:val="20"/>
                <w:szCs w:val="20"/>
              </w:rPr>
              <w:t xml:space="preserve"> for “drug liking” and “high” via the VAS</w:t>
            </w:r>
          </w:p>
          <w:p w:rsidR="001D7BDB" w:rsidRDefault="001D7BDB" w:rsidP="001D7BDB">
            <w:pPr>
              <w:spacing w:after="0" w:line="240" w:lineRule="auto"/>
              <w:rPr>
                <w:rFonts w:ascii="Arial" w:hAnsi="Arial" w:cs="Arial"/>
                <w:sz w:val="20"/>
                <w:szCs w:val="20"/>
              </w:rPr>
            </w:pPr>
          </w:p>
          <w:p w:rsidR="001D7BDB" w:rsidRDefault="001D7BDB" w:rsidP="001D7BDB">
            <w:pPr>
              <w:spacing w:after="0" w:line="240" w:lineRule="auto"/>
              <w:rPr>
                <w:rFonts w:ascii="Arial" w:hAnsi="Arial" w:cs="Arial"/>
                <w:sz w:val="20"/>
                <w:szCs w:val="20"/>
              </w:rPr>
            </w:pPr>
            <w:r>
              <w:rPr>
                <w:rFonts w:ascii="Arial" w:hAnsi="Arial" w:cs="Arial"/>
                <w:sz w:val="20"/>
                <w:szCs w:val="20"/>
              </w:rPr>
              <w:t>Secondary:</w:t>
            </w:r>
          </w:p>
          <w:p w:rsidR="001D7BDB" w:rsidRPr="00312D92" w:rsidRDefault="001D7BDB" w:rsidP="001D7BDB">
            <w:pPr>
              <w:spacing w:after="0" w:line="240" w:lineRule="auto"/>
              <w:rPr>
                <w:rFonts w:ascii="Arial" w:hAnsi="Arial" w:cs="Arial"/>
                <w:sz w:val="20"/>
                <w:szCs w:val="20"/>
              </w:rPr>
            </w:pPr>
            <w:r>
              <w:rPr>
                <w:rFonts w:ascii="Arial" w:hAnsi="Arial" w:cs="Arial"/>
                <w:sz w:val="20"/>
                <w:szCs w:val="20"/>
              </w:rPr>
              <w:t>VAS measures for “take drug again,” “overall drug liking,” “good drug effects,” “bad drug effects,” “any drug effects,” “feel sick,” “nausea,” “sleepy,” and “dizzy,” pupillometry, safety, plasma oxycodone and naltrexone C</w:t>
            </w:r>
            <w:r>
              <w:rPr>
                <w:rFonts w:ascii="Arial" w:hAnsi="Arial" w:cs="Arial"/>
                <w:sz w:val="20"/>
                <w:szCs w:val="20"/>
                <w:vertAlign w:val="subscript"/>
              </w:rPr>
              <w:t>5min</w:t>
            </w:r>
            <w:r>
              <w:rPr>
                <w:rFonts w:ascii="Arial" w:hAnsi="Arial" w:cs="Arial"/>
                <w:sz w:val="20"/>
                <w:szCs w:val="20"/>
              </w:rPr>
              <w:t xml:space="preserve">, </w:t>
            </w:r>
            <w:proofErr w:type="spellStart"/>
            <w:r>
              <w:rPr>
                <w:rFonts w:ascii="Arial" w:hAnsi="Arial" w:cs="Arial"/>
                <w:sz w:val="20"/>
                <w:szCs w:val="20"/>
              </w:rPr>
              <w:t>T</w:t>
            </w:r>
            <w:r>
              <w:rPr>
                <w:rFonts w:ascii="Arial" w:hAnsi="Arial" w:cs="Arial"/>
                <w:sz w:val="20"/>
                <w:szCs w:val="20"/>
                <w:vertAlign w:val="subscript"/>
              </w:rPr>
              <w:t>max</w:t>
            </w:r>
            <w:proofErr w:type="spellEnd"/>
            <w:r>
              <w:rPr>
                <w:rFonts w:ascii="Arial" w:hAnsi="Arial" w:cs="Arial"/>
                <w:sz w:val="20"/>
                <w:szCs w:val="20"/>
              </w:rPr>
              <w:t>, AUC</w:t>
            </w:r>
            <w:r>
              <w:rPr>
                <w:rFonts w:ascii="Arial" w:hAnsi="Arial" w:cs="Arial"/>
                <w:sz w:val="20"/>
                <w:szCs w:val="20"/>
                <w:vertAlign w:val="subscript"/>
              </w:rPr>
              <w:t>0-2h</w:t>
            </w:r>
            <w:r>
              <w:rPr>
                <w:rFonts w:ascii="Arial" w:hAnsi="Arial" w:cs="Arial"/>
                <w:sz w:val="20"/>
                <w:szCs w:val="20"/>
              </w:rPr>
              <w:t xml:space="preserve">, </w:t>
            </w:r>
            <w:proofErr w:type="spellStart"/>
            <w:r>
              <w:rPr>
                <w:rFonts w:ascii="Arial" w:hAnsi="Arial" w:cs="Arial"/>
                <w:sz w:val="20"/>
                <w:szCs w:val="20"/>
              </w:rPr>
              <w:t>AUC</w:t>
            </w:r>
            <w:r>
              <w:rPr>
                <w:rFonts w:ascii="Arial" w:hAnsi="Arial" w:cs="Arial"/>
                <w:sz w:val="20"/>
                <w:szCs w:val="20"/>
                <w:vertAlign w:val="subscript"/>
              </w:rPr>
              <w:t>inf</w:t>
            </w:r>
            <w:proofErr w:type="spellEnd"/>
            <w:r>
              <w:rPr>
                <w:rFonts w:ascii="Arial" w:hAnsi="Arial" w:cs="Arial"/>
                <w:sz w:val="20"/>
                <w:szCs w:val="20"/>
              </w:rPr>
              <w:t xml:space="preserve">, </w:t>
            </w:r>
            <w:r w:rsidRPr="00A8542F">
              <w:rPr>
                <w:rFonts w:ascii="Arial" w:hAnsi="Arial" w:cs="Arial"/>
                <w:sz w:val="20"/>
                <w:szCs w:val="20"/>
              </w:rPr>
              <w:t>and</w:t>
            </w:r>
            <w:r>
              <w:rPr>
                <w:rFonts w:ascii="Arial" w:hAnsi="Arial" w:cs="Arial"/>
                <w:sz w:val="20"/>
                <w:szCs w:val="20"/>
              </w:rPr>
              <w:t xml:space="preserve"> half-life</w:t>
            </w:r>
          </w:p>
          <w:p w:rsidR="00D24FFC" w:rsidRDefault="00D24FFC" w:rsidP="00684115">
            <w:pPr>
              <w:spacing w:after="0" w:line="240" w:lineRule="auto"/>
              <w:rPr>
                <w:rFonts w:ascii="Arial" w:hAnsi="Arial" w:cs="Arial"/>
                <w:sz w:val="20"/>
                <w:szCs w:val="20"/>
              </w:rPr>
            </w:pPr>
          </w:p>
        </w:tc>
        <w:tc>
          <w:tcPr>
            <w:tcW w:w="6030" w:type="dxa"/>
          </w:tcPr>
          <w:p w:rsidR="00B24242" w:rsidRDefault="00373500" w:rsidP="00483F31">
            <w:pPr>
              <w:spacing w:after="0" w:line="240" w:lineRule="auto"/>
              <w:rPr>
                <w:rFonts w:ascii="Arial" w:hAnsi="Arial" w:cs="Arial"/>
                <w:sz w:val="20"/>
                <w:szCs w:val="20"/>
              </w:rPr>
            </w:pPr>
            <w:r>
              <w:rPr>
                <w:rFonts w:ascii="Arial" w:hAnsi="Arial" w:cs="Arial"/>
                <w:sz w:val="20"/>
                <w:szCs w:val="20"/>
              </w:rPr>
              <w:t>Primary:</w:t>
            </w:r>
          </w:p>
          <w:p w:rsidR="00BF520F" w:rsidRDefault="00BF520F" w:rsidP="00BF520F">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(95% CI) for “drug liking” via the VAS were </w:t>
            </w:r>
            <w:r w:rsidR="00A51F1A">
              <w:rPr>
                <w:rFonts w:ascii="Arial" w:hAnsi="Arial" w:cs="Arial"/>
                <w:sz w:val="20"/>
                <w:szCs w:val="20"/>
              </w:rPr>
              <w:t>58.2 (54.7 to 61.7), 92.4 (88.9 to 95.9), and 52.2 (48.7 to 55.7)</w:t>
            </w:r>
            <w:r w:rsidRPr="00312D92">
              <w:rPr>
                <w:rFonts w:ascii="Arial" w:hAnsi="Arial" w:cs="Arial"/>
                <w:sz w:val="20"/>
                <w:szCs w:val="20"/>
              </w:rPr>
              <w:t xml:space="preserve"> for </w:t>
            </w:r>
            <w:r w:rsidR="00A51F1A">
              <w:rPr>
                <w:rFonts w:ascii="Arial" w:hAnsi="Arial" w:cs="Arial"/>
                <w:sz w:val="20"/>
                <w:szCs w:val="20"/>
              </w:rPr>
              <w:t>oxycodone 20 mg and naltrexone 2.4 mg</w:t>
            </w:r>
            <w:r w:rsidR="009A45EE">
              <w:rPr>
                <w:rFonts w:ascii="Arial" w:hAnsi="Arial" w:cs="Arial"/>
                <w:sz w:val="20"/>
                <w:szCs w:val="20"/>
              </w:rPr>
              <w:t xml:space="preserve"> IV</w:t>
            </w:r>
            <w:r w:rsidR="00A51F1A">
              <w:rPr>
                <w:rFonts w:ascii="Arial" w:hAnsi="Arial" w:cs="Arial"/>
                <w:sz w:val="20"/>
                <w:szCs w:val="20"/>
              </w:rPr>
              <w:t>, oxycodone 20 mg</w:t>
            </w:r>
            <w:r w:rsidR="009A45EE">
              <w:rPr>
                <w:rFonts w:ascii="Arial" w:hAnsi="Arial" w:cs="Arial"/>
                <w:sz w:val="20"/>
                <w:szCs w:val="20"/>
              </w:rPr>
              <w:t xml:space="preserve"> IV</w:t>
            </w:r>
            <w:r w:rsidR="00A51F1A">
              <w:rPr>
                <w:rFonts w:ascii="Arial" w:hAnsi="Arial" w:cs="Arial"/>
                <w:sz w:val="20"/>
                <w:szCs w:val="20"/>
              </w:rPr>
              <w:t>, and placebo</w:t>
            </w:r>
            <w:r w:rsidRPr="00312D92">
              <w:rPr>
                <w:rFonts w:ascii="Arial" w:hAnsi="Arial" w:cs="Arial"/>
                <w:sz w:val="20"/>
                <w:szCs w:val="20"/>
              </w:rPr>
              <w:t>, respectively</w:t>
            </w:r>
            <w:r>
              <w:rPr>
                <w:rFonts w:ascii="Arial" w:hAnsi="Arial" w:cs="Arial"/>
                <w:sz w:val="20"/>
                <w:szCs w:val="20"/>
              </w:rPr>
              <w:t xml:space="preserve"> </w:t>
            </w:r>
            <w:r w:rsidR="00A51F1A">
              <w:rPr>
                <w:rFonts w:ascii="Arial" w:hAnsi="Arial" w:cs="Arial"/>
                <w:sz w:val="20"/>
                <w:szCs w:val="20"/>
              </w:rPr>
              <w:t>(P≤0.0</w:t>
            </w:r>
            <w:r w:rsidRPr="00312D92">
              <w:rPr>
                <w:rFonts w:ascii="Arial" w:hAnsi="Arial" w:cs="Arial"/>
                <w:sz w:val="20"/>
                <w:szCs w:val="20"/>
              </w:rPr>
              <w:t xml:space="preserve">01 for </w:t>
            </w:r>
            <w:r w:rsidR="00A51F1A">
              <w:rPr>
                <w:rFonts w:ascii="Arial" w:hAnsi="Arial" w:cs="Arial"/>
                <w:sz w:val="20"/>
                <w:szCs w:val="20"/>
              </w:rPr>
              <w:t xml:space="preserve">oxycodone and </w:t>
            </w:r>
            <w:r>
              <w:rPr>
                <w:rFonts w:ascii="Arial" w:hAnsi="Arial" w:cs="Arial"/>
                <w:sz w:val="20"/>
                <w:szCs w:val="20"/>
              </w:rPr>
              <w:t xml:space="preserve">naltrexone </w:t>
            </w:r>
            <w:r w:rsidR="00A51F1A">
              <w:rPr>
                <w:rFonts w:ascii="Arial" w:hAnsi="Arial" w:cs="Arial"/>
                <w:sz w:val="20"/>
                <w:szCs w:val="20"/>
              </w:rPr>
              <w:t>vs oxycodone IR; P≤0.05</w:t>
            </w:r>
            <w:r>
              <w:rPr>
                <w:rFonts w:ascii="Arial" w:hAnsi="Arial" w:cs="Arial"/>
                <w:sz w:val="20"/>
                <w:szCs w:val="20"/>
              </w:rPr>
              <w:t xml:space="preserve"> for all </w:t>
            </w:r>
            <w:r w:rsidR="00A51F1A">
              <w:rPr>
                <w:rFonts w:ascii="Arial" w:hAnsi="Arial" w:cs="Arial"/>
                <w:sz w:val="20"/>
                <w:szCs w:val="20"/>
              </w:rPr>
              <w:t>oxycodone and naltrexone vs</w:t>
            </w:r>
            <w:r>
              <w:rPr>
                <w:rFonts w:ascii="Arial" w:hAnsi="Arial" w:cs="Arial"/>
                <w:sz w:val="20"/>
                <w:szCs w:val="20"/>
              </w:rPr>
              <w:t xml:space="preserve"> placebo</w:t>
            </w:r>
            <w:r w:rsidR="00A51F1A">
              <w:rPr>
                <w:rFonts w:ascii="Arial" w:hAnsi="Arial" w:cs="Arial"/>
                <w:sz w:val="20"/>
                <w:szCs w:val="20"/>
              </w:rPr>
              <w:t>; P≤0.0001 for oxycodone vs placebo</w:t>
            </w:r>
            <w:r w:rsidRPr="00312D92">
              <w:rPr>
                <w:rFonts w:ascii="Arial" w:hAnsi="Arial" w:cs="Arial"/>
                <w:sz w:val="20"/>
                <w:szCs w:val="20"/>
              </w:rPr>
              <w:t>).</w:t>
            </w:r>
          </w:p>
          <w:p w:rsidR="00373500" w:rsidRDefault="00373500" w:rsidP="00483F31">
            <w:pPr>
              <w:spacing w:after="0" w:line="240" w:lineRule="auto"/>
              <w:rPr>
                <w:rFonts w:ascii="Arial" w:hAnsi="Arial" w:cs="Arial"/>
                <w:sz w:val="20"/>
                <w:szCs w:val="20"/>
              </w:rPr>
            </w:pPr>
          </w:p>
          <w:p w:rsidR="00373500" w:rsidRDefault="00BF520F" w:rsidP="00483F31">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(95% CI) for “high” via the VAS were </w:t>
            </w:r>
            <w:r w:rsidR="00A51F1A">
              <w:rPr>
                <w:rFonts w:ascii="Arial" w:hAnsi="Arial" w:cs="Arial"/>
                <w:sz w:val="20"/>
                <w:szCs w:val="20"/>
              </w:rPr>
              <w:t xml:space="preserve">17.2 (11.3 to 23.1), 93.1 (87.2 to 99.1), and 3.4 (-2.5 to 9.4) </w:t>
            </w:r>
            <w:r w:rsidRPr="00312D92">
              <w:rPr>
                <w:rFonts w:ascii="Arial" w:hAnsi="Arial" w:cs="Arial"/>
                <w:sz w:val="20"/>
                <w:szCs w:val="20"/>
              </w:rPr>
              <w:t xml:space="preserve">for </w:t>
            </w:r>
            <w:r w:rsidR="00A51F1A">
              <w:rPr>
                <w:rFonts w:ascii="Arial" w:hAnsi="Arial" w:cs="Arial"/>
                <w:sz w:val="20"/>
                <w:szCs w:val="20"/>
              </w:rPr>
              <w:t>oxycodone 20 mg and naltrexone 2.4 mg</w:t>
            </w:r>
            <w:r w:rsidR="009A45EE">
              <w:rPr>
                <w:rFonts w:ascii="Arial" w:hAnsi="Arial" w:cs="Arial"/>
                <w:sz w:val="20"/>
                <w:szCs w:val="20"/>
              </w:rPr>
              <w:t xml:space="preserve"> IV</w:t>
            </w:r>
            <w:r w:rsidR="00A51F1A">
              <w:rPr>
                <w:rFonts w:ascii="Arial" w:hAnsi="Arial" w:cs="Arial"/>
                <w:sz w:val="20"/>
                <w:szCs w:val="20"/>
              </w:rPr>
              <w:t>, oxycodone 20 mg</w:t>
            </w:r>
            <w:r w:rsidR="009A45EE">
              <w:rPr>
                <w:rFonts w:ascii="Arial" w:hAnsi="Arial" w:cs="Arial"/>
                <w:sz w:val="20"/>
                <w:szCs w:val="20"/>
              </w:rPr>
              <w:t xml:space="preserve"> IV</w:t>
            </w:r>
            <w:r w:rsidR="00A51F1A">
              <w:rPr>
                <w:rFonts w:ascii="Arial" w:hAnsi="Arial" w:cs="Arial"/>
                <w:sz w:val="20"/>
                <w:szCs w:val="20"/>
              </w:rPr>
              <w:t>, and placebo</w:t>
            </w:r>
            <w:r w:rsidRPr="00312D92">
              <w:rPr>
                <w:rFonts w:ascii="Arial" w:hAnsi="Arial" w:cs="Arial"/>
                <w:sz w:val="20"/>
                <w:szCs w:val="20"/>
              </w:rPr>
              <w:t>, respectively</w:t>
            </w:r>
            <w:r>
              <w:rPr>
                <w:rFonts w:ascii="Arial" w:hAnsi="Arial" w:cs="Arial"/>
                <w:sz w:val="20"/>
                <w:szCs w:val="20"/>
              </w:rPr>
              <w:t xml:space="preserve"> </w:t>
            </w:r>
            <w:r w:rsidRPr="00312D92">
              <w:rPr>
                <w:rFonts w:ascii="Arial" w:hAnsi="Arial" w:cs="Arial"/>
                <w:sz w:val="20"/>
                <w:szCs w:val="20"/>
              </w:rPr>
              <w:t>(</w:t>
            </w:r>
            <w:r w:rsidR="00A51F1A">
              <w:rPr>
                <w:rFonts w:ascii="Arial" w:hAnsi="Arial" w:cs="Arial"/>
                <w:sz w:val="20"/>
                <w:szCs w:val="20"/>
              </w:rPr>
              <w:t>P≤0.0</w:t>
            </w:r>
            <w:r w:rsidR="00A51F1A" w:rsidRPr="00312D92">
              <w:rPr>
                <w:rFonts w:ascii="Arial" w:hAnsi="Arial" w:cs="Arial"/>
                <w:sz w:val="20"/>
                <w:szCs w:val="20"/>
              </w:rPr>
              <w:t xml:space="preserve">01 for </w:t>
            </w:r>
            <w:r w:rsidR="00A51F1A">
              <w:rPr>
                <w:rFonts w:ascii="Arial" w:hAnsi="Arial" w:cs="Arial"/>
                <w:sz w:val="20"/>
                <w:szCs w:val="20"/>
              </w:rPr>
              <w:t>oxycodone and naltrexone vs oxycodone IR; P≤0.05 for all oxycodone and naltrexone vs placebo; P≤0.0001 for oxycodone vs placebo</w:t>
            </w:r>
            <w:r w:rsidRPr="00312D92">
              <w:rPr>
                <w:rFonts w:ascii="Arial" w:hAnsi="Arial" w:cs="Arial"/>
                <w:sz w:val="20"/>
                <w:szCs w:val="20"/>
              </w:rPr>
              <w:t>).</w:t>
            </w:r>
          </w:p>
          <w:p w:rsidR="00BF520F" w:rsidRDefault="00BF520F" w:rsidP="00483F31">
            <w:pPr>
              <w:spacing w:after="0" w:line="240" w:lineRule="auto"/>
              <w:rPr>
                <w:rFonts w:ascii="Arial" w:hAnsi="Arial" w:cs="Arial"/>
                <w:sz w:val="20"/>
                <w:szCs w:val="20"/>
              </w:rPr>
            </w:pPr>
          </w:p>
          <w:p w:rsidR="009A45EE" w:rsidRDefault="009A45EE" w:rsidP="00483F31">
            <w:pPr>
              <w:spacing w:after="0" w:line="240" w:lineRule="auto"/>
              <w:rPr>
                <w:rFonts w:ascii="Arial" w:hAnsi="Arial" w:cs="Arial"/>
                <w:sz w:val="20"/>
                <w:szCs w:val="20"/>
              </w:rPr>
            </w:pPr>
            <w:r>
              <w:rPr>
                <w:rFonts w:ascii="Arial" w:hAnsi="Arial" w:cs="Arial"/>
                <w:sz w:val="20"/>
                <w:szCs w:val="20"/>
              </w:rPr>
              <w:t>Reductions ≥</w:t>
            </w:r>
            <w:r w:rsidRPr="009A45EE">
              <w:rPr>
                <w:rFonts w:ascii="Arial" w:hAnsi="Arial" w:cs="Arial"/>
                <w:sz w:val="20"/>
                <w:szCs w:val="20"/>
              </w:rPr>
              <w:t xml:space="preserve">30% </w:t>
            </w:r>
            <w:r>
              <w:rPr>
                <w:rFonts w:ascii="Arial" w:hAnsi="Arial" w:cs="Arial"/>
                <w:sz w:val="20"/>
                <w:szCs w:val="20"/>
              </w:rPr>
              <w:t>and ≥</w:t>
            </w:r>
            <w:r w:rsidRPr="009A45EE">
              <w:rPr>
                <w:rFonts w:ascii="Arial" w:hAnsi="Arial" w:cs="Arial"/>
                <w:sz w:val="20"/>
                <w:szCs w:val="20"/>
              </w:rPr>
              <w:t xml:space="preserve">50% in </w:t>
            </w:r>
            <w:proofErr w:type="spellStart"/>
            <w:r w:rsidRPr="009A45EE">
              <w:rPr>
                <w:rFonts w:ascii="Arial" w:hAnsi="Arial" w:cs="Arial"/>
                <w:sz w:val="20"/>
                <w:szCs w:val="20"/>
              </w:rPr>
              <w:t>E</w:t>
            </w:r>
            <w:r w:rsidRPr="009A45EE">
              <w:rPr>
                <w:rFonts w:ascii="Arial" w:hAnsi="Arial" w:cs="Arial"/>
                <w:sz w:val="20"/>
                <w:szCs w:val="20"/>
                <w:vertAlign w:val="subscript"/>
              </w:rPr>
              <w:t>max</w:t>
            </w:r>
            <w:proofErr w:type="spellEnd"/>
            <w:r w:rsidRPr="009A45EE">
              <w:rPr>
                <w:rFonts w:ascii="Arial" w:hAnsi="Arial" w:cs="Arial"/>
                <w:sz w:val="20"/>
                <w:szCs w:val="20"/>
              </w:rPr>
              <w:t xml:space="preserve"> </w:t>
            </w:r>
            <w:r>
              <w:rPr>
                <w:rFonts w:ascii="Arial" w:hAnsi="Arial" w:cs="Arial"/>
                <w:sz w:val="20"/>
                <w:szCs w:val="20"/>
              </w:rPr>
              <w:t>for “drug liking” r</w:t>
            </w:r>
            <w:r w:rsidRPr="009A45EE">
              <w:rPr>
                <w:rFonts w:ascii="Arial" w:hAnsi="Arial" w:cs="Arial"/>
                <w:sz w:val="20"/>
                <w:szCs w:val="20"/>
              </w:rPr>
              <w:t>elative to oxycodone 20 mg</w:t>
            </w:r>
            <w:r>
              <w:rPr>
                <w:rFonts w:ascii="Arial" w:hAnsi="Arial" w:cs="Arial"/>
                <w:sz w:val="20"/>
                <w:szCs w:val="20"/>
              </w:rPr>
              <w:t xml:space="preserve"> IV</w:t>
            </w:r>
            <w:r w:rsidRPr="009A45EE">
              <w:rPr>
                <w:rFonts w:ascii="Arial" w:hAnsi="Arial" w:cs="Arial"/>
                <w:sz w:val="20"/>
                <w:szCs w:val="20"/>
              </w:rPr>
              <w:t xml:space="preserve"> </w:t>
            </w:r>
            <w:r>
              <w:rPr>
                <w:rFonts w:ascii="Arial" w:hAnsi="Arial" w:cs="Arial"/>
                <w:sz w:val="20"/>
                <w:szCs w:val="20"/>
              </w:rPr>
              <w:t>were</w:t>
            </w:r>
            <w:r w:rsidRPr="009A45EE">
              <w:rPr>
                <w:rFonts w:ascii="Arial" w:hAnsi="Arial" w:cs="Arial"/>
                <w:sz w:val="20"/>
                <w:szCs w:val="20"/>
              </w:rPr>
              <w:t xml:space="preserve"> experienced by 90% and </w:t>
            </w:r>
            <w:r>
              <w:rPr>
                <w:rFonts w:ascii="Arial" w:hAnsi="Arial" w:cs="Arial"/>
                <w:sz w:val="20"/>
                <w:szCs w:val="20"/>
              </w:rPr>
              <w:t>83</w:t>
            </w:r>
            <w:r w:rsidRPr="009A45EE">
              <w:rPr>
                <w:rFonts w:ascii="Arial" w:hAnsi="Arial" w:cs="Arial"/>
                <w:sz w:val="20"/>
                <w:szCs w:val="20"/>
              </w:rPr>
              <w:t xml:space="preserve">% of </w:t>
            </w:r>
            <w:r>
              <w:rPr>
                <w:rFonts w:ascii="Arial" w:hAnsi="Arial" w:cs="Arial"/>
                <w:sz w:val="20"/>
                <w:szCs w:val="20"/>
              </w:rPr>
              <w:t>patients, respectively</w:t>
            </w:r>
            <w:r w:rsidR="009B07E5">
              <w:rPr>
                <w:rFonts w:ascii="Arial" w:hAnsi="Arial" w:cs="Arial"/>
                <w:sz w:val="20"/>
                <w:szCs w:val="20"/>
              </w:rPr>
              <w:t>, receiving oxycodone 20 mg and naltrexone 2.4 mg IV</w:t>
            </w:r>
            <w:r>
              <w:rPr>
                <w:rFonts w:ascii="Arial" w:hAnsi="Arial" w:cs="Arial"/>
                <w:sz w:val="20"/>
                <w:szCs w:val="20"/>
              </w:rPr>
              <w:t xml:space="preserve">. </w:t>
            </w:r>
          </w:p>
          <w:p w:rsidR="009A45EE" w:rsidRDefault="009A45EE" w:rsidP="00483F31">
            <w:pPr>
              <w:spacing w:after="0" w:line="240" w:lineRule="auto"/>
              <w:rPr>
                <w:rFonts w:ascii="Arial" w:hAnsi="Arial" w:cs="Arial"/>
                <w:sz w:val="20"/>
                <w:szCs w:val="20"/>
              </w:rPr>
            </w:pPr>
          </w:p>
          <w:p w:rsidR="009A45EE" w:rsidRDefault="009A45EE" w:rsidP="00483F31">
            <w:pPr>
              <w:spacing w:after="0" w:line="240" w:lineRule="auto"/>
              <w:rPr>
                <w:rFonts w:ascii="Arial" w:hAnsi="Arial" w:cs="Arial"/>
                <w:sz w:val="20"/>
                <w:szCs w:val="20"/>
              </w:rPr>
            </w:pPr>
            <w:r>
              <w:rPr>
                <w:rFonts w:ascii="Arial" w:hAnsi="Arial" w:cs="Arial"/>
                <w:sz w:val="20"/>
                <w:szCs w:val="20"/>
              </w:rPr>
              <w:t>Reductions ≥</w:t>
            </w:r>
            <w:r w:rsidRPr="009A45EE">
              <w:rPr>
                <w:rFonts w:ascii="Arial" w:hAnsi="Arial" w:cs="Arial"/>
                <w:sz w:val="20"/>
                <w:szCs w:val="20"/>
              </w:rPr>
              <w:t xml:space="preserve">30% </w:t>
            </w:r>
            <w:r>
              <w:rPr>
                <w:rFonts w:ascii="Arial" w:hAnsi="Arial" w:cs="Arial"/>
                <w:sz w:val="20"/>
                <w:szCs w:val="20"/>
              </w:rPr>
              <w:t>and ≥</w:t>
            </w:r>
            <w:r w:rsidRPr="009A45EE">
              <w:rPr>
                <w:rFonts w:ascii="Arial" w:hAnsi="Arial" w:cs="Arial"/>
                <w:sz w:val="20"/>
                <w:szCs w:val="20"/>
              </w:rPr>
              <w:t xml:space="preserve">50% in </w:t>
            </w:r>
            <w:proofErr w:type="spellStart"/>
            <w:r w:rsidRPr="009A45EE">
              <w:rPr>
                <w:rFonts w:ascii="Arial" w:hAnsi="Arial" w:cs="Arial"/>
                <w:sz w:val="20"/>
                <w:szCs w:val="20"/>
              </w:rPr>
              <w:t>E</w:t>
            </w:r>
            <w:r w:rsidRPr="009A45EE">
              <w:rPr>
                <w:rFonts w:ascii="Arial" w:hAnsi="Arial" w:cs="Arial"/>
                <w:sz w:val="20"/>
                <w:szCs w:val="20"/>
                <w:vertAlign w:val="subscript"/>
              </w:rPr>
              <w:t>max</w:t>
            </w:r>
            <w:proofErr w:type="spellEnd"/>
            <w:r w:rsidRPr="009A45EE">
              <w:rPr>
                <w:rFonts w:ascii="Arial" w:hAnsi="Arial" w:cs="Arial"/>
                <w:sz w:val="20"/>
                <w:szCs w:val="20"/>
              </w:rPr>
              <w:t xml:space="preserve"> </w:t>
            </w:r>
            <w:r>
              <w:rPr>
                <w:rFonts w:ascii="Arial" w:hAnsi="Arial" w:cs="Arial"/>
                <w:sz w:val="20"/>
                <w:szCs w:val="20"/>
              </w:rPr>
              <w:t xml:space="preserve">for “high” relative to oxycodone 20 mg IV were experienced by </w:t>
            </w:r>
            <w:r w:rsidR="009B07E5">
              <w:rPr>
                <w:rFonts w:ascii="Arial" w:hAnsi="Arial" w:cs="Arial"/>
                <w:sz w:val="20"/>
                <w:szCs w:val="20"/>
              </w:rPr>
              <w:t>93% of patients receiving oxycodone 20 mg and naltrexone 2.4 mg IV</w:t>
            </w:r>
            <w:r w:rsidRPr="009A45EE">
              <w:rPr>
                <w:rFonts w:ascii="Arial" w:hAnsi="Arial" w:cs="Arial"/>
                <w:sz w:val="20"/>
                <w:szCs w:val="20"/>
              </w:rPr>
              <w:t>.</w:t>
            </w:r>
          </w:p>
          <w:p w:rsidR="009A45EE" w:rsidRDefault="009A45EE" w:rsidP="00483F31">
            <w:pPr>
              <w:spacing w:after="0" w:line="240" w:lineRule="auto"/>
              <w:rPr>
                <w:rFonts w:ascii="Arial" w:hAnsi="Arial" w:cs="Arial"/>
                <w:sz w:val="20"/>
                <w:szCs w:val="20"/>
              </w:rPr>
            </w:pPr>
          </w:p>
          <w:p w:rsidR="00373500" w:rsidRDefault="00373500" w:rsidP="00483F31">
            <w:pPr>
              <w:spacing w:after="0" w:line="240" w:lineRule="auto"/>
              <w:rPr>
                <w:rFonts w:ascii="Arial" w:hAnsi="Arial" w:cs="Arial"/>
                <w:sz w:val="20"/>
                <w:szCs w:val="20"/>
              </w:rPr>
            </w:pPr>
            <w:r>
              <w:rPr>
                <w:rFonts w:ascii="Arial" w:hAnsi="Arial" w:cs="Arial"/>
                <w:sz w:val="20"/>
                <w:szCs w:val="20"/>
              </w:rPr>
              <w:t>Secondary:</w:t>
            </w:r>
          </w:p>
          <w:p w:rsidR="00F736D6" w:rsidRDefault="00F736D6" w:rsidP="00F736D6">
            <w:pPr>
              <w:spacing w:after="0" w:line="240" w:lineRule="auto"/>
              <w:rPr>
                <w:rFonts w:ascii="Arial" w:hAnsi="Arial" w:cs="Arial"/>
                <w:sz w:val="20"/>
                <w:szCs w:val="20"/>
              </w:rPr>
            </w:pPr>
            <w:r>
              <w:rPr>
                <w:rFonts w:ascii="Arial" w:hAnsi="Arial" w:cs="Arial"/>
                <w:sz w:val="20"/>
                <w:szCs w:val="20"/>
              </w:rPr>
              <w:t>S</w:t>
            </w:r>
            <w:r w:rsidRPr="00F736D6">
              <w:rPr>
                <w:rFonts w:ascii="Arial" w:hAnsi="Arial" w:cs="Arial"/>
                <w:sz w:val="20"/>
                <w:szCs w:val="20"/>
              </w:rPr>
              <w:t xml:space="preserve">econdary VAS measures were lower for </w:t>
            </w:r>
            <w:r>
              <w:rPr>
                <w:rFonts w:ascii="Arial" w:hAnsi="Arial" w:cs="Arial"/>
                <w:sz w:val="20"/>
                <w:szCs w:val="20"/>
              </w:rPr>
              <w:t>oxycodone 20 mg and naltrexone 2.4 mg IV and placebo compared to oxycodone 20 mg IV</w:t>
            </w:r>
            <w:r w:rsidR="00007949">
              <w:rPr>
                <w:rFonts w:ascii="Arial" w:hAnsi="Arial" w:cs="Arial"/>
                <w:sz w:val="20"/>
                <w:szCs w:val="20"/>
              </w:rPr>
              <w:t xml:space="preserve"> (P</w:t>
            </w:r>
            <w:r w:rsidR="0051445A">
              <w:rPr>
                <w:rFonts w:ascii="Times New Roman" w:hAnsi="Times New Roman"/>
                <w:sz w:val="20"/>
                <w:szCs w:val="20"/>
              </w:rPr>
              <w:t>≤</w:t>
            </w:r>
            <w:r w:rsidR="0051445A">
              <w:rPr>
                <w:rFonts w:ascii="Arial" w:hAnsi="Arial" w:cs="Arial"/>
                <w:sz w:val="20"/>
                <w:szCs w:val="20"/>
              </w:rPr>
              <w:t>0.001 for oxycodone and naltrexone vs oxycodone alone for all measures, except “bad drug effects”).</w:t>
            </w:r>
          </w:p>
          <w:p w:rsidR="00F736D6" w:rsidRDefault="00F736D6" w:rsidP="00F736D6">
            <w:pPr>
              <w:spacing w:after="0" w:line="240" w:lineRule="auto"/>
              <w:rPr>
                <w:rFonts w:ascii="Arial" w:hAnsi="Arial" w:cs="Arial"/>
                <w:sz w:val="20"/>
                <w:szCs w:val="20"/>
              </w:rPr>
            </w:pPr>
          </w:p>
          <w:p w:rsidR="00F736D6" w:rsidRPr="00F736D6" w:rsidRDefault="00836280" w:rsidP="00F736D6">
            <w:pPr>
              <w:spacing w:after="0" w:line="240" w:lineRule="auto"/>
              <w:rPr>
                <w:rFonts w:ascii="Arial" w:hAnsi="Arial" w:cs="Arial"/>
                <w:sz w:val="20"/>
                <w:szCs w:val="20"/>
              </w:rPr>
            </w:pPr>
            <w:r>
              <w:rPr>
                <w:rFonts w:ascii="Arial" w:hAnsi="Arial" w:cs="Arial"/>
                <w:sz w:val="20"/>
                <w:szCs w:val="20"/>
              </w:rPr>
              <w:t xml:space="preserve">LS mean </w:t>
            </w:r>
            <w:proofErr w:type="spellStart"/>
            <w:r>
              <w:rPr>
                <w:rFonts w:ascii="Arial" w:hAnsi="Arial" w:cs="Arial"/>
                <w:sz w:val="20"/>
                <w:szCs w:val="20"/>
              </w:rPr>
              <w:t>E</w:t>
            </w:r>
            <w:r>
              <w:rPr>
                <w:rFonts w:ascii="Arial" w:hAnsi="Arial" w:cs="Arial"/>
                <w:sz w:val="20"/>
                <w:szCs w:val="20"/>
                <w:vertAlign w:val="subscript"/>
              </w:rPr>
              <w:t>max</w:t>
            </w:r>
            <w:proofErr w:type="spellEnd"/>
            <w:r>
              <w:rPr>
                <w:rFonts w:ascii="Arial" w:hAnsi="Arial" w:cs="Arial"/>
                <w:sz w:val="20"/>
                <w:szCs w:val="20"/>
              </w:rPr>
              <w:t xml:space="preserve"> for “take drug again,” “overall drug liking,” and “good drug effects” were significantly lower with oxycodone 20 mg and naltrexone 2.4 mg IV compared to oxycodone 20 mg IV (P&lt;</w:t>
            </w:r>
            <w:r w:rsidR="00F736D6" w:rsidRPr="00F736D6">
              <w:rPr>
                <w:rFonts w:ascii="Arial" w:hAnsi="Arial" w:cs="Arial"/>
                <w:sz w:val="20"/>
                <w:szCs w:val="20"/>
              </w:rPr>
              <w:t>0.001).</w:t>
            </w:r>
          </w:p>
          <w:p w:rsidR="00836280" w:rsidRDefault="00836280" w:rsidP="00F736D6">
            <w:pPr>
              <w:spacing w:after="0" w:line="240" w:lineRule="auto"/>
              <w:rPr>
                <w:rFonts w:ascii="Arial" w:hAnsi="Arial" w:cs="Arial"/>
                <w:sz w:val="20"/>
                <w:szCs w:val="20"/>
              </w:rPr>
            </w:pPr>
          </w:p>
          <w:p w:rsidR="00373500" w:rsidRDefault="00F736D6" w:rsidP="00836280">
            <w:pPr>
              <w:spacing w:after="0" w:line="240" w:lineRule="auto"/>
              <w:rPr>
                <w:rFonts w:ascii="Arial" w:hAnsi="Arial" w:cs="Arial"/>
                <w:sz w:val="20"/>
                <w:szCs w:val="20"/>
              </w:rPr>
            </w:pPr>
            <w:r w:rsidRPr="00F736D6">
              <w:rPr>
                <w:rFonts w:ascii="Arial" w:hAnsi="Arial" w:cs="Arial"/>
                <w:sz w:val="20"/>
                <w:szCs w:val="20"/>
              </w:rPr>
              <w:t xml:space="preserve">Pupillometry results showed that </w:t>
            </w:r>
            <w:r w:rsidR="00836280" w:rsidRPr="00836280">
              <w:rPr>
                <w:rFonts w:ascii="Arial" w:hAnsi="Arial" w:cs="Arial"/>
                <w:sz w:val="20"/>
                <w:szCs w:val="20"/>
              </w:rPr>
              <w:t>oxycodone 20 mg and naltrexone 2.4 mg IV</w:t>
            </w:r>
            <w:r w:rsidRPr="00F736D6">
              <w:rPr>
                <w:rFonts w:ascii="Arial" w:hAnsi="Arial" w:cs="Arial"/>
                <w:sz w:val="20"/>
                <w:szCs w:val="20"/>
              </w:rPr>
              <w:t xml:space="preserve"> had less physiologic opioid effects than oxycodone 20 mg</w:t>
            </w:r>
            <w:r w:rsidR="00836280">
              <w:rPr>
                <w:rFonts w:ascii="Arial" w:hAnsi="Arial" w:cs="Arial"/>
                <w:sz w:val="20"/>
                <w:szCs w:val="20"/>
              </w:rPr>
              <w:t xml:space="preserve"> IV</w:t>
            </w:r>
            <w:r w:rsidRPr="00F736D6">
              <w:rPr>
                <w:rFonts w:ascii="Arial" w:hAnsi="Arial" w:cs="Arial"/>
                <w:sz w:val="20"/>
                <w:szCs w:val="20"/>
              </w:rPr>
              <w:t xml:space="preserve">, </w:t>
            </w:r>
            <w:r w:rsidR="00836280">
              <w:rPr>
                <w:rFonts w:ascii="Arial" w:hAnsi="Arial" w:cs="Arial"/>
                <w:sz w:val="20"/>
                <w:szCs w:val="20"/>
              </w:rPr>
              <w:t>and</w:t>
            </w:r>
            <w:r w:rsidRPr="00F736D6">
              <w:rPr>
                <w:rFonts w:ascii="Arial" w:hAnsi="Arial" w:cs="Arial"/>
                <w:sz w:val="20"/>
                <w:szCs w:val="20"/>
              </w:rPr>
              <w:t xml:space="preserve"> </w:t>
            </w:r>
            <w:r w:rsidR="00836280">
              <w:rPr>
                <w:rFonts w:ascii="Arial" w:hAnsi="Arial" w:cs="Arial"/>
                <w:sz w:val="20"/>
                <w:szCs w:val="20"/>
              </w:rPr>
              <w:t xml:space="preserve">that </w:t>
            </w:r>
            <w:r w:rsidRPr="00F736D6">
              <w:rPr>
                <w:rFonts w:ascii="Arial" w:hAnsi="Arial" w:cs="Arial"/>
                <w:sz w:val="20"/>
                <w:szCs w:val="20"/>
              </w:rPr>
              <w:t>both had m</w:t>
            </w:r>
            <w:r w:rsidR="00836280">
              <w:rPr>
                <w:rFonts w:ascii="Arial" w:hAnsi="Arial" w:cs="Arial"/>
                <w:sz w:val="20"/>
                <w:szCs w:val="20"/>
              </w:rPr>
              <w:t>ore opioid effects than placebo;</w:t>
            </w:r>
            <w:r w:rsidRPr="00F736D6">
              <w:rPr>
                <w:rFonts w:ascii="Arial" w:hAnsi="Arial" w:cs="Arial"/>
                <w:sz w:val="20"/>
                <w:szCs w:val="20"/>
              </w:rPr>
              <w:t xml:space="preserve"> </w:t>
            </w:r>
            <w:r w:rsidR="00836280">
              <w:rPr>
                <w:rFonts w:ascii="Arial" w:hAnsi="Arial" w:cs="Arial"/>
                <w:sz w:val="20"/>
                <w:szCs w:val="20"/>
              </w:rPr>
              <w:t>those receiving</w:t>
            </w:r>
            <w:r w:rsidRPr="00F736D6">
              <w:rPr>
                <w:rFonts w:ascii="Arial" w:hAnsi="Arial" w:cs="Arial"/>
                <w:sz w:val="20"/>
                <w:szCs w:val="20"/>
              </w:rPr>
              <w:t xml:space="preserve"> oxycodone</w:t>
            </w:r>
            <w:r w:rsidR="00836280">
              <w:rPr>
                <w:rFonts w:ascii="Arial" w:hAnsi="Arial" w:cs="Arial"/>
                <w:sz w:val="20"/>
                <w:szCs w:val="20"/>
              </w:rPr>
              <w:t xml:space="preserve"> 20 mg IV</w:t>
            </w:r>
            <w:r w:rsidRPr="00F736D6">
              <w:rPr>
                <w:rFonts w:ascii="Arial" w:hAnsi="Arial" w:cs="Arial"/>
                <w:sz w:val="20"/>
                <w:szCs w:val="20"/>
              </w:rPr>
              <w:t xml:space="preserve"> experienced </w:t>
            </w:r>
            <w:r w:rsidR="00836280">
              <w:rPr>
                <w:rFonts w:ascii="Arial" w:hAnsi="Arial" w:cs="Arial"/>
                <w:sz w:val="20"/>
                <w:szCs w:val="20"/>
              </w:rPr>
              <w:t>more significant</w:t>
            </w:r>
            <w:r w:rsidRPr="00F736D6">
              <w:rPr>
                <w:rFonts w:ascii="Arial" w:hAnsi="Arial" w:cs="Arial"/>
                <w:sz w:val="20"/>
                <w:szCs w:val="20"/>
              </w:rPr>
              <w:t xml:space="preserve"> constriction of the pupils</w:t>
            </w:r>
            <w:r w:rsidR="00836280">
              <w:rPr>
                <w:rFonts w:ascii="Arial" w:hAnsi="Arial" w:cs="Arial"/>
                <w:sz w:val="20"/>
                <w:szCs w:val="20"/>
              </w:rPr>
              <w:t xml:space="preserve"> compared to oxycodone 20 mg and naltrexone 2.4 mg IV and placebo</w:t>
            </w:r>
            <w:r w:rsidRPr="00F736D6">
              <w:rPr>
                <w:rFonts w:ascii="Arial" w:hAnsi="Arial" w:cs="Arial"/>
                <w:sz w:val="20"/>
                <w:szCs w:val="20"/>
              </w:rPr>
              <w:t xml:space="preserve">. Examination of </w:t>
            </w:r>
            <w:proofErr w:type="spellStart"/>
            <w:r w:rsidRPr="00F736D6">
              <w:rPr>
                <w:rFonts w:ascii="Arial" w:hAnsi="Arial" w:cs="Arial"/>
                <w:sz w:val="20"/>
                <w:szCs w:val="20"/>
              </w:rPr>
              <w:t>pupillometry</w:t>
            </w:r>
            <w:proofErr w:type="spellEnd"/>
            <w:r w:rsidRPr="00F736D6">
              <w:rPr>
                <w:rFonts w:ascii="Arial" w:hAnsi="Arial" w:cs="Arial"/>
                <w:sz w:val="20"/>
                <w:szCs w:val="20"/>
              </w:rPr>
              <w:t xml:space="preserve"> demonstrated that </w:t>
            </w:r>
            <w:proofErr w:type="spellStart"/>
            <w:r w:rsidR="00836280">
              <w:rPr>
                <w:rFonts w:ascii="Arial" w:hAnsi="Arial" w:cs="Arial"/>
                <w:sz w:val="20"/>
                <w:szCs w:val="20"/>
              </w:rPr>
              <w:t>E</w:t>
            </w:r>
            <w:r w:rsidR="00836280">
              <w:rPr>
                <w:rFonts w:ascii="Arial" w:hAnsi="Arial" w:cs="Arial"/>
                <w:sz w:val="20"/>
                <w:szCs w:val="20"/>
                <w:vertAlign w:val="subscript"/>
              </w:rPr>
              <w:t>max</w:t>
            </w:r>
            <w:proofErr w:type="spellEnd"/>
            <w:r w:rsidR="00836280">
              <w:rPr>
                <w:rFonts w:ascii="Arial" w:hAnsi="Arial" w:cs="Arial"/>
                <w:sz w:val="20"/>
                <w:szCs w:val="20"/>
              </w:rPr>
              <w:t xml:space="preserve"> for pupil constriction</w:t>
            </w:r>
            <w:r w:rsidRPr="00F736D6">
              <w:rPr>
                <w:rFonts w:ascii="Arial" w:hAnsi="Arial" w:cs="Arial"/>
                <w:sz w:val="20"/>
                <w:szCs w:val="20"/>
              </w:rPr>
              <w:t xml:space="preserve"> from baseline </w:t>
            </w:r>
            <w:r w:rsidR="00836280">
              <w:rPr>
                <w:rFonts w:ascii="Arial" w:hAnsi="Arial" w:cs="Arial"/>
                <w:sz w:val="20"/>
                <w:szCs w:val="20"/>
              </w:rPr>
              <w:t>with</w:t>
            </w:r>
            <w:r w:rsidRPr="00F736D6">
              <w:rPr>
                <w:rFonts w:ascii="Arial" w:hAnsi="Arial" w:cs="Arial"/>
                <w:sz w:val="20"/>
                <w:szCs w:val="20"/>
              </w:rPr>
              <w:t xml:space="preserve"> </w:t>
            </w:r>
            <w:r w:rsidR="00836280">
              <w:rPr>
                <w:rFonts w:ascii="Arial" w:hAnsi="Arial" w:cs="Arial"/>
                <w:sz w:val="20"/>
                <w:szCs w:val="20"/>
              </w:rPr>
              <w:t>oxycodone 20 mg and naltrexone 2.4 mg IV</w:t>
            </w:r>
            <w:r w:rsidRPr="00F736D6">
              <w:rPr>
                <w:rFonts w:ascii="Arial" w:hAnsi="Arial" w:cs="Arial"/>
                <w:sz w:val="20"/>
                <w:szCs w:val="20"/>
              </w:rPr>
              <w:t xml:space="preserve"> was significantly greater than </w:t>
            </w:r>
            <w:r w:rsidR="00836280">
              <w:rPr>
                <w:rFonts w:ascii="Arial" w:hAnsi="Arial" w:cs="Arial"/>
                <w:sz w:val="20"/>
                <w:szCs w:val="20"/>
              </w:rPr>
              <w:t>with</w:t>
            </w:r>
            <w:r w:rsidRPr="00F736D6">
              <w:rPr>
                <w:rFonts w:ascii="Arial" w:hAnsi="Arial" w:cs="Arial"/>
                <w:sz w:val="20"/>
                <w:szCs w:val="20"/>
              </w:rPr>
              <w:t xml:space="preserve"> oxycodone 20 mg</w:t>
            </w:r>
            <w:r w:rsidR="00836280">
              <w:rPr>
                <w:rFonts w:ascii="Arial" w:hAnsi="Arial" w:cs="Arial"/>
                <w:sz w:val="20"/>
                <w:szCs w:val="20"/>
              </w:rPr>
              <w:t xml:space="preserve"> IV (P&lt;</w:t>
            </w:r>
            <w:r w:rsidRPr="00F736D6">
              <w:rPr>
                <w:rFonts w:ascii="Arial" w:hAnsi="Arial" w:cs="Arial"/>
                <w:sz w:val="20"/>
                <w:szCs w:val="20"/>
              </w:rPr>
              <w:t>0.001).</w:t>
            </w:r>
          </w:p>
          <w:p w:rsidR="0000619E" w:rsidRDefault="0000619E" w:rsidP="00836280">
            <w:pPr>
              <w:spacing w:after="0" w:line="240" w:lineRule="auto"/>
              <w:rPr>
                <w:rFonts w:ascii="Arial" w:hAnsi="Arial" w:cs="Arial"/>
                <w:sz w:val="20"/>
                <w:szCs w:val="20"/>
              </w:rPr>
            </w:pPr>
          </w:p>
          <w:p w:rsidR="0000619E" w:rsidRDefault="0000619E" w:rsidP="0000619E">
            <w:pPr>
              <w:spacing w:after="0" w:line="240" w:lineRule="auto"/>
              <w:rPr>
                <w:rFonts w:ascii="Arial" w:hAnsi="Arial" w:cs="Arial"/>
                <w:sz w:val="20"/>
                <w:szCs w:val="20"/>
              </w:rPr>
            </w:pPr>
            <w:r>
              <w:rPr>
                <w:rFonts w:ascii="Arial" w:hAnsi="Arial" w:cs="Arial"/>
                <w:sz w:val="20"/>
                <w:szCs w:val="20"/>
              </w:rPr>
              <w:t>T</w:t>
            </w:r>
            <w:r w:rsidRPr="0000619E">
              <w:rPr>
                <w:rFonts w:ascii="Arial" w:hAnsi="Arial" w:cs="Arial"/>
                <w:sz w:val="20"/>
                <w:szCs w:val="20"/>
              </w:rPr>
              <w:t xml:space="preserve">he median </w:t>
            </w:r>
            <w:proofErr w:type="spellStart"/>
            <w:r w:rsidRPr="0000619E">
              <w:rPr>
                <w:rFonts w:ascii="Arial" w:hAnsi="Arial" w:cs="Arial"/>
                <w:sz w:val="20"/>
                <w:szCs w:val="20"/>
              </w:rPr>
              <w:t>T</w:t>
            </w:r>
            <w:r w:rsidRPr="0000619E">
              <w:rPr>
                <w:rFonts w:ascii="Arial" w:hAnsi="Arial" w:cs="Arial"/>
                <w:sz w:val="20"/>
                <w:szCs w:val="20"/>
                <w:vertAlign w:val="subscript"/>
              </w:rPr>
              <w:t>max</w:t>
            </w:r>
            <w:proofErr w:type="spellEnd"/>
            <w:r w:rsidRPr="0000619E">
              <w:rPr>
                <w:rFonts w:ascii="Arial" w:hAnsi="Arial" w:cs="Arial"/>
                <w:sz w:val="20"/>
                <w:szCs w:val="20"/>
              </w:rPr>
              <w:t xml:space="preserve"> for oxycodone was similar for </w:t>
            </w:r>
            <w:r>
              <w:rPr>
                <w:rFonts w:ascii="Arial" w:hAnsi="Arial" w:cs="Arial"/>
                <w:sz w:val="20"/>
                <w:szCs w:val="20"/>
              </w:rPr>
              <w:t>oxycodone 20 mg and naltrexone 2.4 mg IV</w:t>
            </w:r>
            <w:r w:rsidRPr="00F736D6">
              <w:rPr>
                <w:rFonts w:ascii="Arial" w:hAnsi="Arial" w:cs="Arial"/>
                <w:sz w:val="20"/>
                <w:szCs w:val="20"/>
              </w:rPr>
              <w:t xml:space="preserve"> </w:t>
            </w:r>
            <w:r w:rsidRPr="0000619E">
              <w:rPr>
                <w:rFonts w:ascii="Arial" w:hAnsi="Arial" w:cs="Arial"/>
                <w:sz w:val="20"/>
                <w:szCs w:val="20"/>
              </w:rPr>
              <w:t>and oxycodon</w:t>
            </w:r>
            <w:r>
              <w:rPr>
                <w:rFonts w:ascii="Arial" w:hAnsi="Arial" w:cs="Arial"/>
                <w:sz w:val="20"/>
                <w:szCs w:val="20"/>
              </w:rPr>
              <w:t>e 20 mg IV (0.15 hours post-dose)</w:t>
            </w:r>
            <w:r w:rsidRPr="0000619E">
              <w:rPr>
                <w:rFonts w:ascii="Arial" w:hAnsi="Arial" w:cs="Arial"/>
                <w:sz w:val="20"/>
                <w:szCs w:val="20"/>
              </w:rPr>
              <w:t xml:space="preserve">. The mean </w:t>
            </w:r>
            <w:proofErr w:type="spellStart"/>
            <w:r>
              <w:rPr>
                <w:rFonts w:ascii="Arial" w:hAnsi="Arial" w:cs="Arial"/>
                <w:sz w:val="20"/>
                <w:szCs w:val="20"/>
              </w:rPr>
              <w:t>AUC</w:t>
            </w:r>
            <w:r>
              <w:rPr>
                <w:rFonts w:ascii="Arial" w:hAnsi="Arial" w:cs="Arial"/>
                <w:sz w:val="20"/>
                <w:szCs w:val="20"/>
                <w:vertAlign w:val="subscript"/>
              </w:rPr>
              <w:t>inf</w:t>
            </w:r>
            <w:proofErr w:type="spellEnd"/>
            <w:r w:rsidRPr="0000619E">
              <w:rPr>
                <w:rFonts w:ascii="Arial" w:hAnsi="Arial" w:cs="Arial"/>
                <w:sz w:val="20"/>
                <w:szCs w:val="20"/>
              </w:rPr>
              <w:t xml:space="preserve"> was comparable for oxycodone 20 mg and naltrexone 2.4 mg IV and oxycodone 20 mg IV (393.7 vs 420.3 </w:t>
            </w:r>
            <w:proofErr w:type="spellStart"/>
            <w:r w:rsidRPr="0000619E">
              <w:rPr>
                <w:rFonts w:ascii="Arial" w:hAnsi="Arial" w:cs="Arial"/>
                <w:sz w:val="20"/>
                <w:szCs w:val="20"/>
              </w:rPr>
              <w:t>ng</w:t>
            </w:r>
            <w:r>
              <w:rPr>
                <w:rFonts w:ascii="Arial" w:hAnsi="Arial" w:cs="Arial"/>
                <w:sz w:val="20"/>
                <w:szCs w:val="20"/>
              </w:rPr>
              <w:t>∙</w:t>
            </w:r>
            <w:r w:rsidRPr="0000619E">
              <w:rPr>
                <w:rFonts w:ascii="Arial" w:hAnsi="Arial" w:cs="Arial"/>
                <w:sz w:val="20"/>
                <w:szCs w:val="20"/>
              </w:rPr>
              <w:t>h</w:t>
            </w:r>
            <w:proofErr w:type="spellEnd"/>
            <w:r w:rsidRPr="0000619E">
              <w:rPr>
                <w:rFonts w:ascii="Arial" w:hAnsi="Arial" w:cs="Arial"/>
                <w:sz w:val="20"/>
                <w:szCs w:val="20"/>
              </w:rPr>
              <w:t>/mL, respectively). The mean C</w:t>
            </w:r>
            <w:r w:rsidRPr="0000619E">
              <w:rPr>
                <w:rFonts w:ascii="Arial" w:hAnsi="Arial" w:cs="Arial"/>
                <w:sz w:val="20"/>
                <w:szCs w:val="20"/>
                <w:vertAlign w:val="subscript"/>
              </w:rPr>
              <w:t>5min</w:t>
            </w:r>
            <w:r w:rsidRPr="0000619E">
              <w:rPr>
                <w:rFonts w:ascii="Arial" w:hAnsi="Arial" w:cs="Arial"/>
                <w:sz w:val="20"/>
                <w:szCs w:val="20"/>
              </w:rPr>
              <w:t xml:space="preserve"> were 140.6 ng/mL for oxycodone 20 mg and naltrexone 2.4 mg IV and 134.</w:t>
            </w:r>
            <w:r>
              <w:rPr>
                <w:rFonts w:ascii="Arial" w:hAnsi="Arial" w:cs="Arial"/>
                <w:sz w:val="20"/>
                <w:szCs w:val="20"/>
              </w:rPr>
              <w:t>6 ng/mL for oxycodone 20 mg IV</w:t>
            </w:r>
            <w:r w:rsidRPr="0000619E">
              <w:rPr>
                <w:rFonts w:ascii="Arial" w:hAnsi="Arial" w:cs="Arial"/>
                <w:sz w:val="20"/>
                <w:szCs w:val="20"/>
              </w:rPr>
              <w:t xml:space="preserve">. </w:t>
            </w:r>
            <w:r>
              <w:rPr>
                <w:rFonts w:ascii="Arial" w:hAnsi="Arial" w:cs="Arial"/>
                <w:sz w:val="20"/>
                <w:szCs w:val="20"/>
              </w:rPr>
              <w:t>The</w:t>
            </w:r>
            <w:r w:rsidRPr="0000619E">
              <w:rPr>
                <w:rFonts w:ascii="Arial" w:hAnsi="Arial" w:cs="Arial"/>
                <w:sz w:val="20"/>
                <w:szCs w:val="20"/>
              </w:rPr>
              <w:t xml:space="preserve"> mean </w:t>
            </w:r>
            <w:r>
              <w:rPr>
                <w:rFonts w:ascii="Arial" w:hAnsi="Arial" w:cs="Arial"/>
                <w:sz w:val="20"/>
                <w:szCs w:val="20"/>
              </w:rPr>
              <w:t>half-life</w:t>
            </w:r>
            <w:r w:rsidRPr="0000619E">
              <w:rPr>
                <w:rFonts w:ascii="Arial" w:hAnsi="Arial" w:cs="Arial"/>
                <w:sz w:val="20"/>
                <w:szCs w:val="20"/>
              </w:rPr>
              <w:t xml:space="preserve"> </w:t>
            </w:r>
            <w:r>
              <w:rPr>
                <w:rFonts w:ascii="Arial" w:hAnsi="Arial" w:cs="Arial"/>
                <w:sz w:val="20"/>
                <w:szCs w:val="20"/>
              </w:rPr>
              <w:t>was similar between groups (</w:t>
            </w:r>
            <w:r w:rsidRPr="0000619E">
              <w:rPr>
                <w:rFonts w:ascii="Arial" w:hAnsi="Arial" w:cs="Arial"/>
                <w:sz w:val="20"/>
                <w:szCs w:val="20"/>
              </w:rPr>
              <w:t>3.66 hours</w:t>
            </w:r>
            <w:r>
              <w:rPr>
                <w:rFonts w:ascii="Arial" w:hAnsi="Arial" w:cs="Arial"/>
                <w:sz w:val="20"/>
                <w:szCs w:val="20"/>
              </w:rPr>
              <w:t>)</w:t>
            </w:r>
            <w:r w:rsidRPr="0000619E">
              <w:rPr>
                <w:rFonts w:ascii="Arial" w:hAnsi="Arial" w:cs="Arial"/>
                <w:sz w:val="20"/>
                <w:szCs w:val="20"/>
              </w:rPr>
              <w:t>.</w:t>
            </w:r>
          </w:p>
          <w:p w:rsidR="0000619E" w:rsidRPr="0000619E" w:rsidRDefault="0000619E" w:rsidP="0000619E">
            <w:pPr>
              <w:spacing w:after="0" w:line="240" w:lineRule="auto"/>
              <w:rPr>
                <w:rFonts w:ascii="Arial" w:hAnsi="Arial" w:cs="Arial"/>
                <w:sz w:val="20"/>
                <w:szCs w:val="20"/>
              </w:rPr>
            </w:pPr>
          </w:p>
          <w:p w:rsidR="0000619E" w:rsidRDefault="0000619E" w:rsidP="0000619E">
            <w:pPr>
              <w:spacing w:after="0" w:line="240" w:lineRule="auto"/>
              <w:rPr>
                <w:rFonts w:ascii="Arial" w:hAnsi="Arial" w:cs="Arial"/>
                <w:sz w:val="20"/>
                <w:szCs w:val="20"/>
              </w:rPr>
            </w:pPr>
            <w:r>
              <w:rPr>
                <w:rFonts w:ascii="Arial" w:hAnsi="Arial" w:cs="Arial"/>
                <w:sz w:val="20"/>
                <w:szCs w:val="20"/>
              </w:rPr>
              <w:t>The</w:t>
            </w:r>
            <w:r w:rsidRPr="0000619E">
              <w:rPr>
                <w:rFonts w:ascii="Arial" w:hAnsi="Arial" w:cs="Arial"/>
                <w:sz w:val="20"/>
                <w:szCs w:val="20"/>
              </w:rPr>
              <w:t xml:space="preserve"> mean C</w:t>
            </w:r>
            <w:r w:rsidRPr="0000619E">
              <w:rPr>
                <w:rFonts w:ascii="Arial" w:hAnsi="Arial" w:cs="Arial"/>
                <w:sz w:val="20"/>
                <w:szCs w:val="20"/>
                <w:vertAlign w:val="subscript"/>
              </w:rPr>
              <w:t>5min</w:t>
            </w:r>
            <w:r w:rsidRPr="0000619E">
              <w:rPr>
                <w:rFonts w:ascii="Arial" w:hAnsi="Arial" w:cs="Arial"/>
                <w:sz w:val="20"/>
                <w:szCs w:val="20"/>
              </w:rPr>
              <w:t xml:space="preserve"> for naltrexone was 12.8 ng/mL</w:t>
            </w:r>
            <w:r>
              <w:rPr>
                <w:rFonts w:ascii="Arial" w:hAnsi="Arial" w:cs="Arial"/>
                <w:sz w:val="20"/>
                <w:szCs w:val="20"/>
              </w:rPr>
              <w:t xml:space="preserve"> with </w:t>
            </w:r>
            <w:r w:rsidRPr="0000619E">
              <w:rPr>
                <w:rFonts w:ascii="Arial" w:hAnsi="Arial" w:cs="Arial"/>
                <w:sz w:val="20"/>
                <w:szCs w:val="20"/>
              </w:rPr>
              <w:t>oxycodone 20 mg and naltrexone 2.4 mg IV</w:t>
            </w:r>
            <w:r>
              <w:rPr>
                <w:rFonts w:ascii="Arial" w:hAnsi="Arial" w:cs="Arial"/>
                <w:sz w:val="20"/>
                <w:szCs w:val="20"/>
              </w:rPr>
              <w:t>.</w:t>
            </w:r>
            <w:r w:rsidRPr="0000619E">
              <w:rPr>
                <w:rFonts w:ascii="Arial" w:hAnsi="Arial" w:cs="Arial"/>
                <w:sz w:val="20"/>
                <w:szCs w:val="20"/>
              </w:rPr>
              <w:t xml:space="preserve"> </w:t>
            </w:r>
            <w:r>
              <w:rPr>
                <w:rFonts w:ascii="Arial" w:hAnsi="Arial" w:cs="Arial"/>
                <w:sz w:val="20"/>
                <w:szCs w:val="20"/>
              </w:rPr>
              <w:t xml:space="preserve">The median </w:t>
            </w:r>
            <w:proofErr w:type="spellStart"/>
            <w:r>
              <w:rPr>
                <w:rFonts w:ascii="Arial" w:hAnsi="Arial" w:cs="Arial"/>
                <w:sz w:val="20"/>
                <w:szCs w:val="20"/>
              </w:rPr>
              <w:t>T</w:t>
            </w:r>
            <w:r>
              <w:rPr>
                <w:rFonts w:ascii="Arial" w:hAnsi="Arial" w:cs="Arial"/>
                <w:sz w:val="20"/>
                <w:szCs w:val="20"/>
                <w:vertAlign w:val="subscript"/>
              </w:rPr>
              <w:t>max</w:t>
            </w:r>
            <w:proofErr w:type="spellEnd"/>
            <w:r w:rsidRPr="0000619E">
              <w:rPr>
                <w:rFonts w:ascii="Arial" w:hAnsi="Arial" w:cs="Arial"/>
                <w:sz w:val="20"/>
                <w:szCs w:val="20"/>
              </w:rPr>
              <w:t xml:space="preserve"> wa</w:t>
            </w:r>
            <w:r>
              <w:rPr>
                <w:rFonts w:ascii="Arial" w:hAnsi="Arial" w:cs="Arial"/>
                <w:sz w:val="20"/>
                <w:szCs w:val="20"/>
              </w:rPr>
              <w:t>s nine minutes post-dose</w:t>
            </w:r>
            <w:r w:rsidRPr="0000619E">
              <w:rPr>
                <w:rFonts w:ascii="Arial" w:hAnsi="Arial" w:cs="Arial"/>
                <w:sz w:val="20"/>
                <w:szCs w:val="20"/>
              </w:rPr>
              <w:t xml:space="preserve">. The mean </w:t>
            </w:r>
            <w:proofErr w:type="spellStart"/>
            <w:r>
              <w:rPr>
                <w:rFonts w:ascii="Arial" w:hAnsi="Arial" w:cs="Arial"/>
                <w:sz w:val="20"/>
                <w:szCs w:val="20"/>
              </w:rPr>
              <w:t>AUC</w:t>
            </w:r>
            <w:r>
              <w:rPr>
                <w:rFonts w:ascii="Arial" w:hAnsi="Arial" w:cs="Arial"/>
                <w:sz w:val="20"/>
                <w:szCs w:val="20"/>
                <w:vertAlign w:val="subscript"/>
              </w:rPr>
              <w:t>inf</w:t>
            </w:r>
            <w:proofErr w:type="spellEnd"/>
            <w:r w:rsidRPr="0000619E">
              <w:rPr>
                <w:rFonts w:ascii="Arial" w:hAnsi="Arial" w:cs="Arial"/>
                <w:sz w:val="20"/>
                <w:szCs w:val="20"/>
              </w:rPr>
              <w:t xml:space="preserve"> was 17.2 </w:t>
            </w:r>
            <w:proofErr w:type="spellStart"/>
            <w:r w:rsidRPr="0000619E">
              <w:rPr>
                <w:rFonts w:ascii="Arial" w:hAnsi="Arial" w:cs="Arial"/>
                <w:sz w:val="20"/>
                <w:szCs w:val="20"/>
              </w:rPr>
              <w:t>ng</w:t>
            </w:r>
            <w:r>
              <w:rPr>
                <w:rFonts w:ascii="Arial" w:hAnsi="Arial" w:cs="Arial"/>
                <w:sz w:val="20"/>
                <w:szCs w:val="20"/>
              </w:rPr>
              <w:t>∙</w:t>
            </w:r>
            <w:r w:rsidRPr="0000619E">
              <w:rPr>
                <w:rFonts w:ascii="Arial" w:hAnsi="Arial" w:cs="Arial"/>
                <w:sz w:val="20"/>
                <w:szCs w:val="20"/>
              </w:rPr>
              <w:t>h</w:t>
            </w:r>
            <w:proofErr w:type="spellEnd"/>
            <w:r w:rsidRPr="0000619E">
              <w:rPr>
                <w:rFonts w:ascii="Arial" w:hAnsi="Arial" w:cs="Arial"/>
                <w:sz w:val="20"/>
                <w:szCs w:val="20"/>
              </w:rPr>
              <w:t xml:space="preserve">/mL, and the </w:t>
            </w:r>
            <w:r>
              <w:rPr>
                <w:rFonts w:ascii="Arial" w:hAnsi="Arial" w:cs="Arial"/>
                <w:sz w:val="20"/>
                <w:szCs w:val="20"/>
              </w:rPr>
              <w:t>half-life</w:t>
            </w:r>
            <w:r w:rsidRPr="0000619E">
              <w:rPr>
                <w:rFonts w:ascii="Arial" w:hAnsi="Arial" w:cs="Arial"/>
                <w:sz w:val="20"/>
                <w:szCs w:val="20"/>
              </w:rPr>
              <w:t xml:space="preserve"> was 2.82 hours.</w:t>
            </w:r>
          </w:p>
          <w:p w:rsidR="00CD6FFF" w:rsidRDefault="00CD6FFF" w:rsidP="0000619E">
            <w:pPr>
              <w:spacing w:after="0" w:line="240" w:lineRule="auto"/>
              <w:rPr>
                <w:rFonts w:ascii="Arial" w:hAnsi="Arial" w:cs="Arial"/>
                <w:sz w:val="20"/>
                <w:szCs w:val="20"/>
              </w:rPr>
            </w:pPr>
          </w:p>
          <w:p w:rsidR="00CD6FFF" w:rsidRDefault="0053409D" w:rsidP="0053409D">
            <w:pPr>
              <w:spacing w:after="0" w:line="240" w:lineRule="auto"/>
              <w:rPr>
                <w:rFonts w:ascii="Arial" w:hAnsi="Arial" w:cs="Arial"/>
                <w:sz w:val="20"/>
                <w:szCs w:val="20"/>
              </w:rPr>
            </w:pPr>
            <w:r>
              <w:rPr>
                <w:rFonts w:ascii="Arial" w:hAnsi="Arial" w:cs="Arial"/>
                <w:sz w:val="20"/>
                <w:szCs w:val="20"/>
              </w:rPr>
              <w:t xml:space="preserve">More patients taking </w:t>
            </w:r>
            <w:r w:rsidR="00CD6FFF" w:rsidRPr="00CD6FFF">
              <w:rPr>
                <w:rFonts w:ascii="Arial" w:hAnsi="Arial" w:cs="Arial"/>
                <w:sz w:val="20"/>
                <w:szCs w:val="20"/>
              </w:rPr>
              <w:t>oxycodone</w:t>
            </w:r>
            <w:r>
              <w:rPr>
                <w:rFonts w:ascii="Arial" w:hAnsi="Arial" w:cs="Arial"/>
                <w:sz w:val="20"/>
                <w:szCs w:val="20"/>
              </w:rPr>
              <w:t xml:space="preserve"> IV reported TEAEs</w:t>
            </w:r>
            <w:r w:rsidR="00CD6FFF" w:rsidRPr="00CD6FFF">
              <w:rPr>
                <w:rFonts w:ascii="Arial" w:hAnsi="Arial" w:cs="Arial"/>
                <w:sz w:val="20"/>
                <w:szCs w:val="20"/>
              </w:rPr>
              <w:t xml:space="preserve"> compared to </w:t>
            </w:r>
            <w:r>
              <w:rPr>
                <w:rFonts w:ascii="Arial" w:hAnsi="Arial" w:cs="Arial"/>
                <w:sz w:val="20"/>
                <w:szCs w:val="20"/>
              </w:rPr>
              <w:t>patients</w:t>
            </w:r>
            <w:r w:rsidR="00CD6FFF" w:rsidRPr="00CD6FFF">
              <w:rPr>
                <w:rFonts w:ascii="Arial" w:hAnsi="Arial" w:cs="Arial"/>
                <w:sz w:val="20"/>
                <w:szCs w:val="20"/>
              </w:rPr>
              <w:t xml:space="preserve"> taking oxycodone</w:t>
            </w:r>
            <w:r>
              <w:rPr>
                <w:rFonts w:ascii="Arial" w:hAnsi="Arial" w:cs="Arial"/>
                <w:sz w:val="20"/>
                <w:szCs w:val="20"/>
              </w:rPr>
              <w:t xml:space="preserve"> 20 mg and</w:t>
            </w:r>
            <w:r w:rsidR="00CD6FFF" w:rsidRPr="00CD6FFF">
              <w:rPr>
                <w:rFonts w:ascii="Arial" w:hAnsi="Arial" w:cs="Arial"/>
                <w:sz w:val="20"/>
                <w:szCs w:val="20"/>
              </w:rPr>
              <w:t xml:space="preserve"> naltrexone </w:t>
            </w:r>
            <w:r>
              <w:rPr>
                <w:rFonts w:ascii="Arial" w:hAnsi="Arial" w:cs="Arial"/>
                <w:sz w:val="20"/>
                <w:szCs w:val="20"/>
              </w:rPr>
              <w:t xml:space="preserve">2.4 mg IV </w:t>
            </w:r>
            <w:r w:rsidR="00CD6FFF" w:rsidRPr="00CD6FFF">
              <w:rPr>
                <w:rFonts w:ascii="Arial" w:hAnsi="Arial" w:cs="Arial"/>
                <w:sz w:val="20"/>
                <w:szCs w:val="20"/>
              </w:rPr>
              <w:t>or placebo</w:t>
            </w:r>
            <w:r>
              <w:rPr>
                <w:rFonts w:ascii="Arial" w:hAnsi="Arial" w:cs="Arial"/>
                <w:sz w:val="20"/>
                <w:szCs w:val="20"/>
              </w:rPr>
              <w:t xml:space="preserve">. </w:t>
            </w:r>
            <w:r w:rsidRPr="0053409D">
              <w:rPr>
                <w:rFonts w:ascii="Arial" w:hAnsi="Arial" w:cs="Arial"/>
                <w:sz w:val="20"/>
                <w:szCs w:val="20"/>
              </w:rPr>
              <w:t xml:space="preserve">No serious </w:t>
            </w:r>
            <w:r>
              <w:rPr>
                <w:rFonts w:ascii="Arial" w:hAnsi="Arial" w:cs="Arial"/>
                <w:sz w:val="20"/>
                <w:szCs w:val="20"/>
              </w:rPr>
              <w:t>adverse events</w:t>
            </w:r>
            <w:r w:rsidRPr="0053409D">
              <w:rPr>
                <w:rFonts w:ascii="Arial" w:hAnsi="Arial" w:cs="Arial"/>
                <w:sz w:val="20"/>
                <w:szCs w:val="20"/>
              </w:rPr>
              <w:t xml:space="preserve"> were reported, and no clinically significant abnormalities were seen in oxygen saturation or end-tidal carbon dioxide</w:t>
            </w:r>
            <w:r>
              <w:rPr>
                <w:rFonts w:ascii="Arial" w:hAnsi="Arial" w:cs="Arial"/>
                <w:sz w:val="20"/>
                <w:szCs w:val="20"/>
              </w:rPr>
              <w:t>.</w:t>
            </w:r>
          </w:p>
        </w:tc>
      </w:tr>
    </w:tbl>
    <w:p w:rsidR="00632C79" w:rsidRDefault="00B26475" w:rsidP="00B26475">
      <w:pPr>
        <w:pStyle w:val="BodyTextIndent"/>
        <w:ind w:left="-810"/>
        <w:rPr>
          <w:rFonts w:ascii="Arial" w:hAnsi="Arial" w:cs="Arial"/>
          <w:sz w:val="16"/>
          <w:szCs w:val="16"/>
        </w:rPr>
      </w:pPr>
      <w:r>
        <w:rPr>
          <w:rFonts w:ascii="Arial" w:hAnsi="Arial" w:cs="Arial"/>
          <w:sz w:val="16"/>
          <w:szCs w:val="16"/>
        </w:rPr>
        <w:t>*</w:t>
      </w:r>
      <w:r w:rsidR="00632C79" w:rsidRPr="0044122B">
        <w:rPr>
          <w:rFonts w:ascii="Arial" w:hAnsi="Arial" w:cs="Arial"/>
          <w:sz w:val="16"/>
          <w:szCs w:val="16"/>
        </w:rPr>
        <w:t xml:space="preserve">Trial is registered on ClinicalTrials.gov </w:t>
      </w:r>
    </w:p>
    <w:p w:rsidR="00991D2F" w:rsidRPr="0044122B" w:rsidRDefault="00991D2F" w:rsidP="00B26475">
      <w:pPr>
        <w:pStyle w:val="BodyTextIndent"/>
        <w:ind w:left="-810"/>
        <w:rPr>
          <w:rFonts w:ascii="Arial" w:hAnsi="Arial" w:cs="Arial"/>
          <w:sz w:val="16"/>
          <w:szCs w:val="16"/>
        </w:rPr>
      </w:pPr>
      <w:r>
        <w:rPr>
          <w:rFonts w:ascii="Arial" w:hAnsi="Arial" w:cs="Arial"/>
          <w:sz w:val="16"/>
          <w:szCs w:val="16"/>
        </w:rPr>
        <w:t>†No comparative data provided for placebo</w:t>
      </w:r>
    </w:p>
    <w:p w:rsidR="00150F67" w:rsidRPr="0044122B" w:rsidRDefault="00150F67" w:rsidP="00E97DD8">
      <w:pPr>
        <w:pStyle w:val="BodyTextIndent"/>
        <w:ind w:left="-770"/>
        <w:rPr>
          <w:rFonts w:ascii="Arial" w:hAnsi="Arial" w:cs="Arial"/>
          <w:color w:val="0000FF"/>
          <w:sz w:val="16"/>
          <w:szCs w:val="16"/>
        </w:rPr>
      </w:pPr>
      <w:r w:rsidRPr="0044122B">
        <w:rPr>
          <w:rFonts w:ascii="Arial" w:hAnsi="Arial" w:cs="Arial"/>
          <w:color w:val="000000"/>
          <w:sz w:val="16"/>
          <w:szCs w:val="16"/>
        </w:rPr>
        <w:t xml:space="preserve">Drug regimen abbreviations: </w:t>
      </w:r>
      <w:r w:rsidR="002A2966">
        <w:rPr>
          <w:rFonts w:ascii="Arial" w:hAnsi="Arial" w:cs="Arial"/>
          <w:color w:val="000000"/>
          <w:sz w:val="16"/>
          <w:szCs w:val="16"/>
        </w:rPr>
        <w:t xml:space="preserve">BID=twice daily, </w:t>
      </w:r>
      <w:r w:rsidR="000A09E6">
        <w:rPr>
          <w:rFonts w:ascii="Arial" w:hAnsi="Arial" w:cs="Arial"/>
          <w:color w:val="000000"/>
          <w:sz w:val="16"/>
          <w:szCs w:val="16"/>
        </w:rPr>
        <w:t>ER=extended-release</w:t>
      </w:r>
      <w:r w:rsidR="001D2E54">
        <w:rPr>
          <w:rFonts w:ascii="Arial" w:hAnsi="Arial" w:cs="Arial"/>
          <w:color w:val="000000"/>
          <w:sz w:val="16"/>
          <w:szCs w:val="16"/>
        </w:rPr>
        <w:t>, IR=immediate-release</w:t>
      </w:r>
      <w:r w:rsidR="00FE550C">
        <w:rPr>
          <w:rFonts w:ascii="Arial" w:hAnsi="Arial" w:cs="Arial"/>
          <w:color w:val="000000"/>
          <w:sz w:val="16"/>
          <w:szCs w:val="16"/>
        </w:rPr>
        <w:t>, IV=intravenously</w:t>
      </w:r>
    </w:p>
    <w:p w:rsidR="00150F67" w:rsidRDefault="00356F51" w:rsidP="00856832">
      <w:pPr>
        <w:spacing w:after="0" w:line="240" w:lineRule="auto"/>
        <w:ind w:left="-770"/>
        <w:rPr>
          <w:rFonts w:ascii="Arial" w:hAnsi="Arial" w:cs="Arial"/>
          <w:color w:val="000000"/>
          <w:sz w:val="16"/>
          <w:szCs w:val="16"/>
        </w:rPr>
      </w:pPr>
      <w:r>
        <w:rPr>
          <w:rFonts w:ascii="Arial" w:hAnsi="Arial" w:cs="Arial"/>
          <w:color w:val="000000"/>
          <w:sz w:val="16"/>
          <w:szCs w:val="16"/>
        </w:rPr>
        <w:t>Study abbreviations:</w:t>
      </w:r>
      <w:r w:rsidR="00150F67" w:rsidRPr="0044122B">
        <w:rPr>
          <w:rFonts w:ascii="Arial" w:hAnsi="Arial" w:cs="Arial"/>
          <w:color w:val="000000"/>
          <w:sz w:val="16"/>
          <w:szCs w:val="16"/>
        </w:rPr>
        <w:t xml:space="preserve"> </w:t>
      </w:r>
      <w:r w:rsidR="00C60932">
        <w:rPr>
          <w:rFonts w:ascii="Arial" w:hAnsi="Arial" w:cs="Arial"/>
          <w:color w:val="000000"/>
          <w:sz w:val="16"/>
          <w:szCs w:val="16"/>
        </w:rPr>
        <w:t xml:space="preserve">AC=active-controlled, </w:t>
      </w:r>
      <w:r w:rsidR="00312D92">
        <w:rPr>
          <w:rFonts w:ascii="Arial" w:hAnsi="Arial" w:cs="Arial"/>
          <w:color w:val="000000"/>
          <w:sz w:val="16"/>
          <w:szCs w:val="16"/>
        </w:rPr>
        <w:t>AUC</w:t>
      </w:r>
      <w:r w:rsidR="00312D92">
        <w:rPr>
          <w:rFonts w:ascii="Arial" w:hAnsi="Arial" w:cs="Arial"/>
          <w:color w:val="000000"/>
          <w:sz w:val="16"/>
          <w:szCs w:val="16"/>
          <w:vertAlign w:val="subscript"/>
        </w:rPr>
        <w:t>0-2h</w:t>
      </w:r>
      <w:r w:rsidR="00312D92">
        <w:rPr>
          <w:rFonts w:ascii="Arial" w:hAnsi="Arial" w:cs="Arial"/>
          <w:color w:val="000000"/>
          <w:sz w:val="16"/>
          <w:szCs w:val="16"/>
        </w:rPr>
        <w:t xml:space="preserve">=area under the curve up to </w:t>
      </w:r>
      <w:r w:rsidR="00EF107E">
        <w:rPr>
          <w:rFonts w:ascii="Arial" w:hAnsi="Arial" w:cs="Arial"/>
          <w:color w:val="000000"/>
          <w:sz w:val="16"/>
          <w:szCs w:val="16"/>
        </w:rPr>
        <w:t>2</w:t>
      </w:r>
      <w:r w:rsidR="00312D92">
        <w:rPr>
          <w:rFonts w:ascii="Arial" w:hAnsi="Arial" w:cs="Arial"/>
          <w:color w:val="000000"/>
          <w:sz w:val="16"/>
          <w:szCs w:val="16"/>
        </w:rPr>
        <w:t xml:space="preserve"> hours after dose, </w:t>
      </w:r>
      <w:r w:rsidR="009834AA">
        <w:rPr>
          <w:rFonts w:ascii="Arial" w:hAnsi="Arial" w:cs="Arial"/>
          <w:color w:val="000000"/>
          <w:sz w:val="16"/>
          <w:szCs w:val="16"/>
        </w:rPr>
        <w:t>AUE</w:t>
      </w:r>
      <w:r w:rsidR="009834AA">
        <w:rPr>
          <w:rFonts w:ascii="Arial" w:hAnsi="Arial" w:cs="Arial"/>
          <w:color w:val="000000"/>
          <w:sz w:val="16"/>
          <w:szCs w:val="16"/>
          <w:vertAlign w:val="subscript"/>
        </w:rPr>
        <w:t>0-2h</w:t>
      </w:r>
      <w:r w:rsidR="009834AA">
        <w:rPr>
          <w:rFonts w:ascii="Arial" w:hAnsi="Arial" w:cs="Arial"/>
          <w:color w:val="000000"/>
          <w:sz w:val="16"/>
          <w:szCs w:val="16"/>
        </w:rPr>
        <w:t>=area under the</w:t>
      </w:r>
      <w:r w:rsidR="00312D92">
        <w:rPr>
          <w:rFonts w:ascii="Arial" w:hAnsi="Arial" w:cs="Arial"/>
          <w:color w:val="000000"/>
          <w:sz w:val="16"/>
          <w:szCs w:val="16"/>
        </w:rPr>
        <w:t xml:space="preserve"> effect</w:t>
      </w:r>
      <w:r w:rsidR="009834AA">
        <w:rPr>
          <w:rFonts w:ascii="Arial" w:hAnsi="Arial" w:cs="Arial"/>
          <w:color w:val="000000"/>
          <w:sz w:val="16"/>
          <w:szCs w:val="16"/>
        </w:rPr>
        <w:t xml:space="preserve"> curve up to </w:t>
      </w:r>
      <w:r w:rsidR="00EF107E">
        <w:rPr>
          <w:rFonts w:ascii="Arial" w:hAnsi="Arial" w:cs="Arial"/>
          <w:color w:val="000000"/>
          <w:sz w:val="16"/>
          <w:szCs w:val="16"/>
        </w:rPr>
        <w:t>2</w:t>
      </w:r>
      <w:r w:rsidR="009834AA">
        <w:rPr>
          <w:rFonts w:ascii="Arial" w:hAnsi="Arial" w:cs="Arial"/>
          <w:color w:val="000000"/>
          <w:sz w:val="16"/>
          <w:szCs w:val="16"/>
        </w:rPr>
        <w:t xml:space="preserve"> hours after dose, </w:t>
      </w:r>
      <w:proofErr w:type="spellStart"/>
      <w:r w:rsidR="00312D92">
        <w:rPr>
          <w:rFonts w:ascii="Arial" w:hAnsi="Arial" w:cs="Arial"/>
          <w:color w:val="000000"/>
          <w:sz w:val="16"/>
          <w:szCs w:val="16"/>
        </w:rPr>
        <w:t>AUC</w:t>
      </w:r>
      <w:r w:rsidR="00312D92">
        <w:rPr>
          <w:rFonts w:ascii="Arial" w:hAnsi="Arial" w:cs="Arial"/>
          <w:color w:val="000000"/>
          <w:sz w:val="16"/>
          <w:szCs w:val="16"/>
          <w:vertAlign w:val="subscript"/>
        </w:rPr>
        <w:t>inf</w:t>
      </w:r>
      <w:proofErr w:type="spellEnd"/>
      <w:r w:rsidR="00312D92">
        <w:rPr>
          <w:rFonts w:ascii="Arial" w:hAnsi="Arial" w:cs="Arial"/>
          <w:color w:val="000000"/>
          <w:sz w:val="16"/>
          <w:szCs w:val="16"/>
        </w:rPr>
        <w:t xml:space="preserve">=area under the curve extrapolated to infinity, </w:t>
      </w:r>
      <w:proofErr w:type="spellStart"/>
      <w:r w:rsidR="00A8542F">
        <w:rPr>
          <w:rFonts w:ascii="Arial" w:hAnsi="Arial" w:cs="Arial"/>
          <w:color w:val="000000"/>
          <w:sz w:val="16"/>
          <w:szCs w:val="16"/>
        </w:rPr>
        <w:t>AUC</w:t>
      </w:r>
      <w:r w:rsidR="00A8542F">
        <w:rPr>
          <w:rFonts w:ascii="Arial" w:hAnsi="Arial" w:cs="Arial"/>
          <w:color w:val="000000"/>
          <w:sz w:val="16"/>
          <w:szCs w:val="16"/>
          <w:vertAlign w:val="subscript"/>
        </w:rPr>
        <w:t>last</w:t>
      </w:r>
      <w:proofErr w:type="spellEnd"/>
      <w:r w:rsidR="00A8542F">
        <w:rPr>
          <w:rFonts w:ascii="Arial" w:hAnsi="Arial" w:cs="Arial"/>
          <w:color w:val="000000"/>
          <w:sz w:val="16"/>
          <w:szCs w:val="16"/>
        </w:rPr>
        <w:t xml:space="preserve">=area under the curve up to the time of the last quantifiable concentration, </w:t>
      </w:r>
      <w:r w:rsidR="0032688D">
        <w:rPr>
          <w:rFonts w:ascii="Arial" w:hAnsi="Arial" w:cs="Arial"/>
          <w:color w:val="000000"/>
          <w:sz w:val="16"/>
          <w:szCs w:val="16"/>
        </w:rPr>
        <w:t xml:space="preserve">BMI=body mass index, </w:t>
      </w:r>
      <w:r w:rsidR="002A2966">
        <w:rPr>
          <w:rFonts w:ascii="Arial" w:hAnsi="Arial" w:cs="Arial"/>
          <w:color w:val="000000"/>
          <w:sz w:val="16"/>
          <w:szCs w:val="16"/>
        </w:rPr>
        <w:t xml:space="preserve">BPI=Brief Pain Inventory, </w:t>
      </w:r>
      <w:r w:rsidR="000A09E6">
        <w:rPr>
          <w:rFonts w:ascii="Arial" w:hAnsi="Arial" w:cs="Arial"/>
          <w:color w:val="000000"/>
          <w:sz w:val="16"/>
          <w:szCs w:val="16"/>
        </w:rPr>
        <w:t xml:space="preserve">BPI-sf=Brief Pain Inventory-Short Form, </w:t>
      </w:r>
      <w:r w:rsidR="00150F67" w:rsidRPr="0044122B">
        <w:rPr>
          <w:rFonts w:ascii="Arial" w:hAnsi="Arial" w:cs="Arial"/>
          <w:color w:val="000000"/>
          <w:sz w:val="16"/>
          <w:szCs w:val="16"/>
        </w:rPr>
        <w:t xml:space="preserve">CI=confidence interval, </w:t>
      </w:r>
      <w:r w:rsidR="002A2966">
        <w:rPr>
          <w:rFonts w:ascii="Arial" w:hAnsi="Arial" w:cs="Arial"/>
          <w:color w:val="000000"/>
          <w:sz w:val="16"/>
          <w:szCs w:val="16"/>
        </w:rPr>
        <w:t xml:space="preserve">CLBP=chronic lower back pain, </w:t>
      </w:r>
      <w:r w:rsidR="001D7BDB">
        <w:rPr>
          <w:rFonts w:ascii="Arial" w:hAnsi="Arial" w:cs="Arial"/>
          <w:color w:val="000000"/>
          <w:sz w:val="16"/>
          <w:szCs w:val="16"/>
        </w:rPr>
        <w:t>C</w:t>
      </w:r>
      <w:r w:rsidR="001D7BDB">
        <w:rPr>
          <w:rFonts w:ascii="Arial" w:hAnsi="Arial" w:cs="Arial"/>
          <w:color w:val="000000"/>
          <w:sz w:val="16"/>
          <w:szCs w:val="16"/>
          <w:vertAlign w:val="subscript"/>
        </w:rPr>
        <w:t>5min</w:t>
      </w:r>
      <w:r w:rsidR="008C5278">
        <w:rPr>
          <w:rFonts w:ascii="Arial" w:hAnsi="Arial" w:cs="Arial"/>
          <w:color w:val="000000"/>
          <w:sz w:val="16"/>
          <w:szCs w:val="16"/>
        </w:rPr>
        <w:t>=plasma concentration at five</w:t>
      </w:r>
      <w:r w:rsidR="001D7BDB">
        <w:rPr>
          <w:rFonts w:ascii="Arial" w:hAnsi="Arial" w:cs="Arial"/>
          <w:color w:val="000000"/>
          <w:sz w:val="16"/>
          <w:szCs w:val="16"/>
        </w:rPr>
        <w:t xml:space="preserve"> minutes, </w:t>
      </w:r>
      <w:r w:rsidR="00312D92">
        <w:rPr>
          <w:rFonts w:ascii="Arial" w:hAnsi="Arial" w:cs="Arial"/>
          <w:color w:val="000000"/>
          <w:sz w:val="16"/>
          <w:szCs w:val="16"/>
        </w:rPr>
        <w:t>C</w:t>
      </w:r>
      <w:r w:rsidR="00312D92">
        <w:rPr>
          <w:rFonts w:ascii="Arial" w:hAnsi="Arial" w:cs="Arial"/>
          <w:color w:val="000000"/>
          <w:sz w:val="16"/>
          <w:szCs w:val="16"/>
          <w:vertAlign w:val="subscript"/>
        </w:rPr>
        <w:t>max</w:t>
      </w:r>
      <w:r w:rsidR="00312D92">
        <w:rPr>
          <w:rFonts w:ascii="Arial" w:hAnsi="Arial" w:cs="Arial"/>
          <w:color w:val="000000"/>
          <w:sz w:val="16"/>
          <w:szCs w:val="16"/>
        </w:rPr>
        <w:t xml:space="preserve">=maximum concentration, </w:t>
      </w:r>
      <w:r w:rsidR="002A2966">
        <w:rPr>
          <w:rFonts w:ascii="Arial" w:hAnsi="Arial" w:cs="Arial"/>
          <w:color w:val="000000"/>
          <w:sz w:val="16"/>
          <w:szCs w:val="16"/>
        </w:rPr>
        <w:t xml:space="preserve">CNCP=chronic non-cancer pain, </w:t>
      </w:r>
      <w:r w:rsidR="002A2966">
        <w:rPr>
          <w:rFonts w:ascii="Arial" w:hAnsi="Arial" w:cs="Arial"/>
          <w:sz w:val="16"/>
          <w:szCs w:val="16"/>
        </w:rPr>
        <w:t>COMM</w:t>
      </w:r>
      <w:r w:rsidR="002A2966">
        <w:rPr>
          <w:rFonts w:ascii="Arial" w:hAnsi="Arial" w:cs="Arial"/>
          <w:sz w:val="16"/>
          <w:szCs w:val="16"/>
          <w:vertAlign w:val="superscript"/>
        </w:rPr>
        <w:t>TM</w:t>
      </w:r>
      <w:r w:rsidR="002A2966">
        <w:rPr>
          <w:rFonts w:ascii="Arial" w:hAnsi="Arial" w:cs="Arial"/>
          <w:sz w:val="16"/>
          <w:szCs w:val="16"/>
        </w:rPr>
        <w:t>=</w:t>
      </w:r>
      <w:r w:rsidR="002A2966" w:rsidRPr="009F1DE2">
        <w:rPr>
          <w:rFonts w:ascii="Arial" w:hAnsi="Arial" w:cs="Arial"/>
          <w:sz w:val="16"/>
          <w:szCs w:val="16"/>
        </w:rPr>
        <w:t>C</w:t>
      </w:r>
      <w:r w:rsidR="002A2966">
        <w:rPr>
          <w:rFonts w:ascii="Arial" w:hAnsi="Arial" w:cs="Arial"/>
          <w:sz w:val="16"/>
          <w:szCs w:val="16"/>
        </w:rPr>
        <w:t xml:space="preserve">urrent Opioid Misuse </w:t>
      </w:r>
      <w:proofErr w:type="spellStart"/>
      <w:r w:rsidR="002A2966">
        <w:rPr>
          <w:rFonts w:ascii="Arial" w:hAnsi="Arial" w:cs="Arial"/>
          <w:sz w:val="16"/>
          <w:szCs w:val="16"/>
        </w:rPr>
        <w:t>Measure</w:t>
      </w:r>
      <w:r w:rsidR="002A2966">
        <w:rPr>
          <w:rFonts w:ascii="Arial" w:hAnsi="Arial" w:cs="Arial"/>
          <w:sz w:val="16"/>
          <w:szCs w:val="16"/>
          <w:vertAlign w:val="superscript"/>
        </w:rPr>
        <w:t>TM</w:t>
      </w:r>
      <w:proofErr w:type="spellEnd"/>
      <w:r w:rsidR="002A2966">
        <w:rPr>
          <w:rFonts w:ascii="Arial" w:hAnsi="Arial" w:cs="Arial"/>
          <w:sz w:val="16"/>
          <w:szCs w:val="16"/>
        </w:rPr>
        <w:t>,</w:t>
      </w:r>
      <w:r w:rsidR="002A2966">
        <w:rPr>
          <w:rFonts w:ascii="Arial" w:hAnsi="Arial" w:cs="Arial"/>
          <w:color w:val="000000"/>
          <w:sz w:val="16"/>
          <w:szCs w:val="16"/>
        </w:rPr>
        <w:t xml:space="preserve"> </w:t>
      </w:r>
      <w:r w:rsidR="004B503C">
        <w:rPr>
          <w:rFonts w:ascii="Arial" w:hAnsi="Arial" w:cs="Arial"/>
          <w:color w:val="000000"/>
          <w:sz w:val="16"/>
          <w:szCs w:val="16"/>
        </w:rPr>
        <w:t xml:space="preserve">COWS=Clinical Opiate Withdrawal Scale, </w:t>
      </w:r>
      <w:r w:rsidR="00150F67" w:rsidRPr="0044122B">
        <w:rPr>
          <w:rFonts w:ascii="Arial" w:hAnsi="Arial" w:cs="Arial"/>
          <w:color w:val="000000"/>
          <w:sz w:val="16"/>
          <w:szCs w:val="16"/>
        </w:rPr>
        <w:t>DB</w:t>
      </w:r>
      <w:r w:rsidR="00150F67" w:rsidRPr="0044122B">
        <w:rPr>
          <w:rFonts w:ascii="Arial" w:hAnsi="Arial" w:cs="Arial"/>
          <w:i/>
          <w:color w:val="000000"/>
          <w:sz w:val="16"/>
          <w:szCs w:val="16"/>
        </w:rPr>
        <w:t>=</w:t>
      </w:r>
      <w:r w:rsidR="00150F67" w:rsidRPr="0044122B">
        <w:rPr>
          <w:rFonts w:ascii="Arial" w:hAnsi="Arial" w:cs="Arial"/>
          <w:color w:val="000000"/>
          <w:sz w:val="16"/>
          <w:szCs w:val="16"/>
        </w:rPr>
        <w:t>double-blind,</w:t>
      </w:r>
      <w:r w:rsidR="009D3713">
        <w:rPr>
          <w:rFonts w:ascii="Arial" w:hAnsi="Arial" w:cs="Arial"/>
          <w:color w:val="000000"/>
          <w:sz w:val="16"/>
          <w:szCs w:val="16"/>
        </w:rPr>
        <w:t xml:space="preserve"> </w:t>
      </w:r>
      <w:r w:rsidR="00000994">
        <w:rPr>
          <w:rFonts w:ascii="Arial" w:hAnsi="Arial" w:cs="Arial"/>
          <w:color w:val="000000"/>
          <w:sz w:val="16"/>
          <w:szCs w:val="16"/>
        </w:rPr>
        <w:t xml:space="preserve">DD=double-dummy, </w:t>
      </w:r>
      <w:r w:rsidR="00D2146D">
        <w:rPr>
          <w:rFonts w:ascii="Arial" w:hAnsi="Arial" w:cs="Arial"/>
          <w:color w:val="000000"/>
          <w:sz w:val="16"/>
          <w:szCs w:val="16"/>
        </w:rPr>
        <w:t xml:space="preserve">ECG=electrocardiogram, </w:t>
      </w:r>
      <w:proofErr w:type="spellStart"/>
      <w:r w:rsidR="00312D92" w:rsidRPr="00312D92">
        <w:rPr>
          <w:rFonts w:ascii="Arial" w:hAnsi="Arial" w:cs="Arial"/>
          <w:color w:val="000000"/>
          <w:sz w:val="16"/>
          <w:szCs w:val="16"/>
        </w:rPr>
        <w:t>E</w:t>
      </w:r>
      <w:r w:rsidR="00312D92">
        <w:rPr>
          <w:rFonts w:ascii="Arial" w:hAnsi="Arial" w:cs="Arial"/>
          <w:color w:val="000000"/>
          <w:sz w:val="16"/>
          <w:szCs w:val="16"/>
          <w:vertAlign w:val="subscript"/>
        </w:rPr>
        <w:t>max</w:t>
      </w:r>
      <w:proofErr w:type="spellEnd"/>
      <w:r w:rsidR="00312D92">
        <w:rPr>
          <w:rFonts w:ascii="Arial" w:hAnsi="Arial" w:cs="Arial"/>
          <w:color w:val="000000"/>
          <w:sz w:val="16"/>
          <w:szCs w:val="16"/>
          <w:vertAlign w:val="subscript"/>
        </w:rPr>
        <w:softHyphen/>
      </w:r>
      <w:r w:rsidR="00312D92">
        <w:rPr>
          <w:rFonts w:ascii="Arial" w:hAnsi="Arial" w:cs="Arial"/>
          <w:color w:val="000000"/>
          <w:sz w:val="16"/>
          <w:szCs w:val="16"/>
        </w:rPr>
        <w:t xml:space="preserve">=peak effect, LS=least squares, </w:t>
      </w:r>
      <w:r w:rsidR="009D3713" w:rsidRPr="00312D92">
        <w:rPr>
          <w:rFonts w:ascii="Arial" w:hAnsi="Arial" w:cs="Arial"/>
          <w:color w:val="000000"/>
          <w:sz w:val="16"/>
          <w:szCs w:val="16"/>
        </w:rPr>
        <w:t>MC</w:t>
      </w:r>
      <w:r w:rsidR="009D3713">
        <w:rPr>
          <w:rFonts w:ascii="Arial" w:hAnsi="Arial" w:cs="Arial"/>
          <w:color w:val="000000"/>
          <w:sz w:val="16"/>
          <w:szCs w:val="16"/>
        </w:rPr>
        <w:t>=multicenter</w:t>
      </w:r>
      <w:r>
        <w:rPr>
          <w:rFonts w:ascii="Arial" w:hAnsi="Arial" w:cs="Arial"/>
          <w:color w:val="000000"/>
          <w:sz w:val="16"/>
          <w:szCs w:val="16"/>
        </w:rPr>
        <w:t>,</w:t>
      </w:r>
      <w:r w:rsidRPr="00356F51">
        <w:rPr>
          <w:rFonts w:ascii="Arial" w:hAnsi="Arial" w:cs="Arial"/>
          <w:color w:val="000000"/>
          <w:sz w:val="16"/>
          <w:szCs w:val="16"/>
        </w:rPr>
        <w:t xml:space="preserve"> </w:t>
      </w:r>
      <w:r w:rsidR="002A2966">
        <w:rPr>
          <w:rFonts w:ascii="Arial" w:hAnsi="Arial" w:cs="Arial"/>
          <w:color w:val="000000"/>
          <w:sz w:val="16"/>
          <w:szCs w:val="16"/>
        </w:rPr>
        <w:t xml:space="preserve">OL=open-label, </w:t>
      </w:r>
      <w:r w:rsidR="00150F67" w:rsidRPr="0044122B">
        <w:rPr>
          <w:rFonts w:ascii="Arial" w:hAnsi="Arial" w:cs="Arial"/>
          <w:color w:val="000000"/>
          <w:sz w:val="16"/>
          <w:szCs w:val="16"/>
        </w:rPr>
        <w:t>PC</w:t>
      </w:r>
      <w:r w:rsidR="00150F67" w:rsidRPr="0044122B">
        <w:rPr>
          <w:rFonts w:ascii="Arial" w:hAnsi="Arial" w:cs="Arial"/>
          <w:i/>
          <w:color w:val="000000"/>
          <w:sz w:val="16"/>
          <w:szCs w:val="16"/>
        </w:rPr>
        <w:t>=</w:t>
      </w:r>
      <w:r w:rsidR="009D3713">
        <w:rPr>
          <w:rFonts w:ascii="Arial" w:hAnsi="Arial" w:cs="Arial"/>
          <w:color w:val="000000"/>
          <w:sz w:val="16"/>
          <w:szCs w:val="16"/>
        </w:rPr>
        <w:t>placebo-controlled</w:t>
      </w:r>
      <w:r>
        <w:rPr>
          <w:rFonts w:ascii="Arial" w:hAnsi="Arial" w:cs="Arial"/>
          <w:color w:val="000000"/>
          <w:sz w:val="16"/>
          <w:szCs w:val="16"/>
        </w:rPr>
        <w:t xml:space="preserve">, </w:t>
      </w:r>
      <w:r w:rsidR="004B54DC">
        <w:rPr>
          <w:rFonts w:ascii="Arial" w:hAnsi="Arial" w:cs="Arial"/>
          <w:color w:val="000000"/>
          <w:sz w:val="16"/>
          <w:szCs w:val="16"/>
        </w:rPr>
        <w:t>PGA=Patient’</w:t>
      </w:r>
      <w:r w:rsidR="00000994">
        <w:rPr>
          <w:rFonts w:ascii="Arial" w:hAnsi="Arial" w:cs="Arial"/>
          <w:color w:val="000000"/>
          <w:sz w:val="16"/>
          <w:szCs w:val="16"/>
        </w:rPr>
        <w:t xml:space="preserve">s Global Assessment, </w:t>
      </w:r>
      <w:r w:rsidR="00150F67" w:rsidRPr="0044122B">
        <w:rPr>
          <w:rFonts w:ascii="Arial" w:hAnsi="Arial" w:cs="Arial"/>
          <w:color w:val="000000"/>
          <w:sz w:val="16"/>
          <w:szCs w:val="16"/>
        </w:rPr>
        <w:t>RCT</w:t>
      </w:r>
      <w:r w:rsidR="00150F67" w:rsidRPr="0044122B">
        <w:rPr>
          <w:rFonts w:ascii="Arial" w:hAnsi="Arial" w:cs="Arial"/>
          <w:i/>
          <w:color w:val="000000"/>
          <w:sz w:val="16"/>
          <w:szCs w:val="16"/>
        </w:rPr>
        <w:t>=</w:t>
      </w:r>
      <w:r w:rsidR="00150F67" w:rsidRPr="0044122B">
        <w:rPr>
          <w:rFonts w:ascii="Arial" w:hAnsi="Arial" w:cs="Arial"/>
          <w:color w:val="000000"/>
          <w:sz w:val="16"/>
          <w:szCs w:val="16"/>
        </w:rPr>
        <w:t xml:space="preserve">randomized controlled trial, </w:t>
      </w:r>
      <w:r w:rsidR="000A09E6">
        <w:rPr>
          <w:rFonts w:ascii="Arial" w:hAnsi="Arial" w:cs="Arial"/>
          <w:color w:val="000000"/>
          <w:sz w:val="16"/>
          <w:szCs w:val="16"/>
        </w:rPr>
        <w:t xml:space="preserve">RMDQ=Roland Morris Disability Questionnaire, </w:t>
      </w:r>
      <w:r w:rsidR="00B26475">
        <w:rPr>
          <w:rFonts w:ascii="Arial" w:hAnsi="Arial" w:cs="Arial"/>
          <w:color w:val="000000"/>
          <w:sz w:val="16"/>
          <w:szCs w:val="16"/>
        </w:rPr>
        <w:t>SD=standard deviation</w:t>
      </w:r>
      <w:r w:rsidR="00324FD1">
        <w:rPr>
          <w:rFonts w:ascii="Arial" w:hAnsi="Arial" w:cs="Arial"/>
          <w:color w:val="000000"/>
          <w:sz w:val="16"/>
          <w:szCs w:val="16"/>
        </w:rPr>
        <w:t>, TDA=willingness to “take drug again”</w:t>
      </w:r>
      <w:r w:rsidR="00D2146D">
        <w:rPr>
          <w:rFonts w:ascii="Arial" w:hAnsi="Arial" w:cs="Arial"/>
          <w:color w:val="000000"/>
          <w:sz w:val="16"/>
          <w:szCs w:val="16"/>
        </w:rPr>
        <w:t>, TEAE=treatment-emergent adverse event</w:t>
      </w:r>
      <w:r w:rsidR="00000994">
        <w:rPr>
          <w:rFonts w:ascii="Arial" w:hAnsi="Arial" w:cs="Arial"/>
          <w:color w:val="000000"/>
          <w:sz w:val="16"/>
          <w:szCs w:val="16"/>
        </w:rPr>
        <w:t xml:space="preserve">, </w:t>
      </w:r>
      <w:proofErr w:type="spellStart"/>
      <w:r w:rsidR="00312D92">
        <w:rPr>
          <w:rFonts w:ascii="Arial" w:hAnsi="Arial" w:cs="Arial"/>
          <w:color w:val="000000"/>
          <w:sz w:val="16"/>
          <w:szCs w:val="16"/>
        </w:rPr>
        <w:t>T</w:t>
      </w:r>
      <w:r w:rsidR="00312D92">
        <w:rPr>
          <w:rFonts w:ascii="Arial" w:hAnsi="Arial" w:cs="Arial"/>
          <w:color w:val="000000"/>
          <w:sz w:val="16"/>
          <w:szCs w:val="16"/>
          <w:vertAlign w:val="subscript"/>
        </w:rPr>
        <w:t>max</w:t>
      </w:r>
      <w:proofErr w:type="spellEnd"/>
      <w:r w:rsidR="00312D92">
        <w:rPr>
          <w:rFonts w:ascii="Arial" w:hAnsi="Arial" w:cs="Arial"/>
          <w:color w:val="000000"/>
          <w:sz w:val="16"/>
          <w:szCs w:val="16"/>
          <w:vertAlign w:val="subscript"/>
        </w:rPr>
        <w:softHyphen/>
      </w:r>
      <w:r w:rsidR="00312D92">
        <w:rPr>
          <w:rFonts w:ascii="Arial" w:hAnsi="Arial" w:cs="Arial"/>
          <w:color w:val="000000"/>
          <w:sz w:val="16"/>
          <w:szCs w:val="16"/>
        </w:rPr>
        <w:t xml:space="preserve">=time to maximum concentration, </w:t>
      </w:r>
      <w:r w:rsidR="009834AA">
        <w:rPr>
          <w:rFonts w:ascii="Arial" w:hAnsi="Arial" w:cs="Arial"/>
          <w:color w:val="000000"/>
          <w:sz w:val="16"/>
          <w:szCs w:val="16"/>
        </w:rPr>
        <w:t xml:space="preserve">VAS=visual analog scale, </w:t>
      </w:r>
      <w:r w:rsidR="00000994">
        <w:rPr>
          <w:rFonts w:ascii="Arial" w:hAnsi="Arial" w:cs="Arial"/>
          <w:color w:val="000000"/>
          <w:sz w:val="16"/>
          <w:szCs w:val="16"/>
        </w:rPr>
        <w:t>XO=crossover</w:t>
      </w:r>
    </w:p>
    <w:p w:rsidR="00632C79" w:rsidRPr="0044122B" w:rsidRDefault="00632C79" w:rsidP="00FE550C">
      <w:pPr>
        <w:pStyle w:val="BodyTextIndent"/>
        <w:ind w:left="0"/>
        <w:rPr>
          <w:rFonts w:ascii="Arial" w:hAnsi="Arial" w:cs="Arial"/>
          <w:b/>
          <w:u w:val="single"/>
        </w:rPr>
        <w:sectPr w:rsidR="00632C79" w:rsidRPr="0044122B" w:rsidSect="00162B15">
          <w:footerReference w:type="default" r:id="rId13"/>
          <w:pgSz w:w="15840" w:h="12240" w:orient="landscape" w:code="1"/>
          <w:pgMar w:top="1440" w:right="1440" w:bottom="1440" w:left="1440" w:header="720" w:footer="720" w:gutter="0"/>
          <w:cols w:space="720"/>
          <w:docGrid w:linePitch="360"/>
        </w:sectPr>
      </w:pPr>
    </w:p>
    <w:p w:rsidR="00AE32D7" w:rsidRPr="00662317" w:rsidRDefault="00AE32D7" w:rsidP="00AE32D7">
      <w:pPr>
        <w:pStyle w:val="NoSpacing"/>
        <w:rPr>
          <w:rFonts w:ascii="Arial" w:hAnsi="Arial" w:cs="Arial"/>
          <w:b/>
          <w:sz w:val="20"/>
          <w:szCs w:val="20"/>
          <w:u w:val="single"/>
          <w:vertAlign w:val="superscript"/>
        </w:rPr>
      </w:pPr>
      <w:bookmarkStart w:id="1" w:name="SpecialPopulations"/>
      <w:r w:rsidRPr="0044122B">
        <w:rPr>
          <w:rFonts w:ascii="Arial" w:hAnsi="Arial" w:cs="Arial"/>
          <w:b/>
          <w:sz w:val="20"/>
          <w:szCs w:val="20"/>
          <w:u w:val="single"/>
        </w:rPr>
        <w:t>Pharmacokinetics</w:t>
      </w:r>
      <w:r w:rsidR="00A1361E">
        <w:rPr>
          <w:rFonts w:ascii="Arial" w:hAnsi="Arial" w:cs="Arial"/>
          <w:b/>
          <w:sz w:val="20"/>
          <w:szCs w:val="20"/>
          <w:u w:val="single"/>
        </w:rPr>
        <w:t>/Pharmacogenomics</w:t>
      </w:r>
    </w:p>
    <w:p w:rsidR="007009D6" w:rsidRDefault="007009D6" w:rsidP="00AE32D7">
      <w:pPr>
        <w:pStyle w:val="NoSpacing"/>
        <w:rPr>
          <w:rFonts w:ascii="Arial" w:hAnsi="Arial" w:cs="Arial"/>
          <w:b/>
          <w:i/>
          <w:sz w:val="20"/>
          <w:szCs w:val="20"/>
        </w:rPr>
      </w:pPr>
    </w:p>
    <w:p w:rsidR="00AE32D7" w:rsidRPr="001723DB" w:rsidRDefault="007009D6" w:rsidP="00AE32D7">
      <w:pPr>
        <w:pStyle w:val="NoSpacing"/>
        <w:rPr>
          <w:rFonts w:ascii="Arial" w:hAnsi="Arial" w:cs="Arial"/>
          <w:i/>
          <w:sz w:val="20"/>
          <w:szCs w:val="20"/>
        </w:rPr>
      </w:pPr>
      <w:r w:rsidRPr="001723DB">
        <w:rPr>
          <w:rFonts w:ascii="Arial" w:hAnsi="Arial" w:cs="Arial"/>
          <w:i/>
          <w:sz w:val="20"/>
          <w:szCs w:val="20"/>
        </w:rPr>
        <w:t>Absorption</w:t>
      </w:r>
    </w:p>
    <w:p w:rsidR="00662317" w:rsidRPr="00662317" w:rsidRDefault="0020592B" w:rsidP="00662317">
      <w:pPr>
        <w:pStyle w:val="NoSpacing"/>
        <w:rPr>
          <w:rFonts w:ascii="Arial" w:hAnsi="Arial" w:cs="Arial"/>
          <w:sz w:val="20"/>
          <w:szCs w:val="20"/>
          <w:vertAlign w:val="superscript"/>
        </w:rPr>
      </w:pPr>
      <w:r>
        <w:rPr>
          <w:rFonts w:ascii="Arial" w:hAnsi="Arial" w:cs="Arial"/>
          <w:sz w:val="20"/>
          <w:szCs w:val="20"/>
        </w:rPr>
        <w:t>The oral bioavailability of oxycodone</w:t>
      </w:r>
      <w:r w:rsidR="00662317" w:rsidRPr="00662317">
        <w:rPr>
          <w:rFonts w:ascii="Arial" w:hAnsi="Arial" w:cs="Arial"/>
          <w:sz w:val="20"/>
          <w:szCs w:val="20"/>
        </w:rPr>
        <w:t xml:space="preserve"> </w:t>
      </w:r>
      <w:r>
        <w:rPr>
          <w:rFonts w:ascii="Arial" w:hAnsi="Arial" w:cs="Arial"/>
          <w:sz w:val="20"/>
          <w:szCs w:val="20"/>
        </w:rPr>
        <w:t>is 60</w:t>
      </w:r>
      <w:r w:rsidR="00662317" w:rsidRPr="00662317">
        <w:rPr>
          <w:rFonts w:ascii="Arial" w:hAnsi="Arial" w:cs="Arial"/>
          <w:sz w:val="20"/>
          <w:szCs w:val="20"/>
        </w:rPr>
        <w:t xml:space="preserve"> to 87%. Dose proportionality of oxycodone has been established </w:t>
      </w:r>
      <w:r>
        <w:rPr>
          <w:rFonts w:ascii="Arial" w:hAnsi="Arial" w:cs="Arial"/>
          <w:sz w:val="20"/>
          <w:szCs w:val="20"/>
        </w:rPr>
        <w:t xml:space="preserve">for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(oxycodone/naltrexone extended-release) </w:t>
      </w:r>
      <w:r w:rsidR="00662317" w:rsidRPr="00662317">
        <w:rPr>
          <w:rFonts w:ascii="Arial" w:hAnsi="Arial" w:cs="Arial"/>
          <w:sz w:val="20"/>
          <w:szCs w:val="20"/>
        </w:rPr>
        <w:t xml:space="preserve">using oxycodone </w:t>
      </w:r>
      <w:r w:rsidR="00617131">
        <w:rPr>
          <w:rFonts w:ascii="Arial" w:hAnsi="Arial" w:cs="Arial"/>
          <w:sz w:val="20"/>
          <w:szCs w:val="20"/>
        </w:rPr>
        <w:t>IR</w:t>
      </w:r>
      <w:r>
        <w:rPr>
          <w:rFonts w:ascii="Arial" w:hAnsi="Arial" w:cs="Arial"/>
          <w:sz w:val="20"/>
          <w:szCs w:val="20"/>
        </w:rPr>
        <w:t xml:space="preserve"> </w:t>
      </w:r>
      <w:r w:rsidR="00662317" w:rsidRPr="00662317">
        <w:rPr>
          <w:rFonts w:ascii="Arial" w:hAnsi="Arial" w:cs="Arial"/>
          <w:sz w:val="20"/>
          <w:szCs w:val="20"/>
        </w:rPr>
        <w:t>5</w:t>
      </w:r>
      <w:r>
        <w:rPr>
          <w:rFonts w:ascii="Arial" w:hAnsi="Arial" w:cs="Arial"/>
          <w:sz w:val="20"/>
          <w:szCs w:val="20"/>
        </w:rPr>
        <w:t xml:space="preserve"> mg</w:t>
      </w:r>
      <w:r w:rsidR="00662317" w:rsidRPr="00662317">
        <w:rPr>
          <w:rFonts w:ascii="Arial" w:hAnsi="Arial" w:cs="Arial"/>
          <w:sz w:val="20"/>
          <w:szCs w:val="20"/>
        </w:rPr>
        <w:t>, 15</w:t>
      </w:r>
      <w:r>
        <w:rPr>
          <w:rFonts w:ascii="Arial" w:hAnsi="Arial" w:cs="Arial"/>
          <w:sz w:val="20"/>
          <w:szCs w:val="20"/>
        </w:rPr>
        <w:t xml:space="preserve"> mg</w:t>
      </w:r>
      <w:r w:rsidR="00662317" w:rsidRPr="00662317">
        <w:rPr>
          <w:rFonts w:ascii="Arial" w:hAnsi="Arial" w:cs="Arial"/>
          <w:sz w:val="20"/>
          <w:szCs w:val="20"/>
        </w:rPr>
        <w:t xml:space="preserve"> and 30 mg tablets based on extent of absorption (AUC).</w:t>
      </w:r>
      <w:r w:rsidR="00662317">
        <w:rPr>
          <w:rFonts w:ascii="Arial" w:hAnsi="Arial" w:cs="Arial"/>
          <w:sz w:val="20"/>
          <w:szCs w:val="20"/>
          <w:vertAlign w:val="superscript"/>
        </w:rPr>
        <w:t>1</w:t>
      </w:r>
    </w:p>
    <w:p w:rsidR="00662317" w:rsidRPr="00662317" w:rsidRDefault="00662317" w:rsidP="00662317">
      <w:pPr>
        <w:pStyle w:val="NoSpacing"/>
        <w:rPr>
          <w:rFonts w:ascii="Arial" w:hAnsi="Arial" w:cs="Arial"/>
          <w:sz w:val="20"/>
          <w:szCs w:val="20"/>
        </w:rPr>
      </w:pPr>
    </w:p>
    <w:p w:rsidR="00C574FF" w:rsidRPr="00662317" w:rsidRDefault="0020592B" w:rsidP="00662317">
      <w:pPr>
        <w:pStyle w:val="NoSpacing"/>
        <w:rPr>
          <w:rFonts w:ascii="Arial" w:hAnsi="Arial" w:cs="Arial"/>
          <w:sz w:val="20"/>
          <w:szCs w:val="20"/>
          <w:vertAlign w:val="superscript"/>
        </w:rPr>
      </w:pPr>
      <w:r>
        <w:rPr>
          <w:rFonts w:ascii="Arial" w:hAnsi="Arial" w:cs="Arial"/>
          <w:sz w:val="20"/>
          <w:szCs w:val="20"/>
        </w:rPr>
        <w:t xml:space="preserve">The </w:t>
      </w:r>
      <w:r w:rsidR="00770B18" w:rsidRPr="003C1ACB">
        <w:rPr>
          <w:rFonts w:ascii="Arial" w:hAnsi="Arial" w:cs="Arial"/>
          <w:sz w:val="20"/>
          <w:szCs w:val="20"/>
        </w:rPr>
        <w:t xml:space="preserve">median </w:t>
      </w:r>
      <w:r w:rsidR="00770B18">
        <w:rPr>
          <w:rFonts w:ascii="Arial" w:hAnsi="Arial" w:cs="Arial"/>
          <w:sz w:val="20"/>
          <w:szCs w:val="20"/>
        </w:rPr>
        <w:t>time to maximum concentration (</w:t>
      </w:r>
      <w:proofErr w:type="spellStart"/>
      <w:r>
        <w:rPr>
          <w:rFonts w:ascii="Arial" w:hAnsi="Arial" w:cs="Arial"/>
          <w:sz w:val="20"/>
          <w:szCs w:val="20"/>
        </w:rPr>
        <w:t>T</w:t>
      </w:r>
      <w:r>
        <w:rPr>
          <w:rFonts w:ascii="Arial" w:hAnsi="Arial" w:cs="Arial"/>
          <w:sz w:val="20"/>
          <w:szCs w:val="20"/>
          <w:vertAlign w:val="subscript"/>
        </w:rPr>
        <w:t>max</w:t>
      </w:r>
      <w:proofErr w:type="spellEnd"/>
      <w:r w:rsidR="00770B18">
        <w:rPr>
          <w:rFonts w:ascii="Arial" w:hAnsi="Arial" w:cs="Arial"/>
          <w:sz w:val="20"/>
          <w:szCs w:val="20"/>
        </w:rPr>
        <w:t>)</w:t>
      </w:r>
      <w:r>
        <w:rPr>
          <w:rFonts w:ascii="Arial" w:hAnsi="Arial" w:cs="Arial"/>
          <w:sz w:val="20"/>
          <w:szCs w:val="20"/>
        </w:rPr>
        <w:t xml:space="preserve"> of oxycodone for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(oxycodone/naltrexone extended-release)</w:t>
      </w:r>
      <w:r w:rsidR="00662317" w:rsidRPr="00662317">
        <w:rPr>
          <w:rFonts w:ascii="Arial" w:hAnsi="Arial" w:cs="Arial"/>
          <w:sz w:val="20"/>
          <w:szCs w:val="20"/>
        </w:rPr>
        <w:t xml:space="preserve"> is </w:t>
      </w:r>
      <w:r>
        <w:rPr>
          <w:rFonts w:ascii="Arial" w:hAnsi="Arial" w:cs="Arial"/>
          <w:sz w:val="20"/>
          <w:szCs w:val="20"/>
        </w:rPr>
        <w:t>approximately 12 hours post-dose (range, 8 to</w:t>
      </w:r>
      <w:r w:rsidR="00662317" w:rsidRPr="00662317">
        <w:rPr>
          <w:rFonts w:ascii="Arial" w:hAnsi="Arial" w:cs="Arial"/>
          <w:sz w:val="20"/>
          <w:szCs w:val="20"/>
        </w:rPr>
        <w:t>16 h</w:t>
      </w:r>
      <w:r>
        <w:rPr>
          <w:rFonts w:ascii="Arial" w:hAnsi="Arial" w:cs="Arial"/>
          <w:sz w:val="20"/>
          <w:szCs w:val="20"/>
        </w:rPr>
        <w:t>ours). The</w:t>
      </w:r>
      <w:r w:rsidR="00662317" w:rsidRPr="00662317">
        <w:rPr>
          <w:rFonts w:ascii="Arial" w:hAnsi="Arial" w:cs="Arial"/>
          <w:sz w:val="20"/>
          <w:szCs w:val="20"/>
        </w:rPr>
        <w:t xml:space="preserve"> AUC is equivalent </w:t>
      </w:r>
      <w:r w:rsidR="007B758F">
        <w:rPr>
          <w:rFonts w:ascii="Arial" w:hAnsi="Arial" w:cs="Arial"/>
          <w:sz w:val="20"/>
          <w:szCs w:val="20"/>
        </w:rPr>
        <w:t xml:space="preserve">to that of oxycodone </w:t>
      </w:r>
      <w:r w:rsidR="00617131">
        <w:rPr>
          <w:rFonts w:ascii="Arial" w:hAnsi="Arial" w:cs="Arial"/>
          <w:sz w:val="20"/>
          <w:szCs w:val="20"/>
        </w:rPr>
        <w:t>IR</w:t>
      </w:r>
      <w:r w:rsidR="00617131" w:rsidRPr="00965270">
        <w:rPr>
          <w:rFonts w:ascii="Arial" w:hAnsi="Arial" w:cs="Arial"/>
          <w:sz w:val="20"/>
          <w:szCs w:val="20"/>
        </w:rPr>
        <w:t xml:space="preserve"> </w:t>
      </w:r>
      <w:r w:rsidR="007B758F">
        <w:rPr>
          <w:rFonts w:ascii="Arial" w:hAnsi="Arial" w:cs="Arial"/>
          <w:sz w:val="20"/>
          <w:szCs w:val="20"/>
        </w:rPr>
        <w:t xml:space="preserve">tablets; the </w:t>
      </w:r>
      <w:r w:rsidR="00770B18" w:rsidRPr="003C1ACB">
        <w:rPr>
          <w:rFonts w:ascii="Arial" w:hAnsi="Arial" w:cs="Arial"/>
          <w:sz w:val="20"/>
          <w:szCs w:val="20"/>
        </w:rPr>
        <w:t xml:space="preserve">mean </w:t>
      </w:r>
      <w:r w:rsidR="00770B18">
        <w:rPr>
          <w:rFonts w:ascii="Arial" w:hAnsi="Arial" w:cs="Arial"/>
          <w:sz w:val="20"/>
          <w:szCs w:val="20"/>
        </w:rPr>
        <w:t>maximum concentration</w:t>
      </w:r>
      <w:r w:rsidR="00770B18" w:rsidRPr="00662317">
        <w:rPr>
          <w:rFonts w:ascii="Arial" w:hAnsi="Arial" w:cs="Arial"/>
          <w:sz w:val="20"/>
          <w:szCs w:val="20"/>
        </w:rPr>
        <w:t xml:space="preserve"> </w:t>
      </w:r>
      <w:r w:rsidR="00770B18">
        <w:rPr>
          <w:rFonts w:ascii="Arial" w:hAnsi="Arial" w:cs="Arial"/>
          <w:sz w:val="20"/>
          <w:szCs w:val="20"/>
        </w:rPr>
        <w:t>(</w:t>
      </w:r>
      <w:r w:rsidR="00662317" w:rsidRPr="00662317">
        <w:rPr>
          <w:rFonts w:ascii="Arial" w:hAnsi="Arial" w:cs="Arial"/>
          <w:sz w:val="20"/>
          <w:szCs w:val="20"/>
        </w:rPr>
        <w:t>C</w:t>
      </w:r>
      <w:r w:rsidR="00662317" w:rsidRPr="0020592B">
        <w:rPr>
          <w:rFonts w:ascii="Arial" w:hAnsi="Arial" w:cs="Arial"/>
          <w:sz w:val="20"/>
          <w:szCs w:val="20"/>
          <w:vertAlign w:val="subscript"/>
        </w:rPr>
        <w:t>max</w:t>
      </w:r>
      <w:r w:rsidR="00770B18">
        <w:rPr>
          <w:rFonts w:ascii="Arial" w:hAnsi="Arial" w:cs="Arial"/>
          <w:sz w:val="20"/>
          <w:szCs w:val="20"/>
        </w:rPr>
        <w:t>)</w:t>
      </w:r>
      <w:r w:rsidR="00662317" w:rsidRPr="00662317">
        <w:rPr>
          <w:rFonts w:ascii="Arial" w:hAnsi="Arial" w:cs="Arial"/>
          <w:sz w:val="20"/>
          <w:szCs w:val="20"/>
        </w:rPr>
        <w:t xml:space="preserve"> is reduced by approximately 67% compared </w:t>
      </w:r>
      <w:r>
        <w:rPr>
          <w:rFonts w:ascii="Arial" w:hAnsi="Arial" w:cs="Arial"/>
          <w:sz w:val="20"/>
          <w:szCs w:val="20"/>
        </w:rPr>
        <w:t>to</w:t>
      </w:r>
      <w:r w:rsidR="00662317" w:rsidRPr="00662317">
        <w:rPr>
          <w:rFonts w:ascii="Arial" w:hAnsi="Arial" w:cs="Arial"/>
          <w:sz w:val="20"/>
          <w:szCs w:val="20"/>
        </w:rPr>
        <w:t xml:space="preserve"> oxycodone</w:t>
      </w:r>
      <w:r>
        <w:rPr>
          <w:rFonts w:ascii="Arial" w:hAnsi="Arial" w:cs="Arial"/>
          <w:sz w:val="20"/>
          <w:szCs w:val="20"/>
        </w:rPr>
        <w:t xml:space="preserve"> </w:t>
      </w:r>
      <w:r w:rsidR="00617131">
        <w:rPr>
          <w:rFonts w:ascii="Arial" w:hAnsi="Arial" w:cs="Arial"/>
          <w:sz w:val="20"/>
          <w:szCs w:val="20"/>
        </w:rPr>
        <w:t>IR</w:t>
      </w:r>
      <w:r w:rsidR="00617131" w:rsidRPr="00965270">
        <w:rPr>
          <w:rFonts w:ascii="Arial" w:hAnsi="Arial" w:cs="Arial"/>
          <w:sz w:val="20"/>
          <w:szCs w:val="20"/>
        </w:rPr>
        <w:t xml:space="preserve"> </w:t>
      </w:r>
      <w:r w:rsidR="00662317" w:rsidRPr="00662317">
        <w:rPr>
          <w:rFonts w:ascii="Arial" w:hAnsi="Arial" w:cs="Arial"/>
          <w:sz w:val="20"/>
          <w:szCs w:val="20"/>
        </w:rPr>
        <w:t xml:space="preserve">tablets. </w:t>
      </w:r>
      <w:r>
        <w:rPr>
          <w:rFonts w:ascii="Arial" w:hAnsi="Arial" w:cs="Arial"/>
          <w:sz w:val="20"/>
          <w:szCs w:val="20"/>
        </w:rPr>
        <w:t>S</w:t>
      </w:r>
      <w:r w:rsidR="00662317" w:rsidRPr="00662317">
        <w:rPr>
          <w:rFonts w:ascii="Arial" w:hAnsi="Arial" w:cs="Arial"/>
          <w:sz w:val="20"/>
          <w:szCs w:val="20"/>
        </w:rPr>
        <w:t>teady state was reached within 48 h</w:t>
      </w:r>
      <w:r>
        <w:rPr>
          <w:rFonts w:ascii="Arial" w:hAnsi="Arial" w:cs="Arial"/>
          <w:sz w:val="20"/>
          <w:szCs w:val="20"/>
        </w:rPr>
        <w:t xml:space="preserve">ours with </w:t>
      </w: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(oxycodone/naltrexone extended-release)</w:t>
      </w:r>
      <w:r w:rsidR="007B758F">
        <w:rPr>
          <w:rFonts w:ascii="Arial" w:hAnsi="Arial" w:cs="Arial"/>
          <w:sz w:val="20"/>
          <w:szCs w:val="20"/>
        </w:rPr>
        <w:t xml:space="preserve">, whereas it is reached in </w:t>
      </w:r>
      <w:r>
        <w:rPr>
          <w:rFonts w:ascii="Arial" w:hAnsi="Arial" w:cs="Arial"/>
          <w:sz w:val="20"/>
          <w:szCs w:val="20"/>
        </w:rPr>
        <w:t xml:space="preserve">18 to 24 hours with oxycodone </w:t>
      </w:r>
      <w:r w:rsidR="00617131">
        <w:rPr>
          <w:rFonts w:ascii="Arial" w:hAnsi="Arial" w:cs="Arial"/>
          <w:sz w:val="20"/>
          <w:szCs w:val="20"/>
        </w:rPr>
        <w:t>IR</w:t>
      </w:r>
      <w:r w:rsidR="00617131" w:rsidRPr="00965270">
        <w:rPr>
          <w:rFonts w:ascii="Arial" w:hAnsi="Arial" w:cs="Arial"/>
          <w:sz w:val="20"/>
          <w:szCs w:val="20"/>
        </w:rPr>
        <w:t xml:space="preserve"> </w:t>
      </w:r>
      <w:r>
        <w:rPr>
          <w:rFonts w:ascii="Arial" w:hAnsi="Arial" w:cs="Arial"/>
          <w:sz w:val="20"/>
          <w:szCs w:val="20"/>
        </w:rPr>
        <w:t>tablets. Th</w:t>
      </w:r>
      <w:r w:rsidR="00662317" w:rsidRPr="00662317">
        <w:rPr>
          <w:rFonts w:ascii="Arial" w:hAnsi="Arial" w:cs="Arial"/>
          <w:sz w:val="20"/>
          <w:szCs w:val="20"/>
        </w:rPr>
        <w:t>e C</w:t>
      </w:r>
      <w:r w:rsidR="00662317" w:rsidRPr="0020592B">
        <w:rPr>
          <w:rFonts w:ascii="Arial" w:hAnsi="Arial" w:cs="Arial"/>
          <w:sz w:val="20"/>
          <w:szCs w:val="20"/>
          <w:vertAlign w:val="subscript"/>
        </w:rPr>
        <w:t>max</w:t>
      </w:r>
      <w:r w:rsidR="00662317" w:rsidRPr="00662317">
        <w:rPr>
          <w:rFonts w:ascii="Arial" w:hAnsi="Arial" w:cs="Arial"/>
          <w:sz w:val="20"/>
          <w:szCs w:val="20"/>
        </w:rPr>
        <w:t xml:space="preserve"> </w:t>
      </w:r>
      <w:r>
        <w:rPr>
          <w:rFonts w:ascii="Arial" w:hAnsi="Arial" w:cs="Arial"/>
          <w:sz w:val="20"/>
          <w:szCs w:val="20"/>
        </w:rPr>
        <w:t>of oxycodone</w:t>
      </w:r>
      <w:r w:rsidR="007B758F">
        <w:rPr>
          <w:rFonts w:ascii="Arial" w:hAnsi="Arial" w:cs="Arial"/>
          <w:sz w:val="20"/>
          <w:szCs w:val="20"/>
        </w:rPr>
        <w:t xml:space="preserve"> for </w:t>
      </w:r>
      <w:proofErr w:type="spellStart"/>
      <w:r w:rsidR="007B758F">
        <w:rPr>
          <w:rFonts w:ascii="Arial" w:hAnsi="Arial" w:cs="Arial"/>
          <w:sz w:val="20"/>
          <w:szCs w:val="20"/>
        </w:rPr>
        <w:t>Troxyca</w:t>
      </w:r>
      <w:proofErr w:type="spellEnd"/>
      <w:r w:rsidR="007B758F">
        <w:rPr>
          <w:rFonts w:ascii="Arial" w:hAnsi="Arial" w:cs="Arial"/>
          <w:sz w:val="20"/>
          <w:szCs w:val="20"/>
          <w:vertAlign w:val="superscript"/>
        </w:rPr>
        <w:t>®</w:t>
      </w:r>
      <w:r w:rsidR="007B758F">
        <w:rPr>
          <w:rFonts w:ascii="Arial" w:hAnsi="Arial" w:cs="Arial"/>
          <w:sz w:val="20"/>
          <w:szCs w:val="20"/>
        </w:rPr>
        <w:t xml:space="preserve"> ER (oxycodone/naltrexone extended-release)</w:t>
      </w:r>
      <w:r>
        <w:rPr>
          <w:rFonts w:ascii="Arial" w:hAnsi="Arial" w:cs="Arial"/>
          <w:sz w:val="20"/>
          <w:szCs w:val="20"/>
        </w:rPr>
        <w:t xml:space="preserve"> </w:t>
      </w:r>
      <w:r w:rsidR="00662317" w:rsidRPr="00662317">
        <w:rPr>
          <w:rFonts w:ascii="Arial" w:hAnsi="Arial" w:cs="Arial"/>
          <w:sz w:val="20"/>
          <w:szCs w:val="20"/>
        </w:rPr>
        <w:t xml:space="preserve">increased by 86% and </w:t>
      </w:r>
      <w:r w:rsidR="007B758F">
        <w:rPr>
          <w:rFonts w:ascii="Arial" w:hAnsi="Arial" w:cs="Arial"/>
          <w:sz w:val="20"/>
          <w:szCs w:val="20"/>
        </w:rPr>
        <w:t>the AUC</w:t>
      </w:r>
      <w:r>
        <w:rPr>
          <w:rFonts w:ascii="Arial" w:hAnsi="Arial" w:cs="Arial"/>
          <w:sz w:val="20"/>
          <w:szCs w:val="20"/>
        </w:rPr>
        <w:t xml:space="preserve"> over 24 hours (</w:t>
      </w:r>
      <w:r w:rsidR="00662317" w:rsidRPr="00662317">
        <w:rPr>
          <w:rFonts w:ascii="Arial" w:hAnsi="Arial" w:cs="Arial"/>
          <w:sz w:val="20"/>
          <w:szCs w:val="20"/>
        </w:rPr>
        <w:t>AUC</w:t>
      </w:r>
      <w:r w:rsidR="00662317" w:rsidRPr="0020592B">
        <w:rPr>
          <w:rFonts w:ascii="Arial" w:hAnsi="Arial" w:cs="Arial"/>
          <w:sz w:val="20"/>
          <w:szCs w:val="20"/>
          <w:vertAlign w:val="subscript"/>
        </w:rPr>
        <w:t>0–24</w:t>
      </w:r>
      <w:r>
        <w:rPr>
          <w:rFonts w:ascii="Arial" w:hAnsi="Arial" w:cs="Arial"/>
          <w:sz w:val="20"/>
          <w:szCs w:val="20"/>
        </w:rPr>
        <w:t>)</w:t>
      </w:r>
      <w:r w:rsidR="00662317" w:rsidRPr="0020592B">
        <w:rPr>
          <w:rFonts w:ascii="Arial" w:hAnsi="Arial" w:cs="Arial"/>
          <w:sz w:val="20"/>
          <w:szCs w:val="20"/>
          <w:vertAlign w:val="subscript"/>
        </w:rPr>
        <w:t xml:space="preserve"> </w:t>
      </w:r>
      <w:r w:rsidR="00662317" w:rsidRPr="00662317">
        <w:rPr>
          <w:rFonts w:ascii="Arial" w:hAnsi="Arial" w:cs="Arial"/>
          <w:sz w:val="20"/>
          <w:szCs w:val="20"/>
        </w:rPr>
        <w:t>increa</w:t>
      </w:r>
      <w:r>
        <w:rPr>
          <w:rFonts w:ascii="Arial" w:hAnsi="Arial" w:cs="Arial"/>
          <w:sz w:val="20"/>
          <w:szCs w:val="20"/>
        </w:rPr>
        <w:t xml:space="preserve">sed by 168% at steady state on day </w:t>
      </w:r>
      <w:r w:rsidR="00733166">
        <w:rPr>
          <w:rFonts w:ascii="Arial" w:hAnsi="Arial" w:cs="Arial"/>
          <w:sz w:val="20"/>
          <w:szCs w:val="20"/>
        </w:rPr>
        <w:t>5</w:t>
      </w:r>
      <w:r>
        <w:rPr>
          <w:rFonts w:ascii="Arial" w:hAnsi="Arial" w:cs="Arial"/>
          <w:sz w:val="20"/>
          <w:szCs w:val="20"/>
        </w:rPr>
        <w:t xml:space="preserve"> compared to day </w:t>
      </w:r>
      <w:r w:rsidR="00733166">
        <w:rPr>
          <w:rFonts w:ascii="Arial" w:hAnsi="Arial" w:cs="Arial"/>
          <w:sz w:val="20"/>
          <w:szCs w:val="20"/>
        </w:rPr>
        <w:t>1</w:t>
      </w:r>
      <w:r w:rsidR="00662317" w:rsidRPr="00662317">
        <w:rPr>
          <w:rFonts w:ascii="Arial" w:hAnsi="Arial" w:cs="Arial"/>
          <w:sz w:val="20"/>
          <w:szCs w:val="20"/>
        </w:rPr>
        <w:t xml:space="preserve">. The half-life after </w:t>
      </w:r>
      <w:r>
        <w:rPr>
          <w:rFonts w:ascii="Arial" w:hAnsi="Arial" w:cs="Arial"/>
          <w:sz w:val="20"/>
          <w:szCs w:val="20"/>
        </w:rPr>
        <w:t>a</w:t>
      </w:r>
      <w:r w:rsidR="00ED265B">
        <w:rPr>
          <w:rFonts w:ascii="Arial" w:hAnsi="Arial" w:cs="Arial"/>
          <w:sz w:val="20"/>
          <w:szCs w:val="20"/>
        </w:rPr>
        <w:t xml:space="preserve"> single dose is approximately 7.2</w:t>
      </w:r>
      <w:r w:rsidR="00662317" w:rsidRPr="00662317">
        <w:rPr>
          <w:rFonts w:ascii="Arial" w:hAnsi="Arial" w:cs="Arial"/>
          <w:sz w:val="20"/>
          <w:szCs w:val="20"/>
        </w:rPr>
        <w:t xml:space="preserve"> hours and does not change after multiple doses.</w:t>
      </w:r>
      <w:r w:rsidR="00662317">
        <w:rPr>
          <w:rFonts w:ascii="Arial" w:hAnsi="Arial" w:cs="Arial"/>
          <w:sz w:val="20"/>
          <w:szCs w:val="20"/>
          <w:vertAlign w:val="superscript"/>
        </w:rPr>
        <w:t>1</w:t>
      </w:r>
    </w:p>
    <w:p w:rsidR="00662317" w:rsidRDefault="00662317" w:rsidP="00662317">
      <w:pPr>
        <w:pStyle w:val="NoSpacing"/>
        <w:rPr>
          <w:rFonts w:ascii="Arial" w:hAnsi="Arial" w:cs="Arial"/>
          <w:sz w:val="20"/>
          <w:szCs w:val="20"/>
        </w:rPr>
      </w:pPr>
    </w:p>
    <w:p w:rsidR="00662317" w:rsidRPr="007B758F" w:rsidRDefault="00662317" w:rsidP="00662317">
      <w:pPr>
        <w:spacing w:after="0" w:line="240" w:lineRule="auto"/>
      </w:pPr>
      <w:r w:rsidRPr="007B758F">
        <w:rPr>
          <w:rFonts w:ascii="Arial" w:hAnsi="Arial" w:cs="Arial"/>
          <w:sz w:val="20"/>
          <w:szCs w:val="20"/>
        </w:rPr>
        <w:t xml:space="preserve">An analysis of pharmacokinetic results from phase </w:t>
      </w:r>
      <w:r w:rsidR="007B758F">
        <w:rPr>
          <w:rFonts w:ascii="Arial" w:hAnsi="Arial" w:cs="Arial"/>
          <w:sz w:val="20"/>
          <w:szCs w:val="20"/>
        </w:rPr>
        <w:t>I</w:t>
      </w:r>
      <w:r w:rsidRPr="007B758F">
        <w:rPr>
          <w:rFonts w:ascii="Arial" w:hAnsi="Arial" w:cs="Arial"/>
          <w:sz w:val="20"/>
          <w:szCs w:val="20"/>
        </w:rPr>
        <w:t xml:space="preserve"> single-dose studies with </w:t>
      </w:r>
      <w:proofErr w:type="spellStart"/>
      <w:r w:rsidRPr="007B758F">
        <w:rPr>
          <w:rFonts w:ascii="Arial" w:hAnsi="Arial" w:cs="Arial"/>
          <w:sz w:val="20"/>
          <w:szCs w:val="20"/>
        </w:rPr>
        <w:t>Troxyca</w:t>
      </w:r>
      <w:proofErr w:type="spellEnd"/>
      <w:r w:rsidRPr="007B758F">
        <w:rPr>
          <w:rFonts w:ascii="Arial" w:hAnsi="Arial" w:cs="Arial"/>
          <w:sz w:val="20"/>
          <w:szCs w:val="20"/>
          <w:vertAlign w:val="superscript"/>
        </w:rPr>
        <w:t>®</w:t>
      </w:r>
      <w:r w:rsidRPr="007B758F">
        <w:rPr>
          <w:rFonts w:ascii="Arial" w:hAnsi="Arial" w:cs="Arial"/>
          <w:sz w:val="20"/>
          <w:szCs w:val="20"/>
        </w:rPr>
        <w:t xml:space="preserve"> ER (oxycodone/naltrexone extended-release) capsules 20 mg/2.4 mg to 80 mg/9.6 mg showed that oxycodone AUC</w:t>
      </w:r>
      <w:r w:rsidR="007B758F">
        <w:rPr>
          <w:rFonts w:ascii="Arial" w:hAnsi="Arial" w:cs="Arial"/>
          <w:sz w:val="20"/>
          <w:szCs w:val="20"/>
        </w:rPr>
        <w:t xml:space="preserve"> </w:t>
      </w:r>
      <w:r w:rsidRPr="007B758F">
        <w:rPr>
          <w:rFonts w:ascii="Arial" w:hAnsi="Arial" w:cs="Arial"/>
          <w:sz w:val="20"/>
          <w:szCs w:val="20"/>
        </w:rPr>
        <w:t>and C</w:t>
      </w:r>
      <w:r w:rsidRPr="007B758F">
        <w:rPr>
          <w:rFonts w:ascii="Arial" w:hAnsi="Arial" w:cs="Arial"/>
          <w:sz w:val="20"/>
          <w:szCs w:val="20"/>
          <w:vertAlign w:val="subscript"/>
        </w:rPr>
        <w:t>max</w:t>
      </w:r>
      <w:r w:rsidRPr="007B758F">
        <w:rPr>
          <w:rFonts w:ascii="Arial" w:hAnsi="Arial" w:cs="Arial"/>
          <w:sz w:val="20"/>
          <w:szCs w:val="20"/>
        </w:rPr>
        <w:t xml:space="preserve"> increased in a dose proportional manner. Following single-dose administration of intact </w:t>
      </w:r>
      <w:proofErr w:type="spellStart"/>
      <w:r w:rsidRPr="007B758F">
        <w:rPr>
          <w:rFonts w:ascii="Arial" w:hAnsi="Arial" w:cs="Arial"/>
          <w:sz w:val="20"/>
          <w:szCs w:val="20"/>
        </w:rPr>
        <w:t>Troxyca</w:t>
      </w:r>
      <w:proofErr w:type="spellEnd"/>
      <w:r w:rsidRPr="007B758F">
        <w:rPr>
          <w:rFonts w:ascii="Arial" w:hAnsi="Arial" w:cs="Arial"/>
          <w:sz w:val="20"/>
          <w:szCs w:val="20"/>
          <w:vertAlign w:val="superscript"/>
        </w:rPr>
        <w:t>®</w:t>
      </w:r>
      <w:r w:rsidRPr="007B758F">
        <w:rPr>
          <w:rFonts w:ascii="Arial" w:hAnsi="Arial" w:cs="Arial"/>
          <w:sz w:val="20"/>
          <w:szCs w:val="20"/>
        </w:rPr>
        <w:t xml:space="preserve"> ER (oxycodone/naltrexone extended-release), naltrexone was undetected (limit of quantitation, 4 </w:t>
      </w:r>
      <w:proofErr w:type="spellStart"/>
      <w:r w:rsidRPr="007B758F">
        <w:rPr>
          <w:rFonts w:ascii="Arial" w:hAnsi="Arial" w:cs="Arial"/>
          <w:sz w:val="20"/>
          <w:szCs w:val="20"/>
        </w:rPr>
        <w:t>pg</w:t>
      </w:r>
      <w:proofErr w:type="spellEnd"/>
      <w:r w:rsidRPr="007B758F">
        <w:rPr>
          <w:rFonts w:ascii="Arial" w:hAnsi="Arial" w:cs="Arial"/>
          <w:sz w:val="20"/>
          <w:szCs w:val="20"/>
        </w:rPr>
        <w:t>/mL); however, a metabolite of naltrexone, 6-β-</w:t>
      </w:r>
      <w:proofErr w:type="spellStart"/>
      <w:r w:rsidRPr="007B758F">
        <w:rPr>
          <w:rFonts w:ascii="Arial" w:hAnsi="Arial" w:cs="Arial"/>
          <w:sz w:val="20"/>
          <w:szCs w:val="20"/>
        </w:rPr>
        <w:t>naltrexol</w:t>
      </w:r>
      <w:proofErr w:type="spellEnd"/>
      <w:r w:rsidRPr="007B758F">
        <w:rPr>
          <w:rFonts w:ascii="Arial" w:hAnsi="Arial" w:cs="Arial"/>
          <w:sz w:val="20"/>
          <w:szCs w:val="20"/>
        </w:rPr>
        <w:t xml:space="preserve">, was observed in </w:t>
      </w:r>
      <w:r w:rsidR="007B758F">
        <w:rPr>
          <w:rFonts w:ascii="Arial" w:hAnsi="Arial" w:cs="Arial"/>
          <w:sz w:val="20"/>
          <w:szCs w:val="20"/>
        </w:rPr>
        <w:t>54% of patients</w:t>
      </w:r>
      <w:r w:rsidRPr="007B758F">
        <w:rPr>
          <w:rFonts w:ascii="Arial" w:hAnsi="Arial" w:cs="Arial"/>
          <w:sz w:val="20"/>
          <w:szCs w:val="20"/>
        </w:rPr>
        <w:t xml:space="preserve"> with a median concentration of 7.8 </w:t>
      </w:r>
      <w:proofErr w:type="spellStart"/>
      <w:r w:rsidRPr="007B758F">
        <w:rPr>
          <w:rFonts w:ascii="Arial" w:hAnsi="Arial" w:cs="Arial"/>
          <w:sz w:val="20"/>
          <w:szCs w:val="20"/>
        </w:rPr>
        <w:t>pg</w:t>
      </w:r>
      <w:proofErr w:type="spellEnd"/>
      <w:r w:rsidRPr="007B758F">
        <w:rPr>
          <w:rFonts w:ascii="Arial" w:hAnsi="Arial" w:cs="Arial"/>
          <w:sz w:val="20"/>
          <w:szCs w:val="20"/>
        </w:rPr>
        <w:t xml:space="preserve">/mL and a range of 4.1 to 45.4 </w:t>
      </w:r>
      <w:proofErr w:type="spellStart"/>
      <w:r w:rsidRPr="007B758F">
        <w:rPr>
          <w:rFonts w:ascii="Arial" w:hAnsi="Arial" w:cs="Arial"/>
          <w:sz w:val="20"/>
          <w:szCs w:val="20"/>
        </w:rPr>
        <w:t>pg</w:t>
      </w:r>
      <w:proofErr w:type="spellEnd"/>
      <w:r w:rsidRPr="007B758F">
        <w:rPr>
          <w:rFonts w:ascii="Arial" w:hAnsi="Arial" w:cs="Arial"/>
          <w:sz w:val="20"/>
          <w:szCs w:val="20"/>
        </w:rPr>
        <w:t xml:space="preserve">/mL (limit of quantitation, 4 </w:t>
      </w:r>
      <w:proofErr w:type="spellStart"/>
      <w:r w:rsidRPr="007B758F">
        <w:rPr>
          <w:rFonts w:ascii="Arial" w:hAnsi="Arial" w:cs="Arial"/>
          <w:sz w:val="20"/>
          <w:szCs w:val="20"/>
        </w:rPr>
        <w:t>pg</w:t>
      </w:r>
      <w:proofErr w:type="spellEnd"/>
      <w:r w:rsidRPr="007B758F">
        <w:rPr>
          <w:rFonts w:ascii="Arial" w:hAnsi="Arial" w:cs="Arial"/>
          <w:sz w:val="20"/>
          <w:szCs w:val="20"/>
        </w:rPr>
        <w:t>/mL).</w:t>
      </w:r>
      <w:r w:rsidRPr="007B758F">
        <w:rPr>
          <w:rFonts w:ascii="Arial" w:hAnsi="Arial" w:cs="Arial"/>
          <w:sz w:val="20"/>
          <w:szCs w:val="20"/>
          <w:vertAlign w:val="superscript"/>
        </w:rPr>
        <w:t>1</w:t>
      </w:r>
      <w:r w:rsidRPr="007B758F">
        <w:rPr>
          <w:rFonts w:ascii="Arial" w:hAnsi="Arial" w:cs="Arial"/>
          <w:sz w:val="20"/>
          <w:szCs w:val="20"/>
        </w:rPr>
        <w:t xml:space="preserve"> </w:t>
      </w:r>
    </w:p>
    <w:p w:rsidR="00662317" w:rsidRPr="007B758F" w:rsidRDefault="00662317" w:rsidP="00662317">
      <w:pPr>
        <w:spacing w:after="0" w:line="240" w:lineRule="auto"/>
        <w:rPr>
          <w:rFonts w:ascii="Arial" w:hAnsi="Arial" w:cs="Arial"/>
          <w:sz w:val="20"/>
          <w:szCs w:val="20"/>
        </w:rPr>
      </w:pPr>
    </w:p>
    <w:p w:rsidR="007B758F" w:rsidRPr="007B758F" w:rsidRDefault="00662317" w:rsidP="00662317">
      <w:pPr>
        <w:spacing w:after="0" w:line="240" w:lineRule="auto"/>
        <w:rPr>
          <w:rFonts w:ascii="Arial" w:hAnsi="Arial" w:cs="Arial"/>
          <w:sz w:val="20"/>
          <w:szCs w:val="20"/>
          <w:vertAlign w:val="superscript"/>
        </w:rPr>
      </w:pPr>
      <w:r w:rsidRPr="007B758F">
        <w:rPr>
          <w:rFonts w:ascii="Arial" w:hAnsi="Arial" w:cs="Arial"/>
          <w:sz w:val="20"/>
          <w:szCs w:val="20"/>
        </w:rPr>
        <w:t xml:space="preserve">Naltrexone plasma concentrations were undetected in 78% of the samples collected from patients in phase </w:t>
      </w:r>
      <w:r w:rsidR="007B758F">
        <w:rPr>
          <w:rFonts w:ascii="Arial" w:hAnsi="Arial" w:cs="Arial"/>
          <w:sz w:val="20"/>
          <w:szCs w:val="20"/>
        </w:rPr>
        <w:t>III</w:t>
      </w:r>
      <w:r w:rsidRPr="007B758F">
        <w:rPr>
          <w:rFonts w:ascii="Arial" w:hAnsi="Arial" w:cs="Arial"/>
          <w:sz w:val="20"/>
          <w:szCs w:val="20"/>
        </w:rPr>
        <w:t xml:space="preserve"> studies. In the samples with measurable naltrexone concentrations, the median concentration was 11.2 </w:t>
      </w:r>
      <w:proofErr w:type="spellStart"/>
      <w:r w:rsidRPr="007B758F">
        <w:rPr>
          <w:rFonts w:ascii="Arial" w:hAnsi="Arial" w:cs="Arial"/>
          <w:sz w:val="20"/>
          <w:szCs w:val="20"/>
        </w:rPr>
        <w:t>pg</w:t>
      </w:r>
      <w:proofErr w:type="spellEnd"/>
      <w:r w:rsidRPr="007B758F">
        <w:rPr>
          <w:rFonts w:ascii="Arial" w:hAnsi="Arial" w:cs="Arial"/>
          <w:sz w:val="20"/>
          <w:szCs w:val="20"/>
        </w:rPr>
        <w:t xml:space="preserve">/mL and the range was 4.1 to 1090 </w:t>
      </w:r>
      <w:proofErr w:type="spellStart"/>
      <w:r w:rsidRPr="007B758F">
        <w:rPr>
          <w:rFonts w:ascii="Arial" w:hAnsi="Arial" w:cs="Arial"/>
          <w:sz w:val="20"/>
          <w:szCs w:val="20"/>
        </w:rPr>
        <w:t>pg</w:t>
      </w:r>
      <w:proofErr w:type="spellEnd"/>
      <w:r w:rsidRPr="007B758F">
        <w:rPr>
          <w:rFonts w:ascii="Arial" w:hAnsi="Arial" w:cs="Arial"/>
          <w:sz w:val="20"/>
          <w:szCs w:val="20"/>
        </w:rPr>
        <w:t>/</w:t>
      </w:r>
      <w:proofErr w:type="spellStart"/>
      <w:r w:rsidRPr="007B758F">
        <w:rPr>
          <w:rFonts w:ascii="Arial" w:hAnsi="Arial" w:cs="Arial"/>
          <w:sz w:val="20"/>
          <w:szCs w:val="20"/>
        </w:rPr>
        <w:t>mL.</w:t>
      </w:r>
      <w:proofErr w:type="spellEnd"/>
      <w:r w:rsidRPr="007B758F">
        <w:rPr>
          <w:rFonts w:ascii="Arial" w:hAnsi="Arial" w:cs="Arial"/>
          <w:sz w:val="20"/>
          <w:szCs w:val="20"/>
        </w:rPr>
        <w:t xml:space="preserve"> At least one measureable naltrexone concentration</w:t>
      </w:r>
      <w:r w:rsidR="007B758F">
        <w:rPr>
          <w:rFonts w:ascii="Arial" w:hAnsi="Arial" w:cs="Arial"/>
          <w:sz w:val="20"/>
          <w:szCs w:val="20"/>
        </w:rPr>
        <w:t xml:space="preserve"> was observed in 34% of patients.</w:t>
      </w:r>
      <w:r w:rsidR="007B758F">
        <w:rPr>
          <w:rFonts w:ascii="Arial" w:hAnsi="Arial" w:cs="Arial"/>
          <w:sz w:val="20"/>
          <w:szCs w:val="20"/>
          <w:vertAlign w:val="superscript"/>
        </w:rPr>
        <w:t>1</w:t>
      </w:r>
    </w:p>
    <w:p w:rsidR="007B758F" w:rsidRDefault="007B758F" w:rsidP="00662317">
      <w:pPr>
        <w:spacing w:after="0" w:line="240" w:lineRule="auto"/>
        <w:rPr>
          <w:rFonts w:ascii="Arial" w:hAnsi="Arial" w:cs="Arial"/>
          <w:sz w:val="20"/>
          <w:szCs w:val="20"/>
        </w:rPr>
      </w:pPr>
    </w:p>
    <w:p w:rsidR="00662317" w:rsidRDefault="00662317" w:rsidP="00662317">
      <w:pPr>
        <w:spacing w:after="0" w:line="240" w:lineRule="auto"/>
        <w:rPr>
          <w:rFonts w:ascii="Arial" w:hAnsi="Arial" w:cs="Arial"/>
          <w:sz w:val="20"/>
          <w:szCs w:val="20"/>
        </w:rPr>
      </w:pPr>
      <w:r w:rsidRPr="007B758F">
        <w:rPr>
          <w:rFonts w:ascii="Arial" w:hAnsi="Arial" w:cs="Arial"/>
          <w:sz w:val="20"/>
          <w:szCs w:val="20"/>
        </w:rPr>
        <w:t>Plasma concentrations of 6-β-</w:t>
      </w:r>
      <w:proofErr w:type="spellStart"/>
      <w:r w:rsidRPr="007B758F">
        <w:rPr>
          <w:rFonts w:ascii="Arial" w:hAnsi="Arial" w:cs="Arial"/>
          <w:sz w:val="20"/>
          <w:szCs w:val="20"/>
        </w:rPr>
        <w:t>naltrexol</w:t>
      </w:r>
      <w:proofErr w:type="spellEnd"/>
      <w:r w:rsidRPr="007B758F">
        <w:rPr>
          <w:rFonts w:ascii="Arial" w:hAnsi="Arial" w:cs="Arial"/>
          <w:sz w:val="20"/>
          <w:szCs w:val="20"/>
        </w:rPr>
        <w:t xml:space="preserve"> were undetected in 40% of the samples collected from patients in phase </w:t>
      </w:r>
      <w:r w:rsidR="007B758F">
        <w:rPr>
          <w:rFonts w:ascii="Arial" w:hAnsi="Arial" w:cs="Arial"/>
          <w:sz w:val="20"/>
          <w:szCs w:val="20"/>
        </w:rPr>
        <w:t>III</w:t>
      </w:r>
      <w:r w:rsidRPr="007B758F">
        <w:rPr>
          <w:rFonts w:ascii="Arial" w:hAnsi="Arial" w:cs="Arial"/>
          <w:sz w:val="20"/>
          <w:szCs w:val="20"/>
        </w:rPr>
        <w:t xml:space="preserve"> studies. In the samples with measurable 6-β-</w:t>
      </w:r>
      <w:proofErr w:type="spellStart"/>
      <w:r w:rsidRPr="007B758F">
        <w:rPr>
          <w:rFonts w:ascii="Arial" w:hAnsi="Arial" w:cs="Arial"/>
          <w:sz w:val="20"/>
          <w:szCs w:val="20"/>
        </w:rPr>
        <w:t>naltrexol</w:t>
      </w:r>
      <w:proofErr w:type="spellEnd"/>
      <w:r w:rsidRPr="007B758F">
        <w:rPr>
          <w:rFonts w:ascii="Arial" w:hAnsi="Arial" w:cs="Arial"/>
          <w:sz w:val="20"/>
          <w:szCs w:val="20"/>
        </w:rPr>
        <w:t xml:space="preserve"> concentrations, the median concentration was 42.5 </w:t>
      </w:r>
      <w:proofErr w:type="spellStart"/>
      <w:r w:rsidRPr="007B758F">
        <w:rPr>
          <w:rFonts w:ascii="Arial" w:hAnsi="Arial" w:cs="Arial"/>
          <w:sz w:val="20"/>
          <w:szCs w:val="20"/>
        </w:rPr>
        <w:t>pg</w:t>
      </w:r>
      <w:proofErr w:type="spellEnd"/>
      <w:r w:rsidRPr="007B758F">
        <w:rPr>
          <w:rFonts w:ascii="Arial" w:hAnsi="Arial" w:cs="Arial"/>
          <w:sz w:val="20"/>
          <w:szCs w:val="20"/>
        </w:rPr>
        <w:t xml:space="preserve">/mL and the range was 4.1 to 7320 </w:t>
      </w:r>
      <w:proofErr w:type="spellStart"/>
      <w:r w:rsidRPr="007B758F">
        <w:rPr>
          <w:rFonts w:ascii="Arial" w:hAnsi="Arial" w:cs="Arial"/>
          <w:sz w:val="20"/>
          <w:szCs w:val="20"/>
        </w:rPr>
        <w:t>pg</w:t>
      </w:r>
      <w:proofErr w:type="spellEnd"/>
      <w:r w:rsidRPr="007B758F">
        <w:rPr>
          <w:rFonts w:ascii="Arial" w:hAnsi="Arial" w:cs="Arial"/>
          <w:sz w:val="20"/>
          <w:szCs w:val="20"/>
        </w:rPr>
        <w:t>/</w:t>
      </w:r>
      <w:proofErr w:type="spellStart"/>
      <w:r w:rsidRPr="007B758F">
        <w:rPr>
          <w:rFonts w:ascii="Arial" w:hAnsi="Arial" w:cs="Arial"/>
          <w:sz w:val="20"/>
          <w:szCs w:val="20"/>
        </w:rPr>
        <w:t>mL.</w:t>
      </w:r>
      <w:proofErr w:type="spellEnd"/>
      <w:r w:rsidRPr="007B758F">
        <w:rPr>
          <w:rFonts w:ascii="Arial" w:hAnsi="Arial" w:cs="Arial"/>
          <w:sz w:val="20"/>
          <w:szCs w:val="20"/>
        </w:rPr>
        <w:t xml:space="preserve"> At least one measureable 6-β-</w:t>
      </w:r>
      <w:proofErr w:type="spellStart"/>
      <w:r w:rsidRPr="007B758F">
        <w:rPr>
          <w:rFonts w:ascii="Arial" w:hAnsi="Arial" w:cs="Arial"/>
          <w:sz w:val="20"/>
          <w:szCs w:val="20"/>
        </w:rPr>
        <w:t>naltrexol</w:t>
      </w:r>
      <w:proofErr w:type="spellEnd"/>
      <w:r w:rsidRPr="007B758F">
        <w:rPr>
          <w:rFonts w:ascii="Arial" w:hAnsi="Arial" w:cs="Arial"/>
          <w:sz w:val="20"/>
          <w:szCs w:val="20"/>
        </w:rPr>
        <w:t xml:space="preserve"> level was observed in </w:t>
      </w:r>
      <w:r w:rsidR="007B758F">
        <w:rPr>
          <w:rFonts w:ascii="Arial" w:hAnsi="Arial" w:cs="Arial"/>
          <w:sz w:val="20"/>
          <w:szCs w:val="20"/>
        </w:rPr>
        <w:t>73% of patients</w:t>
      </w:r>
      <w:r w:rsidRPr="007B758F">
        <w:rPr>
          <w:rFonts w:ascii="Arial" w:hAnsi="Arial" w:cs="Arial"/>
          <w:sz w:val="20"/>
          <w:szCs w:val="20"/>
        </w:rPr>
        <w:t>.</w:t>
      </w:r>
      <w:r w:rsidRPr="007B758F">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C574FF" w:rsidRPr="001723DB" w:rsidRDefault="00C574FF" w:rsidP="00AE32D7">
      <w:pPr>
        <w:pStyle w:val="NoSpacing"/>
        <w:rPr>
          <w:rFonts w:ascii="Arial" w:hAnsi="Arial" w:cs="Arial"/>
          <w:sz w:val="20"/>
          <w:szCs w:val="20"/>
        </w:rPr>
      </w:pPr>
      <w:r w:rsidRPr="001723DB">
        <w:rPr>
          <w:rFonts w:ascii="Arial" w:hAnsi="Arial" w:cs="Arial"/>
          <w:i/>
          <w:sz w:val="20"/>
          <w:szCs w:val="20"/>
        </w:rPr>
        <w:t>Distribution</w:t>
      </w:r>
    </w:p>
    <w:p w:rsidR="00FA25C3" w:rsidRPr="00662317" w:rsidRDefault="00DE40D5" w:rsidP="00AE32D7">
      <w:pPr>
        <w:pStyle w:val="NoSpacing"/>
        <w:rPr>
          <w:rFonts w:ascii="Arial" w:hAnsi="Arial" w:cs="Arial"/>
          <w:sz w:val="20"/>
          <w:szCs w:val="20"/>
          <w:vertAlign w:val="superscript"/>
        </w:rPr>
      </w:pPr>
      <w:r w:rsidRPr="00DE40D5">
        <w:rPr>
          <w:rFonts w:ascii="Arial" w:hAnsi="Arial" w:cs="Arial"/>
          <w:sz w:val="20"/>
          <w:szCs w:val="20"/>
        </w:rPr>
        <w:t>The steady-state volume of distribution (V</w:t>
      </w:r>
      <w:r w:rsidRPr="00DE40D5">
        <w:rPr>
          <w:rFonts w:ascii="Arial" w:hAnsi="Arial" w:cs="Arial"/>
          <w:sz w:val="20"/>
          <w:szCs w:val="20"/>
          <w:vertAlign w:val="subscript"/>
        </w:rPr>
        <w:t>SS</w:t>
      </w:r>
      <w:r w:rsidRPr="00DE40D5">
        <w:rPr>
          <w:rFonts w:ascii="Arial" w:hAnsi="Arial" w:cs="Arial"/>
          <w:sz w:val="20"/>
          <w:szCs w:val="20"/>
        </w:rPr>
        <w:t>) for oxycodone given intravenous</w:t>
      </w:r>
      <w:r>
        <w:rPr>
          <w:rFonts w:ascii="Arial" w:hAnsi="Arial" w:cs="Arial"/>
          <w:sz w:val="20"/>
          <w:szCs w:val="20"/>
        </w:rPr>
        <w:t>ly</w:t>
      </w:r>
      <w:r w:rsidRPr="00DE40D5">
        <w:rPr>
          <w:rFonts w:ascii="Arial" w:hAnsi="Arial" w:cs="Arial"/>
          <w:sz w:val="20"/>
          <w:szCs w:val="20"/>
        </w:rPr>
        <w:t xml:space="preserve"> </w:t>
      </w:r>
      <w:r>
        <w:rPr>
          <w:rFonts w:ascii="Arial" w:hAnsi="Arial" w:cs="Arial"/>
          <w:sz w:val="20"/>
          <w:szCs w:val="20"/>
        </w:rPr>
        <w:t>is</w:t>
      </w:r>
      <w:r w:rsidRPr="00DE40D5">
        <w:rPr>
          <w:rFonts w:ascii="Arial" w:hAnsi="Arial" w:cs="Arial"/>
          <w:sz w:val="20"/>
          <w:szCs w:val="20"/>
        </w:rPr>
        <w:t xml:space="preserve"> 2.6 L/kg</w:t>
      </w:r>
      <w:r w:rsidR="00662317" w:rsidRPr="00662317">
        <w:rPr>
          <w:rFonts w:ascii="Arial" w:hAnsi="Arial" w:cs="Arial"/>
          <w:sz w:val="20"/>
          <w:szCs w:val="20"/>
        </w:rPr>
        <w:t xml:space="preserve">. Plasma protein binding of oxycodone is </w:t>
      </w:r>
      <w:r>
        <w:rPr>
          <w:rFonts w:ascii="Arial" w:hAnsi="Arial" w:cs="Arial"/>
          <w:sz w:val="20"/>
          <w:szCs w:val="20"/>
        </w:rPr>
        <w:t>approximately</w:t>
      </w:r>
      <w:r w:rsidR="00662317" w:rsidRPr="00662317">
        <w:rPr>
          <w:rFonts w:ascii="Arial" w:hAnsi="Arial" w:cs="Arial"/>
          <w:sz w:val="20"/>
          <w:szCs w:val="20"/>
        </w:rPr>
        <w:t xml:space="preserve"> 45%. Oxycodone has been found to be excreted in breast milk</w:t>
      </w:r>
      <w:r w:rsidR="00662317">
        <w:rPr>
          <w:rFonts w:ascii="Arial" w:hAnsi="Arial" w:cs="Arial"/>
          <w:sz w:val="20"/>
          <w:szCs w:val="20"/>
        </w:rPr>
        <w:t>.</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662317" w:rsidRPr="00662317" w:rsidRDefault="00662317" w:rsidP="00AE32D7">
      <w:pPr>
        <w:pStyle w:val="NoSpacing"/>
        <w:rPr>
          <w:rFonts w:ascii="Arial" w:hAnsi="Arial" w:cs="Arial"/>
          <w:sz w:val="20"/>
          <w:szCs w:val="20"/>
          <w:vertAlign w:val="superscript"/>
        </w:rPr>
      </w:pPr>
      <w:r w:rsidRPr="00662317">
        <w:rPr>
          <w:rFonts w:ascii="Arial" w:hAnsi="Arial" w:cs="Arial"/>
          <w:sz w:val="20"/>
          <w:szCs w:val="20"/>
        </w:rPr>
        <w:t>The volume of distribution for naltrexone following intravenous administration is estimated to be 1350</w:t>
      </w:r>
      <w:r w:rsidR="00DE40D5">
        <w:rPr>
          <w:rFonts w:ascii="Arial" w:hAnsi="Arial" w:cs="Arial"/>
          <w:sz w:val="20"/>
          <w:szCs w:val="20"/>
        </w:rPr>
        <w:t xml:space="preserve"> L</w:t>
      </w:r>
      <w:r w:rsidRPr="00662317">
        <w:rPr>
          <w:rFonts w:ascii="Arial" w:hAnsi="Arial" w:cs="Arial"/>
          <w:sz w:val="20"/>
          <w:szCs w:val="20"/>
        </w:rPr>
        <w:t xml:space="preserve">. In vitro tests with human plasma show </w:t>
      </w:r>
      <w:r w:rsidR="00DE40D5">
        <w:rPr>
          <w:rFonts w:ascii="Arial" w:hAnsi="Arial" w:cs="Arial"/>
          <w:sz w:val="20"/>
          <w:szCs w:val="20"/>
        </w:rPr>
        <w:t xml:space="preserve">that the plasma protein binding of </w:t>
      </w:r>
      <w:r w:rsidRPr="00662317">
        <w:rPr>
          <w:rFonts w:ascii="Arial" w:hAnsi="Arial" w:cs="Arial"/>
          <w:sz w:val="20"/>
          <w:szCs w:val="20"/>
        </w:rPr>
        <w:t xml:space="preserve">naltrexone </w:t>
      </w:r>
      <w:r w:rsidR="00DE40D5">
        <w:rPr>
          <w:rFonts w:ascii="Arial" w:hAnsi="Arial" w:cs="Arial"/>
          <w:sz w:val="20"/>
          <w:szCs w:val="20"/>
        </w:rPr>
        <w:t>is</w:t>
      </w:r>
      <w:r w:rsidRPr="00662317">
        <w:rPr>
          <w:rFonts w:ascii="Arial" w:hAnsi="Arial" w:cs="Arial"/>
          <w:sz w:val="20"/>
          <w:szCs w:val="20"/>
        </w:rPr>
        <w:t xml:space="preserve"> 21% over the therapeutic dose range.</w:t>
      </w:r>
      <w:r>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Metabolism</w:t>
      </w:r>
    </w:p>
    <w:p w:rsidR="00FA25C3" w:rsidRPr="00662317" w:rsidRDefault="00C1556D" w:rsidP="00AE32D7">
      <w:pPr>
        <w:pStyle w:val="NoSpacing"/>
        <w:rPr>
          <w:rFonts w:ascii="Arial" w:hAnsi="Arial" w:cs="Arial"/>
          <w:sz w:val="20"/>
          <w:szCs w:val="20"/>
          <w:vertAlign w:val="superscript"/>
        </w:rPr>
      </w:pPr>
      <w:r>
        <w:rPr>
          <w:rFonts w:ascii="Arial" w:hAnsi="Arial" w:cs="Arial"/>
          <w:sz w:val="20"/>
          <w:szCs w:val="20"/>
        </w:rPr>
        <w:t>O</w:t>
      </w:r>
      <w:r w:rsidR="00662317" w:rsidRPr="00662317">
        <w:rPr>
          <w:rFonts w:ascii="Arial" w:hAnsi="Arial" w:cs="Arial"/>
          <w:sz w:val="20"/>
          <w:szCs w:val="20"/>
        </w:rPr>
        <w:t xml:space="preserve">xycodone is extensively metabolized to noroxycodone, oxymorphone, and their glucuronides. </w:t>
      </w:r>
      <w:r>
        <w:rPr>
          <w:rFonts w:ascii="Arial" w:hAnsi="Arial" w:cs="Arial"/>
          <w:sz w:val="20"/>
          <w:szCs w:val="20"/>
        </w:rPr>
        <w:t xml:space="preserve">The primary pathway of metabolism is </w:t>
      </w:r>
      <w:r w:rsidR="00662317" w:rsidRPr="00662317">
        <w:rPr>
          <w:rFonts w:ascii="Arial" w:hAnsi="Arial" w:cs="Arial"/>
          <w:sz w:val="20"/>
          <w:szCs w:val="20"/>
        </w:rPr>
        <w:t xml:space="preserve">CYP3A-mediated N-demethylation to an inactive metabolite from noroxycodone. </w:t>
      </w:r>
      <w:r>
        <w:rPr>
          <w:rFonts w:ascii="Arial" w:hAnsi="Arial" w:cs="Arial"/>
          <w:sz w:val="20"/>
          <w:szCs w:val="20"/>
        </w:rPr>
        <w:t xml:space="preserve">A minor pathway of metabolism is </w:t>
      </w:r>
      <w:r w:rsidR="00662317" w:rsidRPr="00662317">
        <w:rPr>
          <w:rFonts w:ascii="Arial" w:hAnsi="Arial" w:cs="Arial"/>
          <w:sz w:val="20"/>
          <w:szCs w:val="20"/>
        </w:rPr>
        <w:t>CYP2D6-mediated O-demethylation to an active metabolite</w:t>
      </w:r>
      <w:r>
        <w:rPr>
          <w:rFonts w:ascii="Arial" w:hAnsi="Arial" w:cs="Arial"/>
          <w:sz w:val="20"/>
          <w:szCs w:val="20"/>
        </w:rPr>
        <w:t>,</w:t>
      </w:r>
      <w:r w:rsidR="00662317" w:rsidRPr="00662317">
        <w:rPr>
          <w:rFonts w:ascii="Arial" w:hAnsi="Arial" w:cs="Arial"/>
          <w:sz w:val="20"/>
          <w:szCs w:val="20"/>
        </w:rPr>
        <w:t xml:space="preserve"> oxymorphone. Oxymorphone is present in the plasma only in low concentrations</w:t>
      </w:r>
      <w:r w:rsidR="00662317">
        <w:rPr>
          <w:rFonts w:ascii="Arial" w:hAnsi="Arial" w:cs="Arial"/>
          <w:sz w:val="20"/>
          <w:szCs w:val="20"/>
        </w:rPr>
        <w:t>.</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662317" w:rsidRPr="000B058A" w:rsidRDefault="000B058A" w:rsidP="00AE32D7">
      <w:pPr>
        <w:pStyle w:val="NoSpacing"/>
        <w:rPr>
          <w:rFonts w:ascii="Arial" w:hAnsi="Arial" w:cs="Arial"/>
          <w:sz w:val="20"/>
          <w:szCs w:val="20"/>
        </w:rPr>
      </w:pPr>
      <w:r>
        <w:rPr>
          <w:rFonts w:ascii="Arial" w:hAnsi="Arial" w:cs="Arial"/>
          <w:sz w:val="20"/>
          <w:szCs w:val="20"/>
        </w:rPr>
        <w:t>The systemic clearance</w:t>
      </w:r>
      <w:r w:rsidR="00662317" w:rsidRPr="00662317">
        <w:rPr>
          <w:rFonts w:ascii="Arial" w:hAnsi="Arial" w:cs="Arial"/>
          <w:sz w:val="20"/>
          <w:szCs w:val="20"/>
        </w:rPr>
        <w:t xml:space="preserve"> of naltrexone </w:t>
      </w:r>
      <w:r w:rsidRPr="000B058A">
        <w:rPr>
          <w:rFonts w:ascii="Arial" w:hAnsi="Arial" w:cs="Arial"/>
          <w:sz w:val="20"/>
          <w:szCs w:val="20"/>
        </w:rPr>
        <w:t xml:space="preserve">after intravenous administration </w:t>
      </w:r>
      <w:r w:rsidR="00662317" w:rsidRPr="00662317">
        <w:rPr>
          <w:rFonts w:ascii="Arial" w:hAnsi="Arial" w:cs="Arial"/>
          <w:sz w:val="20"/>
          <w:szCs w:val="20"/>
        </w:rPr>
        <w:t>is ~3.5 L/min, which exceeds liver blood flow (~1.2 L/min). This suggests that naltrexone is a highly extracted drug (&gt;98% metabolized) an</w:t>
      </w:r>
      <w:r>
        <w:rPr>
          <w:rFonts w:ascii="Arial" w:hAnsi="Arial" w:cs="Arial"/>
          <w:sz w:val="20"/>
          <w:szCs w:val="20"/>
        </w:rPr>
        <w:t xml:space="preserve">d that extrahepatic sites of </w:t>
      </w:r>
      <w:r w:rsidR="00662317" w:rsidRPr="00662317">
        <w:rPr>
          <w:rFonts w:ascii="Arial" w:hAnsi="Arial" w:cs="Arial"/>
          <w:sz w:val="20"/>
          <w:szCs w:val="20"/>
        </w:rPr>
        <w:t>metabolism exist. The major metabolite of naltrexone is 6</w:t>
      </w:r>
      <w:r>
        <w:rPr>
          <w:rFonts w:ascii="Arial" w:hAnsi="Arial" w:cs="Arial"/>
          <w:sz w:val="20"/>
          <w:szCs w:val="20"/>
        </w:rPr>
        <w:t>-β</w:t>
      </w:r>
      <w:r w:rsidR="00662317" w:rsidRPr="00662317">
        <w:rPr>
          <w:rFonts w:ascii="Arial" w:hAnsi="Arial" w:cs="Arial"/>
          <w:sz w:val="20"/>
          <w:szCs w:val="20"/>
        </w:rPr>
        <w:t>-</w:t>
      </w:r>
      <w:proofErr w:type="spellStart"/>
      <w:r w:rsidR="00662317" w:rsidRPr="00662317">
        <w:rPr>
          <w:rFonts w:ascii="Arial" w:hAnsi="Arial" w:cs="Arial"/>
          <w:sz w:val="20"/>
          <w:szCs w:val="20"/>
        </w:rPr>
        <w:t>naltrexol</w:t>
      </w:r>
      <w:proofErr w:type="spellEnd"/>
      <w:r>
        <w:rPr>
          <w:rFonts w:ascii="Arial" w:hAnsi="Arial" w:cs="Arial"/>
          <w:sz w:val="20"/>
          <w:szCs w:val="20"/>
        </w:rPr>
        <w:t>, which is formed by cytosolic NADPH-requiring enzymes</w:t>
      </w:r>
      <w:r w:rsidR="00662317" w:rsidRPr="00662317">
        <w:rPr>
          <w:rFonts w:ascii="Arial" w:hAnsi="Arial" w:cs="Arial"/>
          <w:sz w:val="20"/>
          <w:szCs w:val="20"/>
        </w:rPr>
        <w:t>. Two other minor metabolites are 2-hydroxy-3-methoxy-</w:t>
      </w:r>
      <w:r w:rsidRPr="000B058A">
        <w:rPr>
          <w:rFonts w:ascii="Arial" w:hAnsi="Arial" w:cs="Arial"/>
          <w:sz w:val="20"/>
          <w:szCs w:val="20"/>
        </w:rPr>
        <w:t>6-β-</w:t>
      </w:r>
      <w:proofErr w:type="spellStart"/>
      <w:r w:rsidRPr="000B058A">
        <w:rPr>
          <w:rFonts w:ascii="Arial" w:hAnsi="Arial" w:cs="Arial"/>
          <w:sz w:val="20"/>
          <w:szCs w:val="20"/>
        </w:rPr>
        <w:t>naltrexol</w:t>
      </w:r>
      <w:proofErr w:type="spellEnd"/>
      <w:r w:rsidRPr="000B058A">
        <w:rPr>
          <w:rFonts w:ascii="Arial" w:hAnsi="Arial" w:cs="Arial"/>
          <w:sz w:val="20"/>
          <w:szCs w:val="20"/>
        </w:rPr>
        <w:t xml:space="preserve"> </w:t>
      </w:r>
      <w:r w:rsidR="00662317" w:rsidRPr="00662317">
        <w:rPr>
          <w:rFonts w:ascii="Arial" w:hAnsi="Arial" w:cs="Arial"/>
          <w:sz w:val="20"/>
          <w:szCs w:val="20"/>
        </w:rPr>
        <w:t>and 2-hydroxy-3-methyl-naltrexone. Naltrexone and its metabolites are also conjuga</w:t>
      </w:r>
      <w:r>
        <w:rPr>
          <w:rFonts w:ascii="Arial" w:hAnsi="Arial" w:cs="Arial"/>
          <w:sz w:val="20"/>
          <w:szCs w:val="20"/>
        </w:rPr>
        <w:t>ted to form additional metabolites</w:t>
      </w:r>
      <w:r w:rsidR="00662317" w:rsidRPr="00662317">
        <w:rPr>
          <w:rFonts w:ascii="Arial" w:hAnsi="Arial" w:cs="Arial"/>
          <w:sz w:val="20"/>
          <w:szCs w:val="20"/>
        </w:rPr>
        <w:t xml:space="preserve">. The activity of naltrexone is believed to be due to both </w:t>
      </w:r>
      <w:r w:rsidR="002D17A3">
        <w:rPr>
          <w:rFonts w:ascii="Arial" w:hAnsi="Arial" w:cs="Arial"/>
          <w:sz w:val="20"/>
          <w:szCs w:val="20"/>
        </w:rPr>
        <w:t>naltrexone</w:t>
      </w:r>
      <w:r w:rsidR="00662317" w:rsidRPr="00662317">
        <w:rPr>
          <w:rFonts w:ascii="Arial" w:hAnsi="Arial" w:cs="Arial"/>
          <w:sz w:val="20"/>
          <w:szCs w:val="20"/>
        </w:rPr>
        <w:t xml:space="preserve"> and </w:t>
      </w:r>
      <w:r w:rsidRPr="000B058A">
        <w:rPr>
          <w:rFonts w:ascii="Arial" w:hAnsi="Arial" w:cs="Arial"/>
          <w:sz w:val="20"/>
          <w:szCs w:val="20"/>
        </w:rPr>
        <w:t>6-β-naltrexol</w:t>
      </w:r>
      <w:r w:rsidR="00662317" w:rsidRPr="00662317">
        <w:rPr>
          <w:rFonts w:ascii="Arial" w:hAnsi="Arial" w:cs="Arial"/>
          <w:sz w:val="20"/>
          <w:szCs w:val="20"/>
        </w:rPr>
        <w:t>.</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Excretion</w:t>
      </w:r>
    </w:p>
    <w:p w:rsidR="004037B6" w:rsidRPr="00ED265B" w:rsidRDefault="00662317" w:rsidP="00AE32D7">
      <w:pPr>
        <w:pStyle w:val="NoSpacing"/>
        <w:rPr>
          <w:rFonts w:ascii="Arial" w:hAnsi="Arial" w:cs="Arial"/>
          <w:sz w:val="20"/>
          <w:szCs w:val="20"/>
        </w:rPr>
      </w:pPr>
      <w:r w:rsidRPr="00662317">
        <w:rPr>
          <w:rFonts w:ascii="Arial" w:hAnsi="Arial" w:cs="Arial"/>
          <w:sz w:val="20"/>
          <w:szCs w:val="20"/>
        </w:rPr>
        <w:t>Oxycodone and its metabolites are excreted primarily via the kidney. The amounts measured in the urine have been reported as fo</w:t>
      </w:r>
      <w:r w:rsidR="00ED265B">
        <w:rPr>
          <w:rFonts w:ascii="Arial" w:hAnsi="Arial" w:cs="Arial"/>
          <w:sz w:val="20"/>
          <w:szCs w:val="20"/>
        </w:rPr>
        <w:t>llows: free oxycodone up to 19%,</w:t>
      </w:r>
      <w:r w:rsidRPr="00662317">
        <w:rPr>
          <w:rFonts w:ascii="Arial" w:hAnsi="Arial" w:cs="Arial"/>
          <w:sz w:val="20"/>
          <w:szCs w:val="20"/>
        </w:rPr>
        <w:t xml:space="preserve"> c</w:t>
      </w:r>
      <w:r w:rsidR="00ED265B">
        <w:rPr>
          <w:rFonts w:ascii="Arial" w:hAnsi="Arial" w:cs="Arial"/>
          <w:sz w:val="20"/>
          <w:szCs w:val="20"/>
        </w:rPr>
        <w:t>onjugated oxycodone up to 50%, free oxymorphone 0%,</w:t>
      </w:r>
      <w:r w:rsidRPr="00662317">
        <w:rPr>
          <w:rFonts w:ascii="Arial" w:hAnsi="Arial" w:cs="Arial"/>
          <w:sz w:val="20"/>
          <w:szCs w:val="20"/>
        </w:rPr>
        <w:t xml:space="preserve"> conjugated oxymorphone ≤14%; both free and conjugated noroxycodone have been found in the urine but are not quantified. The total plasma clearance of oxycodone is 0.8 L/min and the apparent elimination half-life following the administration of oxycodone </w:t>
      </w:r>
      <w:r w:rsidR="00617131">
        <w:rPr>
          <w:rFonts w:ascii="Arial" w:hAnsi="Arial" w:cs="Arial"/>
          <w:sz w:val="20"/>
          <w:szCs w:val="20"/>
        </w:rPr>
        <w:t>IR</w:t>
      </w:r>
      <w:r w:rsidR="00617131" w:rsidRPr="00965270">
        <w:rPr>
          <w:rFonts w:ascii="Arial" w:hAnsi="Arial" w:cs="Arial"/>
          <w:sz w:val="20"/>
          <w:szCs w:val="20"/>
        </w:rPr>
        <w:t xml:space="preserve"> </w:t>
      </w:r>
      <w:r w:rsidRPr="00662317">
        <w:rPr>
          <w:rFonts w:ascii="Arial" w:hAnsi="Arial" w:cs="Arial"/>
          <w:sz w:val="20"/>
          <w:szCs w:val="20"/>
        </w:rPr>
        <w:t xml:space="preserve">is 3.5 to 4 hours. Following oral administration of </w:t>
      </w:r>
      <w:proofErr w:type="spellStart"/>
      <w:r w:rsidR="00ED265B" w:rsidRPr="007B758F">
        <w:rPr>
          <w:rFonts w:ascii="Arial" w:hAnsi="Arial" w:cs="Arial"/>
          <w:sz w:val="20"/>
          <w:szCs w:val="20"/>
        </w:rPr>
        <w:t>Troxyca</w:t>
      </w:r>
      <w:proofErr w:type="spellEnd"/>
      <w:r w:rsidR="00ED265B" w:rsidRPr="007B758F">
        <w:rPr>
          <w:rFonts w:ascii="Arial" w:hAnsi="Arial" w:cs="Arial"/>
          <w:sz w:val="20"/>
          <w:szCs w:val="20"/>
          <w:vertAlign w:val="superscript"/>
        </w:rPr>
        <w:t>®</w:t>
      </w:r>
      <w:r w:rsidR="00ED265B" w:rsidRPr="007B758F">
        <w:rPr>
          <w:rFonts w:ascii="Arial" w:hAnsi="Arial" w:cs="Arial"/>
          <w:sz w:val="20"/>
          <w:szCs w:val="20"/>
        </w:rPr>
        <w:t xml:space="preserve"> ER (oxycodone/naltrexone extended-release)</w:t>
      </w:r>
      <w:r w:rsidRPr="00662317">
        <w:rPr>
          <w:rFonts w:ascii="Arial" w:hAnsi="Arial" w:cs="Arial"/>
          <w:sz w:val="20"/>
          <w:szCs w:val="20"/>
        </w:rPr>
        <w:t xml:space="preserve"> capsules, the apparent elimination half-life of oxycodone is approximately 7.2 hours and steady state is reached within 48 hours upon twice-daily dosing with </w:t>
      </w:r>
      <w:proofErr w:type="spellStart"/>
      <w:r w:rsidR="00ED265B" w:rsidRPr="007B758F">
        <w:rPr>
          <w:rFonts w:ascii="Arial" w:hAnsi="Arial" w:cs="Arial"/>
          <w:sz w:val="20"/>
          <w:szCs w:val="20"/>
        </w:rPr>
        <w:t>Troxyca</w:t>
      </w:r>
      <w:proofErr w:type="spellEnd"/>
      <w:r w:rsidR="00ED265B" w:rsidRPr="007B758F">
        <w:rPr>
          <w:rFonts w:ascii="Arial" w:hAnsi="Arial" w:cs="Arial"/>
          <w:sz w:val="20"/>
          <w:szCs w:val="20"/>
          <w:vertAlign w:val="superscript"/>
        </w:rPr>
        <w:t>®</w:t>
      </w:r>
      <w:r w:rsidR="00ED265B" w:rsidRPr="007B758F">
        <w:rPr>
          <w:rFonts w:ascii="Arial" w:hAnsi="Arial" w:cs="Arial"/>
          <w:sz w:val="20"/>
          <w:szCs w:val="20"/>
        </w:rPr>
        <w:t xml:space="preserve"> ER (oxycodone/naltrexone extended-release)</w:t>
      </w:r>
      <w:r w:rsidR="00ED265B" w:rsidRPr="00662317">
        <w:rPr>
          <w:rFonts w:ascii="Arial" w:hAnsi="Arial" w:cs="Arial"/>
          <w:sz w:val="20"/>
          <w:szCs w:val="20"/>
        </w:rPr>
        <w:t xml:space="preserve"> </w:t>
      </w:r>
      <w:r w:rsidRPr="00662317">
        <w:rPr>
          <w:rFonts w:ascii="Arial" w:hAnsi="Arial" w:cs="Arial"/>
          <w:sz w:val="20"/>
          <w:szCs w:val="20"/>
        </w:rPr>
        <w:t>capsules approximately 12 hours apart.</w:t>
      </w:r>
      <w:r>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662317" w:rsidRPr="00ED265B" w:rsidRDefault="00ED265B" w:rsidP="00AE32D7">
      <w:pPr>
        <w:pStyle w:val="NoSpacing"/>
        <w:rPr>
          <w:rFonts w:ascii="Arial" w:hAnsi="Arial" w:cs="Arial"/>
          <w:sz w:val="20"/>
          <w:szCs w:val="20"/>
        </w:rPr>
      </w:pPr>
      <w:r>
        <w:rPr>
          <w:rFonts w:ascii="Arial" w:hAnsi="Arial" w:cs="Arial"/>
          <w:sz w:val="20"/>
          <w:szCs w:val="20"/>
        </w:rPr>
        <w:t>Naltrexone</w:t>
      </w:r>
      <w:r w:rsidR="00662317" w:rsidRPr="00662317">
        <w:rPr>
          <w:rFonts w:ascii="Arial" w:hAnsi="Arial" w:cs="Arial"/>
          <w:sz w:val="20"/>
          <w:szCs w:val="20"/>
        </w:rPr>
        <w:t xml:space="preserve"> is excreted primarily in the urine as conjugates of naltrexone and 6</w:t>
      </w:r>
      <w:r>
        <w:rPr>
          <w:rFonts w:ascii="Arial" w:hAnsi="Arial" w:cs="Arial"/>
          <w:sz w:val="20"/>
          <w:szCs w:val="20"/>
        </w:rPr>
        <w:t>-β</w:t>
      </w:r>
      <w:r w:rsidR="00662317" w:rsidRPr="00662317">
        <w:rPr>
          <w:rFonts w:ascii="Arial" w:hAnsi="Arial" w:cs="Arial"/>
          <w:sz w:val="20"/>
          <w:szCs w:val="20"/>
        </w:rPr>
        <w:t>-</w:t>
      </w:r>
      <w:proofErr w:type="spellStart"/>
      <w:r w:rsidR="00662317" w:rsidRPr="00662317">
        <w:rPr>
          <w:rFonts w:ascii="Arial" w:hAnsi="Arial" w:cs="Arial"/>
          <w:sz w:val="20"/>
          <w:szCs w:val="20"/>
        </w:rPr>
        <w:t>naltrexol</w:t>
      </w:r>
      <w:proofErr w:type="spellEnd"/>
      <w:r w:rsidR="00662317" w:rsidRPr="00662317">
        <w:rPr>
          <w:rFonts w:ascii="Arial" w:hAnsi="Arial" w:cs="Arial"/>
          <w:sz w:val="20"/>
          <w:szCs w:val="20"/>
        </w:rPr>
        <w:t xml:space="preserve">. The renal clearance for naltrexone ranges from 30 to 127 mL/min and suggests that renal elimination is primarily by glomerular filtration. In comparison, the renal clearance for </w:t>
      </w:r>
      <w:r w:rsidRPr="00ED265B">
        <w:rPr>
          <w:rFonts w:ascii="Arial" w:hAnsi="Arial" w:cs="Arial"/>
          <w:sz w:val="20"/>
          <w:szCs w:val="20"/>
        </w:rPr>
        <w:t>6-β-</w:t>
      </w:r>
      <w:proofErr w:type="spellStart"/>
      <w:r w:rsidRPr="00ED265B">
        <w:rPr>
          <w:rFonts w:ascii="Arial" w:hAnsi="Arial" w:cs="Arial"/>
          <w:sz w:val="20"/>
          <w:szCs w:val="20"/>
        </w:rPr>
        <w:t>naltrexol</w:t>
      </w:r>
      <w:proofErr w:type="spellEnd"/>
      <w:r w:rsidRPr="00ED265B">
        <w:rPr>
          <w:rFonts w:ascii="Arial" w:hAnsi="Arial" w:cs="Arial"/>
          <w:sz w:val="20"/>
          <w:szCs w:val="20"/>
        </w:rPr>
        <w:t xml:space="preserve"> </w:t>
      </w:r>
      <w:r w:rsidR="00662317" w:rsidRPr="00662317">
        <w:rPr>
          <w:rFonts w:ascii="Arial" w:hAnsi="Arial" w:cs="Arial"/>
          <w:sz w:val="20"/>
          <w:szCs w:val="20"/>
        </w:rPr>
        <w:t xml:space="preserve">ranges from 230 to 369 mL/min, suggesting an additional renal tubular secretory mechanism. The urinary excretion of unchanged naltrexone accounts for </w:t>
      </w:r>
      <w:r w:rsidR="004A4AFE">
        <w:rPr>
          <w:rFonts w:ascii="Arial" w:hAnsi="Arial" w:cs="Arial"/>
          <w:sz w:val="20"/>
          <w:szCs w:val="20"/>
        </w:rPr>
        <w:t>&lt;</w:t>
      </w:r>
      <w:r w:rsidR="00662317" w:rsidRPr="00662317">
        <w:rPr>
          <w:rFonts w:ascii="Arial" w:hAnsi="Arial" w:cs="Arial"/>
          <w:sz w:val="20"/>
          <w:szCs w:val="20"/>
        </w:rPr>
        <w:t xml:space="preserve">2% of an oral dose; urinary excretion of unchanged and conjugated </w:t>
      </w:r>
      <w:r w:rsidRPr="00662317">
        <w:rPr>
          <w:rFonts w:ascii="Arial" w:hAnsi="Arial" w:cs="Arial"/>
          <w:sz w:val="20"/>
          <w:szCs w:val="20"/>
        </w:rPr>
        <w:t>6</w:t>
      </w:r>
      <w:r>
        <w:rPr>
          <w:rFonts w:ascii="Arial" w:hAnsi="Arial" w:cs="Arial"/>
          <w:sz w:val="20"/>
          <w:szCs w:val="20"/>
        </w:rPr>
        <w:t>-β-</w:t>
      </w:r>
      <w:proofErr w:type="spellStart"/>
      <w:r>
        <w:rPr>
          <w:rFonts w:ascii="Arial" w:hAnsi="Arial" w:cs="Arial"/>
          <w:sz w:val="20"/>
          <w:szCs w:val="20"/>
        </w:rPr>
        <w:t>naltrexo</w:t>
      </w:r>
      <w:r w:rsidR="00662317" w:rsidRPr="00662317">
        <w:rPr>
          <w:rFonts w:ascii="Arial" w:hAnsi="Arial" w:cs="Arial"/>
          <w:sz w:val="20"/>
          <w:szCs w:val="20"/>
        </w:rPr>
        <w:t>l</w:t>
      </w:r>
      <w:proofErr w:type="spellEnd"/>
      <w:r w:rsidR="00662317" w:rsidRPr="00662317">
        <w:rPr>
          <w:rFonts w:ascii="Arial" w:hAnsi="Arial" w:cs="Arial"/>
          <w:sz w:val="20"/>
          <w:szCs w:val="20"/>
        </w:rPr>
        <w:t xml:space="preserve"> accounts for 43% of an oral dose. The pharmacokinetic profile of naltrexone suggests that naltrexone and its metabolites may undergo enterohepatic recycling. The mean elimination half-life values for naltrexone and </w:t>
      </w:r>
      <w:r w:rsidRPr="00662317">
        <w:rPr>
          <w:rFonts w:ascii="Arial" w:hAnsi="Arial" w:cs="Arial"/>
          <w:sz w:val="20"/>
          <w:szCs w:val="20"/>
        </w:rPr>
        <w:t>6</w:t>
      </w:r>
      <w:r>
        <w:rPr>
          <w:rFonts w:ascii="Arial" w:hAnsi="Arial" w:cs="Arial"/>
          <w:sz w:val="20"/>
          <w:szCs w:val="20"/>
        </w:rPr>
        <w:t>-β</w:t>
      </w:r>
      <w:r w:rsidRPr="00662317">
        <w:rPr>
          <w:rFonts w:ascii="Arial" w:hAnsi="Arial" w:cs="Arial"/>
          <w:sz w:val="20"/>
          <w:szCs w:val="20"/>
        </w:rPr>
        <w:t>-</w:t>
      </w:r>
      <w:proofErr w:type="spellStart"/>
      <w:r w:rsidRPr="00662317">
        <w:rPr>
          <w:rFonts w:ascii="Arial" w:hAnsi="Arial" w:cs="Arial"/>
          <w:sz w:val="20"/>
          <w:szCs w:val="20"/>
        </w:rPr>
        <w:t>naltrexol</w:t>
      </w:r>
      <w:proofErr w:type="spellEnd"/>
      <w:r w:rsidRPr="00662317">
        <w:rPr>
          <w:rFonts w:ascii="Arial" w:hAnsi="Arial" w:cs="Arial"/>
          <w:sz w:val="20"/>
          <w:szCs w:val="20"/>
        </w:rPr>
        <w:t xml:space="preserve"> </w:t>
      </w:r>
      <w:r w:rsidR="00662317" w:rsidRPr="00662317">
        <w:rPr>
          <w:rFonts w:ascii="Arial" w:hAnsi="Arial" w:cs="Arial"/>
          <w:sz w:val="20"/>
          <w:szCs w:val="20"/>
        </w:rPr>
        <w:t xml:space="preserve">are </w:t>
      </w:r>
      <w:r w:rsidR="00B67696">
        <w:rPr>
          <w:rFonts w:ascii="Arial" w:hAnsi="Arial" w:cs="Arial"/>
          <w:sz w:val="20"/>
          <w:szCs w:val="20"/>
        </w:rPr>
        <w:t>four</w:t>
      </w:r>
      <w:r w:rsidR="00B67696" w:rsidRPr="00662317">
        <w:rPr>
          <w:rFonts w:ascii="Arial" w:hAnsi="Arial" w:cs="Arial"/>
          <w:sz w:val="20"/>
          <w:szCs w:val="20"/>
        </w:rPr>
        <w:t xml:space="preserve"> </w:t>
      </w:r>
      <w:r w:rsidR="00662317" w:rsidRPr="00662317">
        <w:rPr>
          <w:rFonts w:ascii="Arial" w:hAnsi="Arial" w:cs="Arial"/>
          <w:sz w:val="20"/>
          <w:szCs w:val="20"/>
        </w:rPr>
        <w:t>hours and 13 hours, respectively.</w:t>
      </w:r>
      <w:r w:rsidR="00662317">
        <w:rPr>
          <w:rFonts w:ascii="Arial" w:hAnsi="Arial" w:cs="Arial"/>
          <w:sz w:val="20"/>
          <w:szCs w:val="20"/>
          <w:vertAlign w:val="superscript"/>
        </w:rPr>
        <w:t>1</w:t>
      </w:r>
    </w:p>
    <w:p w:rsidR="00662317" w:rsidRDefault="00662317" w:rsidP="00AE32D7">
      <w:pPr>
        <w:pStyle w:val="NoSpacing"/>
        <w:rPr>
          <w:rFonts w:ascii="Arial" w:hAnsi="Arial" w:cs="Arial"/>
          <w:sz w:val="20"/>
          <w:szCs w:val="20"/>
        </w:rPr>
      </w:pPr>
    </w:p>
    <w:p w:rsidR="00662317" w:rsidRDefault="00662317" w:rsidP="00AE32D7">
      <w:pPr>
        <w:pStyle w:val="NoSpacing"/>
        <w:rPr>
          <w:rFonts w:ascii="Arial" w:hAnsi="Arial" w:cs="Arial"/>
          <w:sz w:val="20"/>
          <w:szCs w:val="20"/>
        </w:rPr>
      </w:pPr>
      <w:r>
        <w:rPr>
          <w:rFonts w:ascii="Arial" w:hAnsi="Arial" w:cs="Arial"/>
          <w:i/>
          <w:sz w:val="20"/>
          <w:szCs w:val="20"/>
        </w:rPr>
        <w:t>Food Effects</w:t>
      </w:r>
    </w:p>
    <w:p w:rsidR="007B758F" w:rsidRDefault="00662317" w:rsidP="00AE32D7">
      <w:pPr>
        <w:pStyle w:val="NoSpacing"/>
        <w:rPr>
          <w:rFonts w:ascii="Arial" w:hAnsi="Arial" w:cs="Arial"/>
          <w:sz w:val="20"/>
          <w:szCs w:val="20"/>
        </w:rPr>
      </w:pPr>
      <w:r w:rsidRPr="00662317">
        <w:rPr>
          <w:rFonts w:ascii="Arial" w:hAnsi="Arial" w:cs="Arial"/>
          <w:sz w:val="20"/>
          <w:szCs w:val="20"/>
        </w:rPr>
        <w:t xml:space="preserve">When a single dose of </w:t>
      </w:r>
      <w:proofErr w:type="spellStart"/>
      <w:r w:rsidR="00ED265B" w:rsidRPr="007B758F">
        <w:rPr>
          <w:rFonts w:ascii="Arial" w:hAnsi="Arial" w:cs="Arial"/>
          <w:sz w:val="20"/>
          <w:szCs w:val="20"/>
        </w:rPr>
        <w:t>Troxyca</w:t>
      </w:r>
      <w:proofErr w:type="spellEnd"/>
      <w:r w:rsidR="00ED265B" w:rsidRPr="007B758F">
        <w:rPr>
          <w:rFonts w:ascii="Arial" w:hAnsi="Arial" w:cs="Arial"/>
          <w:sz w:val="20"/>
          <w:szCs w:val="20"/>
          <w:vertAlign w:val="superscript"/>
        </w:rPr>
        <w:t>®</w:t>
      </w:r>
      <w:r w:rsidR="00ED265B" w:rsidRPr="007B758F">
        <w:rPr>
          <w:rFonts w:ascii="Arial" w:hAnsi="Arial" w:cs="Arial"/>
          <w:sz w:val="20"/>
          <w:szCs w:val="20"/>
        </w:rPr>
        <w:t xml:space="preserve"> ER (oxycodone/naltrexone extended-release)</w:t>
      </w:r>
      <w:r w:rsidR="00ED265B" w:rsidRPr="00662317">
        <w:rPr>
          <w:rFonts w:ascii="Arial" w:hAnsi="Arial" w:cs="Arial"/>
          <w:sz w:val="20"/>
          <w:szCs w:val="20"/>
        </w:rPr>
        <w:t xml:space="preserve"> </w:t>
      </w:r>
      <w:r w:rsidRPr="00662317">
        <w:rPr>
          <w:rFonts w:ascii="Arial" w:hAnsi="Arial" w:cs="Arial"/>
          <w:sz w:val="20"/>
          <w:szCs w:val="20"/>
        </w:rPr>
        <w:t xml:space="preserve">capsules are administered in fasted state or after a high-fat meal, or when the contents of </w:t>
      </w:r>
      <w:proofErr w:type="spellStart"/>
      <w:r w:rsidR="00ED265B" w:rsidRPr="007B758F">
        <w:rPr>
          <w:rFonts w:ascii="Arial" w:hAnsi="Arial" w:cs="Arial"/>
          <w:sz w:val="20"/>
          <w:szCs w:val="20"/>
        </w:rPr>
        <w:t>Troxyca</w:t>
      </w:r>
      <w:proofErr w:type="spellEnd"/>
      <w:r w:rsidR="00ED265B" w:rsidRPr="007B758F">
        <w:rPr>
          <w:rFonts w:ascii="Arial" w:hAnsi="Arial" w:cs="Arial"/>
          <w:sz w:val="20"/>
          <w:szCs w:val="20"/>
          <w:vertAlign w:val="superscript"/>
        </w:rPr>
        <w:t>®</w:t>
      </w:r>
      <w:r w:rsidR="00ED265B" w:rsidRPr="007B758F">
        <w:rPr>
          <w:rFonts w:ascii="Arial" w:hAnsi="Arial" w:cs="Arial"/>
          <w:sz w:val="20"/>
          <w:szCs w:val="20"/>
        </w:rPr>
        <w:t xml:space="preserve"> ER (oxycodone/naltrexone extended-release)</w:t>
      </w:r>
      <w:r w:rsidR="00ED265B" w:rsidRPr="00662317">
        <w:rPr>
          <w:rFonts w:ascii="Arial" w:hAnsi="Arial" w:cs="Arial"/>
          <w:sz w:val="20"/>
          <w:szCs w:val="20"/>
        </w:rPr>
        <w:t xml:space="preserve"> </w:t>
      </w:r>
      <w:r w:rsidRPr="00662317">
        <w:rPr>
          <w:rFonts w:ascii="Arial" w:hAnsi="Arial" w:cs="Arial"/>
          <w:sz w:val="20"/>
          <w:szCs w:val="20"/>
        </w:rPr>
        <w:t>capsules are sprinkled on one tablespoon of applesauce and administered in a fasted state, oxycodone pharmacokinetics are unaffected</w:t>
      </w:r>
      <w:r w:rsidR="007F7B80">
        <w:rPr>
          <w:rFonts w:ascii="Arial" w:hAnsi="Arial" w:cs="Arial"/>
          <w:sz w:val="20"/>
          <w:szCs w:val="20"/>
        </w:rPr>
        <w:t xml:space="preserve">, and </w:t>
      </w:r>
      <w:r w:rsidRPr="00662317">
        <w:rPr>
          <w:rFonts w:ascii="Arial" w:hAnsi="Arial" w:cs="Arial"/>
          <w:sz w:val="20"/>
          <w:szCs w:val="20"/>
        </w:rPr>
        <w:t xml:space="preserve">AUC, </w:t>
      </w:r>
      <w:proofErr w:type="spellStart"/>
      <w:r w:rsidRPr="00662317">
        <w:rPr>
          <w:rFonts w:ascii="Arial" w:hAnsi="Arial" w:cs="Arial"/>
          <w:sz w:val="20"/>
          <w:szCs w:val="20"/>
        </w:rPr>
        <w:t>C</w:t>
      </w:r>
      <w:r w:rsidRPr="00ED265B">
        <w:rPr>
          <w:rFonts w:ascii="Arial" w:hAnsi="Arial" w:cs="Arial"/>
          <w:sz w:val="20"/>
          <w:szCs w:val="20"/>
          <w:vertAlign w:val="subscript"/>
        </w:rPr>
        <w:t>max</w:t>
      </w:r>
      <w:proofErr w:type="spellEnd"/>
      <w:r w:rsidRPr="00662317">
        <w:rPr>
          <w:rFonts w:ascii="Arial" w:hAnsi="Arial" w:cs="Arial"/>
          <w:sz w:val="20"/>
          <w:szCs w:val="20"/>
        </w:rPr>
        <w:t xml:space="preserve">, and </w:t>
      </w:r>
      <w:proofErr w:type="spellStart"/>
      <w:r w:rsidRPr="00662317">
        <w:rPr>
          <w:rFonts w:ascii="Arial" w:hAnsi="Arial" w:cs="Arial"/>
          <w:sz w:val="20"/>
          <w:szCs w:val="20"/>
        </w:rPr>
        <w:t>T</w:t>
      </w:r>
      <w:r w:rsidRPr="00ED265B">
        <w:rPr>
          <w:rFonts w:ascii="Arial" w:hAnsi="Arial" w:cs="Arial"/>
          <w:sz w:val="20"/>
          <w:szCs w:val="20"/>
          <w:vertAlign w:val="subscript"/>
        </w:rPr>
        <w:t>max</w:t>
      </w:r>
      <w:proofErr w:type="spellEnd"/>
      <w:r w:rsidRPr="00662317">
        <w:rPr>
          <w:rFonts w:ascii="Arial" w:hAnsi="Arial" w:cs="Arial"/>
          <w:sz w:val="20"/>
          <w:szCs w:val="20"/>
        </w:rPr>
        <w:t xml:space="preserve"> values</w:t>
      </w:r>
      <w:r w:rsidR="007F7B80">
        <w:rPr>
          <w:rFonts w:ascii="Arial" w:hAnsi="Arial" w:cs="Arial"/>
          <w:sz w:val="20"/>
          <w:szCs w:val="20"/>
        </w:rPr>
        <w:t xml:space="preserve"> are similar</w:t>
      </w:r>
      <w:r>
        <w:rPr>
          <w:rFonts w:ascii="Arial" w:hAnsi="Arial" w:cs="Arial"/>
          <w:sz w:val="20"/>
          <w:szCs w:val="20"/>
        </w:rPr>
        <w:t>.</w:t>
      </w:r>
      <w:r w:rsidR="007F7B80">
        <w:rPr>
          <w:rFonts w:ascii="Arial" w:hAnsi="Arial" w:cs="Arial"/>
          <w:sz w:val="20"/>
          <w:szCs w:val="20"/>
          <w:vertAlign w:val="superscript"/>
        </w:rPr>
        <w:t xml:space="preserve"> </w:t>
      </w:r>
      <w:r w:rsidR="007F7B80">
        <w:rPr>
          <w:rFonts w:ascii="Arial" w:hAnsi="Arial" w:cs="Arial"/>
          <w:sz w:val="20"/>
          <w:szCs w:val="20"/>
        </w:rPr>
        <w:t>N</w:t>
      </w:r>
      <w:r w:rsidR="007B758F" w:rsidRPr="00662317">
        <w:rPr>
          <w:rFonts w:ascii="Arial" w:hAnsi="Arial" w:cs="Arial"/>
          <w:sz w:val="20"/>
          <w:szCs w:val="20"/>
        </w:rPr>
        <w:t>altrexone plasma concentrations</w:t>
      </w:r>
      <w:r w:rsidR="007F7B80">
        <w:rPr>
          <w:rFonts w:ascii="Arial" w:hAnsi="Arial" w:cs="Arial"/>
          <w:sz w:val="20"/>
          <w:szCs w:val="20"/>
        </w:rPr>
        <w:t xml:space="preserve"> also</w:t>
      </w:r>
      <w:r w:rsidR="007B758F" w:rsidRPr="00662317">
        <w:rPr>
          <w:rFonts w:ascii="Arial" w:hAnsi="Arial" w:cs="Arial"/>
          <w:sz w:val="20"/>
          <w:szCs w:val="20"/>
        </w:rPr>
        <w:t xml:space="preserve"> remain undetectable (below the limit of quantitation, 4 </w:t>
      </w:r>
      <w:proofErr w:type="spellStart"/>
      <w:r w:rsidR="007B758F" w:rsidRPr="00662317">
        <w:rPr>
          <w:rFonts w:ascii="Arial" w:hAnsi="Arial" w:cs="Arial"/>
          <w:sz w:val="20"/>
          <w:szCs w:val="20"/>
        </w:rPr>
        <w:t>pg</w:t>
      </w:r>
      <w:proofErr w:type="spellEnd"/>
      <w:r w:rsidR="007B758F" w:rsidRPr="00662317">
        <w:rPr>
          <w:rFonts w:ascii="Arial" w:hAnsi="Arial" w:cs="Arial"/>
          <w:sz w:val="20"/>
          <w:szCs w:val="20"/>
        </w:rPr>
        <w:t>/mL)</w:t>
      </w:r>
      <w:r w:rsidR="007F7B80">
        <w:rPr>
          <w:rFonts w:ascii="Arial" w:hAnsi="Arial" w:cs="Arial"/>
          <w:sz w:val="20"/>
          <w:szCs w:val="20"/>
        </w:rPr>
        <w:t>; this suggests</w:t>
      </w:r>
      <w:r w:rsidR="007B758F" w:rsidRPr="00662317">
        <w:rPr>
          <w:rFonts w:ascii="Arial" w:hAnsi="Arial" w:cs="Arial"/>
          <w:sz w:val="20"/>
          <w:szCs w:val="20"/>
        </w:rPr>
        <w:t xml:space="preserve"> that administration of </w:t>
      </w:r>
      <w:proofErr w:type="spellStart"/>
      <w:r w:rsidR="007F7B80" w:rsidRPr="007B758F">
        <w:rPr>
          <w:rFonts w:ascii="Arial" w:hAnsi="Arial" w:cs="Arial"/>
          <w:sz w:val="20"/>
          <w:szCs w:val="20"/>
        </w:rPr>
        <w:t>Troxyca</w:t>
      </w:r>
      <w:proofErr w:type="spellEnd"/>
      <w:r w:rsidR="007F7B80" w:rsidRPr="007B758F">
        <w:rPr>
          <w:rFonts w:ascii="Arial" w:hAnsi="Arial" w:cs="Arial"/>
          <w:sz w:val="20"/>
          <w:szCs w:val="20"/>
          <w:vertAlign w:val="superscript"/>
        </w:rPr>
        <w:t>®</w:t>
      </w:r>
      <w:r w:rsidR="007F7B80" w:rsidRPr="007B758F">
        <w:rPr>
          <w:rFonts w:ascii="Arial" w:hAnsi="Arial" w:cs="Arial"/>
          <w:sz w:val="20"/>
          <w:szCs w:val="20"/>
        </w:rPr>
        <w:t xml:space="preserve"> ER (oxycodone/naltrexone extended-release)</w:t>
      </w:r>
      <w:r w:rsidR="007F7B80" w:rsidRPr="00662317">
        <w:rPr>
          <w:rFonts w:ascii="Arial" w:hAnsi="Arial" w:cs="Arial"/>
          <w:sz w:val="20"/>
          <w:szCs w:val="20"/>
        </w:rPr>
        <w:t xml:space="preserve"> </w:t>
      </w:r>
      <w:r w:rsidR="007B758F" w:rsidRPr="00662317">
        <w:rPr>
          <w:rFonts w:ascii="Arial" w:hAnsi="Arial" w:cs="Arial"/>
          <w:sz w:val="20"/>
          <w:szCs w:val="20"/>
        </w:rPr>
        <w:t xml:space="preserve">capsules with food or sprinkling of the pellets on applesauce does not affect sequestration of naltrexone. The </w:t>
      </w:r>
      <w:proofErr w:type="spellStart"/>
      <w:r w:rsidR="007F7B80">
        <w:rPr>
          <w:rFonts w:ascii="Arial" w:hAnsi="Arial" w:cs="Arial"/>
          <w:sz w:val="20"/>
          <w:szCs w:val="20"/>
        </w:rPr>
        <w:t>C</w:t>
      </w:r>
      <w:r w:rsidR="007F7B80">
        <w:rPr>
          <w:rFonts w:ascii="Arial" w:hAnsi="Arial" w:cs="Arial"/>
          <w:sz w:val="20"/>
          <w:szCs w:val="20"/>
          <w:vertAlign w:val="subscript"/>
        </w:rPr>
        <w:t>max</w:t>
      </w:r>
      <w:proofErr w:type="spellEnd"/>
      <w:r w:rsidR="007F7B80">
        <w:rPr>
          <w:rFonts w:ascii="Arial" w:hAnsi="Arial" w:cs="Arial"/>
          <w:sz w:val="20"/>
          <w:szCs w:val="20"/>
        </w:rPr>
        <w:t xml:space="preserve"> of 6-β-</w:t>
      </w:r>
      <w:proofErr w:type="spellStart"/>
      <w:r w:rsidR="007F7B80">
        <w:rPr>
          <w:rFonts w:ascii="Arial" w:hAnsi="Arial" w:cs="Arial"/>
          <w:sz w:val="20"/>
          <w:szCs w:val="20"/>
        </w:rPr>
        <w:t>naltrexol</w:t>
      </w:r>
      <w:proofErr w:type="spellEnd"/>
      <w:r w:rsidR="007B758F" w:rsidRPr="00662317">
        <w:rPr>
          <w:rFonts w:ascii="Arial" w:hAnsi="Arial" w:cs="Arial"/>
          <w:sz w:val="20"/>
          <w:szCs w:val="20"/>
        </w:rPr>
        <w:t xml:space="preserve"> was 30 </w:t>
      </w:r>
      <w:proofErr w:type="spellStart"/>
      <w:r w:rsidR="007B758F" w:rsidRPr="00662317">
        <w:rPr>
          <w:rFonts w:ascii="Arial" w:hAnsi="Arial" w:cs="Arial"/>
          <w:sz w:val="20"/>
          <w:szCs w:val="20"/>
        </w:rPr>
        <w:t>pg</w:t>
      </w:r>
      <w:proofErr w:type="spellEnd"/>
      <w:r w:rsidR="007B758F" w:rsidRPr="00662317">
        <w:rPr>
          <w:rFonts w:ascii="Arial" w:hAnsi="Arial" w:cs="Arial"/>
          <w:sz w:val="20"/>
          <w:szCs w:val="20"/>
        </w:rPr>
        <w:t>/mL, observed at 120 h</w:t>
      </w:r>
      <w:r w:rsidR="007F7B80">
        <w:rPr>
          <w:rFonts w:ascii="Arial" w:hAnsi="Arial" w:cs="Arial"/>
          <w:sz w:val="20"/>
          <w:szCs w:val="20"/>
        </w:rPr>
        <w:t>ours after administration of</w:t>
      </w:r>
      <w:r w:rsidR="007B758F" w:rsidRPr="00662317">
        <w:rPr>
          <w:rFonts w:ascii="Arial" w:hAnsi="Arial" w:cs="Arial"/>
          <w:sz w:val="20"/>
          <w:szCs w:val="20"/>
        </w:rPr>
        <w:t xml:space="preserve"> </w:t>
      </w:r>
      <w:proofErr w:type="spellStart"/>
      <w:r w:rsidR="007F7B80" w:rsidRPr="007B758F">
        <w:rPr>
          <w:rFonts w:ascii="Arial" w:hAnsi="Arial" w:cs="Arial"/>
          <w:sz w:val="20"/>
          <w:szCs w:val="20"/>
        </w:rPr>
        <w:t>Troxyca</w:t>
      </w:r>
      <w:proofErr w:type="spellEnd"/>
      <w:r w:rsidR="007F7B80" w:rsidRPr="007B758F">
        <w:rPr>
          <w:rFonts w:ascii="Arial" w:hAnsi="Arial" w:cs="Arial"/>
          <w:sz w:val="20"/>
          <w:szCs w:val="20"/>
          <w:vertAlign w:val="superscript"/>
        </w:rPr>
        <w:t>®</w:t>
      </w:r>
      <w:r w:rsidR="007F7B80" w:rsidRPr="007B758F">
        <w:rPr>
          <w:rFonts w:ascii="Arial" w:hAnsi="Arial" w:cs="Arial"/>
          <w:sz w:val="20"/>
          <w:szCs w:val="20"/>
        </w:rPr>
        <w:t xml:space="preserve"> ER (oxycodone/naltrexone extended-release)</w:t>
      </w:r>
      <w:r w:rsidR="007F7B80" w:rsidRPr="00662317">
        <w:rPr>
          <w:rFonts w:ascii="Arial" w:hAnsi="Arial" w:cs="Arial"/>
          <w:sz w:val="20"/>
          <w:szCs w:val="20"/>
        </w:rPr>
        <w:t xml:space="preserve"> </w:t>
      </w:r>
      <w:r w:rsidR="007B758F" w:rsidRPr="00662317">
        <w:rPr>
          <w:rFonts w:ascii="Arial" w:hAnsi="Arial" w:cs="Arial"/>
          <w:sz w:val="20"/>
          <w:szCs w:val="20"/>
        </w:rPr>
        <w:t>after a high-fat meal.</w:t>
      </w:r>
      <w:r w:rsidR="007B758F">
        <w:rPr>
          <w:rFonts w:ascii="Arial" w:hAnsi="Arial" w:cs="Arial"/>
          <w:sz w:val="20"/>
          <w:szCs w:val="20"/>
          <w:vertAlign w:val="superscript"/>
        </w:rPr>
        <w:t>1</w:t>
      </w:r>
    </w:p>
    <w:p w:rsidR="00DA4CF8" w:rsidRDefault="00DA4CF8" w:rsidP="00AE32D7">
      <w:pPr>
        <w:pStyle w:val="NoSpacing"/>
        <w:rPr>
          <w:rFonts w:ascii="Arial" w:hAnsi="Arial" w:cs="Arial"/>
          <w:sz w:val="20"/>
          <w:szCs w:val="20"/>
        </w:rPr>
      </w:pPr>
    </w:p>
    <w:p w:rsidR="00DA4CF8" w:rsidRDefault="00DA4CF8" w:rsidP="00AE32D7">
      <w:pPr>
        <w:pStyle w:val="NoSpacing"/>
        <w:rPr>
          <w:rFonts w:ascii="Arial" w:hAnsi="Arial" w:cs="Arial"/>
          <w:sz w:val="20"/>
          <w:szCs w:val="20"/>
        </w:rPr>
      </w:pPr>
      <w:r>
        <w:rPr>
          <w:rFonts w:ascii="Arial" w:hAnsi="Arial" w:cs="Arial"/>
          <w:i/>
          <w:sz w:val="20"/>
          <w:szCs w:val="20"/>
        </w:rPr>
        <w:t>Effects of Tampering</w:t>
      </w:r>
    </w:p>
    <w:p w:rsidR="003E7453" w:rsidRPr="003E7453" w:rsidRDefault="006E2290" w:rsidP="003E7453">
      <w:pPr>
        <w:spacing w:after="0" w:line="240" w:lineRule="auto"/>
        <w:rPr>
          <w:rFonts w:ascii="Arial" w:hAnsi="Arial" w:cs="Arial"/>
          <w:sz w:val="20"/>
          <w:szCs w:val="20"/>
          <w:vertAlign w:val="superscript"/>
        </w:rPr>
      </w:pPr>
      <w:r>
        <w:rPr>
          <w:rFonts w:ascii="Arial" w:hAnsi="Arial" w:cs="Arial"/>
          <w:sz w:val="20"/>
          <w:szCs w:val="20"/>
        </w:rPr>
        <w:t>After oral administration, o</w:t>
      </w:r>
      <w:r w:rsidR="003E7453" w:rsidRPr="003C1ACB">
        <w:rPr>
          <w:rFonts w:ascii="Arial" w:hAnsi="Arial" w:cs="Arial"/>
          <w:sz w:val="20"/>
          <w:szCs w:val="20"/>
        </w:rPr>
        <w:t xml:space="preserve">xycodone plasma exposures were comparable between crushed </w:t>
      </w:r>
      <w:proofErr w:type="spellStart"/>
      <w:r w:rsidR="003E7453" w:rsidRPr="00965270">
        <w:rPr>
          <w:rFonts w:ascii="Arial" w:hAnsi="Arial" w:cs="Arial"/>
          <w:sz w:val="20"/>
          <w:szCs w:val="20"/>
        </w:rPr>
        <w:t>Troxyca</w:t>
      </w:r>
      <w:proofErr w:type="spellEnd"/>
      <w:r w:rsidR="003E7453" w:rsidRPr="00965270">
        <w:rPr>
          <w:rFonts w:ascii="Arial" w:hAnsi="Arial" w:cs="Arial"/>
          <w:sz w:val="20"/>
          <w:szCs w:val="20"/>
          <w:vertAlign w:val="superscript"/>
        </w:rPr>
        <w:t>®</w:t>
      </w:r>
      <w:r w:rsidR="003E7453" w:rsidRPr="00965270">
        <w:rPr>
          <w:rFonts w:ascii="Arial" w:hAnsi="Arial" w:cs="Arial"/>
          <w:sz w:val="20"/>
          <w:szCs w:val="20"/>
        </w:rPr>
        <w:t xml:space="preserve"> ER (</w:t>
      </w:r>
      <w:r w:rsidR="003E7453">
        <w:rPr>
          <w:rFonts w:ascii="Arial" w:hAnsi="Arial" w:cs="Arial"/>
          <w:sz w:val="20"/>
          <w:szCs w:val="20"/>
        </w:rPr>
        <w:t>oxycodone/naltrexone</w:t>
      </w:r>
      <w:r w:rsidR="003E7453" w:rsidRPr="00965270">
        <w:rPr>
          <w:rFonts w:ascii="Arial" w:hAnsi="Arial" w:cs="Arial"/>
          <w:sz w:val="20"/>
          <w:szCs w:val="20"/>
        </w:rPr>
        <w:t xml:space="preserve"> extended-release) </w:t>
      </w:r>
      <w:r w:rsidR="003E7453">
        <w:rPr>
          <w:rFonts w:ascii="Arial" w:hAnsi="Arial" w:cs="Arial"/>
          <w:sz w:val="20"/>
          <w:szCs w:val="20"/>
        </w:rPr>
        <w:t xml:space="preserve">and corresponding dosages of </w:t>
      </w:r>
      <w:r w:rsidR="003E7453" w:rsidRPr="003C1ACB">
        <w:rPr>
          <w:rFonts w:ascii="Arial" w:hAnsi="Arial" w:cs="Arial"/>
          <w:sz w:val="20"/>
          <w:szCs w:val="20"/>
        </w:rPr>
        <w:t xml:space="preserve">crushed oxycodone </w:t>
      </w:r>
      <w:r w:rsidR="003E7453">
        <w:rPr>
          <w:rFonts w:ascii="Arial" w:hAnsi="Arial" w:cs="Arial"/>
          <w:sz w:val="20"/>
          <w:szCs w:val="20"/>
        </w:rPr>
        <w:t xml:space="preserve">IR. </w:t>
      </w:r>
      <w:r w:rsidR="003E7453" w:rsidRPr="003C1ACB">
        <w:rPr>
          <w:rFonts w:ascii="Arial" w:hAnsi="Arial" w:cs="Arial"/>
          <w:sz w:val="20"/>
          <w:szCs w:val="20"/>
        </w:rPr>
        <w:t xml:space="preserve">Oxycodone </w:t>
      </w:r>
      <w:proofErr w:type="spellStart"/>
      <w:r w:rsidR="003E7453" w:rsidRPr="003C1ACB">
        <w:rPr>
          <w:rFonts w:ascii="Arial" w:hAnsi="Arial" w:cs="Arial"/>
          <w:sz w:val="20"/>
          <w:szCs w:val="20"/>
        </w:rPr>
        <w:t>C</w:t>
      </w:r>
      <w:r w:rsidR="003E7453" w:rsidRPr="003C1ACB">
        <w:rPr>
          <w:rFonts w:ascii="Arial" w:hAnsi="Arial" w:cs="Arial"/>
          <w:sz w:val="20"/>
          <w:szCs w:val="20"/>
          <w:vertAlign w:val="subscript"/>
        </w:rPr>
        <w:t>max</w:t>
      </w:r>
      <w:proofErr w:type="spellEnd"/>
      <w:r w:rsidR="003E7453" w:rsidRPr="003C1ACB">
        <w:rPr>
          <w:rFonts w:ascii="Arial" w:hAnsi="Arial" w:cs="Arial"/>
          <w:sz w:val="20"/>
          <w:szCs w:val="20"/>
        </w:rPr>
        <w:t xml:space="preserve"> for crushed </w:t>
      </w:r>
      <w:proofErr w:type="spellStart"/>
      <w:r w:rsidR="003E7453" w:rsidRPr="00965270">
        <w:rPr>
          <w:rFonts w:ascii="Arial" w:hAnsi="Arial" w:cs="Arial"/>
          <w:sz w:val="20"/>
          <w:szCs w:val="20"/>
        </w:rPr>
        <w:t>Troxyca</w:t>
      </w:r>
      <w:proofErr w:type="spellEnd"/>
      <w:r w:rsidR="003E7453" w:rsidRPr="00965270">
        <w:rPr>
          <w:rFonts w:ascii="Arial" w:hAnsi="Arial" w:cs="Arial"/>
          <w:sz w:val="20"/>
          <w:szCs w:val="20"/>
          <w:vertAlign w:val="superscript"/>
        </w:rPr>
        <w:t>®</w:t>
      </w:r>
      <w:r w:rsidR="003E7453" w:rsidRPr="00965270">
        <w:rPr>
          <w:rFonts w:ascii="Arial" w:hAnsi="Arial" w:cs="Arial"/>
          <w:sz w:val="20"/>
          <w:szCs w:val="20"/>
        </w:rPr>
        <w:t xml:space="preserve"> ER (</w:t>
      </w:r>
      <w:r w:rsidR="003E7453">
        <w:rPr>
          <w:rFonts w:ascii="Arial" w:hAnsi="Arial" w:cs="Arial"/>
          <w:sz w:val="20"/>
          <w:szCs w:val="20"/>
        </w:rPr>
        <w:t>oxycodone/naltrexone</w:t>
      </w:r>
      <w:r w:rsidR="003E7453" w:rsidRPr="00965270">
        <w:rPr>
          <w:rFonts w:ascii="Arial" w:hAnsi="Arial" w:cs="Arial"/>
          <w:sz w:val="20"/>
          <w:szCs w:val="20"/>
        </w:rPr>
        <w:t xml:space="preserve"> extended-release)</w:t>
      </w:r>
      <w:r w:rsidR="003E7453" w:rsidRPr="003C1ACB">
        <w:rPr>
          <w:rFonts w:ascii="Arial" w:hAnsi="Arial" w:cs="Arial"/>
          <w:sz w:val="20"/>
          <w:szCs w:val="20"/>
        </w:rPr>
        <w:t xml:space="preserve"> </w:t>
      </w:r>
      <w:r w:rsidR="003E7453">
        <w:rPr>
          <w:rFonts w:ascii="Arial" w:hAnsi="Arial" w:cs="Arial"/>
          <w:sz w:val="20"/>
          <w:szCs w:val="20"/>
        </w:rPr>
        <w:t xml:space="preserve">was similar to that for equivalent doses of crushed </w:t>
      </w:r>
      <w:r w:rsidR="003E7453" w:rsidRPr="003C1ACB">
        <w:rPr>
          <w:rFonts w:ascii="Arial" w:hAnsi="Arial" w:cs="Arial"/>
          <w:sz w:val="20"/>
          <w:szCs w:val="20"/>
        </w:rPr>
        <w:t xml:space="preserve">oxycodone </w:t>
      </w:r>
      <w:r w:rsidR="003E7453">
        <w:rPr>
          <w:rFonts w:ascii="Arial" w:hAnsi="Arial" w:cs="Arial"/>
          <w:sz w:val="20"/>
          <w:szCs w:val="20"/>
        </w:rPr>
        <w:t xml:space="preserve">IR, </w:t>
      </w:r>
      <w:r w:rsidR="003E7453" w:rsidRPr="003C1ACB">
        <w:rPr>
          <w:rFonts w:ascii="Arial" w:hAnsi="Arial" w:cs="Arial"/>
          <w:sz w:val="20"/>
          <w:szCs w:val="20"/>
        </w:rPr>
        <w:t xml:space="preserve">but was approximately </w:t>
      </w:r>
      <w:r w:rsidR="003E7453">
        <w:rPr>
          <w:rFonts w:ascii="Arial" w:hAnsi="Arial" w:cs="Arial"/>
          <w:sz w:val="20"/>
          <w:szCs w:val="20"/>
        </w:rPr>
        <w:t>four times</w:t>
      </w:r>
      <w:r w:rsidR="003E7453" w:rsidRPr="003C1ACB">
        <w:rPr>
          <w:rFonts w:ascii="Arial" w:hAnsi="Arial" w:cs="Arial"/>
          <w:sz w:val="20"/>
          <w:szCs w:val="20"/>
        </w:rPr>
        <w:t xml:space="preserve"> greater </w:t>
      </w:r>
      <w:r w:rsidR="003E7453">
        <w:rPr>
          <w:rFonts w:ascii="Arial" w:hAnsi="Arial" w:cs="Arial"/>
          <w:sz w:val="20"/>
          <w:szCs w:val="20"/>
        </w:rPr>
        <w:t>than that of</w:t>
      </w:r>
      <w:r w:rsidR="003E7453" w:rsidRPr="003C1ACB">
        <w:rPr>
          <w:rFonts w:ascii="Arial" w:hAnsi="Arial" w:cs="Arial"/>
          <w:sz w:val="20"/>
          <w:szCs w:val="20"/>
        </w:rPr>
        <w:t xml:space="preserve"> intact </w:t>
      </w:r>
      <w:proofErr w:type="spellStart"/>
      <w:r w:rsidR="003E7453" w:rsidRPr="00965270">
        <w:rPr>
          <w:rFonts w:ascii="Arial" w:hAnsi="Arial" w:cs="Arial"/>
          <w:sz w:val="20"/>
          <w:szCs w:val="20"/>
        </w:rPr>
        <w:t>Troxyca</w:t>
      </w:r>
      <w:proofErr w:type="spellEnd"/>
      <w:r w:rsidR="003E7453" w:rsidRPr="00965270">
        <w:rPr>
          <w:rFonts w:ascii="Arial" w:hAnsi="Arial" w:cs="Arial"/>
          <w:sz w:val="20"/>
          <w:szCs w:val="20"/>
          <w:vertAlign w:val="superscript"/>
        </w:rPr>
        <w:t>®</w:t>
      </w:r>
      <w:r w:rsidR="003E7453" w:rsidRPr="00965270">
        <w:rPr>
          <w:rFonts w:ascii="Arial" w:hAnsi="Arial" w:cs="Arial"/>
          <w:sz w:val="20"/>
          <w:szCs w:val="20"/>
        </w:rPr>
        <w:t xml:space="preserve"> ER (</w:t>
      </w:r>
      <w:r w:rsidR="003E7453">
        <w:rPr>
          <w:rFonts w:ascii="Arial" w:hAnsi="Arial" w:cs="Arial"/>
          <w:sz w:val="20"/>
          <w:szCs w:val="20"/>
        </w:rPr>
        <w:t>oxycodone/naltrexone</w:t>
      </w:r>
      <w:r w:rsidR="003E7453" w:rsidRPr="00965270">
        <w:rPr>
          <w:rFonts w:ascii="Arial" w:hAnsi="Arial" w:cs="Arial"/>
          <w:sz w:val="20"/>
          <w:szCs w:val="20"/>
        </w:rPr>
        <w:t xml:space="preserve"> extended-release)</w:t>
      </w:r>
      <w:r w:rsidR="003E7453" w:rsidRPr="003C1ACB">
        <w:rPr>
          <w:rFonts w:ascii="Arial" w:hAnsi="Arial" w:cs="Arial"/>
          <w:sz w:val="20"/>
          <w:szCs w:val="20"/>
        </w:rPr>
        <w:t xml:space="preserve">. Intact </w:t>
      </w:r>
      <w:proofErr w:type="spellStart"/>
      <w:r w:rsidR="003E7453" w:rsidRPr="00965270">
        <w:rPr>
          <w:rFonts w:ascii="Arial" w:hAnsi="Arial" w:cs="Arial"/>
          <w:sz w:val="20"/>
          <w:szCs w:val="20"/>
        </w:rPr>
        <w:t>Troxyca</w:t>
      </w:r>
      <w:proofErr w:type="spellEnd"/>
      <w:r w:rsidR="003E7453" w:rsidRPr="00965270">
        <w:rPr>
          <w:rFonts w:ascii="Arial" w:hAnsi="Arial" w:cs="Arial"/>
          <w:sz w:val="20"/>
          <w:szCs w:val="20"/>
          <w:vertAlign w:val="superscript"/>
        </w:rPr>
        <w:t>®</w:t>
      </w:r>
      <w:r w:rsidR="003E7453" w:rsidRPr="00965270">
        <w:rPr>
          <w:rFonts w:ascii="Arial" w:hAnsi="Arial" w:cs="Arial"/>
          <w:sz w:val="20"/>
          <w:szCs w:val="20"/>
        </w:rPr>
        <w:t xml:space="preserve"> ER (</w:t>
      </w:r>
      <w:r w:rsidR="003E7453">
        <w:rPr>
          <w:rFonts w:ascii="Arial" w:hAnsi="Arial" w:cs="Arial"/>
          <w:sz w:val="20"/>
          <w:szCs w:val="20"/>
        </w:rPr>
        <w:t>oxycodone/naltrexone</w:t>
      </w:r>
      <w:r w:rsidR="003E7453" w:rsidRPr="00965270">
        <w:rPr>
          <w:rFonts w:ascii="Arial" w:hAnsi="Arial" w:cs="Arial"/>
          <w:sz w:val="20"/>
          <w:szCs w:val="20"/>
        </w:rPr>
        <w:t xml:space="preserve"> extended-release)</w:t>
      </w:r>
      <w:r w:rsidR="003E7453">
        <w:rPr>
          <w:rFonts w:ascii="Arial" w:hAnsi="Arial" w:cs="Arial"/>
          <w:sz w:val="20"/>
          <w:szCs w:val="20"/>
        </w:rPr>
        <w:t xml:space="preserve"> </w:t>
      </w:r>
      <w:r w:rsidR="003E7453" w:rsidRPr="003C1ACB">
        <w:rPr>
          <w:rFonts w:ascii="Arial" w:hAnsi="Arial" w:cs="Arial"/>
          <w:sz w:val="20"/>
          <w:szCs w:val="20"/>
        </w:rPr>
        <w:t xml:space="preserve">had </w:t>
      </w:r>
      <w:r w:rsidR="003E7453">
        <w:rPr>
          <w:rFonts w:ascii="Arial" w:hAnsi="Arial" w:cs="Arial"/>
          <w:sz w:val="20"/>
          <w:szCs w:val="20"/>
        </w:rPr>
        <w:t>a longer</w:t>
      </w:r>
      <w:r w:rsidR="003E7453" w:rsidRPr="003C1ACB">
        <w:rPr>
          <w:rFonts w:ascii="Arial" w:hAnsi="Arial" w:cs="Arial"/>
          <w:sz w:val="20"/>
          <w:szCs w:val="20"/>
        </w:rPr>
        <w:t xml:space="preserve"> </w:t>
      </w:r>
      <w:proofErr w:type="spellStart"/>
      <w:r w:rsidR="003E7453" w:rsidRPr="003C1ACB">
        <w:rPr>
          <w:rFonts w:ascii="Arial" w:hAnsi="Arial" w:cs="Arial"/>
          <w:sz w:val="20"/>
          <w:szCs w:val="20"/>
        </w:rPr>
        <w:t>T</w:t>
      </w:r>
      <w:r w:rsidR="003E7453" w:rsidRPr="003C1ACB">
        <w:rPr>
          <w:rFonts w:ascii="Arial" w:hAnsi="Arial" w:cs="Arial"/>
          <w:sz w:val="20"/>
          <w:szCs w:val="20"/>
          <w:vertAlign w:val="subscript"/>
        </w:rPr>
        <w:t>max</w:t>
      </w:r>
      <w:proofErr w:type="spellEnd"/>
      <w:r w:rsidR="003E7453" w:rsidRPr="003C1ACB">
        <w:rPr>
          <w:rFonts w:ascii="Arial" w:hAnsi="Arial" w:cs="Arial"/>
          <w:sz w:val="20"/>
          <w:szCs w:val="20"/>
        </w:rPr>
        <w:t xml:space="preserve"> for oxycodone (12.1 hours) compared to crushed treatments</w:t>
      </w:r>
      <w:r w:rsidR="003E7453">
        <w:rPr>
          <w:rFonts w:ascii="Arial" w:hAnsi="Arial" w:cs="Arial"/>
          <w:sz w:val="20"/>
          <w:szCs w:val="20"/>
        </w:rPr>
        <w:t>. T</w:t>
      </w:r>
      <w:r w:rsidR="003E7453" w:rsidRPr="003E4E0F">
        <w:rPr>
          <w:rFonts w:ascii="Arial" w:hAnsi="Arial" w:cs="Arial"/>
          <w:sz w:val="20"/>
          <w:szCs w:val="20"/>
        </w:rPr>
        <w:t xml:space="preserve">he majority of subjects </w:t>
      </w:r>
      <w:r w:rsidR="003E7453">
        <w:rPr>
          <w:rFonts w:ascii="Arial" w:hAnsi="Arial" w:cs="Arial"/>
          <w:sz w:val="20"/>
          <w:szCs w:val="20"/>
        </w:rPr>
        <w:t>had</w:t>
      </w:r>
      <w:r w:rsidR="003E7453" w:rsidRPr="003E4E0F">
        <w:rPr>
          <w:rFonts w:ascii="Arial" w:hAnsi="Arial" w:cs="Arial"/>
          <w:sz w:val="20"/>
          <w:szCs w:val="20"/>
        </w:rPr>
        <w:t xml:space="preserve"> no observable </w:t>
      </w:r>
      <w:r w:rsidR="003E7453">
        <w:rPr>
          <w:rFonts w:ascii="Arial" w:hAnsi="Arial" w:cs="Arial"/>
          <w:sz w:val="20"/>
          <w:szCs w:val="20"/>
        </w:rPr>
        <w:t>plasma exposures to naltrexone,</w:t>
      </w:r>
      <w:r w:rsidR="003E7453" w:rsidRPr="003E4E0F">
        <w:rPr>
          <w:rFonts w:ascii="Arial" w:hAnsi="Arial" w:cs="Arial"/>
          <w:sz w:val="20"/>
          <w:szCs w:val="20"/>
        </w:rPr>
        <w:t xml:space="preserve"> and most concentrations </w:t>
      </w:r>
      <w:r w:rsidR="003E7453">
        <w:rPr>
          <w:rFonts w:ascii="Arial" w:hAnsi="Arial" w:cs="Arial"/>
          <w:sz w:val="20"/>
          <w:szCs w:val="20"/>
        </w:rPr>
        <w:t xml:space="preserve">were </w:t>
      </w:r>
      <w:r w:rsidR="003E7453" w:rsidRPr="003E4E0F">
        <w:rPr>
          <w:rFonts w:ascii="Arial" w:hAnsi="Arial" w:cs="Arial"/>
          <w:sz w:val="20"/>
          <w:szCs w:val="20"/>
        </w:rPr>
        <w:t>below the limit of detection</w:t>
      </w:r>
      <w:r w:rsidR="003E7453">
        <w:rPr>
          <w:rFonts w:ascii="Arial" w:hAnsi="Arial" w:cs="Arial"/>
          <w:sz w:val="20"/>
          <w:szCs w:val="20"/>
        </w:rPr>
        <w:t xml:space="preserve">. </w:t>
      </w:r>
      <w:r w:rsidR="003E7453" w:rsidRPr="00CD1D7D">
        <w:rPr>
          <w:rFonts w:ascii="Arial" w:hAnsi="Arial" w:cs="Arial"/>
          <w:sz w:val="20"/>
          <w:szCs w:val="20"/>
        </w:rPr>
        <w:t xml:space="preserve">The mean </w:t>
      </w:r>
      <w:r w:rsidR="003E7453">
        <w:rPr>
          <w:rFonts w:ascii="Arial" w:hAnsi="Arial" w:cs="Arial"/>
          <w:sz w:val="20"/>
          <w:szCs w:val="20"/>
        </w:rPr>
        <w:t>half-life</w:t>
      </w:r>
      <w:r w:rsidR="003E7453" w:rsidRPr="00CD1D7D">
        <w:rPr>
          <w:rFonts w:ascii="Arial" w:hAnsi="Arial" w:cs="Arial"/>
          <w:sz w:val="20"/>
          <w:szCs w:val="20"/>
        </w:rPr>
        <w:t xml:space="preserve"> for naltrexone </w:t>
      </w:r>
      <w:r w:rsidR="003E7453">
        <w:rPr>
          <w:rFonts w:ascii="Arial" w:hAnsi="Arial" w:cs="Arial"/>
          <w:sz w:val="20"/>
          <w:szCs w:val="20"/>
        </w:rPr>
        <w:t>for</w:t>
      </w:r>
      <w:r w:rsidR="003E7453" w:rsidRPr="00CD1D7D">
        <w:rPr>
          <w:rFonts w:ascii="Arial" w:hAnsi="Arial" w:cs="Arial"/>
          <w:sz w:val="20"/>
          <w:szCs w:val="20"/>
        </w:rPr>
        <w:t xml:space="preserve"> crushed </w:t>
      </w:r>
      <w:proofErr w:type="spellStart"/>
      <w:r w:rsidR="003E7453" w:rsidRPr="00965270">
        <w:rPr>
          <w:rFonts w:ascii="Arial" w:hAnsi="Arial" w:cs="Arial"/>
          <w:sz w:val="20"/>
          <w:szCs w:val="20"/>
        </w:rPr>
        <w:t>Troxyca</w:t>
      </w:r>
      <w:proofErr w:type="spellEnd"/>
      <w:r w:rsidR="003E7453" w:rsidRPr="00965270">
        <w:rPr>
          <w:rFonts w:ascii="Arial" w:hAnsi="Arial" w:cs="Arial"/>
          <w:sz w:val="20"/>
          <w:szCs w:val="20"/>
          <w:vertAlign w:val="superscript"/>
        </w:rPr>
        <w:t>®</w:t>
      </w:r>
      <w:r w:rsidR="003E7453" w:rsidRPr="00965270">
        <w:rPr>
          <w:rFonts w:ascii="Arial" w:hAnsi="Arial" w:cs="Arial"/>
          <w:sz w:val="20"/>
          <w:szCs w:val="20"/>
        </w:rPr>
        <w:t xml:space="preserve"> ER (</w:t>
      </w:r>
      <w:r w:rsidR="003E7453">
        <w:rPr>
          <w:rFonts w:ascii="Arial" w:hAnsi="Arial" w:cs="Arial"/>
          <w:sz w:val="20"/>
          <w:szCs w:val="20"/>
        </w:rPr>
        <w:t>oxycodone/naltrexone</w:t>
      </w:r>
      <w:r w:rsidR="003E7453" w:rsidRPr="00965270">
        <w:rPr>
          <w:rFonts w:ascii="Arial" w:hAnsi="Arial" w:cs="Arial"/>
          <w:sz w:val="20"/>
          <w:szCs w:val="20"/>
        </w:rPr>
        <w:t xml:space="preserve"> extended-release)</w:t>
      </w:r>
      <w:r w:rsidR="003E7453" w:rsidRPr="003C1ACB">
        <w:rPr>
          <w:rFonts w:ascii="Arial" w:hAnsi="Arial" w:cs="Arial"/>
          <w:sz w:val="20"/>
          <w:szCs w:val="20"/>
        </w:rPr>
        <w:t xml:space="preserve"> </w:t>
      </w:r>
      <w:r w:rsidR="003E7453" w:rsidRPr="00CD1D7D">
        <w:rPr>
          <w:rFonts w:ascii="Arial" w:hAnsi="Arial" w:cs="Arial"/>
          <w:sz w:val="20"/>
          <w:szCs w:val="20"/>
        </w:rPr>
        <w:t xml:space="preserve">ranged </w:t>
      </w:r>
      <w:r w:rsidR="003E7453">
        <w:rPr>
          <w:rFonts w:ascii="Arial" w:hAnsi="Arial" w:cs="Arial"/>
          <w:sz w:val="20"/>
          <w:szCs w:val="20"/>
        </w:rPr>
        <w:t>from</w:t>
      </w:r>
      <w:r w:rsidR="003E7453" w:rsidRPr="00CD1D7D">
        <w:rPr>
          <w:rFonts w:ascii="Arial" w:hAnsi="Arial" w:cs="Arial"/>
          <w:sz w:val="20"/>
          <w:szCs w:val="20"/>
        </w:rPr>
        <w:t xml:space="preserve"> 5.4 </w:t>
      </w:r>
      <w:proofErr w:type="gramStart"/>
      <w:r w:rsidR="003E7453">
        <w:rPr>
          <w:rFonts w:ascii="Arial" w:hAnsi="Arial" w:cs="Arial"/>
          <w:sz w:val="20"/>
          <w:szCs w:val="20"/>
        </w:rPr>
        <w:t>to</w:t>
      </w:r>
      <w:r w:rsidR="00CE1584">
        <w:rPr>
          <w:rFonts w:ascii="Arial" w:hAnsi="Arial" w:cs="Arial"/>
          <w:sz w:val="20"/>
          <w:szCs w:val="20"/>
        </w:rPr>
        <w:t xml:space="preserve"> 5.6 hours.</w:t>
      </w:r>
      <w:r w:rsidR="003B4259">
        <w:rPr>
          <w:rFonts w:ascii="Arial" w:hAnsi="Arial" w:cs="Arial"/>
          <w:sz w:val="20"/>
          <w:szCs w:val="20"/>
          <w:vertAlign w:val="superscript"/>
        </w:rPr>
        <w:t>6</w:t>
      </w:r>
      <w:proofErr w:type="gramEnd"/>
    </w:p>
    <w:p w:rsidR="007B758F" w:rsidRDefault="007B758F" w:rsidP="00AE32D7">
      <w:pPr>
        <w:pStyle w:val="NoSpacing"/>
        <w:rPr>
          <w:rFonts w:ascii="Arial" w:hAnsi="Arial" w:cs="Arial"/>
          <w:sz w:val="20"/>
          <w:szCs w:val="20"/>
        </w:rPr>
      </w:pPr>
    </w:p>
    <w:p w:rsidR="00AA1DF1" w:rsidRDefault="00AA1DF1" w:rsidP="00AA1DF1">
      <w:pPr>
        <w:spacing w:after="0" w:line="240" w:lineRule="auto"/>
        <w:rPr>
          <w:rFonts w:ascii="Arial" w:hAnsi="Arial" w:cs="Arial"/>
          <w:sz w:val="20"/>
          <w:szCs w:val="20"/>
        </w:rPr>
      </w:pPr>
      <w:r w:rsidRPr="00AA3D30">
        <w:rPr>
          <w:rFonts w:ascii="Arial" w:hAnsi="Arial" w:cs="Arial"/>
          <w:sz w:val="20"/>
          <w:szCs w:val="20"/>
        </w:rPr>
        <w:t xml:space="preserve">After intranasal administration, the </w:t>
      </w:r>
      <w:r>
        <w:rPr>
          <w:rFonts w:ascii="Arial" w:hAnsi="Arial" w:cs="Arial"/>
          <w:sz w:val="20"/>
          <w:szCs w:val="20"/>
        </w:rPr>
        <w:t xml:space="preserve">median </w:t>
      </w:r>
      <w:proofErr w:type="spellStart"/>
      <w:r>
        <w:rPr>
          <w:rFonts w:ascii="Arial" w:hAnsi="Arial" w:cs="Arial"/>
          <w:sz w:val="20"/>
          <w:szCs w:val="20"/>
        </w:rPr>
        <w:t>T</w:t>
      </w:r>
      <w:r>
        <w:rPr>
          <w:rFonts w:ascii="Arial" w:hAnsi="Arial" w:cs="Arial"/>
          <w:sz w:val="20"/>
          <w:szCs w:val="20"/>
          <w:vertAlign w:val="subscript"/>
        </w:rPr>
        <w:t>max</w:t>
      </w:r>
      <w:proofErr w:type="spellEnd"/>
      <w:r>
        <w:rPr>
          <w:rFonts w:ascii="Arial" w:hAnsi="Arial" w:cs="Arial"/>
          <w:sz w:val="20"/>
          <w:szCs w:val="20"/>
        </w:rPr>
        <w:t xml:space="preserve"> for oxycodone was longer</w:t>
      </w:r>
      <w:r w:rsidRPr="00AA3D30">
        <w:rPr>
          <w:rFonts w:ascii="Arial" w:hAnsi="Arial" w:cs="Arial"/>
          <w:sz w:val="20"/>
          <w:szCs w:val="20"/>
        </w:rPr>
        <w:t xml:space="preserve"> </w:t>
      </w:r>
      <w:r>
        <w:rPr>
          <w:rFonts w:ascii="Arial" w:hAnsi="Arial" w:cs="Arial"/>
          <w:sz w:val="20"/>
          <w:szCs w:val="20"/>
        </w:rPr>
        <w:t>for</w:t>
      </w:r>
      <w:r w:rsidRPr="00AA3D30">
        <w:rPr>
          <w:rFonts w:ascii="Arial" w:hAnsi="Arial" w:cs="Arial"/>
          <w:sz w:val="20"/>
          <w:szCs w:val="20"/>
        </w:rPr>
        <w:t xml:space="preserve"> crushed </w:t>
      </w:r>
      <w:proofErr w:type="spellStart"/>
      <w:r>
        <w:rPr>
          <w:rFonts w:ascii="Arial" w:hAnsi="Arial" w:cs="Arial"/>
          <w:sz w:val="20"/>
          <w:szCs w:val="20"/>
        </w:rPr>
        <w:t>T</w:t>
      </w:r>
      <w:r w:rsidRPr="00965270">
        <w:rPr>
          <w:rFonts w:ascii="Arial" w:hAnsi="Arial" w:cs="Arial"/>
          <w:sz w:val="20"/>
          <w:szCs w:val="20"/>
        </w:rPr>
        <w:t>roxyca</w:t>
      </w:r>
      <w:proofErr w:type="spellEnd"/>
      <w:r w:rsidRPr="00965270">
        <w:rPr>
          <w:rFonts w:ascii="Arial" w:hAnsi="Arial" w:cs="Arial"/>
          <w:sz w:val="20"/>
          <w:szCs w:val="20"/>
          <w:vertAlign w:val="superscript"/>
        </w:rPr>
        <w:t>®</w:t>
      </w:r>
      <w:r w:rsidRPr="00965270">
        <w:rPr>
          <w:rFonts w:ascii="Arial" w:hAnsi="Arial" w:cs="Arial"/>
          <w:sz w:val="20"/>
          <w:szCs w:val="20"/>
        </w:rPr>
        <w:t xml:space="preserve"> ER (</w:t>
      </w:r>
      <w:r>
        <w:rPr>
          <w:rFonts w:ascii="Arial" w:hAnsi="Arial" w:cs="Arial"/>
          <w:sz w:val="20"/>
          <w:szCs w:val="20"/>
        </w:rPr>
        <w:t>oxycodone/naltrexone</w:t>
      </w:r>
      <w:r w:rsidRPr="00965270">
        <w:rPr>
          <w:rFonts w:ascii="Arial" w:hAnsi="Arial" w:cs="Arial"/>
          <w:sz w:val="20"/>
          <w:szCs w:val="20"/>
        </w:rPr>
        <w:t xml:space="preserve"> extended-release)</w:t>
      </w:r>
      <w:r>
        <w:rPr>
          <w:rFonts w:ascii="Arial" w:hAnsi="Arial" w:cs="Arial"/>
          <w:sz w:val="20"/>
          <w:szCs w:val="20"/>
        </w:rPr>
        <w:t xml:space="preserve"> compared to</w:t>
      </w:r>
      <w:r w:rsidRPr="00AA3D30">
        <w:rPr>
          <w:rFonts w:ascii="Arial" w:hAnsi="Arial" w:cs="Arial"/>
          <w:sz w:val="20"/>
          <w:szCs w:val="20"/>
        </w:rPr>
        <w:t xml:space="preserve"> </w:t>
      </w:r>
      <w:r>
        <w:rPr>
          <w:rFonts w:ascii="Arial" w:hAnsi="Arial" w:cs="Arial"/>
          <w:sz w:val="20"/>
          <w:szCs w:val="20"/>
        </w:rPr>
        <w:t xml:space="preserve">corresponding doses of </w:t>
      </w:r>
      <w:r w:rsidRPr="00AA3D30">
        <w:rPr>
          <w:rFonts w:ascii="Arial" w:hAnsi="Arial" w:cs="Arial"/>
          <w:sz w:val="20"/>
          <w:szCs w:val="20"/>
        </w:rPr>
        <w:t xml:space="preserve">crushed oxycodone </w:t>
      </w:r>
      <w:r>
        <w:rPr>
          <w:rFonts w:ascii="Arial" w:hAnsi="Arial" w:cs="Arial"/>
          <w:sz w:val="20"/>
          <w:szCs w:val="20"/>
        </w:rPr>
        <w:t xml:space="preserve">IR </w:t>
      </w:r>
      <w:r w:rsidRPr="00AA3D30">
        <w:rPr>
          <w:rFonts w:ascii="Arial" w:hAnsi="Arial" w:cs="Arial"/>
          <w:sz w:val="20"/>
          <w:szCs w:val="20"/>
        </w:rPr>
        <w:t>(1.6 vs 0.5 hours</w:t>
      </w:r>
      <w:r>
        <w:rPr>
          <w:rFonts w:ascii="Arial" w:hAnsi="Arial" w:cs="Arial"/>
          <w:sz w:val="20"/>
          <w:szCs w:val="20"/>
        </w:rPr>
        <w:t xml:space="preserve">, respectively). The overall plasma exposure </w:t>
      </w:r>
      <w:r w:rsidRPr="00AA3D30">
        <w:rPr>
          <w:rFonts w:ascii="Arial" w:hAnsi="Arial" w:cs="Arial"/>
          <w:sz w:val="20"/>
          <w:szCs w:val="20"/>
        </w:rPr>
        <w:t xml:space="preserve">was 20% lower with crushed </w:t>
      </w:r>
      <w:proofErr w:type="spellStart"/>
      <w:r>
        <w:rPr>
          <w:rFonts w:ascii="Arial" w:hAnsi="Arial" w:cs="Arial"/>
          <w:sz w:val="20"/>
          <w:szCs w:val="20"/>
        </w:rPr>
        <w:t>T</w:t>
      </w:r>
      <w:r w:rsidRPr="00965270">
        <w:rPr>
          <w:rFonts w:ascii="Arial" w:hAnsi="Arial" w:cs="Arial"/>
          <w:sz w:val="20"/>
          <w:szCs w:val="20"/>
        </w:rPr>
        <w:t>roxyca</w:t>
      </w:r>
      <w:proofErr w:type="spellEnd"/>
      <w:r w:rsidRPr="00965270">
        <w:rPr>
          <w:rFonts w:ascii="Arial" w:hAnsi="Arial" w:cs="Arial"/>
          <w:sz w:val="20"/>
          <w:szCs w:val="20"/>
          <w:vertAlign w:val="superscript"/>
        </w:rPr>
        <w:t>®</w:t>
      </w:r>
      <w:r w:rsidRPr="00965270">
        <w:rPr>
          <w:rFonts w:ascii="Arial" w:hAnsi="Arial" w:cs="Arial"/>
          <w:sz w:val="20"/>
          <w:szCs w:val="20"/>
        </w:rPr>
        <w:t xml:space="preserve"> ER (</w:t>
      </w:r>
      <w:r>
        <w:rPr>
          <w:rFonts w:ascii="Arial" w:hAnsi="Arial" w:cs="Arial"/>
          <w:sz w:val="20"/>
          <w:szCs w:val="20"/>
        </w:rPr>
        <w:t>oxycodone/naltrexone</w:t>
      </w:r>
      <w:r w:rsidRPr="00965270">
        <w:rPr>
          <w:rFonts w:ascii="Arial" w:hAnsi="Arial" w:cs="Arial"/>
          <w:sz w:val="20"/>
          <w:szCs w:val="20"/>
        </w:rPr>
        <w:t xml:space="preserve"> extended-release)</w:t>
      </w:r>
      <w:r>
        <w:rPr>
          <w:rFonts w:ascii="Arial" w:hAnsi="Arial" w:cs="Arial"/>
          <w:sz w:val="20"/>
          <w:szCs w:val="20"/>
        </w:rPr>
        <w:t xml:space="preserve"> compared to</w:t>
      </w:r>
      <w:r w:rsidRPr="00AA3D30">
        <w:rPr>
          <w:rFonts w:ascii="Arial" w:hAnsi="Arial" w:cs="Arial"/>
          <w:sz w:val="20"/>
          <w:szCs w:val="20"/>
        </w:rPr>
        <w:t xml:space="preserve"> crushed oxycodone</w:t>
      </w:r>
      <w:r>
        <w:rPr>
          <w:rFonts w:ascii="Arial" w:hAnsi="Arial" w:cs="Arial"/>
          <w:sz w:val="20"/>
          <w:szCs w:val="20"/>
        </w:rPr>
        <w:t xml:space="preserve"> IR</w:t>
      </w:r>
      <w:r w:rsidRPr="00AA3D30">
        <w:rPr>
          <w:rFonts w:ascii="Arial" w:hAnsi="Arial" w:cs="Arial"/>
          <w:sz w:val="20"/>
          <w:szCs w:val="20"/>
        </w:rPr>
        <w:t>. In addition, the mean C</w:t>
      </w:r>
      <w:r w:rsidRPr="00AA3D30">
        <w:rPr>
          <w:rFonts w:ascii="Arial" w:hAnsi="Arial" w:cs="Arial"/>
          <w:sz w:val="20"/>
          <w:szCs w:val="20"/>
          <w:vertAlign w:val="subscript"/>
        </w:rPr>
        <w:t>max</w:t>
      </w:r>
      <w:r w:rsidRPr="00AA3D30">
        <w:rPr>
          <w:rFonts w:ascii="Arial" w:hAnsi="Arial" w:cs="Arial"/>
          <w:sz w:val="20"/>
          <w:szCs w:val="20"/>
        </w:rPr>
        <w:t xml:space="preserve"> </w:t>
      </w:r>
      <w:r>
        <w:rPr>
          <w:rFonts w:ascii="Arial" w:hAnsi="Arial" w:cs="Arial"/>
          <w:sz w:val="20"/>
          <w:szCs w:val="20"/>
        </w:rPr>
        <w:t>for oxycodone was</w:t>
      </w:r>
      <w:r w:rsidRPr="00AA3D30">
        <w:rPr>
          <w:rFonts w:ascii="Arial" w:hAnsi="Arial" w:cs="Arial"/>
          <w:sz w:val="20"/>
          <w:szCs w:val="20"/>
        </w:rPr>
        <w:t xml:space="preserve"> approximately 30% lower for crushed </w:t>
      </w:r>
      <w:proofErr w:type="spellStart"/>
      <w:r>
        <w:rPr>
          <w:rFonts w:ascii="Arial" w:hAnsi="Arial" w:cs="Arial"/>
          <w:sz w:val="20"/>
          <w:szCs w:val="20"/>
        </w:rPr>
        <w:t>T</w:t>
      </w:r>
      <w:r w:rsidRPr="00965270">
        <w:rPr>
          <w:rFonts w:ascii="Arial" w:hAnsi="Arial" w:cs="Arial"/>
          <w:sz w:val="20"/>
          <w:szCs w:val="20"/>
        </w:rPr>
        <w:t>roxyca</w:t>
      </w:r>
      <w:proofErr w:type="spellEnd"/>
      <w:r w:rsidRPr="00965270">
        <w:rPr>
          <w:rFonts w:ascii="Arial" w:hAnsi="Arial" w:cs="Arial"/>
          <w:sz w:val="20"/>
          <w:szCs w:val="20"/>
          <w:vertAlign w:val="superscript"/>
        </w:rPr>
        <w:t>®</w:t>
      </w:r>
      <w:r w:rsidRPr="00965270">
        <w:rPr>
          <w:rFonts w:ascii="Arial" w:hAnsi="Arial" w:cs="Arial"/>
          <w:sz w:val="20"/>
          <w:szCs w:val="20"/>
        </w:rPr>
        <w:t xml:space="preserve"> ER (</w:t>
      </w:r>
      <w:r>
        <w:rPr>
          <w:rFonts w:ascii="Arial" w:hAnsi="Arial" w:cs="Arial"/>
          <w:sz w:val="20"/>
          <w:szCs w:val="20"/>
        </w:rPr>
        <w:t>oxycodone/naltrexone</w:t>
      </w:r>
      <w:r w:rsidRPr="00965270">
        <w:rPr>
          <w:rFonts w:ascii="Arial" w:hAnsi="Arial" w:cs="Arial"/>
          <w:sz w:val="20"/>
          <w:szCs w:val="20"/>
        </w:rPr>
        <w:t xml:space="preserve"> extended-release)</w:t>
      </w:r>
      <w:r>
        <w:rPr>
          <w:rFonts w:ascii="Arial" w:hAnsi="Arial" w:cs="Arial"/>
          <w:sz w:val="20"/>
          <w:szCs w:val="20"/>
        </w:rPr>
        <w:t xml:space="preserve"> compared to </w:t>
      </w:r>
      <w:r w:rsidRPr="00AA3D30">
        <w:rPr>
          <w:rFonts w:ascii="Arial" w:hAnsi="Arial" w:cs="Arial"/>
          <w:sz w:val="20"/>
          <w:szCs w:val="20"/>
        </w:rPr>
        <w:t>crushed oxycodone</w:t>
      </w:r>
      <w:r>
        <w:rPr>
          <w:rFonts w:ascii="Arial" w:hAnsi="Arial" w:cs="Arial"/>
          <w:sz w:val="20"/>
          <w:szCs w:val="20"/>
        </w:rPr>
        <w:t xml:space="preserve"> IR</w:t>
      </w:r>
      <w:r w:rsidRPr="00AA3D30">
        <w:rPr>
          <w:rFonts w:ascii="Arial" w:hAnsi="Arial" w:cs="Arial"/>
          <w:sz w:val="20"/>
          <w:szCs w:val="20"/>
        </w:rPr>
        <w:t>. Both</w:t>
      </w:r>
      <w:r>
        <w:rPr>
          <w:rFonts w:ascii="Arial" w:hAnsi="Arial" w:cs="Arial"/>
          <w:sz w:val="20"/>
          <w:szCs w:val="20"/>
        </w:rPr>
        <w:t xml:space="preserve"> treatments had comparable mean half-life</w:t>
      </w:r>
      <w:r w:rsidRPr="00AA3D30">
        <w:rPr>
          <w:rFonts w:ascii="Arial" w:hAnsi="Arial" w:cs="Arial"/>
          <w:sz w:val="20"/>
          <w:szCs w:val="20"/>
        </w:rPr>
        <w:t xml:space="preserve"> values of approximately 7 hours.</w:t>
      </w:r>
      <w:r>
        <w:rPr>
          <w:rFonts w:ascii="Arial" w:hAnsi="Arial" w:cs="Arial"/>
          <w:sz w:val="20"/>
          <w:szCs w:val="20"/>
        </w:rPr>
        <w:t xml:space="preserve"> </w:t>
      </w:r>
      <w:r w:rsidRPr="00AA3D30">
        <w:rPr>
          <w:rFonts w:ascii="Arial" w:hAnsi="Arial" w:cs="Arial"/>
          <w:sz w:val="20"/>
          <w:szCs w:val="20"/>
        </w:rPr>
        <w:t xml:space="preserve">After intranasal administration of crushed </w:t>
      </w:r>
      <w:proofErr w:type="spellStart"/>
      <w:r>
        <w:rPr>
          <w:rFonts w:ascii="Arial" w:hAnsi="Arial" w:cs="Arial"/>
          <w:sz w:val="20"/>
          <w:szCs w:val="20"/>
        </w:rPr>
        <w:t>T</w:t>
      </w:r>
      <w:r w:rsidRPr="00965270">
        <w:rPr>
          <w:rFonts w:ascii="Arial" w:hAnsi="Arial" w:cs="Arial"/>
          <w:sz w:val="20"/>
          <w:szCs w:val="20"/>
        </w:rPr>
        <w:t>roxyca</w:t>
      </w:r>
      <w:proofErr w:type="spellEnd"/>
      <w:r w:rsidRPr="00965270">
        <w:rPr>
          <w:rFonts w:ascii="Arial" w:hAnsi="Arial" w:cs="Arial"/>
          <w:sz w:val="20"/>
          <w:szCs w:val="20"/>
          <w:vertAlign w:val="superscript"/>
        </w:rPr>
        <w:t>®</w:t>
      </w:r>
      <w:r w:rsidRPr="00965270">
        <w:rPr>
          <w:rFonts w:ascii="Arial" w:hAnsi="Arial" w:cs="Arial"/>
          <w:sz w:val="20"/>
          <w:szCs w:val="20"/>
        </w:rPr>
        <w:t xml:space="preserve"> ER (</w:t>
      </w:r>
      <w:r>
        <w:rPr>
          <w:rFonts w:ascii="Arial" w:hAnsi="Arial" w:cs="Arial"/>
          <w:sz w:val="20"/>
          <w:szCs w:val="20"/>
        </w:rPr>
        <w:t>oxycodone/naltrexone</w:t>
      </w:r>
      <w:r w:rsidRPr="00965270">
        <w:rPr>
          <w:rFonts w:ascii="Arial" w:hAnsi="Arial" w:cs="Arial"/>
          <w:sz w:val="20"/>
          <w:szCs w:val="20"/>
        </w:rPr>
        <w:t xml:space="preserve"> extended-release)</w:t>
      </w:r>
      <w:r>
        <w:rPr>
          <w:rFonts w:ascii="Arial" w:hAnsi="Arial" w:cs="Arial"/>
          <w:sz w:val="20"/>
          <w:szCs w:val="20"/>
        </w:rPr>
        <w:t xml:space="preserve"> </w:t>
      </w:r>
      <w:r w:rsidRPr="00AA3D30">
        <w:rPr>
          <w:rFonts w:ascii="Arial" w:hAnsi="Arial" w:cs="Arial"/>
          <w:sz w:val="20"/>
          <w:szCs w:val="20"/>
        </w:rPr>
        <w:t>30 mg/3.6 mg, the mean C</w:t>
      </w:r>
      <w:r w:rsidRPr="00AA3D30">
        <w:rPr>
          <w:rFonts w:ascii="Arial" w:hAnsi="Arial" w:cs="Arial"/>
          <w:sz w:val="20"/>
          <w:szCs w:val="20"/>
          <w:vertAlign w:val="subscript"/>
        </w:rPr>
        <w:t>max</w:t>
      </w:r>
      <w:r w:rsidRPr="00AA3D30">
        <w:rPr>
          <w:rFonts w:ascii="Arial" w:hAnsi="Arial" w:cs="Arial"/>
          <w:sz w:val="20"/>
          <w:szCs w:val="20"/>
        </w:rPr>
        <w:t xml:space="preserve"> for naltrexone was 4.372 ng/mL, </w:t>
      </w:r>
      <w:r>
        <w:rPr>
          <w:rFonts w:ascii="Arial" w:hAnsi="Arial" w:cs="Arial"/>
          <w:sz w:val="20"/>
          <w:szCs w:val="20"/>
        </w:rPr>
        <w:t xml:space="preserve">with a median </w:t>
      </w:r>
      <w:proofErr w:type="spellStart"/>
      <w:r>
        <w:rPr>
          <w:rFonts w:ascii="Arial" w:hAnsi="Arial" w:cs="Arial"/>
          <w:sz w:val="20"/>
          <w:szCs w:val="20"/>
        </w:rPr>
        <w:t>T</w:t>
      </w:r>
      <w:r>
        <w:rPr>
          <w:rFonts w:ascii="Arial" w:hAnsi="Arial" w:cs="Arial"/>
          <w:sz w:val="20"/>
          <w:szCs w:val="20"/>
          <w:vertAlign w:val="subscript"/>
        </w:rPr>
        <w:t>max</w:t>
      </w:r>
      <w:proofErr w:type="spellEnd"/>
      <w:r>
        <w:rPr>
          <w:rFonts w:ascii="Arial" w:hAnsi="Arial" w:cs="Arial"/>
          <w:sz w:val="20"/>
          <w:szCs w:val="20"/>
          <w:vertAlign w:val="subscript"/>
        </w:rPr>
        <w:softHyphen/>
      </w:r>
      <w:r>
        <w:rPr>
          <w:rFonts w:ascii="Arial" w:hAnsi="Arial" w:cs="Arial"/>
          <w:sz w:val="20"/>
          <w:szCs w:val="20"/>
        </w:rPr>
        <w:t xml:space="preserve"> of 18 minutes.</w:t>
      </w:r>
      <w:r w:rsidR="003B4259">
        <w:rPr>
          <w:rFonts w:ascii="Arial" w:hAnsi="Arial" w:cs="Arial"/>
          <w:sz w:val="20"/>
          <w:szCs w:val="20"/>
          <w:vertAlign w:val="superscript"/>
        </w:rPr>
        <w:t>7</w:t>
      </w:r>
    </w:p>
    <w:p w:rsidR="00AA1DF1" w:rsidRDefault="00AA1DF1" w:rsidP="00AE32D7">
      <w:pPr>
        <w:pStyle w:val="NoSpacing"/>
        <w:rPr>
          <w:rFonts w:ascii="Arial" w:hAnsi="Arial" w:cs="Arial"/>
          <w:sz w:val="20"/>
          <w:szCs w:val="20"/>
        </w:rPr>
      </w:pPr>
    </w:p>
    <w:p w:rsidR="004037B6" w:rsidRDefault="004037B6" w:rsidP="00AE32D7">
      <w:pPr>
        <w:pStyle w:val="NoSpacing"/>
        <w:rPr>
          <w:rFonts w:ascii="Arial" w:hAnsi="Arial" w:cs="Arial"/>
          <w:sz w:val="20"/>
          <w:szCs w:val="20"/>
        </w:rPr>
      </w:pPr>
      <w:r>
        <w:rPr>
          <w:rFonts w:ascii="Arial" w:hAnsi="Arial" w:cs="Arial"/>
          <w:b/>
          <w:i/>
          <w:sz w:val="20"/>
          <w:szCs w:val="20"/>
        </w:rPr>
        <w:t>Pharmacogenomic Considerations:</w:t>
      </w:r>
    </w:p>
    <w:p w:rsidR="008A7C98" w:rsidRPr="008A7C98" w:rsidRDefault="008A7C98" w:rsidP="00AE32D7">
      <w:pPr>
        <w:pStyle w:val="NoSpacing"/>
        <w:rPr>
          <w:rFonts w:ascii="Arial" w:hAnsi="Arial" w:cs="Arial"/>
          <w:sz w:val="20"/>
          <w:szCs w:val="20"/>
          <w:vertAlign w:val="superscript"/>
        </w:rPr>
      </w:pPr>
      <w:r w:rsidRPr="00512B7D">
        <w:rPr>
          <w:rFonts w:ascii="Arial" w:hAnsi="Arial" w:cs="Arial"/>
          <w:sz w:val="20"/>
          <w:szCs w:val="20"/>
        </w:rPr>
        <w:t xml:space="preserve">Overall, numerous genes involved with the pharmacokinetics and dynamics of opioids response are candidate genes in the context of opioid analgesia. The clinical relevance of </w:t>
      </w:r>
      <w:r w:rsidRPr="00512B7D">
        <w:rPr>
          <w:rFonts w:ascii="Arial" w:hAnsi="Arial" w:cs="Arial"/>
          <w:i/>
          <w:iCs/>
          <w:sz w:val="20"/>
          <w:szCs w:val="20"/>
        </w:rPr>
        <w:t>CYP2D6</w:t>
      </w:r>
      <w:r w:rsidRPr="00512B7D">
        <w:rPr>
          <w:rFonts w:ascii="Arial" w:hAnsi="Arial" w:cs="Arial"/>
          <w:sz w:val="20"/>
          <w:szCs w:val="20"/>
        </w:rPr>
        <w:t xml:space="preserve"> genotyping to predict analgesic outcomes is still relatively unknown; the two extremes in </w:t>
      </w:r>
      <w:r w:rsidRPr="00512B7D">
        <w:rPr>
          <w:rFonts w:ascii="Arial" w:hAnsi="Arial" w:cs="Arial"/>
          <w:i/>
          <w:iCs/>
          <w:sz w:val="20"/>
          <w:szCs w:val="20"/>
        </w:rPr>
        <w:t>CYP2D6</w:t>
      </w:r>
      <w:r w:rsidRPr="00512B7D">
        <w:rPr>
          <w:rFonts w:ascii="Arial" w:hAnsi="Arial" w:cs="Arial"/>
          <w:sz w:val="20"/>
          <w:szCs w:val="20"/>
        </w:rPr>
        <w:t xml:space="preserve"> genotype (ultrarapid and poor metabolism) seem to predict pain response and/or adverse effects. Overall, the level of evidence linking genetic variability (</w:t>
      </w:r>
      <w:r w:rsidRPr="00512B7D">
        <w:rPr>
          <w:rFonts w:ascii="Arial" w:hAnsi="Arial" w:cs="Arial"/>
          <w:i/>
          <w:iCs/>
          <w:sz w:val="20"/>
          <w:szCs w:val="20"/>
        </w:rPr>
        <w:t>CYP2D6</w:t>
      </w:r>
      <w:r w:rsidRPr="00512B7D">
        <w:rPr>
          <w:rFonts w:ascii="Arial" w:hAnsi="Arial" w:cs="Arial"/>
          <w:sz w:val="20"/>
          <w:szCs w:val="20"/>
        </w:rPr>
        <w:t xml:space="preserve"> and </w:t>
      </w:r>
      <w:r w:rsidRPr="00512B7D">
        <w:rPr>
          <w:rFonts w:ascii="Arial" w:hAnsi="Arial" w:cs="Arial"/>
          <w:i/>
          <w:iCs/>
          <w:sz w:val="20"/>
          <w:szCs w:val="20"/>
        </w:rPr>
        <w:t>CYP3A4</w:t>
      </w:r>
      <w:r w:rsidRPr="00512B7D">
        <w:rPr>
          <w:rFonts w:ascii="Arial" w:hAnsi="Arial" w:cs="Arial"/>
          <w:sz w:val="20"/>
          <w:szCs w:val="20"/>
        </w:rPr>
        <w:t>) to oxycodone response and phenotype (altered biotransformation of oxycodone into oxymorphone and overall clearance of oxycodone and oxymorphone) is strong; however, there has been no randomized clinical trial on the benefits of genetic testing prior to oxycodone therapy.</w:t>
      </w:r>
      <w:r w:rsidR="00CE1584">
        <w:rPr>
          <w:rFonts w:ascii="Arial" w:hAnsi="Arial" w:cs="Arial"/>
          <w:sz w:val="20"/>
          <w:szCs w:val="20"/>
          <w:vertAlign w:val="superscript"/>
        </w:rPr>
        <w:t>15</w:t>
      </w:r>
    </w:p>
    <w:p w:rsidR="007009D6" w:rsidRPr="0044122B" w:rsidRDefault="007009D6" w:rsidP="00AE32D7">
      <w:pPr>
        <w:pStyle w:val="NoSpacing"/>
        <w:rPr>
          <w:rFonts w:ascii="Arial" w:hAnsi="Arial" w:cs="Arial"/>
          <w:color w:val="0000FF"/>
          <w:sz w:val="20"/>
          <w:szCs w:val="20"/>
        </w:rPr>
      </w:pPr>
    </w:p>
    <w:p w:rsidR="00AE32D7" w:rsidRPr="00AB10CC" w:rsidRDefault="00AE32D7" w:rsidP="00AE32D7">
      <w:pPr>
        <w:pStyle w:val="NoSpacing"/>
        <w:rPr>
          <w:rFonts w:ascii="Arial" w:hAnsi="Arial" w:cs="Arial"/>
          <w:sz w:val="20"/>
          <w:szCs w:val="20"/>
        </w:rPr>
      </w:pPr>
      <w:r w:rsidRPr="0044122B">
        <w:rPr>
          <w:rFonts w:ascii="Arial" w:hAnsi="Arial" w:cs="Arial"/>
          <w:b/>
          <w:sz w:val="20"/>
          <w:szCs w:val="20"/>
        </w:rPr>
        <w:t>Table</w:t>
      </w:r>
      <w:r w:rsidRPr="001522E0">
        <w:rPr>
          <w:rFonts w:ascii="Arial" w:hAnsi="Arial" w:cs="Arial"/>
          <w:b/>
          <w:sz w:val="20"/>
          <w:szCs w:val="20"/>
        </w:rPr>
        <w:t xml:space="preserve"> </w:t>
      </w:r>
      <w:r w:rsidR="004F27CC">
        <w:rPr>
          <w:rFonts w:ascii="Arial" w:hAnsi="Arial" w:cs="Arial"/>
          <w:b/>
          <w:sz w:val="20"/>
          <w:szCs w:val="20"/>
        </w:rPr>
        <w:t>3</w:t>
      </w:r>
      <w:r w:rsidRPr="0044122B">
        <w:rPr>
          <w:rFonts w:ascii="Arial" w:hAnsi="Arial" w:cs="Arial"/>
          <w:b/>
          <w:sz w:val="20"/>
          <w:szCs w:val="20"/>
        </w:rPr>
        <w:t>. Pharmacokinetics</w:t>
      </w:r>
      <w:r w:rsidR="00AB10CC">
        <w:rPr>
          <w:rFonts w:ascii="Arial" w:hAnsi="Arial" w:cs="Arial"/>
          <w:b/>
          <w:sz w:val="20"/>
          <w:szCs w:val="20"/>
          <w:vertAlign w:val="superscript"/>
        </w:rPr>
        <w:t>1</w:t>
      </w:r>
      <w:proofErr w:type="gramStart"/>
      <w:r w:rsidR="00CE1584">
        <w:rPr>
          <w:rFonts w:ascii="Arial" w:hAnsi="Arial" w:cs="Arial"/>
          <w:b/>
          <w:sz w:val="20"/>
          <w:szCs w:val="20"/>
          <w:vertAlign w:val="superscript"/>
        </w:rPr>
        <w:t>,16</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985"/>
        <w:gridCol w:w="1069"/>
        <w:gridCol w:w="1811"/>
        <w:gridCol w:w="2070"/>
        <w:gridCol w:w="1908"/>
      </w:tblGrid>
      <w:tr w:rsidR="00AE32D7" w:rsidRPr="00993018" w:rsidTr="006E62AB">
        <w:trPr>
          <w:tblHeader/>
        </w:trPr>
        <w:tc>
          <w:tcPr>
            <w:tcW w:w="1625"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Generic Name</w:t>
            </w:r>
          </w:p>
        </w:tc>
        <w:tc>
          <w:tcPr>
            <w:tcW w:w="985" w:type="dxa"/>
            <w:shd w:val="clear" w:color="auto" w:fill="C0C0C0"/>
            <w:vAlign w:val="center"/>
          </w:tcPr>
          <w:p w:rsidR="00AE32D7" w:rsidRPr="001522E0" w:rsidRDefault="00AE32D7" w:rsidP="00F9017C">
            <w:pPr>
              <w:spacing w:after="0" w:line="240" w:lineRule="auto"/>
              <w:jc w:val="center"/>
              <w:outlineLvl w:val="0"/>
              <w:rPr>
                <w:rFonts w:ascii="Arial" w:hAnsi="Arial" w:cs="Arial"/>
                <w:b/>
                <w:sz w:val="20"/>
                <w:szCs w:val="20"/>
              </w:rPr>
            </w:pPr>
            <w:proofErr w:type="spellStart"/>
            <w:r>
              <w:rPr>
                <w:rFonts w:ascii="Arial" w:hAnsi="Arial" w:cs="Arial"/>
                <w:b/>
                <w:sz w:val="20"/>
                <w:szCs w:val="20"/>
              </w:rPr>
              <w:t>T</w:t>
            </w:r>
            <w:r>
              <w:rPr>
                <w:rFonts w:ascii="Arial" w:hAnsi="Arial" w:cs="Arial"/>
                <w:b/>
                <w:sz w:val="20"/>
                <w:szCs w:val="20"/>
              </w:rPr>
              <w:softHyphen/>
            </w:r>
            <w:r>
              <w:rPr>
                <w:rFonts w:ascii="Arial" w:hAnsi="Arial" w:cs="Arial"/>
                <w:b/>
                <w:sz w:val="20"/>
                <w:szCs w:val="20"/>
                <w:vertAlign w:val="subscript"/>
              </w:rPr>
              <w:t>max</w:t>
            </w:r>
            <w:proofErr w:type="spellEnd"/>
          </w:p>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069"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Duration</w:t>
            </w:r>
          </w:p>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811"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 xml:space="preserve">Renal </w:t>
            </w:r>
            <w:r>
              <w:rPr>
                <w:rFonts w:ascii="Arial" w:hAnsi="Arial" w:cs="Arial"/>
                <w:b/>
                <w:sz w:val="20"/>
                <w:szCs w:val="20"/>
              </w:rPr>
              <w:t>Clearance</w:t>
            </w:r>
          </w:p>
          <w:p w:rsidR="00AE32D7" w:rsidRPr="00993018"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(L/h)</w:t>
            </w:r>
          </w:p>
        </w:tc>
        <w:tc>
          <w:tcPr>
            <w:tcW w:w="2070"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Active Metabolites</w:t>
            </w:r>
          </w:p>
        </w:tc>
        <w:tc>
          <w:tcPr>
            <w:tcW w:w="1908" w:type="dxa"/>
            <w:shd w:val="clear" w:color="auto" w:fill="C0C0C0"/>
            <w:vAlign w:val="center"/>
          </w:tcPr>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Serum Half-Life</w:t>
            </w:r>
          </w:p>
          <w:p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r>
      <w:tr w:rsidR="00AE32D7" w:rsidRPr="00993018" w:rsidTr="006E62AB">
        <w:tc>
          <w:tcPr>
            <w:tcW w:w="1625" w:type="dxa"/>
            <w:vAlign w:val="center"/>
          </w:tcPr>
          <w:p w:rsidR="00AB10CC" w:rsidRDefault="00AB10CC" w:rsidP="00F9017C">
            <w:pPr>
              <w:spacing w:after="0" w:line="240" w:lineRule="auto"/>
              <w:rPr>
                <w:rFonts w:ascii="Arial" w:hAnsi="Arial" w:cs="Arial"/>
                <w:sz w:val="20"/>
                <w:szCs w:val="20"/>
              </w:rPr>
            </w:pPr>
            <w:r>
              <w:rPr>
                <w:rFonts w:ascii="Arial" w:hAnsi="Arial" w:cs="Arial"/>
                <w:sz w:val="20"/>
                <w:szCs w:val="20"/>
              </w:rPr>
              <w:t>Oxycodone/</w:t>
            </w:r>
          </w:p>
          <w:p w:rsidR="00AE32D7" w:rsidRPr="00993018" w:rsidRDefault="00AB10CC" w:rsidP="00F9017C">
            <w:pPr>
              <w:spacing w:after="0" w:line="240" w:lineRule="auto"/>
              <w:rPr>
                <w:rFonts w:ascii="Arial" w:hAnsi="Arial" w:cs="Arial"/>
                <w:sz w:val="20"/>
                <w:szCs w:val="20"/>
              </w:rPr>
            </w:pPr>
            <w:r>
              <w:rPr>
                <w:rFonts w:ascii="Arial" w:hAnsi="Arial" w:cs="Arial"/>
                <w:sz w:val="20"/>
                <w:szCs w:val="20"/>
              </w:rPr>
              <w:t>naltrexone</w:t>
            </w:r>
          </w:p>
        </w:tc>
        <w:tc>
          <w:tcPr>
            <w:tcW w:w="985" w:type="dxa"/>
            <w:vAlign w:val="center"/>
          </w:tcPr>
          <w:p w:rsidR="00AE32D7" w:rsidRPr="00993018" w:rsidRDefault="00AB10CC" w:rsidP="00F9017C">
            <w:pPr>
              <w:spacing w:after="0" w:line="240" w:lineRule="auto"/>
              <w:jc w:val="center"/>
              <w:rPr>
                <w:rFonts w:ascii="Arial" w:hAnsi="Arial" w:cs="Arial"/>
                <w:sz w:val="20"/>
                <w:szCs w:val="20"/>
              </w:rPr>
            </w:pPr>
            <w:r>
              <w:rPr>
                <w:rFonts w:ascii="Arial" w:hAnsi="Arial" w:cs="Arial"/>
                <w:sz w:val="20"/>
                <w:szCs w:val="20"/>
              </w:rPr>
              <w:t>12</w:t>
            </w:r>
          </w:p>
        </w:tc>
        <w:tc>
          <w:tcPr>
            <w:tcW w:w="1069" w:type="dxa"/>
            <w:vAlign w:val="center"/>
          </w:tcPr>
          <w:p w:rsidR="00AE32D7" w:rsidRPr="00993018" w:rsidRDefault="0050681F" w:rsidP="00F9017C">
            <w:pPr>
              <w:spacing w:after="0" w:line="240" w:lineRule="auto"/>
              <w:jc w:val="center"/>
              <w:rPr>
                <w:rFonts w:ascii="Arial" w:hAnsi="Arial" w:cs="Arial"/>
                <w:sz w:val="20"/>
                <w:szCs w:val="20"/>
              </w:rPr>
            </w:pPr>
            <w:r>
              <w:rPr>
                <w:rFonts w:ascii="Arial" w:hAnsi="Arial" w:cs="Arial"/>
                <w:sz w:val="20"/>
                <w:szCs w:val="20"/>
              </w:rPr>
              <w:t>12</w:t>
            </w:r>
          </w:p>
        </w:tc>
        <w:tc>
          <w:tcPr>
            <w:tcW w:w="1811" w:type="dxa"/>
            <w:vAlign w:val="center"/>
          </w:tcPr>
          <w:p w:rsidR="00AE32D7" w:rsidRDefault="00AB10CC" w:rsidP="00F9017C">
            <w:pPr>
              <w:spacing w:after="0" w:line="240" w:lineRule="auto"/>
              <w:jc w:val="center"/>
              <w:rPr>
                <w:rFonts w:ascii="Arial" w:hAnsi="Arial" w:cs="Arial"/>
                <w:sz w:val="20"/>
                <w:szCs w:val="20"/>
              </w:rPr>
            </w:pPr>
            <w:r>
              <w:rPr>
                <w:rFonts w:ascii="Arial" w:hAnsi="Arial" w:cs="Arial"/>
                <w:sz w:val="20"/>
                <w:szCs w:val="20"/>
              </w:rPr>
              <w:t>48 (oxycodone)</w:t>
            </w:r>
          </w:p>
          <w:p w:rsidR="00AB10CC" w:rsidRPr="00993018" w:rsidRDefault="00AB10CC" w:rsidP="00F9017C">
            <w:pPr>
              <w:spacing w:after="0" w:line="240" w:lineRule="auto"/>
              <w:jc w:val="center"/>
              <w:rPr>
                <w:rFonts w:ascii="Arial" w:hAnsi="Arial" w:cs="Arial"/>
                <w:sz w:val="20"/>
                <w:szCs w:val="20"/>
              </w:rPr>
            </w:pPr>
            <w:r>
              <w:rPr>
                <w:rFonts w:ascii="Arial" w:hAnsi="Arial" w:cs="Arial"/>
                <w:sz w:val="20"/>
                <w:szCs w:val="20"/>
              </w:rPr>
              <w:t>1.8 to 7.6 (naltrexone)</w:t>
            </w:r>
          </w:p>
        </w:tc>
        <w:tc>
          <w:tcPr>
            <w:tcW w:w="2070" w:type="dxa"/>
            <w:vAlign w:val="center"/>
          </w:tcPr>
          <w:p w:rsidR="00AE32D7" w:rsidRDefault="00AB10CC" w:rsidP="00C574FF">
            <w:pPr>
              <w:spacing w:after="0" w:line="240" w:lineRule="auto"/>
              <w:jc w:val="center"/>
              <w:rPr>
                <w:rFonts w:ascii="Arial" w:hAnsi="Arial" w:cs="Arial"/>
                <w:sz w:val="20"/>
                <w:szCs w:val="20"/>
              </w:rPr>
            </w:pPr>
            <w:proofErr w:type="spellStart"/>
            <w:r>
              <w:rPr>
                <w:rFonts w:ascii="Arial" w:hAnsi="Arial" w:cs="Arial"/>
                <w:sz w:val="20"/>
                <w:szCs w:val="20"/>
              </w:rPr>
              <w:t>Noroxycodone</w:t>
            </w:r>
            <w:proofErr w:type="spellEnd"/>
            <w:r>
              <w:rPr>
                <w:rFonts w:ascii="Arial" w:hAnsi="Arial" w:cs="Arial"/>
                <w:sz w:val="20"/>
                <w:szCs w:val="20"/>
              </w:rPr>
              <w:t xml:space="preserve">, </w:t>
            </w:r>
            <w:proofErr w:type="spellStart"/>
            <w:r>
              <w:rPr>
                <w:rFonts w:ascii="Arial" w:hAnsi="Arial" w:cs="Arial"/>
                <w:sz w:val="20"/>
                <w:szCs w:val="20"/>
              </w:rPr>
              <w:t>oxymorphone</w:t>
            </w:r>
            <w:proofErr w:type="spellEnd"/>
            <w:r w:rsidR="00DA4CF8">
              <w:rPr>
                <w:rFonts w:ascii="Arial" w:hAnsi="Arial" w:cs="Arial"/>
                <w:sz w:val="20"/>
                <w:szCs w:val="20"/>
              </w:rPr>
              <w:t xml:space="preserve">, </w:t>
            </w:r>
            <w:proofErr w:type="spellStart"/>
            <w:r w:rsidR="00DA4CF8">
              <w:rPr>
                <w:rFonts w:ascii="Arial" w:hAnsi="Arial" w:cs="Arial"/>
                <w:sz w:val="20"/>
                <w:szCs w:val="20"/>
              </w:rPr>
              <w:t>noroxymorphone</w:t>
            </w:r>
            <w:proofErr w:type="spellEnd"/>
            <w:r>
              <w:rPr>
                <w:rFonts w:ascii="Arial" w:hAnsi="Arial" w:cs="Arial"/>
                <w:sz w:val="20"/>
                <w:szCs w:val="20"/>
              </w:rPr>
              <w:t xml:space="preserve"> (oxycodone)</w:t>
            </w:r>
          </w:p>
          <w:p w:rsidR="00AB10CC" w:rsidRPr="00993018" w:rsidRDefault="00AB10CC" w:rsidP="00C574FF">
            <w:pPr>
              <w:spacing w:after="0" w:line="240" w:lineRule="auto"/>
              <w:jc w:val="center"/>
              <w:rPr>
                <w:rFonts w:ascii="Arial" w:hAnsi="Arial" w:cs="Arial"/>
                <w:sz w:val="20"/>
                <w:szCs w:val="20"/>
              </w:rPr>
            </w:pPr>
            <w:r>
              <w:rPr>
                <w:rFonts w:ascii="Arial" w:hAnsi="Arial" w:cs="Arial"/>
                <w:sz w:val="20"/>
                <w:szCs w:val="20"/>
              </w:rPr>
              <w:t>6-β-</w:t>
            </w:r>
            <w:proofErr w:type="spellStart"/>
            <w:r>
              <w:rPr>
                <w:rFonts w:ascii="Arial" w:hAnsi="Arial" w:cs="Arial"/>
                <w:sz w:val="20"/>
                <w:szCs w:val="20"/>
              </w:rPr>
              <w:t>naltrexol</w:t>
            </w:r>
            <w:proofErr w:type="spellEnd"/>
            <w:r>
              <w:rPr>
                <w:rFonts w:ascii="Arial" w:hAnsi="Arial" w:cs="Arial"/>
                <w:sz w:val="20"/>
                <w:szCs w:val="20"/>
              </w:rPr>
              <w:t xml:space="preserve"> (naltrexone)</w:t>
            </w:r>
          </w:p>
        </w:tc>
        <w:tc>
          <w:tcPr>
            <w:tcW w:w="1908" w:type="dxa"/>
            <w:vAlign w:val="center"/>
          </w:tcPr>
          <w:p w:rsidR="00AE32D7" w:rsidRDefault="00AB10CC" w:rsidP="00F9017C">
            <w:pPr>
              <w:spacing w:after="0" w:line="240" w:lineRule="auto"/>
              <w:jc w:val="center"/>
              <w:rPr>
                <w:rFonts w:ascii="Arial" w:hAnsi="Arial" w:cs="Arial"/>
                <w:sz w:val="20"/>
                <w:szCs w:val="20"/>
              </w:rPr>
            </w:pPr>
            <w:r>
              <w:rPr>
                <w:rFonts w:ascii="Arial" w:hAnsi="Arial" w:cs="Arial"/>
                <w:sz w:val="20"/>
                <w:szCs w:val="20"/>
              </w:rPr>
              <w:t>7.2 (oxycodone)</w:t>
            </w:r>
          </w:p>
          <w:p w:rsidR="00AB10CC" w:rsidRPr="00993018" w:rsidRDefault="00AB10CC" w:rsidP="00F9017C">
            <w:pPr>
              <w:spacing w:after="0" w:line="240" w:lineRule="auto"/>
              <w:jc w:val="center"/>
              <w:rPr>
                <w:rFonts w:ascii="Arial" w:hAnsi="Arial" w:cs="Arial"/>
                <w:sz w:val="20"/>
                <w:szCs w:val="20"/>
              </w:rPr>
            </w:pPr>
            <w:r>
              <w:rPr>
                <w:rFonts w:ascii="Arial" w:hAnsi="Arial" w:cs="Arial"/>
                <w:sz w:val="20"/>
                <w:szCs w:val="20"/>
              </w:rPr>
              <w:t>4.0 (naltrexone)</w:t>
            </w:r>
          </w:p>
        </w:tc>
      </w:tr>
    </w:tbl>
    <w:p w:rsidR="009D3713" w:rsidRDefault="009D3713" w:rsidP="00AE32D7">
      <w:pPr>
        <w:pStyle w:val="CommentText"/>
        <w:spacing w:after="0" w:line="240" w:lineRule="auto"/>
        <w:rPr>
          <w:rFonts w:ascii="Arial" w:hAnsi="Arial" w:cs="Arial"/>
          <w:b/>
          <w:u w:val="single"/>
        </w:rPr>
      </w:pPr>
    </w:p>
    <w:p w:rsidR="00AA5B5A" w:rsidRPr="001723DB" w:rsidRDefault="00AA5B5A" w:rsidP="00AE32D7">
      <w:pPr>
        <w:pStyle w:val="CommentText"/>
        <w:spacing w:after="0" w:line="240" w:lineRule="auto"/>
        <w:rPr>
          <w:rFonts w:ascii="Arial" w:hAnsi="Arial" w:cs="Arial"/>
          <w:b/>
          <w:u w:val="single"/>
        </w:rPr>
      </w:pPr>
      <w:r w:rsidRPr="001723DB">
        <w:rPr>
          <w:rFonts w:ascii="Arial" w:hAnsi="Arial" w:cs="Arial"/>
          <w:b/>
          <w:u w:val="single"/>
        </w:rPr>
        <w:t>Special Populations</w:t>
      </w:r>
    </w:p>
    <w:p w:rsidR="00AA5B5A" w:rsidRDefault="00AA5B5A" w:rsidP="00AE32D7">
      <w:pPr>
        <w:pStyle w:val="CommentText"/>
        <w:spacing w:after="0" w:line="240" w:lineRule="auto"/>
        <w:rPr>
          <w:rFonts w:ascii="Arial" w:hAnsi="Arial" w:cs="Arial"/>
          <w:color w:val="008000"/>
        </w:rPr>
      </w:pPr>
    </w:p>
    <w:p w:rsidR="00AA5B5A" w:rsidRPr="001723DB" w:rsidRDefault="00AA5B5A" w:rsidP="001723DB">
      <w:pPr>
        <w:pStyle w:val="CommentText"/>
        <w:spacing w:after="0"/>
        <w:rPr>
          <w:rFonts w:ascii="Arial" w:hAnsi="Arial" w:cs="Arial"/>
          <w:b/>
        </w:rPr>
      </w:pPr>
      <w:r w:rsidRPr="001723DB">
        <w:rPr>
          <w:rFonts w:ascii="Arial" w:hAnsi="Arial" w:cs="Arial"/>
          <w:b/>
        </w:rPr>
        <w:t>Table 4. Special Populations</w:t>
      </w:r>
      <w:r w:rsidR="006244F2">
        <w:rPr>
          <w:rFonts w:ascii="Arial" w:hAnsi="Arial" w:cs="Arial"/>
          <w:b/>
          <w:vertAlign w:val="superscript"/>
        </w:rPr>
        <w:t>1</w:t>
      </w:r>
      <w:r w:rsidRPr="001723DB">
        <w:rPr>
          <w:rFonts w:ascii="Arial" w:hAnsi="Arial" w:cs="Arial"/>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4780"/>
      </w:tblGrid>
      <w:tr w:rsidR="001723DB" w:rsidRPr="001723DB" w:rsidTr="00AA5B5A">
        <w:trPr>
          <w:trHeight w:val="287"/>
          <w:tblHeader/>
        </w:trPr>
        <w:tc>
          <w:tcPr>
            <w:tcW w:w="4680" w:type="dxa"/>
            <w:shd w:val="clear" w:color="auto" w:fill="C0C0C0"/>
            <w:vAlign w:val="center"/>
          </w:tcPr>
          <w:p w:rsidR="00AA5B5A" w:rsidRPr="001723DB" w:rsidRDefault="00AA5B5A" w:rsidP="001723DB">
            <w:pPr>
              <w:pStyle w:val="CommentText"/>
              <w:spacing w:after="0"/>
              <w:jc w:val="center"/>
              <w:rPr>
                <w:rFonts w:ascii="Arial" w:hAnsi="Arial" w:cs="Arial"/>
                <w:b/>
              </w:rPr>
            </w:pPr>
            <w:r w:rsidRPr="001723DB">
              <w:rPr>
                <w:rFonts w:ascii="Arial" w:hAnsi="Arial" w:cs="Arial"/>
                <w:b/>
              </w:rPr>
              <w:t>Population</w:t>
            </w:r>
          </w:p>
        </w:tc>
        <w:tc>
          <w:tcPr>
            <w:tcW w:w="4780" w:type="dxa"/>
            <w:shd w:val="clear" w:color="auto" w:fill="C0C0C0"/>
            <w:vAlign w:val="center"/>
          </w:tcPr>
          <w:p w:rsidR="00AA5B5A" w:rsidRPr="001723DB" w:rsidRDefault="00AA5B5A" w:rsidP="001723DB">
            <w:pPr>
              <w:pStyle w:val="CommentText"/>
              <w:spacing w:after="0"/>
              <w:jc w:val="center"/>
              <w:rPr>
                <w:rFonts w:ascii="Arial" w:hAnsi="Arial" w:cs="Arial"/>
                <w:b/>
              </w:rPr>
            </w:pPr>
            <w:r w:rsidRPr="001723DB">
              <w:rPr>
                <w:rFonts w:ascii="Arial" w:hAnsi="Arial" w:cs="Arial"/>
                <w:b/>
              </w:rPr>
              <w:t>Precaution</w:t>
            </w:r>
          </w:p>
        </w:tc>
      </w:tr>
      <w:tr w:rsidR="00D06D1D" w:rsidRPr="001723DB" w:rsidTr="00AA5B5A">
        <w:tc>
          <w:tcPr>
            <w:tcW w:w="4680" w:type="dxa"/>
          </w:tcPr>
          <w:p w:rsidR="00D06D1D" w:rsidRPr="001723DB" w:rsidRDefault="00D06D1D" w:rsidP="001723DB">
            <w:pPr>
              <w:pStyle w:val="CommentText"/>
              <w:spacing w:after="0"/>
              <w:rPr>
                <w:rFonts w:ascii="Arial" w:hAnsi="Arial" w:cs="Arial"/>
              </w:rPr>
            </w:pPr>
            <w:r w:rsidRPr="001723DB">
              <w:rPr>
                <w:rFonts w:ascii="Arial" w:hAnsi="Arial" w:cs="Arial"/>
              </w:rPr>
              <w:t>Elderly</w:t>
            </w:r>
          </w:p>
        </w:tc>
        <w:tc>
          <w:tcPr>
            <w:tcW w:w="4780" w:type="dxa"/>
          </w:tcPr>
          <w:p w:rsidR="00D06D1D" w:rsidRPr="001723DB" w:rsidRDefault="00D06D1D" w:rsidP="001F19B1">
            <w:pPr>
              <w:pStyle w:val="CommentText"/>
              <w:spacing w:after="0" w:line="240" w:lineRule="auto"/>
              <w:rPr>
                <w:rFonts w:ascii="Arial" w:hAnsi="Arial" w:cs="Arial"/>
              </w:rPr>
            </w:pPr>
            <w:r w:rsidRPr="004D455D">
              <w:rPr>
                <w:rFonts w:ascii="Arial" w:hAnsi="Arial" w:cs="Arial"/>
              </w:rPr>
              <w:t xml:space="preserve">No evidence of overall differences in safety or efficacy </w:t>
            </w:r>
            <w:r>
              <w:rPr>
                <w:rFonts w:ascii="Arial" w:hAnsi="Arial" w:cs="Arial"/>
              </w:rPr>
              <w:t xml:space="preserve">have been </w:t>
            </w:r>
            <w:r w:rsidRPr="004D455D">
              <w:rPr>
                <w:rFonts w:ascii="Arial" w:hAnsi="Arial" w:cs="Arial"/>
              </w:rPr>
              <w:t>observed between elderly and younger adult patients.</w:t>
            </w:r>
          </w:p>
        </w:tc>
      </w:tr>
      <w:tr w:rsidR="00D06D1D" w:rsidRPr="001723DB" w:rsidTr="00AA5B5A">
        <w:tc>
          <w:tcPr>
            <w:tcW w:w="4680" w:type="dxa"/>
          </w:tcPr>
          <w:p w:rsidR="00D06D1D" w:rsidRPr="001723DB" w:rsidRDefault="00D06D1D" w:rsidP="001723DB">
            <w:pPr>
              <w:pStyle w:val="CommentText"/>
              <w:spacing w:after="0"/>
              <w:rPr>
                <w:rFonts w:ascii="Arial" w:hAnsi="Arial" w:cs="Arial"/>
              </w:rPr>
            </w:pPr>
            <w:r w:rsidRPr="001723DB">
              <w:rPr>
                <w:rFonts w:ascii="Arial" w:hAnsi="Arial" w:cs="Arial"/>
              </w:rPr>
              <w:t>Renal Dysfunction</w:t>
            </w:r>
          </w:p>
        </w:tc>
        <w:tc>
          <w:tcPr>
            <w:tcW w:w="4780" w:type="dxa"/>
          </w:tcPr>
          <w:p w:rsidR="00D06D1D" w:rsidRPr="001723DB" w:rsidRDefault="00D06D1D" w:rsidP="001F19B1">
            <w:pPr>
              <w:pStyle w:val="CommentText"/>
              <w:spacing w:after="0" w:line="240" w:lineRule="auto"/>
              <w:rPr>
                <w:rFonts w:ascii="Arial" w:hAnsi="Arial" w:cs="Arial"/>
              </w:rPr>
            </w:pPr>
            <w:r w:rsidRPr="004D455D">
              <w:rPr>
                <w:rFonts w:ascii="Arial" w:hAnsi="Arial" w:cs="Arial"/>
              </w:rPr>
              <w:t xml:space="preserve">Dose initiation of </w:t>
            </w:r>
            <w:proofErr w:type="spellStart"/>
            <w:r w:rsidRPr="007B758F">
              <w:rPr>
                <w:rFonts w:ascii="Arial" w:hAnsi="Arial" w:cs="Arial"/>
              </w:rPr>
              <w:t>Troxyca</w:t>
            </w:r>
            <w:proofErr w:type="spellEnd"/>
            <w:r w:rsidRPr="007B758F">
              <w:rPr>
                <w:rFonts w:ascii="Arial" w:hAnsi="Arial" w:cs="Arial"/>
                <w:vertAlign w:val="superscript"/>
              </w:rPr>
              <w:t>®</w:t>
            </w:r>
            <w:r w:rsidRPr="007B758F">
              <w:rPr>
                <w:rFonts w:ascii="Arial" w:hAnsi="Arial" w:cs="Arial"/>
              </w:rPr>
              <w:t xml:space="preserve"> ER (oxycodone/naltrexone extended-release)</w:t>
            </w:r>
            <w:r w:rsidRPr="00662317">
              <w:rPr>
                <w:rFonts w:ascii="Arial" w:hAnsi="Arial" w:cs="Arial"/>
              </w:rPr>
              <w:t xml:space="preserve"> </w:t>
            </w:r>
            <w:r w:rsidRPr="004D455D">
              <w:rPr>
                <w:rFonts w:ascii="Arial" w:hAnsi="Arial" w:cs="Arial"/>
              </w:rPr>
              <w:t>should follow a conservative approach in patients with renal impairment,</w:t>
            </w:r>
            <w:r>
              <w:rPr>
                <w:rFonts w:ascii="Arial" w:hAnsi="Arial" w:cs="Arial"/>
              </w:rPr>
              <w:t xml:space="preserve"> as</w:t>
            </w:r>
            <w:r w:rsidRPr="004D455D">
              <w:rPr>
                <w:rFonts w:ascii="Arial" w:hAnsi="Arial" w:cs="Arial"/>
              </w:rPr>
              <w:t xml:space="preserve"> there is a potential for differential increase in naltrexone exposure compared to oxycodone exposure. </w:t>
            </w:r>
            <w:r>
              <w:rPr>
                <w:rFonts w:ascii="Arial" w:hAnsi="Arial" w:cs="Arial"/>
              </w:rPr>
              <w:t>When</w:t>
            </w:r>
            <w:r w:rsidRPr="004D455D">
              <w:rPr>
                <w:rFonts w:ascii="Arial" w:hAnsi="Arial" w:cs="Arial"/>
              </w:rPr>
              <w:t xml:space="preserve"> administering </w:t>
            </w:r>
            <w:proofErr w:type="spellStart"/>
            <w:r w:rsidRPr="00E21213">
              <w:rPr>
                <w:rFonts w:ascii="Arial" w:hAnsi="Arial" w:cs="Arial"/>
                <w:bCs/>
              </w:rPr>
              <w:t>Troxyca</w:t>
            </w:r>
            <w:proofErr w:type="spellEnd"/>
            <w:r>
              <w:rPr>
                <w:rFonts w:ascii="Arial" w:hAnsi="Arial" w:cs="Arial"/>
                <w:bCs/>
                <w:vertAlign w:val="superscript"/>
              </w:rPr>
              <w:t>®</w:t>
            </w:r>
            <w:r>
              <w:rPr>
                <w:rFonts w:ascii="Arial" w:hAnsi="Arial" w:cs="Arial"/>
              </w:rPr>
              <w:t xml:space="preserve"> ER (</w:t>
            </w:r>
            <w:r w:rsidRPr="007B758F">
              <w:rPr>
                <w:rFonts w:ascii="Arial" w:hAnsi="Arial" w:cs="Arial"/>
              </w:rPr>
              <w:t xml:space="preserve">oxycodone/naltrexone </w:t>
            </w:r>
            <w:r>
              <w:rPr>
                <w:rFonts w:ascii="Arial" w:hAnsi="Arial" w:cs="Arial"/>
                <w:bCs/>
              </w:rPr>
              <w:t>extended-release</w:t>
            </w:r>
            <w:r>
              <w:rPr>
                <w:rFonts w:ascii="Arial" w:hAnsi="Arial" w:cs="Arial"/>
              </w:rPr>
              <w:t xml:space="preserve">) </w:t>
            </w:r>
            <w:r w:rsidRPr="004D455D">
              <w:rPr>
                <w:rFonts w:ascii="Arial" w:hAnsi="Arial" w:cs="Arial"/>
              </w:rPr>
              <w:t xml:space="preserve">to patients with renal impairment, monitor patients closely for </w:t>
            </w:r>
            <w:r>
              <w:rPr>
                <w:rFonts w:ascii="Arial" w:hAnsi="Arial" w:cs="Arial"/>
              </w:rPr>
              <w:t xml:space="preserve">signs of central nervous system (CNS) </w:t>
            </w:r>
            <w:r w:rsidRPr="004D455D">
              <w:rPr>
                <w:rFonts w:ascii="Arial" w:hAnsi="Arial" w:cs="Arial"/>
              </w:rPr>
              <w:t>or respiratory depression due to elevated levels of oxycodone and for signs of withdrawal due to elevated levels of naltrexone and adjust the dose based on the clinical response.</w:t>
            </w:r>
            <w:r>
              <w:rPr>
                <w:rFonts w:ascii="Arial" w:hAnsi="Arial" w:cs="Arial"/>
              </w:rPr>
              <w:t xml:space="preserve"> Since naltrexone and its primary metabolite are primarily excreted in the urine, plasma concentrations may be increased in patients with renal impairment.</w:t>
            </w:r>
          </w:p>
        </w:tc>
      </w:tr>
      <w:tr w:rsidR="00D06D1D" w:rsidRPr="001723DB" w:rsidTr="00AA5B5A">
        <w:tc>
          <w:tcPr>
            <w:tcW w:w="4680" w:type="dxa"/>
          </w:tcPr>
          <w:p w:rsidR="00D06D1D" w:rsidRPr="001723DB" w:rsidRDefault="00D06D1D" w:rsidP="001723DB">
            <w:pPr>
              <w:pStyle w:val="CommentText"/>
              <w:spacing w:after="0"/>
              <w:rPr>
                <w:rFonts w:ascii="Arial" w:hAnsi="Arial" w:cs="Arial"/>
              </w:rPr>
            </w:pPr>
            <w:r w:rsidRPr="001723DB">
              <w:rPr>
                <w:rFonts w:ascii="Arial" w:hAnsi="Arial" w:cs="Arial"/>
              </w:rPr>
              <w:t>Hepatic Dysfunction</w:t>
            </w:r>
          </w:p>
        </w:tc>
        <w:tc>
          <w:tcPr>
            <w:tcW w:w="4780" w:type="dxa"/>
          </w:tcPr>
          <w:p w:rsidR="00D06D1D" w:rsidRPr="001723DB" w:rsidRDefault="00D06D1D" w:rsidP="001F19B1">
            <w:pPr>
              <w:pStyle w:val="CommentText"/>
              <w:spacing w:after="0" w:line="240" w:lineRule="auto"/>
              <w:rPr>
                <w:rFonts w:ascii="Arial" w:hAnsi="Arial" w:cs="Arial"/>
              </w:rPr>
            </w:pPr>
            <w:r w:rsidRPr="00A43703">
              <w:rPr>
                <w:rFonts w:ascii="Arial" w:hAnsi="Arial" w:cs="Arial"/>
              </w:rPr>
              <w:t xml:space="preserve">Dose initiation of </w:t>
            </w:r>
            <w:proofErr w:type="spellStart"/>
            <w:r w:rsidRPr="00E21213">
              <w:rPr>
                <w:rFonts w:ascii="Arial" w:hAnsi="Arial" w:cs="Arial"/>
                <w:bCs/>
              </w:rPr>
              <w:t>Troxyca</w:t>
            </w:r>
            <w:proofErr w:type="spellEnd"/>
            <w:r>
              <w:rPr>
                <w:rFonts w:ascii="Arial" w:hAnsi="Arial" w:cs="Arial"/>
                <w:bCs/>
                <w:vertAlign w:val="superscript"/>
              </w:rPr>
              <w:t>®</w:t>
            </w:r>
            <w:r w:rsidRPr="00A43703">
              <w:rPr>
                <w:rFonts w:ascii="Arial" w:hAnsi="Arial" w:cs="Arial"/>
              </w:rPr>
              <w:t xml:space="preserve"> ER (</w:t>
            </w:r>
            <w:r w:rsidRPr="007B758F">
              <w:rPr>
                <w:rFonts w:ascii="Arial" w:hAnsi="Arial" w:cs="Arial"/>
              </w:rPr>
              <w:t>oxycodone/naltrexone</w:t>
            </w:r>
            <w:r>
              <w:rPr>
                <w:rFonts w:ascii="Arial" w:hAnsi="Arial" w:cs="Arial"/>
                <w:bCs/>
              </w:rPr>
              <w:t xml:space="preserve"> extended-release</w:t>
            </w:r>
            <w:r w:rsidRPr="00A43703">
              <w:rPr>
                <w:rFonts w:ascii="Arial" w:hAnsi="Arial" w:cs="Arial"/>
              </w:rPr>
              <w:t>) should follow a conservative approach in patients with</w:t>
            </w:r>
            <w:r>
              <w:rPr>
                <w:rFonts w:ascii="Arial" w:hAnsi="Arial" w:cs="Arial"/>
              </w:rPr>
              <w:t xml:space="preserve"> hepatic impairment, as</w:t>
            </w:r>
            <w:r w:rsidRPr="004D455D">
              <w:rPr>
                <w:rFonts w:ascii="Arial" w:hAnsi="Arial" w:cs="Arial"/>
              </w:rPr>
              <w:t xml:space="preserve"> there is a potential for differential increase in naltrexone exposure</w:t>
            </w:r>
            <w:r>
              <w:rPr>
                <w:rFonts w:ascii="Arial" w:hAnsi="Arial" w:cs="Arial"/>
              </w:rPr>
              <w:t xml:space="preserve"> compared to oxycodone exposure. When</w:t>
            </w:r>
            <w:r w:rsidRPr="004D455D">
              <w:rPr>
                <w:rFonts w:ascii="Arial" w:hAnsi="Arial" w:cs="Arial"/>
              </w:rPr>
              <w:t xml:space="preserve"> administering </w:t>
            </w:r>
            <w:proofErr w:type="spellStart"/>
            <w:r w:rsidRPr="00E21213">
              <w:rPr>
                <w:rFonts w:ascii="Arial" w:hAnsi="Arial" w:cs="Arial"/>
                <w:bCs/>
              </w:rPr>
              <w:t>Troxyca</w:t>
            </w:r>
            <w:proofErr w:type="spellEnd"/>
            <w:r>
              <w:rPr>
                <w:rFonts w:ascii="Arial" w:hAnsi="Arial" w:cs="Arial"/>
                <w:bCs/>
                <w:vertAlign w:val="superscript"/>
              </w:rPr>
              <w:t>®</w:t>
            </w:r>
            <w:r>
              <w:rPr>
                <w:rFonts w:ascii="Arial" w:hAnsi="Arial" w:cs="Arial"/>
              </w:rPr>
              <w:t xml:space="preserve"> ER (</w:t>
            </w:r>
            <w:r w:rsidRPr="007B758F">
              <w:rPr>
                <w:rFonts w:ascii="Arial" w:hAnsi="Arial" w:cs="Arial"/>
              </w:rPr>
              <w:t xml:space="preserve">oxycodone/naltrexone </w:t>
            </w:r>
            <w:r>
              <w:rPr>
                <w:rFonts w:ascii="Arial" w:hAnsi="Arial" w:cs="Arial"/>
                <w:bCs/>
              </w:rPr>
              <w:t>extended-release</w:t>
            </w:r>
            <w:r>
              <w:rPr>
                <w:rFonts w:ascii="Arial" w:hAnsi="Arial" w:cs="Arial"/>
              </w:rPr>
              <w:t xml:space="preserve">) </w:t>
            </w:r>
            <w:r w:rsidRPr="004D455D">
              <w:rPr>
                <w:rFonts w:ascii="Arial" w:hAnsi="Arial" w:cs="Arial"/>
              </w:rPr>
              <w:t xml:space="preserve">to patients with </w:t>
            </w:r>
            <w:r>
              <w:rPr>
                <w:rFonts w:ascii="Arial" w:hAnsi="Arial" w:cs="Arial"/>
              </w:rPr>
              <w:t>hepatic</w:t>
            </w:r>
            <w:r w:rsidRPr="004D455D">
              <w:rPr>
                <w:rFonts w:ascii="Arial" w:hAnsi="Arial" w:cs="Arial"/>
              </w:rPr>
              <w:t xml:space="preserve"> impairment, monitor patients closely for signs of </w:t>
            </w:r>
            <w:r w:rsidRPr="00C31827">
              <w:rPr>
                <w:rFonts w:ascii="Arial" w:hAnsi="Arial" w:cs="Arial"/>
              </w:rPr>
              <w:t>CNS</w:t>
            </w:r>
            <w:r w:rsidRPr="004D455D">
              <w:rPr>
                <w:rFonts w:ascii="Arial" w:hAnsi="Arial" w:cs="Arial"/>
              </w:rPr>
              <w:t xml:space="preserve"> or respiratory depression due to elevated levels of oxycodone and for signs of withdrawal due to elevated levels of naltrexone and adjust the dose based on the clinical response.</w:t>
            </w:r>
            <w:r>
              <w:rPr>
                <w:rFonts w:ascii="Arial" w:hAnsi="Arial" w:cs="Arial"/>
              </w:rPr>
              <w:t xml:space="preserve"> O</w:t>
            </w:r>
            <w:r w:rsidRPr="004D455D">
              <w:rPr>
                <w:rFonts w:ascii="Arial" w:hAnsi="Arial" w:cs="Arial"/>
              </w:rPr>
              <w:t xml:space="preserve">xycodone is extensively metabolized </w:t>
            </w:r>
            <w:r>
              <w:rPr>
                <w:rFonts w:ascii="Arial" w:hAnsi="Arial" w:cs="Arial"/>
              </w:rPr>
              <w:t>by</w:t>
            </w:r>
            <w:r w:rsidRPr="004D455D">
              <w:rPr>
                <w:rFonts w:ascii="Arial" w:hAnsi="Arial" w:cs="Arial"/>
              </w:rPr>
              <w:t xml:space="preserve"> the liver, </w:t>
            </w:r>
            <w:r>
              <w:rPr>
                <w:rFonts w:ascii="Arial" w:hAnsi="Arial" w:cs="Arial"/>
              </w:rPr>
              <w:t xml:space="preserve">and </w:t>
            </w:r>
            <w:r w:rsidRPr="004D455D">
              <w:rPr>
                <w:rFonts w:ascii="Arial" w:hAnsi="Arial" w:cs="Arial"/>
              </w:rPr>
              <w:t>its clearance may decrease in patients with hepatic impairment.</w:t>
            </w:r>
            <w:r>
              <w:rPr>
                <w:rFonts w:ascii="Arial" w:hAnsi="Arial" w:cs="Arial"/>
              </w:rPr>
              <w:t xml:space="preserve"> An increase in naltrexone AUC has been reported in patients with compensated and decompensated cirrhosis compared to those with normal liver function. </w:t>
            </w:r>
          </w:p>
        </w:tc>
      </w:tr>
      <w:tr w:rsidR="00D06D1D" w:rsidRPr="001723DB" w:rsidTr="00AA5B5A">
        <w:tc>
          <w:tcPr>
            <w:tcW w:w="4680" w:type="dxa"/>
          </w:tcPr>
          <w:p w:rsidR="00D06D1D" w:rsidRPr="001723DB" w:rsidRDefault="00D06D1D" w:rsidP="00D06D1D">
            <w:pPr>
              <w:pStyle w:val="CommentText"/>
              <w:spacing w:after="0"/>
              <w:rPr>
                <w:rFonts w:ascii="Arial" w:hAnsi="Arial" w:cs="Arial"/>
              </w:rPr>
            </w:pPr>
            <w:r w:rsidRPr="001723DB">
              <w:rPr>
                <w:rFonts w:ascii="Arial" w:hAnsi="Arial" w:cs="Arial"/>
              </w:rPr>
              <w:t>Pregnancy/</w:t>
            </w:r>
            <w:r>
              <w:rPr>
                <w:rFonts w:ascii="Arial" w:hAnsi="Arial" w:cs="Arial"/>
              </w:rPr>
              <w:t>Lactation</w:t>
            </w:r>
          </w:p>
        </w:tc>
        <w:tc>
          <w:tcPr>
            <w:tcW w:w="4780" w:type="dxa"/>
          </w:tcPr>
          <w:p w:rsidR="00D06D1D" w:rsidRDefault="00D06D1D" w:rsidP="001F19B1">
            <w:pPr>
              <w:pStyle w:val="CommentText"/>
              <w:spacing w:after="0" w:line="240" w:lineRule="auto"/>
              <w:rPr>
                <w:rFonts w:ascii="Arial" w:hAnsi="Arial" w:cs="Arial"/>
              </w:rPr>
            </w:pPr>
            <w:r>
              <w:rPr>
                <w:rFonts w:ascii="Arial" w:hAnsi="Arial" w:cs="Arial"/>
              </w:rPr>
              <w:t xml:space="preserve">The prolonged use of opioids during pregnancy may result in physical dependence in the neonate and neonatal opioid withdrawal syndrome after birth. Opioids cross the placenta and may result in respiratory depression and psycho-physiologic effects in neonates. There are no data available for </w:t>
            </w:r>
            <w:proofErr w:type="spellStart"/>
            <w:r w:rsidRPr="00E21213">
              <w:rPr>
                <w:rFonts w:ascii="Arial" w:hAnsi="Arial" w:cs="Arial"/>
                <w:bCs/>
              </w:rPr>
              <w:t>Troxyca</w:t>
            </w:r>
            <w:proofErr w:type="spellEnd"/>
            <w:r>
              <w:rPr>
                <w:rFonts w:ascii="Arial" w:hAnsi="Arial" w:cs="Arial"/>
                <w:bCs/>
                <w:vertAlign w:val="superscript"/>
              </w:rPr>
              <w:t xml:space="preserve">® </w:t>
            </w:r>
            <w:r>
              <w:rPr>
                <w:rFonts w:ascii="Arial" w:hAnsi="Arial" w:cs="Arial"/>
              </w:rPr>
              <w:t>ER (</w:t>
            </w:r>
            <w:r w:rsidRPr="007B758F">
              <w:rPr>
                <w:rFonts w:ascii="Arial" w:hAnsi="Arial" w:cs="Arial"/>
              </w:rPr>
              <w:t xml:space="preserve">oxycodone/naltrexone </w:t>
            </w:r>
            <w:r>
              <w:rPr>
                <w:rFonts w:ascii="Arial" w:hAnsi="Arial" w:cs="Arial"/>
                <w:bCs/>
              </w:rPr>
              <w:t>extended-release</w:t>
            </w:r>
            <w:r>
              <w:rPr>
                <w:rFonts w:ascii="Arial" w:hAnsi="Arial" w:cs="Arial"/>
              </w:rPr>
              <w:t xml:space="preserve">) in pregnant women regarding potential for birth defects or miscarriage. The use of </w:t>
            </w:r>
            <w:proofErr w:type="spellStart"/>
            <w:r w:rsidRPr="00E21213">
              <w:rPr>
                <w:rFonts w:ascii="Arial" w:hAnsi="Arial" w:cs="Arial"/>
                <w:bCs/>
              </w:rPr>
              <w:t>Troxyca</w:t>
            </w:r>
            <w:proofErr w:type="spellEnd"/>
            <w:r>
              <w:rPr>
                <w:rFonts w:ascii="Arial" w:hAnsi="Arial" w:cs="Arial"/>
                <w:bCs/>
                <w:vertAlign w:val="superscript"/>
              </w:rPr>
              <w:t>®</w:t>
            </w:r>
            <w:r>
              <w:rPr>
                <w:rFonts w:ascii="Arial" w:hAnsi="Arial" w:cs="Arial"/>
              </w:rPr>
              <w:t xml:space="preserve"> ER (</w:t>
            </w:r>
            <w:r w:rsidRPr="007B758F">
              <w:rPr>
                <w:rFonts w:ascii="Arial" w:hAnsi="Arial" w:cs="Arial"/>
              </w:rPr>
              <w:t xml:space="preserve">oxycodone/naltrexone </w:t>
            </w:r>
            <w:r>
              <w:rPr>
                <w:rFonts w:ascii="Arial" w:hAnsi="Arial" w:cs="Arial"/>
                <w:bCs/>
              </w:rPr>
              <w:t>extended-release</w:t>
            </w:r>
            <w:r>
              <w:rPr>
                <w:rFonts w:ascii="Arial" w:hAnsi="Arial" w:cs="Arial"/>
              </w:rPr>
              <w:t xml:space="preserve">) is not recommended during and immediately prior to labor, when the use of shorter acting analgesics or other analgesic agents is more appropriate. </w:t>
            </w:r>
          </w:p>
          <w:p w:rsidR="00D06D1D" w:rsidRDefault="00D06D1D" w:rsidP="001F19B1">
            <w:pPr>
              <w:pStyle w:val="CommentText"/>
              <w:spacing w:after="0" w:line="240" w:lineRule="auto"/>
              <w:rPr>
                <w:rFonts w:ascii="Arial" w:hAnsi="Arial" w:cs="Arial"/>
              </w:rPr>
            </w:pPr>
          </w:p>
          <w:p w:rsidR="00D06D1D" w:rsidRPr="001723DB" w:rsidRDefault="00D06D1D" w:rsidP="001F19B1">
            <w:pPr>
              <w:pStyle w:val="CommentText"/>
              <w:spacing w:after="0" w:line="240" w:lineRule="auto"/>
              <w:rPr>
                <w:rFonts w:ascii="Arial" w:hAnsi="Arial" w:cs="Arial"/>
              </w:rPr>
            </w:pPr>
            <w:r>
              <w:rPr>
                <w:rFonts w:ascii="Arial" w:hAnsi="Arial" w:cs="Arial"/>
              </w:rPr>
              <w:t xml:space="preserve">Oxycodone is present in breast milk; lactation studies have not been conducted with extended-release formulations of oxycodone, including </w:t>
            </w:r>
            <w:proofErr w:type="spellStart"/>
            <w:r w:rsidRPr="00E21213">
              <w:rPr>
                <w:rFonts w:ascii="Arial" w:hAnsi="Arial" w:cs="Arial"/>
                <w:bCs/>
              </w:rPr>
              <w:t>Troxyca</w:t>
            </w:r>
            <w:proofErr w:type="spellEnd"/>
            <w:r>
              <w:rPr>
                <w:rFonts w:ascii="Arial" w:hAnsi="Arial" w:cs="Arial"/>
                <w:bCs/>
                <w:vertAlign w:val="superscript"/>
              </w:rPr>
              <w:t xml:space="preserve">® </w:t>
            </w:r>
            <w:r>
              <w:rPr>
                <w:rFonts w:ascii="Arial" w:hAnsi="Arial" w:cs="Arial"/>
              </w:rPr>
              <w:t>ER (</w:t>
            </w:r>
            <w:r w:rsidRPr="007B758F">
              <w:rPr>
                <w:rFonts w:ascii="Arial" w:hAnsi="Arial" w:cs="Arial"/>
              </w:rPr>
              <w:t xml:space="preserve">oxycodone/naltrexone </w:t>
            </w:r>
            <w:r>
              <w:rPr>
                <w:rFonts w:ascii="Arial" w:hAnsi="Arial" w:cs="Arial"/>
                <w:bCs/>
              </w:rPr>
              <w:t>extended-release</w:t>
            </w:r>
            <w:r>
              <w:rPr>
                <w:rFonts w:ascii="Arial" w:hAnsi="Arial" w:cs="Arial"/>
              </w:rPr>
              <w:t>).</w:t>
            </w:r>
          </w:p>
        </w:tc>
      </w:tr>
      <w:tr w:rsidR="00D06D1D" w:rsidRPr="001723DB" w:rsidTr="00AA5B5A">
        <w:tc>
          <w:tcPr>
            <w:tcW w:w="4680" w:type="dxa"/>
          </w:tcPr>
          <w:p w:rsidR="00D06D1D" w:rsidRPr="001723DB" w:rsidRDefault="00D06D1D" w:rsidP="001723DB">
            <w:pPr>
              <w:pStyle w:val="CommentText"/>
              <w:spacing w:after="0"/>
              <w:rPr>
                <w:rFonts w:ascii="Arial" w:hAnsi="Arial" w:cs="Arial"/>
              </w:rPr>
            </w:pPr>
            <w:r w:rsidRPr="001723DB">
              <w:rPr>
                <w:rFonts w:ascii="Arial" w:hAnsi="Arial" w:cs="Arial"/>
              </w:rPr>
              <w:t>Children</w:t>
            </w:r>
          </w:p>
        </w:tc>
        <w:tc>
          <w:tcPr>
            <w:tcW w:w="4780" w:type="dxa"/>
          </w:tcPr>
          <w:p w:rsidR="00D06D1D" w:rsidRPr="001723DB" w:rsidRDefault="00D06D1D" w:rsidP="001F19B1">
            <w:pPr>
              <w:pStyle w:val="CommentText"/>
              <w:spacing w:after="0" w:line="240" w:lineRule="auto"/>
              <w:rPr>
                <w:rFonts w:ascii="Arial" w:hAnsi="Arial" w:cs="Arial"/>
              </w:rPr>
            </w:pPr>
            <w:r w:rsidRPr="0004196E">
              <w:rPr>
                <w:rFonts w:ascii="Arial" w:hAnsi="Arial" w:cs="Arial"/>
              </w:rPr>
              <w:t>Safety and efficacy</w:t>
            </w:r>
            <w:r>
              <w:rPr>
                <w:rFonts w:ascii="Arial" w:hAnsi="Arial" w:cs="Arial"/>
              </w:rPr>
              <w:t xml:space="preserve"> of </w:t>
            </w:r>
            <w:proofErr w:type="spellStart"/>
            <w:r w:rsidRPr="00E21213">
              <w:rPr>
                <w:rFonts w:ascii="Arial" w:hAnsi="Arial" w:cs="Arial"/>
                <w:bCs/>
              </w:rPr>
              <w:t>Troxyca</w:t>
            </w:r>
            <w:proofErr w:type="spellEnd"/>
            <w:r>
              <w:rPr>
                <w:rFonts w:ascii="Arial" w:hAnsi="Arial" w:cs="Arial"/>
                <w:bCs/>
                <w:vertAlign w:val="superscript"/>
              </w:rPr>
              <w:t>®</w:t>
            </w:r>
            <w:r>
              <w:rPr>
                <w:rFonts w:ascii="Arial" w:hAnsi="Arial" w:cs="Arial"/>
              </w:rPr>
              <w:t xml:space="preserve"> ER (</w:t>
            </w:r>
            <w:r w:rsidRPr="007B758F">
              <w:rPr>
                <w:rFonts w:ascii="Arial" w:hAnsi="Arial" w:cs="Arial"/>
              </w:rPr>
              <w:t xml:space="preserve">oxycodone/naltrexone </w:t>
            </w:r>
            <w:r>
              <w:rPr>
                <w:rFonts w:ascii="Arial" w:hAnsi="Arial" w:cs="Arial"/>
                <w:bCs/>
              </w:rPr>
              <w:t>extended-release</w:t>
            </w:r>
            <w:r>
              <w:rPr>
                <w:rFonts w:ascii="Arial" w:hAnsi="Arial" w:cs="Arial"/>
              </w:rPr>
              <w:t>)</w:t>
            </w:r>
            <w:r w:rsidRPr="0004196E">
              <w:rPr>
                <w:rFonts w:ascii="Arial" w:hAnsi="Arial" w:cs="Arial"/>
              </w:rPr>
              <w:t xml:space="preserve"> have not been established</w:t>
            </w:r>
            <w:r>
              <w:rPr>
                <w:rFonts w:ascii="Arial" w:hAnsi="Arial" w:cs="Arial"/>
              </w:rPr>
              <w:t xml:space="preserve"> in patients below the age of 18 years</w:t>
            </w:r>
            <w:r w:rsidRPr="0004196E">
              <w:rPr>
                <w:rFonts w:ascii="Arial" w:hAnsi="Arial" w:cs="Arial"/>
              </w:rPr>
              <w:t>.</w:t>
            </w:r>
          </w:p>
        </w:tc>
      </w:tr>
      <w:tr w:rsidR="001723DB" w:rsidRPr="001723DB" w:rsidTr="00AA5B5A">
        <w:tc>
          <w:tcPr>
            <w:tcW w:w="4680" w:type="dxa"/>
          </w:tcPr>
          <w:p w:rsidR="00364EDE" w:rsidRPr="001723DB" w:rsidRDefault="00364EDE" w:rsidP="00AA5B5A">
            <w:pPr>
              <w:pStyle w:val="CommentText"/>
              <w:spacing w:after="0"/>
              <w:rPr>
                <w:rFonts w:ascii="Arial" w:hAnsi="Arial" w:cs="Arial"/>
              </w:rPr>
            </w:pPr>
            <w:r w:rsidRPr="001723DB">
              <w:rPr>
                <w:rFonts w:ascii="Arial" w:hAnsi="Arial" w:cs="Arial"/>
              </w:rPr>
              <w:t>Gender/Race</w:t>
            </w:r>
          </w:p>
        </w:tc>
        <w:tc>
          <w:tcPr>
            <w:tcW w:w="4780" w:type="dxa"/>
          </w:tcPr>
          <w:p w:rsidR="00364EDE" w:rsidRPr="001723DB" w:rsidRDefault="00D06D1D" w:rsidP="001F19B1">
            <w:pPr>
              <w:pStyle w:val="CommentText"/>
              <w:spacing w:after="0" w:line="240" w:lineRule="auto"/>
              <w:rPr>
                <w:rFonts w:ascii="Arial" w:hAnsi="Arial" w:cs="Arial"/>
              </w:rPr>
            </w:pPr>
            <w:r w:rsidRPr="00D06D1D">
              <w:rPr>
                <w:rFonts w:ascii="Arial" w:hAnsi="Arial" w:cs="Arial"/>
              </w:rPr>
              <w:t xml:space="preserve">There are no clinically significant differences in oxycodone pharmacokinetics following oral administration of </w:t>
            </w:r>
            <w:proofErr w:type="spellStart"/>
            <w:r w:rsidRPr="00E21213">
              <w:rPr>
                <w:rFonts w:ascii="Arial" w:hAnsi="Arial" w:cs="Arial"/>
                <w:bCs/>
              </w:rPr>
              <w:t>Troxyca</w:t>
            </w:r>
            <w:proofErr w:type="spellEnd"/>
            <w:r>
              <w:rPr>
                <w:rFonts w:ascii="Arial" w:hAnsi="Arial" w:cs="Arial"/>
                <w:bCs/>
                <w:vertAlign w:val="superscript"/>
              </w:rPr>
              <w:t>®</w:t>
            </w:r>
            <w:r>
              <w:rPr>
                <w:rFonts w:ascii="Arial" w:hAnsi="Arial" w:cs="Arial"/>
              </w:rPr>
              <w:t xml:space="preserve"> ER (</w:t>
            </w:r>
            <w:r w:rsidRPr="007B758F">
              <w:rPr>
                <w:rFonts w:ascii="Arial" w:hAnsi="Arial" w:cs="Arial"/>
              </w:rPr>
              <w:t xml:space="preserve">oxycodone/naltrexone </w:t>
            </w:r>
            <w:r>
              <w:rPr>
                <w:rFonts w:ascii="Arial" w:hAnsi="Arial" w:cs="Arial"/>
                <w:bCs/>
              </w:rPr>
              <w:t>extended-release</w:t>
            </w:r>
            <w:r>
              <w:rPr>
                <w:rFonts w:ascii="Arial" w:hAnsi="Arial" w:cs="Arial"/>
              </w:rPr>
              <w:t>)</w:t>
            </w:r>
            <w:r w:rsidRPr="0004196E">
              <w:rPr>
                <w:rFonts w:ascii="Arial" w:hAnsi="Arial" w:cs="Arial"/>
              </w:rPr>
              <w:t xml:space="preserve"> </w:t>
            </w:r>
            <w:r>
              <w:rPr>
                <w:rFonts w:ascii="Arial" w:hAnsi="Arial" w:cs="Arial"/>
              </w:rPr>
              <w:t>to males or females. N</w:t>
            </w:r>
            <w:r w:rsidRPr="00D06D1D">
              <w:rPr>
                <w:rFonts w:ascii="Arial" w:hAnsi="Arial" w:cs="Arial"/>
              </w:rPr>
              <w:t xml:space="preserve">o specific dosage adjustment is recommended for the initiation or maintenance of </w:t>
            </w:r>
            <w:proofErr w:type="spellStart"/>
            <w:r w:rsidRPr="00E21213">
              <w:rPr>
                <w:rFonts w:ascii="Arial" w:hAnsi="Arial" w:cs="Arial"/>
                <w:bCs/>
              </w:rPr>
              <w:t>Troxyca</w:t>
            </w:r>
            <w:proofErr w:type="spellEnd"/>
            <w:r>
              <w:rPr>
                <w:rFonts w:ascii="Arial" w:hAnsi="Arial" w:cs="Arial"/>
                <w:bCs/>
                <w:vertAlign w:val="superscript"/>
              </w:rPr>
              <w:t>®</w:t>
            </w:r>
            <w:r>
              <w:rPr>
                <w:rFonts w:ascii="Arial" w:hAnsi="Arial" w:cs="Arial"/>
              </w:rPr>
              <w:t xml:space="preserve"> ER (</w:t>
            </w:r>
            <w:r w:rsidRPr="007B758F">
              <w:rPr>
                <w:rFonts w:ascii="Arial" w:hAnsi="Arial" w:cs="Arial"/>
              </w:rPr>
              <w:t xml:space="preserve">oxycodone/naltrexone </w:t>
            </w:r>
            <w:r>
              <w:rPr>
                <w:rFonts w:ascii="Arial" w:hAnsi="Arial" w:cs="Arial"/>
                <w:bCs/>
              </w:rPr>
              <w:t>extended-release</w:t>
            </w:r>
            <w:r>
              <w:rPr>
                <w:rFonts w:ascii="Arial" w:hAnsi="Arial" w:cs="Arial"/>
              </w:rPr>
              <w:t>)</w:t>
            </w:r>
            <w:r w:rsidRPr="0004196E">
              <w:rPr>
                <w:rFonts w:ascii="Arial" w:hAnsi="Arial" w:cs="Arial"/>
              </w:rPr>
              <w:t xml:space="preserve"> </w:t>
            </w:r>
            <w:r w:rsidRPr="00D06D1D">
              <w:rPr>
                <w:rFonts w:ascii="Arial" w:hAnsi="Arial" w:cs="Arial"/>
              </w:rPr>
              <w:t>doses based on the sex of the patient</w:t>
            </w:r>
            <w:r>
              <w:rPr>
                <w:rFonts w:ascii="Arial" w:hAnsi="Arial" w:cs="Arial"/>
              </w:rPr>
              <w:t>.</w:t>
            </w:r>
          </w:p>
        </w:tc>
      </w:tr>
    </w:tbl>
    <w:p w:rsidR="00AA5B5A" w:rsidRPr="001723DB" w:rsidRDefault="00AA5B5A" w:rsidP="00AE32D7">
      <w:pPr>
        <w:pStyle w:val="CommentText"/>
        <w:spacing w:after="0" w:line="240" w:lineRule="auto"/>
        <w:rPr>
          <w:rFonts w:ascii="Arial" w:hAnsi="Arial" w:cs="Arial"/>
          <w:color w:val="008000"/>
        </w:rPr>
      </w:pPr>
    </w:p>
    <w:p w:rsidR="00793E3B" w:rsidRPr="0044122B" w:rsidRDefault="00793E3B" w:rsidP="00793E3B">
      <w:pPr>
        <w:pStyle w:val="NoSpacing"/>
        <w:rPr>
          <w:rFonts w:ascii="Arial" w:hAnsi="Arial" w:cs="Arial"/>
          <w:b/>
          <w:sz w:val="20"/>
          <w:szCs w:val="20"/>
          <w:u w:val="single"/>
        </w:rPr>
      </w:pPr>
      <w:bookmarkStart w:id="2" w:name="DosageAdministration"/>
      <w:r w:rsidRPr="0044122B">
        <w:rPr>
          <w:rFonts w:ascii="Arial" w:hAnsi="Arial" w:cs="Arial"/>
          <w:b/>
          <w:sz w:val="20"/>
          <w:szCs w:val="20"/>
          <w:u w:val="single"/>
        </w:rPr>
        <w:t xml:space="preserve">Dosage </w:t>
      </w:r>
      <w:r w:rsidR="005732F0">
        <w:rPr>
          <w:rFonts w:ascii="Arial" w:hAnsi="Arial" w:cs="Arial"/>
          <w:b/>
          <w:sz w:val="20"/>
          <w:szCs w:val="20"/>
          <w:u w:val="single"/>
        </w:rPr>
        <w:t>Forms</w:t>
      </w:r>
    </w:p>
    <w:bookmarkEnd w:id="2"/>
    <w:p w:rsidR="00373B99" w:rsidRPr="0044122B" w:rsidRDefault="00373B99" w:rsidP="00793E3B">
      <w:pPr>
        <w:pStyle w:val="NoSpacing"/>
        <w:rPr>
          <w:rFonts w:ascii="Arial" w:hAnsi="Arial" w:cs="Arial"/>
          <w:color w:val="0000FF"/>
          <w:sz w:val="20"/>
          <w:szCs w:val="20"/>
        </w:rPr>
      </w:pPr>
    </w:p>
    <w:p w:rsidR="00793E3B" w:rsidRPr="00AC29F5" w:rsidRDefault="00793E3B" w:rsidP="00793E3B">
      <w:pPr>
        <w:spacing w:after="0" w:line="240" w:lineRule="auto"/>
        <w:rPr>
          <w:rFonts w:ascii="Arial" w:hAnsi="Arial" w:cs="Arial"/>
          <w:bCs/>
          <w:sz w:val="20"/>
          <w:szCs w:val="20"/>
          <w:vertAlign w:val="superscript"/>
        </w:rPr>
      </w:pPr>
      <w:r w:rsidRPr="0044122B">
        <w:rPr>
          <w:rFonts w:ascii="Arial" w:hAnsi="Arial" w:cs="Arial"/>
          <w:b/>
          <w:sz w:val="20"/>
          <w:szCs w:val="20"/>
        </w:rPr>
        <w:t xml:space="preserve">Table </w:t>
      </w:r>
      <w:r w:rsidR="00364EDE">
        <w:rPr>
          <w:rFonts w:ascii="Arial" w:hAnsi="Arial" w:cs="Arial"/>
          <w:b/>
          <w:sz w:val="20"/>
          <w:szCs w:val="20"/>
        </w:rPr>
        <w:t>5</w:t>
      </w:r>
      <w:r w:rsidR="005732F0">
        <w:rPr>
          <w:rFonts w:ascii="Arial" w:hAnsi="Arial" w:cs="Arial"/>
          <w:b/>
          <w:sz w:val="20"/>
          <w:szCs w:val="20"/>
        </w:rPr>
        <w:t>. Availability, Storage and Handling</w:t>
      </w:r>
      <w:r w:rsidR="00AC29F5">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080"/>
        <w:gridCol w:w="3190"/>
      </w:tblGrid>
      <w:tr w:rsidR="00793E3B" w:rsidRPr="0044122B" w:rsidTr="00F9017C">
        <w:trPr>
          <w:tblHeader/>
        </w:trPr>
        <w:tc>
          <w:tcPr>
            <w:tcW w:w="3190" w:type="dxa"/>
            <w:tcBorders>
              <w:bottom w:val="single" w:sz="4" w:space="0" w:color="000000"/>
            </w:tcBorders>
            <w:shd w:val="clear" w:color="auto" w:fill="C0C0C0"/>
            <w:vAlign w:val="center"/>
          </w:tcPr>
          <w:p w:rsidR="00793E3B" w:rsidRPr="0044122B" w:rsidRDefault="001861F2" w:rsidP="00F9017C">
            <w:pPr>
              <w:pStyle w:val="NoSpacing"/>
              <w:jc w:val="center"/>
              <w:rPr>
                <w:rFonts w:ascii="Arial" w:hAnsi="Arial" w:cs="Arial"/>
                <w:b/>
                <w:sz w:val="20"/>
                <w:szCs w:val="20"/>
              </w:rPr>
            </w:pPr>
            <w:r>
              <w:rPr>
                <w:rFonts w:ascii="Arial" w:hAnsi="Arial" w:cs="Arial"/>
                <w:b/>
                <w:sz w:val="20"/>
                <w:szCs w:val="20"/>
              </w:rPr>
              <w:t>Dosage Form</w:t>
            </w:r>
          </w:p>
        </w:tc>
        <w:tc>
          <w:tcPr>
            <w:tcW w:w="3080" w:type="dxa"/>
            <w:tcBorders>
              <w:bottom w:val="single" w:sz="4" w:space="0" w:color="000000"/>
            </w:tcBorders>
            <w:shd w:val="clear" w:color="auto" w:fill="C0C0C0"/>
            <w:vAlign w:val="center"/>
          </w:tcPr>
          <w:p w:rsidR="00793E3B" w:rsidRPr="0044122B" w:rsidRDefault="001861F2" w:rsidP="00F9017C">
            <w:pPr>
              <w:pStyle w:val="NoSpacing"/>
              <w:jc w:val="center"/>
              <w:rPr>
                <w:rFonts w:ascii="Arial" w:hAnsi="Arial" w:cs="Arial"/>
                <w:b/>
                <w:sz w:val="20"/>
                <w:szCs w:val="20"/>
              </w:rPr>
            </w:pPr>
            <w:r>
              <w:rPr>
                <w:rFonts w:ascii="Arial" w:hAnsi="Arial" w:cs="Arial"/>
                <w:b/>
                <w:sz w:val="20"/>
                <w:szCs w:val="20"/>
              </w:rPr>
              <w:t>Strength</w:t>
            </w:r>
          </w:p>
        </w:tc>
        <w:tc>
          <w:tcPr>
            <w:tcW w:w="3190" w:type="dxa"/>
            <w:tcBorders>
              <w:bottom w:val="single" w:sz="4" w:space="0" w:color="000000"/>
            </w:tcBorders>
            <w:shd w:val="clear" w:color="auto" w:fill="C0C0C0"/>
            <w:vAlign w:val="center"/>
          </w:tcPr>
          <w:p w:rsidR="00793E3B" w:rsidRPr="0044122B" w:rsidRDefault="005732F0" w:rsidP="00F9017C">
            <w:pPr>
              <w:pStyle w:val="NoSpacing"/>
              <w:jc w:val="center"/>
              <w:rPr>
                <w:rFonts w:ascii="Arial" w:hAnsi="Arial" w:cs="Arial"/>
                <w:b/>
                <w:sz w:val="20"/>
                <w:szCs w:val="20"/>
              </w:rPr>
            </w:pPr>
            <w:r>
              <w:rPr>
                <w:rFonts w:ascii="Arial" w:hAnsi="Arial" w:cs="Arial"/>
                <w:b/>
                <w:sz w:val="20"/>
                <w:szCs w:val="20"/>
              </w:rPr>
              <w:t>Special Handling</w:t>
            </w:r>
            <w:r w:rsidR="001861F2">
              <w:rPr>
                <w:rFonts w:ascii="Arial" w:hAnsi="Arial" w:cs="Arial"/>
                <w:b/>
                <w:sz w:val="20"/>
                <w:szCs w:val="20"/>
              </w:rPr>
              <w:t xml:space="preserve"> or Storage</w:t>
            </w:r>
          </w:p>
        </w:tc>
      </w:tr>
      <w:tr w:rsidR="00793E3B" w:rsidRPr="0044122B" w:rsidTr="00F9017C">
        <w:tc>
          <w:tcPr>
            <w:tcW w:w="3190" w:type="dxa"/>
          </w:tcPr>
          <w:p w:rsidR="00793E3B" w:rsidRPr="004D5C46" w:rsidRDefault="006069A2" w:rsidP="006D6556">
            <w:pPr>
              <w:spacing w:after="0" w:line="240" w:lineRule="auto"/>
              <w:rPr>
                <w:rFonts w:ascii="Arial" w:hAnsi="Arial" w:cs="Arial"/>
                <w:sz w:val="20"/>
                <w:szCs w:val="20"/>
              </w:rPr>
            </w:pPr>
            <w:r>
              <w:rPr>
                <w:rFonts w:ascii="Arial" w:hAnsi="Arial" w:cs="Arial"/>
                <w:sz w:val="20"/>
                <w:szCs w:val="20"/>
              </w:rPr>
              <w:t>Extended-release capsule</w:t>
            </w:r>
          </w:p>
        </w:tc>
        <w:tc>
          <w:tcPr>
            <w:tcW w:w="3080" w:type="dxa"/>
          </w:tcPr>
          <w:p w:rsidR="006069A2" w:rsidRPr="006069A2" w:rsidRDefault="006069A2" w:rsidP="006069A2">
            <w:pPr>
              <w:pStyle w:val="NoSpacing"/>
              <w:jc w:val="center"/>
              <w:rPr>
                <w:rFonts w:ascii="Arial" w:hAnsi="Arial" w:cs="Arial"/>
                <w:sz w:val="20"/>
                <w:szCs w:val="20"/>
              </w:rPr>
            </w:pPr>
            <w:r w:rsidRPr="006069A2">
              <w:rPr>
                <w:rFonts w:ascii="Arial" w:hAnsi="Arial" w:cs="Arial"/>
                <w:sz w:val="20"/>
                <w:szCs w:val="20"/>
              </w:rPr>
              <w:t>10 mg/1.2 mg</w:t>
            </w:r>
          </w:p>
          <w:p w:rsidR="006069A2" w:rsidRPr="006069A2" w:rsidRDefault="006069A2" w:rsidP="006069A2">
            <w:pPr>
              <w:pStyle w:val="NoSpacing"/>
              <w:jc w:val="center"/>
              <w:rPr>
                <w:rFonts w:ascii="Arial" w:hAnsi="Arial" w:cs="Arial"/>
                <w:sz w:val="20"/>
                <w:szCs w:val="20"/>
              </w:rPr>
            </w:pPr>
            <w:r w:rsidRPr="006069A2">
              <w:rPr>
                <w:rFonts w:ascii="Arial" w:hAnsi="Arial" w:cs="Arial"/>
                <w:sz w:val="20"/>
                <w:szCs w:val="20"/>
              </w:rPr>
              <w:t>20 mg/2.4 mg</w:t>
            </w:r>
          </w:p>
          <w:p w:rsidR="006069A2" w:rsidRPr="006069A2" w:rsidRDefault="006069A2" w:rsidP="006069A2">
            <w:pPr>
              <w:pStyle w:val="NoSpacing"/>
              <w:jc w:val="center"/>
              <w:rPr>
                <w:rFonts w:ascii="Arial" w:hAnsi="Arial" w:cs="Arial"/>
                <w:sz w:val="20"/>
                <w:szCs w:val="20"/>
              </w:rPr>
            </w:pPr>
            <w:r w:rsidRPr="006069A2">
              <w:rPr>
                <w:rFonts w:ascii="Arial" w:hAnsi="Arial" w:cs="Arial"/>
                <w:sz w:val="20"/>
                <w:szCs w:val="20"/>
              </w:rPr>
              <w:t>30 mg/3.6 mg</w:t>
            </w:r>
          </w:p>
          <w:p w:rsidR="006069A2" w:rsidRPr="006069A2" w:rsidRDefault="006069A2" w:rsidP="006069A2">
            <w:pPr>
              <w:pStyle w:val="NoSpacing"/>
              <w:jc w:val="center"/>
              <w:rPr>
                <w:rFonts w:ascii="Arial" w:hAnsi="Arial" w:cs="Arial"/>
                <w:sz w:val="20"/>
                <w:szCs w:val="20"/>
              </w:rPr>
            </w:pPr>
            <w:r w:rsidRPr="006069A2">
              <w:rPr>
                <w:rFonts w:ascii="Arial" w:hAnsi="Arial" w:cs="Arial"/>
                <w:sz w:val="20"/>
                <w:szCs w:val="20"/>
              </w:rPr>
              <w:t>40 mg/4.8 mg</w:t>
            </w:r>
          </w:p>
          <w:p w:rsidR="006069A2" w:rsidRPr="006069A2" w:rsidRDefault="006069A2" w:rsidP="006069A2">
            <w:pPr>
              <w:pStyle w:val="NoSpacing"/>
              <w:jc w:val="center"/>
              <w:rPr>
                <w:rFonts w:ascii="Arial" w:hAnsi="Arial" w:cs="Arial"/>
                <w:sz w:val="20"/>
                <w:szCs w:val="20"/>
              </w:rPr>
            </w:pPr>
            <w:r w:rsidRPr="006069A2">
              <w:rPr>
                <w:rFonts w:ascii="Arial" w:hAnsi="Arial" w:cs="Arial"/>
                <w:sz w:val="20"/>
                <w:szCs w:val="20"/>
              </w:rPr>
              <w:t>60 mg/7.2 mg</w:t>
            </w:r>
          </w:p>
          <w:p w:rsidR="00793E3B" w:rsidRPr="0044122B" w:rsidRDefault="006069A2" w:rsidP="006069A2">
            <w:pPr>
              <w:pStyle w:val="NoSpacing"/>
              <w:jc w:val="center"/>
              <w:rPr>
                <w:rFonts w:ascii="Arial" w:hAnsi="Arial" w:cs="Arial"/>
                <w:i/>
                <w:sz w:val="20"/>
                <w:szCs w:val="20"/>
              </w:rPr>
            </w:pPr>
            <w:r w:rsidRPr="006069A2">
              <w:rPr>
                <w:rFonts w:ascii="Arial" w:hAnsi="Arial" w:cs="Arial"/>
                <w:sz w:val="20"/>
                <w:szCs w:val="20"/>
              </w:rPr>
              <w:t>80 mg/9.6 mg</w:t>
            </w:r>
            <w:r w:rsidR="001861F2" w:rsidDel="001861F2">
              <w:rPr>
                <w:rFonts w:ascii="Arial" w:hAnsi="Arial" w:cs="Arial"/>
                <w:sz w:val="20"/>
                <w:szCs w:val="20"/>
              </w:rPr>
              <w:t xml:space="preserve"> </w:t>
            </w:r>
          </w:p>
        </w:tc>
        <w:tc>
          <w:tcPr>
            <w:tcW w:w="3190" w:type="dxa"/>
          </w:tcPr>
          <w:p w:rsidR="00793E3B" w:rsidRDefault="00BB7CAE" w:rsidP="00BB7CAE">
            <w:pPr>
              <w:pStyle w:val="NoSpacing"/>
              <w:rPr>
                <w:rFonts w:ascii="Arial" w:hAnsi="Arial" w:cs="Arial"/>
                <w:sz w:val="20"/>
                <w:szCs w:val="20"/>
              </w:rPr>
            </w:pPr>
            <w:r w:rsidRPr="00BB7CAE">
              <w:rPr>
                <w:rFonts w:ascii="Arial" w:hAnsi="Arial" w:cs="Arial"/>
                <w:sz w:val="20"/>
                <w:szCs w:val="20"/>
              </w:rPr>
              <w:t>Store at 25°C (77°F); excursions between 15° and 30°C (59° and 86°F)</w:t>
            </w:r>
            <w:r>
              <w:rPr>
                <w:rFonts w:ascii="Arial" w:hAnsi="Arial" w:cs="Arial"/>
                <w:sz w:val="20"/>
                <w:szCs w:val="20"/>
              </w:rPr>
              <w:t xml:space="preserve"> are permitted.</w:t>
            </w:r>
          </w:p>
          <w:p w:rsidR="00BB7CAE" w:rsidRDefault="00BB7CAE" w:rsidP="00BB7CAE">
            <w:pPr>
              <w:pStyle w:val="NoSpacing"/>
              <w:rPr>
                <w:rFonts w:ascii="Arial" w:hAnsi="Arial" w:cs="Arial"/>
                <w:sz w:val="20"/>
                <w:szCs w:val="20"/>
              </w:rPr>
            </w:pPr>
          </w:p>
          <w:p w:rsidR="00BB7CAE" w:rsidRPr="0039388F" w:rsidRDefault="00BB7CAE" w:rsidP="00BB7CAE">
            <w:pPr>
              <w:pStyle w:val="NoSpacing"/>
              <w:rPr>
                <w:rFonts w:ascii="Arial" w:hAnsi="Arial" w:cs="Arial"/>
                <w:sz w:val="20"/>
                <w:szCs w:val="20"/>
              </w:rPr>
            </w:pPr>
            <w:r>
              <w:rPr>
                <w:rFonts w:ascii="Arial" w:hAnsi="Arial" w:cs="Arial"/>
                <w:sz w:val="20"/>
                <w:szCs w:val="20"/>
              </w:rPr>
              <w:t>Dispense and store in tight, light-resistant container with child-resistant closure.</w:t>
            </w:r>
          </w:p>
        </w:tc>
      </w:tr>
    </w:tbl>
    <w:p w:rsidR="00793E3B" w:rsidRDefault="00793E3B" w:rsidP="004920E8">
      <w:pPr>
        <w:pStyle w:val="BodyTextIndent"/>
        <w:ind w:left="0"/>
        <w:rPr>
          <w:rFonts w:ascii="Arial" w:hAnsi="Arial" w:cs="Arial"/>
          <w:b/>
          <w:u w:val="single"/>
        </w:rPr>
      </w:pPr>
    </w:p>
    <w:p w:rsidR="005732F0" w:rsidRDefault="005732F0" w:rsidP="004920E8">
      <w:pPr>
        <w:pStyle w:val="BodyTextIndent"/>
        <w:ind w:left="0"/>
        <w:rPr>
          <w:rFonts w:ascii="Arial" w:hAnsi="Arial" w:cs="Arial"/>
          <w:b/>
          <w:u w:val="single"/>
        </w:rPr>
      </w:pPr>
      <w:r>
        <w:rPr>
          <w:rFonts w:ascii="Arial" w:hAnsi="Arial" w:cs="Arial"/>
          <w:b/>
          <w:u w:val="single"/>
        </w:rPr>
        <w:t>Dosage Range</w:t>
      </w:r>
    </w:p>
    <w:p w:rsidR="001417E9" w:rsidRDefault="001417E9" w:rsidP="004920E8">
      <w:pPr>
        <w:pStyle w:val="BodyTextIndent"/>
        <w:ind w:left="0"/>
        <w:rPr>
          <w:rFonts w:ascii="Arial" w:hAnsi="Arial" w:cs="Arial"/>
          <w:b/>
          <w:u w:val="single"/>
        </w:rPr>
      </w:pPr>
    </w:p>
    <w:p w:rsidR="005732F0" w:rsidRPr="00AC29F5" w:rsidRDefault="004F27CC" w:rsidP="004920E8">
      <w:pPr>
        <w:pStyle w:val="BodyTextIndent"/>
        <w:ind w:left="0"/>
        <w:rPr>
          <w:rFonts w:ascii="Arial" w:hAnsi="Arial" w:cs="Arial"/>
          <w:b/>
        </w:rPr>
      </w:pPr>
      <w:r>
        <w:rPr>
          <w:rFonts w:ascii="Arial" w:hAnsi="Arial" w:cs="Arial"/>
          <w:b/>
        </w:rPr>
        <w:t xml:space="preserve">Table </w:t>
      </w:r>
      <w:r w:rsidR="00364EDE">
        <w:rPr>
          <w:rFonts w:ascii="Arial" w:hAnsi="Arial" w:cs="Arial"/>
          <w:b/>
        </w:rPr>
        <w:t>6</w:t>
      </w:r>
      <w:r w:rsidR="005732F0">
        <w:rPr>
          <w:rFonts w:ascii="Arial" w:hAnsi="Arial" w:cs="Arial"/>
          <w:b/>
        </w:rPr>
        <w:t>. Dosing and Administration</w:t>
      </w:r>
      <w:r w:rsidR="00AC29F5">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760"/>
        <w:gridCol w:w="2250"/>
        <w:gridCol w:w="2250"/>
      </w:tblGrid>
      <w:tr w:rsidR="00E223B5" w:rsidRPr="0044122B" w:rsidTr="0083476D">
        <w:trPr>
          <w:tblHeader/>
        </w:trPr>
        <w:tc>
          <w:tcPr>
            <w:tcW w:w="319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Adult Dose</w:t>
            </w:r>
          </w:p>
        </w:tc>
        <w:tc>
          <w:tcPr>
            <w:tcW w:w="176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Pediatric Dose</w:t>
            </w:r>
          </w:p>
        </w:tc>
        <w:tc>
          <w:tcPr>
            <w:tcW w:w="2250" w:type="dxa"/>
            <w:tcBorders>
              <w:bottom w:val="single" w:sz="4" w:space="0" w:color="000000"/>
            </w:tcBorders>
            <w:shd w:val="clear" w:color="auto" w:fill="C0C0C0"/>
            <w:vAlign w:val="center"/>
          </w:tcPr>
          <w:p w:rsidR="00E223B5" w:rsidRPr="0044122B" w:rsidRDefault="00E223B5" w:rsidP="00F9017C">
            <w:pPr>
              <w:pStyle w:val="NoSpacing"/>
              <w:jc w:val="center"/>
              <w:rPr>
                <w:rFonts w:ascii="Arial" w:hAnsi="Arial" w:cs="Arial"/>
                <w:b/>
                <w:sz w:val="20"/>
                <w:szCs w:val="20"/>
              </w:rPr>
            </w:pPr>
            <w:r>
              <w:rPr>
                <w:rFonts w:ascii="Arial" w:hAnsi="Arial" w:cs="Arial"/>
                <w:b/>
                <w:sz w:val="20"/>
                <w:szCs w:val="20"/>
              </w:rPr>
              <w:t>Renal Dose</w:t>
            </w:r>
          </w:p>
        </w:tc>
        <w:tc>
          <w:tcPr>
            <w:tcW w:w="2250" w:type="dxa"/>
            <w:tcBorders>
              <w:bottom w:val="single" w:sz="4" w:space="0" w:color="000000"/>
            </w:tcBorders>
            <w:shd w:val="clear" w:color="auto" w:fill="C0C0C0"/>
            <w:vAlign w:val="center"/>
          </w:tcPr>
          <w:p w:rsidR="00E223B5" w:rsidRPr="0044122B" w:rsidRDefault="00E223B5" w:rsidP="00E223B5">
            <w:pPr>
              <w:pStyle w:val="NoSpacing"/>
              <w:jc w:val="center"/>
              <w:rPr>
                <w:rFonts w:ascii="Arial" w:hAnsi="Arial" w:cs="Arial"/>
                <w:b/>
                <w:sz w:val="20"/>
                <w:szCs w:val="20"/>
              </w:rPr>
            </w:pPr>
            <w:r>
              <w:rPr>
                <w:rFonts w:ascii="Arial" w:hAnsi="Arial" w:cs="Arial"/>
                <w:b/>
                <w:sz w:val="20"/>
                <w:szCs w:val="20"/>
              </w:rPr>
              <w:t>Hepatic Dose</w:t>
            </w:r>
          </w:p>
        </w:tc>
      </w:tr>
      <w:tr w:rsidR="00E223B5" w:rsidRPr="0044122B" w:rsidTr="0083476D">
        <w:tc>
          <w:tcPr>
            <w:tcW w:w="3190" w:type="dxa"/>
          </w:tcPr>
          <w:p w:rsidR="00E223B5" w:rsidRPr="004D5C46" w:rsidRDefault="00E223B5" w:rsidP="00F9017C">
            <w:pPr>
              <w:spacing w:after="0" w:line="240" w:lineRule="auto"/>
              <w:rPr>
                <w:rFonts w:ascii="Arial" w:hAnsi="Arial" w:cs="Arial"/>
                <w:sz w:val="20"/>
                <w:szCs w:val="20"/>
                <w:u w:val="single"/>
              </w:rPr>
            </w:pPr>
            <w:r w:rsidRPr="004D5C46">
              <w:rPr>
                <w:rFonts w:ascii="Arial" w:hAnsi="Arial" w:cs="Arial"/>
                <w:sz w:val="20"/>
                <w:szCs w:val="20"/>
                <w:u w:val="single"/>
              </w:rPr>
              <w:t>Pain severe enough to require daily, around-the-clock, long-term opioid treatment for which alternative treatment options are inadequate:</w:t>
            </w:r>
          </w:p>
          <w:p w:rsidR="001417E9" w:rsidRPr="001417E9" w:rsidRDefault="001417E9" w:rsidP="001417E9">
            <w:pPr>
              <w:spacing w:after="0" w:line="240" w:lineRule="auto"/>
              <w:rPr>
                <w:rFonts w:ascii="Arial" w:hAnsi="Arial" w:cs="Arial"/>
                <w:sz w:val="20"/>
                <w:szCs w:val="20"/>
              </w:rPr>
            </w:pPr>
            <w:r w:rsidRPr="001417E9">
              <w:rPr>
                <w:rFonts w:ascii="Arial" w:hAnsi="Arial" w:cs="Arial"/>
                <w:sz w:val="20"/>
                <w:szCs w:val="20"/>
              </w:rPr>
              <w:t xml:space="preserve">Initial, opioid-naïve or not opioid-tolerant: 10 mg/1.2 mg by mouth every </w:t>
            </w:r>
            <w:r>
              <w:rPr>
                <w:rFonts w:ascii="Arial" w:hAnsi="Arial" w:cs="Arial"/>
                <w:sz w:val="20"/>
                <w:szCs w:val="20"/>
              </w:rPr>
              <w:t>12 hours</w:t>
            </w:r>
            <w:r w:rsidR="00EF107E">
              <w:rPr>
                <w:rFonts w:ascii="Arial" w:hAnsi="Arial" w:cs="Arial"/>
                <w:sz w:val="20"/>
                <w:szCs w:val="20"/>
              </w:rPr>
              <w:t>.</w:t>
            </w:r>
          </w:p>
          <w:p w:rsidR="001417E9" w:rsidRPr="001417E9" w:rsidRDefault="001417E9" w:rsidP="001417E9">
            <w:pPr>
              <w:spacing w:after="0" w:line="240" w:lineRule="auto"/>
              <w:rPr>
                <w:rFonts w:ascii="Arial" w:hAnsi="Arial" w:cs="Arial"/>
                <w:sz w:val="20"/>
                <w:szCs w:val="20"/>
              </w:rPr>
            </w:pPr>
          </w:p>
          <w:p w:rsidR="00E223B5" w:rsidRPr="004D5C46" w:rsidRDefault="001417E9" w:rsidP="00F9017C">
            <w:pPr>
              <w:spacing w:after="0" w:line="240" w:lineRule="auto"/>
              <w:rPr>
                <w:rFonts w:ascii="Arial" w:hAnsi="Arial" w:cs="Arial"/>
                <w:sz w:val="20"/>
                <w:szCs w:val="20"/>
              </w:rPr>
            </w:pPr>
            <w:r w:rsidRPr="001417E9">
              <w:rPr>
                <w:rFonts w:ascii="Arial" w:hAnsi="Arial" w:cs="Arial"/>
                <w:sz w:val="20"/>
                <w:szCs w:val="20"/>
              </w:rPr>
              <w:t>Maintenance: Titrate to a dose that provides adequate analgesia and minimizes adverse reactions; the total daily dose may be adjusted by 20 mg/2.4 mg every two to three days as needed based on efficacy, safety, and tolerability</w:t>
            </w:r>
            <w:r w:rsidR="00EF107E">
              <w:rPr>
                <w:rFonts w:ascii="Arial" w:hAnsi="Arial" w:cs="Arial"/>
                <w:sz w:val="20"/>
                <w:szCs w:val="20"/>
              </w:rPr>
              <w:t>.</w:t>
            </w:r>
          </w:p>
        </w:tc>
        <w:tc>
          <w:tcPr>
            <w:tcW w:w="1760" w:type="dxa"/>
          </w:tcPr>
          <w:p w:rsidR="00E223B5" w:rsidRPr="006069A2" w:rsidRDefault="006069A2" w:rsidP="00F9017C">
            <w:pPr>
              <w:pStyle w:val="NoSpacing"/>
              <w:rPr>
                <w:rFonts w:ascii="Arial" w:hAnsi="Arial" w:cs="Arial"/>
                <w:color w:val="0000FF"/>
                <w:sz w:val="20"/>
                <w:szCs w:val="20"/>
              </w:rPr>
            </w:pPr>
            <w:r w:rsidRPr="006069A2">
              <w:rPr>
                <w:rFonts w:ascii="Arial" w:hAnsi="Arial" w:cs="Arial"/>
                <w:sz w:val="20"/>
                <w:szCs w:val="20"/>
              </w:rPr>
              <w:t>Safety and efficacy in pediatric patients have not been established.</w:t>
            </w:r>
          </w:p>
        </w:tc>
        <w:tc>
          <w:tcPr>
            <w:tcW w:w="2250" w:type="dxa"/>
          </w:tcPr>
          <w:p w:rsidR="00E223B5" w:rsidRPr="0039388F" w:rsidRDefault="00721035" w:rsidP="00F9017C">
            <w:pPr>
              <w:spacing w:after="0" w:line="240" w:lineRule="auto"/>
              <w:rPr>
                <w:rFonts w:ascii="Arial" w:hAnsi="Arial" w:cs="Arial"/>
                <w:sz w:val="20"/>
                <w:szCs w:val="20"/>
              </w:rPr>
            </w:pPr>
            <w:r w:rsidRPr="00721035">
              <w:rPr>
                <w:rFonts w:ascii="Arial" w:hAnsi="Arial" w:cs="Arial"/>
                <w:sz w:val="20"/>
                <w:szCs w:val="20"/>
              </w:rPr>
              <w:t>No specific recommendations.</w:t>
            </w:r>
          </w:p>
        </w:tc>
        <w:tc>
          <w:tcPr>
            <w:tcW w:w="2250" w:type="dxa"/>
          </w:tcPr>
          <w:p w:rsidR="00E223B5" w:rsidRPr="0039388F" w:rsidRDefault="00721035" w:rsidP="00F9017C">
            <w:pPr>
              <w:spacing w:after="0" w:line="240" w:lineRule="auto"/>
              <w:rPr>
                <w:rFonts w:ascii="Arial" w:hAnsi="Arial" w:cs="Arial"/>
                <w:sz w:val="20"/>
                <w:szCs w:val="20"/>
              </w:rPr>
            </w:pPr>
            <w:r w:rsidRPr="00721035">
              <w:rPr>
                <w:rFonts w:ascii="Arial" w:hAnsi="Arial" w:cs="Arial"/>
                <w:sz w:val="20"/>
                <w:szCs w:val="20"/>
              </w:rPr>
              <w:t>No specific recommendations.</w:t>
            </w:r>
          </w:p>
        </w:tc>
      </w:tr>
    </w:tbl>
    <w:p w:rsidR="00981A22" w:rsidRDefault="00981A22" w:rsidP="004920E8">
      <w:pPr>
        <w:pStyle w:val="BodyTextIndent"/>
        <w:ind w:left="0"/>
        <w:rPr>
          <w:rFonts w:ascii="Arial" w:hAnsi="Arial" w:cs="Arial"/>
        </w:rPr>
      </w:pPr>
    </w:p>
    <w:p w:rsidR="008F1EE5" w:rsidRPr="008F1EE5" w:rsidRDefault="008F1EE5" w:rsidP="004920E8">
      <w:pPr>
        <w:pStyle w:val="BodyTextIndent"/>
        <w:ind w:left="0"/>
        <w:rPr>
          <w:rFonts w:ascii="Arial" w:hAnsi="Arial" w:cs="Arial"/>
        </w:rPr>
      </w:pPr>
      <w:r>
        <w:rPr>
          <w:rFonts w:ascii="Arial" w:hAnsi="Arial" w:cs="Arial"/>
        </w:rPr>
        <w:t xml:space="preserve">For patients converting from a different opioid to </w:t>
      </w:r>
      <w:proofErr w:type="spellStart"/>
      <w:r>
        <w:rPr>
          <w:rFonts w:ascii="Arial" w:hAnsi="Arial" w:cs="Arial"/>
        </w:rPr>
        <w:t>Troxyca</w:t>
      </w:r>
      <w:proofErr w:type="spellEnd"/>
      <w:r>
        <w:rPr>
          <w:rFonts w:ascii="Arial" w:hAnsi="Arial" w:cs="Arial"/>
          <w:vertAlign w:val="superscript"/>
        </w:rPr>
        <w:t>®</w:t>
      </w:r>
      <w:r>
        <w:rPr>
          <w:rFonts w:ascii="Arial" w:hAnsi="Arial" w:cs="Arial"/>
        </w:rPr>
        <w:t xml:space="preserve"> ER (oxycodone/naltrexone extended-release), the manufacturer provides a table to estimate a total oxycodone daily dose.</w:t>
      </w:r>
    </w:p>
    <w:p w:rsidR="008F1EE5" w:rsidRDefault="008F1EE5" w:rsidP="004920E8">
      <w:pPr>
        <w:pStyle w:val="BodyTextIndent"/>
        <w:ind w:left="0"/>
        <w:rPr>
          <w:rFonts w:ascii="Arial" w:hAnsi="Arial" w:cs="Arial"/>
        </w:rPr>
      </w:pPr>
    </w:p>
    <w:p w:rsidR="00981A22" w:rsidRPr="006D6556" w:rsidRDefault="00981A22" w:rsidP="004920E8">
      <w:pPr>
        <w:pStyle w:val="BodyTextIndent"/>
        <w:ind w:left="0"/>
        <w:rPr>
          <w:rFonts w:ascii="Arial" w:hAnsi="Arial" w:cs="Arial"/>
          <w:b/>
        </w:rPr>
      </w:pPr>
      <w:proofErr w:type="gramStart"/>
      <w:r>
        <w:rPr>
          <w:rFonts w:ascii="Arial" w:hAnsi="Arial" w:cs="Arial"/>
          <w:b/>
        </w:rPr>
        <w:t xml:space="preserve">Table </w:t>
      </w:r>
      <w:r w:rsidR="00364EDE">
        <w:rPr>
          <w:rFonts w:ascii="Arial" w:hAnsi="Arial" w:cs="Arial"/>
          <w:b/>
        </w:rPr>
        <w:t>7</w:t>
      </w:r>
      <w:r>
        <w:rPr>
          <w:rFonts w:ascii="Arial" w:hAnsi="Arial" w:cs="Arial"/>
          <w:b/>
        </w:rPr>
        <w:t>.</w:t>
      </w:r>
      <w:proofErr w:type="gramEnd"/>
      <w:r>
        <w:rPr>
          <w:rFonts w:ascii="Arial" w:hAnsi="Arial" w:cs="Arial"/>
          <w:b/>
        </w:rPr>
        <w:t xml:space="preserve"> Opioid Conversion Factors</w:t>
      </w:r>
      <w:r w:rsidR="00970D56">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5400"/>
      </w:tblGrid>
      <w:tr w:rsidR="003371E3" w:rsidRPr="0044122B" w:rsidTr="003371E3">
        <w:trPr>
          <w:tblHeader/>
        </w:trPr>
        <w:tc>
          <w:tcPr>
            <w:tcW w:w="4050" w:type="dxa"/>
            <w:tcBorders>
              <w:bottom w:val="single" w:sz="4" w:space="0" w:color="000000"/>
            </w:tcBorders>
            <w:shd w:val="clear" w:color="auto" w:fill="C0C0C0"/>
            <w:vAlign w:val="center"/>
          </w:tcPr>
          <w:p w:rsidR="003371E3" w:rsidRPr="0044122B" w:rsidRDefault="003371E3" w:rsidP="00F9017C">
            <w:pPr>
              <w:pStyle w:val="NoSpacing"/>
              <w:jc w:val="center"/>
              <w:rPr>
                <w:rFonts w:ascii="Arial" w:hAnsi="Arial" w:cs="Arial"/>
                <w:b/>
                <w:sz w:val="20"/>
                <w:szCs w:val="20"/>
              </w:rPr>
            </w:pPr>
            <w:r>
              <w:rPr>
                <w:rFonts w:ascii="Arial" w:hAnsi="Arial" w:cs="Arial"/>
                <w:b/>
                <w:sz w:val="20"/>
                <w:szCs w:val="20"/>
              </w:rPr>
              <w:t>Opioid</w:t>
            </w:r>
          </w:p>
        </w:tc>
        <w:tc>
          <w:tcPr>
            <w:tcW w:w="5400" w:type="dxa"/>
            <w:tcBorders>
              <w:bottom w:val="single" w:sz="4" w:space="0" w:color="000000"/>
            </w:tcBorders>
            <w:shd w:val="clear" w:color="auto" w:fill="C0C0C0"/>
            <w:vAlign w:val="center"/>
          </w:tcPr>
          <w:p w:rsidR="003371E3" w:rsidRPr="0044122B" w:rsidRDefault="003371E3" w:rsidP="00020DBE">
            <w:pPr>
              <w:pStyle w:val="NoSpacing"/>
              <w:jc w:val="center"/>
              <w:rPr>
                <w:rFonts w:ascii="Arial" w:hAnsi="Arial" w:cs="Arial"/>
                <w:b/>
                <w:sz w:val="20"/>
                <w:szCs w:val="20"/>
              </w:rPr>
            </w:pPr>
            <w:r>
              <w:rPr>
                <w:rFonts w:ascii="Arial" w:hAnsi="Arial" w:cs="Arial"/>
                <w:b/>
                <w:sz w:val="20"/>
                <w:szCs w:val="20"/>
              </w:rPr>
              <w:t>Approximate Oral Conversion Factor</w:t>
            </w:r>
            <w:r w:rsidR="006244F2">
              <w:rPr>
                <w:rFonts w:ascii="Arial" w:hAnsi="Arial" w:cs="Arial"/>
                <w:b/>
                <w:sz w:val="20"/>
                <w:szCs w:val="20"/>
              </w:rPr>
              <w:t>*</w:t>
            </w:r>
          </w:p>
        </w:tc>
      </w:tr>
      <w:tr w:rsidR="003371E3" w:rsidRPr="0044122B" w:rsidTr="003371E3">
        <w:tc>
          <w:tcPr>
            <w:tcW w:w="4050" w:type="dxa"/>
          </w:tcPr>
          <w:p w:rsidR="003371E3" w:rsidRPr="004D5C46" w:rsidRDefault="003371E3" w:rsidP="00F9017C">
            <w:pPr>
              <w:spacing w:after="0" w:line="240" w:lineRule="auto"/>
              <w:rPr>
                <w:rFonts w:ascii="Arial" w:hAnsi="Arial" w:cs="Arial"/>
                <w:sz w:val="20"/>
                <w:szCs w:val="20"/>
              </w:rPr>
            </w:pPr>
            <w:r>
              <w:rPr>
                <w:rFonts w:ascii="Arial" w:hAnsi="Arial" w:cs="Arial"/>
                <w:sz w:val="20"/>
                <w:szCs w:val="20"/>
              </w:rPr>
              <w:t>Codeine</w:t>
            </w:r>
          </w:p>
        </w:tc>
        <w:tc>
          <w:tcPr>
            <w:tcW w:w="5400" w:type="dxa"/>
          </w:tcPr>
          <w:p w:rsidR="003371E3" w:rsidRPr="0039388F" w:rsidRDefault="003371E3" w:rsidP="00020DBE">
            <w:pPr>
              <w:spacing w:after="0" w:line="240" w:lineRule="auto"/>
              <w:jc w:val="center"/>
              <w:rPr>
                <w:rFonts w:ascii="Arial" w:hAnsi="Arial" w:cs="Arial"/>
                <w:sz w:val="20"/>
                <w:szCs w:val="20"/>
              </w:rPr>
            </w:pPr>
            <w:r>
              <w:rPr>
                <w:rFonts w:ascii="Arial" w:hAnsi="Arial" w:cs="Arial"/>
                <w:sz w:val="20"/>
                <w:szCs w:val="20"/>
              </w:rPr>
              <w:t>0.1</w:t>
            </w:r>
          </w:p>
        </w:tc>
      </w:tr>
      <w:tr w:rsidR="003371E3" w:rsidRPr="0044122B" w:rsidTr="003371E3">
        <w:tc>
          <w:tcPr>
            <w:tcW w:w="4050" w:type="dxa"/>
          </w:tcPr>
          <w:p w:rsidR="003371E3" w:rsidRDefault="003371E3" w:rsidP="00F9017C">
            <w:pPr>
              <w:spacing w:after="0" w:line="240" w:lineRule="auto"/>
              <w:rPr>
                <w:rFonts w:ascii="Arial" w:hAnsi="Arial" w:cs="Arial"/>
                <w:sz w:val="20"/>
                <w:szCs w:val="20"/>
              </w:rPr>
            </w:pPr>
            <w:r>
              <w:rPr>
                <w:rFonts w:ascii="Arial" w:hAnsi="Arial" w:cs="Arial"/>
                <w:sz w:val="20"/>
                <w:szCs w:val="20"/>
              </w:rPr>
              <w:t>Hydrocodone</w:t>
            </w:r>
          </w:p>
        </w:tc>
        <w:tc>
          <w:tcPr>
            <w:tcW w:w="5400" w:type="dxa"/>
          </w:tcPr>
          <w:p w:rsidR="003371E3" w:rsidRDefault="003371E3" w:rsidP="00020DBE">
            <w:pPr>
              <w:spacing w:after="0" w:line="240" w:lineRule="auto"/>
              <w:jc w:val="center"/>
              <w:rPr>
                <w:rFonts w:ascii="Arial" w:hAnsi="Arial" w:cs="Arial"/>
                <w:sz w:val="20"/>
                <w:szCs w:val="20"/>
              </w:rPr>
            </w:pPr>
            <w:r>
              <w:rPr>
                <w:rFonts w:ascii="Arial" w:hAnsi="Arial" w:cs="Arial"/>
                <w:sz w:val="20"/>
                <w:szCs w:val="20"/>
              </w:rPr>
              <w:t>0.67</w:t>
            </w:r>
          </w:p>
        </w:tc>
      </w:tr>
      <w:tr w:rsidR="003371E3" w:rsidRPr="0044122B" w:rsidTr="003371E3">
        <w:tc>
          <w:tcPr>
            <w:tcW w:w="4050" w:type="dxa"/>
          </w:tcPr>
          <w:p w:rsidR="003371E3" w:rsidRPr="004D5C46" w:rsidRDefault="003371E3" w:rsidP="00F9017C">
            <w:pPr>
              <w:spacing w:after="0" w:line="240" w:lineRule="auto"/>
              <w:rPr>
                <w:rFonts w:ascii="Arial" w:hAnsi="Arial" w:cs="Arial"/>
                <w:sz w:val="20"/>
                <w:szCs w:val="20"/>
              </w:rPr>
            </w:pPr>
            <w:r>
              <w:rPr>
                <w:rFonts w:ascii="Arial" w:hAnsi="Arial" w:cs="Arial"/>
                <w:sz w:val="20"/>
                <w:szCs w:val="20"/>
              </w:rPr>
              <w:t>Hydromorphone</w:t>
            </w:r>
          </w:p>
        </w:tc>
        <w:tc>
          <w:tcPr>
            <w:tcW w:w="5400" w:type="dxa"/>
          </w:tcPr>
          <w:p w:rsidR="003371E3" w:rsidRPr="0039388F" w:rsidRDefault="003371E3" w:rsidP="00020DBE">
            <w:pPr>
              <w:spacing w:after="0" w:line="240" w:lineRule="auto"/>
              <w:jc w:val="center"/>
              <w:rPr>
                <w:rFonts w:ascii="Arial" w:hAnsi="Arial" w:cs="Arial"/>
                <w:sz w:val="20"/>
                <w:szCs w:val="20"/>
              </w:rPr>
            </w:pPr>
            <w:r>
              <w:rPr>
                <w:rFonts w:ascii="Arial" w:hAnsi="Arial" w:cs="Arial"/>
                <w:sz w:val="20"/>
                <w:szCs w:val="20"/>
              </w:rPr>
              <w:t>2.67</w:t>
            </w:r>
          </w:p>
        </w:tc>
      </w:tr>
      <w:tr w:rsidR="003371E3" w:rsidRPr="0044122B" w:rsidTr="003371E3">
        <w:tc>
          <w:tcPr>
            <w:tcW w:w="4050" w:type="dxa"/>
          </w:tcPr>
          <w:p w:rsidR="003371E3" w:rsidRPr="004D5C46" w:rsidRDefault="003371E3" w:rsidP="00F9017C">
            <w:pPr>
              <w:spacing w:after="0" w:line="240" w:lineRule="auto"/>
              <w:rPr>
                <w:rFonts w:ascii="Arial" w:hAnsi="Arial" w:cs="Arial"/>
                <w:sz w:val="20"/>
                <w:szCs w:val="20"/>
              </w:rPr>
            </w:pPr>
            <w:r>
              <w:rPr>
                <w:rFonts w:ascii="Arial" w:hAnsi="Arial" w:cs="Arial"/>
                <w:sz w:val="20"/>
                <w:szCs w:val="20"/>
              </w:rPr>
              <w:t>Methadone</w:t>
            </w:r>
          </w:p>
        </w:tc>
        <w:tc>
          <w:tcPr>
            <w:tcW w:w="5400" w:type="dxa"/>
          </w:tcPr>
          <w:p w:rsidR="003371E3" w:rsidRPr="0039388F" w:rsidRDefault="003371E3" w:rsidP="003371E3">
            <w:pPr>
              <w:spacing w:after="0" w:line="240" w:lineRule="auto"/>
              <w:jc w:val="center"/>
              <w:rPr>
                <w:rFonts w:ascii="Arial" w:hAnsi="Arial" w:cs="Arial"/>
                <w:sz w:val="20"/>
                <w:szCs w:val="20"/>
              </w:rPr>
            </w:pPr>
            <w:r>
              <w:rPr>
                <w:rFonts w:ascii="Arial" w:hAnsi="Arial" w:cs="Arial"/>
                <w:sz w:val="20"/>
                <w:szCs w:val="20"/>
              </w:rPr>
              <w:t>See dosing considerations</w:t>
            </w:r>
          </w:p>
        </w:tc>
      </w:tr>
      <w:tr w:rsidR="003371E3" w:rsidRPr="0044122B" w:rsidTr="003371E3">
        <w:tc>
          <w:tcPr>
            <w:tcW w:w="4050" w:type="dxa"/>
          </w:tcPr>
          <w:p w:rsidR="003371E3" w:rsidRPr="004D5C46" w:rsidRDefault="003371E3" w:rsidP="00F9017C">
            <w:pPr>
              <w:spacing w:after="0" w:line="240" w:lineRule="auto"/>
              <w:rPr>
                <w:rFonts w:ascii="Arial" w:hAnsi="Arial" w:cs="Arial"/>
                <w:sz w:val="20"/>
                <w:szCs w:val="20"/>
              </w:rPr>
            </w:pPr>
            <w:r>
              <w:rPr>
                <w:rFonts w:ascii="Arial" w:hAnsi="Arial" w:cs="Arial"/>
                <w:sz w:val="20"/>
                <w:szCs w:val="20"/>
              </w:rPr>
              <w:t>Morphine</w:t>
            </w:r>
          </w:p>
        </w:tc>
        <w:tc>
          <w:tcPr>
            <w:tcW w:w="5400" w:type="dxa"/>
          </w:tcPr>
          <w:p w:rsidR="003371E3" w:rsidRPr="0039388F" w:rsidRDefault="003371E3" w:rsidP="00020DBE">
            <w:pPr>
              <w:spacing w:after="0" w:line="240" w:lineRule="auto"/>
              <w:jc w:val="center"/>
              <w:rPr>
                <w:rFonts w:ascii="Arial" w:hAnsi="Arial" w:cs="Arial"/>
                <w:sz w:val="20"/>
                <w:szCs w:val="20"/>
              </w:rPr>
            </w:pPr>
            <w:r>
              <w:rPr>
                <w:rFonts w:ascii="Arial" w:hAnsi="Arial" w:cs="Arial"/>
                <w:sz w:val="20"/>
                <w:szCs w:val="20"/>
              </w:rPr>
              <w:t>0.67</w:t>
            </w:r>
          </w:p>
        </w:tc>
      </w:tr>
      <w:tr w:rsidR="003371E3" w:rsidRPr="0044122B" w:rsidTr="003371E3">
        <w:tc>
          <w:tcPr>
            <w:tcW w:w="4050" w:type="dxa"/>
          </w:tcPr>
          <w:p w:rsidR="003371E3" w:rsidRPr="004D5C46" w:rsidRDefault="003371E3" w:rsidP="00F9017C">
            <w:pPr>
              <w:spacing w:after="0" w:line="240" w:lineRule="auto"/>
              <w:rPr>
                <w:rFonts w:ascii="Arial" w:hAnsi="Arial" w:cs="Arial"/>
                <w:sz w:val="20"/>
                <w:szCs w:val="20"/>
              </w:rPr>
            </w:pPr>
            <w:r>
              <w:rPr>
                <w:rFonts w:ascii="Arial" w:hAnsi="Arial" w:cs="Arial"/>
                <w:sz w:val="20"/>
                <w:szCs w:val="20"/>
              </w:rPr>
              <w:t>Oxycodone</w:t>
            </w:r>
          </w:p>
        </w:tc>
        <w:tc>
          <w:tcPr>
            <w:tcW w:w="5400" w:type="dxa"/>
          </w:tcPr>
          <w:p w:rsidR="003371E3" w:rsidRPr="0039388F" w:rsidRDefault="003371E3" w:rsidP="00020DBE">
            <w:pPr>
              <w:spacing w:after="0" w:line="240" w:lineRule="auto"/>
              <w:jc w:val="center"/>
              <w:rPr>
                <w:rFonts w:ascii="Arial" w:hAnsi="Arial" w:cs="Arial"/>
                <w:sz w:val="20"/>
                <w:szCs w:val="20"/>
              </w:rPr>
            </w:pPr>
            <w:r>
              <w:rPr>
                <w:rFonts w:ascii="Arial" w:hAnsi="Arial" w:cs="Arial"/>
                <w:sz w:val="20"/>
                <w:szCs w:val="20"/>
              </w:rPr>
              <w:t>1</w:t>
            </w:r>
          </w:p>
        </w:tc>
      </w:tr>
      <w:tr w:rsidR="003371E3" w:rsidRPr="0044122B" w:rsidTr="003371E3">
        <w:tc>
          <w:tcPr>
            <w:tcW w:w="4050" w:type="dxa"/>
          </w:tcPr>
          <w:p w:rsidR="003371E3" w:rsidRPr="004D5C46" w:rsidRDefault="003371E3" w:rsidP="00F9017C">
            <w:pPr>
              <w:spacing w:after="0" w:line="240" w:lineRule="auto"/>
              <w:rPr>
                <w:rFonts w:ascii="Arial" w:hAnsi="Arial" w:cs="Arial"/>
                <w:sz w:val="20"/>
                <w:szCs w:val="20"/>
              </w:rPr>
            </w:pPr>
            <w:r>
              <w:rPr>
                <w:rFonts w:ascii="Arial" w:hAnsi="Arial" w:cs="Arial"/>
                <w:sz w:val="20"/>
                <w:szCs w:val="20"/>
              </w:rPr>
              <w:t>Tramadol</w:t>
            </w:r>
          </w:p>
        </w:tc>
        <w:tc>
          <w:tcPr>
            <w:tcW w:w="5400" w:type="dxa"/>
          </w:tcPr>
          <w:p w:rsidR="003371E3" w:rsidRPr="0039388F" w:rsidRDefault="003371E3" w:rsidP="00020DBE">
            <w:pPr>
              <w:spacing w:after="0" w:line="240" w:lineRule="auto"/>
              <w:jc w:val="center"/>
              <w:rPr>
                <w:rFonts w:ascii="Arial" w:hAnsi="Arial" w:cs="Arial"/>
                <w:sz w:val="20"/>
                <w:szCs w:val="20"/>
              </w:rPr>
            </w:pPr>
            <w:r>
              <w:rPr>
                <w:rFonts w:ascii="Arial" w:hAnsi="Arial" w:cs="Arial"/>
                <w:sz w:val="20"/>
                <w:szCs w:val="20"/>
              </w:rPr>
              <w:t>See dosing considerations</w:t>
            </w:r>
          </w:p>
        </w:tc>
      </w:tr>
      <w:tr w:rsidR="003371E3" w:rsidRPr="0044122B" w:rsidTr="003371E3">
        <w:tc>
          <w:tcPr>
            <w:tcW w:w="4050" w:type="dxa"/>
          </w:tcPr>
          <w:p w:rsidR="003371E3" w:rsidRPr="004D5C46" w:rsidRDefault="003371E3" w:rsidP="003371E3">
            <w:pPr>
              <w:spacing w:after="0" w:line="240" w:lineRule="auto"/>
              <w:rPr>
                <w:rFonts w:ascii="Arial" w:hAnsi="Arial" w:cs="Arial"/>
                <w:sz w:val="20"/>
                <w:szCs w:val="20"/>
              </w:rPr>
            </w:pPr>
            <w:r>
              <w:rPr>
                <w:rFonts w:ascii="Arial" w:hAnsi="Arial" w:cs="Arial"/>
                <w:sz w:val="20"/>
                <w:szCs w:val="20"/>
              </w:rPr>
              <w:t>Transdermal fentanyl</w:t>
            </w:r>
          </w:p>
        </w:tc>
        <w:tc>
          <w:tcPr>
            <w:tcW w:w="5400" w:type="dxa"/>
          </w:tcPr>
          <w:p w:rsidR="003371E3" w:rsidRPr="0039388F" w:rsidRDefault="003371E3" w:rsidP="00020DBE">
            <w:pPr>
              <w:spacing w:after="0" w:line="240" w:lineRule="auto"/>
              <w:jc w:val="center"/>
              <w:rPr>
                <w:rFonts w:ascii="Arial" w:hAnsi="Arial" w:cs="Arial"/>
                <w:sz w:val="20"/>
                <w:szCs w:val="20"/>
              </w:rPr>
            </w:pPr>
            <w:r>
              <w:rPr>
                <w:rFonts w:ascii="Arial" w:hAnsi="Arial" w:cs="Arial"/>
                <w:sz w:val="20"/>
                <w:szCs w:val="20"/>
              </w:rPr>
              <w:t>See dosing considerations</w:t>
            </w:r>
          </w:p>
        </w:tc>
      </w:tr>
    </w:tbl>
    <w:p w:rsidR="003371E3" w:rsidRPr="00970D56" w:rsidRDefault="00970D56" w:rsidP="004920E8">
      <w:pPr>
        <w:pStyle w:val="BodyTextIndent"/>
        <w:ind w:left="0"/>
        <w:rPr>
          <w:rFonts w:ascii="Arial" w:hAnsi="Arial" w:cs="Arial"/>
          <w:sz w:val="16"/>
          <w:szCs w:val="16"/>
        </w:rPr>
      </w:pPr>
      <w:r>
        <w:rPr>
          <w:rFonts w:ascii="Arial" w:hAnsi="Arial" w:cs="Arial"/>
          <w:sz w:val="16"/>
          <w:szCs w:val="16"/>
        </w:rPr>
        <w:t xml:space="preserve">*These conversion factors may be used to convert from other opioids to </w:t>
      </w:r>
      <w:proofErr w:type="spellStart"/>
      <w:r>
        <w:rPr>
          <w:rFonts w:ascii="Arial" w:hAnsi="Arial" w:cs="Arial"/>
          <w:sz w:val="16"/>
          <w:szCs w:val="16"/>
        </w:rPr>
        <w:t>Troxyca</w:t>
      </w:r>
      <w:proofErr w:type="spellEnd"/>
      <w:r>
        <w:rPr>
          <w:rFonts w:ascii="Arial" w:hAnsi="Arial" w:cs="Arial"/>
          <w:sz w:val="16"/>
          <w:szCs w:val="16"/>
          <w:vertAlign w:val="superscript"/>
        </w:rPr>
        <w:t>®</w:t>
      </w:r>
      <w:r>
        <w:rPr>
          <w:rFonts w:ascii="Arial" w:hAnsi="Arial" w:cs="Arial"/>
          <w:sz w:val="16"/>
          <w:szCs w:val="16"/>
        </w:rPr>
        <w:t xml:space="preserve"> ER (oxycodone/naltrexone extended-release), but </w:t>
      </w:r>
      <w:r w:rsidR="003252A9">
        <w:rPr>
          <w:rFonts w:ascii="Arial" w:hAnsi="Arial" w:cs="Arial"/>
          <w:sz w:val="16"/>
          <w:szCs w:val="16"/>
        </w:rPr>
        <w:t>can</w:t>
      </w:r>
      <w:r>
        <w:rPr>
          <w:rFonts w:ascii="Arial" w:hAnsi="Arial" w:cs="Arial"/>
          <w:sz w:val="16"/>
          <w:szCs w:val="16"/>
        </w:rPr>
        <w:t xml:space="preserve">not be used to convert from </w:t>
      </w:r>
      <w:proofErr w:type="spellStart"/>
      <w:r>
        <w:rPr>
          <w:rFonts w:ascii="Arial" w:hAnsi="Arial" w:cs="Arial"/>
          <w:sz w:val="16"/>
          <w:szCs w:val="16"/>
        </w:rPr>
        <w:t>Troxyca</w:t>
      </w:r>
      <w:proofErr w:type="spellEnd"/>
      <w:r>
        <w:rPr>
          <w:rFonts w:ascii="Arial" w:hAnsi="Arial" w:cs="Arial"/>
          <w:sz w:val="16"/>
          <w:szCs w:val="16"/>
          <w:vertAlign w:val="superscript"/>
        </w:rPr>
        <w:t>®</w:t>
      </w:r>
      <w:r>
        <w:rPr>
          <w:rFonts w:ascii="Arial" w:hAnsi="Arial" w:cs="Arial"/>
          <w:sz w:val="16"/>
          <w:szCs w:val="16"/>
        </w:rPr>
        <w:t xml:space="preserve"> ER (oxycodone/naltrexone extended-release) to other opioids.</w:t>
      </w:r>
    </w:p>
    <w:p w:rsidR="00970D56" w:rsidRPr="003371E3" w:rsidRDefault="00970D56" w:rsidP="004920E8">
      <w:pPr>
        <w:pStyle w:val="BodyTextIndent"/>
        <w:ind w:left="0"/>
        <w:rPr>
          <w:rFonts w:ascii="Arial" w:hAnsi="Arial" w:cs="Arial"/>
        </w:rPr>
      </w:pPr>
    </w:p>
    <w:p w:rsidR="003371E3" w:rsidRPr="003371E3" w:rsidRDefault="00F9017C" w:rsidP="003371E3">
      <w:pPr>
        <w:pStyle w:val="BodyTextIndent"/>
        <w:ind w:left="0"/>
        <w:rPr>
          <w:rFonts w:ascii="Arial" w:hAnsi="Arial" w:cs="Arial"/>
          <w:b/>
          <w:i/>
        </w:rPr>
      </w:pPr>
      <w:r>
        <w:rPr>
          <w:rFonts w:ascii="Arial" w:hAnsi="Arial" w:cs="Arial"/>
          <w:b/>
          <w:i/>
        </w:rPr>
        <w:t>Dosing Considerations</w:t>
      </w:r>
      <w:r w:rsidR="003371E3">
        <w:rPr>
          <w:rFonts w:ascii="Arial" w:hAnsi="Arial" w:cs="Arial"/>
          <w:b/>
          <w:i/>
        </w:rPr>
        <w:t>:</w:t>
      </w:r>
    </w:p>
    <w:p w:rsidR="003371E3" w:rsidRPr="00970D56" w:rsidRDefault="003371E3" w:rsidP="00970D56">
      <w:pPr>
        <w:pStyle w:val="BodyTextIndent"/>
        <w:ind w:left="0"/>
        <w:rPr>
          <w:rFonts w:ascii="Arial" w:hAnsi="Arial" w:cs="Arial"/>
          <w:u w:val="single"/>
        </w:rPr>
      </w:pPr>
      <w:r w:rsidRPr="003371E3">
        <w:rPr>
          <w:rFonts w:ascii="Arial" w:hAnsi="Arial" w:cs="Arial"/>
          <w:u w:val="single"/>
        </w:rPr>
        <w:t xml:space="preserve">Conversion from other oral oxycodone formulations to </w:t>
      </w:r>
      <w:proofErr w:type="spellStart"/>
      <w:r w:rsidRPr="003371E3">
        <w:rPr>
          <w:rFonts w:ascii="Arial" w:hAnsi="Arial" w:cs="Arial"/>
          <w:u w:val="single"/>
        </w:rPr>
        <w:t>Troxyca</w:t>
      </w:r>
      <w:proofErr w:type="spellEnd"/>
      <w:r w:rsidRPr="003371E3">
        <w:rPr>
          <w:rFonts w:ascii="Arial" w:hAnsi="Arial" w:cs="Arial"/>
          <w:u w:val="single"/>
          <w:vertAlign w:val="superscript"/>
        </w:rPr>
        <w:t>®</w:t>
      </w:r>
      <w:r w:rsidRPr="003371E3">
        <w:rPr>
          <w:rFonts w:ascii="Arial" w:hAnsi="Arial" w:cs="Arial"/>
          <w:u w:val="single"/>
        </w:rPr>
        <w:t xml:space="preserve"> ER (oxycodone/naltrexone extended-release)</w:t>
      </w:r>
    </w:p>
    <w:p w:rsidR="003371E3" w:rsidRPr="00633DFD" w:rsidRDefault="003371E3" w:rsidP="003371E3">
      <w:pPr>
        <w:pStyle w:val="BodyTextIndent"/>
        <w:ind w:left="0"/>
        <w:rPr>
          <w:rFonts w:ascii="Arial" w:hAnsi="Arial" w:cs="Arial"/>
          <w:u w:val="single"/>
          <w:vertAlign w:val="superscript"/>
        </w:rPr>
      </w:pPr>
      <w:r w:rsidRPr="003371E3">
        <w:rPr>
          <w:rFonts w:ascii="Arial" w:hAnsi="Arial" w:cs="Arial"/>
        </w:rPr>
        <w:t xml:space="preserve">Patients receiving other oral oxycodone formulations may be converted to </w:t>
      </w:r>
      <w:proofErr w:type="spellStart"/>
      <w:r w:rsidR="00970D56" w:rsidRPr="00970D56">
        <w:rPr>
          <w:rFonts w:ascii="Arial" w:hAnsi="Arial" w:cs="Arial"/>
        </w:rPr>
        <w:t>Troxyca</w:t>
      </w:r>
      <w:proofErr w:type="spellEnd"/>
      <w:r w:rsidR="00970D56" w:rsidRPr="00970D56">
        <w:rPr>
          <w:rFonts w:ascii="Arial" w:hAnsi="Arial" w:cs="Arial"/>
          <w:vertAlign w:val="superscript"/>
        </w:rPr>
        <w:t>®</w:t>
      </w:r>
      <w:r w:rsidR="00970D56" w:rsidRPr="00970D56">
        <w:rPr>
          <w:rFonts w:ascii="Arial" w:hAnsi="Arial" w:cs="Arial"/>
        </w:rPr>
        <w:t xml:space="preserve"> ER (oxycodone/naltrexone extended-release)</w:t>
      </w:r>
      <w:r w:rsidRPr="00970D56">
        <w:rPr>
          <w:rFonts w:ascii="Arial" w:hAnsi="Arial" w:cs="Arial"/>
        </w:rPr>
        <w:t xml:space="preserve"> </w:t>
      </w:r>
      <w:r w:rsidRPr="003371E3">
        <w:rPr>
          <w:rFonts w:ascii="Arial" w:hAnsi="Arial" w:cs="Arial"/>
        </w:rPr>
        <w:t xml:space="preserve">by administering one half of the patient's total daily oral oxycodone dose as </w:t>
      </w:r>
      <w:proofErr w:type="spellStart"/>
      <w:r w:rsidR="00970D56" w:rsidRPr="00970D56">
        <w:rPr>
          <w:rFonts w:ascii="Arial" w:hAnsi="Arial" w:cs="Arial"/>
        </w:rPr>
        <w:t>Troxyca</w:t>
      </w:r>
      <w:proofErr w:type="spellEnd"/>
      <w:r w:rsidR="00970D56" w:rsidRPr="00970D56">
        <w:rPr>
          <w:rFonts w:ascii="Arial" w:hAnsi="Arial" w:cs="Arial"/>
          <w:vertAlign w:val="superscript"/>
        </w:rPr>
        <w:t>®</w:t>
      </w:r>
      <w:r w:rsidR="00970D56" w:rsidRPr="00970D56">
        <w:rPr>
          <w:rFonts w:ascii="Arial" w:hAnsi="Arial" w:cs="Arial"/>
        </w:rPr>
        <w:t xml:space="preserve"> ER (oxycodone/naltrexone extended-release) </w:t>
      </w:r>
      <w:r w:rsidRPr="003371E3">
        <w:rPr>
          <w:rFonts w:ascii="Arial" w:hAnsi="Arial" w:cs="Arial"/>
        </w:rPr>
        <w:t>every 12 hours.</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3371E3" w:rsidRPr="00970D56" w:rsidRDefault="00970D56" w:rsidP="00970D56">
      <w:pPr>
        <w:pStyle w:val="BodyTextIndent"/>
        <w:ind w:left="0"/>
        <w:rPr>
          <w:rFonts w:ascii="Arial" w:hAnsi="Arial" w:cs="Arial"/>
          <w:u w:val="single"/>
        </w:rPr>
      </w:pPr>
      <w:r>
        <w:rPr>
          <w:rFonts w:ascii="Arial" w:hAnsi="Arial" w:cs="Arial"/>
          <w:u w:val="single"/>
        </w:rPr>
        <w:t>Conversion from other o</w:t>
      </w:r>
      <w:r w:rsidR="003371E3" w:rsidRPr="003371E3">
        <w:rPr>
          <w:rFonts w:ascii="Arial" w:hAnsi="Arial" w:cs="Arial"/>
          <w:u w:val="single"/>
        </w:rPr>
        <w:t xml:space="preserve">pioids to </w:t>
      </w:r>
      <w:proofErr w:type="spellStart"/>
      <w:r w:rsidR="003371E3" w:rsidRPr="003371E3">
        <w:rPr>
          <w:rFonts w:ascii="Arial" w:hAnsi="Arial" w:cs="Arial"/>
          <w:u w:val="single"/>
        </w:rPr>
        <w:t>Troxyca</w:t>
      </w:r>
      <w:proofErr w:type="spellEnd"/>
      <w:r w:rsidR="003371E3" w:rsidRPr="003371E3">
        <w:rPr>
          <w:rFonts w:ascii="Arial" w:hAnsi="Arial" w:cs="Arial"/>
          <w:u w:val="single"/>
          <w:vertAlign w:val="superscript"/>
        </w:rPr>
        <w:t>®</w:t>
      </w:r>
      <w:r w:rsidR="003371E3" w:rsidRPr="003371E3">
        <w:rPr>
          <w:rFonts w:ascii="Arial" w:hAnsi="Arial" w:cs="Arial"/>
          <w:u w:val="single"/>
        </w:rPr>
        <w:t xml:space="preserve"> ER (oxycodone/naltrexone extended-release)</w:t>
      </w:r>
    </w:p>
    <w:p w:rsidR="003371E3" w:rsidRPr="00633DFD" w:rsidRDefault="003371E3" w:rsidP="003371E3">
      <w:pPr>
        <w:pStyle w:val="BodyTextIndent"/>
        <w:ind w:left="0"/>
        <w:rPr>
          <w:rFonts w:ascii="Arial" w:hAnsi="Arial" w:cs="Arial"/>
          <w:vertAlign w:val="superscript"/>
        </w:rPr>
      </w:pPr>
      <w:r w:rsidRPr="003371E3">
        <w:rPr>
          <w:rFonts w:ascii="Arial" w:hAnsi="Arial" w:cs="Arial"/>
        </w:rPr>
        <w:t xml:space="preserve">Discontinue all other around-the-clock opioid drugs when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w:t>
      </w:r>
      <w:r>
        <w:rPr>
          <w:rFonts w:ascii="Arial" w:hAnsi="Arial" w:cs="Arial"/>
        </w:rPr>
        <w:t xml:space="preserve"> </w:t>
      </w:r>
      <w:r w:rsidRPr="003371E3">
        <w:rPr>
          <w:rFonts w:ascii="Arial" w:hAnsi="Arial" w:cs="Arial"/>
        </w:rPr>
        <w:t>therapy is initiated.</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3371E3" w:rsidRPr="00633DFD" w:rsidRDefault="003371E3" w:rsidP="003371E3">
      <w:pPr>
        <w:pStyle w:val="BodyTextIndent"/>
        <w:ind w:left="0"/>
        <w:rPr>
          <w:rFonts w:ascii="Arial" w:hAnsi="Arial" w:cs="Arial"/>
          <w:vertAlign w:val="superscript"/>
        </w:rPr>
      </w:pPr>
      <w:r w:rsidRPr="003371E3">
        <w:rPr>
          <w:rFonts w:ascii="Arial" w:hAnsi="Arial" w:cs="Arial"/>
        </w:rPr>
        <w:t xml:space="preserve">There is inter-patient variability in the relative potency of opioid drugs and formulations. Therefore, a conservative approach is advised when determining the total daily dosage of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 It is safer </w:t>
      </w:r>
      <w:r w:rsidR="00970D56">
        <w:rPr>
          <w:rFonts w:ascii="Arial" w:hAnsi="Arial" w:cs="Arial"/>
        </w:rPr>
        <w:t>to underestimate a patient's total daily dose of</w:t>
      </w:r>
      <w:r w:rsidRPr="003371E3">
        <w:rPr>
          <w:rFonts w:ascii="Arial" w:hAnsi="Arial" w:cs="Arial"/>
        </w:rPr>
        <w:t xml:space="preserve">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w:t>
      </w:r>
      <w:r>
        <w:rPr>
          <w:rFonts w:ascii="Arial" w:hAnsi="Arial" w:cs="Arial"/>
        </w:rPr>
        <w:t xml:space="preserve"> </w:t>
      </w:r>
      <w:r w:rsidR="00970D56">
        <w:rPr>
          <w:rFonts w:ascii="Arial" w:hAnsi="Arial" w:cs="Arial"/>
        </w:rPr>
        <w:t xml:space="preserve">and provide rescue medication </w:t>
      </w:r>
      <w:r w:rsidRPr="003371E3">
        <w:rPr>
          <w:rFonts w:ascii="Arial" w:hAnsi="Arial" w:cs="Arial"/>
        </w:rPr>
        <w:t xml:space="preserve">than to overestimate the </w:t>
      </w:r>
      <w:r w:rsidR="00970D56">
        <w:rPr>
          <w:rFonts w:ascii="Arial" w:hAnsi="Arial" w:cs="Arial"/>
        </w:rPr>
        <w:t>total daily dose of</w:t>
      </w:r>
      <w:r w:rsidRPr="003371E3">
        <w:rPr>
          <w:rFonts w:ascii="Arial" w:hAnsi="Arial" w:cs="Arial"/>
        </w:rPr>
        <w:t xml:space="preserve"> oxycodone and manage an ad</w:t>
      </w:r>
      <w:r w:rsidR="001F19B1">
        <w:rPr>
          <w:rFonts w:ascii="Arial" w:hAnsi="Arial" w:cs="Arial"/>
        </w:rPr>
        <w:t>verse reaction due to overdose.</w:t>
      </w:r>
      <w:r w:rsidR="00633DFD">
        <w:rPr>
          <w:rFonts w:ascii="Arial" w:hAnsi="Arial" w:cs="Arial"/>
          <w:vertAlign w:val="superscript"/>
        </w:rPr>
        <w:t>1</w:t>
      </w:r>
    </w:p>
    <w:p w:rsidR="003371E3" w:rsidRPr="003371E3" w:rsidRDefault="003371E3" w:rsidP="003371E3">
      <w:pPr>
        <w:pStyle w:val="BodyTextIndent"/>
        <w:rPr>
          <w:rFonts w:ascii="Arial" w:hAnsi="Arial" w:cs="Arial"/>
        </w:rPr>
      </w:pPr>
    </w:p>
    <w:p w:rsidR="00F9017C" w:rsidRPr="00633DFD" w:rsidRDefault="003371E3" w:rsidP="003371E3">
      <w:pPr>
        <w:pStyle w:val="BodyTextIndent"/>
        <w:ind w:left="0"/>
        <w:rPr>
          <w:rFonts w:ascii="Arial" w:hAnsi="Arial" w:cs="Arial"/>
          <w:vertAlign w:val="superscript"/>
        </w:rPr>
      </w:pPr>
      <w:r w:rsidRPr="003371E3">
        <w:rPr>
          <w:rFonts w:ascii="Arial" w:hAnsi="Arial" w:cs="Arial"/>
        </w:rPr>
        <w:t xml:space="preserve">In a </w:t>
      </w:r>
      <w:r w:rsidR="00970D56">
        <w:rPr>
          <w:rFonts w:ascii="Arial" w:hAnsi="Arial" w:cs="Arial"/>
        </w:rPr>
        <w:t xml:space="preserve">clinical trial of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 with an open-label titration period, patients were converted from their prior opioid to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 using </w:t>
      </w:r>
      <w:r w:rsidR="00970D56">
        <w:rPr>
          <w:rFonts w:ascii="Arial" w:hAnsi="Arial" w:cs="Arial"/>
        </w:rPr>
        <w:t>the conversion factors in Table 7.</w:t>
      </w:r>
      <w:r w:rsidR="00633DFD">
        <w:rPr>
          <w:rFonts w:ascii="Arial" w:hAnsi="Arial" w:cs="Arial"/>
          <w:vertAlign w:val="superscript"/>
        </w:rPr>
        <w:t>1</w:t>
      </w:r>
    </w:p>
    <w:p w:rsidR="00970D56" w:rsidRDefault="00970D56" w:rsidP="003371E3">
      <w:pPr>
        <w:pStyle w:val="BodyTextIndent"/>
        <w:ind w:left="0"/>
        <w:rPr>
          <w:rFonts w:ascii="Arial" w:hAnsi="Arial" w:cs="Arial"/>
        </w:rPr>
      </w:pPr>
    </w:p>
    <w:p w:rsidR="0074685C" w:rsidRPr="00970D56" w:rsidRDefault="0074685C" w:rsidP="0074685C">
      <w:pPr>
        <w:pStyle w:val="BodyTextIndent"/>
        <w:ind w:left="0"/>
        <w:rPr>
          <w:rFonts w:ascii="Arial" w:hAnsi="Arial" w:cs="Arial"/>
          <w:u w:val="single"/>
        </w:rPr>
      </w:pPr>
      <w:r>
        <w:rPr>
          <w:rFonts w:ascii="Arial" w:hAnsi="Arial" w:cs="Arial"/>
          <w:u w:val="single"/>
        </w:rPr>
        <w:t>Conversion from m</w:t>
      </w:r>
      <w:r w:rsidRPr="00970D56">
        <w:rPr>
          <w:rFonts w:ascii="Arial" w:hAnsi="Arial" w:cs="Arial"/>
          <w:u w:val="single"/>
        </w:rPr>
        <w:t xml:space="preserve">ethadone to </w:t>
      </w:r>
      <w:proofErr w:type="spellStart"/>
      <w:r w:rsidRPr="003371E3">
        <w:rPr>
          <w:rFonts w:ascii="Arial" w:hAnsi="Arial" w:cs="Arial"/>
          <w:u w:val="single"/>
        </w:rPr>
        <w:t>Troxyca</w:t>
      </w:r>
      <w:proofErr w:type="spellEnd"/>
      <w:r w:rsidRPr="003371E3">
        <w:rPr>
          <w:rFonts w:ascii="Arial" w:hAnsi="Arial" w:cs="Arial"/>
          <w:u w:val="single"/>
          <w:vertAlign w:val="superscript"/>
        </w:rPr>
        <w:t>®</w:t>
      </w:r>
      <w:r w:rsidRPr="003371E3">
        <w:rPr>
          <w:rFonts w:ascii="Arial" w:hAnsi="Arial" w:cs="Arial"/>
          <w:u w:val="single"/>
        </w:rPr>
        <w:t xml:space="preserve"> ER (oxycodone/naltrexone extended-release)</w:t>
      </w:r>
    </w:p>
    <w:p w:rsidR="0074685C" w:rsidRPr="00633DFD" w:rsidRDefault="0074685C" w:rsidP="0074685C">
      <w:pPr>
        <w:pStyle w:val="BodyTextIndent"/>
        <w:ind w:left="0"/>
        <w:rPr>
          <w:rFonts w:ascii="Arial" w:hAnsi="Arial" w:cs="Arial"/>
          <w:vertAlign w:val="superscript"/>
        </w:rPr>
      </w:pPr>
      <w:r w:rsidRPr="00970D56">
        <w:rPr>
          <w:rFonts w:ascii="Arial" w:hAnsi="Arial" w:cs="Arial"/>
        </w:rPr>
        <w:t>Close monitoring is of particular importance when converting from methadone to other opioid agonists. The ratio between methadone and other opioid agonists may vary widely as a function of previous dose exposure. Methadone has a long half-life and can accumulate in the plasma.</w:t>
      </w:r>
      <w:r>
        <w:rPr>
          <w:rFonts w:ascii="Arial" w:hAnsi="Arial" w:cs="Arial"/>
          <w:vertAlign w:val="superscript"/>
        </w:rPr>
        <w:t>1</w:t>
      </w:r>
    </w:p>
    <w:p w:rsidR="0074685C" w:rsidRDefault="0074685C" w:rsidP="0074685C">
      <w:pPr>
        <w:pStyle w:val="BodyTextIndent"/>
        <w:ind w:left="0"/>
        <w:rPr>
          <w:rFonts w:ascii="Arial" w:hAnsi="Arial" w:cs="Arial"/>
          <w:b/>
          <w:u w:val="single"/>
        </w:rPr>
      </w:pPr>
    </w:p>
    <w:p w:rsidR="0074685C" w:rsidRPr="00970D56" w:rsidRDefault="0074685C" w:rsidP="0074685C">
      <w:pPr>
        <w:pStyle w:val="BodyTextIndent"/>
        <w:ind w:left="0"/>
        <w:rPr>
          <w:rFonts w:ascii="Arial" w:hAnsi="Arial" w:cs="Arial"/>
        </w:rPr>
      </w:pPr>
      <w:r>
        <w:rPr>
          <w:rFonts w:ascii="Arial" w:hAnsi="Arial" w:cs="Arial"/>
          <w:u w:val="single"/>
        </w:rPr>
        <w:t>Conversion from t</w:t>
      </w:r>
      <w:r w:rsidRPr="00970D56">
        <w:rPr>
          <w:rFonts w:ascii="Arial" w:hAnsi="Arial" w:cs="Arial"/>
          <w:u w:val="single"/>
        </w:rPr>
        <w:t xml:space="preserve">ramadol to </w:t>
      </w:r>
      <w:proofErr w:type="spellStart"/>
      <w:r w:rsidRPr="003371E3">
        <w:rPr>
          <w:rFonts w:ascii="Arial" w:hAnsi="Arial" w:cs="Arial"/>
          <w:u w:val="single"/>
        </w:rPr>
        <w:t>Troxyca</w:t>
      </w:r>
      <w:proofErr w:type="spellEnd"/>
      <w:r w:rsidRPr="003371E3">
        <w:rPr>
          <w:rFonts w:ascii="Arial" w:hAnsi="Arial" w:cs="Arial"/>
          <w:u w:val="single"/>
          <w:vertAlign w:val="superscript"/>
        </w:rPr>
        <w:t>®</w:t>
      </w:r>
      <w:r w:rsidRPr="003371E3">
        <w:rPr>
          <w:rFonts w:ascii="Arial" w:hAnsi="Arial" w:cs="Arial"/>
          <w:u w:val="single"/>
        </w:rPr>
        <w:t xml:space="preserve"> ER (oxycodone/naltrexone extended-release)</w:t>
      </w:r>
    </w:p>
    <w:p w:rsidR="0074685C" w:rsidRPr="0074685C" w:rsidRDefault="0074685C" w:rsidP="003371E3">
      <w:pPr>
        <w:pStyle w:val="BodyTextIndent"/>
        <w:ind w:left="0"/>
        <w:rPr>
          <w:rFonts w:ascii="Arial" w:hAnsi="Arial" w:cs="Arial"/>
          <w:vertAlign w:val="superscript"/>
        </w:rPr>
      </w:pPr>
      <w:r w:rsidRPr="00970D56">
        <w:rPr>
          <w:rFonts w:ascii="Arial" w:hAnsi="Arial" w:cs="Arial"/>
        </w:rPr>
        <w:t xml:space="preserve">Tramadol has both serotonergic and opioid activity, and there has been no systematic assessment of this conversion. The recommended starting dose of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 </w:t>
      </w:r>
      <w:r w:rsidRPr="00970D56">
        <w:rPr>
          <w:rFonts w:ascii="Arial" w:hAnsi="Arial" w:cs="Arial"/>
        </w:rPr>
        <w:t>in patients receiving tramadol is 10 mg/1.2 mg every 12 hours.</w:t>
      </w:r>
      <w:r>
        <w:rPr>
          <w:rFonts w:ascii="Arial" w:hAnsi="Arial" w:cs="Arial"/>
          <w:vertAlign w:val="superscript"/>
        </w:rPr>
        <w:t>1</w:t>
      </w:r>
    </w:p>
    <w:p w:rsidR="0074685C" w:rsidRDefault="0074685C" w:rsidP="003371E3">
      <w:pPr>
        <w:pStyle w:val="BodyTextIndent"/>
        <w:ind w:left="0"/>
        <w:rPr>
          <w:rFonts w:ascii="Arial" w:hAnsi="Arial" w:cs="Arial"/>
        </w:rPr>
      </w:pPr>
    </w:p>
    <w:p w:rsidR="00970D56" w:rsidRPr="00970D56" w:rsidRDefault="00970D56" w:rsidP="00970D56">
      <w:pPr>
        <w:pStyle w:val="BodyTextIndent"/>
        <w:ind w:left="0"/>
        <w:rPr>
          <w:rFonts w:ascii="Arial" w:hAnsi="Arial" w:cs="Arial"/>
          <w:u w:val="single"/>
        </w:rPr>
      </w:pPr>
      <w:r>
        <w:rPr>
          <w:rFonts w:ascii="Arial" w:hAnsi="Arial" w:cs="Arial"/>
          <w:u w:val="single"/>
        </w:rPr>
        <w:t>Conversion from transdermal f</w:t>
      </w:r>
      <w:r w:rsidRPr="00970D56">
        <w:rPr>
          <w:rFonts w:ascii="Arial" w:hAnsi="Arial" w:cs="Arial"/>
          <w:u w:val="single"/>
        </w:rPr>
        <w:t xml:space="preserve">entanyl to </w:t>
      </w:r>
      <w:proofErr w:type="spellStart"/>
      <w:r w:rsidRPr="00970D56">
        <w:rPr>
          <w:rFonts w:ascii="Arial" w:hAnsi="Arial" w:cs="Arial"/>
          <w:u w:val="single"/>
        </w:rPr>
        <w:t>Troxyca</w:t>
      </w:r>
      <w:proofErr w:type="spellEnd"/>
      <w:r w:rsidRPr="00970D56">
        <w:rPr>
          <w:rFonts w:ascii="Arial" w:hAnsi="Arial" w:cs="Arial"/>
          <w:u w:val="single"/>
          <w:vertAlign w:val="superscript"/>
        </w:rPr>
        <w:t>®</w:t>
      </w:r>
      <w:r w:rsidRPr="00970D56">
        <w:rPr>
          <w:rFonts w:ascii="Arial" w:hAnsi="Arial" w:cs="Arial"/>
          <w:u w:val="single"/>
        </w:rPr>
        <w:t xml:space="preserve"> ER (oxycodone/naltrexone extended-release)</w:t>
      </w:r>
    </w:p>
    <w:p w:rsidR="00970D56" w:rsidRPr="00633DFD" w:rsidRDefault="00970D56" w:rsidP="00970D56">
      <w:pPr>
        <w:pStyle w:val="BodyTextIndent"/>
        <w:ind w:left="0"/>
        <w:rPr>
          <w:rFonts w:ascii="Arial" w:hAnsi="Arial" w:cs="Arial"/>
          <w:vertAlign w:val="superscript"/>
        </w:rPr>
      </w:pPr>
      <w:r w:rsidRPr="00970D56">
        <w:rPr>
          <w:rFonts w:ascii="Arial" w:hAnsi="Arial" w:cs="Arial"/>
        </w:rPr>
        <w:t xml:space="preserve">Treatment with </w:t>
      </w:r>
      <w:proofErr w:type="spellStart"/>
      <w:r w:rsidR="007D1AB1" w:rsidRPr="003371E3">
        <w:rPr>
          <w:rFonts w:ascii="Arial" w:hAnsi="Arial" w:cs="Arial"/>
        </w:rPr>
        <w:t>Troxyca</w:t>
      </w:r>
      <w:proofErr w:type="spellEnd"/>
      <w:r w:rsidR="007D1AB1" w:rsidRPr="003371E3">
        <w:rPr>
          <w:rFonts w:ascii="Arial" w:hAnsi="Arial" w:cs="Arial"/>
          <w:vertAlign w:val="superscript"/>
        </w:rPr>
        <w:t>®</w:t>
      </w:r>
      <w:r w:rsidR="007D1AB1" w:rsidRPr="003371E3">
        <w:rPr>
          <w:rFonts w:ascii="Arial" w:hAnsi="Arial" w:cs="Arial"/>
        </w:rPr>
        <w:t xml:space="preserve"> ER (oxycodone/naltrexone extended-release) </w:t>
      </w:r>
      <w:r w:rsidRPr="00970D56">
        <w:rPr>
          <w:rFonts w:ascii="Arial" w:hAnsi="Arial" w:cs="Arial"/>
        </w:rPr>
        <w:t xml:space="preserve">can be initiated after the transdermal fentanyl patch has been removed for at least 18 hours. Although there has been no systematic assessment of such conversion, start with a conservative conversion: substitute 10 mg/1.2 mg of </w:t>
      </w:r>
      <w:proofErr w:type="spellStart"/>
      <w:r w:rsidR="007D1AB1" w:rsidRPr="003371E3">
        <w:rPr>
          <w:rFonts w:ascii="Arial" w:hAnsi="Arial" w:cs="Arial"/>
        </w:rPr>
        <w:t>Troxyca</w:t>
      </w:r>
      <w:proofErr w:type="spellEnd"/>
      <w:r w:rsidR="007D1AB1" w:rsidRPr="003371E3">
        <w:rPr>
          <w:rFonts w:ascii="Arial" w:hAnsi="Arial" w:cs="Arial"/>
          <w:vertAlign w:val="superscript"/>
        </w:rPr>
        <w:t>®</w:t>
      </w:r>
      <w:r w:rsidR="007D1AB1" w:rsidRPr="003371E3">
        <w:rPr>
          <w:rFonts w:ascii="Arial" w:hAnsi="Arial" w:cs="Arial"/>
        </w:rPr>
        <w:t xml:space="preserve"> ER (oxycodone/naltrexone extended-release) </w:t>
      </w:r>
      <w:r w:rsidRPr="00970D56">
        <w:rPr>
          <w:rFonts w:ascii="Arial" w:hAnsi="Arial" w:cs="Arial"/>
        </w:rPr>
        <w:t xml:space="preserve">every 12 hours for each 25 mcg/hr fentanyl transdermal patch. Follow the patient closely during conversion from transdermal fentanyl to </w:t>
      </w:r>
      <w:proofErr w:type="spellStart"/>
      <w:r w:rsidR="007D1AB1" w:rsidRPr="003371E3">
        <w:rPr>
          <w:rFonts w:ascii="Arial" w:hAnsi="Arial" w:cs="Arial"/>
        </w:rPr>
        <w:t>Troxyca</w:t>
      </w:r>
      <w:proofErr w:type="spellEnd"/>
      <w:r w:rsidR="007D1AB1" w:rsidRPr="003371E3">
        <w:rPr>
          <w:rFonts w:ascii="Arial" w:hAnsi="Arial" w:cs="Arial"/>
          <w:vertAlign w:val="superscript"/>
        </w:rPr>
        <w:t>®</w:t>
      </w:r>
      <w:r w:rsidR="007D1AB1" w:rsidRPr="003371E3">
        <w:rPr>
          <w:rFonts w:ascii="Arial" w:hAnsi="Arial" w:cs="Arial"/>
        </w:rPr>
        <w:t xml:space="preserve"> ER (oxycodone/naltrexone extended-release)</w:t>
      </w:r>
      <w:r w:rsidRPr="00970D56">
        <w:rPr>
          <w:rFonts w:ascii="Arial" w:hAnsi="Arial" w:cs="Arial"/>
        </w:rPr>
        <w:t>, as there is limited documented experience with this conversion.</w:t>
      </w:r>
      <w:r w:rsidR="00633DFD">
        <w:rPr>
          <w:rFonts w:ascii="Arial" w:hAnsi="Arial" w:cs="Arial"/>
          <w:vertAlign w:val="superscript"/>
        </w:rPr>
        <w:t>1</w:t>
      </w:r>
    </w:p>
    <w:p w:rsidR="00970D56" w:rsidRPr="00970D56" w:rsidRDefault="00970D56" w:rsidP="00970D56">
      <w:pPr>
        <w:pStyle w:val="BodyTextIndent"/>
        <w:rPr>
          <w:rFonts w:ascii="Arial" w:hAnsi="Arial" w:cs="Arial"/>
        </w:rPr>
      </w:pPr>
    </w:p>
    <w:p w:rsidR="00970D56" w:rsidRPr="00970D56" w:rsidRDefault="00970D56" w:rsidP="00970D56">
      <w:pPr>
        <w:pStyle w:val="BodyTextIndent"/>
        <w:ind w:left="0"/>
        <w:rPr>
          <w:rFonts w:ascii="Arial" w:hAnsi="Arial" w:cs="Arial"/>
          <w:u w:val="single"/>
        </w:rPr>
      </w:pPr>
      <w:r>
        <w:rPr>
          <w:rFonts w:ascii="Arial" w:hAnsi="Arial" w:cs="Arial"/>
          <w:u w:val="single"/>
        </w:rPr>
        <w:t>Conversion from transdermal</w:t>
      </w:r>
      <w:r w:rsidR="0074685C">
        <w:rPr>
          <w:rFonts w:ascii="Arial" w:hAnsi="Arial" w:cs="Arial"/>
          <w:u w:val="single"/>
        </w:rPr>
        <w:t xml:space="preserve"> </w:t>
      </w:r>
      <w:r>
        <w:rPr>
          <w:rFonts w:ascii="Arial" w:hAnsi="Arial" w:cs="Arial"/>
          <w:u w:val="single"/>
        </w:rPr>
        <w:t>b</w:t>
      </w:r>
      <w:r w:rsidRPr="00970D56">
        <w:rPr>
          <w:rFonts w:ascii="Arial" w:hAnsi="Arial" w:cs="Arial"/>
          <w:u w:val="single"/>
        </w:rPr>
        <w:t xml:space="preserve">uprenorphine to </w:t>
      </w:r>
      <w:proofErr w:type="spellStart"/>
      <w:r w:rsidRPr="003371E3">
        <w:rPr>
          <w:rFonts w:ascii="Arial" w:hAnsi="Arial" w:cs="Arial"/>
          <w:u w:val="single"/>
        </w:rPr>
        <w:t>Troxyca</w:t>
      </w:r>
      <w:proofErr w:type="spellEnd"/>
      <w:r w:rsidRPr="003371E3">
        <w:rPr>
          <w:rFonts w:ascii="Arial" w:hAnsi="Arial" w:cs="Arial"/>
          <w:u w:val="single"/>
          <w:vertAlign w:val="superscript"/>
        </w:rPr>
        <w:t>®</w:t>
      </w:r>
      <w:r w:rsidRPr="003371E3">
        <w:rPr>
          <w:rFonts w:ascii="Arial" w:hAnsi="Arial" w:cs="Arial"/>
          <w:u w:val="single"/>
        </w:rPr>
        <w:t xml:space="preserve"> ER (oxycodone/naltrexone extended-release)</w:t>
      </w:r>
    </w:p>
    <w:p w:rsidR="00970D56" w:rsidRPr="00633DFD" w:rsidRDefault="00970D56" w:rsidP="00970D56">
      <w:pPr>
        <w:pStyle w:val="BodyTextIndent"/>
        <w:ind w:left="0"/>
        <w:rPr>
          <w:rFonts w:ascii="Arial" w:hAnsi="Arial" w:cs="Arial"/>
          <w:vertAlign w:val="superscript"/>
        </w:rPr>
      </w:pPr>
      <w:r w:rsidRPr="00970D56">
        <w:rPr>
          <w:rFonts w:ascii="Arial" w:hAnsi="Arial" w:cs="Arial"/>
        </w:rPr>
        <w:t xml:space="preserve">There has been no systematic assessment of this conversion. The recommended starting dose of </w:t>
      </w:r>
      <w:proofErr w:type="spellStart"/>
      <w:r w:rsidR="007D1AB1" w:rsidRPr="003371E3">
        <w:rPr>
          <w:rFonts w:ascii="Arial" w:hAnsi="Arial" w:cs="Arial"/>
        </w:rPr>
        <w:t>Troxyca</w:t>
      </w:r>
      <w:proofErr w:type="spellEnd"/>
      <w:r w:rsidR="007D1AB1" w:rsidRPr="003371E3">
        <w:rPr>
          <w:rFonts w:ascii="Arial" w:hAnsi="Arial" w:cs="Arial"/>
          <w:vertAlign w:val="superscript"/>
        </w:rPr>
        <w:t>®</w:t>
      </w:r>
      <w:r w:rsidR="007D1AB1" w:rsidRPr="003371E3">
        <w:rPr>
          <w:rFonts w:ascii="Arial" w:hAnsi="Arial" w:cs="Arial"/>
        </w:rPr>
        <w:t xml:space="preserve"> ER (oxycodone/naltrexone extended-release) </w:t>
      </w:r>
      <w:r w:rsidRPr="00970D56">
        <w:rPr>
          <w:rFonts w:ascii="Arial" w:hAnsi="Arial" w:cs="Arial"/>
        </w:rPr>
        <w:t xml:space="preserve">in patients receiving transdermal buprenorphine </w:t>
      </w:r>
      <w:r w:rsidR="00633DFD">
        <w:rPr>
          <w:rFonts w:ascii="Arial" w:hAnsi="Arial" w:cs="Arial"/>
        </w:rPr>
        <w:t>is 10 mg/1.2 mg every 12 hours.</w:t>
      </w:r>
      <w:r w:rsidR="00633DFD">
        <w:rPr>
          <w:rFonts w:ascii="Arial" w:hAnsi="Arial" w:cs="Arial"/>
          <w:vertAlign w:val="superscript"/>
        </w:rPr>
        <w:t>1</w:t>
      </w:r>
    </w:p>
    <w:p w:rsidR="00970D56" w:rsidRPr="00970D56" w:rsidRDefault="00970D56" w:rsidP="00970D56">
      <w:pPr>
        <w:pStyle w:val="BodyTextIndent"/>
        <w:ind w:left="0"/>
        <w:rPr>
          <w:rFonts w:ascii="Arial" w:hAnsi="Arial" w:cs="Arial"/>
        </w:rPr>
      </w:pPr>
    </w:p>
    <w:bookmarkEnd w:id="1"/>
    <w:p w:rsidR="00EE0381" w:rsidRPr="00EE0381" w:rsidRDefault="00EE0381" w:rsidP="004920E8">
      <w:pPr>
        <w:pStyle w:val="BodyTextIndent"/>
        <w:ind w:left="0"/>
        <w:rPr>
          <w:rFonts w:ascii="Arial" w:hAnsi="Arial" w:cs="Arial"/>
          <w:u w:val="single"/>
        </w:rPr>
      </w:pPr>
      <w:r w:rsidRPr="00EE0381">
        <w:rPr>
          <w:rFonts w:ascii="Arial" w:hAnsi="Arial" w:cs="Arial"/>
          <w:u w:val="single"/>
        </w:rPr>
        <w:t xml:space="preserve">Discontinuation of </w:t>
      </w:r>
      <w:proofErr w:type="spellStart"/>
      <w:r w:rsidRPr="00EE0381">
        <w:rPr>
          <w:rFonts w:ascii="Arial" w:hAnsi="Arial" w:cs="Arial"/>
          <w:u w:val="single"/>
        </w:rPr>
        <w:t>Troxyca</w:t>
      </w:r>
      <w:proofErr w:type="spellEnd"/>
      <w:r w:rsidRPr="00EE0381">
        <w:rPr>
          <w:rFonts w:ascii="Arial" w:hAnsi="Arial" w:cs="Arial"/>
          <w:u w:val="single"/>
          <w:vertAlign w:val="superscript"/>
        </w:rPr>
        <w:t>®</w:t>
      </w:r>
      <w:r w:rsidRPr="00EE0381">
        <w:rPr>
          <w:rFonts w:ascii="Arial" w:hAnsi="Arial" w:cs="Arial"/>
          <w:u w:val="single"/>
        </w:rPr>
        <w:t xml:space="preserve"> ER (oxycodone/naltrexone extended-release)</w:t>
      </w:r>
    </w:p>
    <w:p w:rsidR="00EE0381" w:rsidRPr="00633DFD" w:rsidRDefault="00EE0381" w:rsidP="004920E8">
      <w:pPr>
        <w:pStyle w:val="BodyTextIndent"/>
        <w:ind w:left="0"/>
        <w:rPr>
          <w:rFonts w:ascii="Arial" w:hAnsi="Arial" w:cs="Arial"/>
          <w:vertAlign w:val="superscript"/>
        </w:rPr>
      </w:pPr>
      <w:r w:rsidRPr="00EE0381">
        <w:rPr>
          <w:rFonts w:ascii="Arial" w:hAnsi="Arial" w:cs="Arial"/>
        </w:rPr>
        <w:t xml:space="preserve">When a patient no longer requires therapy with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w:t>
      </w:r>
      <w:r w:rsidRPr="00EE0381">
        <w:rPr>
          <w:rFonts w:ascii="Arial" w:hAnsi="Arial" w:cs="Arial"/>
        </w:rPr>
        <w:t xml:space="preserve">, taper the dose gradually, by 25% to 50% every 2 to 4 days, while monitoring carefully for signs and symptoms of withdrawal. If the patient develops these signs or symptoms, raise the dose to the previous level and taper more slowly, either by increasing the interval between decreases, decreasing the amount of change in dose, or both. Do not abruptly discontinue </w:t>
      </w:r>
      <w:proofErr w:type="spellStart"/>
      <w:r w:rsidRPr="003371E3">
        <w:rPr>
          <w:rFonts w:ascii="Arial" w:hAnsi="Arial" w:cs="Arial"/>
        </w:rPr>
        <w:t>Troxyca</w:t>
      </w:r>
      <w:proofErr w:type="spellEnd"/>
      <w:r w:rsidRPr="003371E3">
        <w:rPr>
          <w:rFonts w:ascii="Arial" w:hAnsi="Arial" w:cs="Arial"/>
          <w:vertAlign w:val="superscript"/>
        </w:rPr>
        <w:t>®</w:t>
      </w:r>
      <w:r w:rsidRPr="003371E3">
        <w:rPr>
          <w:rFonts w:ascii="Arial" w:hAnsi="Arial" w:cs="Arial"/>
        </w:rPr>
        <w:t xml:space="preserve"> ER (oxycodone/naltrexone extended-release)</w:t>
      </w:r>
      <w:r>
        <w:rPr>
          <w:rFonts w:ascii="Arial" w:hAnsi="Arial" w:cs="Arial"/>
        </w:rPr>
        <w:t>.</w:t>
      </w:r>
      <w:r w:rsidR="00633DFD">
        <w:rPr>
          <w:rFonts w:ascii="Arial" w:hAnsi="Arial" w:cs="Arial"/>
          <w:vertAlign w:val="superscript"/>
        </w:rPr>
        <w:t>1</w:t>
      </w:r>
    </w:p>
    <w:p w:rsidR="00EE0381" w:rsidRDefault="00EE0381" w:rsidP="004920E8">
      <w:pPr>
        <w:pStyle w:val="BodyTextIndent"/>
        <w:ind w:left="0"/>
        <w:rPr>
          <w:rFonts w:ascii="Arial" w:hAnsi="Arial" w:cs="Arial"/>
          <w:b/>
          <w:u w:val="single"/>
        </w:rPr>
      </w:pPr>
    </w:p>
    <w:p w:rsidR="001C2825" w:rsidRPr="0044122B" w:rsidRDefault="00AE5B18" w:rsidP="004920E8">
      <w:pPr>
        <w:pStyle w:val="BodyTextIndent"/>
        <w:ind w:left="0"/>
        <w:rPr>
          <w:rFonts w:ascii="Arial" w:hAnsi="Arial" w:cs="Arial"/>
          <w:b/>
          <w:u w:val="single"/>
        </w:rPr>
      </w:pPr>
      <w:r>
        <w:rPr>
          <w:rFonts w:ascii="Arial" w:hAnsi="Arial" w:cs="Arial"/>
          <w:b/>
          <w:u w:val="single"/>
        </w:rPr>
        <w:t>Precautions</w:t>
      </w:r>
    </w:p>
    <w:p w:rsidR="005D585F" w:rsidRDefault="005D585F" w:rsidP="005D585F">
      <w:pPr>
        <w:pStyle w:val="NoSpacing"/>
        <w:rPr>
          <w:rFonts w:ascii="Arial" w:hAnsi="Arial" w:cs="Arial"/>
          <w:b/>
          <w:sz w:val="20"/>
          <w:szCs w:val="20"/>
        </w:rPr>
      </w:pPr>
    </w:p>
    <w:p w:rsidR="005D585F" w:rsidRPr="006244F2" w:rsidRDefault="005D585F" w:rsidP="005D585F">
      <w:pPr>
        <w:pStyle w:val="NoSpacing"/>
        <w:rPr>
          <w:rFonts w:ascii="Arial" w:hAnsi="Arial" w:cs="Arial"/>
          <w:b/>
          <w:sz w:val="20"/>
          <w:szCs w:val="20"/>
          <w:vertAlign w:val="superscript"/>
        </w:rPr>
      </w:pPr>
      <w:r>
        <w:rPr>
          <w:rFonts w:ascii="Arial" w:hAnsi="Arial" w:cs="Arial"/>
          <w:b/>
          <w:sz w:val="20"/>
          <w:szCs w:val="20"/>
        </w:rPr>
        <w:t xml:space="preserve">Boxed Warning for </w:t>
      </w:r>
      <w:proofErr w:type="spellStart"/>
      <w:r w:rsidR="006244F2">
        <w:rPr>
          <w:rFonts w:ascii="Arial" w:hAnsi="Arial" w:cs="Arial"/>
          <w:b/>
          <w:sz w:val="20"/>
          <w:szCs w:val="20"/>
        </w:rPr>
        <w:t>Troxyca</w:t>
      </w:r>
      <w:proofErr w:type="spellEnd"/>
      <w:r w:rsidR="006244F2">
        <w:rPr>
          <w:rFonts w:ascii="Arial" w:hAnsi="Arial" w:cs="Arial"/>
          <w:b/>
          <w:sz w:val="20"/>
          <w:szCs w:val="20"/>
          <w:vertAlign w:val="superscript"/>
        </w:rPr>
        <w:t>®</w:t>
      </w:r>
      <w:r w:rsidR="006244F2">
        <w:rPr>
          <w:rFonts w:ascii="Arial" w:hAnsi="Arial" w:cs="Arial"/>
          <w:b/>
          <w:sz w:val="20"/>
          <w:szCs w:val="20"/>
        </w:rPr>
        <w:t xml:space="preserve"> ER (oxycodone/naltrexone extended-release)</w:t>
      </w:r>
      <w:r w:rsidR="006244F2">
        <w:rPr>
          <w:rFonts w:ascii="Arial" w:hAnsi="Arial" w:cs="Arial"/>
          <w:b/>
          <w:sz w:val="20"/>
          <w:szCs w:val="20"/>
          <w:vertAlign w:val="superscript"/>
        </w:rPr>
        <w:t>1</w:t>
      </w:r>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5D585F" w:rsidRPr="00385781" w:rsidTr="00D42930">
        <w:trPr>
          <w:tblHeader/>
        </w:trPr>
        <w:tc>
          <w:tcPr>
            <w:tcW w:w="9460" w:type="dxa"/>
            <w:tcBorders>
              <w:top w:val="single" w:sz="18" w:space="0" w:color="auto"/>
              <w:left w:val="single" w:sz="18" w:space="0" w:color="auto"/>
              <w:bottom w:val="single" w:sz="18" w:space="0" w:color="auto"/>
              <w:right w:val="single" w:sz="18" w:space="0" w:color="auto"/>
            </w:tcBorders>
          </w:tcPr>
          <w:p w:rsidR="005D585F" w:rsidRPr="00385781" w:rsidRDefault="005D585F" w:rsidP="00D42930">
            <w:pPr>
              <w:spacing w:after="0" w:line="240" w:lineRule="auto"/>
              <w:jc w:val="center"/>
              <w:rPr>
                <w:rFonts w:ascii="Arial" w:hAnsi="Arial" w:cs="Arial"/>
                <w:b/>
                <w:sz w:val="20"/>
                <w:szCs w:val="20"/>
              </w:rPr>
            </w:pPr>
            <w:r w:rsidRPr="00385781">
              <w:rPr>
                <w:rFonts w:ascii="Arial" w:hAnsi="Arial" w:cs="Arial"/>
                <w:b/>
                <w:sz w:val="20"/>
                <w:szCs w:val="20"/>
              </w:rPr>
              <w:t>WARNING</w:t>
            </w:r>
          </w:p>
        </w:tc>
      </w:tr>
      <w:tr w:rsidR="005D585F" w:rsidRPr="00385781" w:rsidTr="00D42930">
        <w:tc>
          <w:tcPr>
            <w:tcW w:w="9460" w:type="dxa"/>
            <w:tcBorders>
              <w:top w:val="nil"/>
              <w:left w:val="single" w:sz="18" w:space="0" w:color="auto"/>
              <w:bottom w:val="single" w:sz="18" w:space="0" w:color="auto"/>
              <w:right w:val="single" w:sz="18" w:space="0" w:color="auto"/>
            </w:tcBorders>
          </w:tcPr>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Pr>
                <w:rFonts w:ascii="Arial" w:eastAsia="MyriadPro-BoldCond" w:hAnsi="Arial" w:cs="Arial"/>
                <w:bCs/>
                <w:sz w:val="20"/>
                <w:szCs w:val="20"/>
                <w:u w:val="single"/>
              </w:rPr>
              <w:t>Addiction, Abuse</w:t>
            </w:r>
            <w:r w:rsidRPr="00385781">
              <w:rPr>
                <w:rFonts w:ascii="Arial" w:eastAsia="MyriadPro-BoldCond" w:hAnsi="Arial" w:cs="Arial"/>
                <w:bCs/>
                <w:sz w:val="20"/>
                <w:szCs w:val="20"/>
                <w:u w:val="single"/>
              </w:rPr>
              <w:t xml:space="preserve"> and Misuse </w:t>
            </w:r>
          </w:p>
          <w:p w:rsidR="005D585F" w:rsidRPr="00F62B56" w:rsidRDefault="00F62B56" w:rsidP="00D42930">
            <w:pPr>
              <w:spacing w:after="0" w:line="240" w:lineRule="auto"/>
              <w:rPr>
                <w:rFonts w:ascii="Arial" w:hAnsi="Arial" w:cs="Arial"/>
                <w:sz w:val="20"/>
                <w:szCs w:val="20"/>
              </w:rPr>
            </w:pPr>
            <w:proofErr w:type="spellStart"/>
            <w:r w:rsidRPr="00F62B56">
              <w:rPr>
                <w:rFonts w:ascii="Arial" w:hAnsi="Arial" w:cs="Arial"/>
                <w:sz w:val="20"/>
                <w:szCs w:val="20"/>
              </w:rPr>
              <w:t>Troxyca</w:t>
            </w:r>
            <w:proofErr w:type="spellEnd"/>
            <w:r w:rsidRPr="00F62B56">
              <w:rPr>
                <w:rFonts w:ascii="Arial" w:hAnsi="Arial" w:cs="Arial"/>
                <w:sz w:val="20"/>
                <w:szCs w:val="20"/>
                <w:vertAlign w:val="superscript"/>
              </w:rPr>
              <w:t>®</w:t>
            </w:r>
            <w:r w:rsidRPr="00F62B56">
              <w:rPr>
                <w:rFonts w:ascii="Arial" w:hAnsi="Arial" w:cs="Arial"/>
                <w:sz w:val="20"/>
                <w:szCs w:val="20"/>
              </w:rPr>
              <w:t xml:space="preserve"> ER (oxycodone/naltrexone extended-release) exposes users to risks of addiction, abuse, and misuse, which can lead to overdose and death. Assess each patient’s risk before prescribing and monitor regularly for these behaviors and conditions.</w:t>
            </w:r>
          </w:p>
          <w:p w:rsidR="00F62B56" w:rsidRPr="00F62B56" w:rsidRDefault="00F62B56" w:rsidP="00D42930">
            <w:pPr>
              <w:spacing w:after="0" w:line="240" w:lineRule="auto"/>
              <w:rPr>
                <w:rFonts w:ascii="Arial" w:hAnsi="Arial" w:cs="Arial"/>
                <w:sz w:val="20"/>
                <w:szCs w:val="20"/>
              </w:rPr>
            </w:pPr>
          </w:p>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F62B56">
              <w:rPr>
                <w:rFonts w:ascii="Arial" w:eastAsia="MyriadPro-BoldCond" w:hAnsi="Arial" w:cs="Arial"/>
                <w:bCs/>
                <w:sz w:val="20"/>
                <w:szCs w:val="20"/>
                <w:u w:val="single"/>
              </w:rPr>
              <w:t xml:space="preserve">Life-Threatening Respiratory Depression </w:t>
            </w:r>
          </w:p>
          <w:p w:rsidR="005D585F" w:rsidRDefault="00F62B56" w:rsidP="00D42930">
            <w:pPr>
              <w:spacing w:after="0" w:line="240" w:lineRule="auto"/>
              <w:rPr>
                <w:rFonts w:ascii="Arial" w:hAnsi="Arial" w:cs="Arial"/>
                <w:sz w:val="20"/>
                <w:szCs w:val="20"/>
              </w:rPr>
            </w:pPr>
            <w:r w:rsidRPr="00F62B56">
              <w:rPr>
                <w:rFonts w:ascii="Arial" w:hAnsi="Arial" w:cs="Arial"/>
                <w:sz w:val="20"/>
                <w:szCs w:val="20"/>
              </w:rPr>
              <w:t>Serious, life-threatening, or fatal respiratory depression may occur. Monitor closely, especially upon initiation or following a dose increase.</w:t>
            </w:r>
            <w:r>
              <w:rPr>
                <w:rFonts w:ascii="Arial" w:hAnsi="Arial" w:cs="Arial"/>
                <w:sz w:val="20"/>
                <w:szCs w:val="20"/>
              </w:rPr>
              <w:t xml:space="preserve"> </w:t>
            </w:r>
            <w:r w:rsidRPr="00F62B56">
              <w:rPr>
                <w:rFonts w:ascii="Arial" w:hAnsi="Arial" w:cs="Arial"/>
                <w:sz w:val="20"/>
                <w:szCs w:val="20"/>
              </w:rPr>
              <w:t xml:space="preserve">Instruct patients to swallow </w:t>
            </w:r>
            <w:proofErr w:type="spellStart"/>
            <w:r w:rsidRPr="00F62B56">
              <w:rPr>
                <w:rFonts w:ascii="Arial" w:hAnsi="Arial" w:cs="Arial"/>
                <w:sz w:val="20"/>
                <w:szCs w:val="20"/>
              </w:rPr>
              <w:t>Troxyca</w:t>
            </w:r>
            <w:proofErr w:type="spellEnd"/>
            <w:r w:rsidRPr="00F62B56">
              <w:rPr>
                <w:rFonts w:ascii="Arial" w:hAnsi="Arial" w:cs="Arial"/>
                <w:sz w:val="20"/>
                <w:szCs w:val="20"/>
                <w:vertAlign w:val="superscript"/>
              </w:rPr>
              <w:t>®</w:t>
            </w:r>
            <w:r w:rsidRPr="00F62B56">
              <w:rPr>
                <w:rFonts w:ascii="Arial" w:hAnsi="Arial" w:cs="Arial"/>
                <w:sz w:val="20"/>
                <w:szCs w:val="20"/>
              </w:rPr>
              <w:t xml:space="preserve"> ER (oxycodone/naltrexone extended-release)</w:t>
            </w:r>
            <w:r>
              <w:rPr>
                <w:rFonts w:ascii="Arial" w:hAnsi="Arial" w:cs="Arial"/>
                <w:sz w:val="20"/>
                <w:szCs w:val="20"/>
              </w:rPr>
              <w:t xml:space="preserve"> </w:t>
            </w:r>
            <w:r w:rsidRPr="00F62B56">
              <w:rPr>
                <w:rFonts w:ascii="Arial" w:hAnsi="Arial" w:cs="Arial"/>
                <w:sz w:val="20"/>
                <w:szCs w:val="20"/>
              </w:rPr>
              <w:t xml:space="preserve">capsules whole or to sprinkle the contents of the capsule on applesauce and swallow immediately without chewing. Crushing, chewing, or dissolving </w:t>
            </w:r>
            <w:proofErr w:type="spellStart"/>
            <w:r w:rsidRPr="00F62B56">
              <w:rPr>
                <w:rFonts w:ascii="Arial" w:hAnsi="Arial" w:cs="Arial"/>
                <w:sz w:val="20"/>
                <w:szCs w:val="20"/>
              </w:rPr>
              <w:t>Troxyca</w:t>
            </w:r>
            <w:proofErr w:type="spellEnd"/>
            <w:r w:rsidRPr="00F62B56">
              <w:rPr>
                <w:rFonts w:ascii="Arial" w:hAnsi="Arial" w:cs="Arial"/>
                <w:sz w:val="20"/>
                <w:szCs w:val="20"/>
                <w:vertAlign w:val="superscript"/>
              </w:rPr>
              <w:t>®</w:t>
            </w:r>
            <w:r w:rsidRPr="00F62B56">
              <w:rPr>
                <w:rFonts w:ascii="Arial" w:hAnsi="Arial" w:cs="Arial"/>
                <w:sz w:val="20"/>
                <w:szCs w:val="20"/>
              </w:rPr>
              <w:t xml:space="preserve"> ER (oxycodone/naltrexone extended-release)</w:t>
            </w:r>
            <w:r>
              <w:rPr>
                <w:rFonts w:ascii="Arial" w:hAnsi="Arial" w:cs="Arial"/>
                <w:sz w:val="20"/>
                <w:szCs w:val="20"/>
              </w:rPr>
              <w:t xml:space="preserve"> </w:t>
            </w:r>
            <w:r w:rsidRPr="00F62B56">
              <w:rPr>
                <w:rFonts w:ascii="Arial" w:hAnsi="Arial" w:cs="Arial"/>
                <w:sz w:val="20"/>
                <w:szCs w:val="20"/>
              </w:rPr>
              <w:t>can cause rapid release and absorption of a potentially fatal dose of oxycodone</w:t>
            </w:r>
            <w:r>
              <w:rPr>
                <w:rFonts w:ascii="Arial" w:hAnsi="Arial" w:cs="Arial"/>
                <w:sz w:val="20"/>
                <w:szCs w:val="20"/>
              </w:rPr>
              <w:t>.</w:t>
            </w:r>
          </w:p>
          <w:p w:rsidR="00F62B56" w:rsidRPr="00F62B56" w:rsidRDefault="00F62B56" w:rsidP="00D42930">
            <w:pPr>
              <w:spacing w:after="0" w:line="240" w:lineRule="auto"/>
              <w:rPr>
                <w:rFonts w:ascii="Arial" w:hAnsi="Arial" w:cs="Arial"/>
                <w:sz w:val="20"/>
                <w:szCs w:val="20"/>
              </w:rPr>
            </w:pPr>
          </w:p>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F62B56">
              <w:rPr>
                <w:rFonts w:ascii="Arial" w:eastAsia="MyriadPro-BoldCond" w:hAnsi="Arial" w:cs="Arial"/>
                <w:bCs/>
                <w:sz w:val="20"/>
                <w:szCs w:val="20"/>
                <w:u w:val="single"/>
              </w:rPr>
              <w:t xml:space="preserve">Accidental Ingestion </w:t>
            </w:r>
          </w:p>
          <w:p w:rsidR="005D585F" w:rsidRDefault="00F62B56" w:rsidP="00D42930">
            <w:pPr>
              <w:spacing w:after="0" w:line="240" w:lineRule="auto"/>
              <w:rPr>
                <w:rFonts w:ascii="Arial" w:hAnsi="Arial" w:cs="Arial"/>
                <w:sz w:val="20"/>
                <w:szCs w:val="20"/>
              </w:rPr>
            </w:pPr>
            <w:r w:rsidRPr="00F62B56">
              <w:rPr>
                <w:rFonts w:ascii="Arial" w:hAnsi="Arial" w:cs="Arial"/>
                <w:sz w:val="20"/>
                <w:szCs w:val="20"/>
              </w:rPr>
              <w:t xml:space="preserve">Accidental ingestion of </w:t>
            </w:r>
            <w:proofErr w:type="spellStart"/>
            <w:r w:rsidRPr="00F62B56">
              <w:rPr>
                <w:rFonts w:ascii="Arial" w:hAnsi="Arial" w:cs="Arial"/>
                <w:sz w:val="20"/>
                <w:szCs w:val="20"/>
              </w:rPr>
              <w:t>Troxyca</w:t>
            </w:r>
            <w:proofErr w:type="spellEnd"/>
            <w:r w:rsidRPr="00F62B56">
              <w:rPr>
                <w:rFonts w:ascii="Arial" w:hAnsi="Arial" w:cs="Arial"/>
                <w:sz w:val="20"/>
                <w:szCs w:val="20"/>
                <w:vertAlign w:val="superscript"/>
              </w:rPr>
              <w:t>®</w:t>
            </w:r>
            <w:r w:rsidRPr="00F62B56">
              <w:rPr>
                <w:rFonts w:ascii="Arial" w:hAnsi="Arial" w:cs="Arial"/>
                <w:sz w:val="20"/>
                <w:szCs w:val="20"/>
              </w:rPr>
              <w:t xml:space="preserve"> ER (oxycodone/naltrexone extended-release), especially by children, can result in fatal overdose of oxycodone.</w:t>
            </w:r>
          </w:p>
          <w:p w:rsidR="00F62B56" w:rsidRPr="00F62B56" w:rsidRDefault="00F62B56" w:rsidP="00D42930">
            <w:pPr>
              <w:spacing w:after="0" w:line="240" w:lineRule="auto"/>
              <w:rPr>
                <w:rFonts w:ascii="Arial" w:hAnsi="Arial" w:cs="Arial"/>
                <w:sz w:val="20"/>
                <w:szCs w:val="20"/>
              </w:rPr>
            </w:pPr>
          </w:p>
          <w:p w:rsidR="005D585F" w:rsidRPr="00F62B56" w:rsidRDefault="005D585F" w:rsidP="00D42930">
            <w:pPr>
              <w:autoSpaceDE w:val="0"/>
              <w:autoSpaceDN w:val="0"/>
              <w:adjustRightInd w:val="0"/>
              <w:spacing w:after="0" w:line="240" w:lineRule="auto"/>
              <w:rPr>
                <w:rFonts w:ascii="Arial" w:eastAsia="MyriadPro-BoldCond" w:hAnsi="Arial" w:cs="Arial"/>
                <w:bCs/>
                <w:sz w:val="20"/>
                <w:szCs w:val="20"/>
                <w:u w:val="single"/>
              </w:rPr>
            </w:pPr>
            <w:r w:rsidRPr="00F62B56">
              <w:rPr>
                <w:rFonts w:ascii="Arial" w:eastAsia="MyriadPro-BoldCond" w:hAnsi="Arial" w:cs="Arial"/>
                <w:bCs/>
                <w:sz w:val="20"/>
                <w:szCs w:val="20"/>
                <w:u w:val="single"/>
              </w:rPr>
              <w:t xml:space="preserve">Neonatal Opioid Withdrawal Syndrome </w:t>
            </w:r>
          </w:p>
          <w:p w:rsidR="005D585F" w:rsidRPr="00685823" w:rsidRDefault="00685823" w:rsidP="006D6556">
            <w:pPr>
              <w:autoSpaceDE w:val="0"/>
              <w:autoSpaceDN w:val="0"/>
              <w:adjustRightInd w:val="0"/>
              <w:spacing w:after="0" w:line="240" w:lineRule="auto"/>
              <w:rPr>
                <w:rFonts w:ascii="Arial" w:hAnsi="Arial" w:cs="Arial"/>
                <w:sz w:val="20"/>
                <w:szCs w:val="20"/>
              </w:rPr>
            </w:pPr>
            <w:r w:rsidRPr="00685823">
              <w:rPr>
                <w:rFonts w:ascii="Arial" w:hAnsi="Arial" w:cs="Arial"/>
                <w:sz w:val="20"/>
                <w:szCs w:val="20"/>
              </w:rPr>
              <w:t xml:space="preserve">Prolonged use of </w:t>
            </w:r>
            <w:proofErr w:type="spellStart"/>
            <w:r w:rsidRPr="00F62B56">
              <w:rPr>
                <w:rFonts w:ascii="Arial" w:hAnsi="Arial" w:cs="Arial"/>
                <w:sz w:val="20"/>
                <w:szCs w:val="20"/>
              </w:rPr>
              <w:t>Troxyca</w:t>
            </w:r>
            <w:proofErr w:type="spellEnd"/>
            <w:r w:rsidRPr="00F62B56">
              <w:rPr>
                <w:rFonts w:ascii="Arial" w:hAnsi="Arial" w:cs="Arial"/>
                <w:sz w:val="20"/>
                <w:szCs w:val="20"/>
                <w:vertAlign w:val="superscript"/>
              </w:rPr>
              <w:t>®</w:t>
            </w:r>
            <w:r w:rsidRPr="00F62B56">
              <w:rPr>
                <w:rFonts w:ascii="Arial" w:hAnsi="Arial" w:cs="Arial"/>
                <w:sz w:val="20"/>
                <w:szCs w:val="20"/>
              </w:rPr>
              <w:t xml:space="preserve"> ER (oxycodone/naltrexone extended-release)</w:t>
            </w:r>
            <w:r w:rsidRPr="00685823">
              <w:rPr>
                <w:rFonts w:ascii="Arial" w:hAnsi="Arial" w:cs="Arial"/>
                <w:sz w:val="20"/>
                <w:szCs w:val="20"/>
              </w:rPr>
              <w:t xml:space="preserve"> 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p w:rsidR="00F62B56" w:rsidRDefault="00F62B56" w:rsidP="006D6556">
            <w:pPr>
              <w:autoSpaceDE w:val="0"/>
              <w:autoSpaceDN w:val="0"/>
              <w:adjustRightInd w:val="0"/>
              <w:spacing w:after="0" w:line="240" w:lineRule="auto"/>
              <w:rPr>
                <w:rFonts w:ascii="Arial" w:hAnsi="Arial" w:cs="Arial"/>
                <w:color w:val="339966"/>
                <w:sz w:val="20"/>
                <w:szCs w:val="20"/>
              </w:rPr>
            </w:pPr>
          </w:p>
          <w:p w:rsidR="00685823" w:rsidRPr="00685823" w:rsidRDefault="00685823" w:rsidP="006D6556">
            <w:pPr>
              <w:autoSpaceDE w:val="0"/>
              <w:autoSpaceDN w:val="0"/>
              <w:adjustRightInd w:val="0"/>
              <w:spacing w:after="0" w:line="240" w:lineRule="auto"/>
              <w:rPr>
                <w:rFonts w:ascii="Arial" w:hAnsi="Arial" w:cs="Arial"/>
                <w:sz w:val="20"/>
                <w:szCs w:val="20"/>
                <w:u w:val="single"/>
              </w:rPr>
            </w:pPr>
            <w:r w:rsidRPr="00685823">
              <w:rPr>
                <w:rFonts w:ascii="Arial" w:hAnsi="Arial" w:cs="Arial"/>
                <w:sz w:val="20"/>
                <w:szCs w:val="20"/>
                <w:u w:val="single"/>
              </w:rPr>
              <w:t>CYP3A4 Inhibitors or Inducers</w:t>
            </w:r>
          </w:p>
          <w:p w:rsidR="00685823" w:rsidRDefault="00685823" w:rsidP="00685823">
            <w:pPr>
              <w:autoSpaceDE w:val="0"/>
              <w:autoSpaceDN w:val="0"/>
              <w:adjustRightInd w:val="0"/>
              <w:spacing w:after="0" w:line="240" w:lineRule="auto"/>
              <w:rPr>
                <w:rFonts w:ascii="Arial" w:hAnsi="Arial" w:cs="Arial"/>
                <w:sz w:val="20"/>
                <w:szCs w:val="20"/>
              </w:rPr>
            </w:pPr>
            <w:r w:rsidRPr="00685823">
              <w:rPr>
                <w:rFonts w:ascii="Arial" w:hAnsi="Arial" w:cs="Arial"/>
                <w:sz w:val="20"/>
                <w:szCs w:val="20"/>
              </w:rPr>
              <w:t xml:space="preserve">The concomitant use of </w:t>
            </w:r>
            <w:proofErr w:type="spellStart"/>
            <w:r w:rsidRPr="00F62B56">
              <w:rPr>
                <w:rFonts w:ascii="Arial" w:hAnsi="Arial" w:cs="Arial"/>
                <w:sz w:val="20"/>
                <w:szCs w:val="20"/>
              </w:rPr>
              <w:t>Troxyca</w:t>
            </w:r>
            <w:proofErr w:type="spellEnd"/>
            <w:r w:rsidRPr="00F62B56">
              <w:rPr>
                <w:rFonts w:ascii="Arial" w:hAnsi="Arial" w:cs="Arial"/>
                <w:sz w:val="20"/>
                <w:szCs w:val="20"/>
                <w:vertAlign w:val="superscript"/>
              </w:rPr>
              <w:t>®</w:t>
            </w:r>
            <w:r w:rsidRPr="00F62B56">
              <w:rPr>
                <w:rFonts w:ascii="Arial" w:hAnsi="Arial" w:cs="Arial"/>
                <w:sz w:val="20"/>
                <w:szCs w:val="20"/>
              </w:rPr>
              <w:t xml:space="preserve"> ER (oxycodone/naltrexone extended-release)</w:t>
            </w:r>
            <w:r w:rsidRPr="00685823">
              <w:rPr>
                <w:rFonts w:ascii="Arial" w:hAnsi="Arial" w:cs="Arial"/>
                <w:sz w:val="20"/>
                <w:szCs w:val="20"/>
              </w:rPr>
              <w:t xml:space="preserve"> </w:t>
            </w:r>
            <w:r>
              <w:rPr>
                <w:rFonts w:ascii="Arial" w:hAnsi="Arial" w:cs="Arial"/>
                <w:sz w:val="20"/>
                <w:szCs w:val="20"/>
              </w:rPr>
              <w:t>with all CYP</w:t>
            </w:r>
            <w:r w:rsidRPr="00685823">
              <w:rPr>
                <w:rFonts w:ascii="Arial" w:hAnsi="Arial" w:cs="Arial"/>
                <w:sz w:val="20"/>
                <w:szCs w:val="20"/>
              </w:rPr>
              <w:t>3A4 inhibitors may result in an increase in oxycodone plasma concentrations, which could increase or prolong adverse drug effects and may cause potentially fatal respiratory depression. In addition, discontin</w:t>
            </w:r>
            <w:r>
              <w:rPr>
                <w:rFonts w:ascii="Arial" w:hAnsi="Arial" w:cs="Arial"/>
                <w:sz w:val="20"/>
                <w:szCs w:val="20"/>
              </w:rPr>
              <w:t>uation of a concomitantly used CYP</w:t>
            </w:r>
            <w:r w:rsidRPr="00685823">
              <w:rPr>
                <w:rFonts w:ascii="Arial" w:hAnsi="Arial" w:cs="Arial"/>
                <w:sz w:val="20"/>
                <w:szCs w:val="20"/>
              </w:rPr>
              <w:t xml:space="preserve">3A4 inducer may result in an increase in oxycodone plasma concentrations. Monitor patients receiving </w:t>
            </w:r>
            <w:proofErr w:type="spellStart"/>
            <w:r w:rsidRPr="00F62B56">
              <w:rPr>
                <w:rFonts w:ascii="Arial" w:hAnsi="Arial" w:cs="Arial"/>
                <w:sz w:val="20"/>
                <w:szCs w:val="20"/>
              </w:rPr>
              <w:t>Troxyca</w:t>
            </w:r>
            <w:proofErr w:type="spellEnd"/>
            <w:r w:rsidRPr="00F62B56">
              <w:rPr>
                <w:rFonts w:ascii="Arial" w:hAnsi="Arial" w:cs="Arial"/>
                <w:sz w:val="20"/>
                <w:szCs w:val="20"/>
                <w:vertAlign w:val="superscript"/>
              </w:rPr>
              <w:t>®</w:t>
            </w:r>
            <w:r w:rsidRPr="00F62B56">
              <w:rPr>
                <w:rFonts w:ascii="Arial" w:hAnsi="Arial" w:cs="Arial"/>
                <w:sz w:val="20"/>
                <w:szCs w:val="20"/>
              </w:rPr>
              <w:t xml:space="preserve"> ER (oxycodone/naltrexone extended-release)</w:t>
            </w:r>
            <w:r w:rsidRPr="00685823">
              <w:rPr>
                <w:rFonts w:ascii="Arial" w:hAnsi="Arial" w:cs="Arial"/>
                <w:sz w:val="20"/>
                <w:szCs w:val="20"/>
              </w:rPr>
              <w:t xml:space="preserve"> and any CYP3A4 inhibitor or inducer.</w:t>
            </w:r>
          </w:p>
          <w:p w:rsidR="00685823" w:rsidRDefault="00685823" w:rsidP="00685823">
            <w:pPr>
              <w:autoSpaceDE w:val="0"/>
              <w:autoSpaceDN w:val="0"/>
              <w:adjustRightInd w:val="0"/>
              <w:spacing w:after="0" w:line="240" w:lineRule="auto"/>
              <w:rPr>
                <w:rFonts w:ascii="Arial" w:hAnsi="Arial" w:cs="Arial"/>
                <w:sz w:val="20"/>
                <w:szCs w:val="20"/>
              </w:rPr>
            </w:pPr>
          </w:p>
          <w:p w:rsidR="00685823" w:rsidRDefault="00685823" w:rsidP="00685823">
            <w:pPr>
              <w:autoSpaceDE w:val="0"/>
              <w:autoSpaceDN w:val="0"/>
              <w:adjustRightInd w:val="0"/>
              <w:spacing w:after="0" w:line="240" w:lineRule="auto"/>
              <w:rPr>
                <w:rFonts w:ascii="Arial" w:hAnsi="Arial" w:cs="Arial"/>
                <w:sz w:val="20"/>
                <w:szCs w:val="20"/>
              </w:rPr>
            </w:pPr>
            <w:r>
              <w:rPr>
                <w:rFonts w:ascii="Arial" w:hAnsi="Arial" w:cs="Arial"/>
                <w:sz w:val="20"/>
                <w:szCs w:val="20"/>
                <w:u w:val="single"/>
              </w:rPr>
              <w:t>Risks From Concomitant Use With Benzodiazepines Or Other CNS Depressants</w:t>
            </w:r>
          </w:p>
          <w:p w:rsidR="00685823" w:rsidRPr="00685823" w:rsidRDefault="00685823" w:rsidP="00685823">
            <w:pPr>
              <w:autoSpaceDE w:val="0"/>
              <w:autoSpaceDN w:val="0"/>
              <w:adjustRightInd w:val="0"/>
              <w:spacing w:after="0" w:line="240" w:lineRule="auto"/>
              <w:rPr>
                <w:rFonts w:ascii="Arial" w:hAnsi="Arial" w:cs="Arial"/>
                <w:color w:val="339966"/>
                <w:sz w:val="20"/>
                <w:szCs w:val="20"/>
              </w:rPr>
            </w:pPr>
            <w:r w:rsidRPr="00685823">
              <w:rPr>
                <w:rFonts w:ascii="Arial" w:hAnsi="Arial" w:cs="Arial"/>
                <w:sz w:val="20"/>
                <w:szCs w:val="20"/>
              </w:rPr>
              <w:t xml:space="preserve">Concomitant use of opioids with benzodiazepines or other CNS depressants, including alcohol, may result in profound sedation, respiratory depression, coma, and death. Reserve concomitant prescribing of </w:t>
            </w:r>
            <w:proofErr w:type="spellStart"/>
            <w:r w:rsidRPr="00685823">
              <w:rPr>
                <w:rFonts w:ascii="Arial" w:hAnsi="Arial" w:cs="Arial"/>
                <w:sz w:val="20"/>
                <w:szCs w:val="20"/>
              </w:rPr>
              <w:t>Troxyca</w:t>
            </w:r>
            <w:proofErr w:type="spellEnd"/>
            <w:r w:rsidRPr="00685823">
              <w:rPr>
                <w:rFonts w:ascii="Arial" w:hAnsi="Arial" w:cs="Arial"/>
                <w:sz w:val="20"/>
                <w:szCs w:val="20"/>
                <w:vertAlign w:val="superscript"/>
              </w:rPr>
              <w:t>®</w:t>
            </w:r>
            <w:r w:rsidRPr="00685823">
              <w:rPr>
                <w:rFonts w:ascii="Arial" w:hAnsi="Arial" w:cs="Arial"/>
                <w:sz w:val="20"/>
                <w:szCs w:val="20"/>
              </w:rPr>
              <w:t xml:space="preserve"> ER (oxycodone/naltrexone extended-release) and benzodiazepines or other CNS depressants for use in patients for whom alternative treatment options are inadequate. Limit dosages and durations to the minimum required. Follow patients for signs and symptoms of respiratory depression and sedation.</w:t>
            </w:r>
          </w:p>
        </w:tc>
      </w:tr>
    </w:tbl>
    <w:p w:rsidR="0096691E" w:rsidRPr="0044122B" w:rsidRDefault="0096691E" w:rsidP="005960E0">
      <w:pPr>
        <w:pStyle w:val="NoSpacing"/>
        <w:rPr>
          <w:rFonts w:ascii="Arial" w:hAnsi="Arial" w:cs="Arial"/>
          <w:b/>
          <w:sz w:val="20"/>
          <w:szCs w:val="20"/>
        </w:rPr>
      </w:pPr>
    </w:p>
    <w:p w:rsidR="005D585F" w:rsidRPr="006244F2" w:rsidRDefault="00396C34" w:rsidP="005D585F">
      <w:pPr>
        <w:pStyle w:val="NoSpacing"/>
        <w:rPr>
          <w:rFonts w:ascii="Arial" w:hAnsi="Arial" w:cs="Arial"/>
          <w:b/>
          <w:sz w:val="20"/>
          <w:szCs w:val="20"/>
          <w:vertAlign w:val="superscript"/>
        </w:rPr>
      </w:pPr>
      <w:r>
        <w:rPr>
          <w:rFonts w:ascii="Arial" w:hAnsi="Arial" w:cs="Arial"/>
          <w:b/>
          <w:sz w:val="20"/>
          <w:szCs w:val="20"/>
        </w:rPr>
        <w:t xml:space="preserve">Table </w:t>
      </w:r>
      <w:r w:rsidR="00364EDE">
        <w:rPr>
          <w:rFonts w:ascii="Arial" w:hAnsi="Arial" w:cs="Arial"/>
          <w:b/>
          <w:sz w:val="20"/>
          <w:szCs w:val="20"/>
        </w:rPr>
        <w:t>8</w:t>
      </w:r>
      <w:r w:rsidR="005D585F">
        <w:rPr>
          <w:rFonts w:ascii="Arial" w:hAnsi="Arial" w:cs="Arial"/>
          <w:b/>
          <w:sz w:val="20"/>
          <w:szCs w:val="20"/>
        </w:rPr>
        <w:t>. Warnings/Precautions</w:t>
      </w:r>
      <w:r w:rsidR="006244F2" w:rsidRPr="001F19B1">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C00531" w:rsidRPr="00D964B0" w:rsidTr="00D42930">
        <w:tc>
          <w:tcPr>
            <w:tcW w:w="1890" w:type="dxa"/>
            <w:vMerge w:val="restart"/>
            <w:tcBorders>
              <w:top w:val="single" w:sz="4" w:space="0" w:color="auto"/>
            </w:tcBorders>
            <w:shd w:val="clear" w:color="auto" w:fill="BFBFBF" w:themeFill="background1" w:themeFillShade="BF"/>
          </w:tcPr>
          <w:p w:rsidR="00C00531" w:rsidRPr="00E84C75" w:rsidRDefault="00C00531" w:rsidP="00D42930">
            <w:pPr>
              <w:pStyle w:val="NoSpacing"/>
              <w:rPr>
                <w:rFonts w:ascii="Arial" w:hAnsi="Arial" w:cs="Arial"/>
                <w:color w:val="00B050"/>
                <w:sz w:val="20"/>
                <w:szCs w:val="20"/>
              </w:rPr>
            </w:pPr>
            <w:r w:rsidRPr="00664246">
              <w:rPr>
                <w:rFonts w:ascii="Arial" w:hAnsi="Arial" w:cs="Arial"/>
                <w:b/>
                <w:sz w:val="20"/>
                <w:szCs w:val="20"/>
              </w:rPr>
              <w:t>Warning/</w:t>
            </w:r>
            <w:r>
              <w:rPr>
                <w:rFonts w:ascii="Arial" w:hAnsi="Arial" w:cs="Arial"/>
                <w:b/>
                <w:sz w:val="20"/>
                <w:szCs w:val="20"/>
              </w:rPr>
              <w:t xml:space="preserve"> </w:t>
            </w:r>
            <w:r w:rsidRPr="00664246">
              <w:rPr>
                <w:rFonts w:ascii="Arial" w:hAnsi="Arial" w:cs="Arial"/>
                <w:b/>
                <w:sz w:val="20"/>
                <w:szCs w:val="20"/>
              </w:rPr>
              <w:t>Precaution</w:t>
            </w:r>
          </w:p>
        </w:tc>
        <w:tc>
          <w:tcPr>
            <w:tcW w:w="7578" w:type="dxa"/>
          </w:tcPr>
          <w:p w:rsidR="00C00531" w:rsidRDefault="00C00531" w:rsidP="00EE510C">
            <w:pPr>
              <w:autoSpaceDE w:val="0"/>
              <w:autoSpaceDN w:val="0"/>
              <w:spacing w:after="0" w:line="240" w:lineRule="auto"/>
              <w:rPr>
                <w:rFonts w:ascii="Arial" w:hAnsi="Arial" w:cs="Arial"/>
                <w:bCs/>
                <w:sz w:val="20"/>
                <w:szCs w:val="20"/>
              </w:rPr>
            </w:pPr>
            <w:r w:rsidRPr="00C405BF">
              <w:rPr>
                <w:rFonts w:ascii="Arial" w:hAnsi="Arial" w:cs="Arial"/>
                <w:sz w:val="20"/>
                <w:szCs w:val="20"/>
              </w:rPr>
              <w:t>Addiction, abuse and misuse</w:t>
            </w:r>
            <w:r>
              <w:rPr>
                <w:rFonts w:ascii="Arial" w:hAnsi="Arial" w:cs="Arial"/>
                <w:sz w:val="20"/>
                <w:szCs w:val="20"/>
              </w:rPr>
              <w:t xml:space="preserve">; as an opioid,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 xml:space="preserve">® </w:t>
            </w:r>
            <w:r>
              <w:rPr>
                <w:rFonts w:ascii="Arial" w:hAnsi="Arial" w:cs="Arial"/>
                <w:sz w:val="20"/>
                <w:szCs w:val="20"/>
              </w:rPr>
              <w:t>ER (</w:t>
            </w:r>
            <w:r w:rsidRPr="00685823">
              <w:rPr>
                <w:rFonts w:ascii="Arial" w:hAnsi="Arial" w:cs="Arial"/>
                <w:sz w:val="20"/>
                <w:szCs w:val="20"/>
              </w:rPr>
              <w:t xml:space="preserve">oxycodone/naltrexone </w:t>
            </w:r>
            <w:r>
              <w:rPr>
                <w:rFonts w:ascii="Arial" w:hAnsi="Arial" w:cs="Arial"/>
                <w:bCs/>
                <w:sz w:val="20"/>
                <w:szCs w:val="20"/>
              </w:rPr>
              <w:t xml:space="preserve">extended-release) exposes users to the risks of addiction, abuse and misuse. As extended-release products such as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deliver the opioid over an extended period of time, there is a greater risk of overdose and death due to the larger quantity of oxycodone present. Although the risk of addiction in any individual is not known, it can occur in patients appropriately prescribed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at the recommended dosages. Patients at increased risk may be prescribed opioids, but use in such patients necessitates intensive counseling regarding the risks and appropriate use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extended-release), along with intensive monitoring for signs of addiction, abuse, and misuse.</w:t>
            </w:r>
          </w:p>
          <w:p w:rsidR="00C00531" w:rsidRDefault="00C00531" w:rsidP="00EE510C">
            <w:pPr>
              <w:autoSpaceDE w:val="0"/>
              <w:autoSpaceDN w:val="0"/>
              <w:spacing w:after="0" w:line="240" w:lineRule="auto"/>
              <w:rPr>
                <w:rFonts w:ascii="Arial" w:hAnsi="Arial" w:cs="Arial"/>
                <w:bCs/>
                <w:sz w:val="20"/>
                <w:szCs w:val="20"/>
              </w:rPr>
            </w:pPr>
          </w:p>
          <w:p w:rsidR="00C00531" w:rsidRPr="00D964B0" w:rsidRDefault="00C00531" w:rsidP="00D42930">
            <w:pPr>
              <w:autoSpaceDE w:val="0"/>
              <w:autoSpaceDN w:val="0"/>
              <w:adjustRightInd w:val="0"/>
              <w:spacing w:after="0" w:line="240" w:lineRule="auto"/>
              <w:rPr>
                <w:rFonts w:ascii="Arial" w:eastAsia="MyriadPro-BoldCond" w:hAnsi="Arial" w:cs="Arial"/>
                <w:bCs/>
                <w:sz w:val="20"/>
                <w:szCs w:val="20"/>
              </w:rPr>
            </w:pPr>
            <w:r>
              <w:rPr>
                <w:rFonts w:ascii="Arial" w:hAnsi="Arial" w:cs="Arial"/>
                <w:bCs/>
                <w:sz w:val="20"/>
                <w:szCs w:val="20"/>
              </w:rPr>
              <w:t xml:space="preserve">Abuse or misuse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by cutting, breaking, chewing, crushing, or dissolving the pellets in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and then swallowing, snorting or injecting will result in the uncontrolled delivery of oxycodone and may result in overdose and death. Misuse or abuse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extended-release) by these methods may also release sufficient naltrexone to precipitate withdrawal in opioid-dependent individuals.</w:t>
            </w:r>
          </w:p>
        </w:tc>
      </w:tr>
      <w:tr w:rsidR="00C00531" w:rsidRPr="00D964B0"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D964B0" w:rsidRDefault="00C00531" w:rsidP="00D42930">
            <w:pPr>
              <w:autoSpaceDE w:val="0"/>
              <w:autoSpaceDN w:val="0"/>
              <w:adjustRightInd w:val="0"/>
              <w:spacing w:after="0" w:line="240" w:lineRule="auto"/>
              <w:rPr>
                <w:rFonts w:ascii="Arial" w:eastAsia="MyriadPro-BoldCond" w:hAnsi="Arial" w:cs="Arial"/>
                <w:bCs/>
                <w:sz w:val="20"/>
                <w:szCs w:val="20"/>
              </w:rPr>
            </w:pPr>
            <w:r w:rsidRPr="00C405BF">
              <w:rPr>
                <w:rFonts w:ascii="Arial" w:hAnsi="Arial" w:cs="Arial"/>
                <w:sz w:val="20"/>
                <w:szCs w:val="20"/>
              </w:rPr>
              <w:t>Neonatal opioid withdrawal syndrome</w:t>
            </w:r>
            <w:r>
              <w:rPr>
                <w:rFonts w:ascii="Arial" w:hAnsi="Arial" w:cs="Arial"/>
                <w:sz w:val="20"/>
                <w:szCs w:val="20"/>
              </w:rPr>
              <w:t xml:space="preserve">; </w:t>
            </w:r>
            <w:r w:rsidRPr="00B94561">
              <w:rPr>
                <w:rFonts w:ascii="Arial" w:hAnsi="Arial" w:cs="Arial"/>
                <w:sz w:val="20"/>
                <w:szCs w:val="20"/>
              </w:rPr>
              <w:t>prolonged use of oxycodone during pregnancy can result in withdrawal signs in the neonate. If opioid use is required for a prolonged period in a pregnant woman, advise the patient of the risk of neonatal opioid withdrawal syndrome and ensure appropriate treatment will be available.</w:t>
            </w:r>
          </w:p>
        </w:tc>
      </w:tr>
      <w:tr w:rsidR="00C00531" w:rsidRPr="00D964B0"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D964B0" w:rsidRDefault="00C00531" w:rsidP="00D42930">
            <w:pPr>
              <w:autoSpaceDE w:val="0"/>
              <w:autoSpaceDN w:val="0"/>
              <w:adjustRightInd w:val="0"/>
              <w:spacing w:after="0" w:line="240" w:lineRule="auto"/>
              <w:rPr>
                <w:rFonts w:ascii="Arial" w:eastAsia="MyriadPro-BoldCond" w:hAnsi="Arial" w:cs="Arial"/>
                <w:bCs/>
                <w:sz w:val="20"/>
                <w:szCs w:val="20"/>
              </w:rPr>
            </w:pPr>
            <w:r w:rsidRPr="00B94561">
              <w:rPr>
                <w:rFonts w:ascii="Arial" w:hAnsi="Arial" w:cs="Arial"/>
                <w:sz w:val="20"/>
                <w:szCs w:val="20"/>
              </w:rPr>
              <w:t>Risks due to interactio</w:t>
            </w:r>
            <w:r>
              <w:rPr>
                <w:rFonts w:ascii="Arial" w:hAnsi="Arial" w:cs="Arial"/>
                <w:sz w:val="20"/>
                <w:szCs w:val="20"/>
              </w:rPr>
              <w:t>ns with CNS</w:t>
            </w:r>
            <w:r w:rsidRPr="00B94561">
              <w:rPr>
                <w:rFonts w:ascii="Arial" w:hAnsi="Arial" w:cs="Arial"/>
                <w:sz w:val="20"/>
                <w:szCs w:val="20"/>
              </w:rPr>
              <w:t xml:space="preserve"> depressants; hypotension, profound sedation, coma or respiratory depression may result if oxycodone is used concomitantly with alcohol or other CNS depressants</w:t>
            </w:r>
            <w:r>
              <w:rPr>
                <w:rFonts w:ascii="Arial" w:hAnsi="Arial" w:cs="Arial"/>
                <w:sz w:val="20"/>
                <w:szCs w:val="20"/>
              </w:rPr>
              <w:t xml:space="preserve"> (e.g.</w:t>
            </w:r>
            <w:r w:rsidR="0087271E">
              <w:rPr>
                <w:rFonts w:ascii="Arial" w:hAnsi="Arial" w:cs="Arial"/>
                <w:sz w:val="20"/>
                <w:szCs w:val="20"/>
              </w:rPr>
              <w:t>,</w:t>
            </w:r>
            <w:r>
              <w:rPr>
                <w:rFonts w:ascii="Arial" w:hAnsi="Arial" w:cs="Arial"/>
                <w:sz w:val="20"/>
                <w:szCs w:val="20"/>
              </w:rPr>
              <w:t xml:space="preserve"> benzodiazepines, sedatives/hypnotics, anxiolytics, tranquilizers, muscle relaxants, general anesthetics, antipsychotics, and other opioids)</w:t>
            </w:r>
            <w:r w:rsidRPr="00B94561">
              <w:rPr>
                <w:rFonts w:ascii="Arial" w:hAnsi="Arial" w:cs="Arial"/>
                <w:sz w:val="20"/>
                <w:szCs w:val="20"/>
              </w:rPr>
              <w:t>. When considering use in patients taking a CNS depressant, assess the duration of use of the CNS depressant and</w:t>
            </w:r>
            <w:r>
              <w:rPr>
                <w:rFonts w:ascii="Arial" w:hAnsi="Arial" w:cs="Arial"/>
                <w:sz w:val="20"/>
                <w:szCs w:val="20"/>
              </w:rPr>
              <w:t xml:space="preserve"> the</w:t>
            </w:r>
            <w:r w:rsidRPr="00B94561">
              <w:rPr>
                <w:rFonts w:ascii="Arial" w:hAnsi="Arial" w:cs="Arial"/>
                <w:sz w:val="20"/>
                <w:szCs w:val="20"/>
              </w:rPr>
              <w:t xml:space="preserve"> patient</w:t>
            </w:r>
            <w:r>
              <w:rPr>
                <w:rFonts w:ascii="Arial" w:hAnsi="Arial" w:cs="Arial"/>
                <w:sz w:val="20"/>
                <w:szCs w:val="20"/>
              </w:rPr>
              <w:t>’s</w:t>
            </w:r>
            <w:r w:rsidRPr="00B94561">
              <w:rPr>
                <w:rFonts w:ascii="Arial" w:hAnsi="Arial" w:cs="Arial"/>
                <w:sz w:val="20"/>
                <w:szCs w:val="20"/>
              </w:rPr>
              <w:t xml:space="preserve"> response, including the degree of tolerance developed to the CNS depression. Use of alcohol or illicit drugs that cause CNS depression should also be evaluated. This agent should be started at a lower dosage and patients should be monitored for sedation, respirat</w:t>
            </w:r>
            <w:r>
              <w:rPr>
                <w:rFonts w:ascii="Arial" w:hAnsi="Arial" w:cs="Arial"/>
                <w:sz w:val="20"/>
                <w:szCs w:val="20"/>
              </w:rPr>
              <w:t>ory depression and hypotension.</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F94992" w:rsidRDefault="00C00531" w:rsidP="00D42930">
            <w:pPr>
              <w:pStyle w:val="NoSpacing"/>
              <w:rPr>
                <w:rFonts w:ascii="Arial" w:hAnsi="Arial" w:cs="Arial"/>
                <w:sz w:val="20"/>
                <w:szCs w:val="20"/>
              </w:rPr>
            </w:pPr>
            <w:r w:rsidRPr="00B94561">
              <w:rPr>
                <w:rFonts w:ascii="Arial" w:hAnsi="Arial" w:cs="Arial"/>
                <w:sz w:val="20"/>
                <w:szCs w:val="20"/>
              </w:rPr>
              <w:t xml:space="preserve">Risk of life-threatening respiratory depression in the elderly, cachectic and debilitated patients; life-threatening respiratory depression is more likely to occur in elderly, cachectic or debilitated patients as they have altered pharmacokinetics or altered clearance compared to younger, healthier patients. Monitor these patients closely when initiating and titrating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w:t>
            </w:r>
            <w:r w:rsidRPr="00B94561">
              <w:rPr>
                <w:rFonts w:ascii="Arial" w:hAnsi="Arial" w:cs="Arial"/>
                <w:sz w:val="20"/>
                <w:szCs w:val="20"/>
              </w:rPr>
              <w:t xml:space="preserve">and when </w:t>
            </w:r>
            <w:r>
              <w:rPr>
                <w:rFonts w:ascii="Arial" w:hAnsi="Arial" w:cs="Arial"/>
                <w:sz w:val="20"/>
                <w:szCs w:val="20"/>
              </w:rPr>
              <w:t>this agent</w:t>
            </w:r>
            <w:r w:rsidRPr="00B94561">
              <w:rPr>
                <w:rFonts w:ascii="Arial" w:hAnsi="Arial" w:cs="Arial"/>
                <w:sz w:val="20"/>
                <w:szCs w:val="20"/>
              </w:rPr>
              <w:t xml:space="preserve"> is given concomitantly with other drugs that depress respiration.</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C00531" w:rsidP="00D42930">
            <w:pPr>
              <w:pStyle w:val="NoSpacing"/>
              <w:rPr>
                <w:rFonts w:ascii="Arial" w:hAnsi="Arial" w:cs="Arial"/>
                <w:sz w:val="20"/>
                <w:szCs w:val="20"/>
              </w:rPr>
            </w:pPr>
            <w:r>
              <w:rPr>
                <w:rFonts w:ascii="Arial" w:hAnsi="Arial" w:cs="Arial"/>
                <w:sz w:val="20"/>
                <w:szCs w:val="20"/>
              </w:rPr>
              <w:t>Adrenal insufficiency; cases of adrenal insufficiency have been reported with opioid use, often after at least one month of use. Presentation of adrenal insufficiency may include nonspecific symptoms, such as nausea, vomiting, anorexia, fatigue, weakness, dizziness, and low blood pressure. If adrenal insufficiency is suspected, confirm the diagnosis with diagnostic testing as soon as possible and treat with physiologic replacement of corticosteroids. The patient should be weaned off of the opioid and corticosteroid treatment should be continued until adrenal function recovers.</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EB3B9A" w:rsidRDefault="00C00531" w:rsidP="00D42930">
            <w:pPr>
              <w:pStyle w:val="NoSpacing"/>
              <w:rPr>
                <w:rFonts w:ascii="Arial" w:hAnsi="Arial" w:cs="Arial"/>
                <w:sz w:val="20"/>
                <w:szCs w:val="20"/>
              </w:rPr>
            </w:pPr>
            <w:r>
              <w:rPr>
                <w:rFonts w:ascii="Arial" w:hAnsi="Arial" w:cs="Arial"/>
                <w:sz w:val="20"/>
                <w:szCs w:val="20"/>
              </w:rPr>
              <w:t xml:space="preserve">Severe hypotension;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may cause severe hypotension, including orthostatic hypotension and syncope in ambulatory patients. There is an increased risk in patients whose ability to maintain blood pressure is already compromised by a reduced blood volume or concomitant CNS depressant drugs. Monitor these patients for signs of hypotension after initiating or titrating the dosage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Avoid use in patients with circulatory shock, as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oxycodone/naltrexone</w:t>
            </w:r>
            <w:r w:rsidRPr="00E54689">
              <w:rPr>
                <w:rFonts w:ascii="Arial" w:hAnsi="Arial" w:cs="Arial"/>
                <w:bCs/>
                <w:sz w:val="20"/>
                <w:szCs w:val="20"/>
              </w:rPr>
              <w:t xml:space="preserve"> </w:t>
            </w:r>
            <w:r>
              <w:rPr>
                <w:rFonts w:ascii="Arial" w:hAnsi="Arial" w:cs="Arial"/>
                <w:bCs/>
                <w:sz w:val="20"/>
                <w:szCs w:val="20"/>
              </w:rPr>
              <w:t>extended-release) may cause vasodilation that further reduces cardiac output and blood pressure in these patients.</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C00531" w:rsidP="00D42930">
            <w:pPr>
              <w:pStyle w:val="NoSpacing"/>
              <w:rPr>
                <w:rFonts w:ascii="Arial" w:hAnsi="Arial" w:cs="Arial"/>
                <w:sz w:val="20"/>
                <w:szCs w:val="20"/>
              </w:rPr>
            </w:pPr>
            <w:r>
              <w:rPr>
                <w:rFonts w:ascii="Arial" w:hAnsi="Arial" w:cs="Arial"/>
                <w:sz w:val="20"/>
                <w:szCs w:val="20"/>
              </w:rPr>
              <w:t>Increased intracranial pressure, brain tumors, head injury, or impaired consciousness; in patients who may be susceptible to the intracranial effects of CO</w:t>
            </w:r>
            <w:r w:rsidRPr="00C31827">
              <w:rPr>
                <w:rFonts w:ascii="Arial" w:hAnsi="Arial" w:cs="Arial"/>
                <w:sz w:val="20"/>
                <w:szCs w:val="20"/>
                <w:vertAlign w:val="subscript"/>
              </w:rPr>
              <w:t>2</w:t>
            </w:r>
            <w:r>
              <w:rPr>
                <w:rFonts w:ascii="Arial" w:hAnsi="Arial" w:cs="Arial"/>
                <w:sz w:val="20"/>
                <w:szCs w:val="20"/>
              </w:rPr>
              <w:t xml:space="preserve"> retention (e.g.</w:t>
            </w:r>
            <w:r w:rsidR="0087271E">
              <w:rPr>
                <w:rFonts w:ascii="Arial" w:hAnsi="Arial" w:cs="Arial"/>
                <w:sz w:val="20"/>
                <w:szCs w:val="20"/>
              </w:rPr>
              <w:t>,</w:t>
            </w:r>
            <w:r>
              <w:rPr>
                <w:rFonts w:ascii="Arial" w:hAnsi="Arial" w:cs="Arial"/>
                <w:sz w:val="20"/>
                <w:szCs w:val="20"/>
              </w:rPr>
              <w:t xml:space="preserve"> those with evidence of increased intracranial pressure or brain tumors),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extended-release) may reduce respiratory drive, and the resultant CO</w:t>
            </w:r>
            <w:r w:rsidRPr="00C31827">
              <w:rPr>
                <w:rFonts w:ascii="Arial" w:hAnsi="Arial" w:cs="Arial"/>
                <w:bCs/>
                <w:sz w:val="20"/>
                <w:szCs w:val="20"/>
                <w:vertAlign w:val="subscript"/>
              </w:rPr>
              <w:t>2</w:t>
            </w:r>
            <w:r>
              <w:rPr>
                <w:rFonts w:ascii="Arial" w:hAnsi="Arial" w:cs="Arial"/>
                <w:bCs/>
                <w:sz w:val="20"/>
                <w:szCs w:val="20"/>
              </w:rPr>
              <w:t xml:space="preserve"> retention can further increase intracranial pressure. Monitor these patients for signs of sedation and respiratory depression, particularly when initiating therapy with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extended-release).</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E350B0" w:rsidRDefault="00C00531" w:rsidP="00373B99">
            <w:pPr>
              <w:pStyle w:val="NoSpacing"/>
              <w:rPr>
                <w:rFonts w:ascii="Arial" w:hAnsi="Arial" w:cs="Arial"/>
                <w:sz w:val="20"/>
                <w:szCs w:val="20"/>
              </w:rPr>
            </w:pPr>
            <w:r w:rsidRPr="00D9568F">
              <w:rPr>
                <w:rFonts w:ascii="Arial" w:hAnsi="Arial" w:cs="Arial"/>
                <w:sz w:val="20"/>
                <w:szCs w:val="20"/>
              </w:rPr>
              <w:t xml:space="preserve">Increased risk of seizures in patients with seizure disorders;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w:t>
            </w:r>
            <w:r w:rsidRPr="00D9568F">
              <w:rPr>
                <w:rFonts w:ascii="Arial" w:hAnsi="Arial" w:cs="Arial"/>
                <w:sz w:val="20"/>
                <w:szCs w:val="20"/>
              </w:rPr>
              <w:t>may increase the frequency of seizures in patients with seizure disorders, and may increase the risk of seizures occurring in other clinical settings associated with seizures. Monitor patients with a history of seizure disorders for worsened seizure control during treatment.</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Default="00C00531" w:rsidP="00EE510C">
            <w:pPr>
              <w:autoSpaceDE w:val="0"/>
              <w:autoSpaceDN w:val="0"/>
              <w:spacing w:after="0" w:line="240" w:lineRule="auto"/>
              <w:rPr>
                <w:rFonts w:ascii="Arial" w:hAnsi="Arial" w:cs="Arial"/>
                <w:bCs/>
                <w:sz w:val="20"/>
                <w:szCs w:val="20"/>
              </w:rPr>
            </w:pPr>
            <w:r w:rsidRPr="00D9568F">
              <w:rPr>
                <w:rFonts w:ascii="Arial" w:hAnsi="Arial" w:cs="Arial"/>
                <w:sz w:val="20"/>
                <w:szCs w:val="20"/>
              </w:rPr>
              <w:t xml:space="preserve">Withdrawal; </w:t>
            </w:r>
            <w:r w:rsidR="0087271E">
              <w:rPr>
                <w:rFonts w:ascii="Arial" w:hAnsi="Arial" w:cs="Arial"/>
                <w:sz w:val="20"/>
                <w:szCs w:val="20"/>
              </w:rPr>
              <w:t>a</w:t>
            </w:r>
            <w:r w:rsidRPr="00D9568F">
              <w:rPr>
                <w:rFonts w:ascii="Arial" w:hAnsi="Arial" w:cs="Arial"/>
                <w:sz w:val="20"/>
                <w:szCs w:val="20"/>
              </w:rPr>
              <w:t>void the use of mixed agonist/antagonist (e.g., pentazocine, nalbuphine, and butorphanol) or partial agonist (e.g., buprenorphine) analgesics in patients who have received or are receiving a course of therapy with a full opioid agonist analgesic</w:t>
            </w:r>
            <w:r>
              <w:rPr>
                <w:rFonts w:ascii="Arial" w:hAnsi="Arial" w:cs="Arial"/>
                <w:sz w:val="20"/>
                <w:szCs w:val="20"/>
              </w:rPr>
              <w:t xml:space="preserve">. </w:t>
            </w:r>
            <w:r w:rsidRPr="00D9568F">
              <w:rPr>
                <w:rFonts w:ascii="Arial" w:hAnsi="Arial" w:cs="Arial"/>
                <w:bCs/>
                <w:sz w:val="20"/>
                <w:szCs w:val="20"/>
              </w:rPr>
              <w:t>In these patients, mixed agonist/antagonist and partial agonist analgesics may reduce the analgesic effect and/or may precipitate withdrawal symptoms.</w:t>
            </w:r>
          </w:p>
          <w:p w:rsidR="00C00531" w:rsidRDefault="00C00531" w:rsidP="00EE510C">
            <w:pPr>
              <w:autoSpaceDE w:val="0"/>
              <w:autoSpaceDN w:val="0"/>
              <w:spacing w:after="0" w:line="240" w:lineRule="auto"/>
              <w:rPr>
                <w:rFonts w:ascii="Arial" w:hAnsi="Arial" w:cs="Arial"/>
                <w:bCs/>
                <w:sz w:val="20"/>
                <w:szCs w:val="20"/>
              </w:rPr>
            </w:pPr>
          </w:p>
          <w:p w:rsidR="00C00531" w:rsidRDefault="00C00531" w:rsidP="00EE510C">
            <w:pPr>
              <w:autoSpaceDE w:val="0"/>
              <w:autoSpaceDN w:val="0"/>
              <w:spacing w:after="0" w:line="240" w:lineRule="auto"/>
              <w:rPr>
                <w:rFonts w:ascii="Arial" w:hAnsi="Arial" w:cs="Arial"/>
                <w:bCs/>
                <w:sz w:val="20"/>
                <w:szCs w:val="20"/>
              </w:rPr>
            </w:pPr>
            <w:r>
              <w:rPr>
                <w:rFonts w:ascii="Arial" w:hAnsi="Arial" w:cs="Arial"/>
                <w:bCs/>
                <w:sz w:val="20"/>
                <w:szCs w:val="20"/>
              </w:rPr>
              <w:t xml:space="preserve">Consuming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that has been altered by crushing, </w:t>
            </w:r>
            <w:r w:rsidRPr="00D9568F">
              <w:rPr>
                <w:rFonts w:ascii="Arial" w:hAnsi="Arial" w:cs="Arial"/>
                <w:bCs/>
                <w:sz w:val="20"/>
                <w:szCs w:val="20"/>
              </w:rPr>
              <w:t xml:space="preserve">chewing, or dissolving the pellets can release sufficient naltrexone to precipitate withdrawal in opioid-dependent individuals. Symptoms of withdrawal usually appear within five minutes of ingestion of naltrexone, </w:t>
            </w:r>
            <w:r>
              <w:rPr>
                <w:rFonts w:ascii="Arial" w:hAnsi="Arial" w:cs="Arial"/>
                <w:bCs/>
                <w:sz w:val="20"/>
                <w:szCs w:val="20"/>
              </w:rPr>
              <w:t>may</w:t>
            </w:r>
            <w:r w:rsidRPr="00D9568F">
              <w:rPr>
                <w:rFonts w:ascii="Arial" w:hAnsi="Arial" w:cs="Arial"/>
                <w:bCs/>
                <w:sz w:val="20"/>
                <w:szCs w:val="20"/>
              </w:rPr>
              <w:t xml:space="preserve"> last for up to 48 hours, and </w:t>
            </w:r>
            <w:r>
              <w:rPr>
                <w:rFonts w:ascii="Arial" w:hAnsi="Arial" w:cs="Arial"/>
                <w:bCs/>
                <w:sz w:val="20"/>
                <w:szCs w:val="20"/>
              </w:rPr>
              <w:t>may</w:t>
            </w:r>
            <w:r w:rsidRPr="00D9568F">
              <w:rPr>
                <w:rFonts w:ascii="Arial" w:hAnsi="Arial" w:cs="Arial"/>
                <w:bCs/>
                <w:sz w:val="20"/>
                <w:szCs w:val="20"/>
              </w:rPr>
              <w:t xml:space="preserve"> include mental status changes, restlessness, lacrimation, rhinorrhea, yawning, perspiration, chills, myalgia, and mydriasis</w:t>
            </w:r>
            <w:r>
              <w:rPr>
                <w:rFonts w:ascii="Arial" w:hAnsi="Arial" w:cs="Arial"/>
                <w:bCs/>
                <w:sz w:val="20"/>
                <w:szCs w:val="20"/>
              </w:rPr>
              <w:t>.</w:t>
            </w:r>
          </w:p>
          <w:p w:rsidR="00C00531" w:rsidRDefault="00C00531" w:rsidP="00EE510C">
            <w:pPr>
              <w:autoSpaceDE w:val="0"/>
              <w:autoSpaceDN w:val="0"/>
              <w:spacing w:after="0" w:line="240" w:lineRule="auto"/>
              <w:rPr>
                <w:rFonts w:ascii="Arial" w:hAnsi="Arial" w:cs="Arial"/>
                <w:bCs/>
                <w:sz w:val="20"/>
                <w:szCs w:val="20"/>
              </w:rPr>
            </w:pPr>
          </w:p>
          <w:p w:rsidR="00C00531" w:rsidRPr="005D585F" w:rsidRDefault="00C00531" w:rsidP="00D42930">
            <w:pPr>
              <w:pStyle w:val="NoSpacing"/>
              <w:rPr>
                <w:rFonts w:ascii="Arial" w:hAnsi="Arial" w:cs="Arial"/>
                <w:sz w:val="20"/>
                <w:szCs w:val="20"/>
              </w:rPr>
            </w:pPr>
            <w:r>
              <w:rPr>
                <w:rFonts w:ascii="Arial" w:hAnsi="Arial" w:cs="Arial"/>
                <w:bCs/>
                <w:sz w:val="20"/>
                <w:szCs w:val="20"/>
              </w:rPr>
              <w:t xml:space="preserve">When discontinuing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extended-release), gradually taper the dosage; do not abruptly discontinue this agent.</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F94992" w:rsidRDefault="00C00531" w:rsidP="00D42930">
            <w:pPr>
              <w:pStyle w:val="NoSpacing"/>
              <w:rPr>
                <w:rFonts w:ascii="Arial" w:hAnsi="Arial" w:cs="Arial"/>
                <w:sz w:val="20"/>
                <w:szCs w:val="20"/>
              </w:rPr>
            </w:pPr>
            <w:r>
              <w:rPr>
                <w:rFonts w:ascii="Arial" w:hAnsi="Arial" w:cs="Arial"/>
                <w:sz w:val="20"/>
                <w:szCs w:val="20"/>
              </w:rPr>
              <w:t xml:space="preserve">Risks of driving and operating machinery;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Pr>
                <w:rFonts w:ascii="Arial" w:hAnsi="Arial" w:cs="Arial"/>
                <w:sz w:val="20"/>
                <w:szCs w:val="20"/>
                <w:shd w:val="clear" w:color="auto" w:fill="FFFFFF"/>
              </w:rPr>
              <w:t>oxycodone-naltrexone</w:t>
            </w:r>
            <w:r w:rsidRPr="00E54689">
              <w:rPr>
                <w:rFonts w:ascii="Arial" w:hAnsi="Arial" w:cs="Arial"/>
                <w:bCs/>
                <w:sz w:val="20"/>
                <w:szCs w:val="20"/>
              </w:rPr>
              <w:t xml:space="preserve"> </w:t>
            </w:r>
            <w:r>
              <w:rPr>
                <w:rFonts w:ascii="Arial" w:hAnsi="Arial" w:cs="Arial"/>
                <w:bCs/>
                <w:sz w:val="20"/>
                <w:szCs w:val="20"/>
              </w:rPr>
              <w:t>extended-release) may impair the mental or physical abilities necessary to perform potentially hazardous activities, such as driving a car or operating machinery. Patients should be warned not to drive or operate dangerous machinery unless they are tolerant to the effects of this agent and know how they will be affected by it.</w:t>
            </w:r>
          </w:p>
        </w:tc>
      </w:tr>
      <w:tr w:rsidR="00C00531" w:rsidRPr="00F94992" w:rsidTr="00D42930">
        <w:tc>
          <w:tcPr>
            <w:tcW w:w="1890" w:type="dxa"/>
            <w:vMerge/>
            <w:shd w:val="clear" w:color="auto" w:fill="BFBFBF" w:themeFill="background1" w:themeFillShade="BF"/>
          </w:tcPr>
          <w:p w:rsidR="00C00531" w:rsidRPr="00664246" w:rsidRDefault="00C00531" w:rsidP="00D42930">
            <w:pPr>
              <w:pStyle w:val="NoSpacing"/>
              <w:rPr>
                <w:rFonts w:ascii="Arial" w:hAnsi="Arial" w:cs="Arial"/>
                <w:b/>
                <w:sz w:val="20"/>
                <w:szCs w:val="20"/>
              </w:rPr>
            </w:pPr>
          </w:p>
        </w:tc>
        <w:tc>
          <w:tcPr>
            <w:tcW w:w="7578" w:type="dxa"/>
          </w:tcPr>
          <w:p w:rsidR="00C00531" w:rsidRPr="00F94992" w:rsidRDefault="00C00531" w:rsidP="00D42930">
            <w:pPr>
              <w:pStyle w:val="NoSpacing"/>
              <w:rPr>
                <w:rFonts w:ascii="Arial" w:hAnsi="Arial" w:cs="Arial"/>
                <w:sz w:val="20"/>
                <w:szCs w:val="20"/>
              </w:rPr>
            </w:pPr>
            <w:r>
              <w:rPr>
                <w:rFonts w:ascii="Arial" w:hAnsi="Arial" w:cs="Arial"/>
                <w:sz w:val="20"/>
                <w:szCs w:val="20"/>
              </w:rPr>
              <w:t xml:space="preserve">Risks of concomitant use or discontinuation of CYP3A4 inhibitors and inducers; concomitant use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with a CYP3A4 inhibitor may increase plasma concentrations of oxycodone and prolong opioid adverse reactions, particularly when an inhibitor is added after a stable dose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is achieved. Similarly, discontinuation of a CYP3A4 inducer in patients treated with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sidRPr="00685823">
              <w:rPr>
                <w:rFonts w:ascii="Arial" w:hAnsi="Arial" w:cs="Arial"/>
                <w:sz w:val="20"/>
                <w:szCs w:val="20"/>
              </w:rPr>
              <w:t xml:space="preserve">oxycodone/naltrexone </w:t>
            </w:r>
            <w:r>
              <w:rPr>
                <w:rFonts w:ascii="Arial" w:hAnsi="Arial" w:cs="Arial"/>
                <w:bCs/>
                <w:sz w:val="20"/>
                <w:szCs w:val="20"/>
              </w:rPr>
              <w:t xml:space="preserve">extended-release) may increase oxycodone concentrations and prolong opioid adverse reactions. </w:t>
            </w:r>
            <w:r w:rsidRPr="000939F9">
              <w:rPr>
                <w:rFonts w:ascii="Arial" w:hAnsi="Arial" w:cs="Arial"/>
                <w:bCs/>
                <w:sz w:val="20"/>
                <w:szCs w:val="20"/>
              </w:rPr>
              <w:t xml:space="preserve">Concomitant use of </w:t>
            </w:r>
            <w:proofErr w:type="spellStart"/>
            <w:r w:rsidRPr="00E21213">
              <w:rPr>
                <w:rFonts w:ascii="Arial" w:hAnsi="Arial" w:cs="Arial"/>
                <w:bCs/>
                <w:sz w:val="20"/>
                <w:szCs w:val="20"/>
              </w:rPr>
              <w:t>Troxyca</w:t>
            </w:r>
            <w:proofErr w:type="spellEnd"/>
            <w:r>
              <w:rPr>
                <w:rFonts w:ascii="Arial" w:hAnsi="Arial" w:cs="Arial"/>
                <w:bCs/>
                <w:sz w:val="20"/>
                <w:szCs w:val="20"/>
                <w:vertAlign w:val="superscript"/>
              </w:rPr>
              <w:t xml:space="preserve">® </w:t>
            </w:r>
            <w:r>
              <w:rPr>
                <w:rFonts w:ascii="Arial" w:hAnsi="Arial" w:cs="Arial"/>
                <w:sz w:val="20"/>
                <w:szCs w:val="20"/>
              </w:rPr>
              <w:t>ER (</w:t>
            </w:r>
            <w:r w:rsidRPr="00685823">
              <w:rPr>
                <w:rFonts w:ascii="Arial" w:hAnsi="Arial" w:cs="Arial"/>
                <w:sz w:val="20"/>
                <w:szCs w:val="20"/>
              </w:rPr>
              <w:t xml:space="preserve">oxycodone/naltrexone </w:t>
            </w:r>
            <w:r>
              <w:rPr>
                <w:rFonts w:ascii="Arial" w:hAnsi="Arial" w:cs="Arial"/>
                <w:bCs/>
                <w:sz w:val="20"/>
                <w:szCs w:val="20"/>
              </w:rPr>
              <w:t xml:space="preserve">extended-release) </w:t>
            </w:r>
            <w:r w:rsidRPr="000939F9">
              <w:rPr>
                <w:rFonts w:ascii="Arial" w:hAnsi="Arial" w:cs="Arial"/>
                <w:bCs/>
                <w:sz w:val="20"/>
                <w:szCs w:val="20"/>
              </w:rPr>
              <w:t xml:space="preserve">with </w:t>
            </w:r>
            <w:r>
              <w:rPr>
                <w:rFonts w:ascii="Arial" w:hAnsi="Arial" w:cs="Arial"/>
                <w:bCs/>
                <w:sz w:val="20"/>
                <w:szCs w:val="20"/>
              </w:rPr>
              <w:t xml:space="preserve">a </w:t>
            </w:r>
            <w:r w:rsidRPr="000939F9">
              <w:rPr>
                <w:rFonts w:ascii="Arial" w:hAnsi="Arial" w:cs="Arial"/>
                <w:bCs/>
                <w:sz w:val="20"/>
                <w:szCs w:val="20"/>
              </w:rPr>
              <w:t>CYP3A4 i</w:t>
            </w:r>
            <w:r>
              <w:rPr>
                <w:rFonts w:ascii="Arial" w:hAnsi="Arial" w:cs="Arial"/>
                <w:bCs/>
                <w:sz w:val="20"/>
                <w:szCs w:val="20"/>
              </w:rPr>
              <w:t>nducer or discontinuation of a</w:t>
            </w:r>
            <w:r w:rsidRPr="000939F9">
              <w:rPr>
                <w:rFonts w:ascii="Arial" w:hAnsi="Arial" w:cs="Arial"/>
                <w:bCs/>
                <w:sz w:val="20"/>
                <w:szCs w:val="20"/>
              </w:rPr>
              <w:t xml:space="preserve"> CYP3A4 inhibitor could decrease oxycodone plasma concentration</w:t>
            </w:r>
            <w:r>
              <w:rPr>
                <w:rFonts w:ascii="Arial" w:hAnsi="Arial" w:cs="Arial"/>
                <w:bCs/>
                <w:sz w:val="20"/>
                <w:szCs w:val="20"/>
              </w:rPr>
              <w:t xml:space="preserve">s, decrease opioid efficacy or lead to </w:t>
            </w:r>
            <w:r w:rsidRPr="000939F9">
              <w:rPr>
                <w:rFonts w:ascii="Arial" w:hAnsi="Arial" w:cs="Arial"/>
                <w:bCs/>
                <w:sz w:val="20"/>
                <w:szCs w:val="20"/>
              </w:rPr>
              <w:t>withdrawal in a patient who had developed ph</w:t>
            </w:r>
            <w:r>
              <w:rPr>
                <w:rFonts w:ascii="Arial" w:hAnsi="Arial" w:cs="Arial"/>
                <w:bCs/>
                <w:sz w:val="20"/>
                <w:szCs w:val="20"/>
              </w:rPr>
              <w:t>ysical dependence to oxycodone.</w:t>
            </w:r>
          </w:p>
        </w:tc>
      </w:tr>
    </w:tbl>
    <w:p w:rsidR="005D585F" w:rsidRDefault="005D585F" w:rsidP="004920E8">
      <w:pPr>
        <w:pStyle w:val="NoSpacing"/>
        <w:ind w:left="-550" w:firstLine="550"/>
        <w:rPr>
          <w:rFonts w:ascii="Arial" w:hAnsi="Arial" w:cs="Arial"/>
          <w:b/>
          <w:sz w:val="20"/>
          <w:szCs w:val="20"/>
        </w:rPr>
      </w:pPr>
    </w:p>
    <w:p w:rsidR="00AE5B18" w:rsidRPr="0044122B" w:rsidRDefault="00AE5B18" w:rsidP="00AE5B18">
      <w:pPr>
        <w:pStyle w:val="NoSpacing"/>
        <w:rPr>
          <w:rFonts w:ascii="Arial" w:hAnsi="Arial" w:cs="Arial"/>
          <w:b/>
          <w:sz w:val="20"/>
          <w:szCs w:val="20"/>
          <w:u w:val="single"/>
        </w:rPr>
      </w:pPr>
      <w:r>
        <w:rPr>
          <w:rFonts w:ascii="Arial" w:hAnsi="Arial" w:cs="Arial"/>
          <w:b/>
          <w:sz w:val="20"/>
          <w:szCs w:val="20"/>
          <w:u w:val="single"/>
        </w:rPr>
        <w:t>Contraindications</w:t>
      </w:r>
    </w:p>
    <w:p w:rsidR="00AE5B18" w:rsidRPr="0039107C" w:rsidRDefault="00AE5B18" w:rsidP="00AE5B18">
      <w:pPr>
        <w:pStyle w:val="NoSpacing"/>
        <w:rPr>
          <w:rFonts w:ascii="Arial" w:hAnsi="Arial" w:cs="Arial"/>
          <w:color w:val="FF0000"/>
          <w:sz w:val="20"/>
          <w:szCs w:val="20"/>
        </w:rPr>
      </w:pPr>
    </w:p>
    <w:p w:rsidR="00AE5B18" w:rsidRPr="008E7C04" w:rsidRDefault="00AE5B18" w:rsidP="00AE5B18">
      <w:pPr>
        <w:pStyle w:val="NoSpacing"/>
        <w:rPr>
          <w:rFonts w:ascii="Arial" w:hAnsi="Arial" w:cs="Arial"/>
          <w:sz w:val="20"/>
          <w:szCs w:val="20"/>
        </w:rPr>
      </w:pPr>
      <w:r>
        <w:rPr>
          <w:rFonts w:ascii="Arial" w:hAnsi="Arial" w:cs="Arial"/>
          <w:b/>
          <w:sz w:val="20"/>
          <w:szCs w:val="20"/>
        </w:rPr>
        <w:t>Table 9</w:t>
      </w:r>
      <w:r w:rsidRPr="008E7C04">
        <w:rPr>
          <w:rFonts w:ascii="Arial" w:hAnsi="Arial" w:cs="Arial"/>
          <w:b/>
          <w:sz w:val="20"/>
          <w:szCs w:val="20"/>
        </w:rPr>
        <w:t>. Contraindications</w:t>
      </w:r>
      <w:r w:rsidRPr="001F19B1">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581BE8" w:rsidRPr="0039107C" w:rsidTr="00EE510C">
        <w:trPr>
          <w:trHeight w:val="231"/>
        </w:trPr>
        <w:tc>
          <w:tcPr>
            <w:tcW w:w="1890" w:type="dxa"/>
            <w:vMerge w:val="restart"/>
            <w:shd w:val="clear" w:color="auto" w:fill="BFBFBF" w:themeFill="background1" w:themeFillShade="BF"/>
          </w:tcPr>
          <w:p w:rsidR="00581BE8" w:rsidRPr="0039107C" w:rsidRDefault="00581BE8" w:rsidP="00526C44">
            <w:pPr>
              <w:pStyle w:val="NoSpacing"/>
              <w:rPr>
                <w:rFonts w:ascii="Arial" w:hAnsi="Arial" w:cs="Arial"/>
                <w:color w:val="FF0000"/>
                <w:sz w:val="20"/>
                <w:szCs w:val="20"/>
              </w:rPr>
            </w:pPr>
            <w:r w:rsidRPr="008E7C04">
              <w:rPr>
                <w:rFonts w:ascii="Arial" w:hAnsi="Arial" w:cs="Arial"/>
                <w:b/>
                <w:sz w:val="20"/>
                <w:szCs w:val="20"/>
              </w:rPr>
              <w:t>Contraindication</w:t>
            </w:r>
          </w:p>
        </w:tc>
        <w:tc>
          <w:tcPr>
            <w:tcW w:w="7578" w:type="dxa"/>
            <w:vAlign w:val="center"/>
          </w:tcPr>
          <w:p w:rsidR="00581BE8" w:rsidRPr="00581BE8" w:rsidRDefault="00581BE8" w:rsidP="00526C44">
            <w:pPr>
              <w:pStyle w:val="NoSpacing"/>
              <w:rPr>
                <w:rFonts w:ascii="Arial" w:hAnsi="Arial" w:cs="Arial"/>
                <w:sz w:val="20"/>
                <w:szCs w:val="20"/>
              </w:rPr>
            </w:pP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(oxycodone/naltrexone extended-release) is contraindicated in patients with severe respiratory depression.</w:t>
            </w:r>
          </w:p>
        </w:tc>
      </w:tr>
      <w:tr w:rsidR="00581BE8" w:rsidRPr="0039107C" w:rsidTr="00EE510C">
        <w:trPr>
          <w:trHeight w:val="228"/>
        </w:trPr>
        <w:tc>
          <w:tcPr>
            <w:tcW w:w="1890" w:type="dxa"/>
            <w:vMerge/>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Default="00581BE8" w:rsidP="00526C44">
            <w:pPr>
              <w:pStyle w:val="NoSpacing"/>
              <w:rPr>
                <w:rFonts w:ascii="Arial" w:hAnsi="Arial" w:cs="Arial"/>
                <w:sz w:val="20"/>
                <w:szCs w:val="20"/>
              </w:rPr>
            </w:pP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(oxycodone/naltrexone extended-release) </w:t>
            </w:r>
            <w:r w:rsidRPr="00581BE8">
              <w:rPr>
                <w:rFonts w:ascii="Arial" w:hAnsi="Arial" w:cs="Arial"/>
                <w:sz w:val="20"/>
                <w:szCs w:val="20"/>
              </w:rPr>
              <w:t>is contraindicated in patients with acute or severe bronchial asthma in an unmonitored setting or in the absence of resuscitative equipment.</w:t>
            </w:r>
          </w:p>
        </w:tc>
      </w:tr>
      <w:tr w:rsidR="00581BE8" w:rsidRPr="0039107C" w:rsidTr="00EE510C">
        <w:trPr>
          <w:trHeight w:val="228"/>
        </w:trPr>
        <w:tc>
          <w:tcPr>
            <w:tcW w:w="1890" w:type="dxa"/>
            <w:vMerge/>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Default="00581BE8" w:rsidP="00526C44">
            <w:pPr>
              <w:pStyle w:val="NoSpacing"/>
              <w:rPr>
                <w:rFonts w:ascii="Arial" w:hAnsi="Arial" w:cs="Arial"/>
                <w:sz w:val="20"/>
                <w:szCs w:val="20"/>
              </w:rPr>
            </w:pPr>
            <w:proofErr w:type="spellStart"/>
            <w:r>
              <w:rPr>
                <w:rFonts w:ascii="Arial" w:hAnsi="Arial" w:cs="Arial"/>
                <w:sz w:val="20"/>
                <w:szCs w:val="20"/>
              </w:rPr>
              <w:t>Troxyca</w:t>
            </w:r>
            <w:proofErr w:type="spellEnd"/>
            <w:r>
              <w:rPr>
                <w:rFonts w:ascii="Arial" w:hAnsi="Arial" w:cs="Arial"/>
                <w:sz w:val="20"/>
                <w:szCs w:val="20"/>
                <w:vertAlign w:val="superscript"/>
              </w:rPr>
              <w:t>®</w:t>
            </w:r>
            <w:r>
              <w:rPr>
                <w:rFonts w:ascii="Arial" w:hAnsi="Arial" w:cs="Arial"/>
                <w:sz w:val="20"/>
                <w:szCs w:val="20"/>
              </w:rPr>
              <w:t xml:space="preserve"> ER (oxycodone/naltrexone extended-release) </w:t>
            </w:r>
            <w:r w:rsidRPr="00581BE8">
              <w:rPr>
                <w:rFonts w:ascii="Arial" w:hAnsi="Arial" w:cs="Arial"/>
                <w:sz w:val="20"/>
                <w:szCs w:val="20"/>
              </w:rPr>
              <w:t>is contraindicated in patients with known or suspected paralytic ileus and gastrointestinal obstruction.</w:t>
            </w:r>
          </w:p>
        </w:tc>
      </w:tr>
      <w:tr w:rsidR="00581BE8" w:rsidRPr="0039107C" w:rsidTr="00EE510C">
        <w:trPr>
          <w:trHeight w:val="228"/>
        </w:trPr>
        <w:tc>
          <w:tcPr>
            <w:tcW w:w="1890" w:type="dxa"/>
            <w:vMerge/>
            <w:tcBorders>
              <w:bottom w:val="single" w:sz="4" w:space="0" w:color="auto"/>
            </w:tcBorders>
            <w:shd w:val="clear" w:color="auto" w:fill="BFBFBF" w:themeFill="background1" w:themeFillShade="BF"/>
          </w:tcPr>
          <w:p w:rsidR="00581BE8" w:rsidRPr="008E7C04" w:rsidRDefault="00581BE8" w:rsidP="00526C44">
            <w:pPr>
              <w:pStyle w:val="NoSpacing"/>
              <w:rPr>
                <w:rFonts w:ascii="Arial" w:hAnsi="Arial" w:cs="Arial"/>
                <w:b/>
                <w:sz w:val="20"/>
                <w:szCs w:val="20"/>
              </w:rPr>
            </w:pPr>
          </w:p>
        </w:tc>
        <w:tc>
          <w:tcPr>
            <w:tcW w:w="7578" w:type="dxa"/>
            <w:vAlign w:val="center"/>
          </w:tcPr>
          <w:p w:rsidR="00581BE8" w:rsidRPr="00385781" w:rsidRDefault="00581BE8" w:rsidP="00526C44">
            <w:pPr>
              <w:pStyle w:val="NoSpacing"/>
              <w:rPr>
                <w:rFonts w:ascii="Arial" w:hAnsi="Arial" w:cs="Arial"/>
                <w:sz w:val="20"/>
                <w:szCs w:val="20"/>
              </w:rPr>
            </w:pPr>
            <w:proofErr w:type="spellStart"/>
            <w:r w:rsidRPr="00E21213">
              <w:rPr>
                <w:rFonts w:ascii="Arial" w:hAnsi="Arial" w:cs="Arial"/>
                <w:bCs/>
                <w:sz w:val="20"/>
                <w:szCs w:val="20"/>
              </w:rPr>
              <w:t>Troxyca</w:t>
            </w:r>
            <w:proofErr w:type="spellEnd"/>
            <w:r>
              <w:rPr>
                <w:rFonts w:ascii="Arial" w:hAnsi="Arial" w:cs="Arial"/>
                <w:bCs/>
                <w:sz w:val="20"/>
                <w:szCs w:val="20"/>
                <w:vertAlign w:val="superscript"/>
              </w:rPr>
              <w:t>®</w:t>
            </w:r>
            <w:r>
              <w:rPr>
                <w:rFonts w:ascii="Arial" w:hAnsi="Arial" w:cs="Arial"/>
                <w:sz w:val="20"/>
                <w:szCs w:val="20"/>
              </w:rPr>
              <w:t xml:space="preserve"> ER (</w:t>
            </w:r>
            <w:r>
              <w:rPr>
                <w:rFonts w:ascii="Arial" w:hAnsi="Arial" w:cs="Arial"/>
                <w:sz w:val="20"/>
                <w:szCs w:val="20"/>
                <w:shd w:val="clear" w:color="auto" w:fill="FFFFFF"/>
              </w:rPr>
              <w:t>oxycodone/naltrexone</w:t>
            </w:r>
            <w:r w:rsidRPr="00E54689">
              <w:rPr>
                <w:rFonts w:ascii="Arial" w:hAnsi="Arial" w:cs="Arial"/>
                <w:bCs/>
                <w:sz w:val="20"/>
                <w:szCs w:val="20"/>
              </w:rPr>
              <w:t xml:space="preserve"> </w:t>
            </w:r>
            <w:r>
              <w:rPr>
                <w:rFonts w:ascii="Arial" w:hAnsi="Arial" w:cs="Arial"/>
                <w:bCs/>
                <w:sz w:val="20"/>
                <w:szCs w:val="20"/>
              </w:rPr>
              <w:t xml:space="preserve">extended-release) </w:t>
            </w:r>
            <w:r w:rsidRPr="00581BE8">
              <w:rPr>
                <w:rFonts w:ascii="Arial" w:hAnsi="Arial" w:cs="Arial"/>
                <w:bCs/>
                <w:sz w:val="20"/>
                <w:szCs w:val="20"/>
              </w:rPr>
              <w:t>is contraindicated in patients with hypersensitivity to oxycodone</w:t>
            </w:r>
            <w:r>
              <w:rPr>
                <w:rFonts w:ascii="Arial" w:hAnsi="Arial" w:cs="Arial"/>
                <w:bCs/>
                <w:sz w:val="20"/>
                <w:szCs w:val="20"/>
              </w:rPr>
              <w:t xml:space="preserve"> or naltrexone.</w:t>
            </w:r>
          </w:p>
        </w:tc>
      </w:tr>
    </w:tbl>
    <w:p w:rsidR="00AE5B18" w:rsidRPr="0044122B" w:rsidRDefault="00AE5B18" w:rsidP="004920E8">
      <w:pPr>
        <w:pStyle w:val="NoSpacing"/>
        <w:rPr>
          <w:rFonts w:ascii="Arial" w:hAnsi="Arial" w:cs="Arial"/>
          <w:color w:val="0000FF"/>
          <w:sz w:val="20"/>
          <w:szCs w:val="20"/>
        </w:rPr>
      </w:pPr>
    </w:p>
    <w:p w:rsidR="007F4DF8" w:rsidRPr="0044122B" w:rsidRDefault="00AE5B18" w:rsidP="004920E8">
      <w:pPr>
        <w:pStyle w:val="NoSpacing"/>
        <w:rPr>
          <w:rFonts w:ascii="Arial" w:hAnsi="Arial" w:cs="Arial"/>
          <w:b/>
          <w:sz w:val="20"/>
          <w:szCs w:val="20"/>
          <w:u w:val="single"/>
        </w:rPr>
      </w:pPr>
      <w:bookmarkStart w:id="3" w:name="AdverseDrugEvents"/>
      <w:r>
        <w:rPr>
          <w:rFonts w:ascii="Arial" w:hAnsi="Arial" w:cs="Arial"/>
          <w:b/>
          <w:sz w:val="20"/>
          <w:szCs w:val="20"/>
          <w:u w:val="single"/>
        </w:rPr>
        <w:t xml:space="preserve">Adverse </w:t>
      </w:r>
      <w:r w:rsidR="00DD0F1A" w:rsidRPr="0044122B">
        <w:rPr>
          <w:rFonts w:ascii="Arial" w:hAnsi="Arial" w:cs="Arial"/>
          <w:b/>
          <w:sz w:val="20"/>
          <w:szCs w:val="20"/>
          <w:u w:val="single"/>
        </w:rPr>
        <w:t>E</w:t>
      </w:r>
      <w:bookmarkEnd w:id="3"/>
      <w:r>
        <w:rPr>
          <w:rFonts w:ascii="Arial" w:hAnsi="Arial" w:cs="Arial"/>
          <w:b/>
          <w:sz w:val="20"/>
          <w:szCs w:val="20"/>
          <w:u w:val="single"/>
        </w:rPr>
        <w:t>ffects</w:t>
      </w:r>
    </w:p>
    <w:p w:rsidR="003B5B3E" w:rsidRPr="00633DFD" w:rsidRDefault="00AE5B18" w:rsidP="003B5B3E">
      <w:pPr>
        <w:pStyle w:val="NoSpacing"/>
        <w:rPr>
          <w:rFonts w:ascii="Arial" w:hAnsi="Arial" w:cs="Arial"/>
          <w:sz w:val="20"/>
          <w:szCs w:val="20"/>
          <w:vertAlign w:val="superscript"/>
        </w:rPr>
      </w:pPr>
      <w:r w:rsidRPr="00C06C7F">
        <w:rPr>
          <w:rFonts w:ascii="Arial" w:hAnsi="Arial" w:cs="Arial"/>
          <w:sz w:val="20"/>
          <w:szCs w:val="20"/>
        </w:rPr>
        <w:t>Table 10</w:t>
      </w:r>
      <w:r w:rsidR="005B32F5" w:rsidRPr="00C06C7F">
        <w:rPr>
          <w:rFonts w:ascii="Arial" w:hAnsi="Arial" w:cs="Arial"/>
          <w:sz w:val="20"/>
          <w:szCs w:val="20"/>
        </w:rPr>
        <w:t xml:space="preserve"> represents adverse reac</w:t>
      </w:r>
      <w:r w:rsidR="00C06C7F" w:rsidRPr="00C06C7F">
        <w:rPr>
          <w:rFonts w:ascii="Arial" w:hAnsi="Arial" w:cs="Arial"/>
          <w:sz w:val="20"/>
          <w:szCs w:val="20"/>
        </w:rPr>
        <w:t>tions reported in ≥</w:t>
      </w:r>
      <w:r w:rsidR="005B32F5" w:rsidRPr="00C06C7F">
        <w:rPr>
          <w:rFonts w:ascii="Arial" w:hAnsi="Arial" w:cs="Arial"/>
          <w:sz w:val="20"/>
          <w:szCs w:val="20"/>
        </w:rPr>
        <w:t xml:space="preserve">2% of subjects from </w:t>
      </w:r>
      <w:r w:rsidR="00C06C7F" w:rsidRPr="00C06C7F">
        <w:rPr>
          <w:rFonts w:ascii="Arial" w:hAnsi="Arial" w:cs="Arial"/>
          <w:sz w:val="20"/>
          <w:szCs w:val="20"/>
        </w:rPr>
        <w:t xml:space="preserve">both the open-label and </w:t>
      </w:r>
      <w:r w:rsidR="005B32F5" w:rsidRPr="00C06C7F">
        <w:rPr>
          <w:rFonts w:ascii="Arial" w:hAnsi="Arial" w:cs="Arial"/>
          <w:sz w:val="20"/>
          <w:szCs w:val="20"/>
        </w:rPr>
        <w:t xml:space="preserve">double-blind treatment </w:t>
      </w:r>
      <w:r w:rsidR="00C06C7F" w:rsidRPr="00C06C7F">
        <w:rPr>
          <w:rFonts w:ascii="Arial" w:hAnsi="Arial" w:cs="Arial"/>
          <w:sz w:val="20"/>
          <w:szCs w:val="20"/>
        </w:rPr>
        <w:t>periods</w:t>
      </w:r>
      <w:r w:rsidR="005B32F5" w:rsidRPr="00C06C7F">
        <w:rPr>
          <w:rFonts w:ascii="Arial" w:hAnsi="Arial" w:cs="Arial"/>
          <w:sz w:val="20"/>
          <w:szCs w:val="20"/>
        </w:rPr>
        <w:t xml:space="preserve"> of a </w:t>
      </w:r>
      <w:r w:rsidR="00C06C7F" w:rsidRPr="00C06C7F">
        <w:rPr>
          <w:rFonts w:ascii="Arial" w:hAnsi="Arial" w:cs="Arial"/>
          <w:sz w:val="20"/>
          <w:szCs w:val="20"/>
        </w:rPr>
        <w:t>phase III clinical trial</w:t>
      </w:r>
      <w:r w:rsidR="005B32F5" w:rsidRPr="00C06C7F">
        <w:rPr>
          <w:rFonts w:ascii="Arial" w:hAnsi="Arial" w:cs="Arial"/>
          <w:sz w:val="20"/>
          <w:szCs w:val="20"/>
        </w:rPr>
        <w:t xml:space="preserve"> for </w:t>
      </w:r>
      <w:proofErr w:type="spellStart"/>
      <w:r w:rsidR="00C06C7F" w:rsidRPr="00C06C7F">
        <w:rPr>
          <w:rFonts w:ascii="Arial" w:hAnsi="Arial" w:cs="Arial"/>
          <w:sz w:val="20"/>
          <w:szCs w:val="20"/>
        </w:rPr>
        <w:t>Troxyca</w:t>
      </w:r>
      <w:proofErr w:type="spellEnd"/>
      <w:r w:rsidR="005B32F5" w:rsidRPr="00C06C7F">
        <w:rPr>
          <w:rFonts w:ascii="Arial" w:hAnsi="Arial" w:cs="Arial"/>
          <w:sz w:val="20"/>
          <w:szCs w:val="20"/>
          <w:vertAlign w:val="superscript"/>
        </w:rPr>
        <w:t>®</w:t>
      </w:r>
      <w:r w:rsidR="005B32F5" w:rsidRPr="00C06C7F">
        <w:rPr>
          <w:rFonts w:ascii="Arial" w:hAnsi="Arial" w:cs="Arial"/>
          <w:sz w:val="20"/>
          <w:szCs w:val="20"/>
        </w:rPr>
        <w:t xml:space="preserve"> </w:t>
      </w:r>
      <w:r w:rsidR="00C06C7F" w:rsidRPr="00C06C7F">
        <w:rPr>
          <w:rFonts w:ascii="Arial" w:hAnsi="Arial" w:cs="Arial"/>
          <w:sz w:val="20"/>
          <w:szCs w:val="20"/>
        </w:rPr>
        <w:t xml:space="preserve">ER </w:t>
      </w:r>
      <w:r w:rsidR="005B32F5" w:rsidRPr="00C06C7F">
        <w:rPr>
          <w:rFonts w:ascii="Arial" w:hAnsi="Arial" w:cs="Arial"/>
          <w:sz w:val="20"/>
          <w:szCs w:val="20"/>
        </w:rPr>
        <w:t>(</w:t>
      </w:r>
      <w:r w:rsidR="00C06C7F" w:rsidRPr="00C06C7F">
        <w:rPr>
          <w:rFonts w:ascii="Arial" w:hAnsi="Arial" w:cs="Arial"/>
          <w:sz w:val="20"/>
          <w:szCs w:val="20"/>
        </w:rPr>
        <w:t>oxycodone/naltrexone</w:t>
      </w:r>
      <w:r w:rsidR="005B32F5" w:rsidRPr="00C06C7F">
        <w:rPr>
          <w:rFonts w:ascii="Arial" w:hAnsi="Arial" w:cs="Arial"/>
          <w:sz w:val="20"/>
          <w:szCs w:val="20"/>
        </w:rPr>
        <w:t xml:space="preserve"> extended-release). Figures reported during the open-label titration phase are reported in the active drug column.</w:t>
      </w:r>
      <w:r w:rsidR="00633DFD">
        <w:rPr>
          <w:rFonts w:ascii="Arial" w:hAnsi="Arial" w:cs="Arial"/>
          <w:sz w:val="20"/>
          <w:szCs w:val="20"/>
          <w:vertAlign w:val="superscript"/>
        </w:rPr>
        <w:t>1</w:t>
      </w:r>
    </w:p>
    <w:p w:rsidR="004920E8" w:rsidRPr="0044122B" w:rsidRDefault="004920E8" w:rsidP="004920E8">
      <w:pPr>
        <w:pStyle w:val="NoSpacing"/>
        <w:ind w:left="-550" w:firstLine="550"/>
        <w:rPr>
          <w:rFonts w:ascii="Arial" w:hAnsi="Arial" w:cs="Arial"/>
          <w:b/>
          <w:sz w:val="20"/>
          <w:szCs w:val="20"/>
        </w:rPr>
      </w:pPr>
    </w:p>
    <w:p w:rsidR="007F4DF8" w:rsidRPr="0044122B" w:rsidRDefault="004920E8" w:rsidP="004920E8">
      <w:pPr>
        <w:pStyle w:val="NoSpacing"/>
        <w:ind w:left="-550" w:firstLine="550"/>
        <w:rPr>
          <w:rFonts w:ascii="Arial" w:hAnsi="Arial" w:cs="Arial"/>
          <w:b/>
          <w:sz w:val="20"/>
          <w:szCs w:val="20"/>
        </w:rPr>
      </w:pPr>
      <w:r w:rsidRPr="0044122B">
        <w:rPr>
          <w:rFonts w:ascii="Arial" w:hAnsi="Arial" w:cs="Arial"/>
          <w:b/>
          <w:sz w:val="20"/>
          <w:szCs w:val="20"/>
        </w:rPr>
        <w:t xml:space="preserve">Table </w:t>
      </w:r>
      <w:r w:rsidR="00AE5B18">
        <w:rPr>
          <w:rFonts w:ascii="Arial" w:hAnsi="Arial" w:cs="Arial"/>
          <w:b/>
          <w:sz w:val="20"/>
          <w:szCs w:val="20"/>
        </w:rPr>
        <w:t>10</w:t>
      </w:r>
      <w:r w:rsidRPr="0044122B">
        <w:rPr>
          <w:rFonts w:ascii="Arial" w:hAnsi="Arial" w:cs="Arial"/>
          <w:b/>
          <w:sz w:val="20"/>
          <w:szCs w:val="20"/>
        </w:rPr>
        <w:t>. Adverse Events</w:t>
      </w:r>
      <w:r w:rsidR="005B32F5" w:rsidRPr="001F19B1">
        <w:rPr>
          <w:rFonts w:ascii="Arial" w:hAnsi="Arial" w:cs="Arial"/>
          <w:b/>
          <w:sz w:val="20"/>
          <w:szCs w:val="20"/>
          <w:vertAlign w:val="superscript"/>
        </w:rPr>
        <w:t>1</w:t>
      </w:r>
      <w:r w:rsidRPr="0044122B">
        <w:rPr>
          <w:rFonts w:ascii="Arial" w:hAnsi="Arial" w:cs="Arial"/>
          <w:b/>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0"/>
        <w:gridCol w:w="3080"/>
        <w:gridCol w:w="2960"/>
      </w:tblGrid>
      <w:tr w:rsidR="00071184" w:rsidRPr="0044122B" w:rsidTr="00D6554F">
        <w:trPr>
          <w:tblHeader/>
        </w:trPr>
        <w:tc>
          <w:tcPr>
            <w:tcW w:w="3410" w:type="dxa"/>
            <w:vMerge w:val="restart"/>
            <w:shd w:val="clear" w:color="auto" w:fill="C0C0C0"/>
            <w:vAlign w:val="center"/>
          </w:tcPr>
          <w:p w:rsidR="00071184" w:rsidRPr="0044122B" w:rsidRDefault="00071184" w:rsidP="00D6554F">
            <w:pPr>
              <w:pStyle w:val="NoSpacing"/>
              <w:jc w:val="center"/>
              <w:rPr>
                <w:rFonts w:ascii="Arial" w:hAnsi="Arial" w:cs="Arial"/>
                <w:b/>
                <w:sz w:val="20"/>
                <w:szCs w:val="20"/>
                <w:u w:val="single"/>
              </w:rPr>
            </w:pPr>
            <w:r w:rsidRPr="0044122B">
              <w:rPr>
                <w:rFonts w:ascii="Arial" w:hAnsi="Arial" w:cs="Arial"/>
                <w:b/>
                <w:sz w:val="20"/>
                <w:szCs w:val="20"/>
              </w:rPr>
              <w:t>Adverse Event</w:t>
            </w:r>
            <w:r w:rsidR="00C34201">
              <w:rPr>
                <w:rFonts w:ascii="Arial" w:hAnsi="Arial" w:cs="Arial"/>
                <w:b/>
                <w:sz w:val="20"/>
                <w:szCs w:val="20"/>
              </w:rPr>
              <w:t xml:space="preserve"> (%)</w:t>
            </w:r>
          </w:p>
        </w:tc>
        <w:tc>
          <w:tcPr>
            <w:tcW w:w="6040" w:type="dxa"/>
            <w:gridSpan w:val="2"/>
            <w:shd w:val="clear" w:color="auto" w:fill="C0C0C0"/>
            <w:vAlign w:val="center"/>
          </w:tcPr>
          <w:p w:rsidR="00071184" w:rsidRPr="0044122B" w:rsidRDefault="00071184" w:rsidP="00D6554F">
            <w:pPr>
              <w:pStyle w:val="NoSpacing"/>
              <w:jc w:val="center"/>
              <w:rPr>
                <w:rFonts w:ascii="Arial" w:hAnsi="Arial" w:cs="Arial"/>
                <w:b/>
                <w:sz w:val="20"/>
                <w:szCs w:val="20"/>
              </w:rPr>
            </w:pPr>
            <w:r w:rsidRPr="0044122B">
              <w:rPr>
                <w:rFonts w:ascii="Arial" w:hAnsi="Arial" w:cs="Arial"/>
                <w:b/>
                <w:sz w:val="20"/>
                <w:szCs w:val="20"/>
              </w:rPr>
              <w:t>Reported Frequency</w:t>
            </w:r>
          </w:p>
        </w:tc>
      </w:tr>
      <w:tr w:rsidR="00071184" w:rsidRPr="0044122B" w:rsidTr="00D6554F">
        <w:trPr>
          <w:tblHeader/>
        </w:trPr>
        <w:tc>
          <w:tcPr>
            <w:tcW w:w="3410" w:type="dxa"/>
            <w:vMerge/>
            <w:shd w:val="clear" w:color="auto" w:fill="C0C0C0"/>
            <w:vAlign w:val="center"/>
          </w:tcPr>
          <w:p w:rsidR="00071184" w:rsidRPr="0044122B" w:rsidRDefault="00071184" w:rsidP="00D6554F">
            <w:pPr>
              <w:pStyle w:val="NoSpacing"/>
              <w:jc w:val="center"/>
              <w:rPr>
                <w:rFonts w:ascii="Arial" w:hAnsi="Arial" w:cs="Arial"/>
                <w:b/>
                <w:sz w:val="20"/>
                <w:szCs w:val="20"/>
                <w:u w:val="single"/>
              </w:rPr>
            </w:pPr>
          </w:p>
        </w:tc>
        <w:tc>
          <w:tcPr>
            <w:tcW w:w="3080" w:type="dxa"/>
            <w:shd w:val="clear" w:color="auto" w:fill="C0C0C0"/>
            <w:vAlign w:val="center"/>
          </w:tcPr>
          <w:p w:rsidR="00071184" w:rsidRPr="0044122B" w:rsidRDefault="00BD00E9" w:rsidP="00D6554F">
            <w:pPr>
              <w:pStyle w:val="NoSpacing"/>
              <w:jc w:val="center"/>
              <w:rPr>
                <w:rFonts w:ascii="Arial" w:hAnsi="Arial" w:cs="Arial"/>
                <w:b/>
                <w:sz w:val="20"/>
                <w:szCs w:val="20"/>
              </w:rPr>
            </w:pPr>
            <w:r w:rsidRPr="0044122B">
              <w:rPr>
                <w:rFonts w:ascii="Arial" w:hAnsi="Arial" w:cs="Arial"/>
                <w:b/>
                <w:sz w:val="20"/>
                <w:szCs w:val="20"/>
              </w:rPr>
              <w:t>A</w:t>
            </w:r>
            <w:r w:rsidR="00071184" w:rsidRPr="0044122B">
              <w:rPr>
                <w:rFonts w:ascii="Arial" w:hAnsi="Arial" w:cs="Arial"/>
                <w:b/>
                <w:sz w:val="20"/>
                <w:szCs w:val="20"/>
              </w:rPr>
              <w:t>ctiv</w:t>
            </w:r>
            <w:r w:rsidRPr="0044122B">
              <w:rPr>
                <w:rFonts w:ascii="Arial" w:hAnsi="Arial" w:cs="Arial"/>
                <w:b/>
                <w:sz w:val="20"/>
                <w:szCs w:val="20"/>
              </w:rPr>
              <w:t>e Drug, Dosing R</w:t>
            </w:r>
            <w:r w:rsidR="00071184" w:rsidRPr="0044122B">
              <w:rPr>
                <w:rFonts w:ascii="Arial" w:hAnsi="Arial" w:cs="Arial"/>
                <w:b/>
                <w:sz w:val="20"/>
                <w:szCs w:val="20"/>
              </w:rPr>
              <w:t>egimen</w:t>
            </w:r>
          </w:p>
          <w:p w:rsidR="00071184" w:rsidRPr="0044122B" w:rsidRDefault="00071184" w:rsidP="0087271E">
            <w:pPr>
              <w:pStyle w:val="NoSpacing"/>
              <w:jc w:val="center"/>
              <w:rPr>
                <w:rFonts w:ascii="Arial" w:hAnsi="Arial" w:cs="Arial"/>
                <w:b/>
                <w:sz w:val="20"/>
                <w:szCs w:val="20"/>
              </w:rPr>
            </w:pPr>
            <w:r w:rsidRPr="0044122B">
              <w:rPr>
                <w:rFonts w:ascii="Arial" w:hAnsi="Arial" w:cs="Arial"/>
                <w:b/>
                <w:sz w:val="20"/>
                <w:szCs w:val="20"/>
              </w:rPr>
              <w:t>N=</w:t>
            </w:r>
            <w:r w:rsidR="00C06C7F">
              <w:rPr>
                <w:rFonts w:ascii="Arial" w:hAnsi="Arial" w:cs="Arial"/>
                <w:b/>
                <w:sz w:val="20"/>
                <w:szCs w:val="20"/>
              </w:rPr>
              <w:t>410</w:t>
            </w:r>
            <w:r w:rsidR="005B32F5">
              <w:rPr>
                <w:rFonts w:ascii="Arial" w:hAnsi="Arial" w:cs="Arial"/>
                <w:b/>
                <w:sz w:val="20"/>
                <w:szCs w:val="20"/>
              </w:rPr>
              <w:t xml:space="preserve"> (open-label titration phase), </w:t>
            </w:r>
            <w:r w:rsidR="00C06C7F">
              <w:rPr>
                <w:rFonts w:ascii="Arial" w:hAnsi="Arial" w:cs="Arial"/>
                <w:b/>
                <w:sz w:val="20"/>
                <w:szCs w:val="20"/>
              </w:rPr>
              <w:t>146</w:t>
            </w:r>
            <w:r w:rsidR="005B32F5">
              <w:rPr>
                <w:rFonts w:ascii="Arial" w:hAnsi="Arial" w:cs="Arial"/>
                <w:b/>
                <w:sz w:val="20"/>
                <w:szCs w:val="20"/>
              </w:rPr>
              <w:t xml:space="preserve"> (double-blind treatment phase)</w:t>
            </w:r>
            <w:r w:rsidR="009E0895">
              <w:rPr>
                <w:rFonts w:ascii="Arial" w:hAnsi="Arial" w:cs="Arial"/>
                <w:b/>
                <w:sz w:val="20"/>
                <w:szCs w:val="20"/>
              </w:rPr>
              <w:t xml:space="preserve"> </w:t>
            </w:r>
          </w:p>
        </w:tc>
        <w:tc>
          <w:tcPr>
            <w:tcW w:w="2960" w:type="dxa"/>
            <w:shd w:val="clear" w:color="auto" w:fill="C0C0C0"/>
            <w:vAlign w:val="center"/>
          </w:tcPr>
          <w:p w:rsidR="00071184" w:rsidRPr="0044122B" w:rsidRDefault="00071184" w:rsidP="00D6554F">
            <w:pPr>
              <w:pStyle w:val="NoSpacing"/>
              <w:jc w:val="center"/>
              <w:rPr>
                <w:rFonts w:ascii="Arial" w:hAnsi="Arial" w:cs="Arial"/>
                <w:b/>
                <w:sz w:val="20"/>
                <w:szCs w:val="20"/>
              </w:rPr>
            </w:pPr>
            <w:r w:rsidRPr="0044122B">
              <w:rPr>
                <w:rFonts w:ascii="Arial" w:hAnsi="Arial" w:cs="Arial"/>
                <w:b/>
                <w:sz w:val="20"/>
                <w:szCs w:val="20"/>
              </w:rPr>
              <w:t>Placebo</w:t>
            </w:r>
          </w:p>
          <w:p w:rsidR="00071184" w:rsidRPr="0044122B" w:rsidRDefault="00071184" w:rsidP="0087271E">
            <w:pPr>
              <w:pStyle w:val="NoSpacing"/>
              <w:jc w:val="center"/>
              <w:rPr>
                <w:rFonts w:ascii="Arial" w:hAnsi="Arial" w:cs="Arial"/>
                <w:b/>
                <w:sz w:val="20"/>
                <w:szCs w:val="20"/>
              </w:rPr>
            </w:pPr>
            <w:r w:rsidRPr="0044122B">
              <w:rPr>
                <w:rFonts w:ascii="Arial" w:hAnsi="Arial" w:cs="Arial"/>
                <w:b/>
                <w:sz w:val="20"/>
                <w:szCs w:val="20"/>
              </w:rPr>
              <w:t>N=</w:t>
            </w:r>
            <w:r w:rsidR="00C06C7F">
              <w:rPr>
                <w:rFonts w:ascii="Arial" w:hAnsi="Arial" w:cs="Arial"/>
                <w:b/>
                <w:sz w:val="20"/>
                <w:szCs w:val="20"/>
              </w:rPr>
              <w:t>134</w:t>
            </w:r>
            <w:r w:rsidR="009E0895">
              <w:rPr>
                <w:rFonts w:ascii="Arial" w:hAnsi="Arial" w:cs="Arial"/>
                <w:b/>
                <w:sz w:val="20"/>
                <w:szCs w:val="20"/>
              </w:rPr>
              <w:t xml:space="preserve"> </w:t>
            </w:r>
          </w:p>
        </w:tc>
      </w:tr>
      <w:tr w:rsidR="009E0895" w:rsidRPr="0044122B" w:rsidTr="00EE510C">
        <w:tc>
          <w:tcPr>
            <w:tcW w:w="3410" w:type="dxa"/>
          </w:tcPr>
          <w:p w:rsidR="009E0895" w:rsidRPr="005B32F5" w:rsidRDefault="009E0895" w:rsidP="001B7F23">
            <w:pPr>
              <w:pStyle w:val="NoSpacing"/>
              <w:rPr>
                <w:rFonts w:ascii="Arial" w:hAnsi="Arial" w:cs="Arial"/>
                <w:sz w:val="20"/>
                <w:szCs w:val="20"/>
              </w:rPr>
            </w:pPr>
            <w:r w:rsidRPr="00255DE5">
              <w:rPr>
                <w:rFonts w:ascii="Arial" w:hAnsi="Arial" w:cs="Arial"/>
                <w:sz w:val="20"/>
                <w:szCs w:val="20"/>
              </w:rPr>
              <w:t>Nausea</w:t>
            </w:r>
          </w:p>
        </w:tc>
        <w:tc>
          <w:tcPr>
            <w:tcW w:w="3080" w:type="dxa"/>
          </w:tcPr>
          <w:p w:rsidR="009E0895" w:rsidRPr="009B69FA" w:rsidRDefault="00A9120A" w:rsidP="00D6554F">
            <w:pPr>
              <w:pStyle w:val="NoSpacing"/>
              <w:jc w:val="center"/>
              <w:rPr>
                <w:rFonts w:ascii="Arial" w:hAnsi="Arial" w:cs="Arial"/>
                <w:sz w:val="20"/>
                <w:szCs w:val="20"/>
              </w:rPr>
            </w:pPr>
            <w:r>
              <w:rPr>
                <w:rFonts w:ascii="Arial" w:hAnsi="Arial" w:cs="Arial"/>
                <w:sz w:val="20"/>
                <w:szCs w:val="20"/>
              </w:rPr>
              <w:t xml:space="preserve">20.5, </w:t>
            </w:r>
            <w:r w:rsidR="009E0895">
              <w:rPr>
                <w:rFonts w:ascii="Arial" w:hAnsi="Arial" w:cs="Arial"/>
                <w:sz w:val="20"/>
                <w:szCs w:val="20"/>
              </w:rPr>
              <w:t>14.4</w:t>
            </w:r>
          </w:p>
        </w:tc>
        <w:tc>
          <w:tcPr>
            <w:tcW w:w="2960" w:type="dxa"/>
          </w:tcPr>
          <w:p w:rsidR="009E0895" w:rsidRPr="009B69FA" w:rsidRDefault="009E0895" w:rsidP="00D6554F">
            <w:pPr>
              <w:pStyle w:val="NoSpacing"/>
              <w:jc w:val="center"/>
              <w:rPr>
                <w:rFonts w:ascii="Arial" w:hAnsi="Arial" w:cs="Arial"/>
                <w:sz w:val="20"/>
                <w:szCs w:val="20"/>
              </w:rPr>
            </w:pPr>
            <w:r>
              <w:rPr>
                <w:rFonts w:ascii="Arial" w:hAnsi="Arial" w:cs="Arial"/>
                <w:sz w:val="20"/>
                <w:szCs w:val="20"/>
              </w:rPr>
              <w:t>3.7</w:t>
            </w:r>
          </w:p>
        </w:tc>
      </w:tr>
      <w:tr w:rsidR="00A9120A" w:rsidRPr="009B69FA" w:rsidTr="00EE510C">
        <w:tc>
          <w:tcPr>
            <w:tcW w:w="3410" w:type="dxa"/>
          </w:tcPr>
          <w:p w:rsidR="00A9120A" w:rsidRPr="005B32F5" w:rsidRDefault="00A9120A" w:rsidP="00EE510C">
            <w:pPr>
              <w:pStyle w:val="NoSpacing"/>
              <w:rPr>
                <w:rFonts w:ascii="Arial" w:hAnsi="Arial" w:cs="Arial"/>
                <w:sz w:val="20"/>
                <w:szCs w:val="20"/>
              </w:rPr>
            </w:pPr>
            <w:r w:rsidRPr="00255DE5">
              <w:rPr>
                <w:rFonts w:ascii="Arial" w:hAnsi="Arial" w:cs="Arial"/>
                <w:sz w:val="20"/>
                <w:szCs w:val="20"/>
              </w:rPr>
              <w:t>Constipation</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14.9, 3.4</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2.2</w:t>
            </w:r>
          </w:p>
        </w:tc>
      </w:tr>
      <w:tr w:rsidR="009E0895" w:rsidRPr="0044122B" w:rsidTr="00EE510C">
        <w:tc>
          <w:tcPr>
            <w:tcW w:w="3410" w:type="dxa"/>
          </w:tcPr>
          <w:p w:rsidR="009E0895" w:rsidRPr="005B32F5" w:rsidRDefault="009E0895" w:rsidP="001B7F23">
            <w:pPr>
              <w:pStyle w:val="NoSpacing"/>
              <w:rPr>
                <w:rFonts w:ascii="Arial" w:hAnsi="Arial" w:cs="Arial"/>
                <w:sz w:val="20"/>
                <w:szCs w:val="20"/>
              </w:rPr>
            </w:pPr>
            <w:r w:rsidRPr="00255DE5">
              <w:rPr>
                <w:rFonts w:ascii="Arial" w:hAnsi="Arial" w:cs="Arial"/>
                <w:sz w:val="20"/>
                <w:szCs w:val="20"/>
              </w:rPr>
              <w:t>Vomiting</w:t>
            </w:r>
          </w:p>
        </w:tc>
        <w:tc>
          <w:tcPr>
            <w:tcW w:w="3080" w:type="dxa"/>
          </w:tcPr>
          <w:p w:rsidR="009E0895" w:rsidRPr="009B69FA" w:rsidRDefault="00A9120A" w:rsidP="00D6554F">
            <w:pPr>
              <w:pStyle w:val="NoSpacing"/>
              <w:jc w:val="center"/>
              <w:rPr>
                <w:rFonts w:ascii="Arial" w:hAnsi="Arial" w:cs="Arial"/>
                <w:sz w:val="20"/>
                <w:szCs w:val="20"/>
              </w:rPr>
            </w:pPr>
            <w:r>
              <w:rPr>
                <w:rFonts w:ascii="Arial" w:hAnsi="Arial" w:cs="Arial"/>
                <w:sz w:val="20"/>
                <w:szCs w:val="20"/>
              </w:rPr>
              <w:t xml:space="preserve">9.0, </w:t>
            </w:r>
            <w:r w:rsidR="009E0895">
              <w:rPr>
                <w:rFonts w:ascii="Arial" w:hAnsi="Arial" w:cs="Arial"/>
                <w:sz w:val="20"/>
                <w:szCs w:val="20"/>
              </w:rPr>
              <w:t>6.2</w:t>
            </w:r>
          </w:p>
        </w:tc>
        <w:tc>
          <w:tcPr>
            <w:tcW w:w="2960" w:type="dxa"/>
          </w:tcPr>
          <w:p w:rsidR="009E0895" w:rsidRPr="009B69FA" w:rsidRDefault="009E0895" w:rsidP="00D6554F">
            <w:pPr>
              <w:pStyle w:val="NoSpacing"/>
              <w:jc w:val="center"/>
              <w:rPr>
                <w:rFonts w:ascii="Arial" w:hAnsi="Arial" w:cs="Arial"/>
                <w:sz w:val="20"/>
                <w:szCs w:val="20"/>
              </w:rPr>
            </w:pPr>
            <w:r>
              <w:rPr>
                <w:rFonts w:ascii="Arial" w:hAnsi="Arial" w:cs="Arial"/>
                <w:sz w:val="20"/>
                <w:szCs w:val="20"/>
              </w:rPr>
              <w:t>3.0</w:t>
            </w:r>
          </w:p>
        </w:tc>
      </w:tr>
      <w:tr w:rsidR="00A9120A" w:rsidRPr="009B69FA" w:rsidTr="00EE510C">
        <w:tc>
          <w:tcPr>
            <w:tcW w:w="3410" w:type="dxa"/>
          </w:tcPr>
          <w:p w:rsidR="00A9120A" w:rsidRDefault="00A9120A" w:rsidP="00EE510C">
            <w:pPr>
              <w:pStyle w:val="NoSpacing"/>
              <w:rPr>
                <w:rFonts w:ascii="Arial" w:hAnsi="Arial" w:cs="Arial"/>
                <w:sz w:val="20"/>
                <w:szCs w:val="20"/>
              </w:rPr>
            </w:pPr>
            <w:r>
              <w:rPr>
                <w:rFonts w:ascii="Arial" w:hAnsi="Arial" w:cs="Arial"/>
                <w:sz w:val="20"/>
                <w:szCs w:val="20"/>
              </w:rPr>
              <w:t>Somnolence</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9.0, 0.7</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0.7</w:t>
            </w:r>
          </w:p>
        </w:tc>
      </w:tr>
      <w:tr w:rsidR="00A9120A" w:rsidRPr="009B69FA" w:rsidTr="00EE510C">
        <w:tc>
          <w:tcPr>
            <w:tcW w:w="3410" w:type="dxa"/>
          </w:tcPr>
          <w:p w:rsidR="00A9120A" w:rsidRDefault="00A9120A" w:rsidP="00EE510C">
            <w:pPr>
              <w:pStyle w:val="NoSpacing"/>
              <w:rPr>
                <w:rFonts w:ascii="Arial" w:hAnsi="Arial" w:cs="Arial"/>
                <w:sz w:val="20"/>
                <w:szCs w:val="20"/>
              </w:rPr>
            </w:pPr>
            <w:r>
              <w:rPr>
                <w:rFonts w:ascii="Arial" w:hAnsi="Arial" w:cs="Arial"/>
                <w:sz w:val="20"/>
                <w:szCs w:val="20"/>
              </w:rPr>
              <w:t>Headache</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7.3, 1.4</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5.2</w:t>
            </w:r>
          </w:p>
        </w:tc>
      </w:tr>
      <w:tr w:rsidR="00A9120A" w:rsidRPr="009B69FA" w:rsidTr="00EE510C">
        <w:tc>
          <w:tcPr>
            <w:tcW w:w="3410" w:type="dxa"/>
          </w:tcPr>
          <w:p w:rsidR="00A9120A" w:rsidRDefault="00A9120A" w:rsidP="00EE510C">
            <w:pPr>
              <w:pStyle w:val="NoSpacing"/>
              <w:rPr>
                <w:rFonts w:ascii="Arial" w:hAnsi="Arial" w:cs="Arial"/>
                <w:sz w:val="20"/>
                <w:szCs w:val="20"/>
              </w:rPr>
            </w:pPr>
            <w:r>
              <w:rPr>
                <w:rFonts w:ascii="Arial" w:hAnsi="Arial" w:cs="Arial"/>
                <w:sz w:val="20"/>
                <w:szCs w:val="20"/>
              </w:rPr>
              <w:t>Pruritus</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6.6, 2.1</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0.0</w:t>
            </w:r>
          </w:p>
        </w:tc>
      </w:tr>
      <w:tr w:rsidR="00A9120A" w:rsidRPr="009B69FA" w:rsidTr="00EE510C">
        <w:tc>
          <w:tcPr>
            <w:tcW w:w="3410" w:type="dxa"/>
          </w:tcPr>
          <w:p w:rsidR="00A9120A" w:rsidRPr="005B32F5" w:rsidRDefault="00A9120A" w:rsidP="00EE510C">
            <w:pPr>
              <w:pStyle w:val="NoSpacing"/>
              <w:rPr>
                <w:rFonts w:ascii="Arial" w:hAnsi="Arial" w:cs="Arial"/>
                <w:sz w:val="20"/>
                <w:szCs w:val="20"/>
              </w:rPr>
            </w:pPr>
            <w:r>
              <w:rPr>
                <w:rFonts w:ascii="Arial" w:hAnsi="Arial" w:cs="Arial"/>
                <w:sz w:val="20"/>
                <w:szCs w:val="20"/>
              </w:rPr>
              <w:t>Dizziness</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5.9, 4.1</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0.7</w:t>
            </w:r>
          </w:p>
        </w:tc>
      </w:tr>
      <w:tr w:rsidR="009E0895" w:rsidRPr="0044122B" w:rsidTr="00EE510C">
        <w:tc>
          <w:tcPr>
            <w:tcW w:w="3410" w:type="dxa"/>
          </w:tcPr>
          <w:p w:rsidR="009E0895" w:rsidRPr="005B32F5" w:rsidRDefault="009E0895" w:rsidP="001B7F23">
            <w:pPr>
              <w:pStyle w:val="NoSpacing"/>
              <w:rPr>
                <w:rFonts w:ascii="Arial" w:hAnsi="Arial" w:cs="Arial"/>
                <w:sz w:val="20"/>
                <w:szCs w:val="20"/>
              </w:rPr>
            </w:pPr>
            <w:r w:rsidRPr="00255DE5">
              <w:rPr>
                <w:rFonts w:ascii="Arial" w:hAnsi="Arial" w:cs="Arial"/>
                <w:sz w:val="20"/>
                <w:szCs w:val="20"/>
              </w:rPr>
              <w:t>Diarrhea</w:t>
            </w:r>
          </w:p>
        </w:tc>
        <w:tc>
          <w:tcPr>
            <w:tcW w:w="3080" w:type="dxa"/>
          </w:tcPr>
          <w:p w:rsidR="009E0895" w:rsidRPr="009B69FA" w:rsidRDefault="00A9120A" w:rsidP="00D6554F">
            <w:pPr>
              <w:pStyle w:val="NoSpacing"/>
              <w:jc w:val="center"/>
              <w:rPr>
                <w:rFonts w:ascii="Arial" w:hAnsi="Arial" w:cs="Arial"/>
                <w:sz w:val="20"/>
                <w:szCs w:val="20"/>
              </w:rPr>
            </w:pPr>
            <w:r>
              <w:rPr>
                <w:rFonts w:ascii="Arial" w:hAnsi="Arial" w:cs="Arial"/>
                <w:sz w:val="20"/>
                <w:szCs w:val="20"/>
              </w:rPr>
              <w:t xml:space="preserve">2.2, </w:t>
            </w:r>
            <w:r w:rsidR="009E0895">
              <w:rPr>
                <w:rFonts w:ascii="Arial" w:hAnsi="Arial" w:cs="Arial"/>
                <w:sz w:val="20"/>
                <w:szCs w:val="20"/>
              </w:rPr>
              <w:t>5.5</w:t>
            </w:r>
          </w:p>
        </w:tc>
        <w:tc>
          <w:tcPr>
            <w:tcW w:w="2960" w:type="dxa"/>
          </w:tcPr>
          <w:p w:rsidR="009E0895" w:rsidRPr="009B69FA" w:rsidRDefault="009E0895" w:rsidP="00D6554F">
            <w:pPr>
              <w:pStyle w:val="NoSpacing"/>
              <w:jc w:val="center"/>
              <w:rPr>
                <w:rFonts w:ascii="Arial" w:hAnsi="Arial" w:cs="Arial"/>
                <w:sz w:val="20"/>
                <w:szCs w:val="20"/>
              </w:rPr>
            </w:pPr>
            <w:r>
              <w:rPr>
                <w:rFonts w:ascii="Arial" w:hAnsi="Arial" w:cs="Arial"/>
                <w:sz w:val="20"/>
                <w:szCs w:val="20"/>
              </w:rPr>
              <w:t>4.5</w:t>
            </w:r>
          </w:p>
        </w:tc>
      </w:tr>
      <w:tr w:rsidR="009E0895" w:rsidRPr="0044122B" w:rsidTr="00EE510C">
        <w:tc>
          <w:tcPr>
            <w:tcW w:w="3410" w:type="dxa"/>
          </w:tcPr>
          <w:p w:rsidR="009E0895" w:rsidRPr="005B32F5" w:rsidRDefault="009E0895" w:rsidP="001B7F23">
            <w:pPr>
              <w:pStyle w:val="NoSpacing"/>
              <w:rPr>
                <w:rFonts w:ascii="Arial" w:hAnsi="Arial" w:cs="Arial"/>
                <w:sz w:val="20"/>
                <w:szCs w:val="20"/>
              </w:rPr>
            </w:pPr>
            <w:r w:rsidRPr="00255DE5">
              <w:rPr>
                <w:rFonts w:ascii="Arial" w:hAnsi="Arial" w:cs="Arial"/>
                <w:sz w:val="20"/>
                <w:szCs w:val="20"/>
              </w:rPr>
              <w:t>Fatigue</w:t>
            </w:r>
          </w:p>
        </w:tc>
        <w:tc>
          <w:tcPr>
            <w:tcW w:w="3080" w:type="dxa"/>
          </w:tcPr>
          <w:p w:rsidR="009E0895" w:rsidRPr="009B69FA" w:rsidRDefault="00A9120A" w:rsidP="00D6554F">
            <w:pPr>
              <w:pStyle w:val="NoSpacing"/>
              <w:jc w:val="center"/>
              <w:rPr>
                <w:rFonts w:ascii="Arial" w:hAnsi="Arial" w:cs="Arial"/>
                <w:sz w:val="20"/>
                <w:szCs w:val="20"/>
              </w:rPr>
            </w:pPr>
            <w:r>
              <w:rPr>
                <w:rFonts w:ascii="Arial" w:hAnsi="Arial" w:cs="Arial"/>
                <w:sz w:val="20"/>
                <w:szCs w:val="20"/>
              </w:rPr>
              <w:t xml:space="preserve">3.2, </w:t>
            </w:r>
            <w:r w:rsidR="009E0895">
              <w:rPr>
                <w:rFonts w:ascii="Arial" w:hAnsi="Arial" w:cs="Arial"/>
                <w:sz w:val="20"/>
                <w:szCs w:val="20"/>
              </w:rPr>
              <w:t>3.4</w:t>
            </w:r>
          </w:p>
        </w:tc>
        <w:tc>
          <w:tcPr>
            <w:tcW w:w="2960" w:type="dxa"/>
          </w:tcPr>
          <w:p w:rsidR="009E0895" w:rsidRPr="009B69FA" w:rsidRDefault="009E0895" w:rsidP="00D6554F">
            <w:pPr>
              <w:pStyle w:val="NoSpacing"/>
              <w:jc w:val="center"/>
              <w:rPr>
                <w:rFonts w:ascii="Arial" w:hAnsi="Arial" w:cs="Arial"/>
                <w:sz w:val="20"/>
                <w:szCs w:val="20"/>
              </w:rPr>
            </w:pPr>
            <w:r>
              <w:rPr>
                <w:rFonts w:ascii="Arial" w:hAnsi="Arial" w:cs="Arial"/>
                <w:sz w:val="20"/>
                <w:szCs w:val="20"/>
              </w:rPr>
              <w:t>0.7</w:t>
            </w:r>
          </w:p>
        </w:tc>
      </w:tr>
      <w:tr w:rsidR="00A9120A" w:rsidRPr="009B69FA" w:rsidTr="00EE510C">
        <w:tc>
          <w:tcPr>
            <w:tcW w:w="3410" w:type="dxa"/>
            <w:vAlign w:val="center"/>
          </w:tcPr>
          <w:p w:rsidR="00A9120A" w:rsidRDefault="00A9120A" w:rsidP="00EE510C">
            <w:pPr>
              <w:pStyle w:val="NoSpacing"/>
              <w:rPr>
                <w:rFonts w:ascii="Arial" w:hAnsi="Arial" w:cs="Arial"/>
                <w:sz w:val="20"/>
                <w:szCs w:val="20"/>
              </w:rPr>
            </w:pPr>
            <w:r>
              <w:rPr>
                <w:rFonts w:ascii="Arial" w:hAnsi="Arial" w:cs="Arial"/>
                <w:sz w:val="20"/>
                <w:szCs w:val="20"/>
              </w:rPr>
              <w:t>Dry mouth</w:t>
            </w:r>
          </w:p>
        </w:tc>
        <w:tc>
          <w:tcPr>
            <w:tcW w:w="3080" w:type="dxa"/>
            <w:vAlign w:val="center"/>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3.2, 0.0</w:t>
            </w:r>
          </w:p>
        </w:tc>
        <w:tc>
          <w:tcPr>
            <w:tcW w:w="2960" w:type="dxa"/>
            <w:vAlign w:val="center"/>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0.0</w:t>
            </w:r>
          </w:p>
        </w:tc>
      </w:tr>
      <w:tr w:rsidR="00A9120A" w:rsidRPr="009B69FA" w:rsidTr="00EE510C">
        <w:tc>
          <w:tcPr>
            <w:tcW w:w="3410" w:type="dxa"/>
          </w:tcPr>
          <w:p w:rsidR="00A9120A" w:rsidRDefault="00A9120A" w:rsidP="00EE510C">
            <w:pPr>
              <w:pStyle w:val="NoSpacing"/>
              <w:rPr>
                <w:rFonts w:ascii="Arial" w:hAnsi="Arial" w:cs="Arial"/>
                <w:sz w:val="20"/>
                <w:szCs w:val="20"/>
              </w:rPr>
            </w:pPr>
            <w:r w:rsidRPr="00255DE5">
              <w:rPr>
                <w:rFonts w:ascii="Arial" w:hAnsi="Arial" w:cs="Arial"/>
                <w:sz w:val="20"/>
                <w:szCs w:val="20"/>
              </w:rPr>
              <w:t>Abdominal pain</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2.9, 1.4</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6.0</w:t>
            </w:r>
          </w:p>
        </w:tc>
      </w:tr>
      <w:tr w:rsidR="00A9120A" w:rsidRPr="009B69FA" w:rsidTr="00EE510C">
        <w:tc>
          <w:tcPr>
            <w:tcW w:w="3410" w:type="dxa"/>
          </w:tcPr>
          <w:p w:rsidR="00A9120A" w:rsidRPr="005B32F5" w:rsidRDefault="00A9120A" w:rsidP="00EE510C">
            <w:pPr>
              <w:pStyle w:val="NoSpacing"/>
              <w:rPr>
                <w:rFonts w:ascii="Arial" w:hAnsi="Arial" w:cs="Arial"/>
                <w:sz w:val="20"/>
                <w:szCs w:val="20"/>
              </w:rPr>
            </w:pPr>
            <w:r>
              <w:rPr>
                <w:rFonts w:ascii="Arial" w:hAnsi="Arial" w:cs="Arial"/>
                <w:sz w:val="20"/>
                <w:szCs w:val="20"/>
              </w:rPr>
              <w:t>Hyperhidrosis</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2.4, 2.7</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0.7</w:t>
            </w:r>
          </w:p>
        </w:tc>
      </w:tr>
      <w:tr w:rsidR="00A9120A" w:rsidRPr="009B69FA" w:rsidTr="00EE510C">
        <w:tc>
          <w:tcPr>
            <w:tcW w:w="3410" w:type="dxa"/>
          </w:tcPr>
          <w:p w:rsidR="00A9120A" w:rsidRDefault="00A9120A" w:rsidP="00EE510C">
            <w:pPr>
              <w:pStyle w:val="NoSpacing"/>
              <w:rPr>
                <w:rFonts w:ascii="Arial" w:hAnsi="Arial" w:cs="Arial"/>
                <w:sz w:val="20"/>
                <w:szCs w:val="20"/>
              </w:rPr>
            </w:pPr>
            <w:r>
              <w:rPr>
                <w:rFonts w:ascii="Arial" w:hAnsi="Arial" w:cs="Arial"/>
                <w:sz w:val="20"/>
                <w:szCs w:val="20"/>
              </w:rPr>
              <w:t>Hot flush</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2.4, 1.4</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2.2</w:t>
            </w:r>
          </w:p>
        </w:tc>
      </w:tr>
      <w:tr w:rsidR="00A9120A" w:rsidRPr="009B69FA" w:rsidTr="00EE510C">
        <w:tc>
          <w:tcPr>
            <w:tcW w:w="3410" w:type="dxa"/>
          </w:tcPr>
          <w:p w:rsidR="00A9120A" w:rsidRDefault="00A9120A" w:rsidP="00EE510C">
            <w:pPr>
              <w:pStyle w:val="NoSpacing"/>
              <w:rPr>
                <w:rFonts w:ascii="Arial" w:hAnsi="Arial" w:cs="Arial"/>
                <w:sz w:val="20"/>
                <w:szCs w:val="20"/>
              </w:rPr>
            </w:pPr>
            <w:r>
              <w:rPr>
                <w:rFonts w:ascii="Arial" w:hAnsi="Arial" w:cs="Arial"/>
                <w:sz w:val="20"/>
                <w:szCs w:val="20"/>
              </w:rPr>
              <w:t>Insomnia</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2.0, 0.7</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0.7</w:t>
            </w:r>
          </w:p>
        </w:tc>
      </w:tr>
      <w:tr w:rsidR="00A9120A" w:rsidRPr="009B69FA" w:rsidTr="00EE510C">
        <w:tc>
          <w:tcPr>
            <w:tcW w:w="3410" w:type="dxa"/>
          </w:tcPr>
          <w:p w:rsidR="00A9120A" w:rsidRDefault="00A9120A" w:rsidP="00EE510C">
            <w:pPr>
              <w:pStyle w:val="NoSpacing"/>
              <w:rPr>
                <w:rFonts w:ascii="Arial" w:hAnsi="Arial" w:cs="Arial"/>
                <w:sz w:val="20"/>
                <w:szCs w:val="20"/>
              </w:rPr>
            </w:pPr>
            <w:r>
              <w:rPr>
                <w:rFonts w:ascii="Arial" w:hAnsi="Arial" w:cs="Arial"/>
                <w:sz w:val="20"/>
                <w:szCs w:val="20"/>
              </w:rPr>
              <w:t>Back pain</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1.2, 2.1</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6.0</w:t>
            </w:r>
          </w:p>
        </w:tc>
      </w:tr>
      <w:tr w:rsidR="009E0895" w:rsidRPr="0044122B" w:rsidTr="00EE510C">
        <w:tc>
          <w:tcPr>
            <w:tcW w:w="3410" w:type="dxa"/>
          </w:tcPr>
          <w:p w:rsidR="009E0895" w:rsidRPr="005B32F5" w:rsidRDefault="00AA7F2E" w:rsidP="001B7F23">
            <w:pPr>
              <w:pStyle w:val="NoSpacing"/>
              <w:rPr>
                <w:rFonts w:ascii="Arial" w:hAnsi="Arial" w:cs="Arial"/>
                <w:sz w:val="20"/>
                <w:szCs w:val="20"/>
              </w:rPr>
            </w:pPr>
            <w:r>
              <w:rPr>
                <w:rFonts w:ascii="Arial" w:hAnsi="Arial" w:cs="Arial"/>
                <w:sz w:val="20"/>
                <w:szCs w:val="20"/>
              </w:rPr>
              <w:t>Drug withdrawal syndrome</w:t>
            </w:r>
          </w:p>
        </w:tc>
        <w:tc>
          <w:tcPr>
            <w:tcW w:w="3080" w:type="dxa"/>
          </w:tcPr>
          <w:p w:rsidR="009E0895" w:rsidRPr="009B69FA" w:rsidRDefault="00A9120A" w:rsidP="00D6554F">
            <w:pPr>
              <w:pStyle w:val="NoSpacing"/>
              <w:jc w:val="center"/>
              <w:rPr>
                <w:rFonts w:ascii="Arial" w:hAnsi="Arial" w:cs="Arial"/>
                <w:sz w:val="20"/>
                <w:szCs w:val="20"/>
              </w:rPr>
            </w:pPr>
            <w:r>
              <w:rPr>
                <w:rFonts w:ascii="Arial" w:hAnsi="Arial" w:cs="Arial"/>
                <w:sz w:val="20"/>
                <w:szCs w:val="20"/>
              </w:rPr>
              <w:t xml:space="preserve">1.0, </w:t>
            </w:r>
            <w:r w:rsidR="009E0895">
              <w:rPr>
                <w:rFonts w:ascii="Arial" w:hAnsi="Arial" w:cs="Arial"/>
                <w:sz w:val="20"/>
                <w:szCs w:val="20"/>
              </w:rPr>
              <w:t>2.7</w:t>
            </w:r>
          </w:p>
        </w:tc>
        <w:tc>
          <w:tcPr>
            <w:tcW w:w="2960" w:type="dxa"/>
          </w:tcPr>
          <w:p w:rsidR="009E0895" w:rsidRPr="009B69FA" w:rsidRDefault="009E0895" w:rsidP="00D6554F">
            <w:pPr>
              <w:pStyle w:val="NoSpacing"/>
              <w:jc w:val="center"/>
              <w:rPr>
                <w:rFonts w:ascii="Arial" w:hAnsi="Arial" w:cs="Arial"/>
                <w:sz w:val="20"/>
                <w:szCs w:val="20"/>
              </w:rPr>
            </w:pPr>
            <w:r>
              <w:rPr>
                <w:rFonts w:ascii="Arial" w:hAnsi="Arial" w:cs="Arial"/>
                <w:sz w:val="20"/>
                <w:szCs w:val="20"/>
              </w:rPr>
              <w:t>1.5</w:t>
            </w:r>
          </w:p>
        </w:tc>
      </w:tr>
      <w:tr w:rsidR="00A9120A" w:rsidRPr="0044122B" w:rsidTr="00EE510C">
        <w:tc>
          <w:tcPr>
            <w:tcW w:w="3410" w:type="dxa"/>
          </w:tcPr>
          <w:p w:rsidR="00A9120A" w:rsidRPr="005B32F5" w:rsidRDefault="00A9120A" w:rsidP="001B7F23">
            <w:pPr>
              <w:pStyle w:val="NoSpacing"/>
              <w:rPr>
                <w:rFonts w:ascii="Arial" w:hAnsi="Arial" w:cs="Arial"/>
                <w:sz w:val="20"/>
                <w:szCs w:val="20"/>
              </w:rPr>
            </w:pPr>
            <w:r>
              <w:rPr>
                <w:rFonts w:ascii="Arial" w:hAnsi="Arial" w:cs="Arial"/>
                <w:sz w:val="20"/>
                <w:szCs w:val="20"/>
              </w:rPr>
              <w:t>Arthralgia</w:t>
            </w:r>
          </w:p>
        </w:tc>
        <w:tc>
          <w:tcPr>
            <w:tcW w:w="3080" w:type="dxa"/>
          </w:tcPr>
          <w:p w:rsidR="00A9120A" w:rsidRPr="009B69FA" w:rsidRDefault="00A9120A" w:rsidP="00D6554F">
            <w:pPr>
              <w:pStyle w:val="NoSpacing"/>
              <w:jc w:val="center"/>
              <w:rPr>
                <w:rFonts w:ascii="Arial" w:hAnsi="Arial" w:cs="Arial"/>
                <w:sz w:val="20"/>
                <w:szCs w:val="20"/>
              </w:rPr>
            </w:pPr>
            <w:r>
              <w:rPr>
                <w:rFonts w:ascii="Arial" w:hAnsi="Arial" w:cs="Arial"/>
                <w:sz w:val="20"/>
                <w:szCs w:val="20"/>
              </w:rPr>
              <w:t>0.7, 2.1</w:t>
            </w:r>
          </w:p>
        </w:tc>
        <w:tc>
          <w:tcPr>
            <w:tcW w:w="2960" w:type="dxa"/>
          </w:tcPr>
          <w:p w:rsidR="00A9120A" w:rsidRPr="009B69FA" w:rsidRDefault="00A9120A" w:rsidP="00D6554F">
            <w:pPr>
              <w:pStyle w:val="NoSpacing"/>
              <w:jc w:val="center"/>
              <w:rPr>
                <w:rFonts w:ascii="Arial" w:hAnsi="Arial" w:cs="Arial"/>
                <w:sz w:val="20"/>
                <w:szCs w:val="20"/>
              </w:rPr>
            </w:pPr>
            <w:r>
              <w:rPr>
                <w:rFonts w:ascii="Arial" w:hAnsi="Arial" w:cs="Arial"/>
                <w:sz w:val="20"/>
                <w:szCs w:val="20"/>
              </w:rPr>
              <w:t>0.7</w:t>
            </w:r>
          </w:p>
        </w:tc>
      </w:tr>
      <w:tr w:rsidR="00A9120A" w:rsidRPr="009B69FA" w:rsidTr="00EE510C">
        <w:tc>
          <w:tcPr>
            <w:tcW w:w="3410" w:type="dxa"/>
          </w:tcPr>
          <w:p w:rsidR="00A9120A" w:rsidRDefault="00A9120A" w:rsidP="00EE510C">
            <w:pPr>
              <w:pStyle w:val="NoSpacing"/>
              <w:rPr>
                <w:rFonts w:ascii="Arial" w:hAnsi="Arial" w:cs="Arial"/>
                <w:sz w:val="20"/>
                <w:szCs w:val="20"/>
              </w:rPr>
            </w:pPr>
            <w:r w:rsidRPr="00255DE5">
              <w:rPr>
                <w:rFonts w:ascii="Arial" w:hAnsi="Arial" w:cs="Arial"/>
                <w:sz w:val="20"/>
                <w:szCs w:val="20"/>
              </w:rPr>
              <w:t>Edema, peripheral</w:t>
            </w:r>
          </w:p>
        </w:tc>
        <w:tc>
          <w:tcPr>
            <w:tcW w:w="308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0.7, 2.1</w:t>
            </w:r>
          </w:p>
        </w:tc>
        <w:tc>
          <w:tcPr>
            <w:tcW w:w="2960" w:type="dxa"/>
          </w:tcPr>
          <w:p w:rsidR="00A9120A" w:rsidRPr="009B69FA" w:rsidRDefault="00A9120A" w:rsidP="00EE510C">
            <w:pPr>
              <w:pStyle w:val="NoSpacing"/>
              <w:jc w:val="center"/>
              <w:rPr>
                <w:rFonts w:ascii="Arial" w:hAnsi="Arial" w:cs="Arial"/>
                <w:sz w:val="20"/>
                <w:szCs w:val="20"/>
              </w:rPr>
            </w:pPr>
            <w:r>
              <w:rPr>
                <w:rFonts w:ascii="Arial" w:hAnsi="Arial" w:cs="Arial"/>
                <w:sz w:val="20"/>
                <w:szCs w:val="20"/>
              </w:rPr>
              <w:t>0.7</w:t>
            </w:r>
          </w:p>
        </w:tc>
      </w:tr>
      <w:tr w:rsidR="009E0895" w:rsidRPr="0044122B" w:rsidTr="00EE510C">
        <w:tc>
          <w:tcPr>
            <w:tcW w:w="3410" w:type="dxa"/>
          </w:tcPr>
          <w:p w:rsidR="009E0895" w:rsidRPr="005B32F5" w:rsidRDefault="009E0895" w:rsidP="001B7F23">
            <w:pPr>
              <w:pStyle w:val="NoSpacing"/>
              <w:rPr>
                <w:rFonts w:ascii="Arial" w:hAnsi="Arial" w:cs="Arial"/>
                <w:sz w:val="20"/>
                <w:szCs w:val="20"/>
              </w:rPr>
            </w:pPr>
            <w:r>
              <w:rPr>
                <w:rFonts w:ascii="Arial" w:hAnsi="Arial" w:cs="Arial"/>
                <w:sz w:val="20"/>
                <w:szCs w:val="20"/>
              </w:rPr>
              <w:t>Muscle spasms</w:t>
            </w:r>
          </w:p>
        </w:tc>
        <w:tc>
          <w:tcPr>
            <w:tcW w:w="3080" w:type="dxa"/>
          </w:tcPr>
          <w:p w:rsidR="009E0895" w:rsidRPr="009B69FA" w:rsidRDefault="00A9120A" w:rsidP="00D6554F">
            <w:pPr>
              <w:pStyle w:val="NoSpacing"/>
              <w:jc w:val="center"/>
              <w:rPr>
                <w:rFonts w:ascii="Arial" w:hAnsi="Arial" w:cs="Arial"/>
                <w:sz w:val="20"/>
                <w:szCs w:val="20"/>
              </w:rPr>
            </w:pPr>
            <w:r>
              <w:rPr>
                <w:rFonts w:ascii="Arial" w:hAnsi="Arial" w:cs="Arial"/>
                <w:sz w:val="20"/>
                <w:szCs w:val="20"/>
              </w:rPr>
              <w:t xml:space="preserve">0.2, </w:t>
            </w:r>
            <w:r w:rsidR="009E0895">
              <w:rPr>
                <w:rFonts w:ascii="Arial" w:hAnsi="Arial" w:cs="Arial"/>
                <w:sz w:val="20"/>
                <w:szCs w:val="20"/>
              </w:rPr>
              <w:t>2.7</w:t>
            </w:r>
          </w:p>
        </w:tc>
        <w:tc>
          <w:tcPr>
            <w:tcW w:w="2960" w:type="dxa"/>
          </w:tcPr>
          <w:p w:rsidR="009E0895" w:rsidRPr="009B69FA" w:rsidRDefault="009E0895" w:rsidP="00D6554F">
            <w:pPr>
              <w:pStyle w:val="NoSpacing"/>
              <w:jc w:val="center"/>
              <w:rPr>
                <w:rFonts w:ascii="Arial" w:hAnsi="Arial" w:cs="Arial"/>
                <w:sz w:val="20"/>
                <w:szCs w:val="20"/>
              </w:rPr>
            </w:pPr>
            <w:r>
              <w:rPr>
                <w:rFonts w:ascii="Arial" w:hAnsi="Arial" w:cs="Arial"/>
                <w:sz w:val="20"/>
                <w:szCs w:val="20"/>
              </w:rPr>
              <w:t>0.7</w:t>
            </w:r>
          </w:p>
        </w:tc>
      </w:tr>
      <w:tr w:rsidR="009E0895" w:rsidRPr="0044122B" w:rsidTr="00EE510C">
        <w:tc>
          <w:tcPr>
            <w:tcW w:w="3410" w:type="dxa"/>
          </w:tcPr>
          <w:p w:rsidR="009E0895" w:rsidRDefault="009E0895" w:rsidP="001B7F23">
            <w:pPr>
              <w:pStyle w:val="NoSpacing"/>
              <w:rPr>
                <w:rFonts w:ascii="Arial" w:hAnsi="Arial" w:cs="Arial"/>
                <w:sz w:val="20"/>
                <w:szCs w:val="20"/>
              </w:rPr>
            </w:pPr>
            <w:r>
              <w:rPr>
                <w:rFonts w:ascii="Arial" w:hAnsi="Arial" w:cs="Arial"/>
                <w:sz w:val="20"/>
                <w:szCs w:val="20"/>
              </w:rPr>
              <w:t>Oropharyngeal pain</w:t>
            </w:r>
          </w:p>
        </w:tc>
        <w:tc>
          <w:tcPr>
            <w:tcW w:w="3080" w:type="dxa"/>
          </w:tcPr>
          <w:p w:rsidR="009E0895" w:rsidRPr="009B69FA" w:rsidRDefault="00A9120A" w:rsidP="00D6554F">
            <w:pPr>
              <w:pStyle w:val="NoSpacing"/>
              <w:jc w:val="center"/>
              <w:rPr>
                <w:rFonts w:ascii="Arial" w:hAnsi="Arial" w:cs="Arial"/>
                <w:sz w:val="20"/>
                <w:szCs w:val="20"/>
              </w:rPr>
            </w:pPr>
            <w:r>
              <w:rPr>
                <w:rFonts w:ascii="Arial" w:hAnsi="Arial" w:cs="Arial"/>
                <w:sz w:val="20"/>
                <w:szCs w:val="20"/>
              </w:rPr>
              <w:t xml:space="preserve">0.2, </w:t>
            </w:r>
            <w:r w:rsidR="009E0895">
              <w:rPr>
                <w:rFonts w:ascii="Arial" w:hAnsi="Arial" w:cs="Arial"/>
                <w:sz w:val="20"/>
                <w:szCs w:val="20"/>
              </w:rPr>
              <w:t>2.7</w:t>
            </w:r>
          </w:p>
        </w:tc>
        <w:tc>
          <w:tcPr>
            <w:tcW w:w="2960" w:type="dxa"/>
          </w:tcPr>
          <w:p w:rsidR="009E0895" w:rsidRPr="009B69FA" w:rsidRDefault="009E0895" w:rsidP="00D6554F">
            <w:pPr>
              <w:pStyle w:val="NoSpacing"/>
              <w:jc w:val="center"/>
              <w:rPr>
                <w:rFonts w:ascii="Arial" w:hAnsi="Arial" w:cs="Arial"/>
                <w:sz w:val="20"/>
                <w:szCs w:val="20"/>
              </w:rPr>
            </w:pPr>
            <w:r>
              <w:rPr>
                <w:rFonts w:ascii="Arial" w:hAnsi="Arial" w:cs="Arial"/>
                <w:sz w:val="20"/>
                <w:szCs w:val="20"/>
              </w:rPr>
              <w:t>0.7</w:t>
            </w:r>
          </w:p>
        </w:tc>
      </w:tr>
      <w:tr w:rsidR="00A9120A" w:rsidRPr="0044122B" w:rsidTr="00EE510C">
        <w:tc>
          <w:tcPr>
            <w:tcW w:w="3410" w:type="dxa"/>
          </w:tcPr>
          <w:p w:rsidR="00A9120A" w:rsidRDefault="00A9120A" w:rsidP="001B7F23">
            <w:pPr>
              <w:pStyle w:val="NoSpacing"/>
              <w:rPr>
                <w:rFonts w:ascii="Arial" w:hAnsi="Arial" w:cs="Arial"/>
                <w:sz w:val="20"/>
                <w:szCs w:val="20"/>
              </w:rPr>
            </w:pPr>
            <w:r>
              <w:rPr>
                <w:rFonts w:ascii="Arial" w:hAnsi="Arial" w:cs="Arial"/>
                <w:sz w:val="20"/>
                <w:szCs w:val="20"/>
              </w:rPr>
              <w:t>Hypoesthesia</w:t>
            </w:r>
          </w:p>
        </w:tc>
        <w:tc>
          <w:tcPr>
            <w:tcW w:w="3080" w:type="dxa"/>
          </w:tcPr>
          <w:p w:rsidR="00A9120A" w:rsidRPr="009B69FA" w:rsidRDefault="00A9120A" w:rsidP="00D6554F">
            <w:pPr>
              <w:pStyle w:val="NoSpacing"/>
              <w:jc w:val="center"/>
              <w:rPr>
                <w:rFonts w:ascii="Arial" w:hAnsi="Arial" w:cs="Arial"/>
                <w:sz w:val="20"/>
                <w:szCs w:val="20"/>
              </w:rPr>
            </w:pPr>
            <w:r>
              <w:rPr>
                <w:rFonts w:ascii="Arial" w:hAnsi="Arial" w:cs="Arial"/>
                <w:sz w:val="20"/>
                <w:szCs w:val="20"/>
              </w:rPr>
              <w:t>0.0, 2.1</w:t>
            </w:r>
          </w:p>
        </w:tc>
        <w:tc>
          <w:tcPr>
            <w:tcW w:w="2960" w:type="dxa"/>
          </w:tcPr>
          <w:p w:rsidR="00A9120A" w:rsidRPr="009B69FA" w:rsidRDefault="00A9120A" w:rsidP="00D6554F">
            <w:pPr>
              <w:pStyle w:val="NoSpacing"/>
              <w:jc w:val="center"/>
              <w:rPr>
                <w:rFonts w:ascii="Arial" w:hAnsi="Arial" w:cs="Arial"/>
                <w:sz w:val="20"/>
                <w:szCs w:val="20"/>
              </w:rPr>
            </w:pPr>
            <w:r>
              <w:rPr>
                <w:rFonts w:ascii="Arial" w:hAnsi="Arial" w:cs="Arial"/>
                <w:sz w:val="20"/>
                <w:szCs w:val="20"/>
              </w:rPr>
              <w:t>0.0</w:t>
            </w:r>
          </w:p>
        </w:tc>
      </w:tr>
    </w:tbl>
    <w:p w:rsidR="00533B05" w:rsidRDefault="00533B05" w:rsidP="004920E8">
      <w:pPr>
        <w:pStyle w:val="NoSpacing"/>
        <w:rPr>
          <w:rFonts w:ascii="Arial" w:hAnsi="Arial" w:cs="Arial"/>
          <w:b/>
          <w:sz w:val="20"/>
          <w:szCs w:val="20"/>
          <w:u w:val="single"/>
        </w:rPr>
      </w:pPr>
      <w:bookmarkStart w:id="4" w:name="ContraindicationsandWarningsPrecautions"/>
      <w:bookmarkEnd w:id="4"/>
    </w:p>
    <w:p w:rsidR="00070D57" w:rsidRPr="0044122B" w:rsidRDefault="00DD0F1A" w:rsidP="004920E8">
      <w:pPr>
        <w:pStyle w:val="NoSpacing"/>
        <w:rPr>
          <w:rFonts w:ascii="Arial" w:hAnsi="Arial" w:cs="Arial"/>
          <w:b/>
          <w:sz w:val="20"/>
          <w:szCs w:val="20"/>
          <w:u w:val="single"/>
        </w:rPr>
      </w:pPr>
      <w:bookmarkStart w:id="5" w:name="DrugInteractions"/>
      <w:r w:rsidRPr="0044122B">
        <w:rPr>
          <w:rFonts w:ascii="Arial" w:hAnsi="Arial" w:cs="Arial"/>
          <w:b/>
          <w:sz w:val="20"/>
          <w:szCs w:val="20"/>
          <w:u w:val="single"/>
        </w:rPr>
        <w:t>Drug Interactions</w:t>
      </w:r>
      <w:bookmarkEnd w:id="5"/>
    </w:p>
    <w:p w:rsidR="005C66A8" w:rsidRPr="0044122B" w:rsidRDefault="005C66A8" w:rsidP="004920E8">
      <w:pPr>
        <w:pStyle w:val="NoSpacing"/>
        <w:rPr>
          <w:rFonts w:ascii="Arial" w:hAnsi="Arial" w:cs="Arial"/>
          <w:sz w:val="20"/>
          <w:szCs w:val="20"/>
        </w:rPr>
      </w:pPr>
    </w:p>
    <w:p w:rsidR="004920E8" w:rsidRPr="00041FC8" w:rsidRDefault="004920E8" w:rsidP="004920E8">
      <w:pPr>
        <w:pStyle w:val="NoSpacing"/>
        <w:rPr>
          <w:rFonts w:ascii="Arial" w:hAnsi="Arial" w:cs="Arial"/>
          <w:sz w:val="20"/>
          <w:szCs w:val="20"/>
        </w:rPr>
      </w:pPr>
      <w:r w:rsidRPr="0044122B">
        <w:rPr>
          <w:rFonts w:ascii="Arial" w:hAnsi="Arial" w:cs="Arial"/>
          <w:b/>
          <w:sz w:val="20"/>
          <w:szCs w:val="20"/>
        </w:rPr>
        <w:t xml:space="preserve">Table </w:t>
      </w:r>
      <w:r w:rsidR="00AE5B18">
        <w:rPr>
          <w:rFonts w:ascii="Arial" w:hAnsi="Arial" w:cs="Arial"/>
          <w:b/>
          <w:sz w:val="20"/>
          <w:szCs w:val="20"/>
        </w:rPr>
        <w:t>11</w:t>
      </w:r>
      <w:r w:rsidRPr="0044122B">
        <w:rPr>
          <w:rFonts w:ascii="Arial" w:hAnsi="Arial" w:cs="Arial"/>
          <w:b/>
          <w:sz w:val="20"/>
          <w:szCs w:val="20"/>
        </w:rPr>
        <w:t xml:space="preserve">. Drug </w:t>
      </w:r>
      <w:r w:rsidRPr="001F19B1">
        <w:rPr>
          <w:rFonts w:ascii="Arial" w:hAnsi="Arial" w:cs="Arial"/>
          <w:b/>
          <w:sz w:val="20"/>
          <w:szCs w:val="20"/>
        </w:rPr>
        <w:t>Interactions</w:t>
      </w:r>
      <w:r w:rsidR="001F19B1">
        <w:rPr>
          <w:rFonts w:ascii="Arial" w:hAnsi="Arial" w:cs="Arial"/>
          <w:b/>
          <w:sz w:val="20"/>
          <w:szCs w:val="20"/>
          <w:vertAlign w:val="superscript"/>
        </w:rPr>
        <w:t>1,</w:t>
      </w:r>
      <w:r w:rsidR="00CE1584">
        <w:rPr>
          <w:rFonts w:ascii="Arial" w:hAnsi="Arial" w:cs="Arial"/>
          <w:b/>
          <w:sz w:val="20"/>
          <w:szCs w:val="20"/>
          <w:vertAlign w:val="superscript"/>
        </w:rPr>
        <w:t>16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1260"/>
        <w:gridCol w:w="5958"/>
      </w:tblGrid>
      <w:tr w:rsidR="00041FC8" w:rsidRPr="00041FC8" w:rsidTr="0094351F">
        <w:trPr>
          <w:tblHeader/>
        </w:trPr>
        <w:tc>
          <w:tcPr>
            <w:tcW w:w="2250" w:type="dxa"/>
            <w:shd w:val="clear" w:color="auto" w:fill="C0C0C0"/>
            <w:vAlign w:val="center"/>
          </w:tcPr>
          <w:p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Interacting Medication or Disease</w:t>
            </w:r>
          </w:p>
        </w:tc>
        <w:tc>
          <w:tcPr>
            <w:tcW w:w="1260" w:type="dxa"/>
            <w:shd w:val="clear" w:color="auto" w:fill="C0C0C0"/>
            <w:vAlign w:val="center"/>
          </w:tcPr>
          <w:p w:rsidR="00D4190C" w:rsidRPr="00041FC8" w:rsidRDefault="00D4190C" w:rsidP="00041FC8">
            <w:pPr>
              <w:pStyle w:val="NoSpacing"/>
              <w:jc w:val="center"/>
              <w:rPr>
                <w:rFonts w:ascii="Arial" w:hAnsi="Arial" w:cs="Arial"/>
                <w:b/>
                <w:sz w:val="20"/>
                <w:szCs w:val="20"/>
              </w:rPr>
            </w:pPr>
            <w:r w:rsidRPr="00041FC8">
              <w:rPr>
                <w:rFonts w:ascii="Arial" w:hAnsi="Arial" w:cs="Arial"/>
                <w:b/>
                <w:sz w:val="20"/>
                <w:szCs w:val="20"/>
              </w:rPr>
              <w:t>Interaction Severity Rating*</w:t>
            </w:r>
          </w:p>
        </w:tc>
        <w:tc>
          <w:tcPr>
            <w:tcW w:w="5958" w:type="dxa"/>
            <w:shd w:val="clear" w:color="auto" w:fill="C0C0C0"/>
            <w:vAlign w:val="center"/>
          </w:tcPr>
          <w:p w:rsidR="00D4190C" w:rsidRPr="00041FC8" w:rsidRDefault="00D4190C" w:rsidP="00D6554F">
            <w:pPr>
              <w:pStyle w:val="NoSpacing"/>
              <w:jc w:val="center"/>
              <w:rPr>
                <w:rFonts w:ascii="Arial" w:hAnsi="Arial" w:cs="Arial"/>
                <w:b/>
                <w:sz w:val="20"/>
                <w:szCs w:val="20"/>
              </w:rPr>
            </w:pPr>
            <w:r w:rsidRPr="00041FC8">
              <w:rPr>
                <w:rFonts w:ascii="Arial" w:hAnsi="Arial" w:cs="Arial"/>
                <w:b/>
                <w:sz w:val="20"/>
                <w:szCs w:val="20"/>
              </w:rPr>
              <w:t>Potential Result</w:t>
            </w:r>
          </w:p>
        </w:tc>
      </w:tr>
      <w:tr w:rsidR="00DF404F" w:rsidRPr="00041FC8" w:rsidTr="004D39EC">
        <w:tc>
          <w:tcPr>
            <w:tcW w:w="2250" w:type="dxa"/>
            <w:vAlign w:val="center"/>
          </w:tcPr>
          <w:p w:rsidR="00DF404F" w:rsidRPr="00041FC8" w:rsidRDefault="00DF404F" w:rsidP="004D39EC">
            <w:pPr>
              <w:pStyle w:val="NoSpacing"/>
              <w:rPr>
                <w:rFonts w:ascii="Arial" w:hAnsi="Arial" w:cs="Arial"/>
                <w:sz w:val="20"/>
                <w:szCs w:val="20"/>
              </w:rPr>
            </w:pPr>
            <w:r>
              <w:rPr>
                <w:rFonts w:ascii="Arial" w:hAnsi="Arial" w:cs="Arial"/>
                <w:bCs/>
                <w:color w:val="000000"/>
                <w:sz w:val="20"/>
                <w:szCs w:val="20"/>
              </w:rPr>
              <w:t>CNS Depressants</w:t>
            </w:r>
          </w:p>
        </w:tc>
        <w:tc>
          <w:tcPr>
            <w:tcW w:w="1260" w:type="dxa"/>
            <w:vAlign w:val="center"/>
          </w:tcPr>
          <w:p w:rsidR="00DF404F" w:rsidRPr="00041FC8" w:rsidRDefault="00DF404F" w:rsidP="004D39EC">
            <w:pPr>
              <w:pStyle w:val="NoSpacing"/>
              <w:jc w:val="center"/>
              <w:rPr>
                <w:rFonts w:ascii="Arial" w:hAnsi="Arial" w:cs="Arial"/>
                <w:sz w:val="20"/>
                <w:szCs w:val="20"/>
              </w:rPr>
            </w:pPr>
            <w:r>
              <w:rPr>
                <w:rFonts w:ascii="Arial" w:hAnsi="Arial" w:cs="Arial"/>
                <w:sz w:val="20"/>
                <w:szCs w:val="20"/>
              </w:rPr>
              <w:t>Major</w:t>
            </w:r>
          </w:p>
        </w:tc>
        <w:tc>
          <w:tcPr>
            <w:tcW w:w="5958" w:type="dxa"/>
          </w:tcPr>
          <w:p w:rsidR="00DF404F" w:rsidRPr="00041FC8" w:rsidRDefault="00DF404F" w:rsidP="004D39EC">
            <w:pPr>
              <w:pStyle w:val="NoSpacing"/>
              <w:rPr>
                <w:rFonts w:ascii="Arial" w:hAnsi="Arial" w:cs="Arial"/>
                <w:sz w:val="20"/>
                <w:szCs w:val="20"/>
              </w:rPr>
            </w:pPr>
            <w:r w:rsidRPr="007916DD">
              <w:rPr>
                <w:rFonts w:ascii="Arial" w:hAnsi="Arial" w:cs="Arial"/>
                <w:color w:val="000000"/>
                <w:sz w:val="20"/>
                <w:szCs w:val="20"/>
              </w:rPr>
              <w:t xml:space="preserve">Due to </w:t>
            </w:r>
            <w:r>
              <w:rPr>
                <w:rFonts w:ascii="Arial" w:hAnsi="Arial" w:cs="Arial"/>
                <w:color w:val="000000"/>
                <w:sz w:val="20"/>
                <w:szCs w:val="20"/>
              </w:rPr>
              <w:t xml:space="preserve">their </w:t>
            </w:r>
            <w:r w:rsidRPr="007916DD">
              <w:rPr>
                <w:rFonts w:ascii="Arial" w:hAnsi="Arial" w:cs="Arial"/>
                <w:color w:val="000000"/>
                <w:sz w:val="20"/>
                <w:szCs w:val="20"/>
              </w:rPr>
              <w:t xml:space="preserve">additive pharmacologic effect, the concomitant use of </w:t>
            </w:r>
            <w:r>
              <w:rPr>
                <w:rFonts w:ascii="Arial" w:hAnsi="Arial" w:cs="Arial"/>
                <w:color w:val="000000"/>
                <w:sz w:val="20"/>
                <w:szCs w:val="20"/>
              </w:rPr>
              <w:t>opioids</w:t>
            </w:r>
            <w:r w:rsidRPr="007916DD">
              <w:rPr>
                <w:rFonts w:ascii="Arial" w:hAnsi="Arial" w:cs="Arial"/>
                <w:color w:val="000000"/>
                <w:sz w:val="20"/>
                <w:szCs w:val="20"/>
              </w:rPr>
              <w:t xml:space="preserve"> </w:t>
            </w:r>
            <w:r>
              <w:rPr>
                <w:rFonts w:ascii="Arial" w:hAnsi="Arial" w:cs="Arial"/>
                <w:color w:val="000000"/>
                <w:sz w:val="20"/>
                <w:szCs w:val="20"/>
              </w:rPr>
              <w:t>and</w:t>
            </w:r>
            <w:r w:rsidRPr="007916DD">
              <w:rPr>
                <w:rFonts w:ascii="Arial" w:hAnsi="Arial" w:cs="Arial"/>
                <w:color w:val="000000"/>
                <w:sz w:val="20"/>
                <w:szCs w:val="20"/>
              </w:rPr>
              <w:t xml:space="preserve"> other CNS depressants</w:t>
            </w:r>
            <w:r>
              <w:rPr>
                <w:rFonts w:ascii="Arial" w:hAnsi="Arial" w:cs="Arial"/>
                <w:color w:val="000000"/>
                <w:sz w:val="20"/>
                <w:szCs w:val="20"/>
              </w:rPr>
              <w:t xml:space="preserve"> may increase</w:t>
            </w:r>
            <w:r w:rsidRPr="007916DD">
              <w:rPr>
                <w:rFonts w:ascii="Arial" w:hAnsi="Arial" w:cs="Arial"/>
                <w:color w:val="000000"/>
                <w:sz w:val="20"/>
                <w:szCs w:val="20"/>
              </w:rPr>
              <w:t xml:space="preserve"> the risk of respiratory depr</w:t>
            </w:r>
            <w:r>
              <w:rPr>
                <w:rFonts w:ascii="Arial" w:hAnsi="Arial" w:cs="Arial"/>
                <w:color w:val="000000"/>
                <w:sz w:val="20"/>
                <w:szCs w:val="20"/>
              </w:rPr>
              <w:t>ession, profound sedation, coma</w:t>
            </w:r>
            <w:r w:rsidRPr="007916DD">
              <w:rPr>
                <w:rFonts w:ascii="Arial" w:hAnsi="Arial" w:cs="Arial"/>
                <w:color w:val="000000"/>
                <w:sz w:val="20"/>
                <w:szCs w:val="20"/>
              </w:rPr>
              <w:t xml:space="preserve"> and death.</w:t>
            </w:r>
            <w:r>
              <w:rPr>
                <w:rFonts w:ascii="Arial" w:hAnsi="Arial" w:cs="Arial"/>
                <w:color w:val="000000"/>
                <w:sz w:val="20"/>
                <w:szCs w:val="20"/>
              </w:rPr>
              <w:t xml:space="preserve"> </w:t>
            </w:r>
            <w:r w:rsidRPr="00AC5A3A">
              <w:rPr>
                <w:rFonts w:ascii="Arial" w:hAnsi="Arial" w:cs="Arial"/>
                <w:color w:val="000000"/>
                <w:sz w:val="20"/>
                <w:szCs w:val="20"/>
              </w:rPr>
              <w:t>Monitor patients receiving concomitant CNS depressants for signs of respiratory depression, sedation and hypotension. When using oxycodone and another CNS depressant, consider reducing the dose of one or both agents.</w:t>
            </w:r>
          </w:p>
        </w:tc>
      </w:tr>
      <w:tr w:rsidR="0030689D" w:rsidRPr="00041FC8" w:rsidTr="0094351F">
        <w:tc>
          <w:tcPr>
            <w:tcW w:w="2250" w:type="dxa"/>
            <w:vAlign w:val="center"/>
          </w:tcPr>
          <w:p w:rsidR="0030689D" w:rsidRPr="00041FC8" w:rsidRDefault="00AC5A3A" w:rsidP="00AC5A3A">
            <w:pPr>
              <w:pStyle w:val="NoSpacing"/>
              <w:rPr>
                <w:rFonts w:ascii="Arial" w:hAnsi="Arial" w:cs="Arial"/>
                <w:sz w:val="20"/>
                <w:szCs w:val="20"/>
              </w:rPr>
            </w:pPr>
            <w:r>
              <w:rPr>
                <w:rFonts w:ascii="Arial" w:hAnsi="Arial" w:cs="Arial"/>
                <w:sz w:val="20"/>
                <w:szCs w:val="20"/>
              </w:rPr>
              <w:t>CYP3A4 Inhibitors</w:t>
            </w:r>
          </w:p>
        </w:tc>
        <w:tc>
          <w:tcPr>
            <w:tcW w:w="1260" w:type="dxa"/>
            <w:vAlign w:val="center"/>
          </w:tcPr>
          <w:p w:rsidR="0030689D" w:rsidRPr="00041FC8" w:rsidRDefault="0030689D" w:rsidP="00041FC8">
            <w:pPr>
              <w:pStyle w:val="NoSpacing"/>
              <w:jc w:val="center"/>
              <w:rPr>
                <w:rFonts w:ascii="Arial" w:hAnsi="Arial" w:cs="Arial"/>
                <w:sz w:val="20"/>
                <w:szCs w:val="20"/>
              </w:rPr>
            </w:pPr>
            <w:r w:rsidRPr="00AA7701">
              <w:rPr>
                <w:rFonts w:ascii="Arial" w:hAnsi="Arial" w:cs="Arial"/>
                <w:sz w:val="20"/>
                <w:szCs w:val="20"/>
              </w:rPr>
              <w:t>Major</w:t>
            </w:r>
          </w:p>
        </w:tc>
        <w:tc>
          <w:tcPr>
            <w:tcW w:w="5958" w:type="dxa"/>
          </w:tcPr>
          <w:p w:rsidR="0030689D" w:rsidRPr="00041FC8" w:rsidRDefault="00A047D8" w:rsidP="001B35F6">
            <w:pPr>
              <w:pStyle w:val="NoSpacing"/>
              <w:rPr>
                <w:rFonts w:ascii="Arial" w:hAnsi="Arial" w:cs="Arial"/>
                <w:sz w:val="20"/>
                <w:szCs w:val="20"/>
              </w:rPr>
            </w:pPr>
            <w:r w:rsidRPr="00A047D8">
              <w:rPr>
                <w:rFonts w:ascii="Arial" w:hAnsi="Arial" w:cs="Arial"/>
                <w:color w:val="000000"/>
                <w:sz w:val="20"/>
                <w:szCs w:val="20"/>
              </w:rPr>
              <w:t>CYP3A4 inhibitors may inhibit the metabolism of oxycodone, resulting in increased plasma concentrations of oxycodone and prolonged opioid effects. When concomitant administration of CYP3A4 inhibitors and oxycodone is necessary, patients should be evaluated at frequent intervals and dose adjustments should be considered until stable drug effects are achieved.</w:t>
            </w:r>
          </w:p>
        </w:tc>
      </w:tr>
      <w:tr w:rsidR="0030689D" w:rsidRPr="00041FC8" w:rsidTr="00EE510C">
        <w:tc>
          <w:tcPr>
            <w:tcW w:w="2250" w:type="dxa"/>
            <w:vAlign w:val="center"/>
          </w:tcPr>
          <w:p w:rsidR="0030689D" w:rsidRPr="00041FC8" w:rsidRDefault="00A047D8" w:rsidP="00A047D8">
            <w:pPr>
              <w:pStyle w:val="NoSpacing"/>
              <w:rPr>
                <w:rFonts w:ascii="Arial" w:hAnsi="Arial" w:cs="Arial"/>
                <w:sz w:val="20"/>
                <w:szCs w:val="20"/>
              </w:rPr>
            </w:pPr>
            <w:r>
              <w:rPr>
                <w:rFonts w:ascii="Arial" w:hAnsi="Arial" w:cs="Arial"/>
                <w:bCs/>
                <w:color w:val="000000"/>
                <w:sz w:val="20"/>
                <w:szCs w:val="20"/>
              </w:rPr>
              <w:t>CYP3A4</w:t>
            </w:r>
            <w:r w:rsidR="00AC5A3A">
              <w:rPr>
                <w:rFonts w:ascii="Arial" w:hAnsi="Arial" w:cs="Arial"/>
                <w:bCs/>
                <w:color w:val="000000"/>
                <w:sz w:val="20"/>
                <w:szCs w:val="20"/>
              </w:rPr>
              <w:t xml:space="preserve"> Inducers</w:t>
            </w:r>
          </w:p>
        </w:tc>
        <w:tc>
          <w:tcPr>
            <w:tcW w:w="1260" w:type="dxa"/>
            <w:vAlign w:val="center"/>
          </w:tcPr>
          <w:p w:rsidR="0030689D" w:rsidRPr="00041FC8" w:rsidRDefault="0030689D" w:rsidP="00041FC8">
            <w:pPr>
              <w:pStyle w:val="NoSpacing"/>
              <w:jc w:val="center"/>
              <w:rPr>
                <w:rFonts w:ascii="Arial" w:hAnsi="Arial" w:cs="Arial"/>
                <w:sz w:val="20"/>
                <w:szCs w:val="20"/>
              </w:rPr>
            </w:pPr>
            <w:r>
              <w:rPr>
                <w:rFonts w:ascii="Arial" w:hAnsi="Arial" w:cs="Arial"/>
                <w:sz w:val="20"/>
                <w:szCs w:val="20"/>
              </w:rPr>
              <w:t>Major</w:t>
            </w:r>
          </w:p>
        </w:tc>
        <w:tc>
          <w:tcPr>
            <w:tcW w:w="5958" w:type="dxa"/>
          </w:tcPr>
          <w:p w:rsidR="00AC5A3A" w:rsidRPr="00AC5A3A" w:rsidRDefault="00AC5A3A" w:rsidP="001B35F6">
            <w:pPr>
              <w:pStyle w:val="NoSpacing"/>
              <w:rPr>
                <w:rFonts w:ascii="Arial" w:hAnsi="Arial" w:cs="Arial"/>
                <w:color w:val="000000"/>
                <w:sz w:val="20"/>
                <w:szCs w:val="20"/>
              </w:rPr>
            </w:pPr>
            <w:r w:rsidRPr="00AC5A3A">
              <w:rPr>
                <w:rFonts w:ascii="Arial" w:hAnsi="Arial" w:cs="Arial"/>
                <w:color w:val="000000"/>
                <w:sz w:val="20"/>
                <w:szCs w:val="20"/>
              </w:rPr>
              <w:t>CYP3A4 inducers may induce the metabolism of oxycodone resulting in increased clearance of oxycodone and lower plasma concentrations of oxycodone. This may result in lack of efficacy or possibly withdrawal syndrome. Monitor for signs of opioid withdrawal and consider dose adjustments until stable drug effects are achieved.</w:t>
            </w:r>
          </w:p>
        </w:tc>
      </w:tr>
      <w:tr w:rsidR="0030689D" w:rsidRPr="00041FC8" w:rsidTr="00EE510C">
        <w:tc>
          <w:tcPr>
            <w:tcW w:w="2250" w:type="dxa"/>
            <w:vAlign w:val="center"/>
          </w:tcPr>
          <w:p w:rsidR="0030689D" w:rsidRPr="00041FC8" w:rsidRDefault="0030689D" w:rsidP="00AC5A3A">
            <w:pPr>
              <w:pStyle w:val="NoSpacing"/>
              <w:rPr>
                <w:rFonts w:ascii="Arial" w:hAnsi="Arial" w:cs="Arial"/>
                <w:sz w:val="20"/>
                <w:szCs w:val="20"/>
              </w:rPr>
            </w:pPr>
            <w:r>
              <w:rPr>
                <w:rFonts w:ascii="Arial" w:hAnsi="Arial" w:cs="Arial"/>
                <w:bCs/>
                <w:color w:val="000000"/>
                <w:sz w:val="20"/>
                <w:szCs w:val="20"/>
              </w:rPr>
              <w:t>Mixed Agonist/Antago</w:t>
            </w:r>
            <w:r w:rsidR="00AC5A3A">
              <w:rPr>
                <w:rFonts w:ascii="Arial" w:hAnsi="Arial" w:cs="Arial"/>
                <w:bCs/>
                <w:color w:val="000000"/>
                <w:sz w:val="20"/>
                <w:szCs w:val="20"/>
              </w:rPr>
              <w:t>nist and Partial Agonist Opioids</w:t>
            </w:r>
          </w:p>
        </w:tc>
        <w:tc>
          <w:tcPr>
            <w:tcW w:w="1260" w:type="dxa"/>
            <w:vAlign w:val="center"/>
          </w:tcPr>
          <w:p w:rsidR="0030689D" w:rsidRPr="00041FC8" w:rsidRDefault="0030689D" w:rsidP="00041FC8">
            <w:pPr>
              <w:pStyle w:val="NoSpacing"/>
              <w:jc w:val="center"/>
              <w:rPr>
                <w:rFonts w:ascii="Arial" w:hAnsi="Arial" w:cs="Arial"/>
                <w:sz w:val="20"/>
                <w:szCs w:val="20"/>
              </w:rPr>
            </w:pPr>
            <w:r>
              <w:rPr>
                <w:rFonts w:ascii="Arial" w:hAnsi="Arial" w:cs="Arial"/>
                <w:sz w:val="20"/>
                <w:szCs w:val="20"/>
              </w:rPr>
              <w:t>Major</w:t>
            </w:r>
          </w:p>
        </w:tc>
        <w:tc>
          <w:tcPr>
            <w:tcW w:w="5958" w:type="dxa"/>
          </w:tcPr>
          <w:p w:rsidR="0030689D" w:rsidRPr="00041FC8" w:rsidRDefault="0030689D" w:rsidP="00AC5A3A">
            <w:pPr>
              <w:pStyle w:val="NoSpacing"/>
              <w:rPr>
                <w:rFonts w:ascii="Arial" w:hAnsi="Arial" w:cs="Arial"/>
                <w:sz w:val="20"/>
                <w:szCs w:val="20"/>
              </w:rPr>
            </w:pPr>
            <w:r>
              <w:rPr>
                <w:rFonts w:ascii="Arial" w:hAnsi="Arial" w:cs="Arial"/>
                <w:color w:val="000000"/>
                <w:sz w:val="20"/>
                <w:szCs w:val="20"/>
              </w:rPr>
              <w:t xml:space="preserve">The use of these agents may reduce the analgesic effect of </w:t>
            </w:r>
            <w:r w:rsidR="00AC5A3A">
              <w:rPr>
                <w:rFonts w:ascii="Arial" w:hAnsi="Arial" w:cs="Arial"/>
                <w:sz w:val="20"/>
                <w:szCs w:val="20"/>
              </w:rPr>
              <w:t xml:space="preserve">oxycodone </w:t>
            </w:r>
            <w:r>
              <w:rPr>
                <w:rFonts w:ascii="Arial" w:hAnsi="Arial" w:cs="Arial"/>
                <w:bCs/>
                <w:sz w:val="20"/>
                <w:szCs w:val="20"/>
              </w:rPr>
              <w:t xml:space="preserve">or precipitate withdrawal symptoms. Avoid concomitant use of </w:t>
            </w:r>
            <w:r w:rsidR="00AC5A3A">
              <w:rPr>
                <w:rFonts w:ascii="Arial" w:hAnsi="Arial" w:cs="Arial"/>
                <w:sz w:val="20"/>
                <w:szCs w:val="20"/>
              </w:rPr>
              <w:t xml:space="preserve">oxycodone </w:t>
            </w:r>
            <w:r>
              <w:rPr>
                <w:rFonts w:ascii="Arial" w:hAnsi="Arial" w:cs="Arial"/>
                <w:bCs/>
                <w:sz w:val="20"/>
                <w:szCs w:val="20"/>
              </w:rPr>
              <w:t>with these agents.</w:t>
            </w:r>
          </w:p>
        </w:tc>
      </w:tr>
      <w:tr w:rsidR="0030689D" w:rsidRPr="00041FC8" w:rsidTr="00EE510C">
        <w:tc>
          <w:tcPr>
            <w:tcW w:w="2250" w:type="dxa"/>
            <w:vAlign w:val="center"/>
          </w:tcPr>
          <w:p w:rsidR="0030689D" w:rsidRDefault="0030689D" w:rsidP="00041FC8">
            <w:pPr>
              <w:pStyle w:val="NoSpacing"/>
              <w:rPr>
                <w:rFonts w:ascii="Arial" w:hAnsi="Arial" w:cs="Arial"/>
                <w:sz w:val="20"/>
                <w:szCs w:val="20"/>
              </w:rPr>
            </w:pPr>
            <w:r>
              <w:rPr>
                <w:rFonts w:ascii="Arial" w:hAnsi="Arial" w:cs="Arial"/>
                <w:bCs/>
                <w:color w:val="000000"/>
                <w:sz w:val="20"/>
                <w:szCs w:val="20"/>
              </w:rPr>
              <w:t>Muscle Relaxants</w:t>
            </w:r>
          </w:p>
        </w:tc>
        <w:tc>
          <w:tcPr>
            <w:tcW w:w="1260" w:type="dxa"/>
            <w:vAlign w:val="center"/>
          </w:tcPr>
          <w:p w:rsidR="0030689D" w:rsidRDefault="0030689D" w:rsidP="00041FC8">
            <w:pPr>
              <w:pStyle w:val="NoSpacing"/>
              <w:jc w:val="center"/>
              <w:rPr>
                <w:rFonts w:ascii="Arial" w:hAnsi="Arial" w:cs="Arial"/>
                <w:sz w:val="20"/>
                <w:szCs w:val="20"/>
              </w:rPr>
            </w:pPr>
            <w:r>
              <w:rPr>
                <w:rFonts w:ascii="Arial" w:hAnsi="Arial" w:cs="Arial"/>
                <w:sz w:val="20"/>
                <w:szCs w:val="20"/>
              </w:rPr>
              <w:t>Major</w:t>
            </w:r>
          </w:p>
        </w:tc>
        <w:tc>
          <w:tcPr>
            <w:tcW w:w="5958" w:type="dxa"/>
          </w:tcPr>
          <w:p w:rsidR="0030689D" w:rsidRDefault="0030689D" w:rsidP="00AC5A3A">
            <w:pPr>
              <w:pStyle w:val="NoSpacing"/>
              <w:rPr>
                <w:rFonts w:ascii="Arial" w:hAnsi="Arial" w:cs="Arial"/>
                <w:sz w:val="20"/>
                <w:szCs w:val="20"/>
              </w:rPr>
            </w:pPr>
            <w:r>
              <w:rPr>
                <w:rFonts w:ascii="Arial" w:hAnsi="Arial" w:cs="Arial"/>
                <w:color w:val="000000"/>
                <w:sz w:val="20"/>
                <w:szCs w:val="20"/>
              </w:rPr>
              <w:t xml:space="preserve">Oxycodone may enhance the neuromuscular blocking action of skeletal muscle relaxants and result in an increased degree of respiratory depression. Monitor patients for signs of respiratory depression that may be greater than otherwise expected. Decrease the dose of </w:t>
            </w:r>
            <w:r w:rsidR="00AC5A3A">
              <w:rPr>
                <w:rFonts w:ascii="Arial" w:hAnsi="Arial" w:cs="Arial"/>
                <w:sz w:val="20"/>
                <w:szCs w:val="20"/>
              </w:rPr>
              <w:t>oxycodone</w:t>
            </w:r>
            <w:r>
              <w:rPr>
                <w:rFonts w:ascii="Arial" w:hAnsi="Arial" w:cs="Arial"/>
                <w:bCs/>
                <w:sz w:val="20"/>
                <w:szCs w:val="20"/>
              </w:rPr>
              <w:t xml:space="preserve"> and/or the muscle relaxant as necessary.</w:t>
            </w:r>
          </w:p>
        </w:tc>
      </w:tr>
      <w:tr w:rsidR="00DF404F" w:rsidRPr="00041FC8" w:rsidTr="004D39EC">
        <w:tc>
          <w:tcPr>
            <w:tcW w:w="2250" w:type="dxa"/>
            <w:vAlign w:val="center"/>
          </w:tcPr>
          <w:p w:rsidR="00DF404F" w:rsidRPr="00041FC8" w:rsidRDefault="00DF404F" w:rsidP="004D39EC">
            <w:pPr>
              <w:pStyle w:val="NoSpacing"/>
              <w:rPr>
                <w:rFonts w:ascii="Arial" w:hAnsi="Arial" w:cs="Arial"/>
                <w:sz w:val="20"/>
                <w:szCs w:val="20"/>
              </w:rPr>
            </w:pPr>
            <w:r>
              <w:rPr>
                <w:rFonts w:ascii="Arial" w:hAnsi="Arial" w:cs="Arial"/>
                <w:bCs/>
                <w:color w:val="000000"/>
                <w:sz w:val="20"/>
                <w:szCs w:val="20"/>
              </w:rPr>
              <w:t>Serotonergic Drugs</w:t>
            </w:r>
          </w:p>
        </w:tc>
        <w:tc>
          <w:tcPr>
            <w:tcW w:w="1260" w:type="dxa"/>
            <w:vAlign w:val="center"/>
          </w:tcPr>
          <w:p w:rsidR="00DF404F" w:rsidRPr="00041FC8" w:rsidRDefault="00DF404F" w:rsidP="004D39EC">
            <w:pPr>
              <w:pStyle w:val="NoSpacing"/>
              <w:jc w:val="center"/>
              <w:rPr>
                <w:rFonts w:ascii="Arial" w:hAnsi="Arial" w:cs="Arial"/>
                <w:sz w:val="20"/>
                <w:szCs w:val="20"/>
              </w:rPr>
            </w:pPr>
            <w:r>
              <w:rPr>
                <w:rFonts w:ascii="Arial" w:hAnsi="Arial" w:cs="Arial"/>
                <w:sz w:val="20"/>
                <w:szCs w:val="20"/>
              </w:rPr>
              <w:t>Major</w:t>
            </w:r>
          </w:p>
        </w:tc>
        <w:tc>
          <w:tcPr>
            <w:tcW w:w="5958" w:type="dxa"/>
          </w:tcPr>
          <w:p w:rsidR="00DF404F" w:rsidRPr="00041FC8" w:rsidRDefault="00DF404F" w:rsidP="004D39EC">
            <w:pPr>
              <w:pStyle w:val="NoSpacing"/>
              <w:rPr>
                <w:rFonts w:ascii="Arial" w:hAnsi="Arial" w:cs="Arial"/>
                <w:sz w:val="20"/>
                <w:szCs w:val="20"/>
              </w:rPr>
            </w:pPr>
            <w:r w:rsidRPr="005873D5">
              <w:rPr>
                <w:rFonts w:ascii="Arial" w:hAnsi="Arial" w:cs="Arial"/>
                <w:color w:val="000000"/>
                <w:sz w:val="20"/>
                <w:szCs w:val="20"/>
              </w:rPr>
              <w:t>Concomitant use of opioids and serotonergic drugs has resulted in serotonin syndrome. If concomitant use is necessary, carefully observe the patient, particularly during treatment initiation and dose adjustments. If serotonin syndrome is suspected, discontinue oxycodone.</w:t>
            </w:r>
          </w:p>
        </w:tc>
      </w:tr>
      <w:tr w:rsidR="00AC5A3A" w:rsidRPr="00041FC8" w:rsidTr="00EE510C">
        <w:tc>
          <w:tcPr>
            <w:tcW w:w="2250" w:type="dxa"/>
            <w:vAlign w:val="center"/>
          </w:tcPr>
          <w:p w:rsidR="00AC5A3A" w:rsidRDefault="00AC5A3A" w:rsidP="00041FC8">
            <w:pPr>
              <w:pStyle w:val="NoSpacing"/>
              <w:rPr>
                <w:rFonts w:ascii="Arial" w:hAnsi="Arial" w:cs="Arial"/>
                <w:bCs/>
                <w:color w:val="000000"/>
                <w:sz w:val="20"/>
                <w:szCs w:val="20"/>
              </w:rPr>
            </w:pPr>
            <w:r>
              <w:rPr>
                <w:rFonts w:ascii="Arial" w:hAnsi="Arial" w:cs="Arial"/>
                <w:bCs/>
                <w:color w:val="000000"/>
                <w:sz w:val="20"/>
                <w:szCs w:val="20"/>
              </w:rPr>
              <w:t>CYP2D6 Inhibitors</w:t>
            </w:r>
          </w:p>
        </w:tc>
        <w:tc>
          <w:tcPr>
            <w:tcW w:w="1260" w:type="dxa"/>
            <w:vAlign w:val="center"/>
          </w:tcPr>
          <w:p w:rsidR="00AC5A3A" w:rsidRDefault="00AC5A3A" w:rsidP="00041FC8">
            <w:pPr>
              <w:pStyle w:val="NoSpacing"/>
              <w:jc w:val="center"/>
              <w:rPr>
                <w:rFonts w:ascii="Arial" w:hAnsi="Arial" w:cs="Arial"/>
                <w:sz w:val="20"/>
                <w:szCs w:val="20"/>
              </w:rPr>
            </w:pPr>
            <w:r>
              <w:rPr>
                <w:rFonts w:ascii="Arial" w:hAnsi="Arial" w:cs="Arial"/>
                <w:sz w:val="20"/>
                <w:szCs w:val="20"/>
              </w:rPr>
              <w:t>Moderate</w:t>
            </w:r>
          </w:p>
        </w:tc>
        <w:tc>
          <w:tcPr>
            <w:tcW w:w="5958" w:type="dxa"/>
          </w:tcPr>
          <w:p w:rsidR="00AC5A3A" w:rsidRDefault="00AC5A3A" w:rsidP="001B35F6">
            <w:pPr>
              <w:pStyle w:val="NoSpacing"/>
              <w:rPr>
                <w:rFonts w:ascii="Arial" w:hAnsi="Arial" w:cs="Arial"/>
                <w:color w:val="000000"/>
                <w:sz w:val="20"/>
                <w:szCs w:val="20"/>
              </w:rPr>
            </w:pPr>
            <w:r w:rsidRPr="00AC5A3A">
              <w:rPr>
                <w:rFonts w:ascii="Arial" w:hAnsi="Arial" w:cs="Arial"/>
                <w:color w:val="000000"/>
                <w:sz w:val="20"/>
                <w:szCs w:val="20"/>
              </w:rPr>
              <w:t>CYP2D6 inhibitors may inhibit the metabolism of oxycodone, resulting in increased plasma concentrations of oxycodone and prolonged opioid effects. When concomitant administration of CYP2D6 inhibitors and oxycodone is necessary, patients should be evaluated at frequent intervals and dose adjustments should be considered until stable drug effects are achieved.</w:t>
            </w:r>
          </w:p>
        </w:tc>
      </w:tr>
      <w:tr w:rsidR="0030689D" w:rsidRPr="00041FC8" w:rsidTr="00EE510C">
        <w:tc>
          <w:tcPr>
            <w:tcW w:w="2250" w:type="dxa"/>
            <w:vAlign w:val="center"/>
          </w:tcPr>
          <w:p w:rsidR="0030689D" w:rsidRDefault="0030689D" w:rsidP="00041FC8">
            <w:pPr>
              <w:pStyle w:val="NoSpacing"/>
              <w:rPr>
                <w:rFonts w:ascii="Arial" w:hAnsi="Arial" w:cs="Arial"/>
                <w:sz w:val="20"/>
                <w:szCs w:val="20"/>
              </w:rPr>
            </w:pPr>
            <w:r>
              <w:rPr>
                <w:rFonts w:ascii="Arial" w:hAnsi="Arial" w:cs="Arial"/>
                <w:bCs/>
                <w:color w:val="000000"/>
                <w:sz w:val="20"/>
                <w:szCs w:val="20"/>
              </w:rPr>
              <w:t>Diuretics</w:t>
            </w:r>
          </w:p>
        </w:tc>
        <w:tc>
          <w:tcPr>
            <w:tcW w:w="1260" w:type="dxa"/>
            <w:vAlign w:val="center"/>
          </w:tcPr>
          <w:p w:rsidR="0030689D" w:rsidRDefault="0030689D" w:rsidP="00041FC8">
            <w:pPr>
              <w:pStyle w:val="NoSpacing"/>
              <w:jc w:val="center"/>
              <w:rPr>
                <w:rFonts w:ascii="Arial" w:hAnsi="Arial" w:cs="Arial"/>
                <w:sz w:val="20"/>
                <w:szCs w:val="20"/>
              </w:rPr>
            </w:pPr>
            <w:r>
              <w:rPr>
                <w:rFonts w:ascii="Arial" w:hAnsi="Arial" w:cs="Arial"/>
                <w:sz w:val="20"/>
                <w:szCs w:val="20"/>
              </w:rPr>
              <w:t>Moderate</w:t>
            </w:r>
          </w:p>
        </w:tc>
        <w:tc>
          <w:tcPr>
            <w:tcW w:w="5958" w:type="dxa"/>
          </w:tcPr>
          <w:p w:rsidR="0030689D" w:rsidRDefault="0030689D" w:rsidP="001B35F6">
            <w:pPr>
              <w:pStyle w:val="NoSpacing"/>
              <w:rPr>
                <w:rFonts w:ascii="Arial" w:hAnsi="Arial" w:cs="Arial"/>
                <w:sz w:val="20"/>
                <w:szCs w:val="20"/>
              </w:rPr>
            </w:pPr>
            <w:r>
              <w:rPr>
                <w:rFonts w:ascii="Arial" w:hAnsi="Arial" w:cs="Arial"/>
                <w:color w:val="000000"/>
                <w:sz w:val="20"/>
                <w:szCs w:val="20"/>
              </w:rPr>
              <w:t>Opioids can reduce the efficacy of diuretics by inducing the release of antidiuretic hormone. Monitor patients for signs of diminished diuresis and/or effects on blood pressure. Increase the dose of the diuretic as necessary.</w:t>
            </w:r>
          </w:p>
        </w:tc>
      </w:tr>
      <w:tr w:rsidR="00DF404F" w:rsidTr="004D39EC">
        <w:tc>
          <w:tcPr>
            <w:tcW w:w="2250" w:type="dxa"/>
            <w:vAlign w:val="center"/>
          </w:tcPr>
          <w:p w:rsidR="00DF404F" w:rsidRDefault="00DF404F" w:rsidP="004D39EC">
            <w:pPr>
              <w:pStyle w:val="NoSpacing"/>
              <w:rPr>
                <w:rFonts w:ascii="Arial" w:hAnsi="Arial" w:cs="Arial"/>
                <w:sz w:val="20"/>
                <w:szCs w:val="20"/>
              </w:rPr>
            </w:pPr>
            <w:r>
              <w:rPr>
                <w:rFonts w:ascii="Arial" w:hAnsi="Arial" w:cs="Arial"/>
                <w:sz w:val="20"/>
                <w:szCs w:val="20"/>
              </w:rPr>
              <w:t>Ginseng</w:t>
            </w:r>
          </w:p>
        </w:tc>
        <w:tc>
          <w:tcPr>
            <w:tcW w:w="1260" w:type="dxa"/>
            <w:vAlign w:val="center"/>
          </w:tcPr>
          <w:p w:rsidR="00DF404F" w:rsidRDefault="00DF404F" w:rsidP="004D39EC">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DF404F" w:rsidRDefault="00DF404F" w:rsidP="004D39EC">
            <w:pPr>
              <w:pStyle w:val="NoSpacing"/>
              <w:rPr>
                <w:rFonts w:ascii="Arial" w:hAnsi="Arial" w:cs="Arial"/>
                <w:sz w:val="20"/>
                <w:szCs w:val="20"/>
              </w:rPr>
            </w:pPr>
            <w:r>
              <w:rPr>
                <w:rFonts w:ascii="Arial" w:hAnsi="Arial" w:cs="Arial"/>
                <w:sz w:val="20"/>
                <w:szCs w:val="20"/>
              </w:rPr>
              <w:t>Concomitant use of opioids with ginseng may result in decreased efficacy of analgesia of opioids.</w:t>
            </w:r>
          </w:p>
        </w:tc>
      </w:tr>
      <w:tr w:rsidR="005873D5" w:rsidTr="00313254">
        <w:tc>
          <w:tcPr>
            <w:tcW w:w="2250" w:type="dxa"/>
            <w:vAlign w:val="center"/>
          </w:tcPr>
          <w:p w:rsidR="005873D5" w:rsidRDefault="005873D5" w:rsidP="00313254">
            <w:pPr>
              <w:pStyle w:val="NoSpacing"/>
              <w:rPr>
                <w:rFonts w:ascii="Arial" w:hAnsi="Arial" w:cs="Arial"/>
                <w:sz w:val="20"/>
                <w:szCs w:val="20"/>
              </w:rPr>
            </w:pPr>
            <w:r>
              <w:rPr>
                <w:rFonts w:ascii="Arial" w:hAnsi="Arial" w:cs="Arial"/>
                <w:sz w:val="20"/>
                <w:szCs w:val="20"/>
              </w:rPr>
              <w:t>Kava</w:t>
            </w:r>
          </w:p>
        </w:tc>
        <w:tc>
          <w:tcPr>
            <w:tcW w:w="1260" w:type="dxa"/>
            <w:vAlign w:val="center"/>
          </w:tcPr>
          <w:p w:rsidR="005873D5" w:rsidRDefault="005873D5" w:rsidP="00313254">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5873D5" w:rsidRDefault="005873D5" w:rsidP="00313254">
            <w:pPr>
              <w:pStyle w:val="NoSpacing"/>
              <w:rPr>
                <w:rFonts w:ascii="Arial" w:hAnsi="Arial" w:cs="Arial"/>
                <w:sz w:val="20"/>
                <w:szCs w:val="20"/>
              </w:rPr>
            </w:pPr>
            <w:r>
              <w:rPr>
                <w:rFonts w:ascii="Arial" w:hAnsi="Arial" w:cs="Arial"/>
                <w:sz w:val="20"/>
                <w:szCs w:val="20"/>
              </w:rPr>
              <w:t>Concomitant use of opioids with kava may result in increased CNS depression.</w:t>
            </w:r>
          </w:p>
        </w:tc>
      </w:tr>
      <w:tr w:rsidR="005873D5" w:rsidTr="00313254">
        <w:tc>
          <w:tcPr>
            <w:tcW w:w="2250" w:type="dxa"/>
            <w:vAlign w:val="center"/>
          </w:tcPr>
          <w:p w:rsidR="005873D5" w:rsidRDefault="005873D5" w:rsidP="00313254">
            <w:pPr>
              <w:pStyle w:val="NoSpacing"/>
              <w:rPr>
                <w:rFonts w:ascii="Arial" w:hAnsi="Arial" w:cs="Arial"/>
                <w:sz w:val="20"/>
                <w:szCs w:val="20"/>
              </w:rPr>
            </w:pPr>
            <w:r>
              <w:rPr>
                <w:rFonts w:ascii="Arial" w:hAnsi="Arial" w:cs="Arial"/>
                <w:sz w:val="20"/>
                <w:szCs w:val="20"/>
              </w:rPr>
              <w:t>St. John’s Wort</w:t>
            </w:r>
          </w:p>
        </w:tc>
        <w:tc>
          <w:tcPr>
            <w:tcW w:w="1260" w:type="dxa"/>
            <w:vAlign w:val="center"/>
          </w:tcPr>
          <w:p w:rsidR="005873D5" w:rsidRDefault="005873D5" w:rsidP="00313254">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5873D5" w:rsidRDefault="005873D5" w:rsidP="00313254">
            <w:pPr>
              <w:pStyle w:val="NoSpacing"/>
              <w:rPr>
                <w:rFonts w:ascii="Arial" w:hAnsi="Arial" w:cs="Arial"/>
                <w:sz w:val="20"/>
                <w:szCs w:val="20"/>
              </w:rPr>
            </w:pPr>
            <w:r>
              <w:rPr>
                <w:rFonts w:ascii="Arial" w:hAnsi="Arial" w:cs="Arial"/>
                <w:sz w:val="20"/>
                <w:szCs w:val="20"/>
              </w:rPr>
              <w:t>Concomitant use of oxycodone and St. John’s Wort may result in decreased oxycodone exposure and plasma concentrations.</w:t>
            </w:r>
          </w:p>
        </w:tc>
      </w:tr>
      <w:tr w:rsidR="005873D5" w:rsidTr="00313254">
        <w:tc>
          <w:tcPr>
            <w:tcW w:w="2250" w:type="dxa"/>
            <w:vAlign w:val="center"/>
          </w:tcPr>
          <w:p w:rsidR="005873D5" w:rsidRDefault="005873D5" w:rsidP="00313254">
            <w:pPr>
              <w:pStyle w:val="NoSpacing"/>
              <w:rPr>
                <w:rFonts w:ascii="Arial" w:hAnsi="Arial" w:cs="Arial"/>
                <w:sz w:val="20"/>
                <w:szCs w:val="20"/>
              </w:rPr>
            </w:pPr>
            <w:r>
              <w:rPr>
                <w:rFonts w:ascii="Arial" w:hAnsi="Arial" w:cs="Arial"/>
                <w:sz w:val="20"/>
                <w:szCs w:val="20"/>
              </w:rPr>
              <w:t>Valerian</w:t>
            </w:r>
          </w:p>
        </w:tc>
        <w:tc>
          <w:tcPr>
            <w:tcW w:w="1260" w:type="dxa"/>
            <w:vAlign w:val="center"/>
          </w:tcPr>
          <w:p w:rsidR="005873D5" w:rsidRDefault="005873D5" w:rsidP="00313254">
            <w:pPr>
              <w:pStyle w:val="NoSpacing"/>
              <w:jc w:val="center"/>
              <w:rPr>
                <w:rFonts w:ascii="Arial" w:hAnsi="Arial" w:cs="Arial"/>
                <w:sz w:val="20"/>
                <w:szCs w:val="20"/>
              </w:rPr>
            </w:pPr>
            <w:r>
              <w:rPr>
                <w:rFonts w:ascii="Arial" w:hAnsi="Arial" w:cs="Arial"/>
                <w:sz w:val="20"/>
                <w:szCs w:val="20"/>
              </w:rPr>
              <w:t>Moderate</w:t>
            </w:r>
          </w:p>
        </w:tc>
        <w:tc>
          <w:tcPr>
            <w:tcW w:w="5958" w:type="dxa"/>
            <w:vAlign w:val="center"/>
          </w:tcPr>
          <w:p w:rsidR="005873D5" w:rsidRDefault="005873D5" w:rsidP="00313254">
            <w:pPr>
              <w:pStyle w:val="NoSpacing"/>
              <w:rPr>
                <w:rFonts w:ascii="Arial" w:hAnsi="Arial" w:cs="Arial"/>
                <w:sz w:val="20"/>
                <w:szCs w:val="20"/>
              </w:rPr>
            </w:pPr>
            <w:r>
              <w:rPr>
                <w:rFonts w:ascii="Arial" w:hAnsi="Arial" w:cs="Arial"/>
                <w:sz w:val="20"/>
                <w:szCs w:val="20"/>
              </w:rPr>
              <w:t>Concomitant use of opioids with valerian may result in increased CNS depression.</w:t>
            </w:r>
          </w:p>
        </w:tc>
      </w:tr>
      <w:tr w:rsidR="0030689D" w:rsidRPr="00041FC8" w:rsidTr="00EE510C">
        <w:tc>
          <w:tcPr>
            <w:tcW w:w="2250" w:type="dxa"/>
            <w:vAlign w:val="center"/>
          </w:tcPr>
          <w:p w:rsidR="0030689D" w:rsidRDefault="0030689D" w:rsidP="00041FC8">
            <w:pPr>
              <w:pStyle w:val="NoSpacing"/>
              <w:rPr>
                <w:rFonts w:ascii="Arial" w:hAnsi="Arial" w:cs="Arial"/>
                <w:sz w:val="20"/>
                <w:szCs w:val="20"/>
              </w:rPr>
            </w:pPr>
            <w:r>
              <w:rPr>
                <w:rFonts w:ascii="Arial" w:hAnsi="Arial" w:cs="Arial"/>
                <w:bCs/>
                <w:color w:val="000000"/>
                <w:sz w:val="20"/>
                <w:szCs w:val="20"/>
              </w:rPr>
              <w:t>Anticholinergic Drugs</w:t>
            </w:r>
          </w:p>
        </w:tc>
        <w:tc>
          <w:tcPr>
            <w:tcW w:w="1260" w:type="dxa"/>
            <w:vAlign w:val="center"/>
          </w:tcPr>
          <w:p w:rsidR="0030689D" w:rsidRDefault="00A047D8" w:rsidP="00A047D8">
            <w:pPr>
              <w:pStyle w:val="NoSpacing"/>
              <w:jc w:val="center"/>
              <w:rPr>
                <w:rFonts w:ascii="Arial" w:hAnsi="Arial" w:cs="Arial"/>
                <w:sz w:val="20"/>
                <w:szCs w:val="20"/>
              </w:rPr>
            </w:pPr>
            <w:r>
              <w:rPr>
                <w:rFonts w:ascii="Arial" w:hAnsi="Arial" w:cs="Arial"/>
                <w:sz w:val="20"/>
                <w:szCs w:val="20"/>
              </w:rPr>
              <w:t>Unknown</w:t>
            </w:r>
          </w:p>
        </w:tc>
        <w:tc>
          <w:tcPr>
            <w:tcW w:w="5958" w:type="dxa"/>
          </w:tcPr>
          <w:p w:rsidR="0030689D" w:rsidRDefault="0030689D" w:rsidP="00AC5A3A">
            <w:pPr>
              <w:pStyle w:val="NoSpacing"/>
              <w:rPr>
                <w:rFonts w:ascii="Arial" w:hAnsi="Arial" w:cs="Arial"/>
                <w:sz w:val="20"/>
                <w:szCs w:val="20"/>
              </w:rPr>
            </w:pPr>
            <w:r>
              <w:rPr>
                <w:rFonts w:ascii="Arial" w:hAnsi="Arial" w:cs="Arial"/>
                <w:color w:val="000000"/>
                <w:sz w:val="20"/>
                <w:szCs w:val="20"/>
              </w:rPr>
              <w:t xml:space="preserve">The concomitant use of anticholinergic drugs may increase the risk of urinary retention and/or severe constipation, which may lead to paralytic ileus. Monitor patients for signs of urinary retention or reduced gastric motility when using </w:t>
            </w:r>
            <w:r w:rsidR="00AC5A3A">
              <w:rPr>
                <w:rFonts w:ascii="Arial" w:hAnsi="Arial" w:cs="Arial"/>
                <w:sz w:val="20"/>
                <w:szCs w:val="20"/>
              </w:rPr>
              <w:t>opioids</w:t>
            </w:r>
            <w:r>
              <w:rPr>
                <w:rFonts w:ascii="Arial" w:hAnsi="Arial" w:cs="Arial"/>
                <w:bCs/>
                <w:sz w:val="20"/>
                <w:szCs w:val="20"/>
              </w:rPr>
              <w:t xml:space="preserve"> concomitantly with anticholinergic agents.</w:t>
            </w:r>
          </w:p>
        </w:tc>
      </w:tr>
    </w:tbl>
    <w:p w:rsidR="00D4190C" w:rsidRDefault="00D4190C" w:rsidP="00D4190C">
      <w:pPr>
        <w:pStyle w:val="NoSpacing"/>
        <w:rPr>
          <w:rFonts w:ascii="Arial" w:hAnsi="Arial" w:cs="Arial"/>
          <w:sz w:val="16"/>
          <w:szCs w:val="16"/>
        </w:rPr>
      </w:pPr>
      <w:r w:rsidRPr="0044122B">
        <w:rPr>
          <w:rFonts w:ascii="Arial" w:hAnsi="Arial" w:cs="Arial"/>
          <w:sz w:val="18"/>
          <w:szCs w:val="18"/>
        </w:rPr>
        <w:t>*</w:t>
      </w:r>
      <w:r w:rsidRPr="0044122B">
        <w:rPr>
          <w:rFonts w:ascii="Arial" w:hAnsi="Arial" w:cs="Arial"/>
          <w:sz w:val="16"/>
          <w:szCs w:val="16"/>
        </w:rPr>
        <w:t>Severity rating per</w:t>
      </w:r>
      <w:r w:rsidR="00041FC8">
        <w:rPr>
          <w:rFonts w:ascii="Arial" w:hAnsi="Arial" w:cs="Arial"/>
          <w:sz w:val="16"/>
          <w:szCs w:val="16"/>
        </w:rPr>
        <w:t xml:space="preserve"> Micromedex</w:t>
      </w:r>
    </w:p>
    <w:p w:rsidR="00D4190C" w:rsidRPr="0044122B" w:rsidRDefault="00D4190C" w:rsidP="004920E8">
      <w:pPr>
        <w:pStyle w:val="NoSpacing"/>
        <w:rPr>
          <w:rFonts w:ascii="Arial" w:hAnsi="Arial" w:cs="Arial"/>
          <w:sz w:val="20"/>
          <w:szCs w:val="20"/>
        </w:rPr>
      </w:pPr>
    </w:p>
    <w:p w:rsidR="007328D9" w:rsidRPr="00FD7AED" w:rsidRDefault="00AE5B18" w:rsidP="00E212A9">
      <w:pPr>
        <w:pStyle w:val="NoSpacing"/>
        <w:rPr>
          <w:rFonts w:ascii="Arial" w:hAnsi="Arial" w:cs="Arial"/>
          <w:sz w:val="20"/>
          <w:szCs w:val="20"/>
        </w:rPr>
      </w:pPr>
      <w:r>
        <w:rPr>
          <w:rFonts w:ascii="Arial" w:hAnsi="Arial" w:cs="Arial"/>
          <w:b/>
          <w:sz w:val="20"/>
          <w:szCs w:val="20"/>
          <w:u w:val="single"/>
        </w:rPr>
        <w:t>Patient Monitoring Guidelines</w:t>
      </w:r>
    </w:p>
    <w:p w:rsidR="00D876B9" w:rsidRPr="00D876B9" w:rsidRDefault="00D876B9" w:rsidP="004920E8">
      <w:pPr>
        <w:pStyle w:val="NoSpacing"/>
        <w:rPr>
          <w:rFonts w:ascii="Arial" w:hAnsi="Arial" w:cs="Arial"/>
          <w:sz w:val="20"/>
          <w:szCs w:val="20"/>
        </w:rPr>
      </w:pPr>
      <w:r w:rsidRPr="00D876B9">
        <w:rPr>
          <w:rFonts w:ascii="Arial" w:hAnsi="Arial" w:cs="Arial"/>
          <w:sz w:val="20"/>
          <w:szCs w:val="20"/>
        </w:rPr>
        <w:t>Before starting therapy with an opioid, individuals should be evaluated for potential signs of addiction, abuse or misuse of medications</w:t>
      </w:r>
      <w:r w:rsidR="007F232E">
        <w:rPr>
          <w:rFonts w:ascii="Arial" w:hAnsi="Arial" w:cs="Arial"/>
          <w:sz w:val="20"/>
          <w:szCs w:val="20"/>
        </w:rPr>
        <w:t>; risks are increased in patients with a personal or family history of substance abuse or mental illness, but the potential for these risks should not prevent the proper management of pain</w:t>
      </w:r>
      <w:r w:rsidRPr="00D876B9">
        <w:rPr>
          <w:rFonts w:ascii="Arial" w:hAnsi="Arial" w:cs="Arial"/>
          <w:sz w:val="20"/>
          <w:szCs w:val="20"/>
        </w:rPr>
        <w:t xml:space="preserve">. If </w:t>
      </w:r>
      <w:r w:rsidR="007F232E">
        <w:rPr>
          <w:rFonts w:ascii="Arial" w:hAnsi="Arial" w:cs="Arial"/>
          <w:sz w:val="20"/>
          <w:szCs w:val="20"/>
        </w:rPr>
        <w:t>therapy with an opioid is started</w:t>
      </w:r>
      <w:r w:rsidRPr="00D876B9">
        <w:rPr>
          <w:rFonts w:ascii="Arial" w:hAnsi="Arial" w:cs="Arial"/>
          <w:sz w:val="20"/>
          <w:szCs w:val="20"/>
        </w:rPr>
        <w:t>, they should continue to be monitored frequently for any changes in behavior. While the individual is receiving opioid analgesics they should be monitored for adequacy of analgesia as well as continually assessed for the need of continued opioid treatment.</w:t>
      </w:r>
      <w:r w:rsidR="001F19B1">
        <w:rPr>
          <w:rFonts w:ascii="Arial" w:hAnsi="Arial" w:cs="Arial"/>
          <w:sz w:val="20"/>
          <w:szCs w:val="20"/>
          <w:vertAlign w:val="superscript"/>
        </w:rPr>
        <w:t>1</w:t>
      </w:r>
      <w:r w:rsidR="007F232E">
        <w:rPr>
          <w:rFonts w:ascii="Arial" w:hAnsi="Arial" w:cs="Arial"/>
          <w:sz w:val="20"/>
          <w:szCs w:val="20"/>
        </w:rPr>
        <w:t xml:space="preserve"> </w:t>
      </w:r>
    </w:p>
    <w:p w:rsidR="00D876B9" w:rsidRDefault="00D876B9" w:rsidP="004920E8">
      <w:pPr>
        <w:pStyle w:val="NoSpacing"/>
        <w:rPr>
          <w:rFonts w:ascii="Arial" w:hAnsi="Arial" w:cs="Arial"/>
          <w:b/>
          <w:sz w:val="20"/>
          <w:szCs w:val="20"/>
        </w:rPr>
      </w:pPr>
    </w:p>
    <w:p w:rsidR="00EE510C" w:rsidRPr="00D876B9" w:rsidRDefault="00D876B9" w:rsidP="004920E8">
      <w:pPr>
        <w:pStyle w:val="NoSpacing"/>
        <w:rPr>
          <w:rFonts w:ascii="Arial" w:hAnsi="Arial" w:cs="Arial"/>
          <w:sz w:val="20"/>
          <w:szCs w:val="20"/>
        </w:rPr>
      </w:pPr>
      <w:r w:rsidRPr="00D876B9">
        <w:rPr>
          <w:rFonts w:ascii="Arial" w:hAnsi="Arial" w:cs="Arial"/>
          <w:sz w:val="20"/>
          <w:szCs w:val="20"/>
        </w:rPr>
        <w:t>The following signs and symptoms should be monitored during therapy with opioids:</w:t>
      </w:r>
    </w:p>
    <w:p w:rsidR="00EE510C" w:rsidRDefault="00D876B9" w:rsidP="00D876B9">
      <w:pPr>
        <w:pStyle w:val="NoSpacing"/>
        <w:numPr>
          <w:ilvl w:val="0"/>
          <w:numId w:val="24"/>
        </w:numPr>
        <w:rPr>
          <w:rFonts w:ascii="Arial" w:hAnsi="Arial" w:cs="Arial"/>
          <w:sz w:val="20"/>
          <w:szCs w:val="20"/>
        </w:rPr>
      </w:pPr>
      <w:r w:rsidRPr="00D876B9">
        <w:rPr>
          <w:rFonts w:ascii="Arial" w:hAnsi="Arial" w:cs="Arial"/>
          <w:sz w:val="20"/>
          <w:szCs w:val="20"/>
        </w:rPr>
        <w:t>respiratory depression</w:t>
      </w:r>
      <w:r>
        <w:rPr>
          <w:rFonts w:ascii="Arial" w:hAnsi="Arial" w:cs="Arial"/>
          <w:sz w:val="20"/>
          <w:szCs w:val="20"/>
        </w:rPr>
        <w:t xml:space="preserve"> and sedation</w:t>
      </w:r>
      <w:r w:rsidRPr="00D876B9">
        <w:rPr>
          <w:rFonts w:ascii="Arial" w:hAnsi="Arial" w:cs="Arial"/>
          <w:sz w:val="20"/>
          <w:szCs w:val="20"/>
        </w:rPr>
        <w:t>; especially within the first 24 to 72 hours after initiating therapy and following dose increases</w:t>
      </w:r>
      <w:r>
        <w:rPr>
          <w:rFonts w:ascii="Arial" w:hAnsi="Arial" w:cs="Arial"/>
          <w:sz w:val="20"/>
          <w:szCs w:val="20"/>
        </w:rPr>
        <w:t>; and particularly in high risk patients (elderly, cachectic, or debilitated patients, those with preexisting respiratory depression or otherwise significantly reduced respiratory reserve, and those who may be susceptible to the intracranial effects of CO</w:t>
      </w:r>
      <w:r>
        <w:rPr>
          <w:rFonts w:ascii="Arial" w:hAnsi="Arial" w:cs="Arial"/>
          <w:sz w:val="20"/>
          <w:szCs w:val="20"/>
          <w:vertAlign w:val="subscript"/>
        </w:rPr>
        <w:t>2</w:t>
      </w:r>
      <w:r>
        <w:rPr>
          <w:rFonts w:ascii="Arial" w:hAnsi="Arial" w:cs="Arial"/>
          <w:sz w:val="20"/>
          <w:szCs w:val="20"/>
        </w:rPr>
        <w:t xml:space="preserve"> retention)</w:t>
      </w:r>
    </w:p>
    <w:p w:rsidR="00D876B9" w:rsidRPr="00D876B9" w:rsidRDefault="00D876B9" w:rsidP="00D876B9">
      <w:pPr>
        <w:pStyle w:val="ListParagraph"/>
        <w:numPr>
          <w:ilvl w:val="0"/>
          <w:numId w:val="24"/>
        </w:numPr>
        <w:rPr>
          <w:rFonts w:ascii="Arial" w:hAnsi="Arial" w:cs="Arial"/>
          <w:sz w:val="20"/>
          <w:szCs w:val="20"/>
        </w:rPr>
      </w:pPr>
      <w:r w:rsidRPr="00D876B9">
        <w:rPr>
          <w:rFonts w:ascii="Arial" w:hAnsi="Arial" w:cs="Arial"/>
          <w:sz w:val="20"/>
          <w:szCs w:val="20"/>
        </w:rPr>
        <w:t>exacerbation of biliary tract disease</w:t>
      </w:r>
    </w:p>
    <w:p w:rsidR="00D876B9" w:rsidRDefault="00D876B9" w:rsidP="00D876B9">
      <w:pPr>
        <w:pStyle w:val="NoSpacing"/>
        <w:numPr>
          <w:ilvl w:val="0"/>
          <w:numId w:val="24"/>
        </w:numPr>
        <w:rPr>
          <w:rFonts w:ascii="Arial" w:hAnsi="Arial" w:cs="Arial"/>
          <w:sz w:val="20"/>
          <w:szCs w:val="20"/>
        </w:rPr>
      </w:pPr>
      <w:r>
        <w:rPr>
          <w:rFonts w:ascii="Arial" w:hAnsi="Arial" w:cs="Arial"/>
          <w:sz w:val="20"/>
          <w:szCs w:val="20"/>
        </w:rPr>
        <w:t xml:space="preserve">hypotension; in ambulatory patients and in those whose ability to maintain blood pressure has been compromised; especially after initiating therapy or titrating the dose </w:t>
      </w:r>
    </w:p>
    <w:p w:rsidR="00D876B9" w:rsidRPr="00D876B9" w:rsidRDefault="00D876B9" w:rsidP="00D876B9">
      <w:pPr>
        <w:pStyle w:val="ListParagraph"/>
        <w:numPr>
          <w:ilvl w:val="0"/>
          <w:numId w:val="24"/>
        </w:numPr>
        <w:rPr>
          <w:rFonts w:ascii="Arial" w:hAnsi="Arial" w:cs="Arial"/>
          <w:sz w:val="20"/>
          <w:szCs w:val="20"/>
        </w:rPr>
      </w:pPr>
      <w:r w:rsidRPr="00D876B9">
        <w:rPr>
          <w:rFonts w:ascii="Arial" w:hAnsi="Arial" w:cs="Arial"/>
          <w:sz w:val="20"/>
          <w:szCs w:val="20"/>
        </w:rPr>
        <w:t>worsened seizure control; in patients with a history of seizure disorders</w:t>
      </w:r>
    </w:p>
    <w:p w:rsidR="00EE510C" w:rsidRPr="0044122B" w:rsidRDefault="00EE510C" w:rsidP="004920E8">
      <w:pPr>
        <w:pStyle w:val="NoSpacing"/>
        <w:rPr>
          <w:rFonts w:ascii="Arial" w:hAnsi="Arial" w:cs="Arial"/>
          <w:b/>
          <w:sz w:val="20"/>
          <w:szCs w:val="20"/>
        </w:rPr>
      </w:pPr>
    </w:p>
    <w:p w:rsidR="00FA4396" w:rsidRPr="00370F7F" w:rsidRDefault="00FA4396" w:rsidP="00FA4396">
      <w:pPr>
        <w:pStyle w:val="NoSpacing"/>
        <w:rPr>
          <w:rFonts w:ascii="Arial" w:hAnsi="Arial" w:cs="Arial"/>
          <w:sz w:val="20"/>
          <w:szCs w:val="20"/>
        </w:rPr>
      </w:pPr>
      <w:r w:rsidRPr="0044122B">
        <w:rPr>
          <w:rFonts w:ascii="Arial" w:hAnsi="Arial" w:cs="Arial"/>
          <w:b/>
          <w:sz w:val="20"/>
          <w:szCs w:val="20"/>
          <w:u w:val="single"/>
        </w:rPr>
        <w:t>References</w:t>
      </w:r>
    </w:p>
    <w:p w:rsidR="00EB195F" w:rsidRPr="00EB195F" w:rsidRDefault="00EB195F" w:rsidP="00EB195F">
      <w:pPr>
        <w:widowControl w:val="0"/>
        <w:numPr>
          <w:ilvl w:val="0"/>
          <w:numId w:val="14"/>
        </w:numPr>
        <w:adjustRightInd w:val="0"/>
        <w:spacing w:after="0" w:line="240" w:lineRule="auto"/>
        <w:textAlignment w:val="baseline"/>
        <w:rPr>
          <w:rFonts w:ascii="Arial" w:eastAsia="Times New Roman" w:hAnsi="Arial" w:cs="Arial"/>
          <w:sz w:val="20"/>
          <w:szCs w:val="20"/>
        </w:rPr>
      </w:pPr>
      <w:r w:rsidRPr="00EB195F">
        <w:rPr>
          <w:rFonts w:ascii="Arial" w:eastAsia="Times New Roman" w:hAnsi="Arial" w:cs="Arial"/>
          <w:sz w:val="20"/>
          <w:szCs w:val="20"/>
        </w:rPr>
        <w:t>TROXYCA</w:t>
      </w:r>
      <w:r w:rsidRPr="00EB195F">
        <w:rPr>
          <w:rFonts w:ascii="Arial" w:eastAsia="Times New Roman" w:hAnsi="Arial" w:cs="Arial"/>
          <w:sz w:val="20"/>
          <w:szCs w:val="20"/>
          <w:vertAlign w:val="superscript"/>
        </w:rPr>
        <w:t>®</w:t>
      </w:r>
      <w:r w:rsidRPr="00EB195F">
        <w:rPr>
          <w:rFonts w:ascii="Arial" w:eastAsia="Times New Roman" w:hAnsi="Arial" w:cs="Arial"/>
          <w:sz w:val="20"/>
          <w:szCs w:val="20"/>
        </w:rPr>
        <w:t xml:space="preserve"> ER [package insert]. New York (NY): Pfizer Inc; 2016 Aug.</w:t>
      </w:r>
    </w:p>
    <w:p w:rsidR="00EB195F" w:rsidRPr="00EB195F" w:rsidRDefault="00EB195F" w:rsidP="00EB195F">
      <w:pPr>
        <w:numPr>
          <w:ilvl w:val="0"/>
          <w:numId w:val="14"/>
        </w:numPr>
        <w:spacing w:after="0" w:line="240" w:lineRule="auto"/>
        <w:contextualSpacing/>
        <w:rPr>
          <w:rFonts w:ascii="Arial" w:eastAsia="Times New Roman" w:hAnsi="Arial" w:cs="Arial"/>
          <w:sz w:val="20"/>
          <w:szCs w:val="20"/>
        </w:rPr>
      </w:pPr>
      <w:r w:rsidRPr="00EB195F">
        <w:rPr>
          <w:rFonts w:ascii="Arial" w:eastAsia="Times New Roman" w:hAnsi="Arial" w:cs="Arial"/>
          <w:sz w:val="20"/>
          <w:szCs w:val="20"/>
        </w:rPr>
        <w:t>TROXYCA</w:t>
      </w:r>
      <w:r w:rsidRPr="00EB195F">
        <w:rPr>
          <w:rFonts w:ascii="Arial" w:eastAsia="Times New Roman" w:hAnsi="Arial" w:cs="Arial"/>
          <w:sz w:val="20"/>
          <w:szCs w:val="20"/>
          <w:vertAlign w:val="superscript"/>
        </w:rPr>
        <w:t>®</w:t>
      </w:r>
      <w:r w:rsidRPr="00EB195F">
        <w:rPr>
          <w:rFonts w:ascii="Arial" w:eastAsia="Times New Roman" w:hAnsi="Arial" w:cs="Arial"/>
          <w:sz w:val="20"/>
          <w:szCs w:val="20"/>
        </w:rPr>
        <w:t xml:space="preserve"> ER (oxycodone-naltrexone) product eDossier. Sep 2016. Pfizer Inc. Data on file.</w:t>
      </w:r>
    </w:p>
    <w:p w:rsidR="00EB195F" w:rsidRDefault="00EB195F" w:rsidP="00EB195F">
      <w:pPr>
        <w:numPr>
          <w:ilvl w:val="0"/>
          <w:numId w:val="14"/>
        </w:numPr>
        <w:spacing w:after="0" w:line="240" w:lineRule="auto"/>
        <w:contextualSpacing/>
        <w:rPr>
          <w:rFonts w:ascii="Arial" w:eastAsia="Times New Roman" w:hAnsi="Arial" w:cs="Arial"/>
          <w:sz w:val="20"/>
          <w:szCs w:val="20"/>
        </w:rPr>
      </w:pPr>
      <w:proofErr w:type="spellStart"/>
      <w:r w:rsidRPr="00EB195F">
        <w:rPr>
          <w:rFonts w:ascii="Arial" w:eastAsia="Times New Roman" w:hAnsi="Arial" w:cs="Arial"/>
          <w:sz w:val="20"/>
          <w:szCs w:val="20"/>
        </w:rPr>
        <w:t>Rauck</w:t>
      </w:r>
      <w:proofErr w:type="spellEnd"/>
      <w:r w:rsidRPr="00EB195F">
        <w:rPr>
          <w:rFonts w:ascii="Arial" w:eastAsia="Times New Roman" w:hAnsi="Arial" w:cs="Arial"/>
          <w:sz w:val="20"/>
          <w:szCs w:val="20"/>
        </w:rPr>
        <w:t xml:space="preserve"> RL, Hale ME, Bass A, et al. A randomized double-blind, placebo-controlled efficacy and safety study of ALO-02 (extended-release oxycodone surrounding sequestered naltrexone) for moderate-to-severe chronic low back pain treatment. Pain. 2015</w:t>
      </w:r>
      <w:proofErr w:type="gramStart"/>
      <w:r w:rsidRPr="00EB195F">
        <w:rPr>
          <w:rFonts w:ascii="Arial" w:eastAsia="Times New Roman" w:hAnsi="Arial" w:cs="Arial"/>
          <w:sz w:val="20"/>
          <w:szCs w:val="20"/>
        </w:rPr>
        <w:t>;156:1660</w:t>
      </w:r>
      <w:proofErr w:type="gramEnd"/>
      <w:r w:rsidRPr="00EB195F">
        <w:rPr>
          <w:rFonts w:ascii="Arial" w:eastAsia="Times New Roman" w:hAnsi="Arial" w:cs="Arial"/>
          <w:sz w:val="20"/>
          <w:szCs w:val="20"/>
        </w:rPr>
        <w:t>-1669.</w:t>
      </w:r>
    </w:p>
    <w:p w:rsidR="003B4259" w:rsidRPr="00EB195F" w:rsidRDefault="003B4259" w:rsidP="003B4259">
      <w:pPr>
        <w:numPr>
          <w:ilvl w:val="0"/>
          <w:numId w:val="14"/>
        </w:numPr>
        <w:spacing w:after="0" w:line="240" w:lineRule="auto"/>
        <w:contextualSpacing/>
        <w:rPr>
          <w:rFonts w:ascii="Arial" w:eastAsia="Times New Roman" w:hAnsi="Arial" w:cs="Arial"/>
          <w:sz w:val="20"/>
          <w:szCs w:val="20"/>
        </w:rPr>
      </w:pPr>
      <w:r w:rsidRPr="003B4259">
        <w:rPr>
          <w:rFonts w:ascii="Arial" w:eastAsia="Times New Roman" w:hAnsi="Arial" w:cs="Arial"/>
          <w:sz w:val="20"/>
          <w:szCs w:val="20"/>
        </w:rPr>
        <w:t xml:space="preserve">Arora S, </w:t>
      </w:r>
      <w:proofErr w:type="spellStart"/>
      <w:r w:rsidRPr="003B4259">
        <w:rPr>
          <w:rFonts w:ascii="Arial" w:eastAsia="Times New Roman" w:hAnsi="Arial" w:cs="Arial"/>
          <w:sz w:val="20"/>
          <w:szCs w:val="20"/>
        </w:rPr>
        <w:t>Setnik</w:t>
      </w:r>
      <w:proofErr w:type="spellEnd"/>
      <w:r w:rsidRPr="003B4259">
        <w:rPr>
          <w:rFonts w:ascii="Arial" w:eastAsia="Times New Roman" w:hAnsi="Arial" w:cs="Arial"/>
          <w:sz w:val="20"/>
          <w:szCs w:val="20"/>
        </w:rPr>
        <w:t xml:space="preserve"> B, Michael D, et al. A multicenter, 12-month, open-label, single-arm safety study of oxycodone-hydrochloride/naltrexone-hydrochloride extended-release capsules (ALO-02) in patients with moderate-to-severe chronic </w:t>
      </w:r>
      <w:proofErr w:type="spellStart"/>
      <w:r w:rsidRPr="003B4259">
        <w:rPr>
          <w:rFonts w:ascii="Arial" w:eastAsia="Times New Roman" w:hAnsi="Arial" w:cs="Arial"/>
          <w:sz w:val="20"/>
          <w:szCs w:val="20"/>
        </w:rPr>
        <w:t>noncancer</w:t>
      </w:r>
      <w:proofErr w:type="spellEnd"/>
      <w:r w:rsidRPr="003B4259">
        <w:rPr>
          <w:rFonts w:ascii="Arial" w:eastAsia="Times New Roman" w:hAnsi="Arial" w:cs="Arial"/>
          <w:sz w:val="20"/>
          <w:szCs w:val="20"/>
        </w:rPr>
        <w:t xml:space="preserve"> pain. J Opioid </w:t>
      </w:r>
      <w:proofErr w:type="spellStart"/>
      <w:r w:rsidRPr="003B4259">
        <w:rPr>
          <w:rFonts w:ascii="Arial" w:eastAsia="Times New Roman" w:hAnsi="Arial" w:cs="Arial"/>
          <w:sz w:val="20"/>
          <w:szCs w:val="20"/>
        </w:rPr>
        <w:t>Manag</w:t>
      </w:r>
      <w:proofErr w:type="spellEnd"/>
      <w:r w:rsidRPr="003B4259">
        <w:rPr>
          <w:rFonts w:ascii="Arial" w:eastAsia="Times New Roman" w:hAnsi="Arial" w:cs="Arial"/>
          <w:sz w:val="20"/>
          <w:szCs w:val="20"/>
        </w:rPr>
        <w:t>. 2014</w:t>
      </w:r>
      <w:proofErr w:type="gramStart"/>
      <w:r w:rsidRPr="003B4259">
        <w:rPr>
          <w:rFonts w:ascii="Arial" w:eastAsia="Times New Roman" w:hAnsi="Arial" w:cs="Arial"/>
          <w:sz w:val="20"/>
          <w:szCs w:val="20"/>
        </w:rPr>
        <w:t>;10</w:t>
      </w:r>
      <w:proofErr w:type="gramEnd"/>
      <w:r w:rsidRPr="003B4259">
        <w:rPr>
          <w:rFonts w:ascii="Arial" w:eastAsia="Times New Roman" w:hAnsi="Arial" w:cs="Arial"/>
          <w:sz w:val="20"/>
          <w:szCs w:val="20"/>
        </w:rPr>
        <w:t>(6):423-436.</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r w:rsidRPr="00EB195F">
        <w:rPr>
          <w:rFonts w:ascii="Arial" w:eastAsia="Times New Roman" w:hAnsi="Arial" w:cs="Arial"/>
          <w:sz w:val="20"/>
          <w:szCs w:val="20"/>
        </w:rPr>
        <w:t>Embeda</w:t>
      </w:r>
      <w:r w:rsidRPr="00EB195F">
        <w:rPr>
          <w:rFonts w:ascii="Arial" w:eastAsia="Times New Roman" w:hAnsi="Arial" w:cs="Arial"/>
          <w:sz w:val="20"/>
          <w:szCs w:val="20"/>
          <w:vertAlign w:val="superscript"/>
        </w:rPr>
        <w:t>®</w:t>
      </w:r>
      <w:r w:rsidRPr="00EB195F">
        <w:rPr>
          <w:rFonts w:ascii="Arial" w:eastAsia="Times New Roman" w:hAnsi="Arial" w:cs="Arial"/>
          <w:sz w:val="20"/>
          <w:szCs w:val="20"/>
        </w:rPr>
        <w:t xml:space="preserve"> [package insert]. New York (NY): Pfizer Inc; 2014 Apr.</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proofErr w:type="spellStart"/>
      <w:r w:rsidRPr="00EB195F">
        <w:rPr>
          <w:rFonts w:ascii="Arial" w:eastAsia="Times New Roman" w:hAnsi="Arial" w:cs="Arial"/>
          <w:sz w:val="20"/>
          <w:szCs w:val="20"/>
        </w:rPr>
        <w:t>Setnik</w:t>
      </w:r>
      <w:proofErr w:type="spellEnd"/>
      <w:r w:rsidRPr="00EB195F">
        <w:rPr>
          <w:rFonts w:ascii="Arial" w:eastAsia="Times New Roman" w:hAnsi="Arial" w:cs="Arial"/>
          <w:sz w:val="20"/>
          <w:szCs w:val="20"/>
        </w:rPr>
        <w:t xml:space="preserve"> B, Bass A, </w:t>
      </w:r>
      <w:proofErr w:type="spellStart"/>
      <w:r w:rsidRPr="00EB195F">
        <w:rPr>
          <w:rFonts w:ascii="Arial" w:eastAsia="Times New Roman" w:hAnsi="Arial" w:cs="Arial"/>
          <w:sz w:val="20"/>
          <w:szCs w:val="20"/>
        </w:rPr>
        <w:t>Bramson</w:t>
      </w:r>
      <w:proofErr w:type="spellEnd"/>
      <w:r w:rsidRPr="00EB195F">
        <w:rPr>
          <w:rFonts w:ascii="Arial" w:eastAsia="Times New Roman" w:hAnsi="Arial" w:cs="Arial"/>
          <w:sz w:val="20"/>
          <w:szCs w:val="20"/>
        </w:rPr>
        <w:t xml:space="preserve"> C, et al. Abuse Potential Study of ALO-02 (Extended-Release Oxycodone Surrounding Sequestered Naltrexone) Compared with Immediate-Release Oxycodone Administered Orally to Nondependent Recreational Opioid Users. Pain Med. 2016 Aug 22 [</w:t>
      </w:r>
      <w:proofErr w:type="spellStart"/>
      <w:r w:rsidRPr="00EB195F">
        <w:rPr>
          <w:rFonts w:ascii="Arial" w:eastAsia="Times New Roman" w:hAnsi="Arial" w:cs="Arial"/>
          <w:sz w:val="20"/>
          <w:szCs w:val="20"/>
        </w:rPr>
        <w:t>Epub</w:t>
      </w:r>
      <w:proofErr w:type="spellEnd"/>
      <w:r w:rsidRPr="00EB195F">
        <w:rPr>
          <w:rFonts w:ascii="Arial" w:eastAsia="Times New Roman" w:hAnsi="Arial" w:cs="Arial"/>
          <w:sz w:val="20"/>
          <w:szCs w:val="20"/>
        </w:rPr>
        <w:t xml:space="preserve"> ahead of print].</w:t>
      </w:r>
    </w:p>
    <w:p w:rsidR="00EB195F" w:rsidRDefault="00EB195F" w:rsidP="00590717">
      <w:pPr>
        <w:numPr>
          <w:ilvl w:val="0"/>
          <w:numId w:val="14"/>
        </w:numPr>
        <w:spacing w:after="0" w:line="240" w:lineRule="auto"/>
        <w:contextualSpacing/>
        <w:rPr>
          <w:rFonts w:ascii="Arial" w:eastAsia="Times New Roman" w:hAnsi="Arial" w:cs="Arial"/>
          <w:sz w:val="20"/>
          <w:szCs w:val="20"/>
        </w:rPr>
      </w:pPr>
      <w:proofErr w:type="spellStart"/>
      <w:r w:rsidRPr="00EB195F">
        <w:rPr>
          <w:rFonts w:ascii="Arial" w:eastAsia="Times New Roman" w:hAnsi="Arial" w:cs="Arial"/>
          <w:sz w:val="20"/>
          <w:szCs w:val="20"/>
        </w:rPr>
        <w:t>Setnik</w:t>
      </w:r>
      <w:proofErr w:type="spellEnd"/>
      <w:r w:rsidRPr="00EB195F">
        <w:rPr>
          <w:rFonts w:ascii="Arial" w:eastAsia="Times New Roman" w:hAnsi="Arial" w:cs="Arial"/>
          <w:sz w:val="20"/>
          <w:szCs w:val="20"/>
        </w:rPr>
        <w:t xml:space="preserve"> B, </w:t>
      </w:r>
      <w:proofErr w:type="spellStart"/>
      <w:r w:rsidRPr="00EB195F">
        <w:rPr>
          <w:rFonts w:ascii="Arial" w:eastAsia="Times New Roman" w:hAnsi="Arial" w:cs="Arial"/>
          <w:sz w:val="20"/>
          <w:szCs w:val="20"/>
        </w:rPr>
        <w:t>Bramson</w:t>
      </w:r>
      <w:proofErr w:type="spellEnd"/>
      <w:r w:rsidRPr="00EB195F">
        <w:rPr>
          <w:rFonts w:ascii="Arial" w:eastAsia="Times New Roman" w:hAnsi="Arial" w:cs="Arial"/>
          <w:sz w:val="20"/>
          <w:szCs w:val="20"/>
        </w:rPr>
        <w:t xml:space="preserve"> C, Bass A, et al. Intranasal administration of crushed ALO-02 (extended-release oxycodone with sequestered naltrexone): a randomized, controlled abuse-potential study in nondependent recreational opioid users. J </w:t>
      </w:r>
      <w:proofErr w:type="spellStart"/>
      <w:r w:rsidRPr="00EB195F">
        <w:rPr>
          <w:rFonts w:ascii="Arial" w:eastAsia="Times New Roman" w:hAnsi="Arial" w:cs="Arial"/>
          <w:sz w:val="20"/>
          <w:szCs w:val="20"/>
        </w:rPr>
        <w:t>Clin</w:t>
      </w:r>
      <w:proofErr w:type="spellEnd"/>
      <w:r w:rsidRPr="00EB195F">
        <w:rPr>
          <w:rFonts w:ascii="Arial" w:eastAsia="Times New Roman" w:hAnsi="Arial" w:cs="Arial"/>
          <w:sz w:val="20"/>
          <w:szCs w:val="20"/>
        </w:rPr>
        <w:t xml:space="preserve"> </w:t>
      </w:r>
      <w:proofErr w:type="spellStart"/>
      <w:r w:rsidRPr="00EB195F">
        <w:rPr>
          <w:rFonts w:ascii="Arial" w:eastAsia="Times New Roman" w:hAnsi="Arial" w:cs="Arial"/>
          <w:sz w:val="20"/>
          <w:szCs w:val="20"/>
        </w:rPr>
        <w:t>Pharmacol</w:t>
      </w:r>
      <w:proofErr w:type="spellEnd"/>
      <w:r w:rsidRPr="00EB195F">
        <w:rPr>
          <w:rFonts w:ascii="Arial" w:eastAsia="Times New Roman" w:hAnsi="Arial" w:cs="Arial"/>
          <w:sz w:val="20"/>
          <w:szCs w:val="20"/>
        </w:rPr>
        <w:t>. 2015</w:t>
      </w:r>
      <w:proofErr w:type="gramStart"/>
      <w:r w:rsidRPr="00EB195F">
        <w:rPr>
          <w:rFonts w:ascii="Arial" w:eastAsia="Times New Roman" w:hAnsi="Arial" w:cs="Arial"/>
          <w:sz w:val="20"/>
          <w:szCs w:val="20"/>
        </w:rPr>
        <w:t>;55</w:t>
      </w:r>
      <w:proofErr w:type="gramEnd"/>
      <w:r w:rsidRPr="00EB195F">
        <w:rPr>
          <w:rFonts w:ascii="Arial" w:eastAsia="Times New Roman" w:hAnsi="Arial" w:cs="Arial"/>
          <w:sz w:val="20"/>
          <w:szCs w:val="20"/>
        </w:rPr>
        <w:t>(12):1351-1361.</w:t>
      </w:r>
    </w:p>
    <w:p w:rsidR="003B4259" w:rsidRPr="00EB195F" w:rsidRDefault="003B4259" w:rsidP="003B4259">
      <w:pPr>
        <w:numPr>
          <w:ilvl w:val="0"/>
          <w:numId w:val="14"/>
        </w:numPr>
        <w:spacing w:after="0" w:line="240" w:lineRule="auto"/>
        <w:contextualSpacing/>
        <w:rPr>
          <w:rFonts w:ascii="Arial" w:eastAsia="Times New Roman" w:hAnsi="Arial" w:cs="Arial"/>
          <w:sz w:val="20"/>
          <w:szCs w:val="20"/>
        </w:rPr>
      </w:pPr>
      <w:proofErr w:type="spellStart"/>
      <w:r w:rsidRPr="003B4259">
        <w:rPr>
          <w:rFonts w:ascii="Arial" w:eastAsia="Times New Roman" w:hAnsi="Arial" w:cs="Arial"/>
          <w:sz w:val="20"/>
          <w:szCs w:val="20"/>
        </w:rPr>
        <w:t>Backonja</w:t>
      </w:r>
      <w:proofErr w:type="spellEnd"/>
      <w:r w:rsidRPr="003B4259">
        <w:rPr>
          <w:rFonts w:ascii="Arial" w:eastAsia="Times New Roman" w:hAnsi="Arial" w:cs="Arial"/>
          <w:sz w:val="20"/>
          <w:szCs w:val="20"/>
        </w:rPr>
        <w:t xml:space="preserve"> M, Webster LR, </w:t>
      </w:r>
      <w:proofErr w:type="spellStart"/>
      <w:r w:rsidRPr="003B4259">
        <w:rPr>
          <w:rFonts w:ascii="Arial" w:eastAsia="Times New Roman" w:hAnsi="Arial" w:cs="Arial"/>
          <w:sz w:val="20"/>
          <w:szCs w:val="20"/>
        </w:rPr>
        <w:t>Setnik</w:t>
      </w:r>
      <w:proofErr w:type="spellEnd"/>
      <w:r w:rsidRPr="003B4259">
        <w:rPr>
          <w:rFonts w:ascii="Arial" w:eastAsia="Times New Roman" w:hAnsi="Arial" w:cs="Arial"/>
          <w:sz w:val="20"/>
          <w:szCs w:val="20"/>
        </w:rPr>
        <w:t xml:space="preserve"> B, et al. Intravenous abuse potential study of oxycodone alone or in combination with naltrexone in nondependent recreational opioid users. Am J Drug Alcohol Abuse. 2016 May 21:1-11 [</w:t>
      </w:r>
      <w:proofErr w:type="spellStart"/>
      <w:r w:rsidRPr="003B4259">
        <w:rPr>
          <w:rFonts w:ascii="Arial" w:eastAsia="Times New Roman" w:hAnsi="Arial" w:cs="Arial"/>
          <w:sz w:val="20"/>
          <w:szCs w:val="20"/>
        </w:rPr>
        <w:t>Epub</w:t>
      </w:r>
      <w:proofErr w:type="spellEnd"/>
      <w:r w:rsidRPr="003B4259">
        <w:rPr>
          <w:rFonts w:ascii="Arial" w:eastAsia="Times New Roman" w:hAnsi="Arial" w:cs="Arial"/>
          <w:sz w:val="20"/>
          <w:szCs w:val="20"/>
        </w:rPr>
        <w:t xml:space="preserve"> ahead of print].</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r w:rsidRPr="00EB195F">
        <w:rPr>
          <w:rFonts w:ascii="Arial" w:eastAsia="Times New Roman" w:hAnsi="Arial" w:cs="Arial"/>
          <w:sz w:val="20"/>
          <w:szCs w:val="20"/>
        </w:rPr>
        <w:t>OxyContin</w:t>
      </w:r>
      <w:r w:rsidRPr="00EB195F">
        <w:rPr>
          <w:rFonts w:ascii="Arial" w:eastAsia="Times New Roman" w:hAnsi="Arial" w:cs="Arial"/>
          <w:sz w:val="20"/>
          <w:szCs w:val="20"/>
          <w:vertAlign w:val="superscript"/>
        </w:rPr>
        <w:t>®</w:t>
      </w:r>
      <w:r w:rsidRPr="00EB195F">
        <w:rPr>
          <w:rFonts w:ascii="Arial" w:eastAsia="Times New Roman" w:hAnsi="Arial" w:cs="Arial"/>
          <w:sz w:val="20"/>
          <w:szCs w:val="20"/>
        </w:rPr>
        <w:t xml:space="preserve"> [package insert]. Stamford (CT): Purdue Pharma, LP; 2016 Dec.</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proofErr w:type="spellStart"/>
      <w:r w:rsidRPr="00EB195F">
        <w:rPr>
          <w:rFonts w:ascii="Arial" w:eastAsia="Times New Roman" w:hAnsi="Arial" w:cs="Arial"/>
          <w:sz w:val="20"/>
          <w:szCs w:val="20"/>
        </w:rPr>
        <w:t>Targiniq</w:t>
      </w:r>
      <w:proofErr w:type="spellEnd"/>
      <w:r w:rsidRPr="00EB195F">
        <w:rPr>
          <w:rFonts w:ascii="Arial" w:eastAsia="Times New Roman" w:hAnsi="Arial" w:cs="Arial"/>
          <w:sz w:val="20"/>
          <w:szCs w:val="20"/>
          <w:vertAlign w:val="superscript"/>
        </w:rPr>
        <w:t>®</w:t>
      </w:r>
      <w:r w:rsidRPr="00EB195F">
        <w:rPr>
          <w:rFonts w:ascii="Arial" w:eastAsia="Times New Roman" w:hAnsi="Arial" w:cs="Arial"/>
          <w:sz w:val="20"/>
          <w:szCs w:val="20"/>
        </w:rPr>
        <w:t xml:space="preserve"> ER [package insert]. Stamford (CT): Purdue Pharma, LP; 2016 Dec.</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proofErr w:type="spellStart"/>
      <w:r w:rsidRPr="00EB195F">
        <w:rPr>
          <w:rFonts w:ascii="Arial" w:eastAsia="Times New Roman" w:hAnsi="Arial" w:cs="Arial"/>
          <w:sz w:val="20"/>
          <w:szCs w:val="20"/>
        </w:rPr>
        <w:t>Xtampza</w:t>
      </w:r>
      <w:proofErr w:type="spellEnd"/>
      <w:r w:rsidRPr="00EB195F">
        <w:rPr>
          <w:rFonts w:ascii="Arial" w:eastAsia="Times New Roman" w:hAnsi="Arial" w:cs="Arial"/>
          <w:sz w:val="20"/>
          <w:szCs w:val="20"/>
          <w:vertAlign w:val="superscript"/>
        </w:rPr>
        <w:t>®</w:t>
      </w:r>
      <w:r w:rsidRPr="00EB195F">
        <w:rPr>
          <w:rFonts w:ascii="Arial" w:eastAsia="Times New Roman" w:hAnsi="Arial" w:cs="Arial"/>
          <w:sz w:val="20"/>
          <w:szCs w:val="20"/>
        </w:rPr>
        <w:t xml:space="preserve"> ER [package insert]. Cincinnati (OH): </w:t>
      </w:r>
      <w:proofErr w:type="spellStart"/>
      <w:r w:rsidRPr="00EB195F">
        <w:rPr>
          <w:rFonts w:ascii="Arial" w:eastAsia="Times New Roman" w:hAnsi="Arial" w:cs="Arial"/>
          <w:sz w:val="20"/>
          <w:szCs w:val="20"/>
        </w:rPr>
        <w:t>Patheon</w:t>
      </w:r>
      <w:proofErr w:type="spellEnd"/>
      <w:r w:rsidRPr="00EB195F">
        <w:rPr>
          <w:rFonts w:ascii="Arial" w:eastAsia="Times New Roman" w:hAnsi="Arial" w:cs="Arial"/>
          <w:sz w:val="20"/>
          <w:szCs w:val="20"/>
        </w:rPr>
        <w:t xml:space="preserve"> Pharmaceuticals; 2016 Nov.</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r w:rsidRPr="00EB195F">
        <w:rPr>
          <w:rFonts w:ascii="Arial" w:eastAsia="Times New Roman" w:hAnsi="Arial" w:cs="Arial"/>
          <w:sz w:val="20"/>
          <w:szCs w:val="20"/>
        </w:rPr>
        <w:t xml:space="preserve">U.S. Food and Drug Administration. Opioid Medications; Information on Opioid Medications [webpage on the internet]. Silver Spring (MD): U.S. Food and Drug Administration; 2017 Jan 23 [cited 2017 Feb 1]. Available at: http://www.fda.gov/Drugs/DrugSafety/InformationbyDrugClass/ucm337066.htm. </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proofErr w:type="spellStart"/>
      <w:r w:rsidRPr="00EB195F">
        <w:rPr>
          <w:rFonts w:ascii="Arial" w:eastAsia="Times New Roman" w:hAnsi="Arial" w:cs="Arial"/>
          <w:sz w:val="20"/>
          <w:szCs w:val="20"/>
        </w:rPr>
        <w:t>Drugs@FDA</w:t>
      </w:r>
      <w:proofErr w:type="spellEnd"/>
      <w:r w:rsidRPr="00EB195F">
        <w:rPr>
          <w:rFonts w:ascii="Arial" w:eastAsia="Times New Roman" w:hAnsi="Arial" w:cs="Arial"/>
          <w:sz w:val="20"/>
          <w:szCs w:val="20"/>
        </w:rPr>
        <w:t xml:space="preserve"> [database on the Internet]. Rockville (MD): Food and Drug Administration (US), Center for Drug Evaluation and Research; 2017 [cited 2017 Feb 1]. Available from: http://www.accessdata.fda.gov/scripts/cder/drugsatfda/index.cfm.</w:t>
      </w:r>
    </w:p>
    <w:p w:rsidR="00EB195F" w:rsidRPr="00EB195F" w:rsidRDefault="00EB195F" w:rsidP="00590717">
      <w:pPr>
        <w:numPr>
          <w:ilvl w:val="0"/>
          <w:numId w:val="14"/>
        </w:numPr>
        <w:spacing w:after="0" w:line="240" w:lineRule="auto"/>
        <w:contextualSpacing/>
        <w:rPr>
          <w:rFonts w:ascii="Arial" w:eastAsia="Times New Roman" w:hAnsi="Arial" w:cs="Arial"/>
          <w:sz w:val="20"/>
          <w:szCs w:val="20"/>
        </w:rPr>
      </w:pPr>
      <w:r w:rsidRPr="00EB195F">
        <w:rPr>
          <w:rFonts w:ascii="Arial" w:eastAsia="Times New Roman" w:hAnsi="Arial" w:cs="Arial"/>
          <w:sz w:val="20"/>
          <w:szCs w:val="20"/>
        </w:rPr>
        <w:t>Brief-</w:t>
      </w:r>
      <w:proofErr w:type="spellStart"/>
      <w:r w:rsidRPr="00EB195F">
        <w:rPr>
          <w:rFonts w:ascii="Arial" w:eastAsia="Times New Roman" w:hAnsi="Arial" w:cs="Arial"/>
          <w:sz w:val="20"/>
          <w:szCs w:val="20"/>
        </w:rPr>
        <w:t>Egalet</w:t>
      </w:r>
      <w:proofErr w:type="spellEnd"/>
      <w:r w:rsidRPr="00EB195F">
        <w:rPr>
          <w:rFonts w:ascii="Arial" w:eastAsia="Times New Roman" w:hAnsi="Arial" w:cs="Arial"/>
          <w:sz w:val="20"/>
          <w:szCs w:val="20"/>
        </w:rPr>
        <w:t xml:space="preserve"> receives FDA approval for </w:t>
      </w:r>
      <w:proofErr w:type="spellStart"/>
      <w:r w:rsidRPr="00EB195F">
        <w:rPr>
          <w:rFonts w:ascii="Arial" w:eastAsia="Times New Roman" w:hAnsi="Arial" w:cs="Arial"/>
          <w:sz w:val="20"/>
          <w:szCs w:val="20"/>
        </w:rPr>
        <w:t>Arymo</w:t>
      </w:r>
      <w:proofErr w:type="spellEnd"/>
      <w:r w:rsidRPr="00EB195F">
        <w:rPr>
          <w:rFonts w:ascii="Arial" w:eastAsia="Times New Roman" w:hAnsi="Arial" w:cs="Arial"/>
          <w:sz w:val="20"/>
          <w:szCs w:val="20"/>
        </w:rPr>
        <w:t xml:space="preserve"> ER [press release on the internet]. Reuters; 2017 Jan 10 [cited 2017 Feb 1]. Available from: http://in.reuters.com/article/idINASC09Q4B </w:t>
      </w:r>
    </w:p>
    <w:p w:rsidR="00EB195F" w:rsidRPr="00EB195F" w:rsidRDefault="00EB195F" w:rsidP="00590717">
      <w:pPr>
        <w:numPr>
          <w:ilvl w:val="0"/>
          <w:numId w:val="14"/>
        </w:numPr>
        <w:spacing w:line="240" w:lineRule="auto"/>
        <w:contextualSpacing/>
        <w:rPr>
          <w:rFonts w:ascii="Arial" w:eastAsia="Times New Roman" w:hAnsi="Arial" w:cs="Arial"/>
          <w:sz w:val="20"/>
          <w:szCs w:val="20"/>
        </w:rPr>
      </w:pPr>
      <w:proofErr w:type="spellStart"/>
      <w:r w:rsidRPr="00EB195F">
        <w:rPr>
          <w:rFonts w:ascii="Arial" w:eastAsia="Times New Roman" w:hAnsi="Arial" w:cs="Arial"/>
          <w:sz w:val="20"/>
          <w:szCs w:val="20"/>
        </w:rPr>
        <w:t>Vuilleumier</w:t>
      </w:r>
      <w:proofErr w:type="spellEnd"/>
      <w:r w:rsidRPr="00EB195F">
        <w:rPr>
          <w:rFonts w:ascii="Arial" w:eastAsia="Times New Roman" w:hAnsi="Arial" w:cs="Arial"/>
          <w:sz w:val="20"/>
          <w:szCs w:val="20"/>
        </w:rPr>
        <w:t xml:space="preserve"> PH, </w:t>
      </w:r>
      <w:proofErr w:type="spellStart"/>
      <w:r w:rsidRPr="00EB195F">
        <w:rPr>
          <w:rFonts w:ascii="Arial" w:eastAsia="Times New Roman" w:hAnsi="Arial" w:cs="Arial"/>
          <w:sz w:val="20"/>
          <w:szCs w:val="20"/>
        </w:rPr>
        <w:t>Stamer</w:t>
      </w:r>
      <w:proofErr w:type="spellEnd"/>
      <w:r w:rsidRPr="00EB195F">
        <w:rPr>
          <w:rFonts w:ascii="Arial" w:eastAsia="Times New Roman" w:hAnsi="Arial" w:cs="Arial"/>
          <w:sz w:val="20"/>
          <w:szCs w:val="20"/>
        </w:rPr>
        <w:t xml:space="preserve"> UM and Landau R. Pharmacogenomic considerations in opioid analgesia. Pharmacogenomics and Personalized Medicine. 2012;5:73-87.</w:t>
      </w:r>
    </w:p>
    <w:p w:rsidR="00C77660" w:rsidRPr="00EB195F" w:rsidRDefault="00EB195F" w:rsidP="00590717">
      <w:pPr>
        <w:numPr>
          <w:ilvl w:val="0"/>
          <w:numId w:val="14"/>
        </w:numPr>
        <w:spacing w:line="240" w:lineRule="auto"/>
        <w:contextualSpacing/>
        <w:rPr>
          <w:rFonts w:ascii="Arial" w:eastAsia="Times New Roman" w:hAnsi="Arial" w:cs="Arial"/>
          <w:sz w:val="20"/>
          <w:szCs w:val="20"/>
        </w:rPr>
      </w:pPr>
      <w:r w:rsidRPr="00EB195F">
        <w:rPr>
          <w:rFonts w:ascii="Arial" w:eastAsia="Times New Roman" w:hAnsi="Arial" w:cs="Arial"/>
          <w:sz w:val="20"/>
          <w:szCs w:val="20"/>
        </w:rPr>
        <w:t>Micromedex</w:t>
      </w:r>
      <w:r w:rsidRPr="00EB195F">
        <w:rPr>
          <w:rFonts w:ascii="Arial" w:eastAsia="Times New Roman" w:hAnsi="Arial" w:cs="Arial"/>
          <w:sz w:val="20"/>
          <w:szCs w:val="20"/>
          <w:vertAlign w:val="superscript"/>
        </w:rPr>
        <w:t>®</w:t>
      </w:r>
      <w:r w:rsidRPr="00EB195F">
        <w:rPr>
          <w:rFonts w:ascii="Arial" w:eastAsia="Times New Roman" w:hAnsi="Arial" w:cs="Arial"/>
          <w:sz w:val="20"/>
          <w:szCs w:val="20"/>
        </w:rPr>
        <w:t xml:space="preserve"> </w:t>
      </w:r>
      <w:proofErr w:type="spellStart"/>
      <w:r w:rsidRPr="00EB195F">
        <w:rPr>
          <w:rFonts w:ascii="Arial" w:eastAsia="Times New Roman" w:hAnsi="Arial" w:cs="Arial"/>
          <w:sz w:val="20"/>
          <w:szCs w:val="20"/>
        </w:rPr>
        <w:t>Heahtlcare</w:t>
      </w:r>
      <w:proofErr w:type="spellEnd"/>
      <w:r w:rsidRPr="00EB195F">
        <w:rPr>
          <w:rFonts w:ascii="Arial" w:eastAsia="Times New Roman" w:hAnsi="Arial" w:cs="Arial"/>
          <w:sz w:val="20"/>
          <w:szCs w:val="20"/>
        </w:rPr>
        <w:t xml:space="preserve"> Series [database on the internet]. Cambridge (MA): </w:t>
      </w:r>
      <w:proofErr w:type="spellStart"/>
      <w:r w:rsidRPr="00EB195F">
        <w:rPr>
          <w:rFonts w:ascii="Arial" w:eastAsia="Times New Roman" w:hAnsi="Arial" w:cs="Arial"/>
          <w:sz w:val="20"/>
          <w:szCs w:val="20"/>
        </w:rPr>
        <w:t>Truven</w:t>
      </w:r>
      <w:proofErr w:type="spellEnd"/>
      <w:r w:rsidRPr="00EB195F">
        <w:rPr>
          <w:rFonts w:ascii="Arial" w:eastAsia="Times New Roman" w:hAnsi="Arial" w:cs="Arial"/>
          <w:sz w:val="20"/>
          <w:szCs w:val="20"/>
        </w:rPr>
        <w:t xml:space="preserve"> Health Analytics; Updated periodically [cited 2017 Feb 1]. Available from: http://www.thomsonhc.com/. </w:t>
      </w:r>
    </w:p>
    <w:sectPr w:rsidR="00C77660" w:rsidRPr="00EB195F" w:rsidSect="00162B15">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9C" w:rsidRDefault="002D3C9C" w:rsidP="001E5F88">
      <w:pPr>
        <w:spacing w:after="0" w:line="240" w:lineRule="auto"/>
      </w:pPr>
      <w:r>
        <w:separator/>
      </w:r>
    </w:p>
  </w:endnote>
  <w:endnote w:type="continuationSeparator" w:id="0">
    <w:p w:rsidR="002D3C9C" w:rsidRDefault="002D3C9C"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9C" w:rsidRPr="00071184" w:rsidRDefault="002D3C9C"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2D3C9C" w:rsidTr="00C11BC4">
      <w:trPr>
        <w:jc w:val="center"/>
      </w:trPr>
      <w:tc>
        <w:tcPr>
          <w:tcW w:w="1420" w:type="pct"/>
        </w:tcPr>
        <w:p w:rsidR="002D3C9C" w:rsidRPr="005C154A" w:rsidRDefault="002D3C9C" w:rsidP="00C11BC4">
          <w:pPr>
            <w:pStyle w:val="Footer"/>
            <w:spacing w:after="0"/>
          </w:pPr>
          <w:r>
            <w:rPr>
              <w:noProof/>
            </w:rPr>
            <w:drawing>
              <wp:inline distT="0" distB="0" distL="0" distR="0" wp14:anchorId="1D59D61E" wp14:editId="1A780DC0">
                <wp:extent cx="1391285" cy="492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2D3C9C" w:rsidRPr="00C11BC4" w:rsidRDefault="002D3C9C"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5</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9</w:t>
          </w:r>
          <w:r w:rsidRPr="00C11BC4">
            <w:rPr>
              <w:rStyle w:val="PageNumber"/>
              <w:rFonts w:ascii="Arial" w:hAnsi="Arial" w:cs="Arial"/>
              <w:sz w:val="18"/>
              <w:szCs w:val="18"/>
            </w:rPr>
            <w:fldChar w:fldCharType="end"/>
          </w:r>
        </w:p>
        <w:p w:rsidR="002D3C9C" w:rsidRDefault="002D3C9C" w:rsidP="004226F1">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Pr>
              <w:rFonts w:ascii="Arial" w:hAnsi="Arial" w:cs="Arial"/>
              <w:sz w:val="18"/>
              <w:szCs w:val="18"/>
            </w:rPr>
            <w:t>3/1/2017</w:t>
          </w:r>
        </w:p>
      </w:tc>
      <w:tc>
        <w:tcPr>
          <w:tcW w:w="1306" w:type="pct"/>
        </w:tcPr>
        <w:p w:rsidR="002D3C9C" w:rsidRDefault="002D3C9C" w:rsidP="00C11BC4">
          <w:pPr>
            <w:pStyle w:val="Footer"/>
            <w:spacing w:after="0"/>
            <w:jc w:val="right"/>
          </w:pPr>
        </w:p>
      </w:tc>
    </w:tr>
  </w:tbl>
  <w:p w:rsidR="002D3C9C" w:rsidRPr="00071184" w:rsidRDefault="002D3C9C" w:rsidP="00763120">
    <w:pPr>
      <w:pStyle w:val="NoSpacing"/>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9C" w:rsidRPr="00071184" w:rsidRDefault="002D3C9C" w:rsidP="009632B9">
    <w:pPr>
      <w:pStyle w:val="Footer"/>
      <w:pBdr>
        <w:bottom w:val="double" w:sz="12" w:space="1" w:color="auto"/>
      </w:pBdr>
      <w:spacing w:after="120"/>
      <w:rPr>
        <w:rFonts w:ascii="Arial" w:hAnsi="Arial" w:cs="Arial"/>
        <w:sz w:val="2"/>
        <w:szCs w:val="16"/>
      </w:rPr>
    </w:pPr>
  </w:p>
  <w:tbl>
    <w:tblPr>
      <w:tblW w:w="4895" w:type="pct"/>
      <w:jc w:val="center"/>
      <w:tblLayout w:type="fixed"/>
      <w:tblCellMar>
        <w:left w:w="115" w:type="dxa"/>
        <w:right w:w="115" w:type="dxa"/>
      </w:tblCellMar>
      <w:tblLook w:val="01E0" w:firstRow="1" w:lastRow="1" w:firstColumn="1" w:lastColumn="1" w:noHBand="0" w:noVBand="0"/>
    </w:tblPr>
    <w:tblGrid>
      <w:gridCol w:w="2674"/>
      <w:gridCol w:w="4283"/>
      <w:gridCol w:w="2432"/>
    </w:tblGrid>
    <w:tr w:rsidR="002D3C9C" w:rsidTr="004B173B">
      <w:trPr>
        <w:jc w:val="center"/>
      </w:trPr>
      <w:tc>
        <w:tcPr>
          <w:tcW w:w="1424" w:type="pct"/>
        </w:tcPr>
        <w:p w:rsidR="002D3C9C" w:rsidRPr="005C154A" w:rsidRDefault="002D3C9C" w:rsidP="00C11BC4">
          <w:pPr>
            <w:pStyle w:val="Footer"/>
            <w:spacing w:after="0"/>
          </w:pPr>
          <w:r>
            <w:rPr>
              <w:noProof/>
            </w:rPr>
            <w:drawing>
              <wp:inline distT="0" distB="0" distL="0" distR="0" wp14:anchorId="0AB431DB" wp14:editId="3DE94D64">
                <wp:extent cx="1391285" cy="4927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81" w:type="pct"/>
        </w:tcPr>
        <w:p w:rsidR="002D3C9C" w:rsidRPr="00C11BC4" w:rsidRDefault="002D3C9C" w:rsidP="008A498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1</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30</w:t>
          </w:r>
          <w:r w:rsidRPr="00C11BC4">
            <w:rPr>
              <w:rStyle w:val="PageNumber"/>
              <w:rFonts w:ascii="Arial" w:hAnsi="Arial" w:cs="Arial"/>
              <w:sz w:val="18"/>
              <w:szCs w:val="18"/>
            </w:rPr>
            <w:fldChar w:fldCharType="end"/>
          </w:r>
        </w:p>
        <w:p w:rsidR="002D3C9C" w:rsidRDefault="002D3C9C" w:rsidP="008A4984">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Pr>
              <w:rFonts w:ascii="Arial" w:hAnsi="Arial" w:cs="Arial"/>
              <w:sz w:val="18"/>
              <w:szCs w:val="18"/>
            </w:rPr>
            <w:t>3/1/2017</w:t>
          </w:r>
        </w:p>
      </w:tc>
      <w:tc>
        <w:tcPr>
          <w:tcW w:w="1295" w:type="pct"/>
        </w:tcPr>
        <w:p w:rsidR="002D3C9C" w:rsidRDefault="002D3C9C" w:rsidP="004B173B">
          <w:pPr>
            <w:pStyle w:val="Footer"/>
            <w:spacing w:after="0"/>
            <w:jc w:val="center"/>
          </w:pPr>
        </w:p>
      </w:tc>
    </w:tr>
  </w:tbl>
  <w:p w:rsidR="002D3C9C" w:rsidRDefault="002D3C9C" w:rsidP="00963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9C" w:rsidRPr="00071184" w:rsidRDefault="002D3C9C"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2D3C9C" w:rsidTr="00C11BC4">
      <w:trPr>
        <w:jc w:val="center"/>
      </w:trPr>
      <w:tc>
        <w:tcPr>
          <w:tcW w:w="1420" w:type="pct"/>
        </w:tcPr>
        <w:p w:rsidR="002D3C9C" w:rsidRPr="005C154A" w:rsidRDefault="002D3C9C" w:rsidP="00C11BC4">
          <w:pPr>
            <w:pStyle w:val="Footer"/>
            <w:spacing w:after="0"/>
          </w:pPr>
          <w:r>
            <w:rPr>
              <w:noProof/>
            </w:rPr>
            <w:drawing>
              <wp:inline distT="0" distB="0" distL="0" distR="0" wp14:anchorId="10C27135" wp14:editId="0E7DBE2C">
                <wp:extent cx="1391285" cy="492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2D3C9C" w:rsidRPr="00C11BC4" w:rsidRDefault="002D3C9C"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18</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20</w:t>
          </w:r>
          <w:r w:rsidRPr="00C11BC4">
            <w:rPr>
              <w:rStyle w:val="PageNumber"/>
              <w:rFonts w:ascii="Arial" w:hAnsi="Arial" w:cs="Arial"/>
              <w:sz w:val="18"/>
              <w:szCs w:val="18"/>
            </w:rPr>
            <w:fldChar w:fldCharType="end"/>
          </w:r>
        </w:p>
        <w:p w:rsidR="002D3C9C" w:rsidRDefault="002D3C9C" w:rsidP="008A4984">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Pr>
              <w:rFonts w:ascii="Arial" w:hAnsi="Arial" w:cs="Arial"/>
              <w:sz w:val="18"/>
              <w:szCs w:val="18"/>
            </w:rPr>
            <w:t>3/1/2017</w:t>
          </w:r>
        </w:p>
      </w:tc>
      <w:tc>
        <w:tcPr>
          <w:tcW w:w="1306" w:type="pct"/>
        </w:tcPr>
        <w:p w:rsidR="002D3C9C" w:rsidRDefault="002D3C9C" w:rsidP="00C11BC4">
          <w:pPr>
            <w:pStyle w:val="Footer"/>
            <w:spacing w:after="0"/>
            <w:jc w:val="right"/>
          </w:pPr>
        </w:p>
      </w:tc>
    </w:tr>
  </w:tbl>
  <w:p w:rsidR="002D3C9C" w:rsidRPr="00071184" w:rsidRDefault="002D3C9C" w:rsidP="00071184">
    <w:pPr>
      <w:pStyle w:val="NoSpacing"/>
      <w:rPr>
        <w:rFonts w:ascii="Arial" w:hAnsi="Arial" w:cs="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9C" w:rsidRPr="00071184" w:rsidRDefault="002D3C9C"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2D3C9C" w:rsidTr="00C11BC4">
      <w:trPr>
        <w:jc w:val="center"/>
      </w:trPr>
      <w:tc>
        <w:tcPr>
          <w:tcW w:w="1420" w:type="pct"/>
        </w:tcPr>
        <w:p w:rsidR="002D3C9C" w:rsidRPr="005C154A" w:rsidRDefault="002D3C9C" w:rsidP="00C11BC4">
          <w:pPr>
            <w:pStyle w:val="Footer"/>
            <w:spacing w:after="0"/>
          </w:pPr>
          <w:r>
            <w:rPr>
              <w:noProof/>
            </w:rPr>
            <w:drawing>
              <wp:inline distT="0" distB="0" distL="0" distR="0" wp14:anchorId="50A83598" wp14:editId="601CED25">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rsidR="002D3C9C" w:rsidRPr="00C11BC4" w:rsidRDefault="002D3C9C"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30</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D72B08">
            <w:rPr>
              <w:rStyle w:val="PageNumber"/>
              <w:rFonts w:ascii="Arial" w:hAnsi="Arial" w:cs="Arial"/>
              <w:noProof/>
              <w:sz w:val="18"/>
              <w:szCs w:val="18"/>
            </w:rPr>
            <w:t>30</w:t>
          </w:r>
          <w:r w:rsidRPr="00C11BC4">
            <w:rPr>
              <w:rStyle w:val="PageNumber"/>
              <w:rFonts w:ascii="Arial" w:hAnsi="Arial" w:cs="Arial"/>
              <w:sz w:val="18"/>
              <w:szCs w:val="18"/>
            </w:rPr>
            <w:fldChar w:fldCharType="end"/>
          </w:r>
        </w:p>
        <w:p w:rsidR="002D3C9C" w:rsidRDefault="002D3C9C" w:rsidP="008A4984">
          <w:pPr>
            <w:pStyle w:val="Footer"/>
            <w:spacing w:after="0"/>
            <w:jc w:val="center"/>
          </w:pPr>
          <w:r>
            <w:rPr>
              <w:rFonts w:ascii="Arial" w:hAnsi="Arial" w:cs="Arial"/>
              <w:sz w:val="18"/>
              <w:szCs w:val="18"/>
            </w:rPr>
            <w:t>Copyright 2017</w:t>
          </w:r>
          <w:r w:rsidRPr="008A4984">
            <w:rPr>
              <w:rFonts w:ascii="Arial" w:hAnsi="Arial" w:cs="Arial"/>
              <w:sz w:val="18"/>
              <w:szCs w:val="18"/>
            </w:rPr>
            <w:t xml:space="preserve"> • </w:t>
          </w:r>
          <w:r w:rsidRPr="00C11BC4">
            <w:rPr>
              <w:rFonts w:ascii="Arial" w:hAnsi="Arial" w:cs="Arial"/>
              <w:sz w:val="18"/>
              <w:szCs w:val="18"/>
            </w:rPr>
            <w:t xml:space="preserve">Review Completed on </w:t>
          </w:r>
          <w:r>
            <w:rPr>
              <w:rFonts w:ascii="Arial" w:hAnsi="Arial" w:cs="Arial"/>
              <w:sz w:val="18"/>
              <w:szCs w:val="18"/>
            </w:rPr>
            <w:t>3/1/2017</w:t>
          </w:r>
        </w:p>
      </w:tc>
      <w:tc>
        <w:tcPr>
          <w:tcW w:w="1306" w:type="pct"/>
        </w:tcPr>
        <w:p w:rsidR="002D3C9C" w:rsidRDefault="002D3C9C" w:rsidP="00C11BC4">
          <w:pPr>
            <w:pStyle w:val="Footer"/>
            <w:spacing w:after="0"/>
            <w:jc w:val="right"/>
          </w:pPr>
        </w:p>
      </w:tc>
    </w:tr>
  </w:tbl>
  <w:p w:rsidR="002D3C9C" w:rsidRPr="00071184" w:rsidRDefault="002D3C9C"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9C" w:rsidRDefault="002D3C9C" w:rsidP="001E5F88">
      <w:pPr>
        <w:spacing w:after="0" w:line="240" w:lineRule="auto"/>
      </w:pPr>
      <w:r>
        <w:separator/>
      </w:r>
    </w:p>
  </w:footnote>
  <w:footnote w:type="continuationSeparator" w:id="0">
    <w:p w:rsidR="002D3C9C" w:rsidRDefault="002D3C9C"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9C" w:rsidRPr="00D40A11" w:rsidRDefault="002D3C9C" w:rsidP="00AC3D8B">
    <w:pPr>
      <w:pStyle w:val="Header"/>
      <w:pBdr>
        <w:bottom w:val="double" w:sz="12" w:space="1" w:color="auto"/>
      </w:pBdr>
      <w:rPr>
        <w:rFonts w:ascii="Arial" w:hAnsi="Arial" w:cs="Arial"/>
        <w:color w:val="FF0000"/>
        <w:sz w:val="18"/>
        <w:szCs w:val="18"/>
        <w:u w:val="single"/>
      </w:rPr>
    </w:pPr>
    <w:r>
      <w:rPr>
        <w:rFonts w:ascii="Arial" w:hAnsi="Arial" w:cs="Arial"/>
        <w:sz w:val="18"/>
        <w:szCs w:val="18"/>
        <w:u w:val="single"/>
      </w:rPr>
      <w:t>Drug Formulary Commission Monograph</w:t>
    </w:r>
    <w:r w:rsidRPr="000F4975">
      <w:rPr>
        <w:rFonts w:ascii="Arial" w:hAnsi="Arial" w:cs="Arial"/>
        <w:sz w:val="18"/>
        <w:szCs w:val="18"/>
        <w:u w:val="single"/>
      </w:rPr>
      <w:t>:</w:t>
    </w:r>
    <w:r>
      <w:rPr>
        <w:rFonts w:ascii="Arial" w:hAnsi="Arial" w:cs="Arial"/>
        <w:sz w:val="18"/>
        <w:szCs w:val="18"/>
        <w:u w:val="single"/>
      </w:rPr>
      <w:t xml:space="preserve"> oxycodone/naltrexone extended-release</w:t>
    </w:r>
    <w:r w:rsidRPr="004226F1">
      <w:rPr>
        <w:rFonts w:ascii="Arial" w:hAnsi="Arial" w:cs="Arial"/>
        <w:sz w:val="18"/>
        <w:szCs w:val="18"/>
        <w:u w:val="single"/>
      </w:rPr>
      <w:t xml:space="preserve"> (</w:t>
    </w:r>
    <w:proofErr w:type="spellStart"/>
    <w:r>
      <w:rPr>
        <w:rFonts w:ascii="Arial" w:hAnsi="Arial" w:cs="Arial"/>
        <w:sz w:val="18"/>
        <w:szCs w:val="18"/>
        <w:u w:val="single"/>
      </w:rPr>
      <w:t>Troxyca</w:t>
    </w:r>
    <w:proofErr w:type="spellEnd"/>
    <w:r w:rsidRPr="004226F1">
      <w:rPr>
        <w:rFonts w:ascii="Arial" w:hAnsi="Arial" w:cs="Arial"/>
        <w:sz w:val="18"/>
        <w:szCs w:val="18"/>
        <w:u w:val="single"/>
        <w:vertAlign w:val="superscript"/>
      </w:rPr>
      <w:t>®</w:t>
    </w:r>
    <w:r>
      <w:rPr>
        <w:rFonts w:ascii="Arial" w:hAnsi="Arial" w:cs="Arial"/>
        <w:sz w:val="18"/>
        <w:szCs w:val="18"/>
        <w:u w:val="single"/>
      </w:rPr>
      <w:t xml:space="preserve"> ER</w:t>
    </w:r>
    <w:r w:rsidRPr="004226F1">
      <w:rPr>
        <w:rFonts w:ascii="Arial" w:hAnsi="Arial" w:cs="Arial"/>
        <w:sz w:val="18"/>
        <w:szCs w:val="18"/>
        <w:u w:val="single"/>
      </w:rPr>
      <w:t>)</w:t>
    </w:r>
    <w:r w:rsidRPr="004226F1">
      <w:rPr>
        <w:rFonts w:ascii="Arial" w:hAnsi="Arial" w:cs="Arial"/>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9C" w:rsidRPr="00D40A11" w:rsidRDefault="002D3C9C" w:rsidP="009632B9">
    <w:pPr>
      <w:pStyle w:val="Header"/>
      <w:pBdr>
        <w:bottom w:val="double" w:sz="12" w:space="1" w:color="auto"/>
      </w:pBdr>
      <w:rPr>
        <w:rFonts w:ascii="Arial" w:hAnsi="Arial" w:cs="Arial"/>
        <w:color w:val="FF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BF"/>
    <w:multiLevelType w:val="hybridMultilevel"/>
    <w:tmpl w:val="F440C104"/>
    <w:lvl w:ilvl="0" w:tplc="250CC4F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02AB"/>
    <w:multiLevelType w:val="hybridMultilevel"/>
    <w:tmpl w:val="232226AE"/>
    <w:lvl w:ilvl="0" w:tplc="04090001">
      <w:start w:val="1"/>
      <w:numFmt w:val="bullet"/>
      <w:lvlText w:val=""/>
      <w:lvlJc w:val="left"/>
      <w:pPr>
        <w:tabs>
          <w:tab w:val="num" w:pos="360"/>
        </w:tabs>
        <w:ind w:left="360" w:hanging="360"/>
      </w:pPr>
      <w:rPr>
        <w:rFonts w:ascii="Symbol" w:hAnsi="Symbol" w:hint="default"/>
      </w:rPr>
    </w:lvl>
    <w:lvl w:ilvl="1" w:tplc="21787306">
      <w:start w:val="1"/>
      <w:numFmt w:val="bullet"/>
      <w:lvlText w:val="o"/>
      <w:lvlJc w:val="left"/>
      <w:pPr>
        <w:tabs>
          <w:tab w:val="num" w:pos="1080"/>
        </w:tabs>
        <w:ind w:left="1080" w:hanging="360"/>
      </w:pPr>
      <w:rPr>
        <w:rFonts w:ascii="Courier New" w:hAnsi="Courier New" w:cs="Courier New" w:hint="default"/>
        <w:color w:val="0000FF"/>
      </w:rPr>
    </w:lvl>
    <w:lvl w:ilvl="2" w:tplc="69485A78">
      <w:start w:val="1"/>
      <w:numFmt w:val="bullet"/>
      <w:lvlText w:val=""/>
      <w:lvlJc w:val="left"/>
      <w:pPr>
        <w:tabs>
          <w:tab w:val="num" w:pos="1440"/>
        </w:tabs>
        <w:ind w:left="1728" w:hanging="288"/>
      </w:pPr>
      <w:rPr>
        <w:rFonts w:ascii="Symbol" w:hAnsi="Symbol" w:hint="default"/>
        <w:color w:val="auto"/>
        <w:sz w:val="20"/>
        <w:szCs w:val="22"/>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7901DC"/>
    <w:multiLevelType w:val="hybridMultilevel"/>
    <w:tmpl w:val="E74A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F02E8"/>
    <w:multiLevelType w:val="hybridMultilevel"/>
    <w:tmpl w:val="2A0ECDAE"/>
    <w:lvl w:ilvl="0" w:tplc="13CA6DDA">
      <w:start w:val="1"/>
      <w:numFmt w:val="bullet"/>
      <w:lvlText w:val=""/>
      <w:lvlJc w:val="left"/>
      <w:pPr>
        <w:ind w:left="360" w:hanging="360"/>
      </w:pPr>
      <w:rPr>
        <w:rFonts w:ascii="Symbol" w:hAnsi="Symbol" w:hint="default"/>
        <w:color w:val="0033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B1E0F"/>
    <w:multiLevelType w:val="hybridMultilevel"/>
    <w:tmpl w:val="F0F0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07995"/>
    <w:multiLevelType w:val="hybridMultilevel"/>
    <w:tmpl w:val="4EB0458C"/>
    <w:lvl w:ilvl="0" w:tplc="7FC40492">
      <w:start w:val="1"/>
      <w:numFmt w:val="decimal"/>
      <w:lvlText w:val="%1."/>
      <w:lvlJc w:val="left"/>
      <w:pPr>
        <w:ind w:left="360" w:hanging="360"/>
      </w:pPr>
      <w:rPr>
        <w:rFonts w:ascii="Arial" w:hAnsi="Arial" w:cs="Arial" w:hint="default"/>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6C04BA"/>
    <w:multiLevelType w:val="hybridMultilevel"/>
    <w:tmpl w:val="E3362392"/>
    <w:lvl w:ilvl="0" w:tplc="7FC40492">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F7358"/>
    <w:multiLevelType w:val="hybridMultilevel"/>
    <w:tmpl w:val="A71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36D4F"/>
    <w:multiLevelType w:val="hybridMultilevel"/>
    <w:tmpl w:val="32AA2EAC"/>
    <w:lvl w:ilvl="0" w:tplc="04090001">
      <w:start w:val="1"/>
      <w:numFmt w:val="bullet"/>
      <w:lvlText w:val=""/>
      <w:lvlJc w:val="left"/>
      <w:pPr>
        <w:tabs>
          <w:tab w:val="num" w:pos="720"/>
        </w:tabs>
        <w:ind w:left="720" w:hanging="360"/>
      </w:pPr>
      <w:rPr>
        <w:rFonts w:ascii="Symbol" w:hAnsi="Symbol" w:hint="default"/>
      </w:rPr>
    </w:lvl>
    <w:lvl w:ilvl="1" w:tplc="F97A6F28">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5779C8"/>
    <w:multiLevelType w:val="hybridMultilevel"/>
    <w:tmpl w:val="E6F0196C"/>
    <w:lvl w:ilvl="0" w:tplc="A4806D56">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6780"/>
    <w:multiLevelType w:val="hybridMultilevel"/>
    <w:tmpl w:val="45448D0E"/>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D183EF0">
      <w:start w:val="1"/>
      <w:numFmt w:val="lowerLetter"/>
      <w:lvlText w:val="%3)"/>
      <w:lvlJc w:val="right"/>
      <w:pPr>
        <w:tabs>
          <w:tab w:val="num" w:pos="1800"/>
        </w:tabs>
        <w:ind w:left="1800" w:hanging="180"/>
      </w:pPr>
      <w:rPr>
        <w:rFonts w:ascii="Arial" w:eastAsia="Calibri" w:hAnsi="Arial" w:cs="Arial"/>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F72D6E"/>
    <w:multiLevelType w:val="hybridMultilevel"/>
    <w:tmpl w:val="5C78E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B71BFB"/>
    <w:multiLevelType w:val="hybridMultilevel"/>
    <w:tmpl w:val="6308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071"/>
    <w:multiLevelType w:val="hybridMultilevel"/>
    <w:tmpl w:val="F1F02E1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01A80"/>
    <w:multiLevelType w:val="hybridMultilevel"/>
    <w:tmpl w:val="CE8ED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2FA0D73"/>
    <w:multiLevelType w:val="hybridMultilevel"/>
    <w:tmpl w:val="74DC82CA"/>
    <w:lvl w:ilvl="0" w:tplc="0E04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9529F2"/>
    <w:multiLevelType w:val="hybridMultilevel"/>
    <w:tmpl w:val="DBD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51449D"/>
    <w:multiLevelType w:val="hybridMultilevel"/>
    <w:tmpl w:val="0E3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E53C36"/>
    <w:multiLevelType w:val="hybridMultilevel"/>
    <w:tmpl w:val="50CA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13"/>
  </w:num>
  <w:num w:numId="4">
    <w:abstractNumId w:val="1"/>
  </w:num>
  <w:num w:numId="5">
    <w:abstractNumId w:val="2"/>
  </w:num>
  <w:num w:numId="6">
    <w:abstractNumId w:val="17"/>
  </w:num>
  <w:num w:numId="7">
    <w:abstractNumId w:val="2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22"/>
  </w:num>
  <w:num w:numId="13">
    <w:abstractNumId w:val="0"/>
  </w:num>
  <w:num w:numId="14">
    <w:abstractNumId w:val="8"/>
  </w:num>
  <w:num w:numId="15">
    <w:abstractNumId w:val="4"/>
  </w:num>
  <w:num w:numId="16">
    <w:abstractNumId w:val="10"/>
  </w:num>
  <w:num w:numId="17">
    <w:abstractNumId w:val="19"/>
  </w:num>
  <w:num w:numId="18">
    <w:abstractNumId w:val="16"/>
  </w:num>
  <w:num w:numId="19">
    <w:abstractNumId w:val="12"/>
  </w:num>
  <w:num w:numId="20">
    <w:abstractNumId w:val="6"/>
  </w:num>
  <w:num w:numId="21">
    <w:abstractNumId w:val="7"/>
  </w:num>
  <w:num w:numId="22">
    <w:abstractNumId w:val="20"/>
  </w:num>
  <w:num w:numId="23">
    <w:abstractNumId w:val="9"/>
  </w:num>
  <w:num w:numId="2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0994"/>
    <w:rsid w:val="00001284"/>
    <w:rsid w:val="00002A01"/>
    <w:rsid w:val="00002BE5"/>
    <w:rsid w:val="00002F2E"/>
    <w:rsid w:val="00003AC5"/>
    <w:rsid w:val="0000619E"/>
    <w:rsid w:val="00007949"/>
    <w:rsid w:val="0001042C"/>
    <w:rsid w:val="00012DEA"/>
    <w:rsid w:val="000130B1"/>
    <w:rsid w:val="000154A0"/>
    <w:rsid w:val="00017BEF"/>
    <w:rsid w:val="00017E9E"/>
    <w:rsid w:val="00020A18"/>
    <w:rsid w:val="00020DBE"/>
    <w:rsid w:val="00021D4C"/>
    <w:rsid w:val="00022196"/>
    <w:rsid w:val="00023998"/>
    <w:rsid w:val="00024206"/>
    <w:rsid w:val="00032D3C"/>
    <w:rsid w:val="00035A44"/>
    <w:rsid w:val="00035B4E"/>
    <w:rsid w:val="00036519"/>
    <w:rsid w:val="000401E7"/>
    <w:rsid w:val="00041FC8"/>
    <w:rsid w:val="00043847"/>
    <w:rsid w:val="00044E37"/>
    <w:rsid w:val="00046987"/>
    <w:rsid w:val="000537EE"/>
    <w:rsid w:val="000569E3"/>
    <w:rsid w:val="00066810"/>
    <w:rsid w:val="00070D57"/>
    <w:rsid w:val="00071184"/>
    <w:rsid w:val="00071643"/>
    <w:rsid w:val="000756CD"/>
    <w:rsid w:val="00076356"/>
    <w:rsid w:val="000776FD"/>
    <w:rsid w:val="00080C8B"/>
    <w:rsid w:val="00081BA6"/>
    <w:rsid w:val="00084F1A"/>
    <w:rsid w:val="000860CC"/>
    <w:rsid w:val="000871AB"/>
    <w:rsid w:val="000873C0"/>
    <w:rsid w:val="000875C4"/>
    <w:rsid w:val="000878AD"/>
    <w:rsid w:val="000958C3"/>
    <w:rsid w:val="00096264"/>
    <w:rsid w:val="0009633C"/>
    <w:rsid w:val="00096DB9"/>
    <w:rsid w:val="00097922"/>
    <w:rsid w:val="000A0219"/>
    <w:rsid w:val="000A09E6"/>
    <w:rsid w:val="000A1B53"/>
    <w:rsid w:val="000A21B4"/>
    <w:rsid w:val="000A23C9"/>
    <w:rsid w:val="000A30B4"/>
    <w:rsid w:val="000A3FAA"/>
    <w:rsid w:val="000A41C7"/>
    <w:rsid w:val="000A5F73"/>
    <w:rsid w:val="000A6BC9"/>
    <w:rsid w:val="000A6DC8"/>
    <w:rsid w:val="000B058A"/>
    <w:rsid w:val="000B3401"/>
    <w:rsid w:val="000B40B7"/>
    <w:rsid w:val="000B5619"/>
    <w:rsid w:val="000B6100"/>
    <w:rsid w:val="000B6AF9"/>
    <w:rsid w:val="000B7311"/>
    <w:rsid w:val="000C0564"/>
    <w:rsid w:val="000C0D2D"/>
    <w:rsid w:val="000C143E"/>
    <w:rsid w:val="000C2216"/>
    <w:rsid w:val="000C3556"/>
    <w:rsid w:val="000C4953"/>
    <w:rsid w:val="000C4C8F"/>
    <w:rsid w:val="000D193B"/>
    <w:rsid w:val="000D2531"/>
    <w:rsid w:val="000D2B95"/>
    <w:rsid w:val="000D3669"/>
    <w:rsid w:val="000D4142"/>
    <w:rsid w:val="000D4F05"/>
    <w:rsid w:val="000D5EE3"/>
    <w:rsid w:val="000D677D"/>
    <w:rsid w:val="000E049B"/>
    <w:rsid w:val="000E0763"/>
    <w:rsid w:val="000E29CF"/>
    <w:rsid w:val="000E46FF"/>
    <w:rsid w:val="000E5038"/>
    <w:rsid w:val="000E6890"/>
    <w:rsid w:val="000E6E8D"/>
    <w:rsid w:val="000F132F"/>
    <w:rsid w:val="000F1EE0"/>
    <w:rsid w:val="000F4975"/>
    <w:rsid w:val="000F4D6D"/>
    <w:rsid w:val="000F7B71"/>
    <w:rsid w:val="00100784"/>
    <w:rsid w:val="00103E40"/>
    <w:rsid w:val="00104FE4"/>
    <w:rsid w:val="00105370"/>
    <w:rsid w:val="00105685"/>
    <w:rsid w:val="001074E4"/>
    <w:rsid w:val="00107E0F"/>
    <w:rsid w:val="001110F0"/>
    <w:rsid w:val="00111FF8"/>
    <w:rsid w:val="00114EC9"/>
    <w:rsid w:val="0012217B"/>
    <w:rsid w:val="00123D19"/>
    <w:rsid w:val="00124A17"/>
    <w:rsid w:val="00125467"/>
    <w:rsid w:val="001302AF"/>
    <w:rsid w:val="00131F3A"/>
    <w:rsid w:val="001331CA"/>
    <w:rsid w:val="00134B51"/>
    <w:rsid w:val="001350F9"/>
    <w:rsid w:val="00135AF1"/>
    <w:rsid w:val="001360E8"/>
    <w:rsid w:val="00137C1F"/>
    <w:rsid w:val="00140859"/>
    <w:rsid w:val="001417E9"/>
    <w:rsid w:val="001421D0"/>
    <w:rsid w:val="00142914"/>
    <w:rsid w:val="00146708"/>
    <w:rsid w:val="00146956"/>
    <w:rsid w:val="00147A3E"/>
    <w:rsid w:val="00147B6E"/>
    <w:rsid w:val="00147C05"/>
    <w:rsid w:val="00150F67"/>
    <w:rsid w:val="001522E0"/>
    <w:rsid w:val="00155232"/>
    <w:rsid w:val="00161C5D"/>
    <w:rsid w:val="00162B15"/>
    <w:rsid w:val="00164191"/>
    <w:rsid w:val="00164A30"/>
    <w:rsid w:val="00165704"/>
    <w:rsid w:val="001723DB"/>
    <w:rsid w:val="001740BE"/>
    <w:rsid w:val="001742BC"/>
    <w:rsid w:val="001744BA"/>
    <w:rsid w:val="0017683D"/>
    <w:rsid w:val="00176D14"/>
    <w:rsid w:val="001811FE"/>
    <w:rsid w:val="00182F9B"/>
    <w:rsid w:val="001843C5"/>
    <w:rsid w:val="00184EC9"/>
    <w:rsid w:val="001861F2"/>
    <w:rsid w:val="00187660"/>
    <w:rsid w:val="0019074D"/>
    <w:rsid w:val="00190B26"/>
    <w:rsid w:val="00190D1E"/>
    <w:rsid w:val="00192A63"/>
    <w:rsid w:val="00193A65"/>
    <w:rsid w:val="0019441C"/>
    <w:rsid w:val="001950F9"/>
    <w:rsid w:val="001A032B"/>
    <w:rsid w:val="001A3DE1"/>
    <w:rsid w:val="001A5109"/>
    <w:rsid w:val="001A54FB"/>
    <w:rsid w:val="001A5BB9"/>
    <w:rsid w:val="001A6ED9"/>
    <w:rsid w:val="001A70F1"/>
    <w:rsid w:val="001A7F52"/>
    <w:rsid w:val="001B0A26"/>
    <w:rsid w:val="001B2859"/>
    <w:rsid w:val="001B2AD0"/>
    <w:rsid w:val="001B2E14"/>
    <w:rsid w:val="001B35F6"/>
    <w:rsid w:val="001B7F23"/>
    <w:rsid w:val="001C18D9"/>
    <w:rsid w:val="001C2825"/>
    <w:rsid w:val="001C36B4"/>
    <w:rsid w:val="001C5893"/>
    <w:rsid w:val="001C76B9"/>
    <w:rsid w:val="001D194F"/>
    <w:rsid w:val="001D198E"/>
    <w:rsid w:val="001D2E54"/>
    <w:rsid w:val="001D3C7A"/>
    <w:rsid w:val="001D4078"/>
    <w:rsid w:val="001D7BDB"/>
    <w:rsid w:val="001E00DD"/>
    <w:rsid w:val="001E2A1A"/>
    <w:rsid w:val="001E2C80"/>
    <w:rsid w:val="001E3AF7"/>
    <w:rsid w:val="001E4E9A"/>
    <w:rsid w:val="001E5F88"/>
    <w:rsid w:val="001E694B"/>
    <w:rsid w:val="001F19B1"/>
    <w:rsid w:val="001F1A7E"/>
    <w:rsid w:val="001F3F59"/>
    <w:rsid w:val="001F5E79"/>
    <w:rsid w:val="001F6324"/>
    <w:rsid w:val="001F6437"/>
    <w:rsid w:val="001F7513"/>
    <w:rsid w:val="001F7CFE"/>
    <w:rsid w:val="001F7E2B"/>
    <w:rsid w:val="00201C3C"/>
    <w:rsid w:val="002020FA"/>
    <w:rsid w:val="00202605"/>
    <w:rsid w:val="002028B0"/>
    <w:rsid w:val="0020592B"/>
    <w:rsid w:val="00210E25"/>
    <w:rsid w:val="0021183C"/>
    <w:rsid w:val="002127A5"/>
    <w:rsid w:val="0021417B"/>
    <w:rsid w:val="0021782F"/>
    <w:rsid w:val="00217FE2"/>
    <w:rsid w:val="00224D80"/>
    <w:rsid w:val="00226AFB"/>
    <w:rsid w:val="00227103"/>
    <w:rsid w:val="002279A4"/>
    <w:rsid w:val="00227F5E"/>
    <w:rsid w:val="00230949"/>
    <w:rsid w:val="0023102E"/>
    <w:rsid w:val="00233C28"/>
    <w:rsid w:val="002344B7"/>
    <w:rsid w:val="00234764"/>
    <w:rsid w:val="00234E13"/>
    <w:rsid w:val="0023638B"/>
    <w:rsid w:val="00237628"/>
    <w:rsid w:val="00237A44"/>
    <w:rsid w:val="00241B07"/>
    <w:rsid w:val="002456E8"/>
    <w:rsid w:val="00246A51"/>
    <w:rsid w:val="00246E5F"/>
    <w:rsid w:val="002532F1"/>
    <w:rsid w:val="00253354"/>
    <w:rsid w:val="002574C5"/>
    <w:rsid w:val="0026215C"/>
    <w:rsid w:val="00267712"/>
    <w:rsid w:val="002732BC"/>
    <w:rsid w:val="00274907"/>
    <w:rsid w:val="00274C4E"/>
    <w:rsid w:val="002764C8"/>
    <w:rsid w:val="00276B24"/>
    <w:rsid w:val="00280890"/>
    <w:rsid w:val="002830D0"/>
    <w:rsid w:val="00285A55"/>
    <w:rsid w:val="00290082"/>
    <w:rsid w:val="0029098E"/>
    <w:rsid w:val="00290D6C"/>
    <w:rsid w:val="00291BAD"/>
    <w:rsid w:val="00291D40"/>
    <w:rsid w:val="002956A5"/>
    <w:rsid w:val="0029592B"/>
    <w:rsid w:val="00297265"/>
    <w:rsid w:val="002A07F7"/>
    <w:rsid w:val="002A15C7"/>
    <w:rsid w:val="002A1A53"/>
    <w:rsid w:val="002A1FD5"/>
    <w:rsid w:val="002A2397"/>
    <w:rsid w:val="002A281B"/>
    <w:rsid w:val="002A2966"/>
    <w:rsid w:val="002A467C"/>
    <w:rsid w:val="002A5676"/>
    <w:rsid w:val="002A5D34"/>
    <w:rsid w:val="002A62B6"/>
    <w:rsid w:val="002A6481"/>
    <w:rsid w:val="002A6FE8"/>
    <w:rsid w:val="002A7CBA"/>
    <w:rsid w:val="002A7D0D"/>
    <w:rsid w:val="002B0688"/>
    <w:rsid w:val="002B15F5"/>
    <w:rsid w:val="002B30E4"/>
    <w:rsid w:val="002B3721"/>
    <w:rsid w:val="002B4328"/>
    <w:rsid w:val="002B7691"/>
    <w:rsid w:val="002B7E9B"/>
    <w:rsid w:val="002C1389"/>
    <w:rsid w:val="002C16A4"/>
    <w:rsid w:val="002C1A10"/>
    <w:rsid w:val="002C26EC"/>
    <w:rsid w:val="002C368C"/>
    <w:rsid w:val="002C641C"/>
    <w:rsid w:val="002D003C"/>
    <w:rsid w:val="002D17A3"/>
    <w:rsid w:val="002D3C9C"/>
    <w:rsid w:val="002D4368"/>
    <w:rsid w:val="002D5E5B"/>
    <w:rsid w:val="002E23D1"/>
    <w:rsid w:val="002E3DE5"/>
    <w:rsid w:val="002E4DE6"/>
    <w:rsid w:val="002E50E2"/>
    <w:rsid w:val="002E5FA4"/>
    <w:rsid w:val="002E62D2"/>
    <w:rsid w:val="002E6744"/>
    <w:rsid w:val="002E6EED"/>
    <w:rsid w:val="002F0A07"/>
    <w:rsid w:val="002F0DA8"/>
    <w:rsid w:val="002F27A2"/>
    <w:rsid w:val="002F320A"/>
    <w:rsid w:val="002F3DD2"/>
    <w:rsid w:val="002F40FA"/>
    <w:rsid w:val="002F4413"/>
    <w:rsid w:val="002F5305"/>
    <w:rsid w:val="002F788D"/>
    <w:rsid w:val="002F791F"/>
    <w:rsid w:val="003017A0"/>
    <w:rsid w:val="00303851"/>
    <w:rsid w:val="003058B9"/>
    <w:rsid w:val="0030689D"/>
    <w:rsid w:val="003107C9"/>
    <w:rsid w:val="00311F38"/>
    <w:rsid w:val="0031256C"/>
    <w:rsid w:val="00312586"/>
    <w:rsid w:val="00312D92"/>
    <w:rsid w:val="00312EBF"/>
    <w:rsid w:val="00313254"/>
    <w:rsid w:val="00313407"/>
    <w:rsid w:val="003148E8"/>
    <w:rsid w:val="00317076"/>
    <w:rsid w:val="00323796"/>
    <w:rsid w:val="00323C87"/>
    <w:rsid w:val="00324083"/>
    <w:rsid w:val="003240E1"/>
    <w:rsid w:val="00324FD1"/>
    <w:rsid w:val="003252A9"/>
    <w:rsid w:val="0032549C"/>
    <w:rsid w:val="0032688D"/>
    <w:rsid w:val="003268DE"/>
    <w:rsid w:val="003268F7"/>
    <w:rsid w:val="00326BD0"/>
    <w:rsid w:val="00327E4C"/>
    <w:rsid w:val="00330E09"/>
    <w:rsid w:val="00331AD7"/>
    <w:rsid w:val="003344D9"/>
    <w:rsid w:val="0033496E"/>
    <w:rsid w:val="003367AD"/>
    <w:rsid w:val="00336EF4"/>
    <w:rsid w:val="003371E3"/>
    <w:rsid w:val="0033720B"/>
    <w:rsid w:val="00340B73"/>
    <w:rsid w:val="00346672"/>
    <w:rsid w:val="003518FB"/>
    <w:rsid w:val="0035250B"/>
    <w:rsid w:val="00352D7C"/>
    <w:rsid w:val="0035516C"/>
    <w:rsid w:val="003554BE"/>
    <w:rsid w:val="00356F51"/>
    <w:rsid w:val="00361CC8"/>
    <w:rsid w:val="003628DE"/>
    <w:rsid w:val="003640E2"/>
    <w:rsid w:val="00364EDE"/>
    <w:rsid w:val="00366EED"/>
    <w:rsid w:val="00370F7F"/>
    <w:rsid w:val="003711D7"/>
    <w:rsid w:val="0037154D"/>
    <w:rsid w:val="00372B4E"/>
    <w:rsid w:val="00373500"/>
    <w:rsid w:val="00373B99"/>
    <w:rsid w:val="003745C7"/>
    <w:rsid w:val="00377AC8"/>
    <w:rsid w:val="00380931"/>
    <w:rsid w:val="0038147E"/>
    <w:rsid w:val="0038306A"/>
    <w:rsid w:val="00383488"/>
    <w:rsid w:val="00384199"/>
    <w:rsid w:val="00384366"/>
    <w:rsid w:val="00385781"/>
    <w:rsid w:val="00385A9F"/>
    <w:rsid w:val="00385ECC"/>
    <w:rsid w:val="003866D4"/>
    <w:rsid w:val="00386FE0"/>
    <w:rsid w:val="0038735C"/>
    <w:rsid w:val="00390BED"/>
    <w:rsid w:val="0039107C"/>
    <w:rsid w:val="00391837"/>
    <w:rsid w:val="00391C74"/>
    <w:rsid w:val="003931D3"/>
    <w:rsid w:val="0039355A"/>
    <w:rsid w:val="0039388F"/>
    <w:rsid w:val="00395536"/>
    <w:rsid w:val="00396C34"/>
    <w:rsid w:val="00396DF2"/>
    <w:rsid w:val="003975A2"/>
    <w:rsid w:val="0039790E"/>
    <w:rsid w:val="003A0899"/>
    <w:rsid w:val="003A120E"/>
    <w:rsid w:val="003A1D52"/>
    <w:rsid w:val="003A22B6"/>
    <w:rsid w:val="003A6096"/>
    <w:rsid w:val="003A67F1"/>
    <w:rsid w:val="003B010A"/>
    <w:rsid w:val="003B04FA"/>
    <w:rsid w:val="003B125B"/>
    <w:rsid w:val="003B14B9"/>
    <w:rsid w:val="003B2312"/>
    <w:rsid w:val="003B4259"/>
    <w:rsid w:val="003B5B3E"/>
    <w:rsid w:val="003B7237"/>
    <w:rsid w:val="003B7C44"/>
    <w:rsid w:val="003C1ACB"/>
    <w:rsid w:val="003C2B14"/>
    <w:rsid w:val="003C68A8"/>
    <w:rsid w:val="003D0E04"/>
    <w:rsid w:val="003D499D"/>
    <w:rsid w:val="003D7BBC"/>
    <w:rsid w:val="003E1F82"/>
    <w:rsid w:val="003E241E"/>
    <w:rsid w:val="003E2D98"/>
    <w:rsid w:val="003E2E23"/>
    <w:rsid w:val="003E4E0F"/>
    <w:rsid w:val="003E7337"/>
    <w:rsid w:val="003E7453"/>
    <w:rsid w:val="003E780B"/>
    <w:rsid w:val="003E7B65"/>
    <w:rsid w:val="003F0299"/>
    <w:rsid w:val="003F046B"/>
    <w:rsid w:val="003F05FE"/>
    <w:rsid w:val="003F06DB"/>
    <w:rsid w:val="003F0835"/>
    <w:rsid w:val="003F0ADA"/>
    <w:rsid w:val="003F104E"/>
    <w:rsid w:val="003F1AA3"/>
    <w:rsid w:val="003F3017"/>
    <w:rsid w:val="003F30E9"/>
    <w:rsid w:val="003F3DF5"/>
    <w:rsid w:val="003F489A"/>
    <w:rsid w:val="003F5074"/>
    <w:rsid w:val="003F77DA"/>
    <w:rsid w:val="0040037A"/>
    <w:rsid w:val="004009F2"/>
    <w:rsid w:val="004037B6"/>
    <w:rsid w:val="00406D3B"/>
    <w:rsid w:val="00407EE9"/>
    <w:rsid w:val="00410457"/>
    <w:rsid w:val="00410FDE"/>
    <w:rsid w:val="004128F5"/>
    <w:rsid w:val="00414944"/>
    <w:rsid w:val="00414C86"/>
    <w:rsid w:val="00414DC1"/>
    <w:rsid w:val="00414E13"/>
    <w:rsid w:val="00416DDD"/>
    <w:rsid w:val="004178F0"/>
    <w:rsid w:val="00417AA4"/>
    <w:rsid w:val="00421EA1"/>
    <w:rsid w:val="004226F1"/>
    <w:rsid w:val="0042324A"/>
    <w:rsid w:val="004261F2"/>
    <w:rsid w:val="00426B73"/>
    <w:rsid w:val="004319A8"/>
    <w:rsid w:val="004325F9"/>
    <w:rsid w:val="00432868"/>
    <w:rsid w:val="004333DA"/>
    <w:rsid w:val="004362BD"/>
    <w:rsid w:val="0044122B"/>
    <w:rsid w:val="00446C14"/>
    <w:rsid w:val="00446CB2"/>
    <w:rsid w:val="004479F5"/>
    <w:rsid w:val="00447DE3"/>
    <w:rsid w:val="004521A7"/>
    <w:rsid w:val="00452ED0"/>
    <w:rsid w:val="00453785"/>
    <w:rsid w:val="00453ED7"/>
    <w:rsid w:val="0045413A"/>
    <w:rsid w:val="0045498F"/>
    <w:rsid w:val="00455878"/>
    <w:rsid w:val="00457029"/>
    <w:rsid w:val="0046041D"/>
    <w:rsid w:val="00462485"/>
    <w:rsid w:val="00464B72"/>
    <w:rsid w:val="00465812"/>
    <w:rsid w:val="00465C24"/>
    <w:rsid w:val="004660D1"/>
    <w:rsid w:val="00467516"/>
    <w:rsid w:val="004704C6"/>
    <w:rsid w:val="00470A3F"/>
    <w:rsid w:val="00471428"/>
    <w:rsid w:val="00474A1C"/>
    <w:rsid w:val="0047527D"/>
    <w:rsid w:val="00480AD3"/>
    <w:rsid w:val="004828E1"/>
    <w:rsid w:val="00483F31"/>
    <w:rsid w:val="00486022"/>
    <w:rsid w:val="00486CF1"/>
    <w:rsid w:val="00487A88"/>
    <w:rsid w:val="00491058"/>
    <w:rsid w:val="00491914"/>
    <w:rsid w:val="00491AFA"/>
    <w:rsid w:val="00491C14"/>
    <w:rsid w:val="004920E8"/>
    <w:rsid w:val="0049378B"/>
    <w:rsid w:val="00494196"/>
    <w:rsid w:val="00494EFD"/>
    <w:rsid w:val="004958D5"/>
    <w:rsid w:val="00495AB4"/>
    <w:rsid w:val="004A0A9C"/>
    <w:rsid w:val="004A15B3"/>
    <w:rsid w:val="004A2128"/>
    <w:rsid w:val="004A4272"/>
    <w:rsid w:val="004A4AFE"/>
    <w:rsid w:val="004A4C6D"/>
    <w:rsid w:val="004A5149"/>
    <w:rsid w:val="004A7053"/>
    <w:rsid w:val="004B03F3"/>
    <w:rsid w:val="004B04AC"/>
    <w:rsid w:val="004B173B"/>
    <w:rsid w:val="004B2E6F"/>
    <w:rsid w:val="004B2E7B"/>
    <w:rsid w:val="004B503C"/>
    <w:rsid w:val="004B54DC"/>
    <w:rsid w:val="004B64C1"/>
    <w:rsid w:val="004B7EB9"/>
    <w:rsid w:val="004C3FBA"/>
    <w:rsid w:val="004C4383"/>
    <w:rsid w:val="004C4386"/>
    <w:rsid w:val="004C7C2F"/>
    <w:rsid w:val="004D02D7"/>
    <w:rsid w:val="004D0385"/>
    <w:rsid w:val="004D2522"/>
    <w:rsid w:val="004D311D"/>
    <w:rsid w:val="004D39EC"/>
    <w:rsid w:val="004D5C0F"/>
    <w:rsid w:val="004D5C46"/>
    <w:rsid w:val="004D601A"/>
    <w:rsid w:val="004D6238"/>
    <w:rsid w:val="004E23A3"/>
    <w:rsid w:val="004E4236"/>
    <w:rsid w:val="004E58BF"/>
    <w:rsid w:val="004E5C58"/>
    <w:rsid w:val="004E7C56"/>
    <w:rsid w:val="004F261E"/>
    <w:rsid w:val="004F27CC"/>
    <w:rsid w:val="004F2DE8"/>
    <w:rsid w:val="004F44E7"/>
    <w:rsid w:val="004F5A2D"/>
    <w:rsid w:val="004F5D5C"/>
    <w:rsid w:val="004F61C6"/>
    <w:rsid w:val="005014C0"/>
    <w:rsid w:val="00501AAA"/>
    <w:rsid w:val="00501B1B"/>
    <w:rsid w:val="00504E03"/>
    <w:rsid w:val="00504F6B"/>
    <w:rsid w:val="00504F97"/>
    <w:rsid w:val="005065E9"/>
    <w:rsid w:val="0050681F"/>
    <w:rsid w:val="00506A2B"/>
    <w:rsid w:val="00507524"/>
    <w:rsid w:val="005103C2"/>
    <w:rsid w:val="00511203"/>
    <w:rsid w:val="00513476"/>
    <w:rsid w:val="0051445A"/>
    <w:rsid w:val="0051607F"/>
    <w:rsid w:val="005162E8"/>
    <w:rsid w:val="00516490"/>
    <w:rsid w:val="00522099"/>
    <w:rsid w:val="00524198"/>
    <w:rsid w:val="0052433B"/>
    <w:rsid w:val="00526C44"/>
    <w:rsid w:val="00530E11"/>
    <w:rsid w:val="005333FA"/>
    <w:rsid w:val="00533B05"/>
    <w:rsid w:val="0053409D"/>
    <w:rsid w:val="00534E5A"/>
    <w:rsid w:val="005356E5"/>
    <w:rsid w:val="00537D9B"/>
    <w:rsid w:val="00544C86"/>
    <w:rsid w:val="00547FAB"/>
    <w:rsid w:val="00553AF3"/>
    <w:rsid w:val="00553D10"/>
    <w:rsid w:val="00555565"/>
    <w:rsid w:val="005560AB"/>
    <w:rsid w:val="0055637E"/>
    <w:rsid w:val="00556E25"/>
    <w:rsid w:val="00556EA8"/>
    <w:rsid w:val="00557E62"/>
    <w:rsid w:val="005606C3"/>
    <w:rsid w:val="00560B8F"/>
    <w:rsid w:val="00560CAF"/>
    <w:rsid w:val="00561D82"/>
    <w:rsid w:val="00562216"/>
    <w:rsid w:val="00562348"/>
    <w:rsid w:val="00564887"/>
    <w:rsid w:val="0056545F"/>
    <w:rsid w:val="005664A1"/>
    <w:rsid w:val="005714DD"/>
    <w:rsid w:val="00571F9F"/>
    <w:rsid w:val="00571FD9"/>
    <w:rsid w:val="005732F0"/>
    <w:rsid w:val="005742B7"/>
    <w:rsid w:val="0057477C"/>
    <w:rsid w:val="00575873"/>
    <w:rsid w:val="00576F6F"/>
    <w:rsid w:val="00581BE8"/>
    <w:rsid w:val="005873D5"/>
    <w:rsid w:val="00590046"/>
    <w:rsid w:val="00590717"/>
    <w:rsid w:val="00591A24"/>
    <w:rsid w:val="00591FA5"/>
    <w:rsid w:val="00594B8D"/>
    <w:rsid w:val="0059558B"/>
    <w:rsid w:val="005960E0"/>
    <w:rsid w:val="005973B2"/>
    <w:rsid w:val="00597C9B"/>
    <w:rsid w:val="005A03E1"/>
    <w:rsid w:val="005A0570"/>
    <w:rsid w:val="005A38BE"/>
    <w:rsid w:val="005A4619"/>
    <w:rsid w:val="005A5792"/>
    <w:rsid w:val="005A5B2C"/>
    <w:rsid w:val="005B18BD"/>
    <w:rsid w:val="005B32F5"/>
    <w:rsid w:val="005B337C"/>
    <w:rsid w:val="005B44CD"/>
    <w:rsid w:val="005B5DB1"/>
    <w:rsid w:val="005B6BC2"/>
    <w:rsid w:val="005C0A65"/>
    <w:rsid w:val="005C50DB"/>
    <w:rsid w:val="005C60D0"/>
    <w:rsid w:val="005C66A8"/>
    <w:rsid w:val="005C66DD"/>
    <w:rsid w:val="005C7923"/>
    <w:rsid w:val="005D0435"/>
    <w:rsid w:val="005D22D4"/>
    <w:rsid w:val="005D2663"/>
    <w:rsid w:val="005D3E30"/>
    <w:rsid w:val="005D548A"/>
    <w:rsid w:val="005D585F"/>
    <w:rsid w:val="005E124D"/>
    <w:rsid w:val="005E419D"/>
    <w:rsid w:val="005E43AE"/>
    <w:rsid w:val="005E4AEE"/>
    <w:rsid w:val="005E5637"/>
    <w:rsid w:val="005E7A09"/>
    <w:rsid w:val="005F1014"/>
    <w:rsid w:val="005F44BF"/>
    <w:rsid w:val="005F5F0E"/>
    <w:rsid w:val="005F78F7"/>
    <w:rsid w:val="00600064"/>
    <w:rsid w:val="00601E83"/>
    <w:rsid w:val="00602D14"/>
    <w:rsid w:val="00603258"/>
    <w:rsid w:val="00603B58"/>
    <w:rsid w:val="006068CC"/>
    <w:rsid w:val="006069A2"/>
    <w:rsid w:val="00606A3E"/>
    <w:rsid w:val="00613973"/>
    <w:rsid w:val="006152BA"/>
    <w:rsid w:val="00615CD0"/>
    <w:rsid w:val="00617131"/>
    <w:rsid w:val="00622D12"/>
    <w:rsid w:val="00622DEE"/>
    <w:rsid w:val="006231B3"/>
    <w:rsid w:val="006244F2"/>
    <w:rsid w:val="00624518"/>
    <w:rsid w:val="006263E4"/>
    <w:rsid w:val="00626427"/>
    <w:rsid w:val="00630987"/>
    <w:rsid w:val="0063259B"/>
    <w:rsid w:val="00632C79"/>
    <w:rsid w:val="00633D7D"/>
    <w:rsid w:val="00633DFD"/>
    <w:rsid w:val="00634C49"/>
    <w:rsid w:val="006358FB"/>
    <w:rsid w:val="00635C2A"/>
    <w:rsid w:val="00636F89"/>
    <w:rsid w:val="00637CE9"/>
    <w:rsid w:val="0064150B"/>
    <w:rsid w:val="00642830"/>
    <w:rsid w:val="00642FEA"/>
    <w:rsid w:val="0064320D"/>
    <w:rsid w:val="00645E1A"/>
    <w:rsid w:val="006470EC"/>
    <w:rsid w:val="0064729F"/>
    <w:rsid w:val="006479A6"/>
    <w:rsid w:val="00650961"/>
    <w:rsid w:val="0065182B"/>
    <w:rsid w:val="00654921"/>
    <w:rsid w:val="0065560A"/>
    <w:rsid w:val="00660070"/>
    <w:rsid w:val="00660875"/>
    <w:rsid w:val="0066161C"/>
    <w:rsid w:val="00661FB8"/>
    <w:rsid w:val="00662317"/>
    <w:rsid w:val="006626A1"/>
    <w:rsid w:val="006638D5"/>
    <w:rsid w:val="006652D0"/>
    <w:rsid w:val="00667EE8"/>
    <w:rsid w:val="00671B80"/>
    <w:rsid w:val="0067232D"/>
    <w:rsid w:val="006737B1"/>
    <w:rsid w:val="0067534B"/>
    <w:rsid w:val="006769AC"/>
    <w:rsid w:val="006770D2"/>
    <w:rsid w:val="0068024C"/>
    <w:rsid w:val="00680675"/>
    <w:rsid w:val="00681A9B"/>
    <w:rsid w:val="00683574"/>
    <w:rsid w:val="00684115"/>
    <w:rsid w:val="00685823"/>
    <w:rsid w:val="00685912"/>
    <w:rsid w:val="00685A61"/>
    <w:rsid w:val="00685B9B"/>
    <w:rsid w:val="00692598"/>
    <w:rsid w:val="0069273B"/>
    <w:rsid w:val="00695A7B"/>
    <w:rsid w:val="00696060"/>
    <w:rsid w:val="00697EAE"/>
    <w:rsid w:val="006A1C70"/>
    <w:rsid w:val="006A24AC"/>
    <w:rsid w:val="006A29B6"/>
    <w:rsid w:val="006A3AA0"/>
    <w:rsid w:val="006A4F30"/>
    <w:rsid w:val="006A5595"/>
    <w:rsid w:val="006B0A16"/>
    <w:rsid w:val="006B153F"/>
    <w:rsid w:val="006B18B5"/>
    <w:rsid w:val="006B1F86"/>
    <w:rsid w:val="006B2BB7"/>
    <w:rsid w:val="006B2C1B"/>
    <w:rsid w:val="006B6AD3"/>
    <w:rsid w:val="006B7813"/>
    <w:rsid w:val="006B7CA4"/>
    <w:rsid w:val="006B7EF5"/>
    <w:rsid w:val="006C09D6"/>
    <w:rsid w:val="006C3B25"/>
    <w:rsid w:val="006C4D6D"/>
    <w:rsid w:val="006C61DC"/>
    <w:rsid w:val="006C7016"/>
    <w:rsid w:val="006D3F1C"/>
    <w:rsid w:val="006D420E"/>
    <w:rsid w:val="006D4974"/>
    <w:rsid w:val="006D4FC4"/>
    <w:rsid w:val="006D5290"/>
    <w:rsid w:val="006D6556"/>
    <w:rsid w:val="006D7873"/>
    <w:rsid w:val="006E0759"/>
    <w:rsid w:val="006E2290"/>
    <w:rsid w:val="006E3EE2"/>
    <w:rsid w:val="006E5BCE"/>
    <w:rsid w:val="006E62AB"/>
    <w:rsid w:val="006E6E23"/>
    <w:rsid w:val="006E70C5"/>
    <w:rsid w:val="006E7EBC"/>
    <w:rsid w:val="006F18DA"/>
    <w:rsid w:val="006F205B"/>
    <w:rsid w:val="006F2D14"/>
    <w:rsid w:val="006F4FFF"/>
    <w:rsid w:val="007009D6"/>
    <w:rsid w:val="007022AE"/>
    <w:rsid w:val="007033A9"/>
    <w:rsid w:val="00707055"/>
    <w:rsid w:val="00711F4A"/>
    <w:rsid w:val="00712887"/>
    <w:rsid w:val="007159AA"/>
    <w:rsid w:val="007179DE"/>
    <w:rsid w:val="00721035"/>
    <w:rsid w:val="00721569"/>
    <w:rsid w:val="007219C0"/>
    <w:rsid w:val="00723EE4"/>
    <w:rsid w:val="007255E9"/>
    <w:rsid w:val="00727AB5"/>
    <w:rsid w:val="00730BE7"/>
    <w:rsid w:val="00731BF3"/>
    <w:rsid w:val="007328D9"/>
    <w:rsid w:val="00733166"/>
    <w:rsid w:val="007340DD"/>
    <w:rsid w:val="007349F7"/>
    <w:rsid w:val="00734C5D"/>
    <w:rsid w:val="007375ED"/>
    <w:rsid w:val="00737B09"/>
    <w:rsid w:val="00742335"/>
    <w:rsid w:val="0074436D"/>
    <w:rsid w:val="0074685C"/>
    <w:rsid w:val="007503D1"/>
    <w:rsid w:val="00750E22"/>
    <w:rsid w:val="00753965"/>
    <w:rsid w:val="0075538D"/>
    <w:rsid w:val="007567EF"/>
    <w:rsid w:val="0075680D"/>
    <w:rsid w:val="00760BD3"/>
    <w:rsid w:val="00761627"/>
    <w:rsid w:val="007624C8"/>
    <w:rsid w:val="00762572"/>
    <w:rsid w:val="00763120"/>
    <w:rsid w:val="007672BA"/>
    <w:rsid w:val="00767C27"/>
    <w:rsid w:val="007708FC"/>
    <w:rsid w:val="00770B18"/>
    <w:rsid w:val="00770B40"/>
    <w:rsid w:val="00770FA6"/>
    <w:rsid w:val="00772162"/>
    <w:rsid w:val="00773158"/>
    <w:rsid w:val="00777EFC"/>
    <w:rsid w:val="0078208E"/>
    <w:rsid w:val="0078287A"/>
    <w:rsid w:val="00783A18"/>
    <w:rsid w:val="00784730"/>
    <w:rsid w:val="00785F78"/>
    <w:rsid w:val="00790792"/>
    <w:rsid w:val="007907CD"/>
    <w:rsid w:val="00791BB0"/>
    <w:rsid w:val="0079210A"/>
    <w:rsid w:val="00792857"/>
    <w:rsid w:val="00793E2C"/>
    <w:rsid w:val="00793E3B"/>
    <w:rsid w:val="00794744"/>
    <w:rsid w:val="007966C1"/>
    <w:rsid w:val="007A00B9"/>
    <w:rsid w:val="007A32BB"/>
    <w:rsid w:val="007A3665"/>
    <w:rsid w:val="007B04E9"/>
    <w:rsid w:val="007B04F7"/>
    <w:rsid w:val="007B0E03"/>
    <w:rsid w:val="007B289E"/>
    <w:rsid w:val="007B54FB"/>
    <w:rsid w:val="007B743B"/>
    <w:rsid w:val="007B758F"/>
    <w:rsid w:val="007C12D7"/>
    <w:rsid w:val="007C3F92"/>
    <w:rsid w:val="007C4EA7"/>
    <w:rsid w:val="007C7428"/>
    <w:rsid w:val="007D05D5"/>
    <w:rsid w:val="007D17D2"/>
    <w:rsid w:val="007D17F4"/>
    <w:rsid w:val="007D1AB1"/>
    <w:rsid w:val="007D1F92"/>
    <w:rsid w:val="007D4CC0"/>
    <w:rsid w:val="007D4F2F"/>
    <w:rsid w:val="007D504C"/>
    <w:rsid w:val="007D50DD"/>
    <w:rsid w:val="007D5F1F"/>
    <w:rsid w:val="007D7C4D"/>
    <w:rsid w:val="007E1728"/>
    <w:rsid w:val="007E3077"/>
    <w:rsid w:val="007E34BA"/>
    <w:rsid w:val="007E500A"/>
    <w:rsid w:val="007E6201"/>
    <w:rsid w:val="007F1E0A"/>
    <w:rsid w:val="007F22D1"/>
    <w:rsid w:val="007F232E"/>
    <w:rsid w:val="007F2BBD"/>
    <w:rsid w:val="007F423A"/>
    <w:rsid w:val="007F4943"/>
    <w:rsid w:val="007F4DF8"/>
    <w:rsid w:val="007F7A3A"/>
    <w:rsid w:val="007F7B80"/>
    <w:rsid w:val="0080073D"/>
    <w:rsid w:val="0080135E"/>
    <w:rsid w:val="00801FC6"/>
    <w:rsid w:val="00802257"/>
    <w:rsid w:val="0080603F"/>
    <w:rsid w:val="008064DD"/>
    <w:rsid w:val="00806843"/>
    <w:rsid w:val="00806962"/>
    <w:rsid w:val="008069BE"/>
    <w:rsid w:val="008100EA"/>
    <w:rsid w:val="00810AF7"/>
    <w:rsid w:val="00813843"/>
    <w:rsid w:val="00815007"/>
    <w:rsid w:val="0081546F"/>
    <w:rsid w:val="008225F8"/>
    <w:rsid w:val="00823F9B"/>
    <w:rsid w:val="00825719"/>
    <w:rsid w:val="00830201"/>
    <w:rsid w:val="00831EDE"/>
    <w:rsid w:val="00832C0A"/>
    <w:rsid w:val="00832C8C"/>
    <w:rsid w:val="0083476D"/>
    <w:rsid w:val="00834EFB"/>
    <w:rsid w:val="00836280"/>
    <w:rsid w:val="008418E8"/>
    <w:rsid w:val="00841A07"/>
    <w:rsid w:val="00843ED9"/>
    <w:rsid w:val="00844C58"/>
    <w:rsid w:val="00845EE2"/>
    <w:rsid w:val="008476DC"/>
    <w:rsid w:val="00851D5F"/>
    <w:rsid w:val="00851ECF"/>
    <w:rsid w:val="008528A2"/>
    <w:rsid w:val="00855B3E"/>
    <w:rsid w:val="00856832"/>
    <w:rsid w:val="00857F09"/>
    <w:rsid w:val="00861A39"/>
    <w:rsid w:val="00862AE8"/>
    <w:rsid w:val="008641CA"/>
    <w:rsid w:val="00867666"/>
    <w:rsid w:val="00867BF9"/>
    <w:rsid w:val="0087271E"/>
    <w:rsid w:val="00873683"/>
    <w:rsid w:val="00874A19"/>
    <w:rsid w:val="00882CF4"/>
    <w:rsid w:val="00882DB7"/>
    <w:rsid w:val="00885088"/>
    <w:rsid w:val="00885859"/>
    <w:rsid w:val="0088604C"/>
    <w:rsid w:val="00886980"/>
    <w:rsid w:val="00886C0A"/>
    <w:rsid w:val="0089051B"/>
    <w:rsid w:val="00890985"/>
    <w:rsid w:val="008918C9"/>
    <w:rsid w:val="0089391A"/>
    <w:rsid w:val="008945DA"/>
    <w:rsid w:val="00896B92"/>
    <w:rsid w:val="008A2F52"/>
    <w:rsid w:val="008A3CC9"/>
    <w:rsid w:val="008A4984"/>
    <w:rsid w:val="008A70B6"/>
    <w:rsid w:val="008A7C98"/>
    <w:rsid w:val="008B2586"/>
    <w:rsid w:val="008B2797"/>
    <w:rsid w:val="008B32A0"/>
    <w:rsid w:val="008B40A6"/>
    <w:rsid w:val="008B72C5"/>
    <w:rsid w:val="008C3CA5"/>
    <w:rsid w:val="008C5278"/>
    <w:rsid w:val="008D0978"/>
    <w:rsid w:val="008D1C0E"/>
    <w:rsid w:val="008D2420"/>
    <w:rsid w:val="008D7E1F"/>
    <w:rsid w:val="008D7FB1"/>
    <w:rsid w:val="008E020A"/>
    <w:rsid w:val="008E0D2E"/>
    <w:rsid w:val="008E18D0"/>
    <w:rsid w:val="008E4170"/>
    <w:rsid w:val="008E41E0"/>
    <w:rsid w:val="008E4C01"/>
    <w:rsid w:val="008E4DB5"/>
    <w:rsid w:val="008E5ABA"/>
    <w:rsid w:val="008E7C04"/>
    <w:rsid w:val="008F12A4"/>
    <w:rsid w:val="008F17CC"/>
    <w:rsid w:val="008F1EBB"/>
    <w:rsid w:val="008F1EE5"/>
    <w:rsid w:val="008F24F3"/>
    <w:rsid w:val="008F26D6"/>
    <w:rsid w:val="008F3405"/>
    <w:rsid w:val="008F42FD"/>
    <w:rsid w:val="008F6F57"/>
    <w:rsid w:val="00900E28"/>
    <w:rsid w:val="0090535C"/>
    <w:rsid w:val="00906019"/>
    <w:rsid w:val="00906BD1"/>
    <w:rsid w:val="009070F0"/>
    <w:rsid w:val="009073B1"/>
    <w:rsid w:val="00910105"/>
    <w:rsid w:val="00913014"/>
    <w:rsid w:val="00913644"/>
    <w:rsid w:val="00917378"/>
    <w:rsid w:val="00917F2E"/>
    <w:rsid w:val="00920DA7"/>
    <w:rsid w:val="009210ED"/>
    <w:rsid w:val="00921BCB"/>
    <w:rsid w:val="0092328E"/>
    <w:rsid w:val="00923851"/>
    <w:rsid w:val="00924F3E"/>
    <w:rsid w:val="0093521C"/>
    <w:rsid w:val="00935A66"/>
    <w:rsid w:val="009361B3"/>
    <w:rsid w:val="009361C2"/>
    <w:rsid w:val="00936531"/>
    <w:rsid w:val="00942119"/>
    <w:rsid w:val="00942AF6"/>
    <w:rsid w:val="0094351F"/>
    <w:rsid w:val="00945436"/>
    <w:rsid w:val="00947D4D"/>
    <w:rsid w:val="009504FE"/>
    <w:rsid w:val="0095079D"/>
    <w:rsid w:val="009515CD"/>
    <w:rsid w:val="00951DDE"/>
    <w:rsid w:val="00953D77"/>
    <w:rsid w:val="00953DAF"/>
    <w:rsid w:val="0095556A"/>
    <w:rsid w:val="00957BBA"/>
    <w:rsid w:val="009630BB"/>
    <w:rsid w:val="009632B9"/>
    <w:rsid w:val="009646DF"/>
    <w:rsid w:val="00965270"/>
    <w:rsid w:val="00965695"/>
    <w:rsid w:val="0096642F"/>
    <w:rsid w:val="0096691E"/>
    <w:rsid w:val="00967D88"/>
    <w:rsid w:val="00970A1F"/>
    <w:rsid w:val="00970D56"/>
    <w:rsid w:val="009728FB"/>
    <w:rsid w:val="00972E5B"/>
    <w:rsid w:val="009738DE"/>
    <w:rsid w:val="00974BD8"/>
    <w:rsid w:val="00976BFE"/>
    <w:rsid w:val="0097717A"/>
    <w:rsid w:val="00980597"/>
    <w:rsid w:val="00981A22"/>
    <w:rsid w:val="00982600"/>
    <w:rsid w:val="009834AA"/>
    <w:rsid w:val="00983964"/>
    <w:rsid w:val="00983D8D"/>
    <w:rsid w:val="0098676F"/>
    <w:rsid w:val="009878A1"/>
    <w:rsid w:val="00987E8A"/>
    <w:rsid w:val="0099155D"/>
    <w:rsid w:val="00991D2F"/>
    <w:rsid w:val="00992C06"/>
    <w:rsid w:val="00993018"/>
    <w:rsid w:val="00995C3C"/>
    <w:rsid w:val="00995D09"/>
    <w:rsid w:val="0099741E"/>
    <w:rsid w:val="009A0063"/>
    <w:rsid w:val="009A05AD"/>
    <w:rsid w:val="009A0998"/>
    <w:rsid w:val="009A2C95"/>
    <w:rsid w:val="009A45EE"/>
    <w:rsid w:val="009A4C64"/>
    <w:rsid w:val="009A61FA"/>
    <w:rsid w:val="009A63D8"/>
    <w:rsid w:val="009A67E2"/>
    <w:rsid w:val="009B07E5"/>
    <w:rsid w:val="009B0CA8"/>
    <w:rsid w:val="009B69D3"/>
    <w:rsid w:val="009B69FA"/>
    <w:rsid w:val="009B7C8D"/>
    <w:rsid w:val="009B7DCB"/>
    <w:rsid w:val="009C5A51"/>
    <w:rsid w:val="009C6D9C"/>
    <w:rsid w:val="009C75E2"/>
    <w:rsid w:val="009C7CA7"/>
    <w:rsid w:val="009D19C3"/>
    <w:rsid w:val="009D1A73"/>
    <w:rsid w:val="009D214B"/>
    <w:rsid w:val="009D3713"/>
    <w:rsid w:val="009D6C4D"/>
    <w:rsid w:val="009D6D28"/>
    <w:rsid w:val="009D72AC"/>
    <w:rsid w:val="009E0670"/>
    <w:rsid w:val="009E0895"/>
    <w:rsid w:val="009E0B49"/>
    <w:rsid w:val="009E0F77"/>
    <w:rsid w:val="009E4D14"/>
    <w:rsid w:val="009E51EC"/>
    <w:rsid w:val="009E7874"/>
    <w:rsid w:val="009F02E1"/>
    <w:rsid w:val="009F0377"/>
    <w:rsid w:val="009F04CC"/>
    <w:rsid w:val="009F30DF"/>
    <w:rsid w:val="009F4123"/>
    <w:rsid w:val="009F434C"/>
    <w:rsid w:val="009F5A3B"/>
    <w:rsid w:val="00A0078C"/>
    <w:rsid w:val="00A0084A"/>
    <w:rsid w:val="00A023AD"/>
    <w:rsid w:val="00A02831"/>
    <w:rsid w:val="00A047D8"/>
    <w:rsid w:val="00A04901"/>
    <w:rsid w:val="00A0691A"/>
    <w:rsid w:val="00A128DC"/>
    <w:rsid w:val="00A1361E"/>
    <w:rsid w:val="00A154B7"/>
    <w:rsid w:val="00A159C5"/>
    <w:rsid w:val="00A16167"/>
    <w:rsid w:val="00A2107E"/>
    <w:rsid w:val="00A21E3F"/>
    <w:rsid w:val="00A24FF3"/>
    <w:rsid w:val="00A347C5"/>
    <w:rsid w:val="00A35B41"/>
    <w:rsid w:val="00A4262B"/>
    <w:rsid w:val="00A4269A"/>
    <w:rsid w:val="00A43B20"/>
    <w:rsid w:val="00A43E45"/>
    <w:rsid w:val="00A43E66"/>
    <w:rsid w:val="00A4565E"/>
    <w:rsid w:val="00A47D88"/>
    <w:rsid w:val="00A508C9"/>
    <w:rsid w:val="00A50988"/>
    <w:rsid w:val="00A50C9B"/>
    <w:rsid w:val="00A511A4"/>
    <w:rsid w:val="00A519A5"/>
    <w:rsid w:val="00A51F1A"/>
    <w:rsid w:val="00A521B2"/>
    <w:rsid w:val="00A5258A"/>
    <w:rsid w:val="00A54CC5"/>
    <w:rsid w:val="00A55267"/>
    <w:rsid w:val="00A60FA3"/>
    <w:rsid w:val="00A621EE"/>
    <w:rsid w:val="00A629F7"/>
    <w:rsid w:val="00A65583"/>
    <w:rsid w:val="00A664E4"/>
    <w:rsid w:val="00A75021"/>
    <w:rsid w:val="00A75CE4"/>
    <w:rsid w:val="00A76DA5"/>
    <w:rsid w:val="00A770B6"/>
    <w:rsid w:val="00A77B7E"/>
    <w:rsid w:val="00A80D8F"/>
    <w:rsid w:val="00A8226D"/>
    <w:rsid w:val="00A84C47"/>
    <w:rsid w:val="00A8542F"/>
    <w:rsid w:val="00A90545"/>
    <w:rsid w:val="00A9120A"/>
    <w:rsid w:val="00A9252C"/>
    <w:rsid w:val="00A93784"/>
    <w:rsid w:val="00A94BE6"/>
    <w:rsid w:val="00A94FDD"/>
    <w:rsid w:val="00A957C1"/>
    <w:rsid w:val="00A95E04"/>
    <w:rsid w:val="00A968A5"/>
    <w:rsid w:val="00AA00A0"/>
    <w:rsid w:val="00AA0AA1"/>
    <w:rsid w:val="00AA1DF1"/>
    <w:rsid w:val="00AA2758"/>
    <w:rsid w:val="00AA3D30"/>
    <w:rsid w:val="00AA4C65"/>
    <w:rsid w:val="00AA5B5A"/>
    <w:rsid w:val="00AA5CB1"/>
    <w:rsid w:val="00AA60C8"/>
    <w:rsid w:val="00AA6AAC"/>
    <w:rsid w:val="00AA6F23"/>
    <w:rsid w:val="00AA7F2E"/>
    <w:rsid w:val="00AB0F7F"/>
    <w:rsid w:val="00AB10CC"/>
    <w:rsid w:val="00AB2378"/>
    <w:rsid w:val="00AB2740"/>
    <w:rsid w:val="00AB342E"/>
    <w:rsid w:val="00AB3736"/>
    <w:rsid w:val="00AB3934"/>
    <w:rsid w:val="00AB521E"/>
    <w:rsid w:val="00AB5347"/>
    <w:rsid w:val="00AC29F5"/>
    <w:rsid w:val="00AC3D8B"/>
    <w:rsid w:val="00AC534E"/>
    <w:rsid w:val="00AC5A3A"/>
    <w:rsid w:val="00AC6518"/>
    <w:rsid w:val="00AC7CB8"/>
    <w:rsid w:val="00AD1131"/>
    <w:rsid w:val="00AD2821"/>
    <w:rsid w:val="00AD32A6"/>
    <w:rsid w:val="00AD332F"/>
    <w:rsid w:val="00AD5D98"/>
    <w:rsid w:val="00AE0E67"/>
    <w:rsid w:val="00AE12E6"/>
    <w:rsid w:val="00AE2C20"/>
    <w:rsid w:val="00AE304E"/>
    <w:rsid w:val="00AE30C6"/>
    <w:rsid w:val="00AE32D7"/>
    <w:rsid w:val="00AE4171"/>
    <w:rsid w:val="00AE5B18"/>
    <w:rsid w:val="00AE5F46"/>
    <w:rsid w:val="00AE634F"/>
    <w:rsid w:val="00AE7966"/>
    <w:rsid w:val="00AE7C5C"/>
    <w:rsid w:val="00AF070C"/>
    <w:rsid w:val="00AF1CC2"/>
    <w:rsid w:val="00AF1F1A"/>
    <w:rsid w:val="00AF20B7"/>
    <w:rsid w:val="00AF6B36"/>
    <w:rsid w:val="00AF6C34"/>
    <w:rsid w:val="00B029D3"/>
    <w:rsid w:val="00B03C22"/>
    <w:rsid w:val="00B04567"/>
    <w:rsid w:val="00B04884"/>
    <w:rsid w:val="00B10017"/>
    <w:rsid w:val="00B11BCD"/>
    <w:rsid w:val="00B1230B"/>
    <w:rsid w:val="00B155E8"/>
    <w:rsid w:val="00B16775"/>
    <w:rsid w:val="00B16AB7"/>
    <w:rsid w:val="00B21B67"/>
    <w:rsid w:val="00B21CD8"/>
    <w:rsid w:val="00B24242"/>
    <w:rsid w:val="00B25D2C"/>
    <w:rsid w:val="00B26475"/>
    <w:rsid w:val="00B277FF"/>
    <w:rsid w:val="00B321D4"/>
    <w:rsid w:val="00B3442A"/>
    <w:rsid w:val="00B34C65"/>
    <w:rsid w:val="00B35AD5"/>
    <w:rsid w:val="00B4265B"/>
    <w:rsid w:val="00B44950"/>
    <w:rsid w:val="00B51E65"/>
    <w:rsid w:val="00B53340"/>
    <w:rsid w:val="00B57DF0"/>
    <w:rsid w:val="00B61890"/>
    <w:rsid w:val="00B619F5"/>
    <w:rsid w:val="00B62233"/>
    <w:rsid w:val="00B63396"/>
    <w:rsid w:val="00B65D71"/>
    <w:rsid w:val="00B67696"/>
    <w:rsid w:val="00B67841"/>
    <w:rsid w:val="00B72E6C"/>
    <w:rsid w:val="00B73471"/>
    <w:rsid w:val="00B81463"/>
    <w:rsid w:val="00B82DDD"/>
    <w:rsid w:val="00B83AFA"/>
    <w:rsid w:val="00B8553F"/>
    <w:rsid w:val="00B85E9A"/>
    <w:rsid w:val="00B9157E"/>
    <w:rsid w:val="00B92964"/>
    <w:rsid w:val="00B92ABB"/>
    <w:rsid w:val="00B946D8"/>
    <w:rsid w:val="00B97835"/>
    <w:rsid w:val="00BA0F06"/>
    <w:rsid w:val="00BA31DC"/>
    <w:rsid w:val="00BA5783"/>
    <w:rsid w:val="00BA645E"/>
    <w:rsid w:val="00BA70AC"/>
    <w:rsid w:val="00BA7609"/>
    <w:rsid w:val="00BB1406"/>
    <w:rsid w:val="00BB155B"/>
    <w:rsid w:val="00BB1C2B"/>
    <w:rsid w:val="00BB7AFA"/>
    <w:rsid w:val="00BB7AFF"/>
    <w:rsid w:val="00BB7CAE"/>
    <w:rsid w:val="00BC1982"/>
    <w:rsid w:val="00BC309F"/>
    <w:rsid w:val="00BC426E"/>
    <w:rsid w:val="00BC6030"/>
    <w:rsid w:val="00BC6170"/>
    <w:rsid w:val="00BD00E9"/>
    <w:rsid w:val="00BD107A"/>
    <w:rsid w:val="00BD5844"/>
    <w:rsid w:val="00BE06C4"/>
    <w:rsid w:val="00BE0718"/>
    <w:rsid w:val="00BE097A"/>
    <w:rsid w:val="00BE1194"/>
    <w:rsid w:val="00BE1B32"/>
    <w:rsid w:val="00BE7A4A"/>
    <w:rsid w:val="00BF520F"/>
    <w:rsid w:val="00BF70B8"/>
    <w:rsid w:val="00C003FF"/>
    <w:rsid w:val="00C00531"/>
    <w:rsid w:val="00C014A2"/>
    <w:rsid w:val="00C01C84"/>
    <w:rsid w:val="00C02F04"/>
    <w:rsid w:val="00C03AE0"/>
    <w:rsid w:val="00C04531"/>
    <w:rsid w:val="00C05448"/>
    <w:rsid w:val="00C06255"/>
    <w:rsid w:val="00C06C7F"/>
    <w:rsid w:val="00C118FE"/>
    <w:rsid w:val="00C11BC4"/>
    <w:rsid w:val="00C11CE5"/>
    <w:rsid w:val="00C14751"/>
    <w:rsid w:val="00C1556D"/>
    <w:rsid w:val="00C15911"/>
    <w:rsid w:val="00C20C43"/>
    <w:rsid w:val="00C22392"/>
    <w:rsid w:val="00C25C10"/>
    <w:rsid w:val="00C30069"/>
    <w:rsid w:val="00C30926"/>
    <w:rsid w:val="00C310FF"/>
    <w:rsid w:val="00C31946"/>
    <w:rsid w:val="00C31C5C"/>
    <w:rsid w:val="00C32628"/>
    <w:rsid w:val="00C3416C"/>
    <w:rsid w:val="00C34201"/>
    <w:rsid w:val="00C35434"/>
    <w:rsid w:val="00C37B60"/>
    <w:rsid w:val="00C37D06"/>
    <w:rsid w:val="00C46D1E"/>
    <w:rsid w:val="00C50B84"/>
    <w:rsid w:val="00C50CE6"/>
    <w:rsid w:val="00C53776"/>
    <w:rsid w:val="00C53857"/>
    <w:rsid w:val="00C558EF"/>
    <w:rsid w:val="00C574FF"/>
    <w:rsid w:val="00C603ED"/>
    <w:rsid w:val="00C60932"/>
    <w:rsid w:val="00C6256E"/>
    <w:rsid w:val="00C6432A"/>
    <w:rsid w:val="00C64786"/>
    <w:rsid w:val="00C6714D"/>
    <w:rsid w:val="00C6726B"/>
    <w:rsid w:val="00C70916"/>
    <w:rsid w:val="00C71E81"/>
    <w:rsid w:val="00C7728F"/>
    <w:rsid w:val="00C77660"/>
    <w:rsid w:val="00C77728"/>
    <w:rsid w:val="00C779D2"/>
    <w:rsid w:val="00C81EE9"/>
    <w:rsid w:val="00C83B9B"/>
    <w:rsid w:val="00C83D37"/>
    <w:rsid w:val="00C85446"/>
    <w:rsid w:val="00C86093"/>
    <w:rsid w:val="00C87581"/>
    <w:rsid w:val="00C8798C"/>
    <w:rsid w:val="00C91165"/>
    <w:rsid w:val="00C91772"/>
    <w:rsid w:val="00C923A9"/>
    <w:rsid w:val="00C928E9"/>
    <w:rsid w:val="00C9485C"/>
    <w:rsid w:val="00C94E09"/>
    <w:rsid w:val="00C95057"/>
    <w:rsid w:val="00C96864"/>
    <w:rsid w:val="00C97405"/>
    <w:rsid w:val="00CA30F2"/>
    <w:rsid w:val="00CA3629"/>
    <w:rsid w:val="00CA75ED"/>
    <w:rsid w:val="00CB0978"/>
    <w:rsid w:val="00CB0C69"/>
    <w:rsid w:val="00CB2FD3"/>
    <w:rsid w:val="00CB5B3E"/>
    <w:rsid w:val="00CB5C40"/>
    <w:rsid w:val="00CB74D2"/>
    <w:rsid w:val="00CC1069"/>
    <w:rsid w:val="00CC437C"/>
    <w:rsid w:val="00CC5677"/>
    <w:rsid w:val="00CC5CE4"/>
    <w:rsid w:val="00CC62FC"/>
    <w:rsid w:val="00CD1D29"/>
    <w:rsid w:val="00CD1D7D"/>
    <w:rsid w:val="00CD38E4"/>
    <w:rsid w:val="00CD6FE8"/>
    <w:rsid w:val="00CD6FFF"/>
    <w:rsid w:val="00CD7878"/>
    <w:rsid w:val="00CE05BC"/>
    <w:rsid w:val="00CE1584"/>
    <w:rsid w:val="00CE38A4"/>
    <w:rsid w:val="00CE4FB8"/>
    <w:rsid w:val="00CE5576"/>
    <w:rsid w:val="00CE5C69"/>
    <w:rsid w:val="00CE64F9"/>
    <w:rsid w:val="00CE6B60"/>
    <w:rsid w:val="00CF169B"/>
    <w:rsid w:val="00CF3D10"/>
    <w:rsid w:val="00CF4829"/>
    <w:rsid w:val="00CF49CF"/>
    <w:rsid w:val="00D0086D"/>
    <w:rsid w:val="00D0246C"/>
    <w:rsid w:val="00D024F3"/>
    <w:rsid w:val="00D02A3A"/>
    <w:rsid w:val="00D06D1D"/>
    <w:rsid w:val="00D10504"/>
    <w:rsid w:val="00D11243"/>
    <w:rsid w:val="00D14E3E"/>
    <w:rsid w:val="00D15075"/>
    <w:rsid w:val="00D15AC9"/>
    <w:rsid w:val="00D2146D"/>
    <w:rsid w:val="00D244C9"/>
    <w:rsid w:val="00D24FFC"/>
    <w:rsid w:val="00D2575B"/>
    <w:rsid w:val="00D26202"/>
    <w:rsid w:val="00D32900"/>
    <w:rsid w:val="00D33544"/>
    <w:rsid w:val="00D350F0"/>
    <w:rsid w:val="00D360A6"/>
    <w:rsid w:val="00D36FC0"/>
    <w:rsid w:val="00D40A11"/>
    <w:rsid w:val="00D40D2E"/>
    <w:rsid w:val="00D411A1"/>
    <w:rsid w:val="00D4190C"/>
    <w:rsid w:val="00D4199D"/>
    <w:rsid w:val="00D41F9C"/>
    <w:rsid w:val="00D42930"/>
    <w:rsid w:val="00D443FF"/>
    <w:rsid w:val="00D45485"/>
    <w:rsid w:val="00D52977"/>
    <w:rsid w:val="00D529E5"/>
    <w:rsid w:val="00D551EA"/>
    <w:rsid w:val="00D55BB8"/>
    <w:rsid w:val="00D5715D"/>
    <w:rsid w:val="00D573F4"/>
    <w:rsid w:val="00D6124D"/>
    <w:rsid w:val="00D62AA1"/>
    <w:rsid w:val="00D63407"/>
    <w:rsid w:val="00D63BFC"/>
    <w:rsid w:val="00D63D25"/>
    <w:rsid w:val="00D6554F"/>
    <w:rsid w:val="00D65D3F"/>
    <w:rsid w:val="00D6669C"/>
    <w:rsid w:val="00D67167"/>
    <w:rsid w:val="00D7176D"/>
    <w:rsid w:val="00D72B08"/>
    <w:rsid w:val="00D7395C"/>
    <w:rsid w:val="00D74B0B"/>
    <w:rsid w:val="00D80E80"/>
    <w:rsid w:val="00D825FC"/>
    <w:rsid w:val="00D82BDB"/>
    <w:rsid w:val="00D82FB1"/>
    <w:rsid w:val="00D84CBA"/>
    <w:rsid w:val="00D854CF"/>
    <w:rsid w:val="00D85D23"/>
    <w:rsid w:val="00D874B1"/>
    <w:rsid w:val="00D876B9"/>
    <w:rsid w:val="00D9014E"/>
    <w:rsid w:val="00D90A0D"/>
    <w:rsid w:val="00D90BD5"/>
    <w:rsid w:val="00D93DFA"/>
    <w:rsid w:val="00D95426"/>
    <w:rsid w:val="00D963AE"/>
    <w:rsid w:val="00D964B0"/>
    <w:rsid w:val="00D97BD9"/>
    <w:rsid w:val="00D97CB1"/>
    <w:rsid w:val="00DA4CF8"/>
    <w:rsid w:val="00DA6A48"/>
    <w:rsid w:val="00DB23C0"/>
    <w:rsid w:val="00DB62B1"/>
    <w:rsid w:val="00DB6D4B"/>
    <w:rsid w:val="00DB7665"/>
    <w:rsid w:val="00DC23AF"/>
    <w:rsid w:val="00DC2BC9"/>
    <w:rsid w:val="00DC38E3"/>
    <w:rsid w:val="00DC4C6C"/>
    <w:rsid w:val="00DC72F0"/>
    <w:rsid w:val="00DD03B1"/>
    <w:rsid w:val="00DD0F1A"/>
    <w:rsid w:val="00DD1104"/>
    <w:rsid w:val="00DD49D3"/>
    <w:rsid w:val="00DD66D0"/>
    <w:rsid w:val="00DD6DA5"/>
    <w:rsid w:val="00DE09CD"/>
    <w:rsid w:val="00DE11BA"/>
    <w:rsid w:val="00DE2B02"/>
    <w:rsid w:val="00DE40D5"/>
    <w:rsid w:val="00DE42C9"/>
    <w:rsid w:val="00DE52BA"/>
    <w:rsid w:val="00DF025E"/>
    <w:rsid w:val="00DF167B"/>
    <w:rsid w:val="00DF404F"/>
    <w:rsid w:val="00DF4C74"/>
    <w:rsid w:val="00DF5DBF"/>
    <w:rsid w:val="00DF63E5"/>
    <w:rsid w:val="00DF641E"/>
    <w:rsid w:val="00DF6618"/>
    <w:rsid w:val="00DF75F1"/>
    <w:rsid w:val="00E02DF7"/>
    <w:rsid w:val="00E0368E"/>
    <w:rsid w:val="00E04066"/>
    <w:rsid w:val="00E06CF0"/>
    <w:rsid w:val="00E16889"/>
    <w:rsid w:val="00E16A5D"/>
    <w:rsid w:val="00E16B34"/>
    <w:rsid w:val="00E1752A"/>
    <w:rsid w:val="00E20903"/>
    <w:rsid w:val="00E212A9"/>
    <w:rsid w:val="00E223B5"/>
    <w:rsid w:val="00E23D7F"/>
    <w:rsid w:val="00E23EC6"/>
    <w:rsid w:val="00E25AAA"/>
    <w:rsid w:val="00E2747D"/>
    <w:rsid w:val="00E3049B"/>
    <w:rsid w:val="00E31C46"/>
    <w:rsid w:val="00E33537"/>
    <w:rsid w:val="00E33768"/>
    <w:rsid w:val="00E350B0"/>
    <w:rsid w:val="00E42D11"/>
    <w:rsid w:val="00E446F8"/>
    <w:rsid w:val="00E457E8"/>
    <w:rsid w:val="00E47AF3"/>
    <w:rsid w:val="00E52CD8"/>
    <w:rsid w:val="00E5349B"/>
    <w:rsid w:val="00E53D19"/>
    <w:rsid w:val="00E56537"/>
    <w:rsid w:val="00E56E8B"/>
    <w:rsid w:val="00E612A1"/>
    <w:rsid w:val="00E6357E"/>
    <w:rsid w:val="00E660F0"/>
    <w:rsid w:val="00E6654D"/>
    <w:rsid w:val="00E679A9"/>
    <w:rsid w:val="00E70494"/>
    <w:rsid w:val="00E70B7C"/>
    <w:rsid w:val="00E71641"/>
    <w:rsid w:val="00E73285"/>
    <w:rsid w:val="00E7512F"/>
    <w:rsid w:val="00E75A24"/>
    <w:rsid w:val="00E770F7"/>
    <w:rsid w:val="00E77467"/>
    <w:rsid w:val="00E80179"/>
    <w:rsid w:val="00E81533"/>
    <w:rsid w:val="00E81A86"/>
    <w:rsid w:val="00E83FB7"/>
    <w:rsid w:val="00E84C75"/>
    <w:rsid w:val="00E850BF"/>
    <w:rsid w:val="00E85867"/>
    <w:rsid w:val="00E927BB"/>
    <w:rsid w:val="00E95602"/>
    <w:rsid w:val="00E95B16"/>
    <w:rsid w:val="00E95C66"/>
    <w:rsid w:val="00E97A60"/>
    <w:rsid w:val="00E97DD8"/>
    <w:rsid w:val="00EA0393"/>
    <w:rsid w:val="00EA51C7"/>
    <w:rsid w:val="00EA60A3"/>
    <w:rsid w:val="00EB0081"/>
    <w:rsid w:val="00EB0337"/>
    <w:rsid w:val="00EB048A"/>
    <w:rsid w:val="00EB195F"/>
    <w:rsid w:val="00EB24B6"/>
    <w:rsid w:val="00EB2A1B"/>
    <w:rsid w:val="00EB3B9A"/>
    <w:rsid w:val="00EC0F96"/>
    <w:rsid w:val="00EC2587"/>
    <w:rsid w:val="00EC3C69"/>
    <w:rsid w:val="00EC68F4"/>
    <w:rsid w:val="00EC6AF0"/>
    <w:rsid w:val="00ED1379"/>
    <w:rsid w:val="00ED23F7"/>
    <w:rsid w:val="00ED2466"/>
    <w:rsid w:val="00ED265B"/>
    <w:rsid w:val="00ED4604"/>
    <w:rsid w:val="00EE0381"/>
    <w:rsid w:val="00EE510C"/>
    <w:rsid w:val="00EF107E"/>
    <w:rsid w:val="00EF1774"/>
    <w:rsid w:val="00EF2E91"/>
    <w:rsid w:val="00EF3028"/>
    <w:rsid w:val="00EF791A"/>
    <w:rsid w:val="00F01B15"/>
    <w:rsid w:val="00F01BAA"/>
    <w:rsid w:val="00F01BF1"/>
    <w:rsid w:val="00F03EE5"/>
    <w:rsid w:val="00F105E2"/>
    <w:rsid w:val="00F117A0"/>
    <w:rsid w:val="00F12066"/>
    <w:rsid w:val="00F12B1C"/>
    <w:rsid w:val="00F12BD7"/>
    <w:rsid w:val="00F12DBB"/>
    <w:rsid w:val="00F13597"/>
    <w:rsid w:val="00F16037"/>
    <w:rsid w:val="00F20F62"/>
    <w:rsid w:val="00F21679"/>
    <w:rsid w:val="00F24F2B"/>
    <w:rsid w:val="00F267E0"/>
    <w:rsid w:val="00F272D2"/>
    <w:rsid w:val="00F279BB"/>
    <w:rsid w:val="00F30256"/>
    <w:rsid w:val="00F32092"/>
    <w:rsid w:val="00F3297E"/>
    <w:rsid w:val="00F33D04"/>
    <w:rsid w:val="00F341D4"/>
    <w:rsid w:val="00F34863"/>
    <w:rsid w:val="00F34BB6"/>
    <w:rsid w:val="00F35623"/>
    <w:rsid w:val="00F35CDD"/>
    <w:rsid w:val="00F36995"/>
    <w:rsid w:val="00F36F63"/>
    <w:rsid w:val="00F37B87"/>
    <w:rsid w:val="00F44B9D"/>
    <w:rsid w:val="00F45082"/>
    <w:rsid w:val="00F4536C"/>
    <w:rsid w:val="00F477A8"/>
    <w:rsid w:val="00F47F75"/>
    <w:rsid w:val="00F50397"/>
    <w:rsid w:val="00F50E7F"/>
    <w:rsid w:val="00F51370"/>
    <w:rsid w:val="00F515EB"/>
    <w:rsid w:val="00F52C06"/>
    <w:rsid w:val="00F53F2C"/>
    <w:rsid w:val="00F55029"/>
    <w:rsid w:val="00F605F7"/>
    <w:rsid w:val="00F61A25"/>
    <w:rsid w:val="00F62B56"/>
    <w:rsid w:val="00F65C8D"/>
    <w:rsid w:val="00F66669"/>
    <w:rsid w:val="00F672E5"/>
    <w:rsid w:val="00F67FB7"/>
    <w:rsid w:val="00F7214F"/>
    <w:rsid w:val="00F726A3"/>
    <w:rsid w:val="00F736D6"/>
    <w:rsid w:val="00F738A1"/>
    <w:rsid w:val="00F76569"/>
    <w:rsid w:val="00F77F80"/>
    <w:rsid w:val="00F84879"/>
    <w:rsid w:val="00F8536B"/>
    <w:rsid w:val="00F859E4"/>
    <w:rsid w:val="00F8671E"/>
    <w:rsid w:val="00F867F3"/>
    <w:rsid w:val="00F9017C"/>
    <w:rsid w:val="00F911BC"/>
    <w:rsid w:val="00F926CD"/>
    <w:rsid w:val="00F92AB3"/>
    <w:rsid w:val="00F937EC"/>
    <w:rsid w:val="00F94992"/>
    <w:rsid w:val="00F94E22"/>
    <w:rsid w:val="00F952E7"/>
    <w:rsid w:val="00FA25C3"/>
    <w:rsid w:val="00FA3D8B"/>
    <w:rsid w:val="00FA4396"/>
    <w:rsid w:val="00FA4500"/>
    <w:rsid w:val="00FA4F95"/>
    <w:rsid w:val="00FA6B65"/>
    <w:rsid w:val="00FA7308"/>
    <w:rsid w:val="00FB1334"/>
    <w:rsid w:val="00FB20D1"/>
    <w:rsid w:val="00FB3D0E"/>
    <w:rsid w:val="00FB4F98"/>
    <w:rsid w:val="00FB6944"/>
    <w:rsid w:val="00FC0F1E"/>
    <w:rsid w:val="00FC4DDA"/>
    <w:rsid w:val="00FD63AA"/>
    <w:rsid w:val="00FD7AED"/>
    <w:rsid w:val="00FE0A5B"/>
    <w:rsid w:val="00FE17D5"/>
    <w:rsid w:val="00FE39F0"/>
    <w:rsid w:val="00FE4D39"/>
    <w:rsid w:val="00FE550C"/>
    <w:rsid w:val="00FE61CD"/>
    <w:rsid w:val="00FF114E"/>
    <w:rsid w:val="00FF2DBD"/>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BE"/>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1950F9"/>
    <w:rPr>
      <w:sz w:val="16"/>
      <w:szCs w:val="16"/>
    </w:rPr>
  </w:style>
  <w:style w:type="paragraph" w:styleId="CommentText">
    <w:name w:val="annotation text"/>
    <w:basedOn w:val="Normal"/>
    <w:link w:val="CommentTextChar"/>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CommentTextChar">
    <w:name w:val="Comment Text Char"/>
    <w:basedOn w:val="DefaultParagraphFont"/>
    <w:link w:val="CommentText"/>
    <w:rsid w:val="005F44BF"/>
  </w:style>
  <w:style w:type="character" w:customStyle="1" w:styleId="NoSpacingChar">
    <w:name w:val="No Spacing Char"/>
    <w:basedOn w:val="DefaultParagraphFont"/>
    <w:link w:val="NoSpacing"/>
    <w:uiPriority w:val="1"/>
    <w:locked/>
    <w:rsid w:val="00A159C5"/>
    <w:rPr>
      <w:sz w:val="22"/>
      <w:szCs w:val="22"/>
    </w:rPr>
  </w:style>
  <w:style w:type="character" w:styleId="PlaceholderText">
    <w:name w:val="Placeholder Text"/>
    <w:basedOn w:val="DefaultParagraphFont"/>
    <w:uiPriority w:val="99"/>
    <w:semiHidden/>
    <w:rsid w:val="00ED265B"/>
    <w:rPr>
      <w:color w:val="808080"/>
    </w:rPr>
  </w:style>
  <w:style w:type="character" w:customStyle="1" w:styleId="BodyTextIndentChar">
    <w:name w:val="Body Text Indent Char"/>
    <w:basedOn w:val="DefaultParagraphFont"/>
    <w:link w:val="BodyTextIndent"/>
    <w:rsid w:val="00970D56"/>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BE"/>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1950F9"/>
    <w:rPr>
      <w:sz w:val="16"/>
      <w:szCs w:val="16"/>
    </w:rPr>
  </w:style>
  <w:style w:type="paragraph" w:styleId="CommentText">
    <w:name w:val="annotation text"/>
    <w:basedOn w:val="Normal"/>
    <w:link w:val="CommentTextChar"/>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link w:val="BodyTextIndentChar"/>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CommentTextChar">
    <w:name w:val="Comment Text Char"/>
    <w:basedOn w:val="DefaultParagraphFont"/>
    <w:link w:val="CommentText"/>
    <w:rsid w:val="005F44BF"/>
  </w:style>
  <w:style w:type="character" w:customStyle="1" w:styleId="NoSpacingChar">
    <w:name w:val="No Spacing Char"/>
    <w:basedOn w:val="DefaultParagraphFont"/>
    <w:link w:val="NoSpacing"/>
    <w:uiPriority w:val="1"/>
    <w:locked/>
    <w:rsid w:val="00A159C5"/>
    <w:rPr>
      <w:sz w:val="22"/>
      <w:szCs w:val="22"/>
    </w:rPr>
  </w:style>
  <w:style w:type="character" w:styleId="PlaceholderText">
    <w:name w:val="Placeholder Text"/>
    <w:basedOn w:val="DefaultParagraphFont"/>
    <w:uiPriority w:val="99"/>
    <w:semiHidden/>
    <w:rsid w:val="00ED265B"/>
    <w:rPr>
      <w:color w:val="808080"/>
    </w:rPr>
  </w:style>
  <w:style w:type="character" w:customStyle="1" w:styleId="BodyTextIndentChar">
    <w:name w:val="Body Text Indent Char"/>
    <w:basedOn w:val="DefaultParagraphFont"/>
    <w:link w:val="BodyTextIndent"/>
    <w:rsid w:val="00970D5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259994430">
      <w:bodyDiv w:val="1"/>
      <w:marLeft w:val="0"/>
      <w:marRight w:val="0"/>
      <w:marTop w:val="0"/>
      <w:marBottom w:val="0"/>
      <w:divBdr>
        <w:top w:val="none" w:sz="0" w:space="0" w:color="auto"/>
        <w:left w:val="none" w:sz="0" w:space="0" w:color="auto"/>
        <w:bottom w:val="none" w:sz="0" w:space="0" w:color="auto"/>
        <w:right w:val="none" w:sz="0" w:space="0" w:color="auto"/>
      </w:divBdr>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8827090">
      <w:bodyDiv w:val="1"/>
      <w:marLeft w:val="0"/>
      <w:marRight w:val="0"/>
      <w:marTop w:val="0"/>
      <w:marBottom w:val="0"/>
      <w:divBdr>
        <w:top w:val="none" w:sz="0" w:space="0" w:color="auto"/>
        <w:left w:val="none" w:sz="0" w:space="0" w:color="auto"/>
        <w:bottom w:val="none" w:sz="0" w:space="0" w:color="auto"/>
        <w:right w:val="none" w:sz="0" w:space="0" w:color="auto"/>
      </w:divBdr>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9428977">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2748">
      <w:bodyDiv w:val="1"/>
      <w:marLeft w:val="0"/>
      <w:marRight w:val="0"/>
      <w:marTop w:val="0"/>
      <w:marBottom w:val="0"/>
      <w:divBdr>
        <w:top w:val="none" w:sz="0" w:space="0" w:color="auto"/>
        <w:left w:val="none" w:sz="0" w:space="0" w:color="auto"/>
        <w:bottom w:val="none" w:sz="0" w:space="0" w:color="auto"/>
        <w:right w:val="none" w:sz="0" w:space="0" w:color="auto"/>
      </w:divBdr>
      <w:divsChild>
        <w:div w:id="866329972">
          <w:marLeft w:val="0"/>
          <w:marRight w:val="0"/>
          <w:marTop w:val="0"/>
          <w:marBottom w:val="0"/>
          <w:divBdr>
            <w:top w:val="none" w:sz="0" w:space="0" w:color="auto"/>
            <w:left w:val="none" w:sz="0" w:space="0" w:color="auto"/>
            <w:bottom w:val="none" w:sz="0" w:space="0" w:color="auto"/>
            <w:right w:val="none" w:sz="0" w:space="0" w:color="auto"/>
          </w:divBdr>
          <w:divsChild>
            <w:div w:id="1318999868">
              <w:marLeft w:val="0"/>
              <w:marRight w:val="0"/>
              <w:marTop w:val="0"/>
              <w:marBottom w:val="0"/>
              <w:divBdr>
                <w:top w:val="none" w:sz="0" w:space="0" w:color="auto"/>
                <w:left w:val="none" w:sz="0" w:space="0" w:color="auto"/>
                <w:bottom w:val="none" w:sz="0" w:space="0" w:color="auto"/>
                <w:right w:val="none" w:sz="0" w:space="0" w:color="auto"/>
              </w:divBdr>
              <w:divsChild>
                <w:div w:id="1078483356">
                  <w:marLeft w:val="0"/>
                  <w:marRight w:val="0"/>
                  <w:marTop w:val="0"/>
                  <w:marBottom w:val="0"/>
                  <w:divBdr>
                    <w:top w:val="none" w:sz="0" w:space="0" w:color="auto"/>
                    <w:left w:val="none" w:sz="0" w:space="0" w:color="auto"/>
                    <w:bottom w:val="none" w:sz="0" w:space="0" w:color="auto"/>
                    <w:right w:val="none" w:sz="0" w:space="0" w:color="auto"/>
                  </w:divBdr>
                  <w:divsChild>
                    <w:div w:id="1409307038">
                      <w:marLeft w:val="0"/>
                      <w:marRight w:val="0"/>
                      <w:marTop w:val="0"/>
                      <w:marBottom w:val="0"/>
                      <w:divBdr>
                        <w:top w:val="none" w:sz="0" w:space="0" w:color="auto"/>
                        <w:left w:val="none" w:sz="0" w:space="0" w:color="auto"/>
                        <w:bottom w:val="none" w:sz="0" w:space="0" w:color="auto"/>
                        <w:right w:val="none" w:sz="0" w:space="0" w:color="auto"/>
                      </w:divBdr>
                      <w:divsChild>
                        <w:div w:id="12420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356B1-D5DD-4C4F-BAD8-5D560D5B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12500</Words>
  <Characters>71256</Characters>
  <Application>Microsoft Office Word</Application>
  <DocSecurity>4</DocSecurity>
  <Lines>593</Lines>
  <Paragraphs>167</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83589</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2017-04-10T14:30:00Z</dcterms:created>
  <dc:creator>Information Services</dc:creator>
  <lastModifiedBy/>
  <lastPrinted>2017-02-01T14:55:00Z</lastPrinted>
  <dcterms:modified xsi:type="dcterms:W3CDTF">2017-04-10T14:30:00Z</dcterms:modified>
  <revision>2</revision>
  <dc:title>New Drug Review</dc:title>
</coreProperties>
</file>