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9A22" w14:textId="77777777" w:rsidR="00596D17" w:rsidRDefault="00596D17" w:rsidP="00596D17">
      <w:pPr>
        <w:widowControl w:val="0"/>
        <w:pBdr>
          <w:top w:val="nil"/>
          <w:left w:val="nil"/>
          <w:bottom w:val="nil"/>
          <w:right w:val="nil"/>
          <w:between w:val="nil"/>
        </w:pBdr>
        <w:spacing w:after="0"/>
        <w:rPr>
          <w:rFonts w:ascii="Arial" w:eastAsia="Arial" w:hAnsi="Arial" w:cs="Arial"/>
          <w:color w:val="000000"/>
        </w:rPr>
      </w:pPr>
    </w:p>
    <w:tbl>
      <w:tblPr>
        <w:tblStyle w:val="7"/>
        <w:tblW w:w="7672" w:type="dxa"/>
        <w:tblBorders>
          <w:left w:val="single" w:sz="18" w:space="0" w:color="4F81BD"/>
        </w:tblBorders>
        <w:tblLayout w:type="fixed"/>
        <w:tblLook w:val="0000" w:firstRow="0" w:lastRow="0" w:firstColumn="0" w:lastColumn="0" w:noHBand="0" w:noVBand="0"/>
      </w:tblPr>
      <w:tblGrid>
        <w:gridCol w:w="7672"/>
      </w:tblGrid>
      <w:tr w:rsidR="00596D17" w14:paraId="688C3660" w14:textId="77777777" w:rsidTr="000976B3">
        <w:tc>
          <w:tcPr>
            <w:tcW w:w="7672" w:type="dxa"/>
            <w:tcMar>
              <w:top w:w="216" w:type="dxa"/>
              <w:left w:w="115" w:type="dxa"/>
              <w:bottom w:w="216" w:type="dxa"/>
              <w:right w:w="115" w:type="dxa"/>
            </w:tcMar>
          </w:tcPr>
          <w:p w14:paraId="3156C339" w14:textId="77777777" w:rsidR="00596D17" w:rsidRDefault="00596D17" w:rsidP="000976B3">
            <w:pPr>
              <w:pBdr>
                <w:top w:val="nil"/>
                <w:left w:val="nil"/>
                <w:bottom w:val="nil"/>
                <w:right w:val="nil"/>
                <w:between w:val="nil"/>
              </w:pBdr>
              <w:spacing w:after="0" w:line="240" w:lineRule="auto"/>
              <w:rPr>
                <w:rFonts w:ascii="Cambria" w:eastAsia="Cambria" w:hAnsi="Cambria" w:cs="Cambria"/>
                <w:color w:val="000000"/>
              </w:rPr>
            </w:pPr>
            <w:bookmarkStart w:id="0" w:name="_gjdgxs" w:colFirst="0" w:colLast="0"/>
            <w:bookmarkEnd w:id="0"/>
            <w:r>
              <w:rPr>
                <w:rFonts w:ascii="Cambria" w:eastAsia="Cambria" w:hAnsi="Cambria" w:cs="Cambria"/>
                <w:color w:val="000000"/>
              </w:rPr>
              <w:t>Massachusetts Technical Standards Review Group</w:t>
            </w:r>
          </w:p>
        </w:tc>
      </w:tr>
      <w:tr w:rsidR="00596D17" w14:paraId="645F1F57" w14:textId="77777777" w:rsidTr="000976B3">
        <w:tc>
          <w:tcPr>
            <w:tcW w:w="7672" w:type="dxa"/>
          </w:tcPr>
          <w:p w14:paraId="660EE474" w14:textId="77777777" w:rsidR="00596D17" w:rsidRDefault="00596D17" w:rsidP="000976B3">
            <w:pPr>
              <w:pBdr>
                <w:top w:val="nil"/>
                <w:left w:val="nil"/>
                <w:bottom w:val="nil"/>
                <w:right w:val="nil"/>
                <w:between w:val="nil"/>
              </w:pBdr>
              <w:spacing w:after="0" w:line="240" w:lineRule="auto"/>
              <w:rPr>
                <w:rFonts w:ascii="Cambria" w:eastAsia="Cambria" w:hAnsi="Cambria" w:cs="Cambria"/>
                <w:color w:val="4F81BD"/>
                <w:sz w:val="80"/>
                <w:szCs w:val="80"/>
              </w:rPr>
            </w:pPr>
            <w:r>
              <w:rPr>
                <w:rFonts w:ascii="Cambria" w:eastAsia="Cambria" w:hAnsi="Cambria" w:cs="Cambria"/>
                <w:color w:val="4F81BD"/>
                <w:sz w:val="80"/>
                <w:szCs w:val="80"/>
              </w:rPr>
              <w:t>Common Technical Standards Manual</w:t>
            </w:r>
          </w:p>
        </w:tc>
      </w:tr>
      <w:tr w:rsidR="00596D17" w14:paraId="74EC3388" w14:textId="77777777" w:rsidTr="000976B3">
        <w:tc>
          <w:tcPr>
            <w:tcW w:w="7672" w:type="dxa"/>
            <w:tcMar>
              <w:top w:w="216" w:type="dxa"/>
              <w:left w:w="115" w:type="dxa"/>
              <w:bottom w:w="216" w:type="dxa"/>
              <w:right w:w="115" w:type="dxa"/>
            </w:tcMar>
          </w:tcPr>
          <w:p w14:paraId="30422758" w14:textId="77777777" w:rsidR="00596D17" w:rsidRPr="004127C0" w:rsidRDefault="00596D17" w:rsidP="000976B3">
            <w:pPr>
              <w:pBdr>
                <w:top w:val="nil"/>
                <w:left w:val="nil"/>
                <w:bottom w:val="nil"/>
                <w:right w:val="nil"/>
                <w:between w:val="nil"/>
              </w:pBdr>
              <w:spacing w:after="0" w:line="240" w:lineRule="auto"/>
              <w:rPr>
                <w:rFonts w:ascii="Cambria" w:eastAsia="Cambria" w:hAnsi="Cambria" w:cs="Cambria"/>
                <w:color w:val="EE0000"/>
              </w:rPr>
            </w:pPr>
            <w:r>
              <w:rPr>
                <w:rFonts w:ascii="Cambria" w:eastAsia="Cambria" w:hAnsi="Cambria" w:cs="Cambria"/>
                <w:color w:val="000000"/>
              </w:rPr>
              <w:t xml:space="preserve">To accompany </w:t>
            </w:r>
            <w:r w:rsidRPr="004127C0">
              <w:rPr>
                <w:rFonts w:ascii="Cambria" w:eastAsia="Cambria" w:hAnsi="Cambria" w:cs="Cambria"/>
                <w:strike/>
                <w:color w:val="000000"/>
              </w:rPr>
              <w:t>M.D.P.U. No. 1468</w:t>
            </w:r>
            <w:r>
              <w:rPr>
                <w:rFonts w:ascii="Cambria" w:eastAsia="Cambria" w:hAnsi="Cambria" w:cs="Cambria"/>
                <w:strike/>
                <w:color w:val="000000"/>
              </w:rPr>
              <w:t xml:space="preserve"> </w:t>
            </w:r>
            <w:r>
              <w:rPr>
                <w:rFonts w:ascii="Cambria" w:eastAsia="Cambria" w:hAnsi="Cambria" w:cs="Cambria"/>
                <w:color w:val="EE0000"/>
              </w:rPr>
              <w:t xml:space="preserve">Massachusetts Standards for Interconnection of Distributed Generation Tariff </w:t>
            </w:r>
          </w:p>
        </w:tc>
      </w:tr>
    </w:tbl>
    <w:p w14:paraId="2481DD12" w14:textId="77777777" w:rsidR="00596D17" w:rsidRDefault="00596D17" w:rsidP="00596D17"/>
    <w:p w14:paraId="250ACE56" w14:textId="77777777" w:rsidR="00596D17" w:rsidRDefault="00596D17" w:rsidP="00596D17"/>
    <w:tbl>
      <w:tblPr>
        <w:tblStyle w:val="6"/>
        <w:tblW w:w="7672" w:type="dxa"/>
        <w:tblLayout w:type="fixed"/>
        <w:tblLook w:val="0000" w:firstRow="0" w:lastRow="0" w:firstColumn="0" w:lastColumn="0" w:noHBand="0" w:noVBand="0"/>
      </w:tblPr>
      <w:tblGrid>
        <w:gridCol w:w="7672"/>
      </w:tblGrid>
      <w:tr w:rsidR="00596D17" w14:paraId="0562D151" w14:textId="77777777" w:rsidTr="000976B3">
        <w:tc>
          <w:tcPr>
            <w:tcW w:w="7672" w:type="dxa"/>
            <w:tcMar>
              <w:top w:w="216" w:type="dxa"/>
              <w:left w:w="115" w:type="dxa"/>
              <w:bottom w:w="216" w:type="dxa"/>
              <w:right w:w="115" w:type="dxa"/>
            </w:tcMar>
          </w:tcPr>
          <w:p w14:paraId="2A9A8812" w14:textId="77777777" w:rsidR="00596D17" w:rsidRDefault="00596D17" w:rsidP="000976B3">
            <w:pPr>
              <w:pBdr>
                <w:top w:val="nil"/>
                <w:left w:val="nil"/>
                <w:bottom w:val="nil"/>
                <w:right w:val="nil"/>
                <w:between w:val="nil"/>
              </w:pBdr>
              <w:spacing w:after="0" w:line="240" w:lineRule="auto"/>
              <w:rPr>
                <w:color w:val="4F81BD"/>
              </w:rPr>
            </w:pPr>
          </w:p>
        </w:tc>
      </w:tr>
    </w:tbl>
    <w:p w14:paraId="30782A9A" w14:textId="77777777" w:rsidR="00596D17" w:rsidRDefault="00596D17" w:rsidP="00596D17">
      <w:pPr>
        <w:pStyle w:val="Heading1"/>
        <w:spacing w:before="0" w:after="0"/>
        <w:rPr>
          <w:sz w:val="28"/>
        </w:rPr>
      </w:pPr>
      <w:bookmarkStart w:id="1" w:name="_Toc206408625"/>
    </w:p>
    <w:p w14:paraId="0D072034" w14:textId="77777777" w:rsidR="00596D17" w:rsidRDefault="00596D17" w:rsidP="00596D17">
      <w:pPr>
        <w:pStyle w:val="Heading1"/>
        <w:spacing w:before="0" w:after="0"/>
        <w:rPr>
          <w:sz w:val="28"/>
        </w:rPr>
      </w:pPr>
    </w:p>
    <w:p w14:paraId="656B1E97" w14:textId="77777777" w:rsidR="00596D17" w:rsidRDefault="00596D17" w:rsidP="00596D17">
      <w:pPr>
        <w:pStyle w:val="Heading1"/>
        <w:spacing w:before="0" w:after="0"/>
        <w:rPr>
          <w:sz w:val="28"/>
        </w:rPr>
      </w:pPr>
    </w:p>
    <w:p w14:paraId="59816D6E" w14:textId="77777777" w:rsidR="00596D17" w:rsidRDefault="00596D17" w:rsidP="00596D17">
      <w:pPr>
        <w:pStyle w:val="Heading1"/>
        <w:spacing w:before="0" w:after="0"/>
        <w:rPr>
          <w:sz w:val="28"/>
        </w:rPr>
      </w:pPr>
    </w:p>
    <w:p w14:paraId="55500859" w14:textId="77777777" w:rsidR="00596D17" w:rsidRDefault="00596D17" w:rsidP="00596D17">
      <w:pPr>
        <w:pStyle w:val="Heading1"/>
        <w:spacing w:before="0" w:after="0"/>
        <w:rPr>
          <w:sz w:val="28"/>
        </w:rPr>
      </w:pPr>
    </w:p>
    <w:p w14:paraId="7A5D340B" w14:textId="77777777" w:rsidR="00596D17" w:rsidRDefault="00596D17" w:rsidP="00596D17">
      <w:pPr>
        <w:pStyle w:val="Heading1"/>
        <w:spacing w:before="0" w:after="0"/>
        <w:rPr>
          <w:sz w:val="28"/>
        </w:rPr>
      </w:pPr>
    </w:p>
    <w:p w14:paraId="64A2718C" w14:textId="77777777" w:rsidR="00596D17" w:rsidRDefault="00596D17" w:rsidP="00596D17">
      <w:pPr>
        <w:pStyle w:val="Heading1"/>
        <w:spacing w:before="0" w:after="0"/>
        <w:rPr>
          <w:sz w:val="28"/>
        </w:rPr>
      </w:pPr>
    </w:p>
    <w:p w14:paraId="46EAE2E6" w14:textId="77777777" w:rsidR="00596D17" w:rsidRDefault="00596D17" w:rsidP="00596D17">
      <w:pPr>
        <w:pStyle w:val="Heading1"/>
        <w:spacing w:before="0" w:after="0"/>
        <w:rPr>
          <w:sz w:val="28"/>
        </w:rPr>
      </w:pPr>
    </w:p>
    <w:p w14:paraId="3C0F5FA1" w14:textId="77777777" w:rsidR="00596D17" w:rsidRDefault="00596D17" w:rsidP="00596D17">
      <w:pPr>
        <w:pStyle w:val="Heading1"/>
        <w:spacing w:before="0" w:after="0"/>
        <w:rPr>
          <w:sz w:val="28"/>
        </w:rPr>
      </w:pPr>
    </w:p>
    <w:p w14:paraId="34D487AB" w14:textId="77777777" w:rsidR="00596D17" w:rsidRDefault="00596D17" w:rsidP="00596D17">
      <w:pPr>
        <w:pStyle w:val="Heading1"/>
        <w:spacing w:before="0" w:after="0"/>
        <w:rPr>
          <w:sz w:val="28"/>
        </w:rPr>
      </w:pPr>
    </w:p>
    <w:p w14:paraId="58657F57" w14:textId="77777777" w:rsidR="00596D17" w:rsidRDefault="00596D17" w:rsidP="00596D17">
      <w:pPr>
        <w:pStyle w:val="Heading1"/>
        <w:spacing w:before="0" w:after="0"/>
        <w:rPr>
          <w:sz w:val="28"/>
        </w:rPr>
      </w:pPr>
    </w:p>
    <w:p w14:paraId="48D30CBD" w14:textId="77777777" w:rsidR="00596D17" w:rsidRDefault="00596D17" w:rsidP="00596D17">
      <w:pPr>
        <w:pStyle w:val="Heading1"/>
        <w:spacing w:before="0" w:after="0"/>
        <w:rPr>
          <w:sz w:val="28"/>
        </w:rPr>
      </w:pPr>
    </w:p>
    <w:p w14:paraId="639C8A38" w14:textId="77777777" w:rsidR="00596D17" w:rsidRDefault="00596D17" w:rsidP="00596D17">
      <w:pPr>
        <w:pStyle w:val="Heading1"/>
        <w:spacing w:before="0" w:after="0"/>
        <w:rPr>
          <w:sz w:val="28"/>
        </w:rPr>
      </w:pPr>
    </w:p>
    <w:p w14:paraId="076F8533" w14:textId="77777777" w:rsidR="00596D17" w:rsidRDefault="00596D17" w:rsidP="00596D17">
      <w:pPr>
        <w:pStyle w:val="Heading1"/>
        <w:spacing w:before="0" w:after="0"/>
        <w:rPr>
          <w:sz w:val="28"/>
        </w:rPr>
      </w:pPr>
    </w:p>
    <w:p w14:paraId="5C55BCDC" w14:textId="77777777" w:rsidR="00596D17" w:rsidRDefault="00596D17" w:rsidP="00596D17">
      <w:pPr>
        <w:pStyle w:val="Heading1"/>
        <w:spacing w:before="0" w:after="0"/>
        <w:rPr>
          <w:sz w:val="28"/>
        </w:rPr>
      </w:pPr>
    </w:p>
    <w:p w14:paraId="603B1AC3" w14:textId="77777777" w:rsidR="00596D17" w:rsidRPr="00B612D5" w:rsidRDefault="00596D17" w:rsidP="00596D17">
      <w:pPr>
        <w:pStyle w:val="Heading1"/>
        <w:spacing w:before="0" w:after="0"/>
        <w:rPr>
          <w:sz w:val="28"/>
        </w:rPr>
      </w:pPr>
      <w:r w:rsidRPr="00B612D5">
        <w:rPr>
          <w:sz w:val="28"/>
        </w:rPr>
        <w:t>Revision History</w:t>
      </w:r>
      <w:r>
        <w:rPr>
          <w:sz w:val="28"/>
        </w:rPr>
        <w:t xml:space="preserve"> (version history prior tracking started December 2022)</w:t>
      </w:r>
      <w:bookmarkEnd w:id="1"/>
    </w:p>
    <w:p w14:paraId="567E98AF" w14:textId="77777777" w:rsidR="00596D17" w:rsidRPr="00B612D5" w:rsidRDefault="00596D17" w:rsidP="00596D17">
      <w:pPr>
        <w:tabs>
          <w:tab w:val="left" w:pos="1080"/>
          <w:tab w:val="center" w:pos="1440"/>
          <w:tab w:val="right" w:pos="1800"/>
          <w:tab w:val="left" w:pos="2160"/>
          <w:tab w:val="right" w:pos="9360"/>
        </w:tabs>
        <w:spacing w:after="0" w:line="240" w:lineRule="auto"/>
        <w:jc w:val="both"/>
        <w:rPr>
          <w:rFonts w:ascii="Arial" w:hAnsi="Arial" w:cs="Arial"/>
          <w:b/>
          <w:u w:val="single"/>
        </w:rPr>
      </w:pPr>
      <w:r w:rsidRPr="00B612D5">
        <w:rPr>
          <w:rFonts w:ascii="Arial" w:hAnsi="Arial" w:cs="Arial"/>
          <w:b/>
          <w:u w:val="single"/>
        </w:rPr>
        <w:t>Version</w:t>
      </w:r>
      <w:r w:rsidRPr="00B612D5">
        <w:rPr>
          <w:rFonts w:ascii="Arial" w:hAnsi="Arial" w:cs="Arial"/>
          <w:b/>
        </w:rPr>
        <w:tab/>
      </w:r>
      <w:r w:rsidRPr="00B612D5">
        <w:rPr>
          <w:rFonts w:ascii="Arial" w:hAnsi="Arial" w:cs="Arial"/>
          <w:b/>
          <w:u w:val="single"/>
        </w:rPr>
        <w:tab/>
        <w:t>Date</w:t>
      </w:r>
      <w:r w:rsidRPr="00B612D5">
        <w:rPr>
          <w:rFonts w:ascii="Arial" w:hAnsi="Arial" w:cs="Arial"/>
          <w:b/>
          <w:u w:val="single"/>
        </w:rPr>
        <w:tab/>
      </w:r>
      <w:r w:rsidRPr="00B612D5">
        <w:rPr>
          <w:rFonts w:ascii="Arial" w:hAnsi="Arial" w:cs="Arial"/>
          <w:b/>
        </w:rPr>
        <w:tab/>
      </w:r>
      <w:r w:rsidRPr="00B612D5">
        <w:rPr>
          <w:rFonts w:ascii="Arial" w:hAnsi="Arial" w:cs="Arial"/>
          <w:b/>
          <w:u w:val="single"/>
        </w:rPr>
        <w:t>Description of Revision</w:t>
      </w:r>
      <w:r w:rsidRPr="00B612D5">
        <w:rPr>
          <w:rFonts w:ascii="Arial" w:hAnsi="Arial" w:cs="Arial"/>
          <w:b/>
          <w:u w:val="single"/>
        </w:rPr>
        <w:tab/>
      </w:r>
    </w:p>
    <w:p w14:paraId="51B4565A" w14:textId="77777777" w:rsidR="00596D17" w:rsidRDefault="00596D17" w:rsidP="00596D17">
      <w:pPr>
        <w:tabs>
          <w:tab w:val="center" w:pos="360"/>
          <w:tab w:val="center" w:pos="1440"/>
          <w:tab w:val="right" w:pos="1800"/>
          <w:tab w:val="left" w:pos="2160"/>
          <w:tab w:val="right" w:pos="9360"/>
        </w:tabs>
        <w:spacing w:after="0" w:line="240" w:lineRule="auto"/>
        <w:ind w:left="2160" w:hanging="2160"/>
        <w:jc w:val="both"/>
      </w:pPr>
      <w:r w:rsidRPr="00B612D5">
        <w:rPr>
          <w:rFonts w:ascii="Arial" w:hAnsi="Arial" w:cs="Arial"/>
        </w:rPr>
        <w:tab/>
      </w:r>
      <w:r w:rsidRPr="00174149">
        <w:t>1.0</w:t>
      </w:r>
      <w:r>
        <w:rPr>
          <w:rFonts w:ascii="Arial" w:hAnsi="Arial" w:cs="Arial"/>
        </w:rPr>
        <w:tab/>
      </w:r>
      <w:r w:rsidRPr="00174149">
        <w:t>12/22/22</w:t>
      </w:r>
      <w:r>
        <w:rPr>
          <w:rFonts w:ascii="Arial" w:hAnsi="Arial" w:cs="Arial"/>
        </w:rPr>
        <w:t xml:space="preserve"> </w:t>
      </w:r>
      <w:r>
        <w:rPr>
          <w:rFonts w:ascii="Arial" w:hAnsi="Arial" w:cs="Arial"/>
        </w:rPr>
        <w:tab/>
      </w:r>
      <w:r w:rsidRPr="00174149">
        <w:t xml:space="preserve">Added ESS study section under sect 16; updated </w:t>
      </w:r>
      <w:proofErr w:type="spellStart"/>
      <w:r w:rsidRPr="00174149">
        <w:t>misc</w:t>
      </w:r>
      <w:proofErr w:type="spellEnd"/>
      <w:r w:rsidRPr="00174149">
        <w:t xml:space="preserve"> links; deleted “authors” from cover sheet as this is a living document</w:t>
      </w:r>
    </w:p>
    <w:p w14:paraId="0E61A04D" w14:textId="77777777" w:rsidR="00596D17" w:rsidRPr="00DB458C" w:rsidRDefault="00596D17" w:rsidP="00596D17">
      <w:pPr>
        <w:tabs>
          <w:tab w:val="center" w:pos="360"/>
          <w:tab w:val="center" w:pos="1440"/>
          <w:tab w:val="right" w:pos="1800"/>
          <w:tab w:val="left" w:pos="2160"/>
          <w:tab w:val="right" w:pos="9360"/>
        </w:tabs>
        <w:spacing w:after="0" w:line="240" w:lineRule="auto"/>
        <w:ind w:left="2160" w:hanging="2160"/>
        <w:jc w:val="both"/>
        <w:rPr>
          <w:rFonts w:asciiTheme="majorHAnsi" w:hAnsiTheme="majorHAnsi" w:cstheme="majorHAnsi"/>
          <w:color w:val="EE0000"/>
        </w:rPr>
      </w:pPr>
      <w:r w:rsidRPr="00C50BB5">
        <w:rPr>
          <w:rFonts w:ascii="Arial" w:hAnsi="Arial" w:cs="Arial"/>
          <w:color w:val="EE0000"/>
        </w:rPr>
        <w:tab/>
      </w:r>
      <w:r w:rsidRPr="00DB458C">
        <w:rPr>
          <w:rFonts w:asciiTheme="majorHAnsi" w:hAnsiTheme="majorHAnsi" w:cstheme="majorHAnsi"/>
          <w:color w:val="EE0000"/>
        </w:rPr>
        <w:t>2.0</w:t>
      </w:r>
      <w:r w:rsidRPr="00DB458C">
        <w:rPr>
          <w:rFonts w:asciiTheme="majorHAnsi" w:hAnsiTheme="majorHAnsi" w:cstheme="majorHAnsi"/>
          <w:color w:val="EE0000"/>
        </w:rPr>
        <w:tab/>
        <w:t xml:space="preserve"> 09/03/25 </w:t>
      </w:r>
      <w:r w:rsidRPr="00DB458C">
        <w:rPr>
          <w:rFonts w:asciiTheme="majorHAnsi" w:hAnsiTheme="majorHAnsi" w:cstheme="majorHAnsi"/>
          <w:color w:val="EE0000"/>
        </w:rPr>
        <w:tab/>
        <w:t>Added Section 18 on TOV. Made various changes in subsequent Chapters.</w:t>
      </w:r>
    </w:p>
    <w:p w14:paraId="4B814246" w14:textId="77777777" w:rsidR="00596D17" w:rsidRDefault="00596D17" w:rsidP="00596D17">
      <w:pPr>
        <w:keepNext/>
        <w:numPr>
          <w:ilvl w:val="0"/>
          <w:numId w:val="8"/>
        </w:numPr>
        <w:pBdr>
          <w:top w:val="nil"/>
          <w:left w:val="nil"/>
          <w:bottom w:val="single" w:sz="8" w:space="4" w:color="4F81BD"/>
          <w:right w:val="nil"/>
          <w:between w:val="nil"/>
        </w:pBdr>
        <w:spacing w:before="600" w:after="300" w:line="240" w:lineRule="auto"/>
      </w:pPr>
      <w:r>
        <w:rPr>
          <w:rFonts w:ascii="Cambria" w:eastAsia="Cambria" w:hAnsi="Cambria" w:cs="Cambria"/>
          <w:color w:val="17365D"/>
          <w:sz w:val="32"/>
          <w:szCs w:val="32"/>
        </w:rPr>
        <w:t>Table of Contents</w:t>
      </w:r>
    </w:p>
    <w:sdt>
      <w:sdtPr>
        <w:id w:val="915363038"/>
        <w:docPartObj>
          <w:docPartGallery w:val="Table of Contents"/>
          <w:docPartUnique/>
        </w:docPartObj>
      </w:sdtPr>
      <w:sdtContent>
        <w:p w14:paraId="38D85A1C" w14:textId="77777777" w:rsidR="00596D17" w:rsidRDefault="00596D17" w:rsidP="00596D17">
          <w:pPr>
            <w:pStyle w:val="TOC1"/>
            <w:rPr>
              <w:rFonts w:asciiTheme="minorHAnsi" w:eastAsiaTheme="minorEastAsia" w:hAnsiTheme="minorHAnsi" w:cstheme="minorBidi"/>
              <w:noProof/>
            </w:rPr>
          </w:pPr>
          <w:r w:rsidRPr="00893474">
            <w:fldChar w:fldCharType="begin"/>
          </w:r>
          <w:r w:rsidRPr="00893474">
            <w:instrText xml:space="preserve"> TOC \h \u \z </w:instrText>
          </w:r>
          <w:r w:rsidRPr="00893474">
            <w:fldChar w:fldCharType="separate"/>
          </w:r>
          <w:hyperlink w:anchor="_Toc122618257" w:history="1">
            <w:r w:rsidRPr="0058649E">
              <w:rPr>
                <w:rStyle w:val="Hyperlink"/>
                <w:noProof/>
              </w:rPr>
              <w:t>2.0</w:t>
            </w:r>
            <w:r>
              <w:rPr>
                <w:rFonts w:asciiTheme="minorHAnsi" w:eastAsiaTheme="minorEastAsia" w:hAnsiTheme="minorHAnsi" w:cstheme="minorBidi"/>
                <w:noProof/>
              </w:rPr>
              <w:tab/>
            </w:r>
            <w:r w:rsidRPr="0058649E">
              <w:rPr>
                <w:rStyle w:val="Hyperlink"/>
                <w:noProof/>
              </w:rPr>
              <w:t>Introduction</w:t>
            </w:r>
            <w:r>
              <w:rPr>
                <w:noProof/>
                <w:webHidden/>
              </w:rPr>
              <w:tab/>
            </w:r>
            <w:r>
              <w:rPr>
                <w:noProof/>
                <w:webHidden/>
              </w:rPr>
              <w:fldChar w:fldCharType="begin"/>
            </w:r>
            <w:r>
              <w:rPr>
                <w:noProof/>
                <w:webHidden/>
              </w:rPr>
              <w:instrText xml:space="preserve"> PAGEREF _Toc122618257 \h </w:instrText>
            </w:r>
            <w:r>
              <w:rPr>
                <w:noProof/>
                <w:webHidden/>
              </w:rPr>
            </w:r>
            <w:r>
              <w:rPr>
                <w:noProof/>
                <w:webHidden/>
              </w:rPr>
              <w:fldChar w:fldCharType="separate"/>
            </w:r>
            <w:r>
              <w:rPr>
                <w:noProof/>
                <w:webHidden/>
              </w:rPr>
              <w:t>3</w:t>
            </w:r>
            <w:r>
              <w:rPr>
                <w:noProof/>
                <w:webHidden/>
              </w:rPr>
              <w:fldChar w:fldCharType="end"/>
            </w:r>
          </w:hyperlink>
        </w:p>
        <w:p w14:paraId="5F05C67A" w14:textId="77777777" w:rsidR="00596D17" w:rsidRDefault="00596D17" w:rsidP="00596D17">
          <w:pPr>
            <w:pStyle w:val="TOC1"/>
            <w:rPr>
              <w:rFonts w:asciiTheme="minorHAnsi" w:eastAsiaTheme="minorEastAsia" w:hAnsiTheme="minorHAnsi" w:cstheme="minorBidi"/>
              <w:noProof/>
            </w:rPr>
          </w:pPr>
          <w:hyperlink w:anchor="_Toc122618258" w:history="1">
            <w:r w:rsidRPr="0058649E">
              <w:rPr>
                <w:rStyle w:val="Hyperlink"/>
                <w:noProof/>
              </w:rPr>
              <w:t>3.0</w:t>
            </w:r>
            <w:r>
              <w:rPr>
                <w:rFonts w:asciiTheme="minorHAnsi" w:eastAsiaTheme="minorEastAsia" w:hAnsiTheme="minorHAnsi" w:cstheme="minorBidi"/>
                <w:noProof/>
              </w:rPr>
              <w:tab/>
            </w:r>
            <w:r w:rsidRPr="0058649E">
              <w:rPr>
                <w:rStyle w:val="Hyperlink"/>
                <w:noProof/>
              </w:rPr>
              <w:t>Standards and Guidelines Reference</w:t>
            </w:r>
            <w:r>
              <w:rPr>
                <w:noProof/>
                <w:webHidden/>
              </w:rPr>
              <w:tab/>
            </w:r>
            <w:r>
              <w:rPr>
                <w:noProof/>
                <w:webHidden/>
              </w:rPr>
              <w:fldChar w:fldCharType="begin"/>
            </w:r>
            <w:r>
              <w:rPr>
                <w:noProof/>
                <w:webHidden/>
              </w:rPr>
              <w:instrText xml:space="preserve"> PAGEREF _Toc122618258 \h </w:instrText>
            </w:r>
            <w:r>
              <w:rPr>
                <w:noProof/>
                <w:webHidden/>
              </w:rPr>
            </w:r>
            <w:r>
              <w:rPr>
                <w:noProof/>
                <w:webHidden/>
              </w:rPr>
              <w:fldChar w:fldCharType="separate"/>
            </w:r>
            <w:r>
              <w:rPr>
                <w:noProof/>
                <w:webHidden/>
              </w:rPr>
              <w:t>4</w:t>
            </w:r>
            <w:r>
              <w:rPr>
                <w:noProof/>
                <w:webHidden/>
              </w:rPr>
              <w:fldChar w:fldCharType="end"/>
            </w:r>
          </w:hyperlink>
        </w:p>
        <w:p w14:paraId="7B9C1C25"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59" w:history="1">
            <w:r w:rsidRPr="0058649E">
              <w:rPr>
                <w:rStyle w:val="Hyperlink"/>
                <w:noProof/>
              </w:rPr>
              <w:t>3.1</w:t>
            </w:r>
            <w:r>
              <w:rPr>
                <w:rFonts w:asciiTheme="minorHAnsi" w:eastAsiaTheme="minorEastAsia" w:hAnsiTheme="minorHAnsi" w:cstheme="minorBidi"/>
                <w:noProof/>
              </w:rPr>
              <w:tab/>
            </w:r>
            <w:r w:rsidRPr="0058649E">
              <w:rPr>
                <w:rStyle w:val="Hyperlink"/>
                <w:noProof/>
              </w:rPr>
              <w:t>Electric Distribution Companies</w:t>
            </w:r>
            <w:r>
              <w:rPr>
                <w:noProof/>
                <w:webHidden/>
              </w:rPr>
              <w:tab/>
            </w:r>
            <w:r>
              <w:rPr>
                <w:noProof/>
                <w:webHidden/>
              </w:rPr>
              <w:fldChar w:fldCharType="begin"/>
            </w:r>
            <w:r>
              <w:rPr>
                <w:noProof/>
                <w:webHidden/>
              </w:rPr>
              <w:instrText xml:space="preserve"> PAGEREF _Toc122618259 \h </w:instrText>
            </w:r>
            <w:r>
              <w:rPr>
                <w:noProof/>
                <w:webHidden/>
              </w:rPr>
            </w:r>
            <w:r>
              <w:rPr>
                <w:noProof/>
                <w:webHidden/>
              </w:rPr>
              <w:fldChar w:fldCharType="separate"/>
            </w:r>
            <w:r>
              <w:rPr>
                <w:noProof/>
                <w:webHidden/>
              </w:rPr>
              <w:t>4</w:t>
            </w:r>
            <w:r>
              <w:rPr>
                <w:noProof/>
                <w:webHidden/>
              </w:rPr>
              <w:fldChar w:fldCharType="end"/>
            </w:r>
          </w:hyperlink>
        </w:p>
        <w:p w14:paraId="2EF0B1E0"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0" w:history="1">
            <w:r w:rsidRPr="0058649E">
              <w:rPr>
                <w:rStyle w:val="Hyperlink"/>
                <w:noProof/>
              </w:rPr>
              <w:t>3.2</w:t>
            </w:r>
            <w:r>
              <w:rPr>
                <w:rFonts w:asciiTheme="minorHAnsi" w:eastAsiaTheme="minorEastAsia" w:hAnsiTheme="minorHAnsi" w:cstheme="minorBidi"/>
                <w:noProof/>
              </w:rPr>
              <w:tab/>
            </w:r>
            <w:r w:rsidRPr="0058649E">
              <w:rPr>
                <w:rStyle w:val="Hyperlink"/>
                <w:noProof/>
              </w:rPr>
              <w:t>Department of Public Utilities</w:t>
            </w:r>
            <w:r>
              <w:rPr>
                <w:noProof/>
                <w:webHidden/>
              </w:rPr>
              <w:tab/>
            </w:r>
            <w:r>
              <w:rPr>
                <w:noProof/>
                <w:webHidden/>
              </w:rPr>
              <w:fldChar w:fldCharType="begin"/>
            </w:r>
            <w:r>
              <w:rPr>
                <w:noProof/>
                <w:webHidden/>
              </w:rPr>
              <w:instrText xml:space="preserve"> PAGEREF _Toc122618260 \h </w:instrText>
            </w:r>
            <w:r>
              <w:rPr>
                <w:noProof/>
                <w:webHidden/>
              </w:rPr>
            </w:r>
            <w:r>
              <w:rPr>
                <w:noProof/>
                <w:webHidden/>
              </w:rPr>
              <w:fldChar w:fldCharType="separate"/>
            </w:r>
            <w:r>
              <w:rPr>
                <w:noProof/>
                <w:webHidden/>
              </w:rPr>
              <w:t>5</w:t>
            </w:r>
            <w:r>
              <w:rPr>
                <w:noProof/>
                <w:webHidden/>
              </w:rPr>
              <w:fldChar w:fldCharType="end"/>
            </w:r>
          </w:hyperlink>
        </w:p>
        <w:p w14:paraId="62E4B0B8" w14:textId="77777777" w:rsidR="00596D17" w:rsidRDefault="00596D17" w:rsidP="00596D17">
          <w:pPr>
            <w:pStyle w:val="TOC1"/>
            <w:rPr>
              <w:rFonts w:asciiTheme="minorHAnsi" w:eastAsiaTheme="minorEastAsia" w:hAnsiTheme="minorHAnsi" w:cstheme="minorBidi"/>
              <w:noProof/>
            </w:rPr>
          </w:pPr>
          <w:hyperlink w:anchor="_Toc122618261" w:history="1">
            <w:r w:rsidRPr="0058649E">
              <w:rPr>
                <w:rStyle w:val="Hyperlink"/>
                <w:noProof/>
              </w:rPr>
              <w:t>4.0</w:t>
            </w:r>
            <w:r>
              <w:rPr>
                <w:rFonts w:asciiTheme="minorHAnsi" w:eastAsiaTheme="minorEastAsia" w:hAnsiTheme="minorHAnsi" w:cstheme="minorBidi"/>
                <w:noProof/>
              </w:rPr>
              <w:tab/>
            </w:r>
            <w:r w:rsidRPr="0058649E">
              <w:rPr>
                <w:rStyle w:val="Hyperlink"/>
                <w:noProof/>
              </w:rPr>
              <w:t>Anti-Islanding, Reclose Blocking, and Direct Transfer Trip</w:t>
            </w:r>
            <w:r>
              <w:rPr>
                <w:noProof/>
                <w:webHidden/>
              </w:rPr>
              <w:tab/>
            </w:r>
            <w:r>
              <w:rPr>
                <w:noProof/>
                <w:webHidden/>
              </w:rPr>
              <w:fldChar w:fldCharType="begin"/>
            </w:r>
            <w:r>
              <w:rPr>
                <w:noProof/>
                <w:webHidden/>
              </w:rPr>
              <w:instrText xml:space="preserve"> PAGEREF _Toc122618261 \h </w:instrText>
            </w:r>
            <w:r>
              <w:rPr>
                <w:noProof/>
                <w:webHidden/>
              </w:rPr>
            </w:r>
            <w:r>
              <w:rPr>
                <w:noProof/>
                <w:webHidden/>
              </w:rPr>
              <w:fldChar w:fldCharType="separate"/>
            </w:r>
            <w:r>
              <w:rPr>
                <w:noProof/>
                <w:webHidden/>
              </w:rPr>
              <w:t>5</w:t>
            </w:r>
            <w:r>
              <w:rPr>
                <w:noProof/>
                <w:webHidden/>
              </w:rPr>
              <w:fldChar w:fldCharType="end"/>
            </w:r>
          </w:hyperlink>
        </w:p>
        <w:p w14:paraId="7A5C7495"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2" w:history="1">
            <w:r w:rsidRPr="0058649E">
              <w:rPr>
                <w:rStyle w:val="Hyperlink"/>
                <w:noProof/>
              </w:rPr>
              <w:t>4.1</w:t>
            </w:r>
            <w:r>
              <w:rPr>
                <w:rFonts w:asciiTheme="minorHAnsi" w:eastAsiaTheme="minorEastAsia" w:hAnsiTheme="minorHAnsi" w:cstheme="minorBidi"/>
                <w:noProof/>
              </w:rPr>
              <w:tab/>
            </w:r>
            <w:r w:rsidRPr="0058649E">
              <w:rPr>
                <w:rStyle w:val="Hyperlink"/>
                <w:noProof/>
              </w:rPr>
              <w:t>Screening Process</w:t>
            </w:r>
            <w:r>
              <w:rPr>
                <w:noProof/>
                <w:webHidden/>
              </w:rPr>
              <w:tab/>
            </w:r>
            <w:r>
              <w:rPr>
                <w:noProof/>
                <w:webHidden/>
              </w:rPr>
              <w:fldChar w:fldCharType="begin"/>
            </w:r>
            <w:r>
              <w:rPr>
                <w:noProof/>
                <w:webHidden/>
              </w:rPr>
              <w:instrText xml:space="preserve"> PAGEREF _Toc122618262 \h </w:instrText>
            </w:r>
            <w:r>
              <w:rPr>
                <w:noProof/>
                <w:webHidden/>
              </w:rPr>
            </w:r>
            <w:r>
              <w:rPr>
                <w:noProof/>
                <w:webHidden/>
              </w:rPr>
              <w:fldChar w:fldCharType="separate"/>
            </w:r>
            <w:r>
              <w:rPr>
                <w:noProof/>
                <w:webHidden/>
              </w:rPr>
              <w:t>5</w:t>
            </w:r>
            <w:r>
              <w:rPr>
                <w:noProof/>
                <w:webHidden/>
              </w:rPr>
              <w:fldChar w:fldCharType="end"/>
            </w:r>
          </w:hyperlink>
        </w:p>
        <w:p w14:paraId="47F16DFE"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3" w:history="1">
            <w:r w:rsidRPr="0058649E">
              <w:rPr>
                <w:rStyle w:val="Hyperlink"/>
                <w:noProof/>
              </w:rPr>
              <w:t>4.2</w:t>
            </w:r>
            <w:r>
              <w:rPr>
                <w:rFonts w:asciiTheme="minorHAnsi" w:eastAsiaTheme="minorEastAsia" w:hAnsiTheme="minorHAnsi" w:cstheme="minorBidi"/>
                <w:noProof/>
              </w:rPr>
              <w:tab/>
            </w:r>
            <w:r w:rsidRPr="0058649E">
              <w:rPr>
                <w:rStyle w:val="Hyperlink"/>
                <w:noProof/>
              </w:rPr>
              <w:t>Reclose Blocking</w:t>
            </w:r>
            <w:r>
              <w:rPr>
                <w:noProof/>
                <w:webHidden/>
              </w:rPr>
              <w:tab/>
            </w:r>
            <w:r>
              <w:rPr>
                <w:noProof/>
                <w:webHidden/>
              </w:rPr>
              <w:fldChar w:fldCharType="begin"/>
            </w:r>
            <w:r>
              <w:rPr>
                <w:noProof/>
                <w:webHidden/>
              </w:rPr>
              <w:instrText xml:space="preserve"> PAGEREF _Toc122618263 \h </w:instrText>
            </w:r>
            <w:r>
              <w:rPr>
                <w:noProof/>
                <w:webHidden/>
              </w:rPr>
            </w:r>
            <w:r>
              <w:rPr>
                <w:noProof/>
                <w:webHidden/>
              </w:rPr>
              <w:fldChar w:fldCharType="separate"/>
            </w:r>
            <w:r>
              <w:rPr>
                <w:noProof/>
                <w:webHidden/>
              </w:rPr>
              <w:t>10</w:t>
            </w:r>
            <w:r>
              <w:rPr>
                <w:noProof/>
                <w:webHidden/>
              </w:rPr>
              <w:fldChar w:fldCharType="end"/>
            </w:r>
          </w:hyperlink>
        </w:p>
        <w:p w14:paraId="1415787A"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4" w:history="1">
            <w:r w:rsidRPr="0058649E">
              <w:rPr>
                <w:rStyle w:val="Hyperlink"/>
                <w:noProof/>
              </w:rPr>
              <w:t>4.3</w:t>
            </w:r>
            <w:r>
              <w:rPr>
                <w:rFonts w:asciiTheme="minorHAnsi" w:eastAsiaTheme="minorEastAsia" w:hAnsiTheme="minorHAnsi" w:cstheme="minorBidi"/>
                <w:noProof/>
              </w:rPr>
              <w:tab/>
            </w:r>
            <w:r w:rsidRPr="0058649E">
              <w:rPr>
                <w:rStyle w:val="Hyperlink"/>
                <w:noProof/>
              </w:rPr>
              <w:t>Direct Transfer Trip</w:t>
            </w:r>
            <w:r>
              <w:rPr>
                <w:noProof/>
                <w:webHidden/>
              </w:rPr>
              <w:tab/>
            </w:r>
            <w:r>
              <w:rPr>
                <w:noProof/>
                <w:webHidden/>
              </w:rPr>
              <w:fldChar w:fldCharType="begin"/>
            </w:r>
            <w:r>
              <w:rPr>
                <w:noProof/>
                <w:webHidden/>
              </w:rPr>
              <w:instrText xml:space="preserve"> PAGEREF _Toc122618264 \h </w:instrText>
            </w:r>
            <w:r>
              <w:rPr>
                <w:noProof/>
                <w:webHidden/>
              </w:rPr>
            </w:r>
            <w:r>
              <w:rPr>
                <w:noProof/>
                <w:webHidden/>
              </w:rPr>
              <w:fldChar w:fldCharType="separate"/>
            </w:r>
            <w:r>
              <w:rPr>
                <w:noProof/>
                <w:webHidden/>
              </w:rPr>
              <w:t>10</w:t>
            </w:r>
            <w:r>
              <w:rPr>
                <w:noProof/>
                <w:webHidden/>
              </w:rPr>
              <w:fldChar w:fldCharType="end"/>
            </w:r>
          </w:hyperlink>
        </w:p>
        <w:p w14:paraId="16BB9393" w14:textId="77777777" w:rsidR="00596D17" w:rsidRDefault="00596D17" w:rsidP="00596D17">
          <w:pPr>
            <w:pStyle w:val="TOC1"/>
            <w:rPr>
              <w:rFonts w:asciiTheme="minorHAnsi" w:eastAsiaTheme="minorEastAsia" w:hAnsiTheme="minorHAnsi" w:cstheme="minorBidi"/>
              <w:noProof/>
            </w:rPr>
          </w:pPr>
          <w:hyperlink w:anchor="_Toc122618265" w:history="1">
            <w:r w:rsidRPr="0058649E">
              <w:rPr>
                <w:rStyle w:val="Hyperlink"/>
                <w:noProof/>
              </w:rPr>
              <w:t>5.0</w:t>
            </w:r>
            <w:r>
              <w:rPr>
                <w:rFonts w:asciiTheme="minorHAnsi" w:eastAsiaTheme="minorEastAsia" w:hAnsiTheme="minorHAnsi" w:cstheme="minorBidi"/>
                <w:noProof/>
              </w:rPr>
              <w:tab/>
            </w:r>
            <w:r w:rsidRPr="0058649E">
              <w:rPr>
                <w:rStyle w:val="Hyperlink"/>
                <w:noProof/>
              </w:rPr>
              <w:t>DER Capacity – Feeder Limits</w:t>
            </w:r>
            <w:r>
              <w:rPr>
                <w:noProof/>
                <w:webHidden/>
              </w:rPr>
              <w:tab/>
            </w:r>
            <w:r>
              <w:rPr>
                <w:noProof/>
                <w:webHidden/>
              </w:rPr>
              <w:fldChar w:fldCharType="begin"/>
            </w:r>
            <w:r>
              <w:rPr>
                <w:noProof/>
                <w:webHidden/>
              </w:rPr>
              <w:instrText xml:space="preserve"> PAGEREF _Toc122618265 \h </w:instrText>
            </w:r>
            <w:r>
              <w:rPr>
                <w:noProof/>
                <w:webHidden/>
              </w:rPr>
            </w:r>
            <w:r>
              <w:rPr>
                <w:noProof/>
                <w:webHidden/>
              </w:rPr>
              <w:fldChar w:fldCharType="separate"/>
            </w:r>
            <w:r>
              <w:rPr>
                <w:noProof/>
                <w:webHidden/>
              </w:rPr>
              <w:t>11</w:t>
            </w:r>
            <w:r>
              <w:rPr>
                <w:noProof/>
                <w:webHidden/>
              </w:rPr>
              <w:fldChar w:fldCharType="end"/>
            </w:r>
          </w:hyperlink>
        </w:p>
        <w:p w14:paraId="35192B2C"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6" w:history="1">
            <w:r w:rsidRPr="0058649E">
              <w:rPr>
                <w:rStyle w:val="Hyperlink"/>
                <w:noProof/>
              </w:rPr>
              <w:t>5.1</w:t>
            </w:r>
            <w:r>
              <w:rPr>
                <w:rFonts w:asciiTheme="minorHAnsi" w:eastAsiaTheme="minorEastAsia" w:hAnsiTheme="minorHAnsi" w:cstheme="minorBidi"/>
                <w:noProof/>
              </w:rPr>
              <w:tab/>
            </w:r>
            <w:r w:rsidRPr="0058649E">
              <w:rPr>
                <w:rStyle w:val="Hyperlink"/>
                <w:noProof/>
              </w:rPr>
              <w:t>Minimum Feeder Load</w:t>
            </w:r>
            <w:r>
              <w:rPr>
                <w:noProof/>
                <w:webHidden/>
              </w:rPr>
              <w:tab/>
            </w:r>
            <w:r>
              <w:rPr>
                <w:noProof/>
                <w:webHidden/>
              </w:rPr>
              <w:fldChar w:fldCharType="begin"/>
            </w:r>
            <w:r>
              <w:rPr>
                <w:noProof/>
                <w:webHidden/>
              </w:rPr>
              <w:instrText xml:space="preserve"> PAGEREF _Toc122618266 \h </w:instrText>
            </w:r>
            <w:r>
              <w:rPr>
                <w:noProof/>
                <w:webHidden/>
              </w:rPr>
            </w:r>
            <w:r>
              <w:rPr>
                <w:noProof/>
                <w:webHidden/>
              </w:rPr>
              <w:fldChar w:fldCharType="separate"/>
            </w:r>
            <w:r>
              <w:rPr>
                <w:noProof/>
                <w:webHidden/>
              </w:rPr>
              <w:t>11</w:t>
            </w:r>
            <w:r>
              <w:rPr>
                <w:noProof/>
                <w:webHidden/>
              </w:rPr>
              <w:fldChar w:fldCharType="end"/>
            </w:r>
          </w:hyperlink>
        </w:p>
        <w:p w14:paraId="2199F660" w14:textId="77777777" w:rsidR="00596D17" w:rsidRDefault="00596D17" w:rsidP="00596D17">
          <w:pPr>
            <w:pStyle w:val="TOC1"/>
            <w:rPr>
              <w:rFonts w:asciiTheme="minorHAnsi" w:eastAsiaTheme="minorEastAsia" w:hAnsiTheme="minorHAnsi" w:cstheme="minorBidi"/>
              <w:noProof/>
            </w:rPr>
          </w:pPr>
          <w:hyperlink w:anchor="_Toc122618267" w:history="1">
            <w:r w:rsidRPr="0058649E">
              <w:rPr>
                <w:rStyle w:val="Hyperlink"/>
                <w:noProof/>
              </w:rPr>
              <w:t>6.0</w:t>
            </w:r>
            <w:r>
              <w:rPr>
                <w:rFonts w:asciiTheme="minorHAnsi" w:eastAsiaTheme="minorEastAsia" w:hAnsiTheme="minorHAnsi" w:cstheme="minorBidi"/>
                <w:noProof/>
              </w:rPr>
              <w:tab/>
            </w:r>
            <w:r w:rsidRPr="0058649E">
              <w:rPr>
                <w:rStyle w:val="Hyperlink"/>
                <w:noProof/>
              </w:rPr>
              <w:t>Remote Monitoring and Control</w:t>
            </w:r>
            <w:r>
              <w:rPr>
                <w:noProof/>
                <w:webHidden/>
              </w:rPr>
              <w:tab/>
            </w:r>
            <w:r>
              <w:rPr>
                <w:noProof/>
                <w:webHidden/>
              </w:rPr>
              <w:fldChar w:fldCharType="begin"/>
            </w:r>
            <w:r>
              <w:rPr>
                <w:noProof/>
                <w:webHidden/>
              </w:rPr>
              <w:instrText xml:space="preserve"> PAGEREF _Toc122618267 \h </w:instrText>
            </w:r>
            <w:r>
              <w:rPr>
                <w:noProof/>
                <w:webHidden/>
              </w:rPr>
            </w:r>
            <w:r>
              <w:rPr>
                <w:noProof/>
                <w:webHidden/>
              </w:rPr>
              <w:fldChar w:fldCharType="separate"/>
            </w:r>
            <w:r>
              <w:rPr>
                <w:noProof/>
                <w:webHidden/>
              </w:rPr>
              <w:t>11</w:t>
            </w:r>
            <w:r>
              <w:rPr>
                <w:noProof/>
                <w:webHidden/>
              </w:rPr>
              <w:fldChar w:fldCharType="end"/>
            </w:r>
          </w:hyperlink>
        </w:p>
        <w:p w14:paraId="2A8D8DFA"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8" w:history="1">
            <w:r w:rsidRPr="0058649E">
              <w:rPr>
                <w:rStyle w:val="Hyperlink"/>
                <w:noProof/>
              </w:rPr>
              <w:t>6.1</w:t>
            </w:r>
            <w:r>
              <w:rPr>
                <w:rFonts w:asciiTheme="minorHAnsi" w:eastAsiaTheme="minorEastAsia" w:hAnsiTheme="minorHAnsi" w:cstheme="minorBidi"/>
                <w:noProof/>
              </w:rPr>
              <w:tab/>
            </w:r>
            <w:r w:rsidRPr="0058649E">
              <w:rPr>
                <w:rStyle w:val="Hyperlink"/>
                <w:noProof/>
              </w:rPr>
              <w:t>Remote Monitoring and Control Threshold Requirements</w:t>
            </w:r>
            <w:r>
              <w:rPr>
                <w:noProof/>
                <w:webHidden/>
              </w:rPr>
              <w:tab/>
            </w:r>
            <w:r>
              <w:rPr>
                <w:noProof/>
                <w:webHidden/>
              </w:rPr>
              <w:fldChar w:fldCharType="begin"/>
            </w:r>
            <w:r>
              <w:rPr>
                <w:noProof/>
                <w:webHidden/>
              </w:rPr>
              <w:instrText xml:space="preserve"> PAGEREF _Toc122618268 \h </w:instrText>
            </w:r>
            <w:r>
              <w:rPr>
                <w:noProof/>
                <w:webHidden/>
              </w:rPr>
            </w:r>
            <w:r>
              <w:rPr>
                <w:noProof/>
                <w:webHidden/>
              </w:rPr>
              <w:fldChar w:fldCharType="separate"/>
            </w:r>
            <w:r>
              <w:rPr>
                <w:noProof/>
                <w:webHidden/>
              </w:rPr>
              <w:t>11</w:t>
            </w:r>
            <w:r>
              <w:rPr>
                <w:noProof/>
                <w:webHidden/>
              </w:rPr>
              <w:fldChar w:fldCharType="end"/>
            </w:r>
          </w:hyperlink>
        </w:p>
        <w:p w14:paraId="138C8624"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69" w:history="1">
            <w:r w:rsidRPr="0058649E">
              <w:rPr>
                <w:rStyle w:val="Hyperlink"/>
                <w:noProof/>
              </w:rPr>
              <w:t>6.2</w:t>
            </w:r>
            <w:r>
              <w:rPr>
                <w:rFonts w:asciiTheme="minorHAnsi" w:eastAsiaTheme="minorEastAsia" w:hAnsiTheme="minorHAnsi" w:cstheme="minorBidi"/>
                <w:noProof/>
              </w:rPr>
              <w:tab/>
            </w:r>
            <w:r w:rsidRPr="0058649E">
              <w:rPr>
                <w:rStyle w:val="Hyperlink"/>
                <w:noProof/>
              </w:rPr>
              <w:t>Data Acquisition and Control</w:t>
            </w:r>
            <w:r>
              <w:rPr>
                <w:noProof/>
                <w:webHidden/>
              </w:rPr>
              <w:tab/>
            </w:r>
            <w:r>
              <w:rPr>
                <w:noProof/>
                <w:webHidden/>
              </w:rPr>
              <w:fldChar w:fldCharType="begin"/>
            </w:r>
            <w:r>
              <w:rPr>
                <w:noProof/>
                <w:webHidden/>
              </w:rPr>
              <w:instrText xml:space="preserve"> PAGEREF _Toc122618269 \h </w:instrText>
            </w:r>
            <w:r>
              <w:rPr>
                <w:noProof/>
                <w:webHidden/>
              </w:rPr>
            </w:r>
            <w:r>
              <w:rPr>
                <w:noProof/>
                <w:webHidden/>
              </w:rPr>
              <w:fldChar w:fldCharType="separate"/>
            </w:r>
            <w:r>
              <w:rPr>
                <w:noProof/>
                <w:webHidden/>
              </w:rPr>
              <w:t>12</w:t>
            </w:r>
            <w:r>
              <w:rPr>
                <w:noProof/>
                <w:webHidden/>
              </w:rPr>
              <w:fldChar w:fldCharType="end"/>
            </w:r>
          </w:hyperlink>
        </w:p>
        <w:p w14:paraId="1102D026"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0" w:history="1">
            <w:r w:rsidRPr="0058649E">
              <w:rPr>
                <w:rStyle w:val="Hyperlink"/>
                <w:noProof/>
              </w:rPr>
              <w:t>6.3</w:t>
            </w:r>
            <w:r>
              <w:rPr>
                <w:rFonts w:asciiTheme="minorHAnsi" w:eastAsiaTheme="minorEastAsia" w:hAnsiTheme="minorHAnsi" w:cstheme="minorBidi"/>
                <w:noProof/>
              </w:rPr>
              <w:tab/>
            </w:r>
            <w:r w:rsidRPr="0058649E">
              <w:rPr>
                <w:rStyle w:val="Hyperlink"/>
                <w:noProof/>
              </w:rPr>
              <w:t>RMAC Communications</w:t>
            </w:r>
            <w:r>
              <w:rPr>
                <w:noProof/>
                <w:webHidden/>
              </w:rPr>
              <w:tab/>
            </w:r>
            <w:r>
              <w:rPr>
                <w:noProof/>
                <w:webHidden/>
              </w:rPr>
              <w:fldChar w:fldCharType="begin"/>
            </w:r>
            <w:r>
              <w:rPr>
                <w:noProof/>
                <w:webHidden/>
              </w:rPr>
              <w:instrText xml:space="preserve"> PAGEREF _Toc122618270 \h </w:instrText>
            </w:r>
            <w:r>
              <w:rPr>
                <w:noProof/>
                <w:webHidden/>
              </w:rPr>
            </w:r>
            <w:r>
              <w:rPr>
                <w:noProof/>
                <w:webHidden/>
              </w:rPr>
              <w:fldChar w:fldCharType="separate"/>
            </w:r>
            <w:r>
              <w:rPr>
                <w:noProof/>
                <w:webHidden/>
              </w:rPr>
              <w:t>13</w:t>
            </w:r>
            <w:r>
              <w:rPr>
                <w:noProof/>
                <w:webHidden/>
              </w:rPr>
              <w:fldChar w:fldCharType="end"/>
            </w:r>
          </w:hyperlink>
        </w:p>
        <w:p w14:paraId="33F7F6B5"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1" w:history="1">
            <w:r w:rsidRPr="0058649E">
              <w:rPr>
                <w:rStyle w:val="Hyperlink"/>
                <w:noProof/>
              </w:rPr>
              <w:t>6.4</w:t>
            </w:r>
            <w:r>
              <w:rPr>
                <w:rFonts w:asciiTheme="minorHAnsi" w:eastAsiaTheme="minorEastAsia" w:hAnsiTheme="minorHAnsi" w:cstheme="minorBidi"/>
                <w:noProof/>
              </w:rPr>
              <w:tab/>
            </w:r>
            <w:r w:rsidRPr="0058649E">
              <w:rPr>
                <w:rStyle w:val="Hyperlink"/>
                <w:noProof/>
              </w:rPr>
              <w:t>Remote Operation</w:t>
            </w:r>
            <w:r>
              <w:rPr>
                <w:noProof/>
                <w:webHidden/>
              </w:rPr>
              <w:tab/>
            </w:r>
            <w:r>
              <w:rPr>
                <w:noProof/>
                <w:webHidden/>
              </w:rPr>
              <w:fldChar w:fldCharType="begin"/>
            </w:r>
            <w:r>
              <w:rPr>
                <w:noProof/>
                <w:webHidden/>
              </w:rPr>
              <w:instrText xml:space="preserve"> PAGEREF _Toc122618271 \h </w:instrText>
            </w:r>
            <w:r>
              <w:rPr>
                <w:noProof/>
                <w:webHidden/>
              </w:rPr>
            </w:r>
            <w:r>
              <w:rPr>
                <w:noProof/>
                <w:webHidden/>
              </w:rPr>
              <w:fldChar w:fldCharType="separate"/>
            </w:r>
            <w:r>
              <w:rPr>
                <w:noProof/>
                <w:webHidden/>
              </w:rPr>
              <w:t>13</w:t>
            </w:r>
            <w:r>
              <w:rPr>
                <w:noProof/>
                <w:webHidden/>
              </w:rPr>
              <w:fldChar w:fldCharType="end"/>
            </w:r>
          </w:hyperlink>
        </w:p>
        <w:p w14:paraId="4AC03A5F" w14:textId="77777777" w:rsidR="00596D17" w:rsidRDefault="00596D17" w:rsidP="00596D17">
          <w:pPr>
            <w:pStyle w:val="TOC1"/>
            <w:rPr>
              <w:rFonts w:asciiTheme="minorHAnsi" w:eastAsiaTheme="minorEastAsia" w:hAnsiTheme="minorHAnsi" w:cstheme="minorBidi"/>
              <w:noProof/>
            </w:rPr>
          </w:pPr>
          <w:hyperlink w:anchor="_Toc122618272" w:history="1">
            <w:r w:rsidRPr="0058649E">
              <w:rPr>
                <w:rStyle w:val="Hyperlink"/>
                <w:noProof/>
              </w:rPr>
              <w:t>7.0</w:t>
            </w:r>
            <w:r>
              <w:rPr>
                <w:rFonts w:asciiTheme="minorHAnsi" w:eastAsiaTheme="minorEastAsia" w:hAnsiTheme="minorHAnsi" w:cstheme="minorBidi"/>
                <w:noProof/>
              </w:rPr>
              <w:tab/>
            </w:r>
            <w:r w:rsidRPr="0058649E">
              <w:rPr>
                <w:rStyle w:val="Hyperlink"/>
                <w:noProof/>
              </w:rPr>
              <w:t>PCC Protective Device Requirements</w:t>
            </w:r>
            <w:r>
              <w:rPr>
                <w:noProof/>
                <w:webHidden/>
              </w:rPr>
              <w:tab/>
            </w:r>
            <w:r>
              <w:rPr>
                <w:noProof/>
                <w:webHidden/>
              </w:rPr>
              <w:fldChar w:fldCharType="begin"/>
            </w:r>
            <w:r>
              <w:rPr>
                <w:noProof/>
                <w:webHidden/>
              </w:rPr>
              <w:instrText xml:space="preserve"> PAGEREF _Toc122618272 \h </w:instrText>
            </w:r>
            <w:r>
              <w:rPr>
                <w:noProof/>
                <w:webHidden/>
              </w:rPr>
            </w:r>
            <w:r>
              <w:rPr>
                <w:noProof/>
                <w:webHidden/>
              </w:rPr>
              <w:fldChar w:fldCharType="separate"/>
            </w:r>
            <w:r>
              <w:rPr>
                <w:noProof/>
                <w:webHidden/>
              </w:rPr>
              <w:t>14</w:t>
            </w:r>
            <w:r>
              <w:rPr>
                <w:noProof/>
                <w:webHidden/>
              </w:rPr>
              <w:fldChar w:fldCharType="end"/>
            </w:r>
          </w:hyperlink>
        </w:p>
        <w:p w14:paraId="4B8C2654"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3" w:history="1">
            <w:r w:rsidRPr="0058649E">
              <w:rPr>
                <w:rStyle w:val="Hyperlink"/>
                <w:noProof/>
              </w:rPr>
              <w:t>7.1</w:t>
            </w:r>
            <w:r>
              <w:rPr>
                <w:rFonts w:asciiTheme="minorHAnsi" w:eastAsiaTheme="minorEastAsia" w:hAnsiTheme="minorHAnsi" w:cstheme="minorBidi"/>
                <w:noProof/>
              </w:rPr>
              <w:tab/>
            </w:r>
            <w:r w:rsidRPr="0058649E">
              <w:rPr>
                <w:rStyle w:val="Hyperlink"/>
                <w:noProof/>
              </w:rPr>
              <w:t>Reclosers</w:t>
            </w:r>
            <w:r>
              <w:rPr>
                <w:noProof/>
                <w:webHidden/>
              </w:rPr>
              <w:tab/>
            </w:r>
            <w:r>
              <w:rPr>
                <w:noProof/>
                <w:webHidden/>
              </w:rPr>
              <w:fldChar w:fldCharType="begin"/>
            </w:r>
            <w:r>
              <w:rPr>
                <w:noProof/>
                <w:webHidden/>
              </w:rPr>
              <w:instrText xml:space="preserve"> PAGEREF _Toc122618273 \h </w:instrText>
            </w:r>
            <w:r>
              <w:rPr>
                <w:noProof/>
                <w:webHidden/>
              </w:rPr>
            </w:r>
            <w:r>
              <w:rPr>
                <w:noProof/>
                <w:webHidden/>
              </w:rPr>
              <w:fldChar w:fldCharType="separate"/>
            </w:r>
            <w:r>
              <w:rPr>
                <w:noProof/>
                <w:webHidden/>
              </w:rPr>
              <w:t>14</w:t>
            </w:r>
            <w:r>
              <w:rPr>
                <w:noProof/>
                <w:webHidden/>
              </w:rPr>
              <w:fldChar w:fldCharType="end"/>
            </w:r>
          </w:hyperlink>
        </w:p>
        <w:p w14:paraId="5AA739DC"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4" w:history="1">
            <w:r w:rsidRPr="0058649E">
              <w:rPr>
                <w:rStyle w:val="Hyperlink"/>
                <w:noProof/>
              </w:rPr>
              <w:t>7.2</w:t>
            </w:r>
            <w:r>
              <w:rPr>
                <w:rFonts w:asciiTheme="minorHAnsi" w:eastAsiaTheme="minorEastAsia" w:hAnsiTheme="minorHAnsi" w:cstheme="minorBidi"/>
                <w:noProof/>
              </w:rPr>
              <w:tab/>
            </w:r>
            <w:r w:rsidRPr="0058649E">
              <w:rPr>
                <w:rStyle w:val="Hyperlink"/>
                <w:noProof/>
              </w:rPr>
              <w:t>External Disconnects</w:t>
            </w:r>
            <w:r>
              <w:rPr>
                <w:noProof/>
                <w:webHidden/>
              </w:rPr>
              <w:tab/>
            </w:r>
            <w:r>
              <w:rPr>
                <w:noProof/>
                <w:webHidden/>
              </w:rPr>
              <w:fldChar w:fldCharType="begin"/>
            </w:r>
            <w:r>
              <w:rPr>
                <w:noProof/>
                <w:webHidden/>
              </w:rPr>
              <w:instrText xml:space="preserve"> PAGEREF _Toc122618274 \h </w:instrText>
            </w:r>
            <w:r>
              <w:rPr>
                <w:noProof/>
                <w:webHidden/>
              </w:rPr>
            </w:r>
            <w:r>
              <w:rPr>
                <w:noProof/>
                <w:webHidden/>
              </w:rPr>
              <w:fldChar w:fldCharType="separate"/>
            </w:r>
            <w:r>
              <w:rPr>
                <w:noProof/>
                <w:webHidden/>
              </w:rPr>
              <w:t>14</w:t>
            </w:r>
            <w:r>
              <w:rPr>
                <w:noProof/>
                <w:webHidden/>
              </w:rPr>
              <w:fldChar w:fldCharType="end"/>
            </w:r>
          </w:hyperlink>
        </w:p>
        <w:p w14:paraId="5C63827D" w14:textId="77777777" w:rsidR="00596D17" w:rsidRDefault="00596D17" w:rsidP="00596D17">
          <w:pPr>
            <w:pStyle w:val="TOC1"/>
            <w:rPr>
              <w:rFonts w:asciiTheme="minorHAnsi" w:eastAsiaTheme="minorEastAsia" w:hAnsiTheme="minorHAnsi" w:cstheme="minorBidi"/>
              <w:noProof/>
            </w:rPr>
          </w:pPr>
          <w:hyperlink w:anchor="_Toc122618275" w:history="1">
            <w:r w:rsidRPr="0058649E">
              <w:rPr>
                <w:rStyle w:val="Hyperlink"/>
                <w:noProof/>
              </w:rPr>
              <w:t>8.0</w:t>
            </w:r>
            <w:r>
              <w:rPr>
                <w:rFonts w:asciiTheme="minorHAnsi" w:eastAsiaTheme="minorEastAsia" w:hAnsiTheme="minorHAnsi" w:cstheme="minorBidi"/>
                <w:noProof/>
              </w:rPr>
              <w:tab/>
            </w:r>
            <w:r w:rsidRPr="0058649E">
              <w:rPr>
                <w:rStyle w:val="Hyperlink"/>
                <w:noProof/>
              </w:rPr>
              <w:t>Witness Test Protocols</w:t>
            </w:r>
            <w:r>
              <w:rPr>
                <w:noProof/>
                <w:webHidden/>
              </w:rPr>
              <w:tab/>
            </w:r>
            <w:r>
              <w:rPr>
                <w:noProof/>
                <w:webHidden/>
              </w:rPr>
              <w:fldChar w:fldCharType="begin"/>
            </w:r>
            <w:r>
              <w:rPr>
                <w:noProof/>
                <w:webHidden/>
              </w:rPr>
              <w:instrText xml:space="preserve"> PAGEREF _Toc122618275 \h </w:instrText>
            </w:r>
            <w:r>
              <w:rPr>
                <w:noProof/>
                <w:webHidden/>
              </w:rPr>
            </w:r>
            <w:r>
              <w:rPr>
                <w:noProof/>
                <w:webHidden/>
              </w:rPr>
              <w:fldChar w:fldCharType="separate"/>
            </w:r>
            <w:r>
              <w:rPr>
                <w:noProof/>
                <w:webHidden/>
              </w:rPr>
              <w:t>14</w:t>
            </w:r>
            <w:r>
              <w:rPr>
                <w:noProof/>
                <w:webHidden/>
              </w:rPr>
              <w:fldChar w:fldCharType="end"/>
            </w:r>
          </w:hyperlink>
        </w:p>
        <w:p w14:paraId="7091DFE1"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6" w:history="1">
            <w:r w:rsidRPr="0058649E">
              <w:rPr>
                <w:rStyle w:val="Hyperlink"/>
                <w:noProof/>
              </w:rPr>
              <w:t>8.1</w:t>
            </w:r>
            <w:r>
              <w:rPr>
                <w:rFonts w:asciiTheme="minorHAnsi" w:eastAsiaTheme="minorEastAsia" w:hAnsiTheme="minorHAnsi" w:cstheme="minorBidi"/>
                <w:noProof/>
              </w:rPr>
              <w:tab/>
            </w:r>
            <w:r w:rsidRPr="0058649E">
              <w:rPr>
                <w:rStyle w:val="Hyperlink"/>
                <w:noProof/>
              </w:rPr>
              <w:t>General Requirements</w:t>
            </w:r>
            <w:r>
              <w:rPr>
                <w:noProof/>
                <w:webHidden/>
              </w:rPr>
              <w:tab/>
            </w:r>
            <w:r>
              <w:rPr>
                <w:noProof/>
                <w:webHidden/>
              </w:rPr>
              <w:fldChar w:fldCharType="begin"/>
            </w:r>
            <w:r>
              <w:rPr>
                <w:noProof/>
                <w:webHidden/>
              </w:rPr>
              <w:instrText xml:space="preserve"> PAGEREF _Toc122618276 \h </w:instrText>
            </w:r>
            <w:r>
              <w:rPr>
                <w:noProof/>
                <w:webHidden/>
              </w:rPr>
            </w:r>
            <w:r>
              <w:rPr>
                <w:noProof/>
                <w:webHidden/>
              </w:rPr>
              <w:fldChar w:fldCharType="separate"/>
            </w:r>
            <w:r>
              <w:rPr>
                <w:noProof/>
                <w:webHidden/>
              </w:rPr>
              <w:t>15</w:t>
            </w:r>
            <w:r>
              <w:rPr>
                <w:noProof/>
                <w:webHidden/>
              </w:rPr>
              <w:fldChar w:fldCharType="end"/>
            </w:r>
          </w:hyperlink>
        </w:p>
        <w:p w14:paraId="2746BF37"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7" w:history="1">
            <w:r w:rsidRPr="0058649E">
              <w:rPr>
                <w:rStyle w:val="Hyperlink"/>
                <w:noProof/>
              </w:rPr>
              <w:t>8.2</w:t>
            </w:r>
            <w:r>
              <w:rPr>
                <w:rFonts w:asciiTheme="minorHAnsi" w:eastAsiaTheme="minorEastAsia" w:hAnsiTheme="minorHAnsi" w:cstheme="minorBidi"/>
                <w:noProof/>
              </w:rPr>
              <w:tab/>
            </w:r>
            <w:r w:rsidRPr="0058649E">
              <w:rPr>
                <w:rStyle w:val="Hyperlink"/>
                <w:noProof/>
              </w:rPr>
              <w:t>Witness Test Procedures</w:t>
            </w:r>
            <w:r>
              <w:rPr>
                <w:noProof/>
                <w:webHidden/>
              </w:rPr>
              <w:tab/>
            </w:r>
            <w:r>
              <w:rPr>
                <w:noProof/>
                <w:webHidden/>
              </w:rPr>
              <w:fldChar w:fldCharType="begin"/>
            </w:r>
            <w:r>
              <w:rPr>
                <w:noProof/>
                <w:webHidden/>
              </w:rPr>
              <w:instrText xml:space="preserve"> PAGEREF _Toc122618277 \h </w:instrText>
            </w:r>
            <w:r>
              <w:rPr>
                <w:noProof/>
                <w:webHidden/>
              </w:rPr>
            </w:r>
            <w:r>
              <w:rPr>
                <w:noProof/>
                <w:webHidden/>
              </w:rPr>
              <w:fldChar w:fldCharType="separate"/>
            </w:r>
            <w:r>
              <w:rPr>
                <w:noProof/>
                <w:webHidden/>
              </w:rPr>
              <w:t>15</w:t>
            </w:r>
            <w:r>
              <w:rPr>
                <w:noProof/>
                <w:webHidden/>
              </w:rPr>
              <w:fldChar w:fldCharType="end"/>
            </w:r>
          </w:hyperlink>
        </w:p>
        <w:p w14:paraId="602259D9"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8" w:history="1">
            <w:r w:rsidRPr="0058649E">
              <w:rPr>
                <w:rStyle w:val="Hyperlink"/>
                <w:noProof/>
              </w:rPr>
              <w:t>8.3</w:t>
            </w:r>
            <w:r>
              <w:rPr>
                <w:rFonts w:asciiTheme="minorHAnsi" w:eastAsiaTheme="minorEastAsia" w:hAnsiTheme="minorHAnsi" w:cstheme="minorBidi"/>
                <w:noProof/>
              </w:rPr>
              <w:tab/>
            </w:r>
            <w:r w:rsidRPr="0058649E">
              <w:rPr>
                <w:rStyle w:val="Hyperlink"/>
                <w:noProof/>
              </w:rPr>
              <w:t>Documentation</w:t>
            </w:r>
            <w:r>
              <w:rPr>
                <w:noProof/>
                <w:webHidden/>
              </w:rPr>
              <w:tab/>
            </w:r>
            <w:r>
              <w:rPr>
                <w:noProof/>
                <w:webHidden/>
              </w:rPr>
              <w:fldChar w:fldCharType="begin"/>
            </w:r>
            <w:r>
              <w:rPr>
                <w:noProof/>
                <w:webHidden/>
              </w:rPr>
              <w:instrText xml:space="preserve"> PAGEREF _Toc122618278 \h </w:instrText>
            </w:r>
            <w:r>
              <w:rPr>
                <w:noProof/>
                <w:webHidden/>
              </w:rPr>
            </w:r>
            <w:r>
              <w:rPr>
                <w:noProof/>
                <w:webHidden/>
              </w:rPr>
              <w:fldChar w:fldCharType="separate"/>
            </w:r>
            <w:r>
              <w:rPr>
                <w:noProof/>
                <w:webHidden/>
              </w:rPr>
              <w:t>16</w:t>
            </w:r>
            <w:r>
              <w:rPr>
                <w:noProof/>
                <w:webHidden/>
              </w:rPr>
              <w:fldChar w:fldCharType="end"/>
            </w:r>
          </w:hyperlink>
        </w:p>
        <w:p w14:paraId="20DDD4DE"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79" w:history="1">
            <w:r w:rsidRPr="0058649E">
              <w:rPr>
                <w:rStyle w:val="Hyperlink"/>
                <w:noProof/>
              </w:rPr>
              <w:t>8.4</w:t>
            </w:r>
            <w:r>
              <w:rPr>
                <w:rFonts w:asciiTheme="minorHAnsi" w:eastAsiaTheme="minorEastAsia" w:hAnsiTheme="minorHAnsi" w:cstheme="minorBidi"/>
                <w:noProof/>
              </w:rPr>
              <w:tab/>
            </w:r>
            <w:r w:rsidRPr="0058649E">
              <w:rPr>
                <w:rStyle w:val="Hyperlink"/>
                <w:noProof/>
              </w:rPr>
              <w:t>Testing Points</w:t>
            </w:r>
            <w:r>
              <w:rPr>
                <w:noProof/>
                <w:webHidden/>
              </w:rPr>
              <w:tab/>
            </w:r>
            <w:r>
              <w:rPr>
                <w:noProof/>
                <w:webHidden/>
              </w:rPr>
              <w:fldChar w:fldCharType="begin"/>
            </w:r>
            <w:r>
              <w:rPr>
                <w:noProof/>
                <w:webHidden/>
              </w:rPr>
              <w:instrText xml:space="preserve"> PAGEREF _Toc122618279 \h </w:instrText>
            </w:r>
            <w:r>
              <w:rPr>
                <w:noProof/>
                <w:webHidden/>
              </w:rPr>
            </w:r>
            <w:r>
              <w:rPr>
                <w:noProof/>
                <w:webHidden/>
              </w:rPr>
              <w:fldChar w:fldCharType="separate"/>
            </w:r>
            <w:r>
              <w:rPr>
                <w:noProof/>
                <w:webHidden/>
              </w:rPr>
              <w:t>16</w:t>
            </w:r>
            <w:r>
              <w:rPr>
                <w:noProof/>
                <w:webHidden/>
              </w:rPr>
              <w:fldChar w:fldCharType="end"/>
            </w:r>
          </w:hyperlink>
        </w:p>
        <w:p w14:paraId="793C05DD"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80" w:history="1">
            <w:r w:rsidRPr="0058649E">
              <w:rPr>
                <w:rStyle w:val="Hyperlink"/>
                <w:noProof/>
              </w:rPr>
              <w:t>8.5</w:t>
            </w:r>
            <w:r>
              <w:rPr>
                <w:rFonts w:asciiTheme="minorHAnsi" w:eastAsiaTheme="minorEastAsia" w:hAnsiTheme="minorHAnsi" w:cstheme="minorBidi"/>
                <w:noProof/>
              </w:rPr>
              <w:tab/>
            </w:r>
            <w:r w:rsidRPr="0058649E">
              <w:rPr>
                <w:rStyle w:val="Hyperlink"/>
                <w:noProof/>
              </w:rPr>
              <w:t>Failure Protocol</w:t>
            </w:r>
            <w:r>
              <w:rPr>
                <w:noProof/>
                <w:webHidden/>
              </w:rPr>
              <w:tab/>
            </w:r>
            <w:r>
              <w:rPr>
                <w:noProof/>
                <w:webHidden/>
              </w:rPr>
              <w:fldChar w:fldCharType="begin"/>
            </w:r>
            <w:r>
              <w:rPr>
                <w:noProof/>
                <w:webHidden/>
              </w:rPr>
              <w:instrText xml:space="preserve"> PAGEREF _Toc122618280 \h </w:instrText>
            </w:r>
            <w:r>
              <w:rPr>
                <w:noProof/>
                <w:webHidden/>
              </w:rPr>
            </w:r>
            <w:r>
              <w:rPr>
                <w:noProof/>
                <w:webHidden/>
              </w:rPr>
              <w:fldChar w:fldCharType="separate"/>
            </w:r>
            <w:r>
              <w:rPr>
                <w:noProof/>
                <w:webHidden/>
              </w:rPr>
              <w:t>17</w:t>
            </w:r>
            <w:r>
              <w:rPr>
                <w:noProof/>
                <w:webHidden/>
              </w:rPr>
              <w:fldChar w:fldCharType="end"/>
            </w:r>
          </w:hyperlink>
        </w:p>
        <w:p w14:paraId="0EB9D87D" w14:textId="77777777" w:rsidR="00596D17" w:rsidRDefault="00596D17" w:rsidP="00596D17">
          <w:pPr>
            <w:pStyle w:val="TOC1"/>
            <w:rPr>
              <w:rFonts w:asciiTheme="minorHAnsi" w:eastAsiaTheme="minorEastAsia" w:hAnsiTheme="minorHAnsi" w:cstheme="minorBidi"/>
              <w:noProof/>
            </w:rPr>
          </w:pPr>
          <w:hyperlink w:anchor="_Toc122618281" w:history="1">
            <w:r w:rsidRPr="0058649E">
              <w:rPr>
                <w:rStyle w:val="Hyperlink"/>
                <w:noProof/>
              </w:rPr>
              <w:t>9.0</w:t>
            </w:r>
            <w:r>
              <w:rPr>
                <w:rFonts w:asciiTheme="minorHAnsi" w:eastAsiaTheme="minorEastAsia" w:hAnsiTheme="minorHAnsi" w:cstheme="minorBidi"/>
                <w:noProof/>
              </w:rPr>
              <w:tab/>
            </w:r>
            <w:r w:rsidRPr="004B3802">
              <w:rPr>
                <w:rFonts w:asciiTheme="minorHAnsi" w:eastAsiaTheme="minorEastAsia" w:hAnsiTheme="minorHAnsi" w:cstheme="minorBidi"/>
                <w:noProof/>
                <w:color w:val="EE0000"/>
              </w:rPr>
              <w:t>Voltage Regulation &amp;</w:t>
            </w:r>
            <w:r>
              <w:rPr>
                <w:rFonts w:asciiTheme="minorHAnsi" w:eastAsiaTheme="minorEastAsia" w:hAnsiTheme="minorHAnsi" w:cstheme="minorBidi"/>
                <w:noProof/>
              </w:rPr>
              <w:t xml:space="preserve"> </w:t>
            </w:r>
            <w:r w:rsidRPr="0058649E">
              <w:rPr>
                <w:rStyle w:val="Hyperlink"/>
                <w:noProof/>
              </w:rPr>
              <w:t>Power Factor</w:t>
            </w:r>
            <w:r>
              <w:rPr>
                <w:noProof/>
                <w:webHidden/>
              </w:rPr>
              <w:tab/>
            </w:r>
            <w:r>
              <w:rPr>
                <w:noProof/>
                <w:webHidden/>
              </w:rPr>
              <w:fldChar w:fldCharType="begin"/>
            </w:r>
            <w:r>
              <w:rPr>
                <w:noProof/>
                <w:webHidden/>
              </w:rPr>
              <w:instrText xml:space="preserve"> PAGEREF _Toc122618281 \h </w:instrText>
            </w:r>
            <w:r>
              <w:rPr>
                <w:noProof/>
                <w:webHidden/>
              </w:rPr>
            </w:r>
            <w:r>
              <w:rPr>
                <w:noProof/>
                <w:webHidden/>
              </w:rPr>
              <w:fldChar w:fldCharType="separate"/>
            </w:r>
            <w:r>
              <w:rPr>
                <w:noProof/>
                <w:webHidden/>
              </w:rPr>
              <w:t>17</w:t>
            </w:r>
            <w:r>
              <w:rPr>
                <w:noProof/>
                <w:webHidden/>
              </w:rPr>
              <w:fldChar w:fldCharType="end"/>
            </w:r>
          </w:hyperlink>
        </w:p>
        <w:p w14:paraId="0AB2E7CA" w14:textId="77777777" w:rsidR="00596D17" w:rsidRDefault="00596D17" w:rsidP="00596D17">
          <w:pPr>
            <w:pStyle w:val="TOC1"/>
            <w:rPr>
              <w:rFonts w:asciiTheme="minorHAnsi" w:eastAsiaTheme="minorEastAsia" w:hAnsiTheme="minorHAnsi" w:cstheme="minorBidi"/>
              <w:noProof/>
            </w:rPr>
          </w:pPr>
          <w:hyperlink w:anchor="_Toc122618282" w:history="1">
            <w:r w:rsidRPr="0058649E">
              <w:rPr>
                <w:rStyle w:val="Hyperlink"/>
                <w:noProof/>
              </w:rPr>
              <w:t>10.0</w:t>
            </w:r>
            <w:r>
              <w:rPr>
                <w:rFonts w:asciiTheme="minorHAnsi" w:eastAsiaTheme="minorEastAsia" w:hAnsiTheme="minorHAnsi" w:cstheme="minorBidi"/>
                <w:noProof/>
              </w:rPr>
              <w:tab/>
            </w:r>
            <w:r w:rsidRPr="0058649E">
              <w:rPr>
                <w:rStyle w:val="Hyperlink"/>
                <w:noProof/>
              </w:rPr>
              <w:t>GSU Transformer Winding Configurations</w:t>
            </w:r>
            <w:r>
              <w:rPr>
                <w:noProof/>
                <w:webHidden/>
              </w:rPr>
              <w:tab/>
            </w:r>
            <w:r>
              <w:rPr>
                <w:noProof/>
                <w:webHidden/>
              </w:rPr>
              <w:fldChar w:fldCharType="begin"/>
            </w:r>
            <w:r>
              <w:rPr>
                <w:noProof/>
                <w:webHidden/>
              </w:rPr>
              <w:instrText xml:space="preserve"> PAGEREF _Toc122618282 \h </w:instrText>
            </w:r>
            <w:r>
              <w:rPr>
                <w:noProof/>
                <w:webHidden/>
              </w:rPr>
            </w:r>
            <w:r>
              <w:rPr>
                <w:noProof/>
                <w:webHidden/>
              </w:rPr>
              <w:fldChar w:fldCharType="separate"/>
            </w:r>
            <w:r>
              <w:rPr>
                <w:noProof/>
                <w:webHidden/>
              </w:rPr>
              <w:t>17</w:t>
            </w:r>
            <w:r>
              <w:rPr>
                <w:noProof/>
                <w:webHidden/>
              </w:rPr>
              <w:fldChar w:fldCharType="end"/>
            </w:r>
          </w:hyperlink>
        </w:p>
        <w:p w14:paraId="0C72E297" w14:textId="77777777" w:rsidR="00596D17" w:rsidRDefault="00596D17" w:rsidP="00596D17">
          <w:pPr>
            <w:pStyle w:val="TOC1"/>
            <w:rPr>
              <w:rFonts w:asciiTheme="minorHAnsi" w:eastAsiaTheme="minorEastAsia" w:hAnsiTheme="minorHAnsi" w:cstheme="minorBidi"/>
              <w:noProof/>
            </w:rPr>
          </w:pPr>
          <w:hyperlink w:anchor="_Toc122618283" w:history="1">
            <w:r w:rsidRPr="0058649E">
              <w:rPr>
                <w:rStyle w:val="Hyperlink"/>
                <w:noProof/>
              </w:rPr>
              <w:t>11.0</w:t>
            </w:r>
            <w:r>
              <w:rPr>
                <w:rFonts w:asciiTheme="minorHAnsi" w:eastAsiaTheme="minorEastAsia" w:hAnsiTheme="minorHAnsi" w:cstheme="minorBidi"/>
                <w:noProof/>
              </w:rPr>
              <w:tab/>
            </w:r>
            <w:r w:rsidRPr="0058649E">
              <w:rPr>
                <w:rStyle w:val="Hyperlink"/>
                <w:noProof/>
              </w:rPr>
              <w:t>Utility Grade and Redundant Relaying</w:t>
            </w:r>
            <w:r>
              <w:rPr>
                <w:noProof/>
                <w:webHidden/>
              </w:rPr>
              <w:tab/>
            </w:r>
            <w:r>
              <w:rPr>
                <w:noProof/>
                <w:webHidden/>
              </w:rPr>
              <w:fldChar w:fldCharType="begin"/>
            </w:r>
            <w:r>
              <w:rPr>
                <w:noProof/>
                <w:webHidden/>
              </w:rPr>
              <w:instrText xml:space="preserve"> PAGEREF _Toc122618283 \h </w:instrText>
            </w:r>
            <w:r>
              <w:rPr>
                <w:noProof/>
                <w:webHidden/>
              </w:rPr>
            </w:r>
            <w:r>
              <w:rPr>
                <w:noProof/>
                <w:webHidden/>
              </w:rPr>
              <w:fldChar w:fldCharType="separate"/>
            </w:r>
            <w:r>
              <w:rPr>
                <w:noProof/>
                <w:webHidden/>
              </w:rPr>
              <w:t>18</w:t>
            </w:r>
            <w:r>
              <w:rPr>
                <w:noProof/>
                <w:webHidden/>
              </w:rPr>
              <w:fldChar w:fldCharType="end"/>
            </w:r>
          </w:hyperlink>
        </w:p>
        <w:p w14:paraId="2E6B62CB" w14:textId="77777777" w:rsidR="00596D17" w:rsidRDefault="00596D17" w:rsidP="00596D17">
          <w:pPr>
            <w:pStyle w:val="TOC1"/>
            <w:rPr>
              <w:rFonts w:asciiTheme="minorHAnsi" w:eastAsiaTheme="minorEastAsia" w:hAnsiTheme="minorHAnsi" w:cstheme="minorBidi"/>
              <w:noProof/>
            </w:rPr>
          </w:pPr>
          <w:hyperlink w:anchor="_Toc122618284" w:history="1">
            <w:r w:rsidRPr="0058649E">
              <w:rPr>
                <w:rStyle w:val="Hyperlink"/>
                <w:noProof/>
              </w:rPr>
              <w:t>12.0</w:t>
            </w:r>
            <w:r>
              <w:rPr>
                <w:rFonts w:asciiTheme="minorHAnsi" w:eastAsiaTheme="minorEastAsia" w:hAnsiTheme="minorHAnsi" w:cstheme="minorBidi"/>
                <w:noProof/>
              </w:rPr>
              <w:tab/>
            </w:r>
            <w:r w:rsidRPr="0058649E">
              <w:rPr>
                <w:rStyle w:val="Hyperlink"/>
                <w:noProof/>
              </w:rPr>
              <w:t>Substation Reverse Power Flow</w:t>
            </w:r>
            <w:r>
              <w:rPr>
                <w:noProof/>
                <w:webHidden/>
              </w:rPr>
              <w:tab/>
            </w:r>
            <w:r>
              <w:rPr>
                <w:noProof/>
                <w:webHidden/>
              </w:rPr>
              <w:fldChar w:fldCharType="begin"/>
            </w:r>
            <w:r>
              <w:rPr>
                <w:noProof/>
                <w:webHidden/>
              </w:rPr>
              <w:instrText xml:space="preserve"> PAGEREF _Toc122618284 \h </w:instrText>
            </w:r>
            <w:r>
              <w:rPr>
                <w:noProof/>
                <w:webHidden/>
              </w:rPr>
            </w:r>
            <w:r>
              <w:rPr>
                <w:noProof/>
                <w:webHidden/>
              </w:rPr>
              <w:fldChar w:fldCharType="separate"/>
            </w:r>
            <w:r>
              <w:rPr>
                <w:noProof/>
                <w:webHidden/>
              </w:rPr>
              <w:t>18</w:t>
            </w:r>
            <w:r>
              <w:rPr>
                <w:noProof/>
                <w:webHidden/>
              </w:rPr>
              <w:fldChar w:fldCharType="end"/>
            </w:r>
          </w:hyperlink>
        </w:p>
        <w:p w14:paraId="68B9D877"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85" w:history="1">
            <w:r w:rsidRPr="0058649E">
              <w:rPr>
                <w:rStyle w:val="Hyperlink"/>
                <w:noProof/>
              </w:rPr>
              <w:t>12.1</w:t>
            </w:r>
            <w:r>
              <w:rPr>
                <w:rFonts w:asciiTheme="minorHAnsi" w:eastAsiaTheme="minorEastAsia" w:hAnsiTheme="minorHAnsi" w:cstheme="minorBidi"/>
                <w:noProof/>
              </w:rPr>
              <w:tab/>
            </w:r>
            <w:r w:rsidRPr="0058649E">
              <w:rPr>
                <w:rStyle w:val="Hyperlink"/>
                <w:noProof/>
              </w:rPr>
              <w:t>System Voltage Control</w:t>
            </w:r>
            <w:r>
              <w:rPr>
                <w:noProof/>
                <w:webHidden/>
              </w:rPr>
              <w:tab/>
            </w:r>
            <w:r>
              <w:rPr>
                <w:noProof/>
                <w:webHidden/>
              </w:rPr>
              <w:fldChar w:fldCharType="begin"/>
            </w:r>
            <w:r>
              <w:rPr>
                <w:noProof/>
                <w:webHidden/>
              </w:rPr>
              <w:instrText xml:space="preserve"> PAGEREF _Toc122618285 \h </w:instrText>
            </w:r>
            <w:r>
              <w:rPr>
                <w:noProof/>
                <w:webHidden/>
              </w:rPr>
            </w:r>
            <w:r>
              <w:rPr>
                <w:noProof/>
                <w:webHidden/>
              </w:rPr>
              <w:fldChar w:fldCharType="separate"/>
            </w:r>
            <w:r>
              <w:rPr>
                <w:noProof/>
                <w:webHidden/>
              </w:rPr>
              <w:t>18</w:t>
            </w:r>
            <w:r>
              <w:rPr>
                <w:noProof/>
                <w:webHidden/>
              </w:rPr>
              <w:fldChar w:fldCharType="end"/>
            </w:r>
          </w:hyperlink>
        </w:p>
        <w:p w14:paraId="3CB23B73"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86" w:history="1">
            <w:r w:rsidRPr="0058649E">
              <w:rPr>
                <w:rStyle w:val="Hyperlink"/>
                <w:noProof/>
              </w:rPr>
              <w:t>12.2</w:t>
            </w:r>
            <w:r>
              <w:rPr>
                <w:rFonts w:asciiTheme="minorHAnsi" w:eastAsiaTheme="minorEastAsia" w:hAnsiTheme="minorHAnsi" w:cstheme="minorBidi"/>
                <w:noProof/>
              </w:rPr>
              <w:tab/>
            </w:r>
            <w:r w:rsidRPr="0058649E">
              <w:rPr>
                <w:rStyle w:val="Hyperlink"/>
                <w:noProof/>
              </w:rPr>
              <w:t>Capacity Limit</w:t>
            </w:r>
            <w:r>
              <w:rPr>
                <w:noProof/>
                <w:webHidden/>
              </w:rPr>
              <w:tab/>
            </w:r>
            <w:r>
              <w:rPr>
                <w:noProof/>
                <w:webHidden/>
              </w:rPr>
              <w:fldChar w:fldCharType="begin"/>
            </w:r>
            <w:r>
              <w:rPr>
                <w:noProof/>
                <w:webHidden/>
              </w:rPr>
              <w:instrText xml:space="preserve"> PAGEREF _Toc122618286 \h </w:instrText>
            </w:r>
            <w:r>
              <w:rPr>
                <w:noProof/>
                <w:webHidden/>
              </w:rPr>
            </w:r>
            <w:r>
              <w:rPr>
                <w:noProof/>
                <w:webHidden/>
              </w:rPr>
              <w:fldChar w:fldCharType="separate"/>
            </w:r>
            <w:r>
              <w:rPr>
                <w:noProof/>
                <w:webHidden/>
              </w:rPr>
              <w:t>19</w:t>
            </w:r>
            <w:r>
              <w:rPr>
                <w:noProof/>
                <w:webHidden/>
              </w:rPr>
              <w:fldChar w:fldCharType="end"/>
            </w:r>
          </w:hyperlink>
        </w:p>
        <w:p w14:paraId="1C9F8C09"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87" w:history="1">
            <w:r w:rsidRPr="0058649E">
              <w:rPr>
                <w:rStyle w:val="Hyperlink"/>
                <w:noProof/>
              </w:rPr>
              <w:t>12.3</w:t>
            </w:r>
            <w:r>
              <w:rPr>
                <w:rFonts w:asciiTheme="minorHAnsi" w:eastAsiaTheme="minorEastAsia" w:hAnsiTheme="minorHAnsi" w:cstheme="minorBidi"/>
                <w:noProof/>
              </w:rPr>
              <w:tab/>
            </w:r>
            <w:r w:rsidRPr="0058649E">
              <w:rPr>
                <w:rStyle w:val="Hyperlink"/>
                <w:noProof/>
              </w:rPr>
              <w:t>Transmission Ground Fault Protection</w:t>
            </w:r>
            <w:r>
              <w:rPr>
                <w:noProof/>
                <w:webHidden/>
              </w:rPr>
              <w:tab/>
            </w:r>
            <w:r>
              <w:rPr>
                <w:noProof/>
                <w:webHidden/>
              </w:rPr>
              <w:fldChar w:fldCharType="begin"/>
            </w:r>
            <w:r>
              <w:rPr>
                <w:noProof/>
                <w:webHidden/>
              </w:rPr>
              <w:instrText xml:space="preserve"> PAGEREF _Toc122618287 \h </w:instrText>
            </w:r>
            <w:r>
              <w:rPr>
                <w:noProof/>
                <w:webHidden/>
              </w:rPr>
            </w:r>
            <w:r>
              <w:rPr>
                <w:noProof/>
                <w:webHidden/>
              </w:rPr>
              <w:fldChar w:fldCharType="separate"/>
            </w:r>
            <w:r>
              <w:rPr>
                <w:noProof/>
                <w:webHidden/>
              </w:rPr>
              <w:t>19</w:t>
            </w:r>
            <w:r>
              <w:rPr>
                <w:noProof/>
                <w:webHidden/>
              </w:rPr>
              <w:fldChar w:fldCharType="end"/>
            </w:r>
          </w:hyperlink>
        </w:p>
        <w:p w14:paraId="2FCC0645" w14:textId="77777777" w:rsidR="00596D17" w:rsidRDefault="00596D17" w:rsidP="00596D17">
          <w:pPr>
            <w:pStyle w:val="TOC1"/>
            <w:rPr>
              <w:rFonts w:asciiTheme="minorHAnsi" w:eastAsiaTheme="minorEastAsia" w:hAnsiTheme="minorHAnsi" w:cstheme="minorBidi"/>
              <w:noProof/>
            </w:rPr>
          </w:pPr>
          <w:hyperlink w:anchor="_Toc122618288" w:history="1">
            <w:r w:rsidRPr="0058649E">
              <w:rPr>
                <w:rStyle w:val="Hyperlink"/>
                <w:noProof/>
              </w:rPr>
              <w:t>13.0</w:t>
            </w:r>
            <w:r>
              <w:rPr>
                <w:rFonts w:asciiTheme="minorHAnsi" w:eastAsiaTheme="minorEastAsia" w:hAnsiTheme="minorHAnsi" w:cstheme="minorBidi"/>
                <w:noProof/>
              </w:rPr>
              <w:tab/>
            </w:r>
            <w:r w:rsidRPr="0058649E">
              <w:rPr>
                <w:rStyle w:val="Hyperlink"/>
                <w:noProof/>
              </w:rPr>
              <w:t>Simplified Spot and Area Network Interconnections</w:t>
            </w:r>
            <w:r>
              <w:rPr>
                <w:noProof/>
                <w:webHidden/>
              </w:rPr>
              <w:tab/>
            </w:r>
            <w:r>
              <w:rPr>
                <w:noProof/>
                <w:webHidden/>
              </w:rPr>
              <w:fldChar w:fldCharType="begin"/>
            </w:r>
            <w:r>
              <w:rPr>
                <w:noProof/>
                <w:webHidden/>
              </w:rPr>
              <w:instrText xml:space="preserve"> PAGEREF _Toc122618288 \h </w:instrText>
            </w:r>
            <w:r>
              <w:rPr>
                <w:noProof/>
                <w:webHidden/>
              </w:rPr>
            </w:r>
            <w:r>
              <w:rPr>
                <w:noProof/>
                <w:webHidden/>
              </w:rPr>
              <w:fldChar w:fldCharType="separate"/>
            </w:r>
            <w:r>
              <w:rPr>
                <w:noProof/>
                <w:webHidden/>
              </w:rPr>
              <w:t>19</w:t>
            </w:r>
            <w:r>
              <w:rPr>
                <w:noProof/>
                <w:webHidden/>
              </w:rPr>
              <w:fldChar w:fldCharType="end"/>
            </w:r>
          </w:hyperlink>
        </w:p>
        <w:p w14:paraId="4119461B" w14:textId="77777777" w:rsidR="00596D17" w:rsidRDefault="00596D17" w:rsidP="00596D17">
          <w:pPr>
            <w:pStyle w:val="TOC1"/>
            <w:rPr>
              <w:rFonts w:asciiTheme="minorHAnsi" w:eastAsiaTheme="minorEastAsia" w:hAnsiTheme="minorHAnsi" w:cstheme="minorBidi"/>
              <w:noProof/>
            </w:rPr>
          </w:pPr>
          <w:hyperlink w:anchor="_Toc122618289" w:history="1">
            <w:r w:rsidRPr="0058649E">
              <w:rPr>
                <w:rStyle w:val="Hyperlink"/>
                <w:noProof/>
              </w:rPr>
              <w:t>14.0</w:t>
            </w:r>
            <w:r>
              <w:rPr>
                <w:rFonts w:asciiTheme="minorHAnsi" w:eastAsiaTheme="minorEastAsia" w:hAnsiTheme="minorHAnsi" w:cstheme="minorBidi"/>
                <w:noProof/>
              </w:rPr>
              <w:tab/>
            </w:r>
            <w:r w:rsidRPr="0058649E">
              <w:rPr>
                <w:rStyle w:val="Hyperlink"/>
                <w:noProof/>
              </w:rPr>
              <w:t>Voltage Flicker</w:t>
            </w:r>
            <w:r w:rsidRPr="00F65013">
              <w:rPr>
                <w:rStyle w:val="Hyperlink"/>
                <w:noProof/>
                <w:color w:val="EE0000"/>
              </w:rPr>
              <w:t xml:space="preserve"> &amp; Rapid Voltage Change (RVC)</w:t>
            </w:r>
            <w:r>
              <w:rPr>
                <w:noProof/>
                <w:webHidden/>
              </w:rPr>
              <w:tab/>
            </w:r>
            <w:r>
              <w:rPr>
                <w:noProof/>
                <w:webHidden/>
              </w:rPr>
              <w:fldChar w:fldCharType="begin"/>
            </w:r>
            <w:r>
              <w:rPr>
                <w:noProof/>
                <w:webHidden/>
              </w:rPr>
              <w:instrText xml:space="preserve"> PAGEREF _Toc122618289 \h </w:instrText>
            </w:r>
            <w:r>
              <w:rPr>
                <w:noProof/>
                <w:webHidden/>
              </w:rPr>
            </w:r>
            <w:r>
              <w:rPr>
                <w:noProof/>
                <w:webHidden/>
              </w:rPr>
              <w:fldChar w:fldCharType="separate"/>
            </w:r>
            <w:r>
              <w:rPr>
                <w:noProof/>
                <w:webHidden/>
              </w:rPr>
              <w:t>19</w:t>
            </w:r>
            <w:r>
              <w:rPr>
                <w:noProof/>
                <w:webHidden/>
              </w:rPr>
              <w:fldChar w:fldCharType="end"/>
            </w:r>
          </w:hyperlink>
        </w:p>
        <w:p w14:paraId="01A346C4" w14:textId="77777777" w:rsidR="00596D17" w:rsidRDefault="00596D17" w:rsidP="00596D17">
          <w:pPr>
            <w:pStyle w:val="TOC1"/>
            <w:rPr>
              <w:rFonts w:asciiTheme="minorHAnsi" w:eastAsiaTheme="minorEastAsia" w:hAnsiTheme="minorHAnsi" w:cstheme="minorBidi"/>
              <w:noProof/>
            </w:rPr>
          </w:pPr>
          <w:hyperlink w:anchor="_Toc122618290" w:history="1">
            <w:r w:rsidRPr="0058649E">
              <w:rPr>
                <w:rStyle w:val="Hyperlink"/>
                <w:noProof/>
              </w:rPr>
              <w:t>15.0</w:t>
            </w:r>
            <w:r>
              <w:rPr>
                <w:rFonts w:asciiTheme="minorHAnsi" w:eastAsiaTheme="minorEastAsia" w:hAnsiTheme="minorHAnsi" w:cstheme="minorBidi"/>
                <w:noProof/>
              </w:rPr>
              <w:tab/>
            </w:r>
            <w:r w:rsidRPr="0058649E">
              <w:rPr>
                <w:rStyle w:val="Hyperlink"/>
                <w:noProof/>
              </w:rPr>
              <w:t>Detailed Study</w:t>
            </w:r>
            <w:r>
              <w:rPr>
                <w:noProof/>
                <w:webHidden/>
              </w:rPr>
              <w:tab/>
            </w:r>
            <w:r>
              <w:rPr>
                <w:noProof/>
                <w:webHidden/>
              </w:rPr>
              <w:fldChar w:fldCharType="begin"/>
            </w:r>
            <w:r>
              <w:rPr>
                <w:noProof/>
                <w:webHidden/>
              </w:rPr>
              <w:instrText xml:space="preserve"> PAGEREF _Toc122618290 \h </w:instrText>
            </w:r>
            <w:r>
              <w:rPr>
                <w:noProof/>
                <w:webHidden/>
              </w:rPr>
            </w:r>
            <w:r>
              <w:rPr>
                <w:noProof/>
                <w:webHidden/>
              </w:rPr>
              <w:fldChar w:fldCharType="separate"/>
            </w:r>
            <w:r>
              <w:rPr>
                <w:noProof/>
                <w:webHidden/>
              </w:rPr>
              <w:t>20</w:t>
            </w:r>
            <w:r>
              <w:rPr>
                <w:noProof/>
                <w:webHidden/>
              </w:rPr>
              <w:fldChar w:fldCharType="end"/>
            </w:r>
          </w:hyperlink>
        </w:p>
        <w:p w14:paraId="6FDE6F38" w14:textId="77777777" w:rsidR="00596D17" w:rsidRDefault="00596D17" w:rsidP="00596D17">
          <w:pPr>
            <w:pStyle w:val="TOC1"/>
            <w:rPr>
              <w:rFonts w:asciiTheme="minorHAnsi" w:eastAsiaTheme="minorEastAsia" w:hAnsiTheme="minorHAnsi" w:cstheme="minorBidi"/>
              <w:noProof/>
            </w:rPr>
          </w:pPr>
          <w:hyperlink w:anchor="_Toc122618291" w:history="1">
            <w:r w:rsidRPr="0058649E">
              <w:rPr>
                <w:rStyle w:val="Hyperlink"/>
                <w:noProof/>
              </w:rPr>
              <w:t>16.0</w:t>
            </w:r>
            <w:r>
              <w:rPr>
                <w:rFonts w:asciiTheme="minorHAnsi" w:eastAsiaTheme="minorEastAsia" w:hAnsiTheme="minorHAnsi" w:cstheme="minorBidi"/>
                <w:noProof/>
              </w:rPr>
              <w:tab/>
            </w:r>
            <w:r w:rsidRPr="0058649E">
              <w:rPr>
                <w:rStyle w:val="Hyperlink"/>
                <w:noProof/>
              </w:rPr>
              <w:t>Energy Storage Systems (ESS)</w:t>
            </w:r>
            <w:r>
              <w:rPr>
                <w:noProof/>
                <w:webHidden/>
              </w:rPr>
              <w:tab/>
            </w:r>
            <w:r>
              <w:rPr>
                <w:noProof/>
                <w:webHidden/>
              </w:rPr>
              <w:fldChar w:fldCharType="begin"/>
            </w:r>
            <w:r>
              <w:rPr>
                <w:noProof/>
                <w:webHidden/>
              </w:rPr>
              <w:instrText xml:space="preserve"> PAGEREF _Toc122618291 \h </w:instrText>
            </w:r>
            <w:r>
              <w:rPr>
                <w:noProof/>
                <w:webHidden/>
              </w:rPr>
            </w:r>
            <w:r>
              <w:rPr>
                <w:noProof/>
                <w:webHidden/>
              </w:rPr>
              <w:fldChar w:fldCharType="separate"/>
            </w:r>
            <w:r>
              <w:rPr>
                <w:noProof/>
                <w:webHidden/>
              </w:rPr>
              <w:t>20</w:t>
            </w:r>
            <w:r>
              <w:rPr>
                <w:noProof/>
                <w:webHidden/>
              </w:rPr>
              <w:fldChar w:fldCharType="end"/>
            </w:r>
          </w:hyperlink>
        </w:p>
        <w:p w14:paraId="435DA304"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92" w:history="1">
            <w:r w:rsidRPr="0058649E">
              <w:rPr>
                <w:rStyle w:val="Hyperlink"/>
                <w:noProof/>
              </w:rPr>
              <w:t>16.1</w:t>
            </w:r>
            <w:r>
              <w:rPr>
                <w:rFonts w:asciiTheme="minorHAnsi" w:eastAsiaTheme="minorEastAsia" w:hAnsiTheme="minorHAnsi" w:cstheme="minorBidi"/>
                <w:noProof/>
              </w:rPr>
              <w:tab/>
            </w:r>
            <w:r w:rsidRPr="0058649E">
              <w:rPr>
                <w:rStyle w:val="Hyperlink"/>
                <w:noProof/>
              </w:rPr>
              <w:t>Technical Analyses</w:t>
            </w:r>
            <w:r>
              <w:rPr>
                <w:noProof/>
                <w:webHidden/>
              </w:rPr>
              <w:tab/>
            </w:r>
            <w:r>
              <w:rPr>
                <w:noProof/>
                <w:webHidden/>
              </w:rPr>
              <w:fldChar w:fldCharType="begin"/>
            </w:r>
            <w:r>
              <w:rPr>
                <w:noProof/>
                <w:webHidden/>
              </w:rPr>
              <w:instrText xml:space="preserve"> PAGEREF _Toc122618292 \h </w:instrText>
            </w:r>
            <w:r>
              <w:rPr>
                <w:noProof/>
                <w:webHidden/>
              </w:rPr>
            </w:r>
            <w:r>
              <w:rPr>
                <w:noProof/>
                <w:webHidden/>
              </w:rPr>
              <w:fldChar w:fldCharType="separate"/>
            </w:r>
            <w:r>
              <w:rPr>
                <w:noProof/>
                <w:webHidden/>
              </w:rPr>
              <w:t>20</w:t>
            </w:r>
            <w:r>
              <w:rPr>
                <w:noProof/>
                <w:webHidden/>
              </w:rPr>
              <w:fldChar w:fldCharType="end"/>
            </w:r>
          </w:hyperlink>
        </w:p>
        <w:p w14:paraId="7A43B694"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93" w:history="1">
            <w:r w:rsidRPr="0058649E">
              <w:rPr>
                <w:rStyle w:val="Hyperlink"/>
                <w:noProof/>
              </w:rPr>
              <w:t>16.2</w:t>
            </w:r>
            <w:r>
              <w:rPr>
                <w:rFonts w:asciiTheme="minorHAnsi" w:eastAsiaTheme="minorEastAsia" w:hAnsiTheme="minorHAnsi" w:cstheme="minorBidi"/>
                <w:noProof/>
              </w:rPr>
              <w:tab/>
            </w:r>
            <w:r w:rsidRPr="0058649E">
              <w:rPr>
                <w:rStyle w:val="Hyperlink"/>
                <w:noProof/>
              </w:rPr>
              <w:t>Coupling</w:t>
            </w:r>
            <w:r>
              <w:rPr>
                <w:noProof/>
                <w:webHidden/>
              </w:rPr>
              <w:tab/>
            </w:r>
            <w:r>
              <w:rPr>
                <w:noProof/>
                <w:webHidden/>
              </w:rPr>
              <w:fldChar w:fldCharType="begin"/>
            </w:r>
            <w:r>
              <w:rPr>
                <w:noProof/>
                <w:webHidden/>
              </w:rPr>
              <w:instrText xml:space="preserve"> PAGEREF _Toc122618293 \h </w:instrText>
            </w:r>
            <w:r>
              <w:rPr>
                <w:noProof/>
                <w:webHidden/>
              </w:rPr>
            </w:r>
            <w:r>
              <w:rPr>
                <w:noProof/>
                <w:webHidden/>
              </w:rPr>
              <w:fldChar w:fldCharType="separate"/>
            </w:r>
            <w:r>
              <w:rPr>
                <w:noProof/>
                <w:webHidden/>
              </w:rPr>
              <w:t>21</w:t>
            </w:r>
            <w:r>
              <w:rPr>
                <w:noProof/>
                <w:webHidden/>
              </w:rPr>
              <w:fldChar w:fldCharType="end"/>
            </w:r>
          </w:hyperlink>
        </w:p>
        <w:p w14:paraId="12C03BB6"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94" w:history="1">
            <w:r w:rsidRPr="0058649E">
              <w:rPr>
                <w:rStyle w:val="Hyperlink"/>
                <w:noProof/>
              </w:rPr>
              <w:t>16.3</w:t>
            </w:r>
            <w:r>
              <w:rPr>
                <w:rFonts w:asciiTheme="minorHAnsi" w:eastAsiaTheme="minorEastAsia" w:hAnsiTheme="minorHAnsi" w:cstheme="minorBidi"/>
                <w:noProof/>
              </w:rPr>
              <w:tab/>
            </w:r>
            <w:r w:rsidRPr="0058649E">
              <w:rPr>
                <w:rStyle w:val="Hyperlink"/>
                <w:noProof/>
              </w:rPr>
              <w:t>Limiting</w:t>
            </w:r>
            <w:r>
              <w:rPr>
                <w:rStyle w:val="Hyperlink"/>
                <w:noProof/>
              </w:rPr>
              <w:t xml:space="preserve"> </w:t>
            </w:r>
            <w:r w:rsidRPr="00DB0E2A">
              <w:rPr>
                <w:rStyle w:val="Hyperlink"/>
                <w:noProof/>
                <w:color w:val="EE0000"/>
              </w:rPr>
              <w:t>Import &amp;</w:t>
            </w:r>
            <w:r>
              <w:rPr>
                <w:rStyle w:val="Hyperlink"/>
                <w:noProof/>
              </w:rPr>
              <w:t xml:space="preserve"> </w:t>
            </w:r>
            <w:r w:rsidRPr="0058649E">
              <w:rPr>
                <w:rStyle w:val="Hyperlink"/>
                <w:noProof/>
              </w:rPr>
              <w:t>Export</w:t>
            </w:r>
            <w:r>
              <w:rPr>
                <w:noProof/>
                <w:webHidden/>
              </w:rPr>
              <w:tab/>
            </w:r>
            <w:r>
              <w:rPr>
                <w:noProof/>
                <w:webHidden/>
              </w:rPr>
              <w:fldChar w:fldCharType="begin"/>
            </w:r>
            <w:r>
              <w:rPr>
                <w:noProof/>
                <w:webHidden/>
              </w:rPr>
              <w:instrText xml:space="preserve"> PAGEREF _Toc122618294 \h </w:instrText>
            </w:r>
            <w:r>
              <w:rPr>
                <w:noProof/>
                <w:webHidden/>
              </w:rPr>
            </w:r>
            <w:r>
              <w:rPr>
                <w:noProof/>
                <w:webHidden/>
              </w:rPr>
              <w:fldChar w:fldCharType="separate"/>
            </w:r>
            <w:r>
              <w:rPr>
                <w:noProof/>
                <w:webHidden/>
              </w:rPr>
              <w:t>21</w:t>
            </w:r>
            <w:r>
              <w:rPr>
                <w:noProof/>
                <w:webHidden/>
              </w:rPr>
              <w:fldChar w:fldCharType="end"/>
            </w:r>
          </w:hyperlink>
        </w:p>
        <w:p w14:paraId="73BF76FA"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95" w:history="1">
            <w:r w:rsidRPr="0058649E">
              <w:rPr>
                <w:rStyle w:val="Hyperlink"/>
                <w:noProof/>
              </w:rPr>
              <w:t>16.4</w:t>
            </w:r>
            <w:r>
              <w:rPr>
                <w:rFonts w:asciiTheme="minorHAnsi" w:eastAsiaTheme="minorEastAsia" w:hAnsiTheme="minorHAnsi" w:cstheme="minorBidi"/>
                <w:noProof/>
              </w:rPr>
              <w:tab/>
            </w:r>
            <w:r w:rsidRPr="0058649E">
              <w:rPr>
                <w:rStyle w:val="Hyperlink"/>
                <w:noProof/>
              </w:rPr>
              <w:t>Charging Methods</w:t>
            </w:r>
            <w:r>
              <w:rPr>
                <w:noProof/>
                <w:webHidden/>
              </w:rPr>
              <w:tab/>
            </w:r>
            <w:r>
              <w:rPr>
                <w:noProof/>
                <w:webHidden/>
              </w:rPr>
              <w:fldChar w:fldCharType="begin"/>
            </w:r>
            <w:r>
              <w:rPr>
                <w:noProof/>
                <w:webHidden/>
              </w:rPr>
              <w:instrText xml:space="preserve"> PAGEREF _Toc122618295 \h </w:instrText>
            </w:r>
            <w:r>
              <w:rPr>
                <w:noProof/>
                <w:webHidden/>
              </w:rPr>
            </w:r>
            <w:r>
              <w:rPr>
                <w:noProof/>
                <w:webHidden/>
              </w:rPr>
              <w:fldChar w:fldCharType="separate"/>
            </w:r>
            <w:r>
              <w:rPr>
                <w:noProof/>
                <w:webHidden/>
              </w:rPr>
              <w:t>22</w:t>
            </w:r>
            <w:r>
              <w:rPr>
                <w:noProof/>
                <w:webHidden/>
              </w:rPr>
              <w:fldChar w:fldCharType="end"/>
            </w:r>
          </w:hyperlink>
        </w:p>
        <w:p w14:paraId="13444810"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96" w:history="1">
            <w:r w:rsidRPr="0058649E">
              <w:rPr>
                <w:rStyle w:val="Hyperlink"/>
                <w:noProof/>
              </w:rPr>
              <w:t>16.5</w:t>
            </w:r>
            <w:r>
              <w:rPr>
                <w:rFonts w:asciiTheme="minorHAnsi" w:eastAsiaTheme="minorEastAsia" w:hAnsiTheme="minorHAnsi" w:cstheme="minorBidi"/>
                <w:noProof/>
              </w:rPr>
              <w:tab/>
            </w:r>
            <w:r w:rsidRPr="0058649E">
              <w:rPr>
                <w:rStyle w:val="Hyperlink"/>
                <w:noProof/>
              </w:rPr>
              <w:t>Required Information</w:t>
            </w:r>
            <w:r>
              <w:rPr>
                <w:noProof/>
                <w:webHidden/>
              </w:rPr>
              <w:tab/>
            </w:r>
            <w:r>
              <w:rPr>
                <w:noProof/>
                <w:webHidden/>
              </w:rPr>
              <w:fldChar w:fldCharType="begin"/>
            </w:r>
            <w:r>
              <w:rPr>
                <w:noProof/>
                <w:webHidden/>
              </w:rPr>
              <w:instrText xml:space="preserve"> PAGEREF _Toc122618296 \h </w:instrText>
            </w:r>
            <w:r>
              <w:rPr>
                <w:noProof/>
                <w:webHidden/>
              </w:rPr>
            </w:r>
            <w:r>
              <w:rPr>
                <w:noProof/>
                <w:webHidden/>
              </w:rPr>
              <w:fldChar w:fldCharType="separate"/>
            </w:r>
            <w:r>
              <w:rPr>
                <w:noProof/>
                <w:webHidden/>
              </w:rPr>
              <w:t>22</w:t>
            </w:r>
            <w:r>
              <w:rPr>
                <w:noProof/>
                <w:webHidden/>
              </w:rPr>
              <w:fldChar w:fldCharType="end"/>
            </w:r>
          </w:hyperlink>
        </w:p>
        <w:p w14:paraId="3D8D4F60" w14:textId="77777777" w:rsidR="00596D17" w:rsidRDefault="00596D17" w:rsidP="00596D17">
          <w:pPr>
            <w:pStyle w:val="TOC2"/>
            <w:tabs>
              <w:tab w:val="left" w:pos="880"/>
              <w:tab w:val="right" w:pos="9350"/>
            </w:tabs>
            <w:rPr>
              <w:rFonts w:asciiTheme="minorHAnsi" w:eastAsiaTheme="minorEastAsia" w:hAnsiTheme="minorHAnsi" w:cstheme="minorBidi"/>
              <w:noProof/>
            </w:rPr>
          </w:pPr>
          <w:hyperlink w:anchor="_Toc122618297" w:history="1">
            <w:r w:rsidRPr="0058649E">
              <w:rPr>
                <w:rStyle w:val="Hyperlink"/>
                <w:noProof/>
              </w:rPr>
              <w:t>16.6</w:t>
            </w:r>
            <w:r>
              <w:rPr>
                <w:rFonts w:asciiTheme="minorHAnsi" w:eastAsiaTheme="minorEastAsia" w:hAnsiTheme="minorHAnsi" w:cstheme="minorBidi"/>
                <w:noProof/>
              </w:rPr>
              <w:tab/>
            </w:r>
            <w:r w:rsidRPr="0058649E">
              <w:rPr>
                <w:rStyle w:val="Hyperlink"/>
                <w:noProof/>
              </w:rPr>
              <w:t>Energy Storage Study Process</w:t>
            </w:r>
            <w:r>
              <w:rPr>
                <w:noProof/>
                <w:webHidden/>
              </w:rPr>
              <w:tab/>
            </w:r>
            <w:r>
              <w:rPr>
                <w:noProof/>
                <w:webHidden/>
              </w:rPr>
              <w:fldChar w:fldCharType="begin"/>
            </w:r>
            <w:r>
              <w:rPr>
                <w:noProof/>
                <w:webHidden/>
              </w:rPr>
              <w:instrText xml:space="preserve"> PAGEREF _Toc122618297 \h </w:instrText>
            </w:r>
            <w:r>
              <w:rPr>
                <w:noProof/>
                <w:webHidden/>
              </w:rPr>
            </w:r>
            <w:r>
              <w:rPr>
                <w:noProof/>
                <w:webHidden/>
              </w:rPr>
              <w:fldChar w:fldCharType="separate"/>
            </w:r>
            <w:r>
              <w:rPr>
                <w:noProof/>
                <w:webHidden/>
              </w:rPr>
              <w:t>22</w:t>
            </w:r>
            <w:r>
              <w:rPr>
                <w:noProof/>
                <w:webHidden/>
              </w:rPr>
              <w:fldChar w:fldCharType="end"/>
            </w:r>
          </w:hyperlink>
        </w:p>
        <w:p w14:paraId="712AED3D" w14:textId="77777777" w:rsidR="00596D17" w:rsidRDefault="00596D17" w:rsidP="00596D17">
          <w:pPr>
            <w:pStyle w:val="TOC2"/>
            <w:tabs>
              <w:tab w:val="left" w:pos="1100"/>
              <w:tab w:val="right" w:pos="9350"/>
            </w:tabs>
            <w:rPr>
              <w:rFonts w:asciiTheme="minorHAnsi" w:eastAsiaTheme="minorEastAsia" w:hAnsiTheme="minorHAnsi" w:cstheme="minorBidi"/>
              <w:noProof/>
            </w:rPr>
          </w:pPr>
          <w:hyperlink w:anchor="_Toc122618298" w:history="1">
            <w:r w:rsidRPr="0058649E">
              <w:rPr>
                <w:rStyle w:val="Hyperlink"/>
                <w:noProof/>
              </w:rPr>
              <w:t>16.6.1</w:t>
            </w:r>
            <w:r>
              <w:rPr>
                <w:rFonts w:asciiTheme="minorHAnsi" w:eastAsiaTheme="minorEastAsia" w:hAnsiTheme="minorHAnsi" w:cstheme="minorBidi"/>
                <w:noProof/>
              </w:rPr>
              <w:tab/>
            </w:r>
            <w:r w:rsidRPr="0058649E">
              <w:rPr>
                <w:rStyle w:val="Hyperlink"/>
                <w:noProof/>
              </w:rPr>
              <w:t>General Process Description</w:t>
            </w:r>
            <w:r>
              <w:rPr>
                <w:noProof/>
                <w:webHidden/>
              </w:rPr>
              <w:tab/>
            </w:r>
            <w:r>
              <w:rPr>
                <w:noProof/>
                <w:webHidden/>
              </w:rPr>
              <w:fldChar w:fldCharType="begin"/>
            </w:r>
            <w:r>
              <w:rPr>
                <w:noProof/>
                <w:webHidden/>
              </w:rPr>
              <w:instrText xml:space="preserve"> PAGEREF _Toc122618298 \h </w:instrText>
            </w:r>
            <w:r>
              <w:rPr>
                <w:noProof/>
                <w:webHidden/>
              </w:rPr>
            </w:r>
            <w:r>
              <w:rPr>
                <w:noProof/>
                <w:webHidden/>
              </w:rPr>
              <w:fldChar w:fldCharType="separate"/>
            </w:r>
            <w:r>
              <w:rPr>
                <w:noProof/>
                <w:webHidden/>
              </w:rPr>
              <w:t>23</w:t>
            </w:r>
            <w:r>
              <w:rPr>
                <w:noProof/>
                <w:webHidden/>
              </w:rPr>
              <w:fldChar w:fldCharType="end"/>
            </w:r>
          </w:hyperlink>
        </w:p>
        <w:p w14:paraId="16DC356C" w14:textId="77777777" w:rsidR="00596D17" w:rsidRDefault="00596D17" w:rsidP="00596D17">
          <w:pPr>
            <w:pStyle w:val="TOC2"/>
            <w:tabs>
              <w:tab w:val="left" w:pos="1100"/>
              <w:tab w:val="right" w:pos="9350"/>
            </w:tabs>
            <w:rPr>
              <w:rFonts w:asciiTheme="minorHAnsi" w:eastAsiaTheme="minorEastAsia" w:hAnsiTheme="minorHAnsi" w:cstheme="minorBidi"/>
              <w:noProof/>
            </w:rPr>
          </w:pPr>
          <w:hyperlink w:anchor="_Toc122618299" w:history="1">
            <w:r w:rsidRPr="0058649E">
              <w:rPr>
                <w:rStyle w:val="Hyperlink"/>
                <w:noProof/>
              </w:rPr>
              <w:t>16.6.2</w:t>
            </w:r>
            <w:r>
              <w:rPr>
                <w:rFonts w:asciiTheme="minorHAnsi" w:eastAsiaTheme="minorEastAsia" w:hAnsiTheme="minorHAnsi" w:cstheme="minorBidi"/>
                <w:noProof/>
              </w:rPr>
              <w:tab/>
            </w:r>
            <w:r w:rsidRPr="0058649E">
              <w:rPr>
                <w:rStyle w:val="Hyperlink"/>
                <w:noProof/>
              </w:rPr>
              <w:t>Company Specific Process Descriptions</w:t>
            </w:r>
            <w:r>
              <w:rPr>
                <w:noProof/>
                <w:webHidden/>
              </w:rPr>
              <w:tab/>
            </w:r>
            <w:r>
              <w:rPr>
                <w:noProof/>
                <w:webHidden/>
              </w:rPr>
              <w:fldChar w:fldCharType="begin"/>
            </w:r>
            <w:r>
              <w:rPr>
                <w:noProof/>
                <w:webHidden/>
              </w:rPr>
              <w:instrText xml:space="preserve"> PAGEREF _Toc122618299 \h </w:instrText>
            </w:r>
            <w:r>
              <w:rPr>
                <w:noProof/>
                <w:webHidden/>
              </w:rPr>
            </w:r>
            <w:r>
              <w:rPr>
                <w:noProof/>
                <w:webHidden/>
              </w:rPr>
              <w:fldChar w:fldCharType="separate"/>
            </w:r>
            <w:r>
              <w:rPr>
                <w:noProof/>
                <w:webHidden/>
              </w:rPr>
              <w:t>25</w:t>
            </w:r>
            <w:r>
              <w:rPr>
                <w:noProof/>
                <w:webHidden/>
              </w:rPr>
              <w:fldChar w:fldCharType="end"/>
            </w:r>
          </w:hyperlink>
        </w:p>
        <w:p w14:paraId="18FA383E" w14:textId="77777777" w:rsidR="00596D17" w:rsidRDefault="00596D17" w:rsidP="00596D17">
          <w:pPr>
            <w:pStyle w:val="TOC1"/>
          </w:pPr>
          <w:hyperlink w:anchor="_Toc122618300" w:history="1">
            <w:r w:rsidRPr="0058649E">
              <w:rPr>
                <w:rStyle w:val="Hyperlink"/>
                <w:noProof/>
              </w:rPr>
              <w:t>17.0</w:t>
            </w:r>
            <w:r>
              <w:rPr>
                <w:rFonts w:asciiTheme="minorHAnsi" w:eastAsiaTheme="minorEastAsia" w:hAnsiTheme="minorHAnsi" w:cstheme="minorBidi"/>
                <w:noProof/>
              </w:rPr>
              <w:tab/>
            </w:r>
            <w:r w:rsidRPr="0058649E">
              <w:rPr>
                <w:rStyle w:val="Hyperlink"/>
                <w:noProof/>
              </w:rPr>
              <w:t>Significant vs Moderate Changes</w:t>
            </w:r>
            <w:r>
              <w:rPr>
                <w:noProof/>
                <w:webHidden/>
              </w:rPr>
              <w:tab/>
            </w:r>
            <w:r>
              <w:rPr>
                <w:noProof/>
                <w:webHidden/>
              </w:rPr>
              <w:fldChar w:fldCharType="begin"/>
            </w:r>
            <w:r>
              <w:rPr>
                <w:noProof/>
                <w:webHidden/>
              </w:rPr>
              <w:instrText xml:space="preserve"> PAGEREF _Toc122618300 \h </w:instrText>
            </w:r>
            <w:r>
              <w:rPr>
                <w:noProof/>
                <w:webHidden/>
              </w:rPr>
            </w:r>
            <w:r>
              <w:rPr>
                <w:noProof/>
                <w:webHidden/>
              </w:rPr>
              <w:fldChar w:fldCharType="separate"/>
            </w:r>
            <w:r>
              <w:rPr>
                <w:noProof/>
                <w:webHidden/>
              </w:rPr>
              <w:t>25</w:t>
            </w:r>
            <w:r>
              <w:rPr>
                <w:noProof/>
                <w:webHidden/>
              </w:rPr>
              <w:fldChar w:fldCharType="end"/>
            </w:r>
          </w:hyperlink>
        </w:p>
        <w:p w14:paraId="524C6B5A" w14:textId="77777777" w:rsidR="00596D17" w:rsidRDefault="00596D17" w:rsidP="00596D17">
          <w:pPr>
            <w:rPr>
              <w:color w:val="EE0000"/>
            </w:rPr>
          </w:pPr>
          <w:r w:rsidRPr="006B1283">
            <w:rPr>
              <w:color w:val="EE0000"/>
            </w:rPr>
            <w:t>18.0 Transient Over-Voltage (TOV)</w:t>
          </w:r>
        </w:p>
        <w:p w14:paraId="58BF4AD0" w14:textId="77777777" w:rsidR="00596D17" w:rsidRDefault="00596D17" w:rsidP="00596D17">
          <w:r w:rsidRPr="00893474">
            <w:fldChar w:fldCharType="end"/>
          </w:r>
        </w:p>
        <w:p w14:paraId="3DA5F5B7" w14:textId="77777777" w:rsidR="00596D17" w:rsidRDefault="00596D17" w:rsidP="00596D17"/>
        <w:p w14:paraId="22D03364" w14:textId="77777777" w:rsidR="00596D17" w:rsidRDefault="00596D17" w:rsidP="00596D17"/>
        <w:p w14:paraId="285048DD" w14:textId="77777777" w:rsidR="00596D17" w:rsidRDefault="00596D17" w:rsidP="00596D17"/>
        <w:p w14:paraId="2B080F58" w14:textId="77777777" w:rsidR="00596D17" w:rsidRDefault="00596D17" w:rsidP="00596D17"/>
        <w:p w14:paraId="6F415A43" w14:textId="77777777" w:rsidR="00596D17" w:rsidRDefault="00596D17" w:rsidP="00596D17"/>
      </w:sdtContent>
    </w:sdt>
    <w:p w14:paraId="3930BE7E" w14:textId="77777777" w:rsidR="00596D17" w:rsidRDefault="00596D17" w:rsidP="00596D17">
      <w:pPr>
        <w:tabs>
          <w:tab w:val="center" w:pos="360"/>
          <w:tab w:val="center" w:pos="1440"/>
          <w:tab w:val="right" w:pos="1800"/>
          <w:tab w:val="left" w:pos="2160"/>
          <w:tab w:val="right" w:pos="9360"/>
        </w:tabs>
        <w:spacing w:after="0" w:line="240" w:lineRule="auto"/>
        <w:ind w:left="2160" w:hanging="2160"/>
        <w:jc w:val="both"/>
        <w:rPr>
          <w:rFonts w:ascii="Arial" w:hAnsi="Arial" w:cs="Arial"/>
        </w:rPr>
      </w:pPr>
    </w:p>
    <w:p w14:paraId="1E08AEE2" w14:textId="77777777" w:rsidR="00596D17" w:rsidRDefault="00596D17" w:rsidP="00596D17"/>
    <w:p w14:paraId="4E29D60A" w14:textId="77777777" w:rsidR="00596D17" w:rsidRDefault="00596D17" w:rsidP="00596D17"/>
    <w:p w14:paraId="3605117A" w14:textId="77777777" w:rsidR="00596D17" w:rsidRDefault="00596D17" w:rsidP="00596D17"/>
    <w:p w14:paraId="7B7C58F9" w14:textId="77777777" w:rsidR="00596D17" w:rsidRPr="00775A14" w:rsidRDefault="00596D17" w:rsidP="00596D17">
      <w:pPr>
        <w:pStyle w:val="Heading1"/>
        <w:numPr>
          <w:ilvl w:val="0"/>
          <w:numId w:val="8"/>
        </w:numPr>
      </w:pPr>
      <w:r w:rsidRPr="00775A14">
        <w:t>Introduction</w:t>
      </w:r>
    </w:p>
    <w:p w14:paraId="6C6E389F" w14:textId="77777777" w:rsidR="00596D17" w:rsidRDefault="00596D17" w:rsidP="00596D17">
      <w:r>
        <w:t xml:space="preserve">Massachusetts Electric Company and Nantucket Electric Company, each d/b/a National Grid (“National Grid”), NSTAR Electric Company and Western Massachusetts Electric Company, each d/b/a Eversource Energy (“Eversource”), and Fitchburg Gas and Electric Light Company d/b/a </w:t>
      </w:r>
      <w:proofErr w:type="spellStart"/>
      <w:r>
        <w:t>Unitil</w:t>
      </w:r>
      <w:proofErr w:type="spellEnd"/>
      <w:r>
        <w:t xml:space="preserve"> (collectively referred to as the “Utilities”;  individually referred to as  “Utility”), with input through the Massachusetts Technical Standards Review Group (“TSRG”)</w:t>
      </w:r>
      <w:r>
        <w:rPr>
          <w:vertAlign w:val="superscript"/>
        </w:rPr>
        <w:footnoteReference w:id="1"/>
      </w:r>
      <w:r>
        <w:t>, developed this Common Technical Standards Manual (“Manual”)</w:t>
      </w:r>
      <w:r>
        <w:rPr>
          <w:vertAlign w:val="superscript"/>
        </w:rPr>
        <w:footnoteReference w:id="2"/>
      </w:r>
      <w:r>
        <w:t xml:space="preserve"> as a reference guide to identify areas of commonality and difference among the Utilities with regard to each of their technical standards and requirements for the interconnection of distributed generation (“Interconnection Requirements”) and to provide additional technical clarification of some </w:t>
      </w:r>
      <w:r>
        <w:lastRenderedPageBreak/>
        <w:t xml:space="preserve">Utility-specific Interconnection Requirements.  This Manual is subject to each Utility’s uncontroverted ability to continue to apply a Utility-specific Interconnection Requirement that deviates from a common Interconnection Requirement followed by one or more of the other Utilities.  Further, each Utility reserves the right to deviate from this Manual when, in its sole discretion, it determines it is necessary to do so.  This Manual only addresses each Utility’s Interconnection Requirements applicable in The Commonwealth of Massachusetts.  </w:t>
      </w:r>
    </w:p>
    <w:p w14:paraId="5B7F28D1" w14:textId="77777777" w:rsidR="00596D17" w:rsidRDefault="00596D17" w:rsidP="00596D17">
      <w:r>
        <w:t xml:space="preserve">The Manual is intended to serve as a reference tool only for a distributed energy resource (“DER”) interconnecting customer.   The interconnecting customer must refer to the documentation referenced or provided by each Utility to determine the Utility’s specific interconnection standards and requirements, as well as each Utility’s interconnection tariff.   Links to each Utility’s Interconnection Requirements are provided for convenience at Section 3.1 below and can be accessed on each Utility’s website.  To the extent there is any conflict between this Manual and a Utility-specific Interconnection Requirement, the Utility specific Interconnection Requirement will take precedence over the Manual.  This Manual is not all inclusive of the Interconnection Requirements and there may be Interconnection Requirements in addition to those addressed in this Manual applicable to any specific DER facility. </w:t>
      </w:r>
    </w:p>
    <w:p w14:paraId="384DB9E9" w14:textId="77777777" w:rsidR="00596D17" w:rsidRDefault="00596D17" w:rsidP="00596D17">
      <w:pPr>
        <w:spacing w:after="0"/>
      </w:pPr>
      <w:r>
        <w:t>The Utilities have the absolute right to update and revise this Manual.   Any revisions of this Manual will be provided to the TSRG and be made available on the Department of Energy Resources (“DOER”) website.</w:t>
      </w:r>
      <w:r>
        <w:rPr>
          <w:vertAlign w:val="superscript"/>
        </w:rPr>
        <w:footnoteReference w:id="3"/>
      </w:r>
      <w:r>
        <w:t xml:space="preserve">   </w:t>
      </w:r>
    </w:p>
    <w:p w14:paraId="18E1ED46" w14:textId="77777777" w:rsidR="00596D17" w:rsidRDefault="00596D17" w:rsidP="00596D17">
      <w:pPr>
        <w:spacing w:after="0"/>
      </w:pPr>
    </w:p>
    <w:p w14:paraId="2E5850CD" w14:textId="77777777" w:rsidR="00596D17" w:rsidRDefault="00596D17" w:rsidP="00596D17">
      <w:r>
        <w:t>This Manual refers only to each Utility’s Interconnection Requirements, and it shall be the interconnecting customer’s sole responsibility to ensure that the DER facility meets all applicable federal, state, and local, codes, rules, regulations, and laws.</w:t>
      </w:r>
    </w:p>
    <w:p w14:paraId="0D208F0F" w14:textId="77777777" w:rsidR="00596D17" w:rsidRDefault="00596D17" w:rsidP="00596D17"/>
    <w:p w14:paraId="351CE9F9" w14:textId="77777777" w:rsidR="00596D17" w:rsidRDefault="00596D17" w:rsidP="00596D17">
      <w:pPr>
        <w:pStyle w:val="Heading1"/>
        <w:numPr>
          <w:ilvl w:val="0"/>
          <w:numId w:val="8"/>
        </w:numPr>
      </w:pPr>
      <w:bookmarkStart w:id="2" w:name="_Toc122618258"/>
      <w:r>
        <w:t>Standards and Guidelines Reference</w:t>
      </w:r>
      <w:bookmarkEnd w:id="2"/>
    </w:p>
    <w:p w14:paraId="3148BFCA" w14:textId="77777777" w:rsidR="00596D17" w:rsidRPr="003474CE" w:rsidRDefault="00596D17" w:rsidP="00596D17">
      <w:r w:rsidRPr="003474CE">
        <w:t>The following represents a list of electric distribution company (EDC) requirements and Department of Public Utilities (DPU) direction relative to distributed generation (DG</w:t>
      </w:r>
      <w:proofErr w:type="gramStart"/>
      <w:r w:rsidRPr="003474CE">
        <w:t>)interconnections</w:t>
      </w:r>
      <w:proofErr w:type="gramEnd"/>
      <w:r w:rsidRPr="003474CE">
        <w:t xml:space="preserve"> in Massachusetts.  This is not intended as a comprehensive listing of all applicable requirements and considerations that a DG customer must consider.  </w:t>
      </w:r>
      <w:proofErr w:type="gramStart"/>
      <w:r w:rsidRPr="003474CE">
        <w:t>Instead</w:t>
      </w:r>
      <w:proofErr w:type="gramEnd"/>
      <w:r w:rsidRPr="003474CE">
        <w:t xml:space="preserve"> this is a general listing to assist those customers </w:t>
      </w:r>
      <w:proofErr w:type="gramStart"/>
      <w:r w:rsidRPr="003474CE">
        <w:t>in</w:t>
      </w:r>
      <w:proofErr w:type="gramEnd"/>
      <w:r w:rsidRPr="003474CE">
        <w:t xml:space="preserve"> awareness of general requirements. </w:t>
      </w:r>
      <w:r>
        <w:t xml:space="preserve"> It is the responsibility of any stakeholder engaged in the interconnection process to understand processes and technical requirements of an interconnection.</w:t>
      </w:r>
    </w:p>
    <w:p w14:paraId="4EF2630D" w14:textId="77777777" w:rsidR="00596D17" w:rsidRPr="006A424A" w:rsidRDefault="00596D17" w:rsidP="00596D17">
      <w:pPr>
        <w:pStyle w:val="Heading2"/>
        <w:numPr>
          <w:ilvl w:val="1"/>
          <w:numId w:val="8"/>
        </w:numPr>
        <w:ind w:left="810"/>
      </w:pPr>
      <w:bookmarkStart w:id="3" w:name="_Toc122618259"/>
      <w:r w:rsidRPr="006A424A">
        <w:lastRenderedPageBreak/>
        <w:t>Electric Distribution Companies</w:t>
      </w:r>
      <w:bookmarkEnd w:id="3"/>
    </w:p>
    <w:p w14:paraId="43CECC2E" w14:textId="77777777" w:rsidR="00596D17" w:rsidRDefault="00596D17" w:rsidP="00596D17">
      <w:r>
        <w:t>The following documentation should be referenced on a Utility-specific basis. The documents are Company standards or official guidelines pertaining to the parallel connection of distributed generation to the electric power system and the requirements therein take precedence over this document.</w:t>
      </w:r>
    </w:p>
    <w:p w14:paraId="6F7BCE1C" w14:textId="77777777" w:rsidR="00596D17" w:rsidRPr="006A424A" w:rsidRDefault="00596D17" w:rsidP="00596D17">
      <w:pPr>
        <w:pStyle w:val="NoSpacing"/>
        <w:rPr>
          <w:b/>
          <w:bCs/>
          <w:u w:val="single"/>
        </w:rPr>
      </w:pPr>
      <w:r w:rsidRPr="006A424A">
        <w:rPr>
          <w:b/>
          <w:bCs/>
          <w:u w:val="single"/>
        </w:rPr>
        <w:t>Eversource</w:t>
      </w:r>
    </w:p>
    <w:p w14:paraId="7B9EFA5C" w14:textId="77777777" w:rsidR="00596D17" w:rsidRDefault="00596D17" w:rsidP="00596D17">
      <w:pPr>
        <w:pBdr>
          <w:top w:val="nil"/>
          <w:left w:val="nil"/>
          <w:bottom w:val="nil"/>
          <w:right w:val="nil"/>
          <w:between w:val="nil"/>
        </w:pBdr>
        <w:ind w:left="720"/>
        <w:rPr>
          <w:b/>
          <w:color w:val="000000"/>
        </w:rPr>
      </w:pPr>
      <w:r>
        <w:rPr>
          <w:b/>
          <w:color w:val="000000"/>
        </w:rPr>
        <w:t>Technical Specifications for Distributed Generation Interconnection</w:t>
      </w:r>
      <w:r>
        <w:rPr>
          <w:color w:val="000000"/>
        </w:rPr>
        <w:br/>
      </w:r>
      <w:hyperlink r:id="rId7" w:history="1">
        <w:r w:rsidRPr="008C7209">
          <w:rPr>
            <w:rStyle w:val="Hyperlink"/>
          </w:rPr>
          <w:t>https://www.eversource.com/content/docs/default-source/builders-contractors/der-information-technical-requirements.pdf?sfvrsn=ab2bfc62_10</w:t>
        </w:r>
      </w:hyperlink>
      <w:r>
        <w:t xml:space="preserve"> </w:t>
      </w:r>
    </w:p>
    <w:p w14:paraId="1CF794BC" w14:textId="77777777" w:rsidR="00596D17" w:rsidRPr="006A424A" w:rsidRDefault="00596D17" w:rsidP="00596D17">
      <w:pPr>
        <w:pStyle w:val="NoSpacing"/>
        <w:rPr>
          <w:b/>
          <w:bCs/>
          <w:u w:val="single"/>
        </w:rPr>
      </w:pPr>
      <w:r w:rsidRPr="006A424A">
        <w:rPr>
          <w:b/>
          <w:bCs/>
          <w:u w:val="single"/>
        </w:rPr>
        <w:t>National Grid</w:t>
      </w:r>
    </w:p>
    <w:p w14:paraId="6111A6C5" w14:textId="77777777" w:rsidR="00596D17" w:rsidRPr="00385090" w:rsidRDefault="00596D17" w:rsidP="00596D17">
      <w:pPr>
        <w:pBdr>
          <w:top w:val="nil"/>
          <w:left w:val="nil"/>
          <w:bottom w:val="nil"/>
          <w:right w:val="nil"/>
          <w:between w:val="nil"/>
        </w:pBdr>
        <w:spacing w:after="60" w:line="240" w:lineRule="auto"/>
        <w:ind w:left="720"/>
        <w:rPr>
          <w:b/>
          <w:bCs/>
          <w:color w:val="467886" w:themeColor="hyperlink"/>
          <w:u w:val="single"/>
        </w:rPr>
      </w:pPr>
      <w:r w:rsidRPr="00385090">
        <w:rPr>
          <w:b/>
          <w:bCs/>
        </w:rPr>
        <w:t xml:space="preserve">ESB 756, Requirements for Parallel Generation, Appendix C-Massachusetts </w:t>
      </w:r>
    </w:p>
    <w:p w14:paraId="7D37AF6D" w14:textId="77777777" w:rsidR="00596D17" w:rsidRDefault="00596D17" w:rsidP="00596D17">
      <w:pPr>
        <w:pBdr>
          <w:top w:val="nil"/>
          <w:left w:val="nil"/>
          <w:bottom w:val="nil"/>
          <w:right w:val="nil"/>
          <w:between w:val="nil"/>
        </w:pBdr>
        <w:ind w:left="720"/>
        <w:rPr>
          <w:color w:val="0000FF"/>
          <w:u w:val="single"/>
        </w:rPr>
      </w:pPr>
      <w:hyperlink r:id="rId8" w:history="1">
        <w:r>
          <w:rPr>
            <w:rStyle w:val="Hyperlink"/>
          </w:rPr>
          <w:t>https://gridforce.my.site.com/servlet/servlet.FileDownload?file=0156T00000H8zbF</w:t>
        </w:r>
      </w:hyperlink>
    </w:p>
    <w:p w14:paraId="5C51DCF6" w14:textId="77777777" w:rsidR="00596D17" w:rsidRPr="005935C1" w:rsidRDefault="00596D17" w:rsidP="00596D17">
      <w:pPr>
        <w:pBdr>
          <w:top w:val="nil"/>
          <w:left w:val="nil"/>
          <w:bottom w:val="nil"/>
          <w:right w:val="nil"/>
          <w:between w:val="nil"/>
        </w:pBdr>
        <w:spacing w:after="60"/>
        <w:ind w:left="720"/>
        <w:rPr>
          <w:b/>
          <w:bCs/>
        </w:rPr>
      </w:pPr>
      <w:r w:rsidRPr="005935C1">
        <w:rPr>
          <w:b/>
          <w:bCs/>
        </w:rPr>
        <w:t>Other National Grid standards incorporated into ESB 756 by reference</w:t>
      </w:r>
    </w:p>
    <w:p w14:paraId="4B96A6A7" w14:textId="77777777" w:rsidR="00596D17" w:rsidRDefault="00596D17" w:rsidP="00596D17">
      <w:pPr>
        <w:pBdr>
          <w:top w:val="nil"/>
          <w:left w:val="nil"/>
          <w:bottom w:val="nil"/>
          <w:right w:val="nil"/>
          <w:between w:val="nil"/>
        </w:pBdr>
        <w:ind w:left="720"/>
        <w:rPr>
          <w:color w:val="467886" w:themeColor="hyperlink"/>
          <w:u w:val="single"/>
        </w:rPr>
      </w:pPr>
      <w:hyperlink r:id="rId9" w:history="1">
        <w:r>
          <w:rPr>
            <w:rStyle w:val="Hyperlink"/>
          </w:rPr>
          <w:t>https://gridforce.my.site.com/electric/s/article/Electric-Specifications</w:t>
        </w:r>
      </w:hyperlink>
    </w:p>
    <w:p w14:paraId="6D8433F9" w14:textId="77777777" w:rsidR="00596D17" w:rsidRPr="000C0D9D" w:rsidRDefault="00596D17" w:rsidP="00596D17">
      <w:pPr>
        <w:pBdr>
          <w:top w:val="nil"/>
          <w:left w:val="nil"/>
          <w:bottom w:val="nil"/>
          <w:right w:val="nil"/>
          <w:between w:val="nil"/>
        </w:pBdr>
        <w:spacing w:after="60"/>
        <w:ind w:left="720"/>
        <w:rPr>
          <w:b/>
          <w:bCs/>
        </w:rPr>
      </w:pPr>
      <w:r w:rsidRPr="000C0D9D">
        <w:rPr>
          <w:b/>
          <w:bCs/>
        </w:rPr>
        <w:t>Additional Guidance Documents</w:t>
      </w:r>
    </w:p>
    <w:p w14:paraId="03CAD976" w14:textId="77777777" w:rsidR="00596D17" w:rsidRPr="005935C1" w:rsidRDefault="00596D17" w:rsidP="00596D17">
      <w:pPr>
        <w:pBdr>
          <w:top w:val="nil"/>
          <w:left w:val="nil"/>
          <w:bottom w:val="nil"/>
          <w:right w:val="nil"/>
          <w:between w:val="nil"/>
        </w:pBdr>
        <w:ind w:left="720"/>
        <w:rPr>
          <w:color w:val="467886" w:themeColor="hyperlink"/>
          <w:u w:val="single"/>
        </w:rPr>
      </w:pPr>
      <w:hyperlink r:id="rId10" w:history="1">
        <w:r>
          <w:rPr>
            <w:rStyle w:val="Hyperlink"/>
          </w:rPr>
          <w:t>https://gridforce.my.site.com/s/article/MA-Interconnection-Documents</w:t>
        </w:r>
      </w:hyperlink>
    </w:p>
    <w:p w14:paraId="18053D0A" w14:textId="77777777" w:rsidR="00596D17" w:rsidRPr="006A424A" w:rsidRDefault="00596D17" w:rsidP="00596D17">
      <w:pPr>
        <w:pStyle w:val="NoSpacing"/>
        <w:rPr>
          <w:b/>
          <w:bCs/>
          <w:u w:val="single"/>
        </w:rPr>
      </w:pPr>
      <w:proofErr w:type="spellStart"/>
      <w:r w:rsidRPr="006A424A">
        <w:rPr>
          <w:b/>
          <w:bCs/>
          <w:u w:val="single"/>
        </w:rPr>
        <w:t>Unitil</w:t>
      </w:r>
      <w:proofErr w:type="spellEnd"/>
    </w:p>
    <w:p w14:paraId="1C0372D0" w14:textId="77777777" w:rsidR="00596D17" w:rsidRDefault="00596D17" w:rsidP="00596D17">
      <w:pPr>
        <w:pBdr>
          <w:top w:val="nil"/>
          <w:left w:val="nil"/>
          <w:bottom w:val="nil"/>
          <w:right w:val="nil"/>
          <w:between w:val="nil"/>
        </w:pBdr>
        <w:ind w:left="720"/>
      </w:pPr>
      <w:r>
        <w:rPr>
          <w:b/>
          <w:color w:val="000000"/>
        </w:rPr>
        <w:t>Distributed Generation Interconnection Standards</w:t>
      </w:r>
      <w:r>
        <w:rPr>
          <w:color w:val="000000"/>
        </w:rPr>
        <w:br/>
      </w:r>
      <w:hyperlink r:id="rId11" w:history="1">
        <w:r w:rsidRPr="00893474">
          <w:rPr>
            <w:rStyle w:val="Hyperlink"/>
          </w:rPr>
          <w:t>https://unitil.com/sites/default/files/2021-03/Unitil Guideline for Interconnecting DG GL-DT-TC-10.pdf</w:t>
        </w:r>
      </w:hyperlink>
      <w:r>
        <w:t xml:space="preserve">  </w:t>
      </w:r>
      <w:hyperlink w:history="1"/>
    </w:p>
    <w:p w14:paraId="4B5868A8" w14:textId="77777777" w:rsidR="00596D17" w:rsidRDefault="00596D17" w:rsidP="00596D17">
      <w:pPr>
        <w:pBdr>
          <w:top w:val="nil"/>
          <w:left w:val="nil"/>
          <w:bottom w:val="nil"/>
          <w:right w:val="nil"/>
          <w:between w:val="nil"/>
        </w:pBdr>
        <w:ind w:left="720"/>
        <w:rPr>
          <w:color w:val="000000"/>
        </w:rPr>
      </w:pPr>
    </w:p>
    <w:p w14:paraId="0E94A55A" w14:textId="77777777" w:rsidR="002065F8" w:rsidRDefault="002065F8" w:rsidP="00596D17">
      <w:pPr>
        <w:pBdr>
          <w:top w:val="nil"/>
          <w:left w:val="nil"/>
          <w:bottom w:val="nil"/>
          <w:right w:val="nil"/>
          <w:between w:val="nil"/>
        </w:pBdr>
        <w:ind w:left="720"/>
        <w:rPr>
          <w:color w:val="000000"/>
        </w:rPr>
      </w:pPr>
    </w:p>
    <w:p w14:paraId="259E9FBB" w14:textId="77777777" w:rsidR="002065F8" w:rsidRDefault="002065F8" w:rsidP="00596D17">
      <w:pPr>
        <w:pBdr>
          <w:top w:val="nil"/>
          <w:left w:val="nil"/>
          <w:bottom w:val="nil"/>
          <w:right w:val="nil"/>
          <w:between w:val="nil"/>
        </w:pBdr>
        <w:ind w:left="720"/>
        <w:rPr>
          <w:color w:val="000000"/>
        </w:rPr>
      </w:pPr>
    </w:p>
    <w:p w14:paraId="19B3DFBB" w14:textId="77777777" w:rsidR="00596D17" w:rsidRDefault="00596D17" w:rsidP="00596D17">
      <w:pPr>
        <w:pStyle w:val="Heading2"/>
        <w:numPr>
          <w:ilvl w:val="1"/>
          <w:numId w:val="8"/>
        </w:numPr>
        <w:ind w:left="810"/>
      </w:pPr>
      <w:bookmarkStart w:id="4" w:name="_Toc122618260"/>
      <w:r>
        <w:t>Department of Public Utilities</w:t>
      </w:r>
      <w:bookmarkEnd w:id="4"/>
    </w:p>
    <w:p w14:paraId="249AD596" w14:textId="77777777" w:rsidR="00596D17" w:rsidRDefault="00596D17" w:rsidP="00596D17">
      <w:r>
        <w:t xml:space="preserve">Refer to the DPU websites below for information.  </w:t>
      </w:r>
    </w:p>
    <w:p w14:paraId="6300AE5C" w14:textId="77777777" w:rsidR="00596D17" w:rsidRDefault="00596D17" w:rsidP="00596D17">
      <w:pPr>
        <w:pStyle w:val="ListParagraph"/>
        <w:numPr>
          <w:ilvl w:val="0"/>
          <w:numId w:val="14"/>
        </w:numPr>
        <w:spacing w:after="160" w:line="259" w:lineRule="auto"/>
      </w:pPr>
      <w:r>
        <w:t>Interconnection:</w:t>
      </w:r>
    </w:p>
    <w:p w14:paraId="2C2DFB94" w14:textId="77777777" w:rsidR="00596D17" w:rsidRDefault="00596D17" w:rsidP="00596D17">
      <w:pPr>
        <w:pStyle w:val="ListParagraph"/>
        <w:numPr>
          <w:ilvl w:val="1"/>
          <w:numId w:val="14"/>
        </w:numPr>
        <w:spacing w:after="160" w:line="259" w:lineRule="auto"/>
      </w:pPr>
      <w:hyperlink r:id="rId12" w:history="1">
        <w:r>
          <w:rPr>
            <w:rStyle w:val="Hyperlink"/>
          </w:rPr>
          <w:t>https://www.mass.gov/info-details/interconnection-filings-and-tariffs</w:t>
        </w:r>
      </w:hyperlink>
    </w:p>
    <w:p w14:paraId="7B1935C7" w14:textId="77777777" w:rsidR="00596D17" w:rsidRDefault="00596D17" w:rsidP="00596D17">
      <w:pPr>
        <w:pStyle w:val="ListParagraph"/>
        <w:numPr>
          <w:ilvl w:val="0"/>
          <w:numId w:val="14"/>
        </w:numPr>
        <w:spacing w:after="160" w:line="259" w:lineRule="auto"/>
      </w:pPr>
      <w:r>
        <w:t>Net metering:</w:t>
      </w:r>
    </w:p>
    <w:p w14:paraId="11310B68" w14:textId="77777777" w:rsidR="00596D17" w:rsidRDefault="00596D17" w:rsidP="00596D17">
      <w:pPr>
        <w:pStyle w:val="ListParagraph"/>
        <w:numPr>
          <w:ilvl w:val="1"/>
          <w:numId w:val="14"/>
        </w:numPr>
        <w:spacing w:after="160" w:line="259" w:lineRule="auto"/>
      </w:pPr>
      <w:hyperlink r:id="rId13" w:history="1">
        <w:r>
          <w:rPr>
            <w:rStyle w:val="Hyperlink"/>
          </w:rPr>
          <w:t>https://www.mass.gov/info-details/net-metering-filings-and-tariffs</w:t>
        </w:r>
      </w:hyperlink>
    </w:p>
    <w:p w14:paraId="218F4EDA" w14:textId="77777777" w:rsidR="00596D17" w:rsidRDefault="00596D17" w:rsidP="00596D17">
      <w:pPr>
        <w:pStyle w:val="ListParagraph"/>
        <w:numPr>
          <w:ilvl w:val="0"/>
          <w:numId w:val="14"/>
        </w:numPr>
        <w:spacing w:after="160" w:line="259" w:lineRule="auto"/>
      </w:pPr>
      <w:r>
        <w:t>Qualified Facilities:</w:t>
      </w:r>
    </w:p>
    <w:p w14:paraId="11D0D245" w14:textId="77777777" w:rsidR="00596D17" w:rsidRDefault="00596D17" w:rsidP="00596D17">
      <w:pPr>
        <w:pStyle w:val="ListParagraph"/>
        <w:numPr>
          <w:ilvl w:val="1"/>
          <w:numId w:val="14"/>
        </w:numPr>
        <w:spacing w:after="160" w:line="259" w:lineRule="auto"/>
      </w:pPr>
      <w:hyperlink r:id="rId14" w:history="1">
        <w:r w:rsidRPr="00814454">
          <w:rPr>
            <w:rStyle w:val="Hyperlink"/>
          </w:rPr>
          <w:t>https://www.mass.gov/info-details/qualifying-facilities-and-on-site-generating-facilities</w:t>
        </w:r>
      </w:hyperlink>
      <w:r>
        <w:rPr>
          <w:rStyle w:val="Hyperlink"/>
        </w:rPr>
        <w:t xml:space="preserve"> </w:t>
      </w:r>
    </w:p>
    <w:p w14:paraId="131F6913" w14:textId="77777777" w:rsidR="00596D17" w:rsidRDefault="00596D17" w:rsidP="00596D17">
      <w:pPr>
        <w:pStyle w:val="ListParagraph"/>
        <w:numPr>
          <w:ilvl w:val="0"/>
          <w:numId w:val="14"/>
        </w:numPr>
        <w:spacing w:after="160" w:line="259" w:lineRule="auto"/>
      </w:pPr>
      <w:r>
        <w:t>SMART Program:</w:t>
      </w:r>
    </w:p>
    <w:p w14:paraId="370EC6BC" w14:textId="77777777" w:rsidR="00596D17" w:rsidRDefault="00596D17" w:rsidP="00596D17">
      <w:pPr>
        <w:pStyle w:val="ListParagraph"/>
        <w:numPr>
          <w:ilvl w:val="1"/>
          <w:numId w:val="14"/>
        </w:numPr>
        <w:spacing w:after="160" w:line="259" w:lineRule="auto"/>
      </w:pPr>
      <w:hyperlink r:id="rId15" w:anchor="open-proceedings-" w:history="1">
        <w:r>
          <w:rPr>
            <w:rStyle w:val="Hyperlink"/>
          </w:rPr>
          <w:t>https://www.mass.gov/info-details/solar-massachusetts-renewable-target-smart-program#open-proceedings-</w:t>
        </w:r>
      </w:hyperlink>
    </w:p>
    <w:p w14:paraId="4CEAE30D" w14:textId="77777777" w:rsidR="00596D17" w:rsidRDefault="00596D17" w:rsidP="00596D17">
      <w:pPr>
        <w:pStyle w:val="ListParagraph"/>
        <w:numPr>
          <w:ilvl w:val="0"/>
          <w:numId w:val="14"/>
        </w:numPr>
        <w:spacing w:after="160" w:line="259" w:lineRule="auto"/>
      </w:pPr>
      <w:r>
        <w:t>Provisional System Planning Guidelines:</w:t>
      </w:r>
    </w:p>
    <w:p w14:paraId="6A1551DF" w14:textId="77777777" w:rsidR="00596D17" w:rsidRDefault="00596D17" w:rsidP="00596D17">
      <w:pPr>
        <w:pStyle w:val="ListParagraph"/>
        <w:numPr>
          <w:ilvl w:val="1"/>
          <w:numId w:val="14"/>
        </w:numPr>
        <w:spacing w:after="160" w:line="259" w:lineRule="auto"/>
      </w:pPr>
      <w:hyperlink r:id="rId16" w:history="1">
        <w:r w:rsidRPr="008C7209">
          <w:rPr>
            <w:rStyle w:val="Hyperlink"/>
          </w:rPr>
          <w:t>https://www.mass.gov/guides/provisional-system-planning-program-guide</w:t>
        </w:r>
      </w:hyperlink>
      <w:r>
        <w:t xml:space="preserve"> </w:t>
      </w:r>
    </w:p>
    <w:p w14:paraId="4EF2C448" w14:textId="77777777" w:rsidR="00596D17" w:rsidRDefault="00596D17" w:rsidP="00596D17">
      <w:pPr>
        <w:pStyle w:val="Heading1"/>
        <w:numPr>
          <w:ilvl w:val="0"/>
          <w:numId w:val="8"/>
        </w:numPr>
      </w:pPr>
      <w:bookmarkStart w:id="5" w:name="_Toc122618261"/>
      <w:r>
        <w:lastRenderedPageBreak/>
        <w:t>Anti-Islanding, Reclose Blocking, and Direct Transfer Trip</w:t>
      </w:r>
      <w:bookmarkEnd w:id="5"/>
    </w:p>
    <w:p w14:paraId="5260EA0D" w14:textId="77777777" w:rsidR="00596D17" w:rsidRDefault="00596D17" w:rsidP="00596D17">
      <w:proofErr w:type="gramStart"/>
      <w:r>
        <w:t>In the event that</w:t>
      </w:r>
      <w:proofErr w:type="gramEnd"/>
      <w:r>
        <w:t xml:space="preserve"> a portion of the utility electric system is electrically separated from the rest of the electric system, a Facility on that section of the system could possibly island with the load on that section, such that insufficient anti-islanding provisions at the Facility could lead to run-on times beyond the two-second limit prescribed in IEEE 1547. This could result in safety risks to line workers and the public, as well as equipment damage and reliability and power quality risks. Amongst all utilities, for cases where the line section aggregated DER is ≤ 33% of minimum load, regardless of DER type mix, the risk of islanding (ROI) is considered </w:t>
      </w:r>
      <w:proofErr w:type="gramStart"/>
      <w:r>
        <w:t>negligible</w:t>
      </w:r>
      <w:proofErr w:type="gramEnd"/>
      <w:r>
        <w:t xml:space="preserve"> and no further screening is required. Each utility also reviews multiple line sections that the facility may be capable of islanding.</w:t>
      </w:r>
    </w:p>
    <w:p w14:paraId="6AFFE424" w14:textId="77777777" w:rsidR="00596D17" w:rsidRDefault="00596D17" w:rsidP="00596D17">
      <w:r>
        <w:t xml:space="preserve">In this section Direct Transfer Trip is defined as protection scheme designed to automatically separate the Facility from the EPS via a remote (or loss of remote) signal from the utility by tripping one or more breakers at the PPC or within the Customer’s Facility. </w:t>
      </w:r>
    </w:p>
    <w:p w14:paraId="75E016BC" w14:textId="77777777" w:rsidR="00596D17" w:rsidRDefault="00596D17" w:rsidP="00596D17">
      <w:r>
        <w:t>All risk of islanding studies, where applicable, are performed at the expense of the applicant.</w:t>
      </w:r>
    </w:p>
    <w:p w14:paraId="30D52C99" w14:textId="77777777" w:rsidR="00596D17" w:rsidRDefault="00596D17" w:rsidP="00596D17">
      <w:pPr>
        <w:pStyle w:val="Heading2"/>
        <w:numPr>
          <w:ilvl w:val="1"/>
          <w:numId w:val="8"/>
        </w:numPr>
        <w:ind w:left="1440"/>
      </w:pPr>
      <w:bookmarkStart w:id="6" w:name="_Toc122618262"/>
      <w:r>
        <w:t>Screening Process</w:t>
      </w:r>
      <w:bookmarkEnd w:id="6"/>
    </w:p>
    <w:p w14:paraId="7D1CBE9F" w14:textId="77777777" w:rsidR="00596D17" w:rsidRDefault="00596D17" w:rsidP="00596D17">
      <w:pPr>
        <w:pBdr>
          <w:top w:val="nil"/>
          <w:left w:val="nil"/>
          <w:bottom w:val="nil"/>
          <w:right w:val="nil"/>
          <w:between w:val="nil"/>
        </w:pBdr>
        <w:spacing w:after="0" w:line="240" w:lineRule="auto"/>
        <w:ind w:left="720"/>
        <w:rPr>
          <w:color w:val="000000"/>
        </w:rPr>
      </w:pPr>
      <w:r w:rsidRPr="0079687C">
        <w:rPr>
          <w:color w:val="000000"/>
          <w:u w:val="single"/>
        </w:rPr>
        <w:t>For</w:t>
      </w:r>
      <w:r>
        <w:rPr>
          <w:color w:val="000000"/>
        </w:rPr>
        <w:t xml:space="preserve"> all Interconnection Applications, each Member Utility screens the Facility for potential islanding conditions.</w:t>
      </w:r>
    </w:p>
    <w:p w14:paraId="52C9E02F" w14:textId="77777777" w:rsidR="00596D17" w:rsidRDefault="00596D17" w:rsidP="00596D17">
      <w:pPr>
        <w:pBdr>
          <w:top w:val="nil"/>
          <w:left w:val="nil"/>
          <w:bottom w:val="nil"/>
          <w:right w:val="nil"/>
          <w:between w:val="nil"/>
        </w:pBdr>
        <w:spacing w:after="0" w:line="240" w:lineRule="auto"/>
        <w:ind w:left="720"/>
        <w:rPr>
          <w:b/>
          <w:color w:val="4F81BD"/>
          <w:sz w:val="24"/>
          <w:szCs w:val="24"/>
        </w:rPr>
      </w:pPr>
      <w:r w:rsidRPr="00AD0A19">
        <w:rPr>
          <w:b/>
          <w:i/>
          <w:color w:val="4F81BD"/>
          <w:sz w:val="24"/>
        </w:rPr>
        <w:t>Eversource:</w:t>
      </w:r>
    </w:p>
    <w:p w14:paraId="25AA3FD2" w14:textId="77777777" w:rsidR="00596D17" w:rsidRDefault="00596D17" w:rsidP="00596D17">
      <w:pPr>
        <w:pBdr>
          <w:top w:val="nil"/>
          <w:left w:val="nil"/>
          <w:bottom w:val="nil"/>
          <w:right w:val="nil"/>
          <w:between w:val="nil"/>
        </w:pBdr>
        <w:spacing w:after="0" w:line="240" w:lineRule="auto"/>
        <w:ind w:left="720"/>
        <w:rPr>
          <w:b/>
          <w:color w:val="000000"/>
        </w:rPr>
      </w:pPr>
      <w:r>
        <w:rPr>
          <w:b/>
          <w:color w:val="000000"/>
        </w:rPr>
        <w:t xml:space="preserve">ROI SCREENING PROCESS </w:t>
      </w:r>
    </w:p>
    <w:p w14:paraId="0F5F1F7A" w14:textId="77777777" w:rsidR="00596D17" w:rsidRDefault="00596D17" w:rsidP="00596D17">
      <w:pPr>
        <w:pBdr>
          <w:top w:val="nil"/>
          <w:left w:val="nil"/>
          <w:bottom w:val="nil"/>
          <w:right w:val="nil"/>
          <w:between w:val="nil"/>
        </w:pBdr>
        <w:spacing w:after="0" w:line="240" w:lineRule="auto"/>
        <w:ind w:left="720"/>
        <w:rPr>
          <w:b/>
          <w:color w:val="000000"/>
        </w:rPr>
      </w:pPr>
    </w:p>
    <w:p w14:paraId="4F474A09" w14:textId="77777777" w:rsidR="00596D17" w:rsidRPr="000F1AF3" w:rsidRDefault="00596D17" w:rsidP="00596D17">
      <w:pPr>
        <w:pBdr>
          <w:top w:val="nil"/>
          <w:left w:val="nil"/>
          <w:bottom w:val="nil"/>
          <w:right w:val="nil"/>
          <w:between w:val="nil"/>
        </w:pBdr>
        <w:spacing w:after="0" w:line="240" w:lineRule="auto"/>
        <w:ind w:left="720"/>
        <w:rPr>
          <w:bCs/>
          <w:color w:val="EE0000"/>
        </w:rPr>
      </w:pPr>
      <w:r w:rsidRPr="000F1AF3">
        <w:rPr>
          <w:bCs/>
          <w:color w:val="EE0000"/>
        </w:rPr>
        <w:t>The Company utilizes SANDIA ROI criteria to conduct screenings.</w:t>
      </w:r>
    </w:p>
    <w:p w14:paraId="7CF01661" w14:textId="77777777" w:rsidR="00596D17" w:rsidRDefault="00596D17" w:rsidP="00596D17">
      <w:pPr>
        <w:pBdr>
          <w:top w:val="nil"/>
          <w:left w:val="nil"/>
          <w:bottom w:val="nil"/>
          <w:right w:val="nil"/>
          <w:between w:val="nil"/>
        </w:pBdr>
        <w:spacing w:after="0" w:line="240" w:lineRule="auto"/>
        <w:ind w:left="720"/>
        <w:rPr>
          <w:color w:val="000000"/>
        </w:rPr>
      </w:pPr>
    </w:p>
    <w:p w14:paraId="219782A6" w14:textId="77777777" w:rsidR="00596D17" w:rsidRDefault="00596D17" w:rsidP="00596D17">
      <w:pPr>
        <w:pBdr>
          <w:top w:val="nil"/>
          <w:left w:val="nil"/>
          <w:bottom w:val="nil"/>
          <w:right w:val="nil"/>
          <w:between w:val="nil"/>
        </w:pBdr>
        <w:spacing w:after="0" w:line="240" w:lineRule="auto"/>
        <w:ind w:left="720"/>
        <w:rPr>
          <w:color w:val="000000"/>
        </w:rPr>
      </w:pPr>
      <w:r>
        <w:rPr>
          <w:color w:val="000000"/>
          <w:u w:val="single"/>
        </w:rPr>
        <w:t>All Proposed DER projects &gt; 100 kW will be reviewed.</w:t>
      </w:r>
      <w:r>
        <w:rPr>
          <w:color w:val="000000"/>
        </w:rPr>
        <w:t xml:space="preserve">  The line section minimum load to aggregate DER ratio will be determined.  This can be accomplished during a preliminary application review or as part of the system impact study.  Pre-existing DER equipped with direct transfer trip (DTT) may not be factored into any aggregate DER screens identified within this document.  DER at customer sites equipped with reverse power or minimum import relays should also be evaluated to determine the appropriate contribution to aggregate capacity screens.</w:t>
      </w:r>
    </w:p>
    <w:p w14:paraId="4C7BD413" w14:textId="77777777" w:rsidR="00596D17" w:rsidRDefault="00596D17" w:rsidP="00596D17">
      <w:pPr>
        <w:pBdr>
          <w:top w:val="nil"/>
          <w:left w:val="nil"/>
          <w:bottom w:val="nil"/>
          <w:right w:val="nil"/>
          <w:between w:val="nil"/>
        </w:pBdr>
        <w:tabs>
          <w:tab w:val="left" w:pos="9940"/>
        </w:tabs>
        <w:spacing w:after="0" w:line="240" w:lineRule="auto"/>
        <w:ind w:left="720"/>
        <w:rPr>
          <w:color w:val="000000"/>
        </w:rPr>
      </w:pPr>
      <w:r>
        <w:rPr>
          <w:color w:val="000000"/>
        </w:rPr>
        <w:tab/>
      </w:r>
    </w:p>
    <w:p w14:paraId="4583B877"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If any line section has an aggregate DER-to-minimum load ratio &gt;33%, the following evaluation is performed.</w:t>
      </w:r>
    </w:p>
    <w:p w14:paraId="694885B8" w14:textId="77777777" w:rsidR="00596D17" w:rsidRDefault="00596D17" w:rsidP="00596D17">
      <w:pPr>
        <w:pBdr>
          <w:top w:val="nil"/>
          <w:left w:val="nil"/>
          <w:bottom w:val="nil"/>
          <w:right w:val="nil"/>
          <w:between w:val="nil"/>
        </w:pBdr>
        <w:spacing w:after="0" w:line="240" w:lineRule="auto"/>
        <w:ind w:left="720"/>
        <w:rPr>
          <w:color w:val="000000"/>
        </w:rPr>
      </w:pPr>
    </w:p>
    <w:p w14:paraId="1E3ED18B" w14:textId="77777777" w:rsidR="00596D17" w:rsidRDefault="00596D17" w:rsidP="00596D17">
      <w:pPr>
        <w:pBdr>
          <w:top w:val="nil"/>
          <w:left w:val="nil"/>
          <w:bottom w:val="nil"/>
          <w:right w:val="nil"/>
          <w:between w:val="nil"/>
        </w:pBdr>
        <w:spacing w:after="0" w:line="240" w:lineRule="auto"/>
        <w:ind w:left="720"/>
        <w:rPr>
          <w:b/>
          <w:color w:val="000000"/>
        </w:rPr>
      </w:pPr>
      <w:r>
        <w:rPr>
          <w:b/>
          <w:color w:val="000000"/>
        </w:rPr>
        <w:t xml:space="preserve">CERTIFIED DER </w:t>
      </w:r>
    </w:p>
    <w:p w14:paraId="6AF971F9" w14:textId="77777777" w:rsidR="00596D17" w:rsidRDefault="00596D17" w:rsidP="00596D17">
      <w:pPr>
        <w:pBdr>
          <w:top w:val="nil"/>
          <w:left w:val="nil"/>
          <w:bottom w:val="nil"/>
          <w:right w:val="nil"/>
          <w:between w:val="nil"/>
        </w:pBdr>
        <w:spacing w:after="0" w:line="240" w:lineRule="auto"/>
        <w:ind w:left="720"/>
        <w:rPr>
          <w:color w:val="000000"/>
        </w:rPr>
      </w:pPr>
    </w:p>
    <w:p w14:paraId="7E964B4C" w14:textId="77777777" w:rsidR="00596D17" w:rsidRDefault="00596D17" w:rsidP="00596D17">
      <w:pPr>
        <w:pBdr>
          <w:top w:val="nil"/>
          <w:left w:val="nil"/>
          <w:bottom w:val="nil"/>
          <w:right w:val="nil"/>
          <w:between w:val="nil"/>
        </w:pBdr>
        <w:spacing w:after="0" w:line="240" w:lineRule="auto"/>
        <w:ind w:left="720"/>
        <w:rPr>
          <w:color w:val="000000"/>
          <w:u w:val="single"/>
        </w:rPr>
      </w:pPr>
      <w:r>
        <w:rPr>
          <w:color w:val="000000"/>
          <w:u w:val="single"/>
        </w:rPr>
        <w:t xml:space="preserve">Line section aggregated non-certified DER is ≤ 10% of the mix </w:t>
      </w:r>
      <w:r>
        <w:rPr>
          <w:b/>
          <w:color w:val="000000"/>
          <w:u w:val="single"/>
        </w:rPr>
        <w:t>and</w:t>
      </w:r>
      <w:r>
        <w:rPr>
          <w:color w:val="000000"/>
          <w:u w:val="single"/>
        </w:rPr>
        <w:t xml:space="preserve"> DER ≤ 2000 kW</w:t>
      </w:r>
    </w:p>
    <w:p w14:paraId="66D3ADE6"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No additional requirements related to Risk of Islanding (ROI).</w:t>
      </w:r>
    </w:p>
    <w:p w14:paraId="61C3442B"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 </w:t>
      </w:r>
    </w:p>
    <w:p w14:paraId="1B1B09E1" w14:textId="77777777" w:rsidR="00596D17" w:rsidRDefault="00596D17" w:rsidP="00596D17">
      <w:pPr>
        <w:pBdr>
          <w:top w:val="nil"/>
          <w:left w:val="nil"/>
          <w:bottom w:val="nil"/>
          <w:right w:val="nil"/>
          <w:between w:val="nil"/>
        </w:pBdr>
        <w:spacing w:after="0" w:line="240" w:lineRule="auto"/>
        <w:ind w:left="720"/>
        <w:rPr>
          <w:color w:val="000000"/>
          <w:u w:val="single"/>
        </w:rPr>
      </w:pPr>
      <w:r>
        <w:rPr>
          <w:color w:val="000000"/>
          <w:u w:val="single"/>
        </w:rPr>
        <w:t xml:space="preserve">Line section aggregated non-certified DER is &gt; 10% of aggregate DER </w:t>
      </w:r>
      <w:r>
        <w:rPr>
          <w:b/>
          <w:color w:val="000000"/>
          <w:u w:val="single"/>
        </w:rPr>
        <w:t>or</w:t>
      </w:r>
      <w:r>
        <w:rPr>
          <w:color w:val="000000"/>
          <w:u w:val="single"/>
        </w:rPr>
        <w:t xml:space="preserve"> DER &gt; 2000 kW. </w:t>
      </w:r>
    </w:p>
    <w:p w14:paraId="7756B18F" w14:textId="77777777" w:rsidR="00596D17" w:rsidRPr="003549C9" w:rsidRDefault="00596D17" w:rsidP="00596D17">
      <w:pPr>
        <w:pBdr>
          <w:top w:val="nil"/>
          <w:left w:val="nil"/>
          <w:bottom w:val="nil"/>
          <w:right w:val="nil"/>
          <w:between w:val="nil"/>
        </w:pBdr>
        <w:spacing w:after="0" w:line="240" w:lineRule="auto"/>
        <w:ind w:left="720"/>
      </w:pPr>
      <w:r>
        <w:rPr>
          <w:color w:val="000000"/>
        </w:rPr>
        <w:lastRenderedPageBreak/>
        <w:t xml:space="preserve">Sandia screening </w:t>
      </w:r>
      <w:r w:rsidRPr="003549C9">
        <w:rPr>
          <w:strike/>
        </w:rPr>
        <w:t>(see Appendix C)</w:t>
      </w:r>
      <w:r w:rsidRPr="003549C9">
        <w:t xml:space="preserve"> </w:t>
      </w:r>
      <w:r>
        <w:rPr>
          <w:color w:val="000000"/>
        </w:rPr>
        <w:t xml:space="preserve">shall be performed.   </w:t>
      </w:r>
      <w:r w:rsidRPr="003549C9">
        <w:rPr>
          <w:strike/>
        </w:rPr>
        <w:t>Note - when insufficient data exists to perform a complete VAR balance review, Sandia screen #2 shall be considered a failure.</w:t>
      </w:r>
    </w:p>
    <w:p w14:paraId="53E6BD53" w14:textId="77777777" w:rsidR="00596D17" w:rsidRDefault="00596D17" w:rsidP="00596D17">
      <w:pPr>
        <w:pBdr>
          <w:top w:val="nil"/>
          <w:left w:val="nil"/>
          <w:bottom w:val="nil"/>
          <w:right w:val="nil"/>
          <w:between w:val="nil"/>
        </w:pBdr>
        <w:spacing w:after="0" w:line="240" w:lineRule="auto"/>
        <w:ind w:left="720"/>
        <w:rPr>
          <w:color w:val="000000"/>
        </w:rPr>
      </w:pPr>
    </w:p>
    <w:p w14:paraId="55F9F517"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If Sandia screens are passed, no additional requirements related to ROI are enforced.</w:t>
      </w:r>
    </w:p>
    <w:p w14:paraId="713C4852" w14:textId="77777777" w:rsidR="00596D17" w:rsidRDefault="00596D17" w:rsidP="00596D17">
      <w:pPr>
        <w:pBdr>
          <w:top w:val="nil"/>
          <w:left w:val="nil"/>
          <w:bottom w:val="nil"/>
          <w:right w:val="nil"/>
          <w:between w:val="nil"/>
        </w:pBdr>
        <w:spacing w:after="0" w:line="240" w:lineRule="auto"/>
        <w:ind w:left="720"/>
        <w:rPr>
          <w:color w:val="000000"/>
        </w:rPr>
      </w:pPr>
    </w:p>
    <w:p w14:paraId="30AF713E"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If Sandia screens are not passed, </w:t>
      </w:r>
      <w:r w:rsidRPr="003549C9">
        <w:rPr>
          <w:strike/>
        </w:rPr>
        <w:t>a dynamic risk of islanding study (D-ROI) may be offered</w:t>
      </w:r>
      <w:r w:rsidRPr="003549C9">
        <w:t xml:space="preserve"> </w:t>
      </w:r>
      <w:r w:rsidRPr="002E640C">
        <w:rPr>
          <w:color w:val="FF0000"/>
        </w:rPr>
        <w:t>an Electro</w:t>
      </w:r>
      <w:r>
        <w:rPr>
          <w:color w:val="FF0000"/>
        </w:rPr>
        <w:t>-</w:t>
      </w:r>
      <w:r w:rsidRPr="002E640C">
        <w:rPr>
          <w:color w:val="FF0000"/>
        </w:rPr>
        <w:t>magnetic Transient (EMT)</w:t>
      </w:r>
      <w:r>
        <w:rPr>
          <w:color w:val="FF0000"/>
        </w:rPr>
        <w:t xml:space="preserve"> R</w:t>
      </w:r>
      <w:r w:rsidRPr="002E640C">
        <w:rPr>
          <w:color w:val="FF0000"/>
        </w:rPr>
        <w:t xml:space="preserve">isk of </w:t>
      </w:r>
      <w:r>
        <w:rPr>
          <w:color w:val="FF0000"/>
        </w:rPr>
        <w:t>I</w:t>
      </w:r>
      <w:r w:rsidRPr="002E640C">
        <w:rPr>
          <w:color w:val="FF0000"/>
        </w:rPr>
        <w:t xml:space="preserve">slanding </w:t>
      </w:r>
      <w:r>
        <w:rPr>
          <w:color w:val="FF0000"/>
        </w:rPr>
        <w:t xml:space="preserve">(ROI) </w:t>
      </w:r>
      <w:r w:rsidRPr="002E640C">
        <w:rPr>
          <w:color w:val="FF0000"/>
        </w:rPr>
        <w:t xml:space="preserve">study will be </w:t>
      </w:r>
      <w:r>
        <w:rPr>
          <w:color w:val="FF0000"/>
        </w:rPr>
        <w:t>required</w:t>
      </w:r>
      <w:r w:rsidRPr="002E640C">
        <w:rPr>
          <w:color w:val="FF0000"/>
        </w:rPr>
        <w:t xml:space="preserve">.  </w:t>
      </w:r>
      <w:r>
        <w:rPr>
          <w:color w:val="000000"/>
        </w:rPr>
        <w:t xml:space="preserve">  If the EMT </w:t>
      </w:r>
      <w:r w:rsidRPr="00423AE0">
        <w:rPr>
          <w:strike/>
        </w:rPr>
        <w:t>D-</w:t>
      </w:r>
      <w:r>
        <w:rPr>
          <w:color w:val="000000"/>
        </w:rPr>
        <w:t>ROI study indicates negligible risk of islanding, no additional requirements related to ROI are enforced.</w:t>
      </w:r>
    </w:p>
    <w:p w14:paraId="55983050" w14:textId="77777777" w:rsidR="00596D17" w:rsidRDefault="00596D17" w:rsidP="00596D17">
      <w:pPr>
        <w:pBdr>
          <w:top w:val="nil"/>
          <w:left w:val="nil"/>
          <w:bottom w:val="nil"/>
          <w:right w:val="nil"/>
          <w:between w:val="nil"/>
        </w:pBdr>
        <w:spacing w:after="0" w:line="240" w:lineRule="auto"/>
        <w:ind w:left="720"/>
        <w:rPr>
          <w:color w:val="000000"/>
        </w:rPr>
      </w:pPr>
    </w:p>
    <w:p w14:paraId="4A825044" w14:textId="77777777" w:rsidR="00596D17" w:rsidRPr="003549C9" w:rsidRDefault="00596D17" w:rsidP="00596D17">
      <w:pPr>
        <w:pBdr>
          <w:top w:val="nil"/>
          <w:left w:val="nil"/>
          <w:bottom w:val="nil"/>
          <w:right w:val="nil"/>
          <w:between w:val="nil"/>
        </w:pBdr>
        <w:spacing w:after="0" w:line="240" w:lineRule="auto"/>
        <w:ind w:left="720"/>
        <w:rPr>
          <w:strike/>
        </w:rPr>
      </w:pPr>
      <w:r w:rsidRPr="003549C9">
        <w:rPr>
          <w:strike/>
        </w:rPr>
        <w:t>If the D-ROI study is either not offered, is declined by the applicant, or has unacceptable results, then an Eversource owned, SCADA-enabled recloser or other isolation device at the PCC is required.  Reclose blocking of upstream devices will be evaluated.  DTT may also be required (see Note 1).</w:t>
      </w:r>
    </w:p>
    <w:p w14:paraId="044E2D6E" w14:textId="77777777" w:rsidR="00596D17" w:rsidRDefault="00596D17" w:rsidP="00596D17">
      <w:pPr>
        <w:pBdr>
          <w:top w:val="nil"/>
          <w:left w:val="nil"/>
          <w:bottom w:val="nil"/>
          <w:right w:val="nil"/>
          <w:between w:val="nil"/>
        </w:pBdr>
        <w:spacing w:after="0" w:line="240" w:lineRule="auto"/>
        <w:ind w:left="720"/>
        <w:rPr>
          <w:color w:val="000000"/>
        </w:rPr>
      </w:pPr>
    </w:p>
    <w:p w14:paraId="46317794" w14:textId="77777777" w:rsidR="00596D17" w:rsidRPr="002E640C" w:rsidRDefault="00596D17" w:rsidP="00596D17">
      <w:pPr>
        <w:pBdr>
          <w:top w:val="nil"/>
          <w:left w:val="nil"/>
          <w:bottom w:val="nil"/>
          <w:right w:val="nil"/>
          <w:between w:val="nil"/>
        </w:pBdr>
        <w:spacing w:after="0" w:line="240" w:lineRule="auto"/>
        <w:ind w:left="720"/>
        <w:rPr>
          <w:color w:val="FF0000"/>
        </w:rPr>
      </w:pPr>
      <w:r w:rsidRPr="002E640C">
        <w:rPr>
          <w:color w:val="FF0000"/>
        </w:rPr>
        <w:t>If the EMT ROI study has unacceptable results</w:t>
      </w:r>
      <w:r>
        <w:rPr>
          <w:color w:val="FF0000"/>
        </w:rPr>
        <w:t xml:space="preserve"> per latest EDC approved version of IEEE 1547</w:t>
      </w:r>
      <w:r w:rsidRPr="002E640C">
        <w:rPr>
          <w:color w:val="FF0000"/>
        </w:rPr>
        <w:t xml:space="preserve">, </w:t>
      </w:r>
      <w:r w:rsidRPr="00A315E4">
        <w:rPr>
          <w:color w:val="FF0000"/>
        </w:rPr>
        <w:t>then a</w:t>
      </w:r>
      <w:r>
        <w:rPr>
          <w:color w:val="FF0000"/>
        </w:rPr>
        <w:t xml:space="preserve"> Direct Transfer Trip (</w:t>
      </w:r>
      <w:r w:rsidRPr="00A315E4">
        <w:rPr>
          <w:color w:val="FF0000"/>
        </w:rPr>
        <w:t>DTT</w:t>
      </w:r>
      <w:r>
        <w:rPr>
          <w:color w:val="FF0000"/>
        </w:rPr>
        <w:t>)</w:t>
      </w:r>
      <w:r w:rsidRPr="00A315E4">
        <w:rPr>
          <w:color w:val="FF0000"/>
        </w:rPr>
        <w:t xml:space="preserve"> </w:t>
      </w:r>
      <w:r>
        <w:rPr>
          <w:color w:val="FF0000"/>
        </w:rPr>
        <w:t>solution will be imposed.</w:t>
      </w:r>
    </w:p>
    <w:p w14:paraId="72C53F74" w14:textId="77777777" w:rsidR="00596D17" w:rsidRDefault="00596D17" w:rsidP="00596D17">
      <w:pPr>
        <w:pBdr>
          <w:top w:val="nil"/>
          <w:left w:val="nil"/>
          <w:bottom w:val="nil"/>
          <w:right w:val="nil"/>
          <w:between w:val="nil"/>
        </w:pBdr>
        <w:spacing w:after="0" w:line="240" w:lineRule="auto"/>
        <w:ind w:left="720"/>
        <w:rPr>
          <w:color w:val="000000"/>
        </w:rPr>
      </w:pPr>
    </w:p>
    <w:p w14:paraId="14204B6A" w14:textId="77777777" w:rsidR="00596D17" w:rsidRDefault="00596D17" w:rsidP="00596D17">
      <w:pPr>
        <w:pBdr>
          <w:top w:val="nil"/>
          <w:left w:val="nil"/>
          <w:bottom w:val="nil"/>
          <w:right w:val="nil"/>
          <w:between w:val="nil"/>
        </w:pBdr>
        <w:spacing w:after="0" w:line="240" w:lineRule="auto"/>
        <w:ind w:left="720"/>
        <w:rPr>
          <w:color w:val="000000"/>
        </w:rPr>
      </w:pPr>
    </w:p>
    <w:p w14:paraId="35F9E82B" w14:textId="77777777" w:rsidR="00596D17" w:rsidRDefault="00596D17" w:rsidP="00596D17">
      <w:pPr>
        <w:pBdr>
          <w:top w:val="nil"/>
          <w:left w:val="nil"/>
          <w:bottom w:val="nil"/>
          <w:right w:val="nil"/>
          <w:between w:val="nil"/>
        </w:pBdr>
        <w:spacing w:after="0" w:line="240" w:lineRule="auto"/>
        <w:ind w:left="720"/>
        <w:rPr>
          <w:b/>
          <w:color w:val="000000"/>
        </w:rPr>
      </w:pPr>
      <w:r>
        <w:rPr>
          <w:b/>
          <w:color w:val="000000"/>
        </w:rPr>
        <w:t>NON-</w:t>
      </w:r>
      <w:r w:rsidRPr="00421625">
        <w:rPr>
          <w:b/>
          <w:strike/>
        </w:rPr>
        <w:t>CERTIFIED</w:t>
      </w:r>
      <w:r w:rsidRPr="00421625">
        <w:rPr>
          <w:b/>
        </w:rPr>
        <w:t xml:space="preserve"> </w:t>
      </w:r>
      <w:r w:rsidRPr="000D1813">
        <w:rPr>
          <w:b/>
          <w:color w:val="EE0000"/>
        </w:rPr>
        <w:t>INVERTER</w:t>
      </w:r>
      <w:r>
        <w:rPr>
          <w:b/>
          <w:color w:val="000000"/>
        </w:rPr>
        <w:t xml:space="preserve"> </w:t>
      </w:r>
      <w:r w:rsidRPr="006D7581">
        <w:rPr>
          <w:b/>
          <w:color w:val="EE0000"/>
        </w:rPr>
        <w:t xml:space="preserve">BASED DERs </w:t>
      </w:r>
      <w:proofErr w:type="spellStart"/>
      <w:r w:rsidRPr="006D7581">
        <w:rPr>
          <w:b/>
          <w:color w:val="EE0000"/>
        </w:rPr>
        <w:t>i.e</w:t>
      </w:r>
      <w:proofErr w:type="spellEnd"/>
      <w:r w:rsidRPr="006D7581">
        <w:rPr>
          <w:b/>
          <w:color w:val="EE0000"/>
        </w:rPr>
        <w:t xml:space="preserve">; </w:t>
      </w:r>
      <w:r w:rsidRPr="00421625">
        <w:rPr>
          <w:b/>
          <w:strike/>
        </w:rPr>
        <w:t>INVERTERS</w:t>
      </w:r>
      <w:r w:rsidRPr="00421625">
        <w:rPr>
          <w:b/>
        </w:rPr>
        <w:t>,</w:t>
      </w:r>
      <w:r>
        <w:rPr>
          <w:b/>
          <w:color w:val="000000"/>
        </w:rPr>
        <w:t xml:space="preserve"> INDUCTION &amp; SYNCHRONOUS MACHINES </w:t>
      </w:r>
    </w:p>
    <w:p w14:paraId="4F4C781C" w14:textId="77777777" w:rsidR="00596D17" w:rsidRDefault="00596D17" w:rsidP="00596D17">
      <w:pPr>
        <w:pBdr>
          <w:top w:val="nil"/>
          <w:left w:val="nil"/>
          <w:bottom w:val="nil"/>
          <w:right w:val="nil"/>
          <w:between w:val="nil"/>
        </w:pBdr>
        <w:spacing w:after="0" w:line="240" w:lineRule="auto"/>
        <w:ind w:left="720"/>
        <w:rPr>
          <w:color w:val="000000"/>
        </w:rPr>
      </w:pPr>
    </w:p>
    <w:p w14:paraId="43A8B6BE" w14:textId="77777777" w:rsidR="00596D17" w:rsidRPr="002E640C" w:rsidRDefault="00596D17" w:rsidP="00596D17">
      <w:pPr>
        <w:pBdr>
          <w:top w:val="nil"/>
          <w:left w:val="nil"/>
          <w:bottom w:val="nil"/>
          <w:right w:val="nil"/>
          <w:between w:val="nil"/>
        </w:pBdr>
        <w:spacing w:after="0" w:line="240" w:lineRule="auto"/>
        <w:ind w:left="720"/>
        <w:rPr>
          <w:color w:val="FF0000"/>
        </w:rPr>
      </w:pPr>
      <w:r w:rsidRPr="002E640C">
        <w:rPr>
          <w:color w:val="FF0000"/>
        </w:rPr>
        <w:t xml:space="preserve">An </w:t>
      </w:r>
      <w:r>
        <w:rPr>
          <w:color w:val="FF0000"/>
        </w:rPr>
        <w:t>Electromagnetic Transient (</w:t>
      </w:r>
      <w:r w:rsidRPr="002E640C">
        <w:rPr>
          <w:color w:val="FF0000"/>
        </w:rPr>
        <w:t>EMT</w:t>
      </w:r>
      <w:r>
        <w:rPr>
          <w:color w:val="FF0000"/>
        </w:rPr>
        <w:t>)</w:t>
      </w:r>
      <w:r w:rsidRPr="002E640C">
        <w:rPr>
          <w:color w:val="FF0000"/>
        </w:rPr>
        <w:t xml:space="preserve"> ROI study will be </w:t>
      </w:r>
      <w:r>
        <w:rPr>
          <w:color w:val="FF0000"/>
        </w:rPr>
        <w:t>required irrespective of the DER size</w:t>
      </w:r>
      <w:r w:rsidRPr="002E640C">
        <w:rPr>
          <w:color w:val="FF0000"/>
        </w:rPr>
        <w:t>.  If the study indicates negligible risk of islanding, no additional requirements related to ROI are enforced.</w:t>
      </w:r>
    </w:p>
    <w:p w14:paraId="3A77786E" w14:textId="77777777" w:rsidR="00596D17" w:rsidRPr="002E640C" w:rsidRDefault="00596D17" w:rsidP="00596D17">
      <w:pPr>
        <w:pBdr>
          <w:top w:val="nil"/>
          <w:left w:val="nil"/>
          <w:bottom w:val="nil"/>
          <w:right w:val="nil"/>
          <w:between w:val="nil"/>
        </w:pBdr>
        <w:spacing w:after="0" w:line="240" w:lineRule="auto"/>
        <w:ind w:left="720"/>
        <w:rPr>
          <w:color w:val="FF0000"/>
        </w:rPr>
      </w:pPr>
    </w:p>
    <w:p w14:paraId="1453F2E6" w14:textId="77777777" w:rsidR="00596D17" w:rsidRPr="00A315E4" w:rsidRDefault="00596D17" w:rsidP="00596D17">
      <w:pPr>
        <w:pBdr>
          <w:top w:val="nil"/>
          <w:left w:val="nil"/>
          <w:bottom w:val="nil"/>
          <w:right w:val="nil"/>
          <w:between w:val="nil"/>
        </w:pBdr>
        <w:spacing w:after="0" w:line="240" w:lineRule="auto"/>
        <w:ind w:left="720"/>
        <w:rPr>
          <w:color w:val="FF0000"/>
        </w:rPr>
      </w:pPr>
      <w:r w:rsidRPr="00A315E4">
        <w:rPr>
          <w:color w:val="FF0000"/>
        </w:rPr>
        <w:t>If the study has unacceptable results</w:t>
      </w:r>
      <w:r>
        <w:rPr>
          <w:color w:val="FF0000"/>
        </w:rPr>
        <w:t xml:space="preserve"> per the latest EDC approved version of IEEE 1547</w:t>
      </w:r>
      <w:r w:rsidRPr="00A315E4">
        <w:rPr>
          <w:color w:val="FF0000"/>
        </w:rPr>
        <w:t>, then a</w:t>
      </w:r>
      <w:r>
        <w:rPr>
          <w:color w:val="FF0000"/>
        </w:rPr>
        <w:t xml:space="preserve"> Direct Transfer Trip (</w:t>
      </w:r>
      <w:r w:rsidRPr="00A315E4">
        <w:rPr>
          <w:color w:val="FF0000"/>
        </w:rPr>
        <w:t>DTT</w:t>
      </w:r>
      <w:r>
        <w:rPr>
          <w:color w:val="FF0000"/>
        </w:rPr>
        <w:t>)</w:t>
      </w:r>
      <w:r w:rsidRPr="00A315E4">
        <w:rPr>
          <w:color w:val="FF0000"/>
        </w:rPr>
        <w:t xml:space="preserve"> </w:t>
      </w:r>
      <w:r>
        <w:rPr>
          <w:color w:val="FF0000"/>
        </w:rPr>
        <w:t>solution will be imposed.</w:t>
      </w:r>
    </w:p>
    <w:p w14:paraId="739A1A59" w14:textId="77777777" w:rsidR="00596D17" w:rsidRDefault="00596D17" w:rsidP="00596D17">
      <w:pPr>
        <w:pBdr>
          <w:top w:val="nil"/>
          <w:left w:val="nil"/>
          <w:bottom w:val="nil"/>
          <w:right w:val="nil"/>
          <w:between w:val="nil"/>
        </w:pBdr>
        <w:spacing w:after="0" w:line="240" w:lineRule="auto"/>
        <w:ind w:left="720"/>
        <w:rPr>
          <w:color w:val="000000"/>
        </w:rPr>
      </w:pPr>
    </w:p>
    <w:p w14:paraId="79F1BC65" w14:textId="77777777" w:rsidR="00596D17" w:rsidRDefault="00596D17" w:rsidP="00596D17">
      <w:pPr>
        <w:pBdr>
          <w:top w:val="nil"/>
          <w:left w:val="nil"/>
          <w:bottom w:val="nil"/>
          <w:right w:val="nil"/>
          <w:between w:val="nil"/>
        </w:pBdr>
        <w:spacing w:after="0" w:line="240" w:lineRule="auto"/>
        <w:ind w:left="720"/>
        <w:rPr>
          <w:color w:val="000000"/>
        </w:rPr>
      </w:pPr>
    </w:p>
    <w:p w14:paraId="49D55678" w14:textId="77777777" w:rsidR="00596D17" w:rsidRPr="00421625" w:rsidRDefault="00596D17" w:rsidP="00596D17">
      <w:pPr>
        <w:pBdr>
          <w:top w:val="nil"/>
          <w:left w:val="nil"/>
          <w:bottom w:val="nil"/>
          <w:right w:val="nil"/>
          <w:between w:val="nil"/>
        </w:pBdr>
        <w:spacing w:after="0" w:line="240" w:lineRule="auto"/>
        <w:ind w:left="720"/>
        <w:rPr>
          <w:strike/>
        </w:rPr>
      </w:pPr>
      <w:r w:rsidRPr="00421625">
        <w:rPr>
          <w:strike/>
        </w:rPr>
        <w:t>A dynamic risk of islanding study (D-ROI) may be offered.  If the D-ROI study indicates negligible risk of islanding, no additional requirements related to ROI are enforced.</w:t>
      </w:r>
    </w:p>
    <w:p w14:paraId="1863031A" w14:textId="77777777" w:rsidR="00596D17" w:rsidRPr="00421625" w:rsidRDefault="00596D17" w:rsidP="00596D17">
      <w:pPr>
        <w:pBdr>
          <w:top w:val="nil"/>
          <w:left w:val="nil"/>
          <w:bottom w:val="nil"/>
          <w:right w:val="nil"/>
          <w:between w:val="nil"/>
        </w:pBdr>
        <w:spacing w:after="0" w:line="240" w:lineRule="auto"/>
        <w:ind w:left="720"/>
        <w:rPr>
          <w:strike/>
        </w:rPr>
      </w:pPr>
    </w:p>
    <w:p w14:paraId="297AB731" w14:textId="77777777" w:rsidR="00596D17" w:rsidRPr="00421625" w:rsidRDefault="00596D17" w:rsidP="00596D17">
      <w:pPr>
        <w:pBdr>
          <w:top w:val="nil"/>
          <w:left w:val="nil"/>
          <w:bottom w:val="nil"/>
          <w:right w:val="nil"/>
          <w:between w:val="nil"/>
        </w:pBdr>
        <w:spacing w:after="0" w:line="240" w:lineRule="auto"/>
        <w:ind w:left="720"/>
        <w:rPr>
          <w:strike/>
        </w:rPr>
      </w:pPr>
      <w:r w:rsidRPr="00421625">
        <w:rPr>
          <w:strike/>
        </w:rPr>
        <w:t>If the D-ROI study is either not offered, is declined by the applicant, or has unacceptable results, then an Eversource owned, SCADA-enabled recloser or other isolation device at the PCC is required.  Reclose blocking of upstream devices will be evaluated.  DTT may also be required (see Note 1).</w:t>
      </w:r>
    </w:p>
    <w:p w14:paraId="63D295DC" w14:textId="77777777" w:rsidR="00596D17" w:rsidRPr="00421625" w:rsidRDefault="00596D17" w:rsidP="00596D17">
      <w:pPr>
        <w:pBdr>
          <w:top w:val="nil"/>
          <w:left w:val="nil"/>
          <w:bottom w:val="nil"/>
          <w:right w:val="nil"/>
          <w:between w:val="nil"/>
        </w:pBdr>
        <w:spacing w:after="0" w:line="240" w:lineRule="auto"/>
        <w:ind w:left="720"/>
      </w:pPr>
    </w:p>
    <w:p w14:paraId="20CC0891" w14:textId="77777777" w:rsidR="00596D17" w:rsidRPr="00421625" w:rsidRDefault="00596D17" w:rsidP="00596D17">
      <w:pPr>
        <w:pBdr>
          <w:top w:val="nil"/>
          <w:left w:val="nil"/>
          <w:bottom w:val="nil"/>
          <w:right w:val="nil"/>
          <w:between w:val="nil"/>
        </w:pBdr>
        <w:spacing w:after="0" w:line="240" w:lineRule="auto"/>
        <w:ind w:left="720"/>
      </w:pPr>
    </w:p>
    <w:p w14:paraId="4E716EE1" w14:textId="77777777" w:rsidR="00596D17" w:rsidRPr="00421625" w:rsidRDefault="00596D17" w:rsidP="00596D17">
      <w:pPr>
        <w:pBdr>
          <w:top w:val="nil"/>
          <w:left w:val="nil"/>
          <w:bottom w:val="nil"/>
          <w:right w:val="nil"/>
          <w:between w:val="nil"/>
        </w:pBdr>
        <w:spacing w:after="0" w:line="240" w:lineRule="auto"/>
        <w:ind w:left="720"/>
        <w:rPr>
          <w:strike/>
          <w:u w:val="single"/>
        </w:rPr>
      </w:pPr>
      <w:r w:rsidRPr="00421625">
        <w:rPr>
          <w:strike/>
          <w:u w:val="single"/>
        </w:rPr>
        <w:t>Note 1</w:t>
      </w:r>
    </w:p>
    <w:p w14:paraId="70B77D29" w14:textId="77777777" w:rsidR="00596D17" w:rsidRPr="00421625" w:rsidRDefault="00596D17" w:rsidP="00596D17">
      <w:pPr>
        <w:pBdr>
          <w:top w:val="nil"/>
          <w:left w:val="nil"/>
          <w:bottom w:val="nil"/>
          <w:right w:val="nil"/>
          <w:between w:val="nil"/>
        </w:pBdr>
        <w:spacing w:after="0" w:line="240" w:lineRule="auto"/>
        <w:ind w:left="720"/>
        <w:rPr>
          <w:strike/>
        </w:rPr>
      </w:pPr>
      <w:r w:rsidRPr="00421625">
        <w:rPr>
          <w:strike/>
        </w:rPr>
        <w:t xml:space="preserve">In addition to a site recloser and the implementation of reclose blocking, Eversource reserves the right to require direct transfer trip (DTT) for projects with unique characteristics that create a high risk of islanding, either under existing or future circuit conditions.  In those cases, Eversource will determine whether a detailed risk of islanding (ROI) study is warranted.  If sufficient data is available to conduct a robust ROI study, and the results are reasonably expected to create information that may alleviate Eversource’s concerns, the interconnection </w:t>
      </w:r>
      <w:r w:rsidRPr="00421625">
        <w:rPr>
          <w:strike/>
        </w:rPr>
        <w:lastRenderedPageBreak/>
        <w:t xml:space="preserve">customer will be offered the opportunity to proceed with a detailed ROI study. If results of that study show no significant risk of islanding under all operating conditions for a period greater than 2 seconds, then Eversource will consider </w:t>
      </w:r>
      <w:proofErr w:type="gramStart"/>
      <w:r w:rsidRPr="00421625">
        <w:rPr>
          <w:strike/>
        </w:rPr>
        <w:t>waiving</w:t>
      </w:r>
      <w:proofErr w:type="gramEnd"/>
      <w:r w:rsidRPr="00421625">
        <w:rPr>
          <w:strike/>
        </w:rPr>
        <w:t xml:space="preserve"> the DTT requirement.</w:t>
      </w:r>
    </w:p>
    <w:p w14:paraId="4A497C6A" w14:textId="77777777" w:rsidR="00596D17" w:rsidRDefault="00596D17" w:rsidP="00596D17">
      <w:pPr>
        <w:pBdr>
          <w:top w:val="nil"/>
          <w:left w:val="nil"/>
          <w:bottom w:val="nil"/>
          <w:right w:val="nil"/>
          <w:between w:val="nil"/>
        </w:pBdr>
        <w:spacing w:after="0" w:line="240" w:lineRule="auto"/>
        <w:ind w:left="720"/>
        <w:rPr>
          <w:color w:val="000000"/>
        </w:rPr>
      </w:pPr>
    </w:p>
    <w:p w14:paraId="0036C55B" w14:textId="77777777" w:rsidR="00596D17" w:rsidRDefault="00596D17" w:rsidP="00596D17">
      <w:pPr>
        <w:pBdr>
          <w:top w:val="nil"/>
          <w:left w:val="nil"/>
          <w:bottom w:val="nil"/>
          <w:right w:val="nil"/>
          <w:between w:val="nil"/>
        </w:pBdr>
        <w:spacing w:after="0" w:line="240" w:lineRule="auto"/>
        <w:ind w:left="720"/>
        <w:rPr>
          <w:b/>
          <w:color w:val="000000"/>
        </w:rPr>
      </w:pPr>
    </w:p>
    <w:p w14:paraId="503DD52D" w14:textId="77777777" w:rsidR="00596D17" w:rsidRPr="00421625" w:rsidRDefault="00596D17" w:rsidP="00596D17">
      <w:pPr>
        <w:pBdr>
          <w:top w:val="nil"/>
          <w:left w:val="nil"/>
          <w:bottom w:val="nil"/>
          <w:right w:val="nil"/>
          <w:between w:val="nil"/>
        </w:pBdr>
        <w:spacing w:after="0" w:line="240" w:lineRule="auto"/>
        <w:ind w:left="720"/>
        <w:rPr>
          <w:b/>
          <w:strike/>
        </w:rPr>
      </w:pPr>
      <w:r w:rsidRPr="00421625">
        <w:rPr>
          <w:b/>
          <w:strike/>
        </w:rPr>
        <w:t xml:space="preserve">SPECIAL CONDITIONS </w:t>
      </w:r>
    </w:p>
    <w:p w14:paraId="6F280420" w14:textId="77777777" w:rsidR="00596D17" w:rsidRPr="00844926" w:rsidRDefault="00596D17" w:rsidP="00596D17">
      <w:pPr>
        <w:pBdr>
          <w:top w:val="nil"/>
          <w:left w:val="nil"/>
          <w:bottom w:val="nil"/>
          <w:right w:val="nil"/>
          <w:between w:val="nil"/>
        </w:pBdr>
        <w:spacing w:after="0" w:line="240" w:lineRule="auto"/>
        <w:ind w:left="720"/>
        <w:rPr>
          <w:b/>
          <w:color w:val="EE0000"/>
        </w:rPr>
      </w:pPr>
      <w:r w:rsidRPr="00844926">
        <w:rPr>
          <w:b/>
          <w:color w:val="EE0000"/>
        </w:rPr>
        <w:t>Direct Transfer Trip may be required for the following:</w:t>
      </w:r>
    </w:p>
    <w:p w14:paraId="6D33339D" w14:textId="77777777" w:rsidR="00596D17" w:rsidRDefault="00596D17" w:rsidP="00596D17">
      <w:pPr>
        <w:pBdr>
          <w:top w:val="nil"/>
          <w:left w:val="nil"/>
          <w:bottom w:val="nil"/>
          <w:right w:val="nil"/>
          <w:between w:val="nil"/>
        </w:pBdr>
        <w:spacing w:after="0" w:line="240" w:lineRule="auto"/>
        <w:ind w:left="720"/>
        <w:rPr>
          <w:color w:val="000000"/>
        </w:rPr>
      </w:pPr>
    </w:p>
    <w:p w14:paraId="604FEEC4"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The following are conditions where additional EPS protection schemes, including but not limited to direct transfer tripping (DTT), may be required.  These conditions may exist </w:t>
      </w:r>
      <w:proofErr w:type="gramStart"/>
      <w:r>
        <w:rPr>
          <w:color w:val="000000"/>
        </w:rPr>
        <w:t>independent</w:t>
      </w:r>
      <w:proofErr w:type="gramEnd"/>
      <w:r>
        <w:rPr>
          <w:color w:val="000000"/>
        </w:rPr>
        <w:t xml:space="preserve"> of the above ROI evaluation results. </w:t>
      </w:r>
    </w:p>
    <w:p w14:paraId="7587C239" w14:textId="77777777" w:rsidR="00596D17" w:rsidRDefault="00596D17" w:rsidP="00596D17">
      <w:pPr>
        <w:pBdr>
          <w:top w:val="nil"/>
          <w:left w:val="nil"/>
          <w:bottom w:val="nil"/>
          <w:right w:val="nil"/>
          <w:between w:val="nil"/>
        </w:pBdr>
        <w:spacing w:after="0" w:line="240" w:lineRule="auto"/>
        <w:ind w:left="720"/>
        <w:rPr>
          <w:color w:val="000000"/>
        </w:rPr>
      </w:pPr>
    </w:p>
    <w:p w14:paraId="7432E98F" w14:textId="77777777" w:rsidR="00596D17" w:rsidRDefault="00596D17" w:rsidP="00596D17">
      <w:pPr>
        <w:numPr>
          <w:ilvl w:val="0"/>
          <w:numId w:val="1"/>
        </w:numPr>
        <w:pBdr>
          <w:top w:val="nil"/>
          <w:left w:val="nil"/>
          <w:bottom w:val="nil"/>
          <w:right w:val="nil"/>
          <w:between w:val="nil"/>
        </w:pBdr>
        <w:spacing w:after="0"/>
        <w:rPr>
          <w:color w:val="000000"/>
        </w:rPr>
      </w:pPr>
      <w:r>
        <w:rPr>
          <w:color w:val="000000"/>
        </w:rPr>
        <w:t xml:space="preserve">If line faults (phase and ground where applicable) cannot be cleared by DER protective device or Eversource owned PCC recloser. </w:t>
      </w:r>
    </w:p>
    <w:p w14:paraId="6036FFAB" w14:textId="77777777" w:rsidR="00596D17" w:rsidRDefault="00596D17" w:rsidP="00596D17">
      <w:pPr>
        <w:numPr>
          <w:ilvl w:val="0"/>
          <w:numId w:val="1"/>
        </w:numPr>
        <w:pBdr>
          <w:top w:val="nil"/>
          <w:left w:val="nil"/>
          <w:bottom w:val="nil"/>
          <w:right w:val="nil"/>
          <w:between w:val="nil"/>
        </w:pBdr>
        <w:spacing w:after="0"/>
        <w:rPr>
          <w:color w:val="000000"/>
        </w:rPr>
      </w:pPr>
      <w:r>
        <w:rPr>
          <w:color w:val="000000"/>
        </w:rPr>
        <w:t xml:space="preserve">Unique arrangements not explicitly defined within this document at Eversource’s discretion.  This includes a consideration of off-normal circuit configurations. </w:t>
      </w:r>
    </w:p>
    <w:p w14:paraId="38FB328A" w14:textId="77777777" w:rsidR="00596D17" w:rsidRDefault="00596D17" w:rsidP="00596D17">
      <w:pPr>
        <w:numPr>
          <w:ilvl w:val="0"/>
          <w:numId w:val="1"/>
        </w:numPr>
        <w:pBdr>
          <w:top w:val="nil"/>
          <w:left w:val="nil"/>
          <w:bottom w:val="nil"/>
          <w:right w:val="nil"/>
          <w:between w:val="nil"/>
        </w:pBdr>
        <w:spacing w:after="0"/>
        <w:rPr>
          <w:color w:val="000000"/>
        </w:rPr>
      </w:pPr>
      <w:r>
        <w:rPr>
          <w:color w:val="000000"/>
        </w:rPr>
        <w:t xml:space="preserve">DER that cannot be tripped off with utility-owned devices when automated sectionalizing schemes operate. </w:t>
      </w:r>
    </w:p>
    <w:p w14:paraId="17CEB5CC" w14:textId="77777777" w:rsidR="00596D17" w:rsidRDefault="00596D17" w:rsidP="00596D17">
      <w:pPr>
        <w:numPr>
          <w:ilvl w:val="0"/>
          <w:numId w:val="1"/>
        </w:numPr>
        <w:pBdr>
          <w:top w:val="nil"/>
          <w:left w:val="nil"/>
          <w:bottom w:val="nil"/>
          <w:right w:val="nil"/>
          <w:between w:val="nil"/>
        </w:pBdr>
        <w:spacing w:after="0"/>
        <w:rPr>
          <w:color w:val="000000"/>
        </w:rPr>
      </w:pPr>
      <w:r>
        <w:rPr>
          <w:color w:val="000000"/>
        </w:rPr>
        <w:t>DER that cannot be tripped off within 2 seconds following the formation of an island, as this poses a risk to our customers and hinders operation of automated sectionalizing and restoration schemes.</w:t>
      </w:r>
    </w:p>
    <w:p w14:paraId="70210888" w14:textId="77777777" w:rsidR="00596D17" w:rsidRDefault="00596D17" w:rsidP="00596D17">
      <w:pPr>
        <w:pBdr>
          <w:top w:val="nil"/>
          <w:left w:val="nil"/>
          <w:bottom w:val="nil"/>
          <w:right w:val="nil"/>
          <w:between w:val="nil"/>
        </w:pBdr>
        <w:spacing w:after="0" w:line="240" w:lineRule="auto"/>
        <w:ind w:left="720"/>
        <w:rPr>
          <w:b/>
          <w:color w:val="4F81BD"/>
          <w:sz w:val="24"/>
          <w:szCs w:val="24"/>
        </w:rPr>
      </w:pPr>
    </w:p>
    <w:p w14:paraId="3E5136CD" w14:textId="77777777" w:rsidR="00596D17" w:rsidRDefault="00596D17" w:rsidP="00596D17">
      <w:pPr>
        <w:pBdr>
          <w:top w:val="nil"/>
          <w:left w:val="nil"/>
          <w:bottom w:val="nil"/>
          <w:right w:val="nil"/>
          <w:between w:val="nil"/>
        </w:pBdr>
        <w:spacing w:after="0" w:line="240" w:lineRule="auto"/>
        <w:ind w:left="720"/>
        <w:rPr>
          <w:b/>
          <w:color w:val="4F81BD"/>
          <w:sz w:val="24"/>
          <w:szCs w:val="24"/>
        </w:rPr>
      </w:pPr>
    </w:p>
    <w:p w14:paraId="4CB037CE" w14:textId="77777777" w:rsidR="00596D17" w:rsidRPr="00AD0A19" w:rsidRDefault="00596D17" w:rsidP="00596D17">
      <w:pPr>
        <w:pBdr>
          <w:top w:val="nil"/>
          <w:left w:val="nil"/>
          <w:bottom w:val="nil"/>
          <w:right w:val="nil"/>
          <w:between w:val="nil"/>
        </w:pBdr>
        <w:spacing w:after="0" w:line="240" w:lineRule="auto"/>
        <w:ind w:left="720"/>
        <w:rPr>
          <w:b/>
          <w:color w:val="4F81BD"/>
          <w:sz w:val="24"/>
        </w:rPr>
      </w:pPr>
      <w:r w:rsidRPr="00AD0A19">
        <w:rPr>
          <w:b/>
          <w:color w:val="4F81BD"/>
          <w:sz w:val="24"/>
        </w:rPr>
        <w:t xml:space="preserve">National Grid: </w:t>
      </w:r>
    </w:p>
    <w:p w14:paraId="1F59B1CE"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National Grid generally does not require DTT for inverter-based UL1741 listed generators that do not regulate </w:t>
      </w:r>
      <w:proofErr w:type="gramStart"/>
      <w:r>
        <w:rPr>
          <w:color w:val="000000"/>
        </w:rPr>
        <w:t>voltage, and</w:t>
      </w:r>
      <w:proofErr w:type="gramEnd"/>
      <w:r>
        <w:rPr>
          <w:color w:val="000000"/>
        </w:rPr>
        <w:t xml:space="preserve"> instead requires reclose blocking where the aggregate generation on each line section does not pass the Sandia report screens.  A Risk of Islanding study may be performed for inverter-based DER at the Customer’s request. A complete distribution feeder may contain multiple line sections.  Depending on the aggregate DER size to load ratio, multiple line sections may require review and be screened accordingly </w:t>
      </w:r>
      <w:proofErr w:type="gramStart"/>
      <w:r>
        <w:rPr>
          <w:color w:val="000000"/>
        </w:rPr>
        <w:t>per</w:t>
      </w:r>
      <w:proofErr w:type="gramEnd"/>
      <w:r>
        <w:rPr>
          <w:color w:val="000000"/>
        </w:rPr>
        <w:t xml:space="preserve"> the steps outlined.  Each screen is repeated for each line section applicable to the proposed DER. Where DTT or </w:t>
      </w:r>
      <w:proofErr w:type="gramStart"/>
      <w:r>
        <w:rPr>
          <w:color w:val="000000"/>
        </w:rPr>
        <w:t>reclose</w:t>
      </w:r>
      <w:proofErr w:type="gramEnd"/>
      <w:r>
        <w:rPr>
          <w:color w:val="000000"/>
        </w:rPr>
        <w:t xml:space="preserve"> blocking is required based on the screens, it shall be applied at the sectionalizing device for that line section. </w:t>
      </w:r>
    </w:p>
    <w:p w14:paraId="4F06E8C1"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The Company may reclose at any distribution EPS segment at any time without checking for de-energized segments as normal system operations to maintain service reliability.  It is important to the DER operator to be aware of this possibility as it is the responsibility of the DER operator to </w:t>
      </w:r>
      <w:proofErr w:type="gramStart"/>
      <w:r>
        <w:rPr>
          <w:color w:val="000000"/>
        </w:rPr>
        <w:t>trip</w:t>
      </w:r>
      <w:proofErr w:type="gramEnd"/>
      <w:r>
        <w:rPr>
          <w:color w:val="000000"/>
        </w:rPr>
        <w:t xml:space="preserve"> off within 2 seconds in the event the EPS utility source is not present.</w:t>
      </w:r>
    </w:p>
    <w:p w14:paraId="571C0170"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Rotating machines and voltage regulating inverters require DTT if they meet or exceed 33% of the minimum load.</w:t>
      </w:r>
    </w:p>
    <w:p w14:paraId="687010E8" w14:textId="77777777" w:rsidR="00596D17" w:rsidRDefault="00596D17" w:rsidP="00596D17">
      <w:pPr>
        <w:pBdr>
          <w:top w:val="nil"/>
          <w:left w:val="nil"/>
          <w:bottom w:val="nil"/>
          <w:right w:val="nil"/>
          <w:between w:val="nil"/>
        </w:pBdr>
        <w:spacing w:after="0" w:line="240" w:lineRule="auto"/>
        <w:ind w:left="720"/>
        <w:rPr>
          <w:color w:val="000000"/>
        </w:rPr>
      </w:pPr>
    </w:p>
    <w:p w14:paraId="2E4591B6"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The screens are as follows:</w:t>
      </w:r>
    </w:p>
    <w:p w14:paraId="3DF3CF81" w14:textId="77777777" w:rsidR="00596D17" w:rsidRDefault="00596D17" w:rsidP="00596D17">
      <w:pPr>
        <w:pBdr>
          <w:top w:val="nil"/>
          <w:left w:val="nil"/>
          <w:bottom w:val="nil"/>
          <w:right w:val="nil"/>
          <w:between w:val="nil"/>
        </w:pBdr>
        <w:spacing w:after="0" w:line="240" w:lineRule="auto"/>
        <w:ind w:left="720"/>
        <w:rPr>
          <w:b/>
          <w:color w:val="000000"/>
        </w:rPr>
      </w:pPr>
      <w:bookmarkStart w:id="7" w:name="_4d34og8" w:colFirst="0" w:colLast="0"/>
      <w:bookmarkEnd w:id="7"/>
    </w:p>
    <w:p w14:paraId="4D6C6047" w14:textId="77777777" w:rsidR="00596D17" w:rsidRPr="00024CC3" w:rsidRDefault="00596D17" w:rsidP="00596D17">
      <w:pPr>
        <w:pBdr>
          <w:top w:val="nil"/>
          <w:left w:val="nil"/>
          <w:bottom w:val="nil"/>
          <w:right w:val="nil"/>
          <w:between w:val="nil"/>
        </w:pBdr>
        <w:spacing w:after="0" w:line="240" w:lineRule="auto"/>
        <w:ind w:left="720"/>
        <w:rPr>
          <w:b/>
          <w:color w:val="000000"/>
        </w:rPr>
      </w:pPr>
      <w:r w:rsidRPr="00024CC3">
        <w:rPr>
          <w:b/>
          <w:color w:val="000000"/>
        </w:rPr>
        <w:t>Certified DER</w:t>
      </w:r>
    </w:p>
    <w:p w14:paraId="51B66A85" w14:textId="77777777" w:rsidR="00596D17" w:rsidRPr="006B6C16" w:rsidRDefault="00596D17" w:rsidP="00596D17">
      <w:pPr>
        <w:pStyle w:val="List1-A"/>
        <w:numPr>
          <w:ilvl w:val="5"/>
          <w:numId w:val="6"/>
        </w:numPr>
        <w:ind w:left="1350"/>
      </w:pPr>
      <w:r>
        <w:t xml:space="preserve">If 33% or higher of UL 1741-SB certified inverters on the feeder (including existing and prior-in-queue UL 1741-SB, and project under study) have anti-islanding </w:t>
      </w:r>
      <w:r>
        <w:lastRenderedPageBreak/>
        <w:t xml:space="preserve">detection method </w:t>
      </w:r>
      <w:r w:rsidRPr="006B6C16">
        <w:t>belonging to Group 1 and/or Group 2A</w:t>
      </w:r>
      <w:r w:rsidRPr="006B6C16">
        <w:rPr>
          <w:rFonts w:eastAsia="Calibri" w:cs="Arial"/>
          <w:vertAlign w:val="superscript"/>
        </w:rPr>
        <w:footnoteReference w:id="4"/>
      </w:r>
      <w:r w:rsidRPr="006B6C16">
        <w:t>, then the screens (B), (C)(2), (C)(3) and (D) apply. Otherwise:</w:t>
      </w:r>
    </w:p>
    <w:p w14:paraId="5E214B47" w14:textId="77777777" w:rsidR="00596D17" w:rsidRPr="006B6C16" w:rsidRDefault="00596D17" w:rsidP="00596D17">
      <w:pPr>
        <w:pStyle w:val="List2-1"/>
        <w:numPr>
          <w:ilvl w:val="6"/>
          <w:numId w:val="6"/>
        </w:numPr>
        <w:ind w:left="2250"/>
      </w:pPr>
      <w:r w:rsidRPr="006B6C16">
        <w:t>For DER ≥ 1000 kW:</w:t>
      </w:r>
    </w:p>
    <w:p w14:paraId="3E51D043" w14:textId="77777777" w:rsidR="00596D17" w:rsidRPr="006B6C16" w:rsidRDefault="00596D17" w:rsidP="00596D17">
      <w:pPr>
        <w:pStyle w:val="List3-a"/>
        <w:numPr>
          <w:ilvl w:val="7"/>
          <w:numId w:val="6"/>
        </w:numPr>
        <w:ind w:left="2790"/>
      </w:pPr>
      <w:r w:rsidRPr="006B6C16">
        <w:t>Risk of Islanding study is required and requirements in screen (D) apply.</w:t>
      </w:r>
    </w:p>
    <w:p w14:paraId="63AF82A3" w14:textId="77777777" w:rsidR="00596D17" w:rsidRPr="006B6C16" w:rsidRDefault="00596D17" w:rsidP="00596D17">
      <w:pPr>
        <w:pStyle w:val="List2-1"/>
        <w:numPr>
          <w:ilvl w:val="6"/>
          <w:numId w:val="6"/>
        </w:numPr>
        <w:ind w:left="2250"/>
      </w:pPr>
      <w:r w:rsidRPr="006B6C16">
        <w:t>For DER &lt; 1000kW:</w:t>
      </w:r>
    </w:p>
    <w:p w14:paraId="5F33A16C" w14:textId="77777777" w:rsidR="00596D17" w:rsidRPr="006B6C16" w:rsidRDefault="00596D17" w:rsidP="00596D17">
      <w:pPr>
        <w:pStyle w:val="List3-a"/>
        <w:numPr>
          <w:ilvl w:val="7"/>
          <w:numId w:val="6"/>
        </w:numPr>
        <w:ind w:left="2880"/>
      </w:pPr>
      <w:r w:rsidRPr="006B6C16">
        <w:t xml:space="preserve">Screens (B), (C), </w:t>
      </w:r>
      <w:r w:rsidRPr="00ED5B66">
        <w:t>and (D)</w:t>
      </w:r>
      <w:r w:rsidRPr="006B6C16">
        <w:t xml:space="preserve"> apply.</w:t>
      </w:r>
    </w:p>
    <w:p w14:paraId="5AC48FE3" w14:textId="77777777" w:rsidR="00596D17" w:rsidRPr="006B6C16" w:rsidRDefault="00596D17" w:rsidP="00596D17">
      <w:pPr>
        <w:pStyle w:val="List1-A"/>
        <w:numPr>
          <w:ilvl w:val="5"/>
          <w:numId w:val="6"/>
        </w:numPr>
        <w:ind w:left="3510"/>
      </w:pPr>
      <w:r w:rsidRPr="006B6C16">
        <w:t xml:space="preserve">Proposed DER rated </w:t>
      </w:r>
      <w:r w:rsidRPr="006B6C16">
        <w:rPr>
          <w:rFonts w:cs="Arial"/>
        </w:rPr>
        <w:t>≤</w:t>
      </w:r>
      <w:r w:rsidRPr="006B6C16">
        <w:t xml:space="preserve"> 250 kW:</w:t>
      </w:r>
    </w:p>
    <w:p w14:paraId="41D0E7A2" w14:textId="77777777" w:rsidR="00596D17" w:rsidRPr="006B6C16" w:rsidRDefault="00596D17" w:rsidP="00596D17">
      <w:pPr>
        <w:pStyle w:val="List2-1"/>
        <w:numPr>
          <w:ilvl w:val="6"/>
          <w:numId w:val="6"/>
        </w:numPr>
        <w:ind w:left="3960"/>
      </w:pPr>
      <w:r w:rsidRPr="006B6C16">
        <w:t>No requirements.</w:t>
      </w:r>
    </w:p>
    <w:p w14:paraId="06530879" w14:textId="77777777" w:rsidR="00596D17" w:rsidRPr="006B6C16" w:rsidRDefault="00596D17" w:rsidP="00596D17">
      <w:pPr>
        <w:pStyle w:val="List1-A"/>
        <w:numPr>
          <w:ilvl w:val="5"/>
          <w:numId w:val="6"/>
        </w:numPr>
        <w:ind w:left="3510"/>
      </w:pPr>
      <w:r w:rsidRPr="006B6C16">
        <w:t xml:space="preserve">Proposed DER rated &gt; 250 kW and &lt; </w:t>
      </w:r>
      <w:r w:rsidRPr="00ED5B66">
        <w:t>500 kW</w:t>
      </w:r>
      <w:r w:rsidRPr="006B6C16">
        <w:t>:</w:t>
      </w:r>
    </w:p>
    <w:p w14:paraId="3A78BC89" w14:textId="77777777" w:rsidR="00596D17" w:rsidRPr="006B6C16" w:rsidRDefault="00596D17" w:rsidP="00596D17">
      <w:pPr>
        <w:pStyle w:val="List2-1"/>
        <w:numPr>
          <w:ilvl w:val="6"/>
          <w:numId w:val="6"/>
        </w:numPr>
        <w:ind w:left="3960"/>
      </w:pPr>
      <w:r w:rsidRPr="006B6C16">
        <w:t xml:space="preserve">If less than 33% of UL 1741-SB certified inverters on the feeder </w:t>
      </w:r>
      <w:r w:rsidRPr="00ED5B66">
        <w:t>(including existing and prior-in-queue UL 1741-SB, and project under study)</w:t>
      </w:r>
      <w:r w:rsidRPr="006B6C16">
        <w:t xml:space="preserve"> have anti-islanding detection method belonging to Group 1 and/or Group 2A, then reclose blocking is required on the next upstream recloser.  Also:</w:t>
      </w:r>
    </w:p>
    <w:p w14:paraId="44E59E8C" w14:textId="77777777" w:rsidR="00596D17" w:rsidRPr="006B6C16" w:rsidRDefault="00596D17" w:rsidP="00596D17">
      <w:pPr>
        <w:pStyle w:val="List2-1"/>
        <w:numPr>
          <w:ilvl w:val="6"/>
          <w:numId w:val="6"/>
        </w:numPr>
        <w:tabs>
          <w:tab w:val="left" w:pos="5400"/>
          <w:tab w:val="left" w:pos="5580"/>
          <w:tab w:val="left" w:pos="5850"/>
        </w:tabs>
        <w:ind w:left="3960"/>
      </w:pPr>
      <w:r w:rsidRPr="006B6C16">
        <w:t xml:space="preserve">Line section aggregated non-certified DER </w:t>
      </w:r>
      <w:r w:rsidRPr="00ED5B66">
        <w:t>(disregarding in service projects with DTT)</w:t>
      </w:r>
      <w:r w:rsidRPr="006B6C16">
        <w:t xml:space="preserve"> </w:t>
      </w:r>
      <w:proofErr w:type="gramStart"/>
      <w:r w:rsidRPr="006B6C16">
        <w:t>is ≤ 10</w:t>
      </w:r>
      <w:proofErr w:type="gramEnd"/>
      <w:r w:rsidRPr="006B6C16">
        <w:t>% of mix.</w:t>
      </w:r>
    </w:p>
    <w:p w14:paraId="38004557" w14:textId="77777777" w:rsidR="00596D17" w:rsidRPr="006B6C16" w:rsidRDefault="00596D17" w:rsidP="00596D17">
      <w:pPr>
        <w:pStyle w:val="List3-a"/>
        <w:numPr>
          <w:ilvl w:val="7"/>
          <w:numId w:val="6"/>
        </w:numPr>
        <w:ind w:left="4680"/>
      </w:pPr>
      <w:r w:rsidRPr="006B6C16">
        <w:t>No additional requirements.</w:t>
      </w:r>
    </w:p>
    <w:p w14:paraId="7D70E455" w14:textId="77777777" w:rsidR="00596D17" w:rsidRPr="006B6C16" w:rsidRDefault="00596D17" w:rsidP="00596D17">
      <w:pPr>
        <w:pStyle w:val="List2-1"/>
        <w:numPr>
          <w:ilvl w:val="6"/>
          <w:numId w:val="6"/>
        </w:numPr>
        <w:tabs>
          <w:tab w:val="left" w:pos="5400"/>
        </w:tabs>
        <w:ind w:left="3960"/>
      </w:pPr>
      <w:r w:rsidRPr="006B6C16">
        <w:t xml:space="preserve">Line section aggregated non-certified DER </w:t>
      </w:r>
      <w:r w:rsidRPr="00ED5B66">
        <w:t>(disregarding in service projects with DTT)</w:t>
      </w:r>
      <w:r w:rsidRPr="006B6C16">
        <w:t xml:space="preserve"> is &gt; 10% </w:t>
      </w:r>
    </w:p>
    <w:p w14:paraId="6EF486E3" w14:textId="77777777" w:rsidR="00596D17" w:rsidRPr="006B6C16" w:rsidRDefault="00596D17" w:rsidP="00596D17">
      <w:pPr>
        <w:pStyle w:val="List3-a"/>
        <w:numPr>
          <w:ilvl w:val="7"/>
          <w:numId w:val="6"/>
        </w:numPr>
        <w:ind w:left="4680"/>
      </w:pPr>
      <w:r w:rsidRPr="00ED5B66">
        <w:t>Reclose blocking required on upstream recloser.</w:t>
      </w:r>
    </w:p>
    <w:p w14:paraId="35E7B5F7" w14:textId="77777777" w:rsidR="00596D17" w:rsidRPr="006B6C16" w:rsidRDefault="00596D17" w:rsidP="00596D17">
      <w:pPr>
        <w:pStyle w:val="List1-A"/>
        <w:numPr>
          <w:ilvl w:val="5"/>
          <w:numId w:val="6"/>
        </w:numPr>
        <w:ind w:left="3510"/>
      </w:pPr>
      <w:r w:rsidRPr="006B6C16">
        <w:t xml:space="preserve">Proposed DER rated ≥ </w:t>
      </w:r>
      <w:r w:rsidRPr="00ED5B66">
        <w:t>500 kW</w:t>
      </w:r>
      <w:r w:rsidRPr="006B6C16">
        <w:t>:</w:t>
      </w:r>
    </w:p>
    <w:p w14:paraId="153C962E" w14:textId="77777777" w:rsidR="00596D17" w:rsidRDefault="00596D17" w:rsidP="00596D17">
      <w:pPr>
        <w:pStyle w:val="List2-1"/>
        <w:numPr>
          <w:ilvl w:val="6"/>
          <w:numId w:val="6"/>
        </w:numPr>
        <w:tabs>
          <w:tab w:val="left" w:pos="5400"/>
        </w:tabs>
        <w:ind w:left="3960"/>
      </w:pPr>
      <w:r>
        <w:t>Reclose blocking required on the next upstream recloser if line segment aggregate DER &gt; 50% of minimum load.</w:t>
      </w:r>
    </w:p>
    <w:p w14:paraId="505A2732" w14:textId="77777777" w:rsidR="00596D17" w:rsidRDefault="00596D17" w:rsidP="00596D17">
      <w:pPr>
        <w:pBdr>
          <w:top w:val="nil"/>
          <w:left w:val="nil"/>
          <w:bottom w:val="nil"/>
          <w:right w:val="nil"/>
          <w:between w:val="nil"/>
        </w:pBdr>
        <w:spacing w:after="0" w:line="240" w:lineRule="auto"/>
        <w:ind w:left="720"/>
        <w:rPr>
          <w:b/>
          <w:color w:val="000000"/>
        </w:rPr>
      </w:pPr>
      <w:bookmarkStart w:id="8" w:name="_2s8eyo1" w:colFirst="0" w:colLast="0"/>
      <w:bookmarkEnd w:id="8"/>
    </w:p>
    <w:p w14:paraId="2D9E83C1" w14:textId="77777777" w:rsidR="00596D17" w:rsidRDefault="00596D17" w:rsidP="00596D17">
      <w:pPr>
        <w:pBdr>
          <w:top w:val="nil"/>
          <w:left w:val="nil"/>
          <w:bottom w:val="nil"/>
          <w:right w:val="nil"/>
          <w:between w:val="nil"/>
        </w:pBdr>
        <w:spacing w:after="0" w:line="240" w:lineRule="auto"/>
        <w:ind w:left="720"/>
        <w:rPr>
          <w:b/>
          <w:color w:val="000000"/>
        </w:rPr>
      </w:pPr>
    </w:p>
    <w:p w14:paraId="35314DBE" w14:textId="77777777" w:rsidR="00596D17" w:rsidRPr="00024CC3" w:rsidRDefault="00596D17" w:rsidP="00596D17">
      <w:pPr>
        <w:pBdr>
          <w:top w:val="nil"/>
          <w:left w:val="nil"/>
          <w:bottom w:val="nil"/>
          <w:right w:val="nil"/>
          <w:between w:val="nil"/>
        </w:pBdr>
        <w:spacing w:after="0" w:line="240" w:lineRule="auto"/>
        <w:ind w:left="720"/>
        <w:rPr>
          <w:b/>
          <w:color w:val="000000"/>
        </w:rPr>
      </w:pPr>
      <w:r w:rsidRPr="00024CC3">
        <w:rPr>
          <w:b/>
          <w:color w:val="000000"/>
        </w:rPr>
        <w:t>Non-certified &amp; voltage regulating inverters, induction &amp; synchronous machines</w:t>
      </w:r>
    </w:p>
    <w:p w14:paraId="3F804891" w14:textId="77777777" w:rsidR="00596D17" w:rsidRDefault="00596D17" w:rsidP="00596D17">
      <w:pPr>
        <w:pStyle w:val="List1-A"/>
        <w:numPr>
          <w:ilvl w:val="5"/>
          <w:numId w:val="2"/>
        </w:numPr>
        <w:ind w:left="1350"/>
      </w:pPr>
      <w:r>
        <w:t>Require ANSI C37.90 utility-grade protective relay with IEEE 1547-2018 voltage and frequency tripping and restoration functions, as defined in ESB 756C 7.6.11.2.</w:t>
      </w:r>
    </w:p>
    <w:p w14:paraId="376CB4A6" w14:textId="77777777" w:rsidR="00596D17" w:rsidRDefault="00596D17" w:rsidP="00596D17">
      <w:pPr>
        <w:pStyle w:val="List1-A"/>
        <w:numPr>
          <w:ilvl w:val="5"/>
          <w:numId w:val="2"/>
        </w:numPr>
        <w:ind w:left="1350"/>
      </w:pPr>
      <w:r>
        <w:t>Where total aggregate line section DER &gt; 33% minimum load:</w:t>
      </w:r>
    </w:p>
    <w:p w14:paraId="605B1334" w14:textId="77777777" w:rsidR="00596D17" w:rsidRPr="00895FC4" w:rsidRDefault="00596D17" w:rsidP="00596D17">
      <w:pPr>
        <w:pStyle w:val="List2-1"/>
        <w:numPr>
          <w:ilvl w:val="6"/>
          <w:numId w:val="2"/>
        </w:numPr>
        <w:tabs>
          <w:tab w:val="left" w:pos="5400"/>
        </w:tabs>
        <w:ind w:left="2250"/>
      </w:pPr>
      <w:r w:rsidRPr="006B6C16">
        <w:t xml:space="preserve">DTT </w:t>
      </w:r>
      <w:r w:rsidRPr="00895FC4">
        <w:t>required.</w:t>
      </w:r>
    </w:p>
    <w:p w14:paraId="20FC95FF" w14:textId="77777777" w:rsidR="00596D17" w:rsidRPr="00895FC4" w:rsidRDefault="00596D17" w:rsidP="00596D17">
      <w:pPr>
        <w:pStyle w:val="List3-a"/>
        <w:numPr>
          <w:ilvl w:val="7"/>
          <w:numId w:val="2"/>
        </w:numPr>
        <w:ind w:left="2610"/>
      </w:pPr>
      <w:r w:rsidRPr="00895FC4">
        <w:t xml:space="preserve">DTT may be waived if Risk of Islanding study, conducted by the Company, demonstrates Run </w:t>
      </w:r>
      <w:proofErr w:type="gramStart"/>
      <w:r w:rsidRPr="00895FC4">
        <w:t>On</w:t>
      </w:r>
      <w:proofErr w:type="gramEnd"/>
      <w:r w:rsidRPr="00895FC4">
        <w:t xml:space="preserve"> Times less than 2s.</w:t>
      </w:r>
    </w:p>
    <w:p w14:paraId="151324E4" w14:textId="77777777" w:rsidR="00596D17" w:rsidRPr="00895FC4" w:rsidRDefault="00596D17" w:rsidP="00596D17">
      <w:pPr>
        <w:pStyle w:val="List2-1"/>
        <w:numPr>
          <w:ilvl w:val="6"/>
          <w:numId w:val="2"/>
        </w:numPr>
        <w:tabs>
          <w:tab w:val="left" w:pos="5400"/>
        </w:tabs>
        <w:ind w:left="2250"/>
      </w:pPr>
      <w:r w:rsidRPr="00895FC4">
        <w:t>Reclose blocking required on upstream recloser.</w:t>
      </w:r>
    </w:p>
    <w:p w14:paraId="1A7AFCB9" w14:textId="77777777" w:rsidR="00596D17" w:rsidRDefault="00596D17" w:rsidP="00596D17">
      <w:pPr>
        <w:pBdr>
          <w:top w:val="nil"/>
          <w:left w:val="nil"/>
          <w:bottom w:val="nil"/>
          <w:right w:val="nil"/>
          <w:between w:val="nil"/>
        </w:pBdr>
        <w:spacing w:after="0" w:line="240" w:lineRule="auto"/>
        <w:ind w:left="720"/>
        <w:rPr>
          <w:b/>
          <w:color w:val="000000"/>
        </w:rPr>
      </w:pPr>
    </w:p>
    <w:p w14:paraId="7B3DFA07" w14:textId="77777777" w:rsidR="00596D17" w:rsidRPr="00024CC3" w:rsidRDefault="00596D17" w:rsidP="00596D17">
      <w:pPr>
        <w:pBdr>
          <w:top w:val="nil"/>
          <w:left w:val="nil"/>
          <w:bottom w:val="nil"/>
          <w:right w:val="nil"/>
          <w:between w:val="nil"/>
        </w:pBdr>
        <w:spacing w:after="0" w:line="240" w:lineRule="auto"/>
        <w:ind w:left="720"/>
        <w:rPr>
          <w:b/>
          <w:color w:val="000000"/>
        </w:rPr>
      </w:pPr>
      <w:r w:rsidRPr="00024CC3">
        <w:rPr>
          <w:b/>
          <w:color w:val="000000"/>
        </w:rPr>
        <w:t>Direct Transfer Trip may be required for the following:</w:t>
      </w:r>
    </w:p>
    <w:p w14:paraId="13ADE0EC" w14:textId="77777777" w:rsidR="00596D17" w:rsidRDefault="00596D17" w:rsidP="00596D17">
      <w:pPr>
        <w:numPr>
          <w:ilvl w:val="0"/>
          <w:numId w:val="3"/>
        </w:numPr>
        <w:spacing w:after="0" w:line="240" w:lineRule="auto"/>
      </w:pPr>
      <w:r>
        <w:t>Cases where additional  EPS protection schemes, including but not limited to transfer tripping, may be required</w:t>
      </w:r>
      <w:r>
        <w:rPr>
          <w:vertAlign w:val="superscript"/>
        </w:rPr>
        <w:footnoteReference w:id="5"/>
      </w:r>
    </w:p>
    <w:p w14:paraId="109A7350" w14:textId="77777777" w:rsidR="00596D17" w:rsidRDefault="00596D17" w:rsidP="00596D17">
      <w:pPr>
        <w:numPr>
          <w:ilvl w:val="0"/>
          <w:numId w:val="4"/>
        </w:numPr>
        <w:spacing w:after="0" w:line="240" w:lineRule="auto"/>
        <w:ind w:left="1800"/>
      </w:pPr>
      <w:r>
        <w:t>If line faults (phase and ground where applicable) cannot be cleared by DER protective device or the Company’s PCC recloser.</w:t>
      </w:r>
      <w:r>
        <w:rPr>
          <w:vertAlign w:val="superscript"/>
        </w:rPr>
        <w:footnoteReference w:id="6"/>
      </w:r>
    </w:p>
    <w:p w14:paraId="104672AC" w14:textId="77777777" w:rsidR="00596D17" w:rsidRDefault="00596D17" w:rsidP="00596D17">
      <w:pPr>
        <w:numPr>
          <w:ilvl w:val="0"/>
          <w:numId w:val="4"/>
        </w:numPr>
        <w:spacing w:after="0" w:line="240" w:lineRule="auto"/>
        <w:ind w:left="1800"/>
      </w:pPr>
      <w:r>
        <w:t>Unique arrangements not explicitly defined within this document at the Company’s discretion.</w:t>
      </w:r>
    </w:p>
    <w:p w14:paraId="79A9E335" w14:textId="77777777" w:rsidR="00596D17" w:rsidRDefault="00596D17" w:rsidP="00596D17">
      <w:pPr>
        <w:numPr>
          <w:ilvl w:val="0"/>
          <w:numId w:val="4"/>
        </w:numPr>
        <w:spacing w:after="0" w:line="240" w:lineRule="auto"/>
        <w:ind w:left="1800"/>
      </w:pPr>
      <w:r>
        <w:t>If the DER cannot be tripped off with utility-owned devices when automated sectionalizing schemes will operate.</w:t>
      </w:r>
    </w:p>
    <w:p w14:paraId="057E6756" w14:textId="77777777" w:rsidR="00596D17" w:rsidRDefault="00596D17" w:rsidP="00596D17">
      <w:pPr>
        <w:numPr>
          <w:ilvl w:val="0"/>
          <w:numId w:val="4"/>
        </w:numPr>
        <w:spacing w:after="0" w:line="240" w:lineRule="auto"/>
        <w:ind w:left="1800"/>
      </w:pPr>
      <w:r>
        <w:t>DER connected to &gt; 35 kV EPS where DER &gt; 50% onsite minimum load and the connecting line is radially supplied.</w:t>
      </w:r>
    </w:p>
    <w:p w14:paraId="5D4F041D" w14:textId="77777777" w:rsidR="00596D17" w:rsidRDefault="00596D17" w:rsidP="00596D17">
      <w:pPr>
        <w:pBdr>
          <w:top w:val="nil"/>
          <w:left w:val="nil"/>
          <w:bottom w:val="nil"/>
          <w:right w:val="nil"/>
          <w:between w:val="nil"/>
        </w:pBdr>
        <w:ind w:hanging="720"/>
        <w:rPr>
          <w:color w:val="000000"/>
          <w:sz w:val="24"/>
          <w:szCs w:val="24"/>
        </w:rPr>
      </w:pPr>
    </w:p>
    <w:p w14:paraId="3B5DBD61" w14:textId="77777777" w:rsidR="00596D17" w:rsidRPr="00D700F8" w:rsidRDefault="00596D17" w:rsidP="00596D17">
      <w:pPr>
        <w:pBdr>
          <w:top w:val="nil"/>
          <w:left w:val="nil"/>
          <w:bottom w:val="nil"/>
          <w:right w:val="nil"/>
          <w:between w:val="nil"/>
        </w:pBdr>
        <w:spacing w:after="0" w:line="240" w:lineRule="auto"/>
        <w:ind w:left="720"/>
        <w:rPr>
          <w:b/>
          <w:color w:val="4F81BD"/>
          <w:sz w:val="24"/>
        </w:rPr>
      </w:pPr>
      <w:proofErr w:type="spellStart"/>
      <w:r w:rsidRPr="00AD0A19">
        <w:rPr>
          <w:b/>
          <w:color w:val="4F81BD"/>
          <w:sz w:val="24"/>
        </w:rPr>
        <w:t>Unitil</w:t>
      </w:r>
      <w:proofErr w:type="spellEnd"/>
    </w:p>
    <w:p w14:paraId="1636FAD9" w14:textId="77777777" w:rsidR="00596D17" w:rsidRDefault="00596D17" w:rsidP="00596D17">
      <w:pPr>
        <w:pBdr>
          <w:top w:val="nil"/>
          <w:left w:val="nil"/>
          <w:bottom w:val="nil"/>
          <w:right w:val="nil"/>
          <w:between w:val="nil"/>
        </w:pBdr>
        <w:ind w:left="720"/>
        <w:rPr>
          <w:color w:val="000000"/>
        </w:rPr>
      </w:pPr>
      <w:r>
        <w:rPr>
          <w:color w:val="000000"/>
        </w:rPr>
        <w:t xml:space="preserve">During supplemental review and Impact Studies, DER applications that are larger than 100kW are screened for potential anti-islanding by load to generation ratio at each device location that could operate to form an island boundary (Line Section).  Pre-existing DER equipped with direct transfer trip (DTT) may be removed from the aggregate generation for this screening process.   For projects that fail the anti-islanding screening, </w:t>
      </w:r>
      <w:proofErr w:type="spellStart"/>
      <w:r>
        <w:rPr>
          <w:color w:val="000000"/>
        </w:rPr>
        <w:t>Unitil</w:t>
      </w:r>
      <w:proofErr w:type="spellEnd"/>
      <w:r>
        <w:rPr>
          <w:color w:val="000000"/>
        </w:rPr>
        <w:t xml:space="preserve"> requires a Direct Transfer Trip scheme be installed or offers to conduct a detailed Risk of Islanding study. The screening tools vary by type of DER technology, and are as follows:</w:t>
      </w:r>
    </w:p>
    <w:p w14:paraId="56420AAE" w14:textId="77777777" w:rsidR="00596D17" w:rsidRDefault="00596D17" w:rsidP="00596D17">
      <w:pPr>
        <w:pBdr>
          <w:top w:val="nil"/>
          <w:left w:val="nil"/>
          <w:bottom w:val="nil"/>
          <w:right w:val="nil"/>
          <w:between w:val="nil"/>
        </w:pBdr>
        <w:spacing w:after="0" w:line="240" w:lineRule="auto"/>
        <w:ind w:left="720"/>
        <w:rPr>
          <w:color w:val="000000"/>
        </w:rPr>
      </w:pPr>
    </w:p>
    <w:p w14:paraId="3EA0A9BA"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If any line section has an aggregate DER-to-minimum load ratio &gt;33%, the following evaluation is performed.</w:t>
      </w:r>
    </w:p>
    <w:p w14:paraId="349C095B" w14:textId="77777777" w:rsidR="00596D17" w:rsidRDefault="00596D17" w:rsidP="00596D17">
      <w:pPr>
        <w:pBdr>
          <w:top w:val="nil"/>
          <w:left w:val="nil"/>
          <w:bottom w:val="nil"/>
          <w:right w:val="nil"/>
          <w:between w:val="nil"/>
        </w:pBdr>
        <w:spacing w:after="0" w:line="240" w:lineRule="auto"/>
        <w:ind w:left="720"/>
        <w:rPr>
          <w:color w:val="000000"/>
        </w:rPr>
      </w:pPr>
    </w:p>
    <w:p w14:paraId="611FB828" w14:textId="77777777" w:rsidR="00596D17" w:rsidRDefault="00596D17" w:rsidP="00596D17">
      <w:pPr>
        <w:pBdr>
          <w:top w:val="nil"/>
          <w:left w:val="nil"/>
          <w:bottom w:val="nil"/>
          <w:right w:val="nil"/>
          <w:between w:val="nil"/>
        </w:pBdr>
        <w:spacing w:after="0" w:line="240" w:lineRule="auto"/>
        <w:ind w:left="720"/>
        <w:rPr>
          <w:b/>
          <w:color w:val="000000"/>
        </w:rPr>
      </w:pPr>
      <w:r>
        <w:rPr>
          <w:b/>
          <w:color w:val="000000"/>
        </w:rPr>
        <w:t xml:space="preserve">CERTIFIED DER </w:t>
      </w:r>
    </w:p>
    <w:p w14:paraId="18E8B70B" w14:textId="77777777" w:rsidR="00596D17" w:rsidRDefault="00596D17" w:rsidP="00596D17">
      <w:pPr>
        <w:pBdr>
          <w:top w:val="nil"/>
          <w:left w:val="nil"/>
          <w:bottom w:val="nil"/>
          <w:right w:val="nil"/>
          <w:between w:val="nil"/>
        </w:pBdr>
        <w:spacing w:after="0" w:line="240" w:lineRule="auto"/>
        <w:ind w:left="720"/>
        <w:rPr>
          <w:color w:val="000000"/>
        </w:rPr>
      </w:pPr>
    </w:p>
    <w:p w14:paraId="32C2D2AD" w14:textId="77777777" w:rsidR="00596D17" w:rsidRDefault="00596D17" w:rsidP="00596D17">
      <w:pPr>
        <w:pBdr>
          <w:top w:val="nil"/>
          <w:left w:val="nil"/>
          <w:bottom w:val="nil"/>
          <w:right w:val="nil"/>
          <w:between w:val="nil"/>
        </w:pBdr>
        <w:spacing w:after="0" w:line="240" w:lineRule="auto"/>
        <w:ind w:left="720"/>
        <w:rPr>
          <w:color w:val="000000"/>
          <w:u w:val="single"/>
        </w:rPr>
      </w:pPr>
      <w:r>
        <w:rPr>
          <w:color w:val="000000"/>
          <w:u w:val="single"/>
        </w:rPr>
        <w:t xml:space="preserve">Line section aggregated non-certified DER is &gt; 10% of aggregate DER </w:t>
      </w:r>
      <w:r>
        <w:rPr>
          <w:b/>
          <w:color w:val="000000"/>
          <w:u w:val="single"/>
        </w:rPr>
        <w:t>or</w:t>
      </w:r>
      <w:r>
        <w:rPr>
          <w:color w:val="000000"/>
          <w:u w:val="single"/>
        </w:rPr>
        <w:t xml:space="preserve"> DER &gt; 2000 kW. </w:t>
      </w:r>
    </w:p>
    <w:p w14:paraId="7718FABB"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Sandia screening shall be performed.   Note - when insufficient data exists to perform a complete VAR balance review, Sandia screen #2 shall be considered a failure.</w:t>
      </w:r>
    </w:p>
    <w:p w14:paraId="1457C781" w14:textId="77777777" w:rsidR="00596D17" w:rsidRDefault="00596D17" w:rsidP="00596D17">
      <w:pPr>
        <w:pBdr>
          <w:top w:val="nil"/>
          <w:left w:val="nil"/>
          <w:bottom w:val="nil"/>
          <w:right w:val="nil"/>
          <w:between w:val="nil"/>
        </w:pBdr>
        <w:spacing w:after="0" w:line="240" w:lineRule="auto"/>
        <w:ind w:left="720"/>
        <w:rPr>
          <w:color w:val="000000"/>
        </w:rPr>
      </w:pPr>
    </w:p>
    <w:p w14:paraId="068D652D"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If Sandia screens are passed, no additional requirements related to ROI are enforced.</w:t>
      </w:r>
    </w:p>
    <w:p w14:paraId="796F237F" w14:textId="77777777" w:rsidR="00596D17" w:rsidRDefault="00596D17" w:rsidP="00596D17">
      <w:pPr>
        <w:pBdr>
          <w:top w:val="nil"/>
          <w:left w:val="nil"/>
          <w:bottom w:val="nil"/>
          <w:right w:val="nil"/>
          <w:between w:val="nil"/>
        </w:pBdr>
        <w:spacing w:after="0" w:line="240" w:lineRule="auto"/>
        <w:ind w:left="720"/>
        <w:rPr>
          <w:color w:val="000000"/>
        </w:rPr>
      </w:pPr>
    </w:p>
    <w:p w14:paraId="37B1A929"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If Sandia screens are not passed, a DTT scheme is </w:t>
      </w:r>
      <w:proofErr w:type="gramStart"/>
      <w:r>
        <w:rPr>
          <w:color w:val="000000"/>
        </w:rPr>
        <w:t>required</w:t>
      </w:r>
      <w:proofErr w:type="gramEnd"/>
      <w:r>
        <w:rPr>
          <w:color w:val="000000"/>
        </w:rPr>
        <w:t xml:space="preserve"> or a dynamic risk of islanding study may be offered.  If the dynamic risk of islanding study indicates negligible risk of islanding, no additional requirements related to ROI are enforced.</w:t>
      </w:r>
    </w:p>
    <w:p w14:paraId="35B364A2" w14:textId="77777777" w:rsidR="00596D17" w:rsidRDefault="00596D17" w:rsidP="00596D17">
      <w:pPr>
        <w:pBdr>
          <w:top w:val="nil"/>
          <w:left w:val="nil"/>
          <w:bottom w:val="nil"/>
          <w:right w:val="nil"/>
          <w:between w:val="nil"/>
        </w:pBdr>
        <w:spacing w:after="0" w:line="240" w:lineRule="auto"/>
        <w:ind w:left="720"/>
        <w:rPr>
          <w:color w:val="000000"/>
        </w:rPr>
      </w:pPr>
    </w:p>
    <w:p w14:paraId="3E28736B"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If </w:t>
      </w:r>
      <w:proofErr w:type="gramStart"/>
      <w:r>
        <w:rPr>
          <w:color w:val="000000"/>
        </w:rPr>
        <w:t>the a</w:t>
      </w:r>
      <w:proofErr w:type="gramEnd"/>
      <w:r>
        <w:rPr>
          <w:color w:val="000000"/>
        </w:rPr>
        <w:t xml:space="preserve"> dynamic risk of islanding study is either not offered, is declined by the applicant, or has unacceptable results, then a Company owned, SCADA-enabled recloser or other isolation device at the PCC and DTT is </w:t>
      </w:r>
      <w:proofErr w:type="gramStart"/>
      <w:r>
        <w:rPr>
          <w:color w:val="000000"/>
        </w:rPr>
        <w:t>required .</w:t>
      </w:r>
      <w:proofErr w:type="gramEnd"/>
    </w:p>
    <w:p w14:paraId="30E09E2C" w14:textId="77777777" w:rsidR="00596D17" w:rsidRDefault="00596D17" w:rsidP="00596D17">
      <w:pPr>
        <w:pBdr>
          <w:top w:val="nil"/>
          <w:left w:val="nil"/>
          <w:bottom w:val="nil"/>
          <w:right w:val="nil"/>
          <w:between w:val="nil"/>
        </w:pBdr>
        <w:spacing w:after="0" w:line="240" w:lineRule="auto"/>
        <w:ind w:left="720"/>
        <w:rPr>
          <w:color w:val="000000"/>
        </w:rPr>
      </w:pPr>
    </w:p>
    <w:p w14:paraId="3420D0B5" w14:textId="77777777" w:rsidR="00596D17" w:rsidRDefault="00596D17" w:rsidP="00596D17">
      <w:pPr>
        <w:pBdr>
          <w:top w:val="nil"/>
          <w:left w:val="nil"/>
          <w:bottom w:val="nil"/>
          <w:right w:val="nil"/>
          <w:between w:val="nil"/>
        </w:pBdr>
        <w:spacing w:after="0" w:line="240" w:lineRule="auto"/>
        <w:ind w:left="720"/>
        <w:rPr>
          <w:b/>
          <w:color w:val="000000"/>
        </w:rPr>
      </w:pPr>
      <w:r>
        <w:rPr>
          <w:b/>
          <w:color w:val="000000"/>
        </w:rPr>
        <w:t xml:space="preserve">NON-CERTIFIED INVERTERS, INDUCTION &amp; SYNCHRONOUS MACHINES </w:t>
      </w:r>
    </w:p>
    <w:p w14:paraId="69F3779C" w14:textId="77777777" w:rsidR="00596D17" w:rsidRDefault="00596D17" w:rsidP="00596D17">
      <w:pPr>
        <w:pBdr>
          <w:top w:val="nil"/>
          <w:left w:val="nil"/>
          <w:bottom w:val="nil"/>
          <w:right w:val="nil"/>
          <w:between w:val="nil"/>
        </w:pBdr>
        <w:spacing w:after="0" w:line="240" w:lineRule="auto"/>
        <w:ind w:left="720"/>
        <w:rPr>
          <w:color w:val="000000"/>
        </w:rPr>
      </w:pPr>
    </w:p>
    <w:p w14:paraId="3C407CEE" w14:textId="77777777" w:rsidR="00596D17" w:rsidRDefault="00596D17" w:rsidP="00596D17">
      <w:pPr>
        <w:pBdr>
          <w:top w:val="nil"/>
          <w:left w:val="nil"/>
          <w:bottom w:val="nil"/>
          <w:right w:val="nil"/>
          <w:between w:val="nil"/>
        </w:pBdr>
        <w:spacing w:after="0" w:line="240" w:lineRule="auto"/>
        <w:ind w:left="720"/>
        <w:rPr>
          <w:color w:val="000000"/>
        </w:rPr>
      </w:pPr>
      <w:r>
        <w:rPr>
          <w:color w:val="000000"/>
        </w:rPr>
        <w:t xml:space="preserve">A dynamic risk of islanding study may be offered.  If </w:t>
      </w:r>
      <w:proofErr w:type="gramStart"/>
      <w:r>
        <w:rPr>
          <w:color w:val="000000"/>
        </w:rPr>
        <w:t>the a</w:t>
      </w:r>
      <w:proofErr w:type="gramEnd"/>
      <w:r>
        <w:rPr>
          <w:color w:val="000000"/>
        </w:rPr>
        <w:t xml:space="preserve"> dynamic risk of islanding study indicates negligible risk of islanding, no additional requirements related to ROI are enforced.</w:t>
      </w:r>
    </w:p>
    <w:p w14:paraId="11058776" w14:textId="77777777" w:rsidR="00596D17" w:rsidRDefault="00596D17" w:rsidP="00596D17">
      <w:pPr>
        <w:pBdr>
          <w:top w:val="nil"/>
          <w:left w:val="nil"/>
          <w:bottom w:val="nil"/>
          <w:right w:val="nil"/>
          <w:between w:val="nil"/>
        </w:pBdr>
        <w:spacing w:after="0" w:line="240" w:lineRule="auto"/>
        <w:ind w:left="720"/>
        <w:rPr>
          <w:color w:val="000000"/>
        </w:rPr>
      </w:pPr>
    </w:p>
    <w:p w14:paraId="1C2A7AE8" w14:textId="77777777" w:rsidR="00596D17" w:rsidRDefault="00596D17" w:rsidP="00596D17">
      <w:pPr>
        <w:pBdr>
          <w:top w:val="nil"/>
          <w:left w:val="nil"/>
          <w:bottom w:val="nil"/>
          <w:right w:val="nil"/>
          <w:between w:val="nil"/>
        </w:pBdr>
        <w:ind w:left="720"/>
        <w:rPr>
          <w:color w:val="000000"/>
        </w:rPr>
      </w:pPr>
      <w:r>
        <w:rPr>
          <w:color w:val="000000"/>
        </w:rPr>
        <w:t xml:space="preserve">If </w:t>
      </w:r>
      <w:proofErr w:type="gramStart"/>
      <w:r>
        <w:rPr>
          <w:color w:val="000000"/>
        </w:rPr>
        <w:t>the a</w:t>
      </w:r>
      <w:proofErr w:type="gramEnd"/>
      <w:r>
        <w:rPr>
          <w:color w:val="000000"/>
        </w:rPr>
        <w:t xml:space="preserve"> dynamic risk of islanding study is either not offered, is declined by the applicant, or has unacceptable results, then an </w:t>
      </w:r>
      <w:proofErr w:type="spellStart"/>
      <w:r>
        <w:rPr>
          <w:color w:val="000000"/>
        </w:rPr>
        <w:t>Unitil</w:t>
      </w:r>
      <w:proofErr w:type="spellEnd"/>
      <w:r>
        <w:rPr>
          <w:color w:val="000000"/>
        </w:rPr>
        <w:t xml:space="preserve"> owned, SCADA-enabled recloser or other isolation device at the PCC is required.  DTT may also be required</w:t>
      </w:r>
    </w:p>
    <w:p w14:paraId="24B9E33C" w14:textId="77777777" w:rsidR="00596D17" w:rsidRDefault="00596D17" w:rsidP="00596D17">
      <w:pPr>
        <w:pStyle w:val="Heading2"/>
        <w:numPr>
          <w:ilvl w:val="1"/>
          <w:numId w:val="8"/>
        </w:numPr>
        <w:ind w:left="1440"/>
      </w:pPr>
      <w:bookmarkStart w:id="9" w:name="_Toc122618263"/>
      <w:r>
        <w:t>Reclose Blocking</w:t>
      </w:r>
      <w:bookmarkEnd w:id="9"/>
    </w:p>
    <w:p w14:paraId="0A4F3D2E" w14:textId="77777777" w:rsidR="00596D17" w:rsidRDefault="00596D17" w:rsidP="00596D17">
      <w:pPr>
        <w:pBdr>
          <w:top w:val="nil"/>
          <w:left w:val="nil"/>
          <w:bottom w:val="nil"/>
          <w:right w:val="nil"/>
          <w:between w:val="nil"/>
        </w:pBdr>
        <w:ind w:left="720"/>
        <w:rPr>
          <w:color w:val="000000"/>
        </w:rPr>
      </w:pPr>
      <w:r>
        <w:rPr>
          <w:color w:val="000000"/>
        </w:rPr>
        <w:t>The joint utilities may require reclose blocking (voltage supervised closing) where DERs are installed on the load side of an automated interrupting device. This may include substation interrupting devices and/or reclosers on distribution circuits.</w:t>
      </w:r>
    </w:p>
    <w:p w14:paraId="1CEAD306" w14:textId="77777777" w:rsidR="00596D17" w:rsidRDefault="00596D17" w:rsidP="00596D17">
      <w:pPr>
        <w:pBdr>
          <w:top w:val="nil"/>
          <w:left w:val="nil"/>
          <w:bottom w:val="nil"/>
          <w:right w:val="nil"/>
          <w:between w:val="nil"/>
        </w:pBdr>
        <w:ind w:left="720"/>
        <w:rPr>
          <w:color w:val="000000"/>
        </w:rPr>
      </w:pPr>
      <w:r>
        <w:rPr>
          <w:b/>
          <w:color w:val="000000"/>
        </w:rPr>
        <w:t>National Grid Only:</w:t>
      </w:r>
      <w:r>
        <w:rPr>
          <w:color w:val="000000"/>
        </w:rPr>
        <w:t xml:space="preserve"> Reclose blocking may be required in lieu of DTT for certain UL1741 inverter-based systems per the screens in Common Guideline Section 4.1.</w:t>
      </w:r>
    </w:p>
    <w:p w14:paraId="77AE4154" w14:textId="77777777" w:rsidR="00596D17" w:rsidRPr="00512CBC" w:rsidRDefault="00596D17" w:rsidP="00596D17">
      <w:pPr>
        <w:pBdr>
          <w:top w:val="nil"/>
          <w:left w:val="nil"/>
          <w:bottom w:val="nil"/>
          <w:right w:val="nil"/>
          <w:between w:val="nil"/>
        </w:pBdr>
        <w:ind w:left="720"/>
        <w:rPr>
          <w:color w:val="FF0000"/>
        </w:rPr>
      </w:pPr>
      <w:r w:rsidRPr="00512CBC">
        <w:rPr>
          <w:b/>
          <w:bCs/>
          <w:color w:val="FF0000"/>
        </w:rPr>
        <w:t>Eversource only.</w:t>
      </w:r>
      <w:r w:rsidRPr="00512CBC">
        <w:rPr>
          <w:color w:val="FF0000"/>
        </w:rPr>
        <w:t xml:space="preserve"> </w:t>
      </w:r>
      <w:r>
        <w:rPr>
          <w:color w:val="FF0000"/>
        </w:rPr>
        <w:t>Reclose Blocking</w:t>
      </w:r>
      <w:r w:rsidRPr="00512CBC">
        <w:rPr>
          <w:color w:val="FF0000"/>
        </w:rPr>
        <w:t xml:space="preserve"> is not applicable to Eversource.</w:t>
      </w:r>
    </w:p>
    <w:p w14:paraId="730D1D89" w14:textId="77777777" w:rsidR="00596D17" w:rsidRDefault="00596D17" w:rsidP="00596D17">
      <w:pPr>
        <w:pStyle w:val="Heading2"/>
        <w:numPr>
          <w:ilvl w:val="1"/>
          <w:numId w:val="8"/>
        </w:numPr>
        <w:ind w:left="1440"/>
      </w:pPr>
      <w:bookmarkStart w:id="10" w:name="_Toc122618264"/>
      <w:r>
        <w:t>Direct Transfer Trip</w:t>
      </w:r>
      <w:bookmarkEnd w:id="10"/>
    </w:p>
    <w:p w14:paraId="593311DF" w14:textId="77777777" w:rsidR="00596D17" w:rsidRDefault="00596D17" w:rsidP="00596D17">
      <w:pPr>
        <w:pBdr>
          <w:top w:val="nil"/>
          <w:left w:val="nil"/>
          <w:bottom w:val="nil"/>
          <w:right w:val="nil"/>
          <w:between w:val="nil"/>
        </w:pBdr>
        <w:ind w:left="720"/>
        <w:rPr>
          <w:color w:val="FF0000"/>
        </w:rPr>
      </w:pPr>
      <w:r>
        <w:rPr>
          <w:color w:val="000000"/>
        </w:rPr>
        <w:t xml:space="preserve">Direct transfer trip schemes may be required by the Joint Utilities to ensure safe and reliable operation of the Area EPS. The Joint Utilities require direct transfer </w:t>
      </w:r>
      <w:proofErr w:type="gramStart"/>
      <w:r>
        <w:rPr>
          <w:color w:val="000000"/>
        </w:rPr>
        <w:t>trip</w:t>
      </w:r>
      <w:proofErr w:type="gramEnd"/>
      <w:r>
        <w:rPr>
          <w:color w:val="000000"/>
        </w:rPr>
        <w:t xml:space="preserve"> as definitive means of anti-islanding detection. The scheme will be driven by a signal (or loss of signal) sent by the Member Utility and received and acted upon by equipment designated by </w:t>
      </w:r>
      <w:proofErr w:type="gramStart"/>
      <w:r>
        <w:rPr>
          <w:color w:val="000000"/>
        </w:rPr>
        <w:t>the Member</w:t>
      </w:r>
      <w:proofErr w:type="gramEnd"/>
      <w:r>
        <w:rPr>
          <w:color w:val="000000"/>
        </w:rPr>
        <w:t xml:space="preserve"> Utility to isolate the generator from the Area EPS. The communication medium required to install the transfer trip scheme may vary due to application. The installation and applicable </w:t>
      </w:r>
      <w:r>
        <w:rPr>
          <w:color w:val="000000"/>
        </w:rPr>
        <w:lastRenderedPageBreak/>
        <w:t xml:space="preserve">monthly/maintenance cost of the communication medium is the sole responsibility of the Interconnecting Customer. </w:t>
      </w:r>
    </w:p>
    <w:p w14:paraId="174170A8" w14:textId="77777777" w:rsidR="00596D17" w:rsidRDefault="00596D17" w:rsidP="00596D17">
      <w:pPr>
        <w:pBdr>
          <w:top w:val="nil"/>
          <w:left w:val="nil"/>
          <w:bottom w:val="nil"/>
          <w:right w:val="nil"/>
          <w:between w:val="nil"/>
        </w:pBdr>
        <w:ind w:left="720"/>
        <w:rPr>
          <w:color w:val="000000"/>
        </w:rPr>
      </w:pPr>
      <w:r w:rsidRPr="0013238B">
        <w:rPr>
          <w:strike/>
          <w:color w:val="EE0000"/>
        </w:rPr>
        <w:t xml:space="preserve">Other </w:t>
      </w:r>
      <w:proofErr w:type="spellStart"/>
      <w:r w:rsidRPr="0013238B">
        <w:rPr>
          <w:strike/>
          <w:color w:val="EE0000"/>
        </w:rPr>
        <w:t>a</w:t>
      </w:r>
      <w:r>
        <w:rPr>
          <w:color w:val="000000"/>
        </w:rPr>
        <w:t>Application</w:t>
      </w:r>
      <w:proofErr w:type="spellEnd"/>
      <w:r>
        <w:rPr>
          <w:color w:val="000000"/>
        </w:rPr>
        <w:t xml:space="preserve"> cases for </w:t>
      </w:r>
      <w:r w:rsidRPr="00406B09">
        <w:rPr>
          <w:color w:val="EE0000"/>
        </w:rPr>
        <w:t xml:space="preserve">the requirement of DTT </w:t>
      </w:r>
      <w:r>
        <w:rPr>
          <w:color w:val="000000"/>
        </w:rPr>
        <w:t>may include, but are not limited to:</w:t>
      </w:r>
    </w:p>
    <w:p w14:paraId="448B8BF0" w14:textId="77777777" w:rsidR="00596D17" w:rsidRDefault="00596D17" w:rsidP="00596D17">
      <w:pPr>
        <w:numPr>
          <w:ilvl w:val="0"/>
          <w:numId w:val="1"/>
        </w:numPr>
        <w:pBdr>
          <w:top w:val="nil"/>
          <w:left w:val="nil"/>
          <w:bottom w:val="nil"/>
          <w:right w:val="nil"/>
          <w:between w:val="nil"/>
        </w:pBdr>
        <w:spacing w:after="0"/>
      </w:pPr>
      <w:r>
        <w:rPr>
          <w:color w:val="000000"/>
        </w:rPr>
        <w:t>N-1 system contingencies</w:t>
      </w:r>
    </w:p>
    <w:p w14:paraId="388444CA" w14:textId="77777777" w:rsidR="00596D17" w:rsidRDefault="00596D17" w:rsidP="00596D17">
      <w:pPr>
        <w:numPr>
          <w:ilvl w:val="0"/>
          <w:numId w:val="1"/>
        </w:numPr>
        <w:pBdr>
          <w:top w:val="nil"/>
          <w:left w:val="nil"/>
          <w:bottom w:val="nil"/>
          <w:right w:val="nil"/>
          <w:between w:val="nil"/>
        </w:pBdr>
        <w:spacing w:after="0"/>
      </w:pPr>
      <w:r>
        <w:rPr>
          <w:color w:val="000000"/>
        </w:rPr>
        <w:t>Off-schedule system configurations</w:t>
      </w:r>
    </w:p>
    <w:p w14:paraId="454FC19D" w14:textId="77777777" w:rsidR="00596D17" w:rsidRDefault="00596D17" w:rsidP="00596D17">
      <w:pPr>
        <w:numPr>
          <w:ilvl w:val="0"/>
          <w:numId w:val="1"/>
        </w:numPr>
        <w:pBdr>
          <w:top w:val="nil"/>
          <w:left w:val="nil"/>
          <w:bottom w:val="nil"/>
          <w:right w:val="nil"/>
          <w:between w:val="nil"/>
        </w:pBdr>
        <w:spacing w:after="0"/>
      </w:pPr>
      <w:r>
        <w:rPr>
          <w:color w:val="000000"/>
        </w:rPr>
        <w:t>Any condition that may negatively affect system reliability or safety</w:t>
      </w:r>
    </w:p>
    <w:p w14:paraId="1FC381C6" w14:textId="77777777" w:rsidR="00596D17" w:rsidRDefault="00596D17" w:rsidP="00596D17">
      <w:pPr>
        <w:numPr>
          <w:ilvl w:val="0"/>
          <w:numId w:val="1"/>
        </w:numPr>
        <w:pBdr>
          <w:top w:val="nil"/>
          <w:left w:val="nil"/>
          <w:bottom w:val="nil"/>
          <w:right w:val="nil"/>
          <w:between w:val="nil"/>
        </w:pBdr>
        <w:spacing w:after="0"/>
      </w:pPr>
      <w:r>
        <w:rPr>
          <w:color w:val="000000"/>
        </w:rPr>
        <w:t>Mitigation of out-of-step reclosing</w:t>
      </w:r>
    </w:p>
    <w:p w14:paraId="2A564553" w14:textId="77777777" w:rsidR="00596D17" w:rsidRDefault="00596D17" w:rsidP="00596D17">
      <w:pPr>
        <w:numPr>
          <w:ilvl w:val="0"/>
          <w:numId w:val="1"/>
        </w:numPr>
        <w:pBdr>
          <w:top w:val="nil"/>
          <w:left w:val="nil"/>
          <w:bottom w:val="nil"/>
          <w:right w:val="nil"/>
          <w:between w:val="nil"/>
        </w:pBdr>
        <w:spacing w:after="0"/>
      </w:pPr>
      <w:r>
        <w:rPr>
          <w:color w:val="000000"/>
        </w:rPr>
        <w:t>Adverse system conditions that cannot be adequately detected and corrected with protective relaying schemes local to the DER facility</w:t>
      </w:r>
    </w:p>
    <w:p w14:paraId="4AAE4410" w14:textId="77777777" w:rsidR="00596D17" w:rsidRPr="00254918" w:rsidRDefault="00596D17" w:rsidP="00596D17">
      <w:pPr>
        <w:numPr>
          <w:ilvl w:val="0"/>
          <w:numId w:val="1"/>
        </w:numPr>
        <w:pBdr>
          <w:top w:val="nil"/>
          <w:left w:val="nil"/>
          <w:bottom w:val="nil"/>
          <w:right w:val="nil"/>
          <w:between w:val="nil"/>
        </w:pBdr>
      </w:pPr>
      <w:r>
        <w:rPr>
          <w:color w:val="000000"/>
        </w:rPr>
        <w:t>Conditions where the DER is unable to see and trip for faults adequately.</w:t>
      </w:r>
    </w:p>
    <w:p w14:paraId="1A75FB86" w14:textId="77777777" w:rsidR="00596D17" w:rsidRPr="005D0C4A" w:rsidRDefault="00596D17" w:rsidP="00596D17">
      <w:pPr>
        <w:numPr>
          <w:ilvl w:val="0"/>
          <w:numId w:val="1"/>
        </w:numPr>
        <w:pBdr>
          <w:top w:val="nil"/>
          <w:left w:val="nil"/>
          <w:bottom w:val="nil"/>
          <w:right w:val="nil"/>
          <w:between w:val="nil"/>
        </w:pBdr>
        <w:spacing w:after="0"/>
        <w:rPr>
          <w:color w:val="FF0000"/>
        </w:rPr>
      </w:pPr>
      <w:r>
        <w:rPr>
          <w:color w:val="FF0000"/>
        </w:rPr>
        <w:t xml:space="preserve">Situations where </w:t>
      </w:r>
      <w:r w:rsidRPr="005D0C4A">
        <w:rPr>
          <w:color w:val="FF0000"/>
        </w:rPr>
        <w:t>DER cannot be tripped off within 2 seconds following the formation of an island, as this poses a</w:t>
      </w:r>
      <w:r>
        <w:rPr>
          <w:color w:val="FF0000"/>
        </w:rPr>
        <w:t xml:space="preserve"> safety</w:t>
      </w:r>
      <w:r w:rsidRPr="005D0C4A">
        <w:rPr>
          <w:color w:val="FF0000"/>
        </w:rPr>
        <w:t xml:space="preserve"> risk to</w:t>
      </w:r>
      <w:r>
        <w:rPr>
          <w:color w:val="FF0000"/>
        </w:rPr>
        <w:t xml:space="preserve"> C</w:t>
      </w:r>
      <w:r w:rsidRPr="005D0C4A">
        <w:rPr>
          <w:color w:val="FF0000"/>
        </w:rPr>
        <w:t>ustomers and hinders operation of automated sectionalizing and restoration schemes.</w:t>
      </w:r>
    </w:p>
    <w:p w14:paraId="3B3EF1C3" w14:textId="77777777" w:rsidR="00596D17" w:rsidRDefault="00596D17" w:rsidP="00596D17">
      <w:pPr>
        <w:pBdr>
          <w:top w:val="nil"/>
          <w:left w:val="nil"/>
          <w:bottom w:val="nil"/>
          <w:right w:val="nil"/>
          <w:between w:val="nil"/>
        </w:pBdr>
        <w:ind w:left="1080"/>
      </w:pPr>
    </w:p>
    <w:p w14:paraId="78CD9483" w14:textId="77777777" w:rsidR="00596D17" w:rsidRDefault="00596D17" w:rsidP="00596D17">
      <w:pPr>
        <w:pStyle w:val="Heading1"/>
        <w:numPr>
          <w:ilvl w:val="0"/>
          <w:numId w:val="8"/>
        </w:numPr>
      </w:pPr>
      <w:bookmarkStart w:id="11" w:name="_Toc122618265"/>
      <w:r>
        <w:t>DER Capacity – Feeder Limits</w:t>
      </w:r>
      <w:bookmarkEnd w:id="11"/>
    </w:p>
    <w:p w14:paraId="01C75B28" w14:textId="77777777" w:rsidR="00596D17" w:rsidRDefault="00596D17" w:rsidP="00596D17">
      <w:r>
        <w:t xml:space="preserve">In general, the Joint Utilities have no defined limits on DER capacity </w:t>
      </w:r>
      <w:proofErr w:type="gramStart"/>
      <w:r>
        <w:t>on</w:t>
      </w:r>
      <w:proofErr w:type="gramEnd"/>
      <w:r>
        <w:t xml:space="preserve"> individual feeders. Capacity issues will be considered as part of the Impact Study or Supplemental Review.  A study will identify limits based on thermal load flow, voltage rise, reverse flow through equipment, and voltage flicker.</w:t>
      </w:r>
    </w:p>
    <w:p w14:paraId="5800C0DB" w14:textId="77777777" w:rsidR="00596D17" w:rsidRDefault="00596D17" w:rsidP="00596D17">
      <w:r>
        <w:t xml:space="preserve">Larger amounts of generation may be interconnected at the expense of the Interconnecting Customer by reconductoring or replacing equipment on a feeder as necessary to accommodate the increased thermal loading. Larger generation can be interconnected to express feeders if proper cable size is used and </w:t>
      </w:r>
      <w:r w:rsidRPr="00B71AAC">
        <w:rPr>
          <w:color w:val="EE0000"/>
        </w:rPr>
        <w:t xml:space="preserve">a new feeder </w:t>
      </w:r>
      <w:r>
        <w:t xml:space="preserve">breaker </w:t>
      </w:r>
      <w:r w:rsidRPr="00B71AAC">
        <w:rPr>
          <w:color w:val="EE0000"/>
        </w:rPr>
        <w:t>position</w:t>
      </w:r>
      <w:r>
        <w:t xml:space="preserve"> is available.</w:t>
      </w:r>
    </w:p>
    <w:p w14:paraId="2FF37BA9" w14:textId="77777777" w:rsidR="00596D17" w:rsidRPr="005266D7" w:rsidRDefault="00596D17" w:rsidP="00596D17">
      <w:pPr>
        <w:rPr>
          <w:b/>
          <w:bCs/>
          <w:color w:val="FF0000"/>
          <w:u w:val="single"/>
        </w:rPr>
      </w:pPr>
      <w:r w:rsidRPr="005266D7">
        <w:rPr>
          <w:b/>
          <w:bCs/>
          <w:color w:val="FF0000"/>
          <w:u w:val="single"/>
        </w:rPr>
        <w:t>Eversource:</w:t>
      </w:r>
    </w:p>
    <w:p w14:paraId="2ADBD4AB" w14:textId="77777777" w:rsidR="00596D17" w:rsidRPr="005266D7" w:rsidRDefault="00596D17" w:rsidP="00596D17">
      <w:pPr>
        <w:rPr>
          <w:color w:val="FF0000"/>
        </w:rPr>
      </w:pPr>
      <w:r w:rsidRPr="005266D7">
        <w:rPr>
          <w:color w:val="FF0000"/>
        </w:rPr>
        <w:t>In all studied cases, the addition of the DER shall not cause any thermal criteria violations on feeders under normal (N-0) and contingency (N-1) operations</w:t>
      </w:r>
      <w:r>
        <w:rPr>
          <w:color w:val="FF0000"/>
        </w:rPr>
        <w:t xml:space="preserve"> where applicable</w:t>
      </w:r>
      <w:r w:rsidRPr="005266D7">
        <w:rPr>
          <w:color w:val="FF0000"/>
        </w:rPr>
        <w:t xml:space="preserve">. The following limitations should be considered for forward and reverse loadings. Please note that forward loading limitation is only applicable to ESS applications. </w:t>
      </w:r>
    </w:p>
    <w:p w14:paraId="4E7A6888" w14:textId="77777777" w:rsidR="00596D17" w:rsidRPr="005266D7" w:rsidRDefault="00596D17" w:rsidP="00596D17">
      <w:pPr>
        <w:tabs>
          <w:tab w:val="left" w:pos="1440"/>
        </w:tabs>
        <w:spacing w:after="0"/>
        <w:ind w:right="-20"/>
        <w:rPr>
          <w:rFonts w:eastAsia="Times New Roman"/>
          <w:color w:val="FF0000"/>
        </w:rPr>
      </w:pPr>
      <w:r w:rsidRPr="005266D7">
        <w:rPr>
          <w:rFonts w:eastAsia="Times New Roman"/>
          <w:b/>
          <w:bCs/>
          <w:color w:val="FF0000"/>
        </w:rPr>
        <w:t>Loading Limits of Distribution</w:t>
      </w:r>
      <w:r w:rsidRPr="005266D7">
        <w:rPr>
          <w:rFonts w:eastAsia="Times New Roman"/>
          <w:color w:val="FF0000"/>
        </w:rPr>
        <w:t xml:space="preserve"> </w:t>
      </w:r>
      <w:r w:rsidRPr="005266D7">
        <w:rPr>
          <w:rFonts w:eastAsia="Times New Roman"/>
          <w:b/>
          <w:bCs/>
          <w:color w:val="FF0000"/>
        </w:rPr>
        <w:t>Feeder</w:t>
      </w:r>
      <w:r w:rsidRPr="005266D7">
        <w:rPr>
          <w:rFonts w:eastAsia="Times New Roman"/>
          <w:color w:val="FF0000"/>
        </w:rPr>
        <w:t>:</w:t>
      </w:r>
    </w:p>
    <w:p w14:paraId="4908FD07" w14:textId="77777777" w:rsidR="00596D17" w:rsidRPr="00897C57" w:rsidRDefault="00596D17" w:rsidP="00596D17">
      <w:pPr>
        <w:jc w:val="both"/>
        <w:rPr>
          <w:rFonts w:eastAsia="Times New Roman"/>
          <w:color w:val="FF0000"/>
        </w:rPr>
      </w:pPr>
      <w:r w:rsidRPr="00897C57">
        <w:rPr>
          <w:rFonts w:eastAsia="Times New Roman"/>
          <w:color w:val="FF0000"/>
        </w:rPr>
        <w:t xml:space="preserve">DER facility shall not cause a distribution feeder Forward and Reverse Loading to exceed any thermal limits per the Company’s Distribution Planning criteria. </w:t>
      </w:r>
    </w:p>
    <w:p w14:paraId="78DFC44A" w14:textId="77777777" w:rsidR="00596D17" w:rsidRPr="005266D7" w:rsidRDefault="00596D17" w:rsidP="00596D17">
      <w:pPr>
        <w:tabs>
          <w:tab w:val="left" w:pos="1440"/>
        </w:tabs>
        <w:spacing w:after="0"/>
        <w:ind w:right="-20"/>
        <w:rPr>
          <w:rFonts w:eastAsia="Times New Roman"/>
          <w:b/>
          <w:bCs/>
          <w:color w:val="FF0000"/>
        </w:rPr>
      </w:pPr>
      <w:r w:rsidRPr="005266D7">
        <w:rPr>
          <w:rFonts w:eastAsia="Times New Roman"/>
          <w:b/>
          <w:bCs/>
          <w:color w:val="FF0000"/>
        </w:rPr>
        <w:t>Voltage Criteria of Distribution Feeder:</w:t>
      </w:r>
    </w:p>
    <w:p w14:paraId="3B7A476A" w14:textId="77777777" w:rsidR="00596D17" w:rsidRDefault="00596D17" w:rsidP="00596D17">
      <w:pPr>
        <w:rPr>
          <w:color w:val="FF0000"/>
        </w:rPr>
      </w:pPr>
      <w:r w:rsidRPr="005266D7">
        <w:rPr>
          <w:color w:val="FF0000"/>
        </w:rPr>
        <w:t xml:space="preserve">For all </w:t>
      </w:r>
      <w:proofErr w:type="gramStart"/>
      <w:r w:rsidRPr="005266D7">
        <w:rPr>
          <w:color w:val="FF0000"/>
        </w:rPr>
        <w:t>studied cases</w:t>
      </w:r>
      <w:proofErr w:type="gramEnd"/>
      <w:r w:rsidRPr="005266D7">
        <w:rPr>
          <w:color w:val="FF0000"/>
        </w:rPr>
        <w:t>, the addition of the DER shall not cause the voltage at any point along the EPS to deviate from +</w:t>
      </w:r>
      <w:r>
        <w:rPr>
          <w:color w:val="FF0000"/>
        </w:rPr>
        <w:t>/-</w:t>
      </w:r>
      <w:r w:rsidRPr="005266D7">
        <w:rPr>
          <w:color w:val="FF0000"/>
        </w:rPr>
        <w:t xml:space="preserve">5% of nominal value in accordance with ANSI Standard. </w:t>
      </w:r>
    </w:p>
    <w:p w14:paraId="5D128326" w14:textId="77777777" w:rsidR="00596D17" w:rsidRPr="004F31E7" w:rsidRDefault="00596D17" w:rsidP="00596D17">
      <w:r w:rsidRPr="004F31E7">
        <w:rPr>
          <w:b/>
          <w:bCs/>
          <w:u w:val="single"/>
        </w:rPr>
        <w:lastRenderedPageBreak/>
        <w:t>National Grid</w:t>
      </w:r>
      <w:r w:rsidRPr="004F31E7">
        <w:t>:</w:t>
      </w:r>
    </w:p>
    <w:p w14:paraId="2A3E3A3F" w14:textId="77777777" w:rsidR="00596D17" w:rsidRPr="004F31E7" w:rsidRDefault="00596D17" w:rsidP="00596D17">
      <w:r w:rsidRPr="004F31E7">
        <w:t>DER applications will be studied to National Grid’s Distribution Planning Criteria.</w:t>
      </w:r>
    </w:p>
    <w:p w14:paraId="304D5CE0" w14:textId="77777777" w:rsidR="00596D17" w:rsidRDefault="00596D17" w:rsidP="00596D17">
      <w:pPr>
        <w:pStyle w:val="Heading2"/>
        <w:numPr>
          <w:ilvl w:val="1"/>
          <w:numId w:val="8"/>
        </w:numPr>
        <w:ind w:left="1440"/>
      </w:pPr>
      <w:bookmarkStart w:id="12" w:name="_Toc122618266"/>
      <w:r>
        <w:t>Minimum Feeder Load</w:t>
      </w:r>
      <w:bookmarkEnd w:id="12"/>
    </w:p>
    <w:p w14:paraId="22F0DCFC" w14:textId="77777777" w:rsidR="00596D17" w:rsidRDefault="00596D17" w:rsidP="00596D17">
      <w:pPr>
        <w:pBdr>
          <w:top w:val="nil"/>
          <w:left w:val="nil"/>
          <w:bottom w:val="nil"/>
          <w:right w:val="nil"/>
          <w:between w:val="nil"/>
        </w:pBdr>
        <w:ind w:left="720"/>
        <w:rPr>
          <w:color w:val="000000"/>
        </w:rPr>
      </w:pPr>
      <w:r>
        <w:rPr>
          <w:color w:val="000000"/>
        </w:rPr>
        <w:t xml:space="preserve">Measurement and data acquisition of the minimum </w:t>
      </w:r>
      <w:r w:rsidRPr="00796606">
        <w:rPr>
          <w:color w:val="EE0000"/>
        </w:rPr>
        <w:t xml:space="preserve">day-time </w:t>
      </w:r>
      <w:r>
        <w:rPr>
          <w:color w:val="000000"/>
        </w:rPr>
        <w:t xml:space="preserve">load on individual feeders &amp; </w:t>
      </w:r>
      <w:r w:rsidRPr="00796606">
        <w:rPr>
          <w:color w:val="EE0000"/>
        </w:rPr>
        <w:t>Substations</w:t>
      </w:r>
      <w:r>
        <w:rPr>
          <w:color w:val="000000"/>
        </w:rPr>
        <w:t xml:space="preserve"> can vary from utility to utility and feeder to feeder. When measurement data is not available, the minimum feeder</w:t>
      </w:r>
      <w:r w:rsidRPr="00092B9D">
        <w:rPr>
          <w:color w:val="EE0000"/>
        </w:rPr>
        <w:t xml:space="preserve">/Substation </w:t>
      </w:r>
      <w:r>
        <w:rPr>
          <w:color w:val="000000"/>
        </w:rPr>
        <w:t xml:space="preserve">load is defined </w:t>
      </w:r>
      <w:r w:rsidRPr="00965999">
        <w:rPr>
          <w:color w:val="EE0000"/>
        </w:rPr>
        <w:t>as a percentage</w:t>
      </w:r>
      <w:r>
        <w:rPr>
          <w:color w:val="000000"/>
        </w:rPr>
        <w:t xml:space="preserve"> </w:t>
      </w:r>
      <w:r w:rsidRPr="00965999">
        <w:rPr>
          <w:strike/>
          <w:color w:val="EE0000"/>
        </w:rPr>
        <w:t>of the 25%</w:t>
      </w:r>
      <w:r w:rsidRPr="00965999">
        <w:rPr>
          <w:color w:val="EE0000"/>
        </w:rPr>
        <w:t xml:space="preserve"> </w:t>
      </w:r>
      <w:r>
        <w:rPr>
          <w:color w:val="000000"/>
        </w:rPr>
        <w:t xml:space="preserve">of the maximum peak load over the previous 12-month period. </w:t>
      </w:r>
    </w:p>
    <w:p w14:paraId="0D5A80B3" w14:textId="77777777" w:rsidR="00596D17" w:rsidRPr="00897C57" w:rsidRDefault="00596D17" w:rsidP="00596D17">
      <w:pPr>
        <w:pBdr>
          <w:top w:val="nil"/>
          <w:left w:val="nil"/>
          <w:bottom w:val="nil"/>
          <w:right w:val="nil"/>
          <w:between w:val="nil"/>
        </w:pBdr>
        <w:ind w:left="720"/>
        <w:rPr>
          <w:b/>
          <w:bCs/>
          <w:color w:val="FF0000"/>
          <w:u w:val="single"/>
        </w:rPr>
      </w:pPr>
      <w:r w:rsidRPr="005A408E">
        <w:rPr>
          <w:b/>
          <w:bCs/>
          <w:color w:val="FF0000"/>
        </w:rPr>
        <w:t>Eversource: Minimum day-time feeder/substation load is defined as 31% of the maximum peak load and minimum night-time load is defined as 18% of the maximum peak load</w:t>
      </w:r>
      <w:r w:rsidRPr="00897C57">
        <w:rPr>
          <w:b/>
          <w:bCs/>
          <w:color w:val="FF0000"/>
          <w:u w:val="single"/>
        </w:rPr>
        <w:t>.</w:t>
      </w:r>
    </w:p>
    <w:p w14:paraId="6407FBA3" w14:textId="77777777" w:rsidR="00596D17" w:rsidRPr="004F31E7" w:rsidRDefault="00596D17" w:rsidP="00596D17">
      <w:pPr>
        <w:pBdr>
          <w:top w:val="nil"/>
          <w:left w:val="nil"/>
          <w:bottom w:val="nil"/>
          <w:right w:val="nil"/>
          <w:between w:val="nil"/>
        </w:pBdr>
        <w:ind w:left="720"/>
      </w:pPr>
      <w:r w:rsidRPr="004F31E7">
        <w:rPr>
          <w:b/>
          <w:bCs/>
          <w:u w:val="single"/>
        </w:rPr>
        <w:t>National Grid:</w:t>
      </w:r>
      <w:r w:rsidRPr="004F31E7">
        <w:t xml:space="preserve"> Where real-time measurement data is not available, minimum daytime load is defined as 25% of peak load.  Otherwise, real time data will be used to un-mask the minimum load.</w:t>
      </w:r>
    </w:p>
    <w:p w14:paraId="214D874A" w14:textId="77777777" w:rsidR="00596D17" w:rsidRDefault="00596D17" w:rsidP="00596D17">
      <w:pPr>
        <w:pStyle w:val="Heading1"/>
        <w:numPr>
          <w:ilvl w:val="0"/>
          <w:numId w:val="8"/>
        </w:numPr>
      </w:pPr>
      <w:bookmarkStart w:id="13" w:name="_Toc122618267"/>
      <w:r>
        <w:t>Remote Monitoring and Control</w:t>
      </w:r>
      <w:bookmarkEnd w:id="13"/>
    </w:p>
    <w:p w14:paraId="364BEB04" w14:textId="77777777" w:rsidR="00596D17" w:rsidRDefault="00596D17" w:rsidP="00596D17">
      <w:pPr>
        <w:rPr>
          <w:color w:val="000000"/>
        </w:rPr>
      </w:pPr>
      <w:r>
        <w:rPr>
          <w:color w:val="000000"/>
        </w:rPr>
        <w:t xml:space="preserve">Each utility requires remote </w:t>
      </w:r>
      <w:proofErr w:type="gramStart"/>
      <w:r>
        <w:rPr>
          <w:color w:val="000000"/>
        </w:rPr>
        <w:t>monitoring</w:t>
      </w:r>
      <w:proofErr w:type="gramEnd"/>
      <w:r>
        <w:rPr>
          <w:color w:val="000000"/>
        </w:rPr>
        <w:t xml:space="preserve"> and control means for facilities of a certain threshold size. This Remote Monitoring and Control (RMAC) is typically in the form of a Remote Terminal Unit (RTU) or direct communication to a measurement device, which provides status of the monitored quantities at the site and control of an interrupting device (such as a circuit breaker or recloser). Where the joint utilities require a utility-owned PCC recloser, these requirements may be met with that device for IPP facilities. Some facilities consisting of both load and generation at the same site may be required to have a remote monitoring and control device (such as an RTU or similar equipment) in addition to the recloser so that both the load and generation can be monitored and controlled separately.</w:t>
      </w:r>
    </w:p>
    <w:p w14:paraId="1983B6B9" w14:textId="77777777" w:rsidR="00596D17" w:rsidRDefault="00596D17" w:rsidP="00596D17">
      <w:pPr>
        <w:pStyle w:val="Heading2"/>
        <w:numPr>
          <w:ilvl w:val="1"/>
          <w:numId w:val="8"/>
        </w:numPr>
        <w:ind w:left="1440"/>
      </w:pPr>
      <w:bookmarkStart w:id="14" w:name="_Toc122618268"/>
      <w:r>
        <w:t>Remote Monitoring and Control Threshold Requirements</w:t>
      </w:r>
      <w:bookmarkEnd w:id="14"/>
    </w:p>
    <w:p w14:paraId="6D058882" w14:textId="77777777" w:rsidR="00596D17" w:rsidRDefault="00596D17" w:rsidP="00596D17">
      <w:pPr>
        <w:pBdr>
          <w:top w:val="nil"/>
          <w:left w:val="nil"/>
          <w:bottom w:val="nil"/>
          <w:right w:val="nil"/>
          <w:between w:val="nil"/>
        </w:pBdr>
        <w:ind w:left="720"/>
        <w:rPr>
          <w:color w:val="000000"/>
        </w:rPr>
      </w:pPr>
      <w:r>
        <w:rPr>
          <w:color w:val="000000"/>
        </w:rPr>
        <w:t xml:space="preserve">The Joint Utilities may require the installation of dedicated RMAC equipment. The necessity for RMAC is based on Facility size and voltage class of the Area EPS. If the size of the Facility exceeds the thresholds for each utility, RMAC equipment is required. Each utility reserves the right to </w:t>
      </w:r>
      <w:proofErr w:type="gramStart"/>
      <w:r>
        <w:rPr>
          <w:color w:val="000000"/>
        </w:rPr>
        <w:t>require</w:t>
      </w:r>
      <w:proofErr w:type="gramEnd"/>
      <w:r>
        <w:rPr>
          <w:color w:val="000000"/>
        </w:rPr>
        <w:t xml:space="preserve"> the monitoring listed below depending on the site size and conditions.</w:t>
      </w:r>
    </w:p>
    <w:p w14:paraId="0852D100" w14:textId="77777777" w:rsidR="00596D17" w:rsidRDefault="00596D17" w:rsidP="00596D17">
      <w:pPr>
        <w:pBdr>
          <w:top w:val="nil"/>
          <w:left w:val="nil"/>
          <w:bottom w:val="nil"/>
          <w:right w:val="nil"/>
          <w:between w:val="nil"/>
        </w:pBdr>
        <w:ind w:left="720"/>
        <w:rPr>
          <w:color w:val="000000"/>
          <w:u w:val="single"/>
        </w:rPr>
      </w:pPr>
      <w:r w:rsidRPr="0079687C">
        <w:rPr>
          <w:color w:val="000000"/>
        </w:rPr>
        <w:t>Eversource</w:t>
      </w:r>
      <w:r>
        <w:rPr>
          <w:b/>
          <w:color w:val="000000"/>
          <w:u w:val="single"/>
        </w:rPr>
        <w:t>:</w:t>
      </w:r>
    </w:p>
    <w:p w14:paraId="6C28A485" w14:textId="77777777" w:rsidR="00596D17" w:rsidRDefault="00596D17" w:rsidP="00596D17">
      <w:pPr>
        <w:pBdr>
          <w:top w:val="nil"/>
          <w:left w:val="nil"/>
          <w:bottom w:val="nil"/>
          <w:right w:val="nil"/>
          <w:between w:val="nil"/>
        </w:pBdr>
        <w:ind w:left="720"/>
        <w:rPr>
          <w:color w:val="000000"/>
        </w:rPr>
      </w:pPr>
      <w:r>
        <w:rPr>
          <w:color w:val="000000"/>
        </w:rPr>
        <w:t xml:space="preserve">A recloser </w:t>
      </w:r>
      <w:r w:rsidRPr="00B50E6B">
        <w:rPr>
          <w:color w:val="EE0000"/>
        </w:rPr>
        <w:t xml:space="preserve">&amp; </w:t>
      </w:r>
      <w:r>
        <w:rPr>
          <w:color w:val="EE0000"/>
        </w:rPr>
        <w:t>a DER Gateway</w:t>
      </w:r>
      <w:r w:rsidRPr="00B50E6B">
        <w:rPr>
          <w:color w:val="EE0000"/>
        </w:rPr>
        <w:t xml:space="preserve"> </w:t>
      </w:r>
      <w:r>
        <w:rPr>
          <w:color w:val="000000"/>
        </w:rPr>
        <w:t xml:space="preserve">may be required for all sites </w:t>
      </w:r>
      <w:r>
        <w:rPr>
          <w:color w:val="000000"/>
          <w:u w:val="single"/>
        </w:rPr>
        <w:t>&gt;</w:t>
      </w:r>
      <w:r>
        <w:rPr>
          <w:color w:val="000000"/>
        </w:rPr>
        <w:t>500kW sites.</w:t>
      </w:r>
    </w:p>
    <w:p w14:paraId="6E3C7302" w14:textId="77777777" w:rsidR="00596D17" w:rsidRPr="00897C57" w:rsidRDefault="00596D17" w:rsidP="00596D17">
      <w:pPr>
        <w:pBdr>
          <w:top w:val="nil"/>
          <w:left w:val="nil"/>
          <w:bottom w:val="nil"/>
          <w:right w:val="nil"/>
          <w:between w:val="nil"/>
        </w:pBdr>
        <w:ind w:left="720"/>
        <w:rPr>
          <w:b/>
          <w:bCs/>
          <w:color w:val="000000"/>
          <w:u w:val="single"/>
        </w:rPr>
      </w:pPr>
      <w:r w:rsidRPr="00897C57">
        <w:rPr>
          <w:b/>
          <w:bCs/>
          <w:color w:val="000000"/>
          <w:u w:val="single"/>
        </w:rPr>
        <w:t>National Grid:</w:t>
      </w:r>
    </w:p>
    <w:p w14:paraId="2014F4C3" w14:textId="77777777" w:rsidR="00596D17" w:rsidRDefault="00596D17" w:rsidP="00596D17">
      <w:pPr>
        <w:pBdr>
          <w:top w:val="nil"/>
          <w:left w:val="nil"/>
          <w:bottom w:val="nil"/>
          <w:right w:val="nil"/>
          <w:between w:val="nil"/>
        </w:pBdr>
        <w:ind w:left="720"/>
        <w:rPr>
          <w:color w:val="000000"/>
        </w:rPr>
      </w:pPr>
      <w:bookmarkStart w:id="15" w:name="_44sinio" w:colFirst="0" w:colLast="0"/>
      <w:bookmarkEnd w:id="15"/>
      <w:r>
        <w:rPr>
          <w:color w:val="000000"/>
        </w:rPr>
        <w:t xml:space="preserve">National Grid reserves the right to require RMAC equipment for any facility 250kW and larger depending on the individual project conditions. For IPP systems, National Grid </w:t>
      </w:r>
      <w:r>
        <w:rPr>
          <w:color w:val="000000"/>
          <w:u w:val="single"/>
        </w:rPr>
        <w:t>generally</w:t>
      </w:r>
      <w:r>
        <w:rPr>
          <w:color w:val="000000"/>
        </w:rPr>
        <w:t xml:space="preserve"> does </w:t>
      </w:r>
      <w:r>
        <w:rPr>
          <w:color w:val="000000"/>
        </w:rPr>
        <w:lastRenderedPageBreak/>
        <w:t>not require an RTU, regardless of size or voltage class. Where required, National Grid will remotely monitor and control IPP-based generation using the National Grid-owned PCC recloser. For non-IPP customers, National Grid will require an RTU according to Table 1, in addition to any utility-owned recloser requirement.</w:t>
      </w:r>
    </w:p>
    <w:p w14:paraId="5EFE9901" w14:textId="77777777" w:rsidR="00596D17" w:rsidRDefault="00596D17" w:rsidP="00596D17">
      <w:pPr>
        <w:keepNext/>
        <w:pBdr>
          <w:top w:val="nil"/>
          <w:left w:val="nil"/>
          <w:bottom w:val="nil"/>
          <w:right w:val="nil"/>
          <w:between w:val="nil"/>
        </w:pBdr>
        <w:spacing w:before="200" w:after="60" w:line="240" w:lineRule="auto"/>
        <w:jc w:val="center"/>
        <w:rPr>
          <w:b/>
          <w:color w:val="000000"/>
          <w:sz w:val="20"/>
          <w:szCs w:val="20"/>
        </w:rPr>
      </w:pPr>
      <w:r>
        <w:rPr>
          <w:b/>
          <w:color w:val="000000"/>
          <w:sz w:val="20"/>
          <w:szCs w:val="20"/>
        </w:rPr>
        <w:t>Table 1: RMAC (RTU) Requirement Thresholds for (non-IPP) Customers for National Grid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3282"/>
        <w:gridCol w:w="2844"/>
      </w:tblGrid>
      <w:tr w:rsidR="00596D17" w:rsidRPr="005A3CCC" w14:paraId="65BA4EA1" w14:textId="77777777" w:rsidTr="000976B3">
        <w:trPr>
          <w:jc w:val="center"/>
        </w:trPr>
        <w:tc>
          <w:tcPr>
            <w:tcW w:w="3224" w:type="dxa"/>
            <w:shd w:val="clear" w:color="auto" w:fill="D9D9D9" w:themeFill="background1" w:themeFillShade="D9"/>
            <w:hideMark/>
          </w:tcPr>
          <w:p w14:paraId="6840B618" w14:textId="77777777" w:rsidR="00596D17" w:rsidRPr="005A3CCC" w:rsidRDefault="00596D17" w:rsidP="000976B3">
            <w:pPr>
              <w:jc w:val="center"/>
              <w:rPr>
                <w:b/>
              </w:rPr>
            </w:pPr>
            <w:r w:rsidRPr="005A3CCC">
              <w:rPr>
                <w:b/>
              </w:rPr>
              <w:t>Delivery Voltage Class</w:t>
            </w:r>
          </w:p>
        </w:tc>
        <w:tc>
          <w:tcPr>
            <w:tcW w:w="3282" w:type="dxa"/>
            <w:shd w:val="clear" w:color="auto" w:fill="D9D9D9" w:themeFill="background1" w:themeFillShade="D9"/>
            <w:hideMark/>
          </w:tcPr>
          <w:p w14:paraId="1596A4CB" w14:textId="77777777" w:rsidR="00596D17" w:rsidRPr="005A3CCC" w:rsidRDefault="00596D17" w:rsidP="000976B3">
            <w:pPr>
              <w:jc w:val="center"/>
              <w:rPr>
                <w:b/>
              </w:rPr>
            </w:pPr>
            <w:r w:rsidRPr="005A3CCC">
              <w:rPr>
                <w:b/>
              </w:rPr>
              <w:t>Non IPP Generating Capacity</w:t>
            </w:r>
          </w:p>
        </w:tc>
        <w:tc>
          <w:tcPr>
            <w:tcW w:w="2844" w:type="dxa"/>
            <w:shd w:val="clear" w:color="auto" w:fill="D9D9D9" w:themeFill="background1" w:themeFillShade="D9"/>
          </w:tcPr>
          <w:p w14:paraId="4F3CACB4" w14:textId="77777777" w:rsidR="00596D17" w:rsidRDefault="00596D17" w:rsidP="000976B3">
            <w:pPr>
              <w:jc w:val="center"/>
              <w:rPr>
                <w:b/>
              </w:rPr>
            </w:pPr>
            <w:r>
              <w:rPr>
                <w:b/>
              </w:rPr>
              <w:t>Non IPP ESS Capacity</w:t>
            </w:r>
          </w:p>
        </w:tc>
      </w:tr>
      <w:tr w:rsidR="00596D17" w:rsidRPr="005A3CCC" w14:paraId="7B28FFE9" w14:textId="77777777" w:rsidTr="000976B3">
        <w:trPr>
          <w:jc w:val="center"/>
        </w:trPr>
        <w:tc>
          <w:tcPr>
            <w:tcW w:w="3224" w:type="dxa"/>
            <w:hideMark/>
          </w:tcPr>
          <w:p w14:paraId="37675D24" w14:textId="77777777" w:rsidR="00596D17" w:rsidRPr="005A3CCC" w:rsidRDefault="00596D17" w:rsidP="000976B3">
            <w:pPr>
              <w:ind w:left="360"/>
            </w:pPr>
            <w:r w:rsidRPr="005A3CCC">
              <w:rPr>
                <w:rFonts w:cs="Arial"/>
              </w:rPr>
              <w:t>5</w:t>
            </w:r>
            <w:r>
              <w:rPr>
                <w:rFonts w:cs="Arial"/>
              </w:rPr>
              <w:t xml:space="preserve"> </w:t>
            </w:r>
            <w:r w:rsidRPr="005A3CCC">
              <w:rPr>
                <w:rFonts w:cs="Arial"/>
              </w:rPr>
              <w:t>kV or below</w:t>
            </w:r>
          </w:p>
        </w:tc>
        <w:tc>
          <w:tcPr>
            <w:tcW w:w="3282" w:type="dxa"/>
            <w:hideMark/>
          </w:tcPr>
          <w:p w14:paraId="136D0213" w14:textId="77777777" w:rsidR="00596D17" w:rsidRPr="0046689F" w:rsidRDefault="00596D17" w:rsidP="000976B3">
            <w:pPr>
              <w:ind w:left="360"/>
            </w:pPr>
            <w:r w:rsidRPr="0046689F">
              <w:rPr>
                <w:rFonts w:cs="Arial"/>
              </w:rPr>
              <w:t>150 kW or greater</w:t>
            </w:r>
          </w:p>
        </w:tc>
        <w:tc>
          <w:tcPr>
            <w:tcW w:w="2844" w:type="dxa"/>
          </w:tcPr>
          <w:p w14:paraId="57F55E21" w14:textId="77777777" w:rsidR="00596D17" w:rsidRPr="0046689F" w:rsidRDefault="00596D17" w:rsidP="000976B3">
            <w:pPr>
              <w:ind w:left="360"/>
              <w:rPr>
                <w:rFonts w:cs="Arial"/>
              </w:rPr>
            </w:pPr>
            <w:r w:rsidRPr="0046689F">
              <w:rPr>
                <w:rFonts w:cs="Arial"/>
              </w:rPr>
              <w:t>75 kW or greater</w:t>
            </w:r>
          </w:p>
        </w:tc>
      </w:tr>
      <w:tr w:rsidR="00596D17" w:rsidRPr="005A3CCC" w14:paraId="653BE5CC" w14:textId="77777777" w:rsidTr="000976B3">
        <w:trPr>
          <w:jc w:val="center"/>
        </w:trPr>
        <w:tc>
          <w:tcPr>
            <w:tcW w:w="3224" w:type="dxa"/>
            <w:hideMark/>
          </w:tcPr>
          <w:p w14:paraId="6EEE8B5F" w14:textId="77777777" w:rsidR="00596D17" w:rsidRPr="005A3CCC" w:rsidRDefault="00596D17" w:rsidP="000976B3">
            <w:pPr>
              <w:ind w:left="360"/>
              <w:rPr>
                <w:rFonts w:cs="Arial"/>
              </w:rPr>
            </w:pPr>
            <w:r>
              <w:rPr>
                <w:rFonts w:cs="Arial"/>
              </w:rPr>
              <w:t>G</w:t>
            </w:r>
            <w:r w:rsidRPr="005A3CCC">
              <w:rPr>
                <w:rFonts w:cs="Arial"/>
              </w:rPr>
              <w:t>reater than 5</w:t>
            </w:r>
            <w:r>
              <w:rPr>
                <w:rFonts w:cs="Arial"/>
              </w:rPr>
              <w:t xml:space="preserve"> </w:t>
            </w:r>
            <w:r w:rsidRPr="005A3CCC">
              <w:rPr>
                <w:rFonts w:cs="Arial"/>
              </w:rPr>
              <w:t>kV but less than 15</w:t>
            </w:r>
            <w:r>
              <w:rPr>
                <w:rFonts w:cs="Arial"/>
              </w:rPr>
              <w:t xml:space="preserve"> </w:t>
            </w:r>
            <w:r w:rsidRPr="005A3CCC">
              <w:rPr>
                <w:rFonts w:cs="Arial"/>
              </w:rPr>
              <w:t>kV</w:t>
            </w:r>
          </w:p>
        </w:tc>
        <w:tc>
          <w:tcPr>
            <w:tcW w:w="3282" w:type="dxa"/>
            <w:hideMark/>
          </w:tcPr>
          <w:p w14:paraId="5065B3EC" w14:textId="77777777" w:rsidR="00596D17" w:rsidRPr="0046689F" w:rsidRDefault="00596D17" w:rsidP="000976B3">
            <w:pPr>
              <w:ind w:left="360"/>
              <w:rPr>
                <w:rFonts w:cs="Arial"/>
              </w:rPr>
            </w:pPr>
            <w:r w:rsidRPr="0046689F">
              <w:rPr>
                <w:rFonts w:cs="Arial"/>
              </w:rPr>
              <w:t>500 kW or greater</w:t>
            </w:r>
          </w:p>
        </w:tc>
        <w:tc>
          <w:tcPr>
            <w:tcW w:w="2844" w:type="dxa"/>
          </w:tcPr>
          <w:p w14:paraId="68B43AAD" w14:textId="77777777" w:rsidR="00596D17" w:rsidRPr="0046689F" w:rsidRDefault="00596D17" w:rsidP="000976B3">
            <w:pPr>
              <w:ind w:left="360"/>
              <w:rPr>
                <w:rFonts w:cs="Arial"/>
              </w:rPr>
            </w:pPr>
            <w:r w:rsidRPr="0046689F">
              <w:rPr>
                <w:rFonts w:cs="Arial"/>
              </w:rPr>
              <w:t>250 kW or greater</w:t>
            </w:r>
          </w:p>
        </w:tc>
      </w:tr>
      <w:tr w:rsidR="00596D17" w:rsidRPr="005A3CCC" w14:paraId="50524009" w14:textId="77777777" w:rsidTr="000976B3">
        <w:trPr>
          <w:jc w:val="center"/>
        </w:trPr>
        <w:tc>
          <w:tcPr>
            <w:tcW w:w="3224" w:type="dxa"/>
            <w:hideMark/>
          </w:tcPr>
          <w:p w14:paraId="45EBB2FA" w14:textId="77777777" w:rsidR="00596D17" w:rsidRPr="005A3CCC" w:rsidRDefault="00596D17" w:rsidP="000976B3">
            <w:pPr>
              <w:ind w:left="360"/>
              <w:rPr>
                <w:rFonts w:cs="Arial"/>
              </w:rPr>
            </w:pPr>
            <w:r>
              <w:rPr>
                <w:rFonts w:cs="Arial"/>
              </w:rPr>
              <w:t xml:space="preserve">Greater than </w:t>
            </w:r>
            <w:r w:rsidRPr="005A3CCC">
              <w:rPr>
                <w:rFonts w:cs="Arial"/>
              </w:rPr>
              <w:t>15</w:t>
            </w:r>
            <w:r>
              <w:rPr>
                <w:rFonts w:cs="Arial"/>
              </w:rPr>
              <w:t xml:space="preserve"> </w:t>
            </w:r>
            <w:r w:rsidRPr="005A3CCC">
              <w:rPr>
                <w:rFonts w:cs="Arial"/>
              </w:rPr>
              <w:t>kV</w:t>
            </w:r>
          </w:p>
        </w:tc>
        <w:tc>
          <w:tcPr>
            <w:tcW w:w="3282" w:type="dxa"/>
            <w:hideMark/>
          </w:tcPr>
          <w:p w14:paraId="7E3E01ED" w14:textId="77777777" w:rsidR="00596D17" w:rsidRPr="0046689F" w:rsidRDefault="00596D17" w:rsidP="000976B3">
            <w:pPr>
              <w:ind w:left="360"/>
              <w:rPr>
                <w:rFonts w:cs="Arial"/>
              </w:rPr>
            </w:pPr>
            <w:r w:rsidRPr="0046689F">
              <w:rPr>
                <w:rFonts w:cs="Arial"/>
              </w:rPr>
              <w:t>1.0 MW or greater</w:t>
            </w:r>
          </w:p>
        </w:tc>
        <w:tc>
          <w:tcPr>
            <w:tcW w:w="2844" w:type="dxa"/>
          </w:tcPr>
          <w:p w14:paraId="2BDCCA86" w14:textId="77777777" w:rsidR="00596D17" w:rsidRPr="0046689F" w:rsidRDefault="00596D17" w:rsidP="000976B3">
            <w:pPr>
              <w:ind w:left="360"/>
              <w:rPr>
                <w:rFonts w:cs="Arial"/>
              </w:rPr>
            </w:pPr>
            <w:r w:rsidRPr="0046689F">
              <w:rPr>
                <w:rFonts w:cs="Arial"/>
              </w:rPr>
              <w:t>500 kW or greater</w:t>
            </w:r>
          </w:p>
        </w:tc>
      </w:tr>
    </w:tbl>
    <w:p w14:paraId="7E6F6C70" w14:textId="77777777" w:rsidR="00596D17" w:rsidRDefault="00596D17" w:rsidP="00596D17">
      <w:pPr>
        <w:pBdr>
          <w:top w:val="nil"/>
          <w:left w:val="nil"/>
          <w:bottom w:val="nil"/>
          <w:right w:val="nil"/>
          <w:between w:val="nil"/>
        </w:pBdr>
        <w:ind w:left="720" w:hanging="720"/>
        <w:rPr>
          <w:color w:val="000000"/>
          <w:u w:val="single"/>
        </w:rPr>
      </w:pPr>
    </w:p>
    <w:p w14:paraId="139FF65B" w14:textId="77777777" w:rsidR="00596D17" w:rsidRDefault="00596D17" w:rsidP="00596D17">
      <w:pPr>
        <w:pBdr>
          <w:top w:val="nil"/>
          <w:left w:val="nil"/>
          <w:bottom w:val="nil"/>
          <w:right w:val="nil"/>
          <w:between w:val="nil"/>
        </w:pBdr>
        <w:ind w:left="720"/>
        <w:rPr>
          <w:color w:val="000000"/>
          <w:u w:val="single"/>
        </w:rPr>
      </w:pPr>
      <w:proofErr w:type="spellStart"/>
      <w:r w:rsidRPr="0079687C">
        <w:rPr>
          <w:color w:val="000000"/>
        </w:rPr>
        <w:t>Unitil</w:t>
      </w:r>
      <w:proofErr w:type="spellEnd"/>
      <w:r>
        <w:rPr>
          <w:b/>
          <w:color w:val="000000"/>
          <w:u w:val="single"/>
        </w:rPr>
        <w:t>:</w:t>
      </w:r>
    </w:p>
    <w:p w14:paraId="7ABAC9A9" w14:textId="77777777" w:rsidR="00596D17" w:rsidRDefault="00596D17" w:rsidP="00596D17">
      <w:pPr>
        <w:pBdr>
          <w:top w:val="nil"/>
          <w:left w:val="nil"/>
          <w:bottom w:val="nil"/>
          <w:right w:val="nil"/>
          <w:between w:val="nil"/>
        </w:pBdr>
        <w:ind w:left="720"/>
        <w:rPr>
          <w:color w:val="000000"/>
        </w:rPr>
      </w:pPr>
      <w:proofErr w:type="spellStart"/>
      <w:r>
        <w:rPr>
          <w:color w:val="000000"/>
        </w:rPr>
        <w:t>Unitil</w:t>
      </w:r>
      <w:proofErr w:type="spellEnd"/>
      <w:r>
        <w:rPr>
          <w:color w:val="000000"/>
        </w:rPr>
        <w:t xml:space="preserve"> requires an RMAC for all Facilities ≥ 500 kVA. </w:t>
      </w:r>
      <w:proofErr w:type="spellStart"/>
      <w:r>
        <w:rPr>
          <w:color w:val="000000"/>
        </w:rPr>
        <w:t>Unitil</w:t>
      </w:r>
      <w:proofErr w:type="spellEnd"/>
      <w:r>
        <w:rPr>
          <w:color w:val="000000"/>
        </w:rPr>
        <w:t xml:space="preserve"> also requires real-time remote monitoring for each individual unit of 500 kVA or more, even if the interrupting device at the PCC is also being monitored.  </w:t>
      </w:r>
    </w:p>
    <w:p w14:paraId="6AD758F8" w14:textId="77777777" w:rsidR="00596D17" w:rsidRDefault="00596D17" w:rsidP="00596D17">
      <w:pPr>
        <w:pStyle w:val="Heading2"/>
        <w:numPr>
          <w:ilvl w:val="1"/>
          <w:numId w:val="8"/>
        </w:numPr>
        <w:ind w:left="1440"/>
      </w:pPr>
      <w:bookmarkStart w:id="16" w:name="_Toc122618269"/>
      <w:r>
        <w:t>Data Acquisition and Control</w:t>
      </w:r>
      <w:bookmarkEnd w:id="16"/>
    </w:p>
    <w:p w14:paraId="627D169B" w14:textId="77777777" w:rsidR="00596D17" w:rsidRDefault="00596D17" w:rsidP="00596D17">
      <w:pPr>
        <w:pBdr>
          <w:top w:val="nil"/>
          <w:left w:val="nil"/>
          <w:bottom w:val="nil"/>
          <w:right w:val="nil"/>
          <w:between w:val="nil"/>
        </w:pBdr>
        <w:ind w:left="720"/>
        <w:rPr>
          <w:color w:val="000000"/>
        </w:rPr>
      </w:pPr>
      <w:r>
        <w:rPr>
          <w:color w:val="000000"/>
        </w:rPr>
        <w:t xml:space="preserve">The RMAC (recloser and/or RTU) must allow each Member Utility to monitor the Facility’s status and to allow for remote disconnection of the Facility from the Area EPS as system conditions require.  </w:t>
      </w:r>
    </w:p>
    <w:p w14:paraId="73D92387" w14:textId="77777777" w:rsidR="00596D17" w:rsidRDefault="00596D17" w:rsidP="00596D17">
      <w:pPr>
        <w:pBdr>
          <w:top w:val="nil"/>
          <w:left w:val="nil"/>
          <w:bottom w:val="nil"/>
          <w:right w:val="nil"/>
          <w:between w:val="nil"/>
        </w:pBdr>
        <w:ind w:left="720"/>
        <w:rPr>
          <w:color w:val="000000"/>
        </w:rPr>
      </w:pPr>
      <w:r>
        <w:rPr>
          <w:color w:val="000000"/>
        </w:rPr>
        <w:t xml:space="preserve">Typical information required to be monitored may include and is not limited to the </w:t>
      </w:r>
      <w:proofErr w:type="gramStart"/>
      <w:r>
        <w:rPr>
          <w:color w:val="000000"/>
        </w:rPr>
        <w:t>following data</w:t>
      </w:r>
      <w:proofErr w:type="gramEnd"/>
      <w:r>
        <w:rPr>
          <w:color w:val="000000"/>
        </w:rPr>
        <w:t xml:space="preserve"> points:</w:t>
      </w:r>
    </w:p>
    <w:p w14:paraId="6C34EF78" w14:textId="77777777" w:rsidR="00596D17" w:rsidRDefault="00596D17" w:rsidP="00596D17">
      <w:pPr>
        <w:numPr>
          <w:ilvl w:val="0"/>
          <w:numId w:val="1"/>
        </w:numPr>
        <w:pBdr>
          <w:top w:val="nil"/>
          <w:left w:val="nil"/>
          <w:bottom w:val="nil"/>
          <w:right w:val="nil"/>
          <w:between w:val="nil"/>
        </w:pBdr>
        <w:spacing w:after="0"/>
      </w:pPr>
      <w:r>
        <w:rPr>
          <w:color w:val="000000"/>
        </w:rPr>
        <w:t>Net real power (kW)</w:t>
      </w:r>
    </w:p>
    <w:p w14:paraId="45D3D17E" w14:textId="77777777" w:rsidR="00596D17" w:rsidRDefault="00596D17" w:rsidP="00596D17">
      <w:pPr>
        <w:numPr>
          <w:ilvl w:val="0"/>
          <w:numId w:val="1"/>
        </w:numPr>
        <w:pBdr>
          <w:top w:val="nil"/>
          <w:left w:val="nil"/>
          <w:bottom w:val="nil"/>
          <w:right w:val="nil"/>
          <w:between w:val="nil"/>
        </w:pBdr>
        <w:spacing w:after="0"/>
      </w:pPr>
      <w:r>
        <w:rPr>
          <w:color w:val="000000"/>
        </w:rPr>
        <w:t>Net apparent power (kVA)</w:t>
      </w:r>
    </w:p>
    <w:p w14:paraId="6A18B533" w14:textId="77777777" w:rsidR="00596D17" w:rsidRPr="00E811F9" w:rsidRDefault="00596D17" w:rsidP="00596D17">
      <w:pPr>
        <w:numPr>
          <w:ilvl w:val="0"/>
          <w:numId w:val="1"/>
        </w:numPr>
        <w:pBdr>
          <w:top w:val="nil"/>
          <w:left w:val="nil"/>
          <w:bottom w:val="nil"/>
          <w:right w:val="nil"/>
          <w:between w:val="nil"/>
        </w:pBdr>
        <w:spacing w:after="0"/>
      </w:pPr>
      <w:r>
        <w:rPr>
          <w:color w:val="000000"/>
        </w:rPr>
        <w:t>Net reactive power (</w:t>
      </w:r>
      <w:proofErr w:type="spellStart"/>
      <w:r>
        <w:rPr>
          <w:color w:val="000000"/>
        </w:rPr>
        <w:t>kVAR</w:t>
      </w:r>
      <w:proofErr w:type="spellEnd"/>
      <w:r>
        <w:rPr>
          <w:color w:val="000000"/>
        </w:rPr>
        <w:t>)</w:t>
      </w:r>
    </w:p>
    <w:p w14:paraId="50EC4AFB" w14:textId="77777777" w:rsidR="00596D17" w:rsidRDefault="00596D17" w:rsidP="00596D17">
      <w:pPr>
        <w:numPr>
          <w:ilvl w:val="0"/>
          <w:numId w:val="1"/>
        </w:numPr>
        <w:pBdr>
          <w:top w:val="nil"/>
          <w:left w:val="nil"/>
          <w:bottom w:val="nil"/>
          <w:right w:val="nil"/>
          <w:between w:val="nil"/>
        </w:pBdr>
        <w:spacing w:after="0"/>
      </w:pPr>
      <w:r>
        <w:rPr>
          <w:color w:val="000000"/>
        </w:rPr>
        <w:t xml:space="preserve">Instantaneous phase current magnitude (Amps) – all phases </w:t>
      </w:r>
    </w:p>
    <w:p w14:paraId="140556C7" w14:textId="77777777" w:rsidR="00596D17" w:rsidRDefault="00596D17" w:rsidP="00596D17">
      <w:pPr>
        <w:numPr>
          <w:ilvl w:val="0"/>
          <w:numId w:val="1"/>
        </w:numPr>
        <w:pBdr>
          <w:top w:val="nil"/>
          <w:left w:val="nil"/>
          <w:bottom w:val="nil"/>
          <w:right w:val="nil"/>
          <w:between w:val="nil"/>
        </w:pBdr>
        <w:spacing w:after="0"/>
      </w:pPr>
      <w:r>
        <w:rPr>
          <w:color w:val="000000"/>
        </w:rPr>
        <w:t>Phase-to-phase voltages (Volts)– all phases</w:t>
      </w:r>
    </w:p>
    <w:p w14:paraId="2BDED0BC" w14:textId="77777777" w:rsidR="00596D17" w:rsidRDefault="00596D17" w:rsidP="00596D17">
      <w:pPr>
        <w:numPr>
          <w:ilvl w:val="0"/>
          <w:numId w:val="1"/>
        </w:numPr>
        <w:pBdr>
          <w:top w:val="nil"/>
          <w:left w:val="nil"/>
          <w:bottom w:val="nil"/>
          <w:right w:val="nil"/>
          <w:between w:val="nil"/>
        </w:pBdr>
        <w:spacing w:after="0"/>
      </w:pPr>
      <w:r>
        <w:rPr>
          <w:color w:val="000000"/>
        </w:rPr>
        <w:t>Frequency (Hz)</w:t>
      </w:r>
    </w:p>
    <w:p w14:paraId="1DFA77DE" w14:textId="77777777" w:rsidR="00596D17" w:rsidRDefault="00596D17" w:rsidP="00596D17">
      <w:pPr>
        <w:numPr>
          <w:ilvl w:val="0"/>
          <w:numId w:val="1"/>
        </w:numPr>
        <w:pBdr>
          <w:top w:val="nil"/>
          <w:left w:val="nil"/>
          <w:bottom w:val="nil"/>
          <w:right w:val="nil"/>
          <w:between w:val="nil"/>
        </w:pBdr>
        <w:spacing w:after="0"/>
      </w:pPr>
      <w:r>
        <w:rPr>
          <w:color w:val="000000"/>
        </w:rPr>
        <w:t>Facility breaker status</w:t>
      </w:r>
    </w:p>
    <w:p w14:paraId="2CD542A3" w14:textId="77777777" w:rsidR="00596D17" w:rsidRDefault="00596D17" w:rsidP="00596D17">
      <w:pPr>
        <w:numPr>
          <w:ilvl w:val="0"/>
          <w:numId w:val="1"/>
        </w:numPr>
        <w:pBdr>
          <w:top w:val="nil"/>
          <w:left w:val="nil"/>
          <w:bottom w:val="nil"/>
          <w:right w:val="nil"/>
          <w:between w:val="nil"/>
        </w:pBdr>
        <w:spacing w:after="0"/>
      </w:pPr>
      <w:r>
        <w:rPr>
          <w:color w:val="000000"/>
        </w:rPr>
        <w:t>Fault targets (if applicable)</w:t>
      </w:r>
    </w:p>
    <w:p w14:paraId="0C6A2988" w14:textId="77777777" w:rsidR="00596D17" w:rsidRDefault="00596D17" w:rsidP="00596D17">
      <w:pPr>
        <w:numPr>
          <w:ilvl w:val="0"/>
          <w:numId w:val="1"/>
        </w:numPr>
        <w:pBdr>
          <w:top w:val="nil"/>
          <w:left w:val="nil"/>
          <w:bottom w:val="nil"/>
          <w:right w:val="nil"/>
          <w:between w:val="nil"/>
        </w:pBdr>
        <w:spacing w:after="0"/>
      </w:pPr>
      <w:r>
        <w:rPr>
          <w:color w:val="000000"/>
        </w:rPr>
        <w:t>Status of main or interconnect breaker at the point of common coupling (PCC)</w:t>
      </w:r>
    </w:p>
    <w:p w14:paraId="5FC7F05D" w14:textId="77777777" w:rsidR="00596D17" w:rsidRDefault="00596D17" w:rsidP="00596D17">
      <w:pPr>
        <w:numPr>
          <w:ilvl w:val="0"/>
          <w:numId w:val="1"/>
        </w:numPr>
        <w:pBdr>
          <w:top w:val="nil"/>
          <w:left w:val="nil"/>
          <w:bottom w:val="nil"/>
          <w:right w:val="nil"/>
          <w:between w:val="nil"/>
        </w:pBdr>
        <w:spacing w:after="0"/>
      </w:pPr>
      <w:r>
        <w:rPr>
          <w:color w:val="000000"/>
        </w:rPr>
        <w:t>Status of individual generator breakers</w:t>
      </w:r>
    </w:p>
    <w:p w14:paraId="145D1533" w14:textId="77777777" w:rsidR="00596D17" w:rsidRDefault="00596D17" w:rsidP="00596D17">
      <w:pPr>
        <w:numPr>
          <w:ilvl w:val="0"/>
          <w:numId w:val="1"/>
        </w:numPr>
        <w:pBdr>
          <w:top w:val="nil"/>
          <w:left w:val="nil"/>
          <w:bottom w:val="nil"/>
          <w:right w:val="nil"/>
          <w:between w:val="nil"/>
        </w:pBdr>
        <w:spacing w:after="0"/>
      </w:pPr>
      <w:r>
        <w:rPr>
          <w:color w:val="000000"/>
        </w:rPr>
        <w:t>Control input for the “designated generator interrupting device” for trip, block close &amp;</w:t>
      </w:r>
    </w:p>
    <w:p w14:paraId="52031134" w14:textId="77777777" w:rsidR="00596D17" w:rsidRPr="007A1A42" w:rsidRDefault="00596D17" w:rsidP="00596D17">
      <w:pPr>
        <w:numPr>
          <w:ilvl w:val="0"/>
          <w:numId w:val="1"/>
        </w:numPr>
        <w:pBdr>
          <w:top w:val="nil"/>
          <w:left w:val="nil"/>
          <w:bottom w:val="nil"/>
          <w:right w:val="nil"/>
          <w:between w:val="nil"/>
        </w:pBdr>
        <w:spacing w:after="0"/>
      </w:pPr>
      <w:r>
        <w:rPr>
          <w:color w:val="000000"/>
        </w:rPr>
        <w:t>permit close functionality</w:t>
      </w:r>
    </w:p>
    <w:p w14:paraId="5AB7E343" w14:textId="77777777" w:rsidR="00596D17" w:rsidRDefault="00596D17" w:rsidP="00596D17">
      <w:pPr>
        <w:numPr>
          <w:ilvl w:val="0"/>
          <w:numId w:val="1"/>
        </w:numPr>
        <w:pBdr>
          <w:top w:val="nil"/>
          <w:left w:val="nil"/>
          <w:bottom w:val="nil"/>
          <w:right w:val="nil"/>
          <w:between w:val="nil"/>
        </w:pBdr>
        <w:spacing w:after="0"/>
      </w:pPr>
      <w:r>
        <w:rPr>
          <w:color w:val="000000"/>
        </w:rPr>
        <w:lastRenderedPageBreak/>
        <w:t>Protective relay status (if applicable)</w:t>
      </w:r>
    </w:p>
    <w:p w14:paraId="5B966658" w14:textId="77777777" w:rsidR="00596D17" w:rsidRDefault="00596D17" w:rsidP="00596D17">
      <w:pPr>
        <w:numPr>
          <w:ilvl w:val="0"/>
          <w:numId w:val="1"/>
        </w:numPr>
        <w:pBdr>
          <w:top w:val="nil"/>
          <w:left w:val="nil"/>
          <w:bottom w:val="nil"/>
          <w:right w:val="nil"/>
          <w:between w:val="nil"/>
        </w:pBdr>
        <w:spacing w:after="0"/>
      </w:pPr>
      <w:r>
        <w:rPr>
          <w:color w:val="000000"/>
        </w:rPr>
        <w:t>DC Control System Status (if applicable)</w:t>
      </w:r>
    </w:p>
    <w:p w14:paraId="33E1121D" w14:textId="77777777" w:rsidR="00596D17" w:rsidRDefault="00596D17" w:rsidP="00596D17">
      <w:pPr>
        <w:numPr>
          <w:ilvl w:val="0"/>
          <w:numId w:val="1"/>
        </w:numPr>
        <w:pBdr>
          <w:top w:val="nil"/>
          <w:left w:val="nil"/>
          <w:bottom w:val="nil"/>
          <w:right w:val="nil"/>
          <w:between w:val="nil"/>
        </w:pBdr>
      </w:pPr>
      <w:r>
        <w:rPr>
          <w:color w:val="000000"/>
        </w:rPr>
        <w:t>Other status points, as required</w:t>
      </w:r>
    </w:p>
    <w:p w14:paraId="5C80BBB3" w14:textId="77777777" w:rsidR="00596D17" w:rsidRDefault="00596D17" w:rsidP="00596D17">
      <w:pPr>
        <w:pStyle w:val="Heading2"/>
        <w:numPr>
          <w:ilvl w:val="1"/>
          <w:numId w:val="8"/>
        </w:numPr>
        <w:ind w:left="1440"/>
      </w:pPr>
      <w:bookmarkStart w:id="17" w:name="_Toc122618270"/>
      <w:r>
        <w:t>RMAC Communications</w:t>
      </w:r>
      <w:bookmarkEnd w:id="17"/>
    </w:p>
    <w:p w14:paraId="51ADA1B6" w14:textId="77777777" w:rsidR="00596D17" w:rsidRDefault="00596D17" w:rsidP="00596D17">
      <w:pPr>
        <w:pBdr>
          <w:top w:val="nil"/>
          <w:left w:val="nil"/>
          <w:bottom w:val="nil"/>
          <w:right w:val="nil"/>
          <w:between w:val="nil"/>
        </w:pBdr>
        <w:ind w:left="720"/>
        <w:rPr>
          <w:color w:val="000000"/>
        </w:rPr>
      </w:pPr>
      <w:r>
        <w:rPr>
          <w:color w:val="000000"/>
        </w:rPr>
        <w:t xml:space="preserve">Generally, the Customer is responsible for the installation and maintenance costs of the communications medium. In addition to any RMAC, the utility-owned PCC recloser </w:t>
      </w:r>
      <w:r w:rsidRPr="00CF0692">
        <w:rPr>
          <w:color w:val="EE0000"/>
        </w:rPr>
        <w:t xml:space="preserve">and/or DER Gateway </w:t>
      </w:r>
      <w:r>
        <w:rPr>
          <w:color w:val="000000"/>
        </w:rPr>
        <w:t>(if available) will be controlled by each Member Utility through existing utility communications mediums.</w:t>
      </w:r>
    </w:p>
    <w:p w14:paraId="0D219B3C" w14:textId="77777777" w:rsidR="00596D17" w:rsidRDefault="00596D17" w:rsidP="00596D17">
      <w:pPr>
        <w:pBdr>
          <w:top w:val="nil"/>
          <w:left w:val="nil"/>
          <w:bottom w:val="nil"/>
          <w:right w:val="nil"/>
          <w:between w:val="nil"/>
        </w:pBdr>
        <w:ind w:left="720"/>
        <w:rPr>
          <w:color w:val="000000"/>
        </w:rPr>
      </w:pPr>
      <w:r>
        <w:rPr>
          <w:color w:val="000000"/>
        </w:rPr>
        <w:t>National Grid: MPLS communication line leased from local communication service provider.</w:t>
      </w:r>
    </w:p>
    <w:p w14:paraId="5D4D17A6" w14:textId="77777777" w:rsidR="00596D17" w:rsidRDefault="00596D17" w:rsidP="00596D17">
      <w:pPr>
        <w:pBdr>
          <w:top w:val="nil"/>
          <w:left w:val="nil"/>
          <w:bottom w:val="nil"/>
          <w:right w:val="nil"/>
          <w:between w:val="nil"/>
        </w:pBdr>
        <w:ind w:left="720"/>
        <w:rPr>
          <w:color w:val="000000"/>
        </w:rPr>
      </w:pPr>
      <w:r>
        <w:rPr>
          <w:color w:val="000000"/>
        </w:rPr>
        <w:t>Eversource</w:t>
      </w:r>
      <w:proofErr w:type="gramStart"/>
      <w:r>
        <w:rPr>
          <w:color w:val="000000"/>
        </w:rPr>
        <w:t xml:space="preserve">:  </w:t>
      </w:r>
      <w:r w:rsidRPr="00423AE0">
        <w:rPr>
          <w:strike/>
        </w:rPr>
        <w:t>MDS</w:t>
      </w:r>
      <w:proofErr w:type="gramEnd"/>
      <w:r w:rsidRPr="00423AE0">
        <w:rPr>
          <w:strike/>
        </w:rPr>
        <w:t xml:space="preserve"> radio-based communication</w:t>
      </w:r>
      <w:r w:rsidRPr="00423AE0">
        <w:t xml:space="preserve"> </w:t>
      </w:r>
      <w:proofErr w:type="spellStart"/>
      <w:r w:rsidRPr="00DD09BC">
        <w:rPr>
          <w:color w:val="EE0000"/>
        </w:rPr>
        <w:t>Communication</w:t>
      </w:r>
      <w:proofErr w:type="spellEnd"/>
      <w:r w:rsidRPr="00DD09BC">
        <w:rPr>
          <w:color w:val="EE0000"/>
        </w:rPr>
        <w:t xml:space="preserve"> mediums could be Cellular,</w:t>
      </w:r>
      <w:r>
        <w:rPr>
          <w:color w:val="EE0000"/>
        </w:rPr>
        <w:t xml:space="preserve"> </w:t>
      </w:r>
      <w:r w:rsidRPr="00DD09BC">
        <w:rPr>
          <w:color w:val="EE0000"/>
        </w:rPr>
        <w:t xml:space="preserve">SCADA radio or </w:t>
      </w:r>
      <w:proofErr w:type="gramStart"/>
      <w:r w:rsidRPr="00DD09BC">
        <w:rPr>
          <w:color w:val="EE0000"/>
        </w:rPr>
        <w:t>fiber based</w:t>
      </w:r>
      <w:proofErr w:type="gramEnd"/>
      <w:r w:rsidRPr="00DD09BC">
        <w:rPr>
          <w:color w:val="EE0000"/>
        </w:rPr>
        <w:t xml:space="preserve"> Communications.</w:t>
      </w:r>
    </w:p>
    <w:p w14:paraId="719126C0" w14:textId="77777777" w:rsidR="00596D17" w:rsidRDefault="00596D17" w:rsidP="00596D17">
      <w:pPr>
        <w:pBdr>
          <w:top w:val="nil"/>
          <w:left w:val="nil"/>
          <w:bottom w:val="nil"/>
          <w:right w:val="nil"/>
          <w:between w:val="nil"/>
        </w:pBdr>
        <w:ind w:left="720"/>
        <w:rPr>
          <w:color w:val="000000"/>
        </w:rPr>
      </w:pPr>
      <w:proofErr w:type="spellStart"/>
      <w:r>
        <w:rPr>
          <w:color w:val="000000"/>
        </w:rPr>
        <w:t>Unitil</w:t>
      </w:r>
      <w:proofErr w:type="spellEnd"/>
      <w:r>
        <w:rPr>
          <w:color w:val="000000"/>
        </w:rPr>
        <w:t>: Determined on a case-by-case basis.</w:t>
      </w:r>
    </w:p>
    <w:p w14:paraId="68887FB8" w14:textId="77777777" w:rsidR="00596D17" w:rsidRDefault="00596D17" w:rsidP="00596D17">
      <w:pPr>
        <w:pStyle w:val="Heading2"/>
        <w:numPr>
          <w:ilvl w:val="1"/>
          <w:numId w:val="8"/>
        </w:numPr>
        <w:ind w:left="1440"/>
      </w:pPr>
      <w:bookmarkStart w:id="18" w:name="_Toc122618271"/>
      <w:r>
        <w:t>Remote Operation</w:t>
      </w:r>
      <w:bookmarkEnd w:id="18"/>
    </w:p>
    <w:p w14:paraId="5798AC4E" w14:textId="77777777" w:rsidR="00596D17" w:rsidRDefault="00596D17" w:rsidP="00596D17">
      <w:pPr>
        <w:pBdr>
          <w:top w:val="nil"/>
          <w:left w:val="nil"/>
          <w:bottom w:val="nil"/>
          <w:right w:val="nil"/>
          <w:between w:val="nil"/>
        </w:pBdr>
        <w:ind w:left="720"/>
        <w:rPr>
          <w:color w:val="000000"/>
        </w:rPr>
      </w:pPr>
      <w:r>
        <w:rPr>
          <w:color w:val="000000"/>
        </w:rPr>
        <w:t xml:space="preserve">Where an RMAC or recloser is required, remote tripping of the site must be enabled. This control is installed to disconnect the generation from the Utility EPS. </w:t>
      </w:r>
    </w:p>
    <w:p w14:paraId="17170CD9" w14:textId="77777777" w:rsidR="00596D17" w:rsidRDefault="00596D17" w:rsidP="00596D17">
      <w:pPr>
        <w:pStyle w:val="Heading1"/>
        <w:numPr>
          <w:ilvl w:val="0"/>
          <w:numId w:val="8"/>
        </w:numPr>
      </w:pPr>
      <w:bookmarkStart w:id="19" w:name="_Toc122618272"/>
      <w:r>
        <w:t>PCC Protective Device Requirements</w:t>
      </w:r>
      <w:bookmarkEnd w:id="19"/>
    </w:p>
    <w:p w14:paraId="6A549282" w14:textId="77777777" w:rsidR="00596D17" w:rsidRDefault="00596D17" w:rsidP="00596D17">
      <w:pPr>
        <w:pStyle w:val="Heading2"/>
        <w:numPr>
          <w:ilvl w:val="1"/>
          <w:numId w:val="8"/>
        </w:numPr>
        <w:ind w:left="1440"/>
      </w:pPr>
      <w:bookmarkStart w:id="20" w:name="_Toc122618273"/>
      <w:r>
        <w:t>Reclosers</w:t>
      </w:r>
      <w:bookmarkEnd w:id="20"/>
    </w:p>
    <w:p w14:paraId="49856F7A" w14:textId="77777777" w:rsidR="00596D17" w:rsidRDefault="00596D17" w:rsidP="00596D17">
      <w:pPr>
        <w:pBdr>
          <w:top w:val="nil"/>
          <w:left w:val="nil"/>
          <w:bottom w:val="nil"/>
          <w:right w:val="nil"/>
          <w:between w:val="nil"/>
        </w:pBdr>
        <w:ind w:left="720"/>
        <w:rPr>
          <w:color w:val="000000"/>
        </w:rPr>
      </w:pPr>
      <w:r>
        <w:rPr>
          <w:color w:val="000000"/>
        </w:rPr>
        <w:t xml:space="preserve">The Joint Utilities require a utility-owned PCC recloser to be installed for all large Facilities. In general, the recloser requirement will be governed by the Facility sizes and voltage classes listed in Table 2. The Joint Utilities reserve the right to implement a recloser in any case it is deemed necessary to interconnect a Facility with the potential to cause an adverse condition. </w:t>
      </w:r>
    </w:p>
    <w:p w14:paraId="1F126487" w14:textId="77777777" w:rsidR="00596D17" w:rsidRDefault="00596D17" w:rsidP="00596D17">
      <w:pPr>
        <w:keepNext/>
        <w:pBdr>
          <w:top w:val="nil"/>
          <w:left w:val="nil"/>
          <w:bottom w:val="nil"/>
          <w:right w:val="nil"/>
          <w:between w:val="nil"/>
        </w:pBdr>
        <w:spacing w:before="200" w:after="60" w:line="240" w:lineRule="auto"/>
        <w:ind w:left="720" w:hanging="720"/>
        <w:jc w:val="center"/>
        <w:rPr>
          <w:b/>
          <w:color w:val="000000"/>
          <w:sz w:val="20"/>
          <w:szCs w:val="20"/>
        </w:rPr>
      </w:pPr>
      <w:bookmarkStart w:id="21" w:name="_2xcytpi" w:colFirst="0" w:colLast="0"/>
      <w:bookmarkEnd w:id="21"/>
      <w:r>
        <w:rPr>
          <w:b/>
          <w:color w:val="000000"/>
          <w:sz w:val="20"/>
          <w:szCs w:val="20"/>
        </w:rPr>
        <w:t>Table 2: PCC Recloser Requirement Thresholds</w:t>
      </w:r>
    </w:p>
    <w:tbl>
      <w:tblPr>
        <w:tblStyle w:val="4"/>
        <w:tblW w:w="8141"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20" w:firstRow="1" w:lastRow="0" w:firstColumn="0" w:lastColumn="0" w:noHBand="1" w:noVBand="1"/>
      </w:tblPr>
      <w:tblGrid>
        <w:gridCol w:w="1641"/>
        <w:gridCol w:w="1890"/>
        <w:gridCol w:w="1170"/>
        <w:gridCol w:w="1356"/>
        <w:gridCol w:w="2084"/>
      </w:tblGrid>
      <w:tr w:rsidR="00596D17" w14:paraId="3DAEB067" w14:textId="77777777" w:rsidTr="000976B3">
        <w:trPr>
          <w:cnfStyle w:val="100000000000" w:firstRow="1" w:lastRow="0" w:firstColumn="0" w:lastColumn="0" w:oddVBand="0" w:evenVBand="0" w:oddHBand="0" w:evenHBand="0" w:firstRowFirstColumn="0" w:firstRowLastColumn="0" w:lastRowFirstColumn="0" w:lastRowLastColumn="0"/>
          <w:jc w:val="center"/>
        </w:trPr>
        <w:tc>
          <w:tcPr>
            <w:tcW w:w="1641" w:type="dxa"/>
            <w:vMerge w:val="restart"/>
          </w:tcPr>
          <w:p w14:paraId="1FA75447" w14:textId="77777777" w:rsidR="00596D17" w:rsidRPr="00EB044C" w:rsidRDefault="00596D17" w:rsidP="000976B3">
            <w:pPr>
              <w:pBdr>
                <w:top w:val="nil"/>
                <w:left w:val="nil"/>
                <w:bottom w:val="nil"/>
                <w:right w:val="nil"/>
                <w:between w:val="nil"/>
              </w:pBdr>
              <w:spacing w:after="0"/>
              <w:rPr>
                <w:strike/>
                <w:color w:val="000000"/>
              </w:rPr>
            </w:pPr>
            <w:r w:rsidRPr="00EB044C">
              <w:rPr>
                <w:b w:val="0"/>
                <w:strike/>
                <w:color w:val="000000"/>
              </w:rPr>
              <w:t>Area EPS Voltage Class</w:t>
            </w:r>
          </w:p>
        </w:tc>
        <w:tc>
          <w:tcPr>
            <w:tcW w:w="1890" w:type="dxa"/>
            <w:vMerge w:val="restart"/>
          </w:tcPr>
          <w:p w14:paraId="7158FB56" w14:textId="77777777" w:rsidR="00596D17" w:rsidRDefault="00596D17" w:rsidP="000976B3">
            <w:pPr>
              <w:pBdr>
                <w:top w:val="nil"/>
                <w:left w:val="nil"/>
                <w:bottom w:val="nil"/>
                <w:right w:val="nil"/>
                <w:between w:val="nil"/>
              </w:pBdr>
              <w:spacing w:after="0"/>
              <w:rPr>
                <w:color w:val="000000"/>
              </w:rPr>
            </w:pPr>
            <w:r>
              <w:rPr>
                <w:b w:val="0"/>
                <w:color w:val="000000"/>
              </w:rPr>
              <w:t>Facility Size</w:t>
            </w:r>
          </w:p>
        </w:tc>
        <w:tc>
          <w:tcPr>
            <w:tcW w:w="4610" w:type="dxa"/>
            <w:gridSpan w:val="3"/>
          </w:tcPr>
          <w:p w14:paraId="7DAF0062" w14:textId="77777777" w:rsidR="00596D17" w:rsidRDefault="00596D17" w:rsidP="000976B3">
            <w:pPr>
              <w:pBdr>
                <w:top w:val="nil"/>
                <w:left w:val="nil"/>
                <w:bottom w:val="nil"/>
                <w:right w:val="nil"/>
                <w:between w:val="nil"/>
              </w:pBdr>
              <w:spacing w:after="0"/>
              <w:jc w:val="center"/>
              <w:rPr>
                <w:color w:val="000000"/>
              </w:rPr>
            </w:pPr>
            <w:r>
              <w:rPr>
                <w:b w:val="0"/>
                <w:color w:val="000000"/>
              </w:rPr>
              <w:t>Recloser Required?</w:t>
            </w:r>
          </w:p>
        </w:tc>
      </w:tr>
      <w:tr w:rsidR="00596D17" w14:paraId="466477E9" w14:textId="77777777" w:rsidTr="000976B3">
        <w:trPr>
          <w:jc w:val="center"/>
        </w:trPr>
        <w:tc>
          <w:tcPr>
            <w:tcW w:w="1641" w:type="dxa"/>
            <w:vMerge/>
          </w:tcPr>
          <w:p w14:paraId="71B2428C" w14:textId="77777777" w:rsidR="00596D17" w:rsidRPr="00EB044C" w:rsidRDefault="00596D17" w:rsidP="000976B3">
            <w:pPr>
              <w:widowControl w:val="0"/>
              <w:pBdr>
                <w:top w:val="nil"/>
                <w:left w:val="nil"/>
                <w:bottom w:val="nil"/>
                <w:right w:val="nil"/>
                <w:between w:val="nil"/>
              </w:pBdr>
              <w:spacing w:after="0"/>
              <w:rPr>
                <w:strike/>
                <w:color w:val="000000"/>
              </w:rPr>
            </w:pPr>
          </w:p>
        </w:tc>
        <w:tc>
          <w:tcPr>
            <w:tcW w:w="1890" w:type="dxa"/>
            <w:vMerge/>
          </w:tcPr>
          <w:p w14:paraId="5EAFDA9C" w14:textId="77777777" w:rsidR="00596D17" w:rsidRDefault="00596D17" w:rsidP="000976B3">
            <w:pPr>
              <w:widowControl w:val="0"/>
              <w:pBdr>
                <w:top w:val="nil"/>
                <w:left w:val="nil"/>
                <w:bottom w:val="nil"/>
                <w:right w:val="nil"/>
                <w:between w:val="nil"/>
              </w:pBdr>
              <w:spacing w:after="0"/>
              <w:rPr>
                <w:color w:val="000000"/>
              </w:rPr>
            </w:pPr>
          </w:p>
        </w:tc>
        <w:tc>
          <w:tcPr>
            <w:tcW w:w="1170" w:type="dxa"/>
            <w:shd w:val="clear" w:color="auto" w:fill="4F81BD"/>
          </w:tcPr>
          <w:p w14:paraId="1B62864A" w14:textId="77777777" w:rsidR="00596D17" w:rsidRDefault="00596D17" w:rsidP="000976B3">
            <w:pPr>
              <w:pBdr>
                <w:top w:val="nil"/>
                <w:left w:val="nil"/>
                <w:bottom w:val="nil"/>
                <w:right w:val="nil"/>
                <w:between w:val="nil"/>
              </w:pBdr>
              <w:spacing w:after="0"/>
              <w:rPr>
                <w:b/>
                <w:color w:val="FFFFFF"/>
              </w:rPr>
            </w:pPr>
            <w:r>
              <w:rPr>
                <w:b/>
                <w:color w:val="FFFFFF"/>
              </w:rPr>
              <w:t>Eversource</w:t>
            </w:r>
          </w:p>
        </w:tc>
        <w:tc>
          <w:tcPr>
            <w:tcW w:w="1356" w:type="dxa"/>
            <w:shd w:val="clear" w:color="auto" w:fill="4F81BD"/>
          </w:tcPr>
          <w:p w14:paraId="2DC682C6" w14:textId="77777777" w:rsidR="00596D17" w:rsidRDefault="00596D17" w:rsidP="000976B3">
            <w:pPr>
              <w:pBdr>
                <w:top w:val="nil"/>
                <w:left w:val="nil"/>
                <w:bottom w:val="nil"/>
                <w:right w:val="nil"/>
                <w:between w:val="nil"/>
              </w:pBdr>
              <w:spacing w:after="0"/>
              <w:rPr>
                <w:b/>
                <w:color w:val="FFFFFF"/>
              </w:rPr>
            </w:pPr>
            <w:r>
              <w:rPr>
                <w:b/>
                <w:color w:val="FFFFFF"/>
              </w:rPr>
              <w:t>National Grid</w:t>
            </w:r>
          </w:p>
        </w:tc>
        <w:tc>
          <w:tcPr>
            <w:tcW w:w="2084" w:type="dxa"/>
            <w:shd w:val="clear" w:color="auto" w:fill="4F81BD"/>
          </w:tcPr>
          <w:p w14:paraId="3393C11E" w14:textId="77777777" w:rsidR="00596D17" w:rsidRDefault="00596D17" w:rsidP="000976B3">
            <w:pPr>
              <w:pBdr>
                <w:top w:val="nil"/>
                <w:left w:val="nil"/>
                <w:bottom w:val="nil"/>
                <w:right w:val="nil"/>
                <w:between w:val="nil"/>
              </w:pBdr>
              <w:spacing w:after="0"/>
              <w:rPr>
                <w:b/>
                <w:color w:val="FFFFFF"/>
              </w:rPr>
            </w:pPr>
            <w:proofErr w:type="spellStart"/>
            <w:r>
              <w:rPr>
                <w:b/>
                <w:color w:val="FFFFFF"/>
              </w:rPr>
              <w:t>Unitil</w:t>
            </w:r>
            <w:proofErr w:type="spellEnd"/>
          </w:p>
        </w:tc>
      </w:tr>
      <w:tr w:rsidR="00596D17" w14:paraId="63D6DC2E" w14:textId="77777777" w:rsidTr="000976B3">
        <w:trPr>
          <w:jc w:val="center"/>
        </w:trPr>
        <w:tc>
          <w:tcPr>
            <w:tcW w:w="1641" w:type="dxa"/>
          </w:tcPr>
          <w:p w14:paraId="17590196" w14:textId="77777777" w:rsidR="00596D17" w:rsidRPr="00EB044C" w:rsidRDefault="00596D17" w:rsidP="000976B3">
            <w:pPr>
              <w:pBdr>
                <w:top w:val="nil"/>
                <w:left w:val="nil"/>
                <w:bottom w:val="nil"/>
                <w:right w:val="nil"/>
                <w:between w:val="nil"/>
              </w:pBdr>
              <w:spacing w:after="0"/>
              <w:rPr>
                <w:strike/>
                <w:color w:val="000000"/>
              </w:rPr>
            </w:pPr>
            <w:r w:rsidRPr="00EB044C">
              <w:rPr>
                <w:strike/>
                <w:color w:val="000000"/>
              </w:rPr>
              <w:t>≤ 5 kV</w:t>
            </w:r>
          </w:p>
        </w:tc>
        <w:tc>
          <w:tcPr>
            <w:tcW w:w="1890" w:type="dxa"/>
          </w:tcPr>
          <w:p w14:paraId="4C9E8619" w14:textId="77777777" w:rsidR="00596D17" w:rsidRDefault="00596D17" w:rsidP="000976B3">
            <w:pPr>
              <w:pBdr>
                <w:top w:val="nil"/>
                <w:left w:val="nil"/>
                <w:bottom w:val="nil"/>
                <w:right w:val="nil"/>
                <w:between w:val="nil"/>
              </w:pBdr>
              <w:spacing w:after="0"/>
              <w:rPr>
                <w:color w:val="000000"/>
              </w:rPr>
            </w:pPr>
            <w:r>
              <w:rPr>
                <w:color w:val="000000"/>
              </w:rPr>
              <w:t>≥ 500 kW</w:t>
            </w:r>
          </w:p>
        </w:tc>
        <w:tc>
          <w:tcPr>
            <w:tcW w:w="1170" w:type="dxa"/>
          </w:tcPr>
          <w:p w14:paraId="788B462B" w14:textId="77777777" w:rsidR="00596D17" w:rsidRDefault="00596D17" w:rsidP="000976B3">
            <w:pPr>
              <w:pBdr>
                <w:top w:val="nil"/>
                <w:left w:val="nil"/>
                <w:bottom w:val="nil"/>
                <w:right w:val="nil"/>
                <w:between w:val="nil"/>
              </w:pBdr>
              <w:spacing w:after="0"/>
              <w:rPr>
                <w:color w:val="000000"/>
              </w:rPr>
            </w:pPr>
            <w:r>
              <w:rPr>
                <w:color w:val="000000"/>
              </w:rPr>
              <w:t>Yes</w:t>
            </w:r>
          </w:p>
        </w:tc>
        <w:tc>
          <w:tcPr>
            <w:tcW w:w="1356" w:type="dxa"/>
          </w:tcPr>
          <w:p w14:paraId="120FDEB4" w14:textId="77777777" w:rsidR="00596D17" w:rsidRDefault="00596D17" w:rsidP="000976B3">
            <w:pPr>
              <w:pBdr>
                <w:top w:val="nil"/>
                <w:left w:val="nil"/>
                <w:bottom w:val="nil"/>
                <w:right w:val="nil"/>
                <w:between w:val="nil"/>
              </w:pBdr>
              <w:spacing w:after="0"/>
              <w:rPr>
                <w:color w:val="000000"/>
              </w:rPr>
            </w:pPr>
            <w:r>
              <w:rPr>
                <w:color w:val="000000"/>
              </w:rPr>
              <w:t>Yes</w:t>
            </w:r>
          </w:p>
        </w:tc>
        <w:tc>
          <w:tcPr>
            <w:tcW w:w="2084" w:type="dxa"/>
          </w:tcPr>
          <w:p w14:paraId="05DF5545" w14:textId="77777777" w:rsidR="00596D17" w:rsidRDefault="00596D17" w:rsidP="000976B3">
            <w:pPr>
              <w:pBdr>
                <w:top w:val="nil"/>
                <w:left w:val="nil"/>
                <w:bottom w:val="nil"/>
                <w:right w:val="nil"/>
                <w:between w:val="nil"/>
              </w:pBdr>
              <w:spacing w:after="0"/>
              <w:rPr>
                <w:color w:val="000000"/>
              </w:rPr>
            </w:pPr>
            <w:r>
              <w:rPr>
                <w:color w:val="000000"/>
              </w:rPr>
              <w:t>Yes</w:t>
            </w:r>
          </w:p>
        </w:tc>
      </w:tr>
    </w:tbl>
    <w:p w14:paraId="44C9BFAE" w14:textId="77777777" w:rsidR="00596D17" w:rsidRDefault="00596D17" w:rsidP="00596D17">
      <w:pPr>
        <w:pBdr>
          <w:top w:val="nil"/>
          <w:left w:val="nil"/>
          <w:bottom w:val="nil"/>
          <w:right w:val="nil"/>
          <w:between w:val="nil"/>
        </w:pBdr>
        <w:ind w:left="720"/>
        <w:rPr>
          <w:color w:val="000000"/>
        </w:rPr>
      </w:pPr>
      <w:r>
        <w:rPr>
          <w:color w:val="000000"/>
        </w:rPr>
        <w:t>If it is determined that islanding is of concern per section 4.1, a recloser may be required by the Joint Utilities.</w:t>
      </w:r>
    </w:p>
    <w:p w14:paraId="0ACB506E" w14:textId="77777777" w:rsidR="00596D17" w:rsidRDefault="00596D17" w:rsidP="00596D17">
      <w:pPr>
        <w:pStyle w:val="Heading2"/>
        <w:numPr>
          <w:ilvl w:val="1"/>
          <w:numId w:val="8"/>
        </w:numPr>
        <w:ind w:left="1440"/>
      </w:pPr>
      <w:bookmarkStart w:id="22" w:name="_Toc122618274"/>
      <w:r>
        <w:lastRenderedPageBreak/>
        <w:t>External Disconnects</w:t>
      </w:r>
      <w:bookmarkEnd w:id="22"/>
    </w:p>
    <w:p w14:paraId="34D933C0" w14:textId="77777777" w:rsidR="00596D17" w:rsidRDefault="00596D17" w:rsidP="00596D17">
      <w:pPr>
        <w:pBdr>
          <w:top w:val="nil"/>
          <w:left w:val="nil"/>
          <w:bottom w:val="nil"/>
          <w:right w:val="nil"/>
          <w:between w:val="nil"/>
        </w:pBdr>
        <w:ind w:left="720"/>
        <w:rPr>
          <w:color w:val="000000"/>
        </w:rPr>
      </w:pPr>
      <w:r>
        <w:rPr>
          <w:color w:val="000000"/>
        </w:rPr>
        <w:t xml:space="preserve">External disconnects are required by the Joint Utilities. Each Member Utility has a different threshold for when an external disconnect is required, as detailed in Table 3. The switch shall at minimum provide a visible break, be lockable in the open position and be accessible by </w:t>
      </w:r>
      <w:proofErr w:type="gramStart"/>
      <w:r>
        <w:rPr>
          <w:color w:val="000000"/>
        </w:rPr>
        <w:t>the utility</w:t>
      </w:r>
      <w:proofErr w:type="gramEnd"/>
      <w:r>
        <w:rPr>
          <w:color w:val="000000"/>
        </w:rPr>
        <w:t xml:space="preserve"> 24/7 at all times of the year.</w:t>
      </w:r>
    </w:p>
    <w:p w14:paraId="0BA3118A" w14:textId="77777777" w:rsidR="00596D17" w:rsidRDefault="00596D17" w:rsidP="00596D17">
      <w:pPr>
        <w:keepNext/>
        <w:pBdr>
          <w:top w:val="nil"/>
          <w:left w:val="nil"/>
          <w:bottom w:val="nil"/>
          <w:right w:val="nil"/>
          <w:between w:val="nil"/>
        </w:pBdr>
        <w:spacing w:before="200" w:after="60" w:line="240" w:lineRule="auto"/>
        <w:ind w:left="720" w:hanging="720"/>
        <w:jc w:val="center"/>
        <w:rPr>
          <w:b/>
          <w:color w:val="000000"/>
          <w:sz w:val="20"/>
          <w:szCs w:val="20"/>
        </w:rPr>
      </w:pPr>
      <w:bookmarkStart w:id="23" w:name="_3whwml4" w:colFirst="0" w:colLast="0"/>
      <w:bookmarkEnd w:id="23"/>
      <w:r>
        <w:rPr>
          <w:b/>
          <w:color w:val="000000"/>
          <w:sz w:val="20"/>
          <w:szCs w:val="20"/>
        </w:rPr>
        <w:t>Table 3: External Disconnect Requirement Thresholds</w:t>
      </w:r>
    </w:p>
    <w:tbl>
      <w:tblPr>
        <w:tblStyle w:val="3"/>
        <w:tblW w:w="5580" w:type="dxa"/>
        <w:tblInd w:w="215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20" w:firstRow="1" w:lastRow="0" w:firstColumn="0" w:lastColumn="0" w:noHBand="1" w:noVBand="1"/>
      </w:tblPr>
      <w:tblGrid>
        <w:gridCol w:w="2790"/>
        <w:gridCol w:w="2790"/>
      </w:tblGrid>
      <w:tr w:rsidR="00596D17" w14:paraId="4A33EB92" w14:textId="77777777" w:rsidTr="000976B3">
        <w:trPr>
          <w:cnfStyle w:val="100000000000" w:firstRow="1" w:lastRow="0" w:firstColumn="0" w:lastColumn="0" w:oddVBand="0" w:evenVBand="0" w:oddHBand="0" w:evenHBand="0" w:firstRowFirstColumn="0" w:firstRowLastColumn="0" w:lastRowFirstColumn="0" w:lastRowLastColumn="0"/>
          <w:trHeight w:val="140"/>
        </w:trPr>
        <w:tc>
          <w:tcPr>
            <w:tcW w:w="0" w:type="dxa"/>
          </w:tcPr>
          <w:p w14:paraId="09E484DF" w14:textId="77777777" w:rsidR="00596D17" w:rsidRDefault="00596D17" w:rsidP="000976B3">
            <w:pPr>
              <w:keepNext/>
              <w:pBdr>
                <w:top w:val="nil"/>
                <w:left w:val="nil"/>
                <w:bottom w:val="nil"/>
                <w:right w:val="nil"/>
                <w:between w:val="nil"/>
              </w:pBdr>
              <w:spacing w:after="0"/>
              <w:rPr>
                <w:color w:val="000000"/>
              </w:rPr>
            </w:pPr>
            <w:r>
              <w:rPr>
                <w:b w:val="0"/>
                <w:color w:val="000000"/>
              </w:rPr>
              <w:t>Member Utility</w:t>
            </w:r>
          </w:p>
        </w:tc>
        <w:tc>
          <w:tcPr>
            <w:tcW w:w="0" w:type="dxa"/>
          </w:tcPr>
          <w:p w14:paraId="1ECA1929" w14:textId="77777777" w:rsidR="00596D17" w:rsidRDefault="00596D17" w:rsidP="000976B3">
            <w:pPr>
              <w:keepNext/>
              <w:pBdr>
                <w:top w:val="nil"/>
                <w:left w:val="nil"/>
                <w:bottom w:val="nil"/>
                <w:right w:val="nil"/>
                <w:between w:val="nil"/>
              </w:pBdr>
              <w:spacing w:after="0"/>
              <w:rPr>
                <w:color w:val="000000"/>
              </w:rPr>
            </w:pPr>
            <w:r>
              <w:rPr>
                <w:b w:val="0"/>
                <w:color w:val="000000"/>
              </w:rPr>
              <w:t xml:space="preserve">Facility Size </w:t>
            </w:r>
          </w:p>
        </w:tc>
      </w:tr>
      <w:tr w:rsidR="00596D17" w14:paraId="24C89197" w14:textId="77777777" w:rsidTr="000976B3">
        <w:trPr>
          <w:trHeight w:val="60"/>
        </w:trPr>
        <w:tc>
          <w:tcPr>
            <w:tcW w:w="0" w:type="dxa"/>
          </w:tcPr>
          <w:p w14:paraId="44E12A4A" w14:textId="77777777" w:rsidR="00596D17" w:rsidRDefault="00596D17" w:rsidP="000976B3">
            <w:pPr>
              <w:keepNext/>
              <w:pBdr>
                <w:top w:val="nil"/>
                <w:left w:val="nil"/>
                <w:bottom w:val="nil"/>
                <w:right w:val="nil"/>
                <w:between w:val="nil"/>
              </w:pBdr>
              <w:spacing w:after="0"/>
              <w:rPr>
                <w:color w:val="000000"/>
              </w:rPr>
            </w:pPr>
            <w:r>
              <w:rPr>
                <w:color w:val="000000"/>
              </w:rPr>
              <w:t xml:space="preserve">Eversource </w:t>
            </w:r>
          </w:p>
        </w:tc>
        <w:tc>
          <w:tcPr>
            <w:tcW w:w="0" w:type="dxa"/>
          </w:tcPr>
          <w:p w14:paraId="0D202217" w14:textId="77777777" w:rsidR="00596D17" w:rsidRDefault="00596D17" w:rsidP="000976B3">
            <w:pPr>
              <w:keepNext/>
              <w:pBdr>
                <w:top w:val="nil"/>
                <w:left w:val="nil"/>
                <w:bottom w:val="nil"/>
                <w:right w:val="nil"/>
                <w:between w:val="nil"/>
              </w:pBdr>
              <w:spacing w:after="0"/>
              <w:rPr>
                <w:color w:val="000000"/>
              </w:rPr>
            </w:pPr>
            <w:r>
              <w:rPr>
                <w:color w:val="000000"/>
              </w:rPr>
              <w:t>All sizes</w:t>
            </w:r>
          </w:p>
        </w:tc>
      </w:tr>
      <w:tr w:rsidR="00596D17" w14:paraId="182B62D2" w14:textId="77777777" w:rsidTr="000976B3">
        <w:trPr>
          <w:trHeight w:val="60"/>
        </w:trPr>
        <w:tc>
          <w:tcPr>
            <w:tcW w:w="0" w:type="dxa"/>
          </w:tcPr>
          <w:p w14:paraId="3D862167" w14:textId="77777777" w:rsidR="00596D17" w:rsidRDefault="00596D17" w:rsidP="000976B3">
            <w:pPr>
              <w:keepNext/>
              <w:pBdr>
                <w:top w:val="nil"/>
                <w:left w:val="nil"/>
                <w:bottom w:val="nil"/>
                <w:right w:val="nil"/>
                <w:between w:val="nil"/>
              </w:pBdr>
              <w:spacing w:after="0"/>
              <w:rPr>
                <w:color w:val="000000"/>
              </w:rPr>
            </w:pPr>
            <w:r>
              <w:rPr>
                <w:color w:val="000000"/>
              </w:rPr>
              <w:t>National Grid</w:t>
            </w:r>
          </w:p>
        </w:tc>
        <w:tc>
          <w:tcPr>
            <w:tcW w:w="0" w:type="dxa"/>
          </w:tcPr>
          <w:p w14:paraId="5DBC3433" w14:textId="77777777" w:rsidR="00596D17" w:rsidRDefault="00596D17" w:rsidP="000976B3">
            <w:pPr>
              <w:keepNext/>
              <w:pBdr>
                <w:top w:val="nil"/>
                <w:left w:val="nil"/>
                <w:bottom w:val="nil"/>
                <w:right w:val="nil"/>
                <w:between w:val="nil"/>
              </w:pBdr>
              <w:spacing w:after="0"/>
              <w:rPr>
                <w:color w:val="000000"/>
              </w:rPr>
            </w:pPr>
            <w:r>
              <w:rPr>
                <w:color w:val="000000"/>
              </w:rPr>
              <w:t>≥ 25 kW</w:t>
            </w:r>
            <w:r>
              <w:rPr>
                <w:color w:val="000000"/>
                <w:vertAlign w:val="superscript"/>
              </w:rPr>
              <w:footnoteReference w:id="7"/>
            </w:r>
          </w:p>
        </w:tc>
      </w:tr>
      <w:tr w:rsidR="00596D17" w14:paraId="432378A7" w14:textId="77777777" w:rsidTr="000976B3">
        <w:trPr>
          <w:trHeight w:val="60"/>
        </w:trPr>
        <w:tc>
          <w:tcPr>
            <w:tcW w:w="0" w:type="dxa"/>
          </w:tcPr>
          <w:p w14:paraId="537AC10B" w14:textId="77777777" w:rsidR="00596D17" w:rsidRDefault="00596D17" w:rsidP="000976B3">
            <w:pPr>
              <w:pBdr>
                <w:top w:val="nil"/>
                <w:left w:val="nil"/>
                <w:bottom w:val="nil"/>
                <w:right w:val="nil"/>
                <w:between w:val="nil"/>
              </w:pBdr>
              <w:spacing w:after="0"/>
              <w:rPr>
                <w:color w:val="000000"/>
              </w:rPr>
            </w:pPr>
            <w:proofErr w:type="spellStart"/>
            <w:r>
              <w:rPr>
                <w:color w:val="000000"/>
              </w:rPr>
              <w:t>Unitil</w:t>
            </w:r>
            <w:proofErr w:type="spellEnd"/>
          </w:p>
        </w:tc>
        <w:tc>
          <w:tcPr>
            <w:tcW w:w="0" w:type="dxa"/>
          </w:tcPr>
          <w:p w14:paraId="274CAA06" w14:textId="77777777" w:rsidR="00596D17" w:rsidRDefault="00596D17" w:rsidP="000976B3">
            <w:pPr>
              <w:pBdr>
                <w:top w:val="nil"/>
                <w:left w:val="nil"/>
                <w:bottom w:val="nil"/>
                <w:right w:val="nil"/>
                <w:between w:val="nil"/>
              </w:pBdr>
              <w:spacing w:after="0"/>
              <w:rPr>
                <w:color w:val="000000"/>
              </w:rPr>
            </w:pPr>
            <w:r>
              <w:rPr>
                <w:color w:val="000000"/>
              </w:rPr>
              <w:t>&gt; 10 kW</w:t>
            </w:r>
          </w:p>
        </w:tc>
      </w:tr>
    </w:tbl>
    <w:p w14:paraId="42D87BA7" w14:textId="77777777" w:rsidR="00596D17" w:rsidRDefault="00596D17" w:rsidP="00596D17">
      <w:pPr>
        <w:pBdr>
          <w:top w:val="nil"/>
          <w:left w:val="nil"/>
          <w:bottom w:val="nil"/>
          <w:right w:val="nil"/>
          <w:between w:val="nil"/>
        </w:pBdr>
        <w:tabs>
          <w:tab w:val="left" w:pos="5616"/>
        </w:tabs>
        <w:ind w:left="720" w:hanging="720"/>
        <w:rPr>
          <w:color w:val="000000"/>
        </w:rPr>
      </w:pPr>
      <w:r>
        <w:rPr>
          <w:color w:val="000000"/>
        </w:rPr>
        <w:tab/>
      </w:r>
    </w:p>
    <w:p w14:paraId="060C9F78" w14:textId="77777777" w:rsidR="00596D17" w:rsidRDefault="00596D17" w:rsidP="00596D17">
      <w:pPr>
        <w:pStyle w:val="Heading1"/>
        <w:numPr>
          <w:ilvl w:val="0"/>
          <w:numId w:val="8"/>
        </w:numPr>
      </w:pPr>
      <w:bookmarkStart w:id="24" w:name="_Toc122618275"/>
      <w:r>
        <w:t>Witness Test Protocols</w:t>
      </w:r>
      <w:bookmarkEnd w:id="24"/>
    </w:p>
    <w:p w14:paraId="2D4E845A" w14:textId="77777777" w:rsidR="00596D17" w:rsidRDefault="00596D17" w:rsidP="00596D17">
      <w:r>
        <w:t xml:space="preserve">Witness testing is required for all </w:t>
      </w:r>
      <w:proofErr w:type="gramStart"/>
      <w:r>
        <w:t>facilities, but</w:t>
      </w:r>
      <w:proofErr w:type="gramEnd"/>
      <w:r>
        <w:t xml:space="preserve"> may be waived for simplified and some expedited projects using UL1741 certified inverters at the discretion of the utility. Witness tests are required for all sites that require a utility-grade protective relay.</w:t>
      </w:r>
    </w:p>
    <w:p w14:paraId="38384EA8" w14:textId="77777777" w:rsidR="00596D17" w:rsidRDefault="00596D17" w:rsidP="00596D17">
      <w:pPr>
        <w:pStyle w:val="Heading2"/>
        <w:numPr>
          <w:ilvl w:val="1"/>
          <w:numId w:val="8"/>
        </w:numPr>
        <w:ind w:left="1440"/>
      </w:pPr>
      <w:bookmarkStart w:id="25" w:name="_Toc122618276"/>
      <w:r>
        <w:t>General Requirements</w:t>
      </w:r>
      <w:bookmarkEnd w:id="25"/>
    </w:p>
    <w:p w14:paraId="632E5454" w14:textId="77777777" w:rsidR="00596D17" w:rsidRDefault="00596D17" w:rsidP="00596D17">
      <w:pPr>
        <w:ind w:left="720"/>
      </w:pPr>
      <w:r>
        <w:t>During a Witness Test, each Member Utility inspects the completed Facility for compliance with the interconnection requirements. The Customer will provide a proposed Witness Test procedure and all requisite supporting documentation for review by the Member Utility once the Customer has completed the installation of the Facility.</w:t>
      </w:r>
    </w:p>
    <w:p w14:paraId="0365F76E" w14:textId="77777777" w:rsidR="00596D17" w:rsidRDefault="00596D17" w:rsidP="00596D17">
      <w:pPr>
        <w:pBdr>
          <w:top w:val="nil"/>
          <w:left w:val="nil"/>
          <w:bottom w:val="nil"/>
          <w:right w:val="nil"/>
          <w:between w:val="nil"/>
        </w:pBdr>
        <w:ind w:left="720"/>
        <w:rPr>
          <w:color w:val="000000"/>
        </w:rPr>
      </w:pPr>
      <w:r>
        <w:rPr>
          <w:color w:val="000000"/>
        </w:rPr>
        <w:t>Utilities generally require utility grade relay redundancy for sites 500kW or greater. Smaller facilities that are not using certified generators also require a witness test for the utility grade relays. Where UL1741 certified generation is accepted for utility grade relaying, testing of generator internal relaying, as well as certification by a nationally recognized testing laboratory that employs UL 1741 testing standards is required. A witness test may be required on a case-by-case basis for all facilities, including storage.</w:t>
      </w:r>
    </w:p>
    <w:p w14:paraId="79D1F36D" w14:textId="77777777" w:rsidR="00596D17" w:rsidRDefault="00596D17" w:rsidP="00596D17">
      <w:pPr>
        <w:pBdr>
          <w:top w:val="nil"/>
          <w:left w:val="nil"/>
          <w:bottom w:val="nil"/>
          <w:right w:val="nil"/>
          <w:between w:val="nil"/>
        </w:pBdr>
        <w:ind w:left="720"/>
        <w:rPr>
          <w:color w:val="000000"/>
        </w:rPr>
      </w:pPr>
      <w:r>
        <w:rPr>
          <w:color w:val="000000"/>
        </w:rPr>
        <w:t xml:space="preserve">The witness test must be conducted by a third </w:t>
      </w:r>
      <w:proofErr w:type="gramStart"/>
      <w:r>
        <w:rPr>
          <w:color w:val="000000"/>
        </w:rPr>
        <w:t>party, and</w:t>
      </w:r>
      <w:proofErr w:type="gramEnd"/>
      <w:r>
        <w:rPr>
          <w:color w:val="000000"/>
        </w:rPr>
        <w:t xml:space="preserve"> attended by a Member Utility representative for supervision and approval of results.</w:t>
      </w:r>
    </w:p>
    <w:p w14:paraId="06748CD8" w14:textId="77777777" w:rsidR="00596D17" w:rsidRDefault="00596D17" w:rsidP="00596D17">
      <w:pPr>
        <w:pStyle w:val="Heading2"/>
        <w:numPr>
          <w:ilvl w:val="1"/>
          <w:numId w:val="8"/>
        </w:numPr>
        <w:ind w:left="1440"/>
      </w:pPr>
      <w:bookmarkStart w:id="26" w:name="_Toc122618277"/>
      <w:r>
        <w:lastRenderedPageBreak/>
        <w:t>Witness Test Procedures</w:t>
      </w:r>
      <w:bookmarkEnd w:id="26"/>
    </w:p>
    <w:p w14:paraId="404BF1D7" w14:textId="77777777" w:rsidR="00596D17" w:rsidRDefault="00596D17" w:rsidP="00596D17">
      <w:pPr>
        <w:ind w:left="720"/>
      </w:pPr>
      <w:r>
        <w:t xml:space="preserve">Each witness test shall include both a calibration check and an actual trip of the circuit breaker or contactor from the device being tested. Visually setting a calibration dial, index, or tap is not considered </w:t>
      </w:r>
      <w:proofErr w:type="gramStart"/>
      <w:r>
        <w:t>an adequate</w:t>
      </w:r>
      <w:proofErr w:type="gramEnd"/>
      <w:r>
        <w:t xml:space="preserve"> calibration. Testing typically includes, but is not limited to:</w:t>
      </w:r>
    </w:p>
    <w:p w14:paraId="3C89A7DD" w14:textId="77777777" w:rsidR="00596D17" w:rsidRDefault="00596D17" w:rsidP="00596D17">
      <w:pPr>
        <w:numPr>
          <w:ilvl w:val="0"/>
          <w:numId w:val="9"/>
        </w:numPr>
        <w:pBdr>
          <w:top w:val="nil"/>
          <w:left w:val="nil"/>
          <w:bottom w:val="nil"/>
          <w:right w:val="nil"/>
          <w:between w:val="nil"/>
        </w:pBdr>
        <w:spacing w:after="120"/>
      </w:pPr>
      <w:r>
        <w:rPr>
          <w:color w:val="000000"/>
        </w:rPr>
        <w:t>CT and CT circuit, polarity, ratio, insulation, excitation, continuity, and burden tests (excitation test results may be submitted prior to the witness test for most facilities).</w:t>
      </w:r>
    </w:p>
    <w:p w14:paraId="07F98C33" w14:textId="77777777" w:rsidR="00596D17" w:rsidRDefault="00596D17" w:rsidP="00596D17">
      <w:pPr>
        <w:numPr>
          <w:ilvl w:val="0"/>
          <w:numId w:val="9"/>
        </w:numPr>
        <w:pBdr>
          <w:top w:val="nil"/>
          <w:left w:val="nil"/>
          <w:bottom w:val="nil"/>
          <w:right w:val="nil"/>
          <w:between w:val="nil"/>
        </w:pBdr>
        <w:spacing w:after="120"/>
      </w:pPr>
      <w:r>
        <w:rPr>
          <w:color w:val="000000"/>
        </w:rPr>
        <w:t>VT and VT circuit, polarity, ratio, insulation and continuity tests (results may be submitted prior to the witness test for most facilities).</w:t>
      </w:r>
    </w:p>
    <w:p w14:paraId="0B843BE0" w14:textId="77777777" w:rsidR="00596D17" w:rsidRDefault="00596D17" w:rsidP="00596D17">
      <w:pPr>
        <w:numPr>
          <w:ilvl w:val="0"/>
          <w:numId w:val="9"/>
        </w:numPr>
        <w:pBdr>
          <w:top w:val="nil"/>
          <w:left w:val="nil"/>
          <w:bottom w:val="nil"/>
          <w:right w:val="nil"/>
          <w:between w:val="nil"/>
        </w:pBdr>
        <w:spacing w:after="120"/>
      </w:pPr>
      <w:r>
        <w:rPr>
          <w:color w:val="000000"/>
        </w:rPr>
        <w:t>Relay pick-up and time delay tests (In some cases a certified testing letter may be acceptable, provided the test results include polarity and ratios for instrumentation devices).</w:t>
      </w:r>
    </w:p>
    <w:p w14:paraId="6AF9AE74" w14:textId="77777777" w:rsidR="00596D17" w:rsidRDefault="00596D17" w:rsidP="00596D17">
      <w:pPr>
        <w:numPr>
          <w:ilvl w:val="0"/>
          <w:numId w:val="9"/>
        </w:numPr>
        <w:pBdr>
          <w:top w:val="nil"/>
          <w:left w:val="nil"/>
          <w:bottom w:val="nil"/>
          <w:right w:val="nil"/>
          <w:between w:val="nil"/>
        </w:pBdr>
        <w:spacing w:after="120"/>
      </w:pPr>
      <w:r>
        <w:rPr>
          <w:color w:val="000000"/>
        </w:rPr>
        <w:t>Functional breaker trip tests from protective relays</w:t>
      </w:r>
    </w:p>
    <w:p w14:paraId="07A68D2F" w14:textId="77777777" w:rsidR="00596D17" w:rsidRDefault="00596D17" w:rsidP="00596D17">
      <w:pPr>
        <w:numPr>
          <w:ilvl w:val="0"/>
          <w:numId w:val="9"/>
        </w:numPr>
        <w:pBdr>
          <w:top w:val="nil"/>
          <w:left w:val="nil"/>
          <w:bottom w:val="nil"/>
          <w:right w:val="nil"/>
          <w:between w:val="nil"/>
        </w:pBdr>
        <w:spacing w:after="120"/>
      </w:pPr>
      <w:r>
        <w:rPr>
          <w:color w:val="000000"/>
        </w:rPr>
        <w:t>Relay in-service test to check for proper phase rotation and magnitudes of applied currents and voltages</w:t>
      </w:r>
    </w:p>
    <w:p w14:paraId="1B82ED10" w14:textId="77777777" w:rsidR="00596D17" w:rsidRDefault="00596D17" w:rsidP="00596D17">
      <w:pPr>
        <w:numPr>
          <w:ilvl w:val="0"/>
          <w:numId w:val="9"/>
        </w:numPr>
        <w:pBdr>
          <w:top w:val="nil"/>
          <w:left w:val="nil"/>
          <w:bottom w:val="nil"/>
          <w:right w:val="nil"/>
          <w:between w:val="nil"/>
        </w:pBdr>
        <w:spacing w:after="120"/>
      </w:pPr>
      <w:r>
        <w:rPr>
          <w:color w:val="000000"/>
        </w:rPr>
        <w:t>Breaker closing interlocks tests</w:t>
      </w:r>
    </w:p>
    <w:p w14:paraId="08CD4001" w14:textId="77777777" w:rsidR="00596D17" w:rsidRDefault="00596D17" w:rsidP="00596D17">
      <w:pPr>
        <w:numPr>
          <w:ilvl w:val="0"/>
          <w:numId w:val="9"/>
        </w:numPr>
        <w:pBdr>
          <w:top w:val="nil"/>
          <w:left w:val="nil"/>
          <w:bottom w:val="nil"/>
          <w:right w:val="nil"/>
          <w:between w:val="nil"/>
        </w:pBdr>
        <w:spacing w:after="120"/>
      </w:pPr>
      <w:r>
        <w:rPr>
          <w:color w:val="000000"/>
        </w:rPr>
        <w:t>Paralleling and disconnection operation</w:t>
      </w:r>
    </w:p>
    <w:p w14:paraId="451D1AE3" w14:textId="77777777" w:rsidR="00596D17" w:rsidRDefault="00596D17" w:rsidP="00596D17">
      <w:pPr>
        <w:numPr>
          <w:ilvl w:val="0"/>
          <w:numId w:val="9"/>
        </w:numPr>
        <w:pBdr>
          <w:top w:val="nil"/>
          <w:left w:val="nil"/>
          <w:bottom w:val="nil"/>
          <w:right w:val="nil"/>
          <w:between w:val="nil"/>
        </w:pBdr>
        <w:spacing w:after="120"/>
      </w:pPr>
      <w:r>
        <w:rPr>
          <w:color w:val="000000"/>
        </w:rPr>
        <w:t>Anti-islanding function (if applicable)</w:t>
      </w:r>
    </w:p>
    <w:p w14:paraId="089D5CF8" w14:textId="77777777" w:rsidR="00596D17" w:rsidRDefault="00596D17" w:rsidP="00596D17">
      <w:pPr>
        <w:numPr>
          <w:ilvl w:val="0"/>
          <w:numId w:val="9"/>
        </w:numPr>
        <w:pBdr>
          <w:top w:val="nil"/>
          <w:left w:val="nil"/>
          <w:bottom w:val="nil"/>
          <w:right w:val="nil"/>
          <w:between w:val="nil"/>
        </w:pBdr>
        <w:spacing w:after="120"/>
      </w:pPr>
      <w:r>
        <w:rPr>
          <w:color w:val="000000"/>
        </w:rPr>
        <w:t>Non-export function (if applicable)</w:t>
      </w:r>
    </w:p>
    <w:p w14:paraId="18045C28" w14:textId="77777777" w:rsidR="00596D17" w:rsidRDefault="00596D17" w:rsidP="00596D17">
      <w:pPr>
        <w:numPr>
          <w:ilvl w:val="0"/>
          <w:numId w:val="9"/>
        </w:numPr>
        <w:pBdr>
          <w:top w:val="nil"/>
          <w:left w:val="nil"/>
          <w:bottom w:val="nil"/>
          <w:right w:val="nil"/>
          <w:between w:val="nil"/>
        </w:pBdr>
        <w:spacing w:after="120"/>
      </w:pPr>
      <w:r>
        <w:rPr>
          <w:color w:val="000000"/>
        </w:rPr>
        <w:t>Synchronizing controls (if applicable)</w:t>
      </w:r>
    </w:p>
    <w:p w14:paraId="7A5017A3" w14:textId="77777777" w:rsidR="00596D17" w:rsidRDefault="00596D17" w:rsidP="00596D17">
      <w:pPr>
        <w:numPr>
          <w:ilvl w:val="0"/>
          <w:numId w:val="9"/>
        </w:numPr>
        <w:pBdr>
          <w:top w:val="nil"/>
          <w:left w:val="nil"/>
          <w:bottom w:val="nil"/>
          <w:right w:val="nil"/>
          <w:between w:val="nil"/>
        </w:pBdr>
        <w:spacing w:after="120"/>
      </w:pPr>
      <w:r>
        <w:rPr>
          <w:color w:val="000000"/>
        </w:rPr>
        <w:t>Proof of inability to energize de-energized lines and 5-minute reconnect time</w:t>
      </w:r>
    </w:p>
    <w:p w14:paraId="6DA7AF63" w14:textId="77777777" w:rsidR="00596D17" w:rsidRDefault="00596D17" w:rsidP="00596D17">
      <w:pPr>
        <w:numPr>
          <w:ilvl w:val="0"/>
          <w:numId w:val="9"/>
        </w:numPr>
        <w:pBdr>
          <w:top w:val="nil"/>
          <w:left w:val="nil"/>
          <w:bottom w:val="nil"/>
          <w:right w:val="nil"/>
          <w:between w:val="nil"/>
        </w:pBdr>
        <w:spacing w:after="120"/>
      </w:pPr>
      <w:r>
        <w:rPr>
          <w:color w:val="000000"/>
        </w:rPr>
        <w:t>Proof of fail-safe relay design (where all relay functions may not be fully redundant)</w:t>
      </w:r>
    </w:p>
    <w:p w14:paraId="55006DD0" w14:textId="77777777" w:rsidR="00596D17" w:rsidRDefault="00596D17" w:rsidP="00596D17">
      <w:pPr>
        <w:pStyle w:val="Heading2"/>
        <w:numPr>
          <w:ilvl w:val="1"/>
          <w:numId w:val="8"/>
        </w:numPr>
        <w:ind w:left="1440"/>
      </w:pPr>
      <w:bookmarkStart w:id="27" w:name="_Toc122618278"/>
      <w:r>
        <w:t>Documentation</w:t>
      </w:r>
      <w:bookmarkEnd w:id="27"/>
    </w:p>
    <w:p w14:paraId="0C81A05A" w14:textId="77777777" w:rsidR="00596D17" w:rsidRDefault="00596D17" w:rsidP="00596D17">
      <w:pPr>
        <w:pBdr>
          <w:top w:val="nil"/>
          <w:left w:val="nil"/>
          <w:bottom w:val="nil"/>
          <w:right w:val="nil"/>
          <w:between w:val="nil"/>
        </w:pBdr>
        <w:ind w:left="720"/>
        <w:rPr>
          <w:color w:val="000000"/>
        </w:rPr>
      </w:pPr>
      <w:r>
        <w:rPr>
          <w:color w:val="000000"/>
        </w:rPr>
        <w:t>It is the Customer’s responsibility to prepare all witness testing documents and procedures with sufficient time for review by the utility prior to scheduling the witness test. At a minimum, the following documentation is required:</w:t>
      </w:r>
    </w:p>
    <w:p w14:paraId="63F163BA" w14:textId="77777777" w:rsidR="00596D17" w:rsidRDefault="00596D17" w:rsidP="00596D17">
      <w:pPr>
        <w:numPr>
          <w:ilvl w:val="0"/>
          <w:numId w:val="1"/>
        </w:numPr>
        <w:pBdr>
          <w:top w:val="nil"/>
          <w:left w:val="nil"/>
          <w:bottom w:val="nil"/>
          <w:right w:val="nil"/>
          <w:between w:val="nil"/>
        </w:pBdr>
        <w:spacing w:after="0"/>
      </w:pPr>
      <w:r>
        <w:rPr>
          <w:color w:val="000000"/>
        </w:rPr>
        <w:t>Witness test procedure</w:t>
      </w:r>
    </w:p>
    <w:p w14:paraId="3E8BB7E7" w14:textId="77777777" w:rsidR="00596D17" w:rsidRDefault="00596D17" w:rsidP="00596D17">
      <w:pPr>
        <w:numPr>
          <w:ilvl w:val="0"/>
          <w:numId w:val="1"/>
        </w:numPr>
        <w:pBdr>
          <w:top w:val="nil"/>
          <w:left w:val="nil"/>
          <w:bottom w:val="nil"/>
          <w:right w:val="nil"/>
          <w:between w:val="nil"/>
        </w:pBdr>
        <w:spacing w:after="0"/>
      </w:pPr>
      <w:r>
        <w:rPr>
          <w:color w:val="000000"/>
        </w:rPr>
        <w:t>Energization plan</w:t>
      </w:r>
    </w:p>
    <w:p w14:paraId="111AF0E3" w14:textId="77777777" w:rsidR="00596D17" w:rsidRDefault="00596D17" w:rsidP="00596D17">
      <w:pPr>
        <w:numPr>
          <w:ilvl w:val="0"/>
          <w:numId w:val="1"/>
        </w:numPr>
        <w:pBdr>
          <w:top w:val="nil"/>
          <w:left w:val="nil"/>
          <w:bottom w:val="nil"/>
          <w:right w:val="nil"/>
          <w:between w:val="nil"/>
        </w:pBdr>
        <w:spacing w:after="0"/>
      </w:pPr>
      <w:r>
        <w:rPr>
          <w:color w:val="000000"/>
        </w:rPr>
        <w:t>Current PE-stamped As-Built single-line diagram</w:t>
      </w:r>
    </w:p>
    <w:p w14:paraId="5197F161" w14:textId="77777777" w:rsidR="00596D17" w:rsidRDefault="00596D17" w:rsidP="00596D17">
      <w:pPr>
        <w:numPr>
          <w:ilvl w:val="0"/>
          <w:numId w:val="1"/>
        </w:numPr>
        <w:pBdr>
          <w:top w:val="nil"/>
          <w:left w:val="nil"/>
          <w:bottom w:val="nil"/>
          <w:right w:val="nil"/>
          <w:between w:val="nil"/>
        </w:pBdr>
        <w:spacing w:after="0"/>
      </w:pPr>
      <w:r>
        <w:rPr>
          <w:color w:val="000000"/>
        </w:rPr>
        <w:t>As-installed Relay settings</w:t>
      </w:r>
    </w:p>
    <w:p w14:paraId="4D1409ED" w14:textId="77777777" w:rsidR="00596D17" w:rsidRDefault="00596D17" w:rsidP="00596D17">
      <w:pPr>
        <w:numPr>
          <w:ilvl w:val="0"/>
          <w:numId w:val="1"/>
        </w:numPr>
        <w:pBdr>
          <w:top w:val="nil"/>
          <w:left w:val="nil"/>
          <w:bottom w:val="nil"/>
          <w:right w:val="nil"/>
          <w:between w:val="nil"/>
        </w:pBdr>
        <w:spacing w:after="0"/>
      </w:pPr>
      <w:r>
        <w:rPr>
          <w:color w:val="000000"/>
        </w:rPr>
        <w:t>Relay bench test results (if applicable)</w:t>
      </w:r>
    </w:p>
    <w:p w14:paraId="14CDB453" w14:textId="77777777" w:rsidR="00596D17" w:rsidRDefault="00596D17" w:rsidP="00596D17">
      <w:pPr>
        <w:numPr>
          <w:ilvl w:val="0"/>
          <w:numId w:val="1"/>
        </w:numPr>
        <w:pBdr>
          <w:top w:val="nil"/>
          <w:left w:val="nil"/>
          <w:bottom w:val="nil"/>
          <w:right w:val="nil"/>
          <w:between w:val="nil"/>
        </w:pBdr>
        <w:spacing w:after="0"/>
      </w:pPr>
      <w:r>
        <w:rPr>
          <w:color w:val="000000"/>
        </w:rPr>
        <w:t>Current and Voltage Transformer Test Reports.</w:t>
      </w:r>
    </w:p>
    <w:p w14:paraId="328B84DB" w14:textId="77777777" w:rsidR="00596D17" w:rsidRDefault="00596D17" w:rsidP="00596D17">
      <w:pPr>
        <w:numPr>
          <w:ilvl w:val="0"/>
          <w:numId w:val="1"/>
        </w:numPr>
        <w:pBdr>
          <w:top w:val="nil"/>
          <w:left w:val="nil"/>
          <w:bottom w:val="nil"/>
          <w:right w:val="nil"/>
          <w:between w:val="nil"/>
        </w:pBdr>
        <w:spacing w:after="0"/>
      </w:pPr>
      <w:r>
        <w:rPr>
          <w:color w:val="000000"/>
        </w:rPr>
        <w:t>Letter of Completed On-site Testing from Test Company</w:t>
      </w:r>
    </w:p>
    <w:p w14:paraId="2D74A1F2" w14:textId="77777777" w:rsidR="00596D17" w:rsidRDefault="00596D17" w:rsidP="00596D17">
      <w:pPr>
        <w:numPr>
          <w:ilvl w:val="0"/>
          <w:numId w:val="1"/>
        </w:numPr>
        <w:pBdr>
          <w:top w:val="nil"/>
          <w:left w:val="nil"/>
          <w:bottom w:val="nil"/>
          <w:right w:val="nil"/>
          <w:between w:val="nil"/>
        </w:pBdr>
      </w:pPr>
      <w:r>
        <w:rPr>
          <w:color w:val="000000"/>
        </w:rPr>
        <w:t>Transformer test report (if applicable)</w:t>
      </w:r>
    </w:p>
    <w:p w14:paraId="6E759954" w14:textId="77777777" w:rsidR="00596D17" w:rsidRDefault="00596D17" w:rsidP="00596D17">
      <w:pPr>
        <w:pStyle w:val="Heading2"/>
        <w:numPr>
          <w:ilvl w:val="1"/>
          <w:numId w:val="8"/>
        </w:numPr>
        <w:ind w:left="1440"/>
      </w:pPr>
      <w:bookmarkStart w:id="28" w:name="_Toc122618279"/>
      <w:r>
        <w:lastRenderedPageBreak/>
        <w:t>Testing Points</w:t>
      </w:r>
      <w:bookmarkEnd w:id="28"/>
    </w:p>
    <w:p w14:paraId="3088123E" w14:textId="77777777" w:rsidR="00596D17" w:rsidRDefault="00596D17" w:rsidP="00596D17">
      <w:pPr>
        <w:pBdr>
          <w:top w:val="nil"/>
          <w:left w:val="nil"/>
          <w:bottom w:val="nil"/>
          <w:right w:val="nil"/>
          <w:between w:val="nil"/>
        </w:pBdr>
        <w:ind w:left="720"/>
        <w:rPr>
          <w:color w:val="000000"/>
        </w:rPr>
      </w:pPr>
      <w:r>
        <w:rPr>
          <w:color w:val="000000"/>
        </w:rPr>
        <w:t xml:space="preserve">Relay </w:t>
      </w:r>
      <w:proofErr w:type="gramStart"/>
      <w:r>
        <w:rPr>
          <w:color w:val="000000"/>
        </w:rPr>
        <w:t>set-points</w:t>
      </w:r>
      <w:proofErr w:type="gramEnd"/>
      <w:r>
        <w:rPr>
          <w:color w:val="000000"/>
        </w:rPr>
        <w:t xml:space="preserve"> should be specified in accordance with utility requirements and IEEE 1547. Under-frequency ride-through settings and all other applicable settings should be modified according to Default IEEE 1547-2018 Setting Requirements, dated 10/13/22.</w:t>
      </w:r>
      <w:r>
        <w:rPr>
          <w:color w:val="000000"/>
          <w:vertAlign w:val="superscript"/>
        </w:rPr>
        <w:footnoteReference w:id="8"/>
      </w:r>
      <w:r>
        <w:rPr>
          <w:color w:val="000000"/>
        </w:rPr>
        <w:t xml:space="preserve"> </w:t>
      </w:r>
      <w:r w:rsidRPr="00F61FB1">
        <w:rPr>
          <w:color w:val="000000"/>
        </w:rPr>
        <w:t>Clearing</w:t>
      </w:r>
      <w:r>
        <w:rPr>
          <w:color w:val="000000"/>
        </w:rPr>
        <w:t xml:space="preserve"> times include breaker operation. At a minimum, the following relay functions shall be tested during the witness test:</w:t>
      </w:r>
    </w:p>
    <w:p w14:paraId="6F30AF8F"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 xml:space="preserve">27 </w:t>
      </w:r>
      <w:r>
        <w:rPr>
          <w:color w:val="000000"/>
        </w:rPr>
        <w:tab/>
        <w:t>Under-voltage</w:t>
      </w:r>
    </w:p>
    <w:p w14:paraId="39CBF563"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 xml:space="preserve">59 </w:t>
      </w:r>
      <w:r>
        <w:rPr>
          <w:color w:val="000000"/>
        </w:rPr>
        <w:tab/>
        <w:t>Overvoltage</w:t>
      </w:r>
    </w:p>
    <w:p w14:paraId="6091BB4B"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 xml:space="preserve">81O </w:t>
      </w:r>
      <w:r>
        <w:rPr>
          <w:color w:val="000000"/>
        </w:rPr>
        <w:tab/>
        <w:t>Over-frequency</w:t>
      </w:r>
    </w:p>
    <w:p w14:paraId="51CB0E67"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81U</w:t>
      </w:r>
      <w:r>
        <w:rPr>
          <w:color w:val="000000"/>
        </w:rPr>
        <w:tab/>
        <w:t>Under-frequency</w:t>
      </w:r>
    </w:p>
    <w:p w14:paraId="75F45D4E"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51N</w:t>
      </w:r>
      <w:r>
        <w:rPr>
          <w:color w:val="000000"/>
        </w:rPr>
        <w:tab/>
        <w:t>Neutral Overcurrent (where applicable)</w:t>
      </w:r>
    </w:p>
    <w:p w14:paraId="3AAC7C03"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51</w:t>
      </w:r>
      <w:r>
        <w:rPr>
          <w:color w:val="000000"/>
        </w:rPr>
        <w:tab/>
        <w:t>Phase Overcurrent (where applicable)</w:t>
      </w:r>
    </w:p>
    <w:p w14:paraId="061E508A"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51C</w:t>
      </w:r>
      <w:r>
        <w:rPr>
          <w:color w:val="000000"/>
        </w:rPr>
        <w:tab/>
        <w:t>Phase Overcurrent (voltage-controlled, where applicable)</w:t>
      </w:r>
    </w:p>
    <w:p w14:paraId="5404829E" w14:textId="77777777" w:rsidR="00596D17" w:rsidRPr="002859FF"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59N</w:t>
      </w:r>
      <w:r>
        <w:rPr>
          <w:color w:val="000000"/>
        </w:rPr>
        <w:tab/>
        <w:t>Neutral Overvoltage (where applicable)</w:t>
      </w:r>
    </w:p>
    <w:p w14:paraId="4C13C1FD" w14:textId="77777777" w:rsidR="00596D17"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79</w:t>
      </w:r>
      <w:r>
        <w:rPr>
          <w:color w:val="000000"/>
        </w:rPr>
        <w:tab/>
        <w:t xml:space="preserve">1547 Enter Service criteria w/ </w:t>
      </w:r>
      <w:proofErr w:type="gramStart"/>
      <w:r>
        <w:rPr>
          <w:color w:val="000000"/>
        </w:rPr>
        <w:t>5 minute</w:t>
      </w:r>
      <w:proofErr w:type="gramEnd"/>
      <w:r>
        <w:rPr>
          <w:color w:val="000000"/>
        </w:rPr>
        <w:t xml:space="preserve"> delay</w:t>
      </w:r>
    </w:p>
    <w:p w14:paraId="2D05D18A" w14:textId="77777777" w:rsidR="00596D17" w:rsidRPr="003F023E" w:rsidRDefault="00596D17" w:rsidP="00596D17">
      <w:pPr>
        <w:numPr>
          <w:ilvl w:val="0"/>
          <w:numId w:val="1"/>
        </w:numPr>
        <w:pBdr>
          <w:top w:val="nil"/>
          <w:left w:val="nil"/>
          <w:bottom w:val="nil"/>
          <w:right w:val="nil"/>
          <w:between w:val="nil"/>
        </w:pBdr>
        <w:tabs>
          <w:tab w:val="left" w:pos="1800"/>
        </w:tabs>
        <w:spacing w:after="0"/>
        <w:rPr>
          <w:b/>
          <w:color w:val="000000"/>
        </w:rPr>
      </w:pPr>
      <w:r>
        <w:rPr>
          <w:color w:val="000000"/>
        </w:rPr>
        <w:t>Breaker Failure (where applicable)</w:t>
      </w:r>
    </w:p>
    <w:p w14:paraId="534471AD" w14:textId="77777777" w:rsidR="00596D17" w:rsidRPr="003F023E" w:rsidRDefault="00596D17" w:rsidP="00596D17">
      <w:pPr>
        <w:numPr>
          <w:ilvl w:val="0"/>
          <w:numId w:val="1"/>
        </w:numPr>
        <w:pBdr>
          <w:top w:val="nil"/>
          <w:left w:val="nil"/>
          <w:bottom w:val="nil"/>
          <w:right w:val="nil"/>
          <w:between w:val="nil"/>
        </w:pBdr>
        <w:tabs>
          <w:tab w:val="left" w:pos="1800"/>
        </w:tabs>
        <w:spacing w:after="0"/>
        <w:rPr>
          <w:b/>
          <w:color w:val="EE0000"/>
        </w:rPr>
      </w:pPr>
      <w:r w:rsidRPr="003F023E">
        <w:rPr>
          <w:color w:val="EE0000"/>
        </w:rPr>
        <w:t>32</w:t>
      </w:r>
      <w:r w:rsidRPr="003F023E">
        <w:rPr>
          <w:color w:val="EE0000"/>
        </w:rPr>
        <w:tab/>
        <w:t>Directional Power</w:t>
      </w:r>
    </w:p>
    <w:p w14:paraId="03C9CBD3" w14:textId="77777777" w:rsidR="00596D17" w:rsidRPr="00DE3EAD" w:rsidRDefault="00596D17" w:rsidP="00596D17">
      <w:pPr>
        <w:pBdr>
          <w:top w:val="nil"/>
          <w:left w:val="nil"/>
          <w:bottom w:val="nil"/>
          <w:right w:val="nil"/>
          <w:between w:val="nil"/>
        </w:pBdr>
        <w:tabs>
          <w:tab w:val="left" w:pos="1800"/>
        </w:tabs>
        <w:spacing w:after="0"/>
        <w:ind w:left="1260" w:hanging="360"/>
        <w:rPr>
          <w:b/>
          <w:strike/>
          <w:color w:val="000000"/>
        </w:rPr>
      </w:pPr>
    </w:p>
    <w:p w14:paraId="6F9D0630" w14:textId="77777777" w:rsidR="00596D17" w:rsidRPr="00423AE0" w:rsidRDefault="00596D17" w:rsidP="00596D17">
      <w:pPr>
        <w:pBdr>
          <w:top w:val="nil"/>
          <w:left w:val="nil"/>
          <w:bottom w:val="nil"/>
          <w:right w:val="nil"/>
          <w:between w:val="nil"/>
        </w:pBdr>
        <w:tabs>
          <w:tab w:val="left" w:pos="1800"/>
        </w:tabs>
        <w:ind w:left="1260" w:hanging="360"/>
        <w:rPr>
          <w:strike/>
        </w:rPr>
      </w:pPr>
      <w:r w:rsidRPr="00423AE0">
        <w:rPr>
          <w:strike/>
        </w:rPr>
        <w:t>The Joint Utilities may require additional protections not listed here depending on the site configuration.</w:t>
      </w:r>
    </w:p>
    <w:p w14:paraId="7603438A" w14:textId="77777777" w:rsidR="00596D17" w:rsidRPr="007610EB" w:rsidRDefault="00596D17" w:rsidP="00596D17">
      <w:pPr>
        <w:pBdr>
          <w:top w:val="nil"/>
          <w:left w:val="nil"/>
          <w:bottom w:val="nil"/>
          <w:right w:val="nil"/>
          <w:between w:val="nil"/>
        </w:pBdr>
        <w:tabs>
          <w:tab w:val="left" w:pos="1800"/>
        </w:tabs>
        <w:ind w:left="630"/>
        <w:rPr>
          <w:b/>
          <w:color w:val="FF0000"/>
        </w:rPr>
      </w:pPr>
      <w:r w:rsidRPr="007610EB">
        <w:rPr>
          <w:color w:val="FF0000"/>
        </w:rPr>
        <w:t>The Joint Utilities may require additional protection and functionalities not listed here depending on the site configuration. For example, Self Protection Over</w:t>
      </w:r>
      <w:r>
        <w:rPr>
          <w:color w:val="FF0000"/>
        </w:rPr>
        <w:t>-V</w:t>
      </w:r>
      <w:r w:rsidRPr="007610EB">
        <w:rPr>
          <w:color w:val="FF0000"/>
        </w:rPr>
        <w:t>oltage (SPOV) and inverter Volt/V</w:t>
      </w:r>
      <w:r>
        <w:rPr>
          <w:color w:val="FF0000"/>
        </w:rPr>
        <w:t>AR</w:t>
      </w:r>
      <w:r w:rsidRPr="007610EB">
        <w:rPr>
          <w:color w:val="FF0000"/>
        </w:rPr>
        <w:t xml:space="preserve"> control function must be tested during the witness test.</w:t>
      </w:r>
    </w:p>
    <w:p w14:paraId="7642F8BF" w14:textId="77777777" w:rsidR="00596D17" w:rsidRDefault="00596D17" w:rsidP="00596D17">
      <w:pPr>
        <w:pStyle w:val="Heading2"/>
        <w:numPr>
          <w:ilvl w:val="1"/>
          <w:numId w:val="8"/>
        </w:numPr>
        <w:ind w:left="1440"/>
      </w:pPr>
      <w:bookmarkStart w:id="29" w:name="_Toc122618280"/>
      <w:r>
        <w:t>Failure Protocol</w:t>
      </w:r>
      <w:bookmarkEnd w:id="29"/>
    </w:p>
    <w:p w14:paraId="024D9BB8" w14:textId="77777777" w:rsidR="00596D17" w:rsidRDefault="00596D17" w:rsidP="00596D17">
      <w:pPr>
        <w:pBdr>
          <w:top w:val="nil"/>
          <w:left w:val="nil"/>
          <w:bottom w:val="nil"/>
          <w:right w:val="nil"/>
          <w:between w:val="nil"/>
        </w:pBdr>
        <w:ind w:left="720"/>
        <w:rPr>
          <w:color w:val="000000"/>
        </w:rPr>
      </w:pPr>
      <w:proofErr w:type="gramStart"/>
      <w:r>
        <w:rPr>
          <w:color w:val="000000"/>
        </w:rPr>
        <w:t>In the event that</w:t>
      </w:r>
      <w:proofErr w:type="gramEnd"/>
      <w:r>
        <w:rPr>
          <w:color w:val="000000"/>
        </w:rPr>
        <w:t xml:space="preserve"> a Facility fails a witness test (i.e. test results of a relay function fall outside of a certain tolerance), the witness test will be rescheduled, and the failed elements will be retested.</w:t>
      </w:r>
    </w:p>
    <w:p w14:paraId="765B9DB5" w14:textId="77777777" w:rsidR="00596D17" w:rsidRDefault="00596D17" w:rsidP="00596D17">
      <w:pPr>
        <w:pStyle w:val="Heading1"/>
        <w:numPr>
          <w:ilvl w:val="0"/>
          <w:numId w:val="8"/>
        </w:numPr>
      </w:pPr>
      <w:bookmarkStart w:id="30" w:name="_Toc122618281"/>
      <w:r w:rsidRPr="0013466B">
        <w:rPr>
          <w:color w:val="EE0000"/>
        </w:rPr>
        <w:t xml:space="preserve">Voltage Regulation &amp; </w:t>
      </w:r>
      <w:r>
        <w:t>Power Factor</w:t>
      </w:r>
      <w:bookmarkEnd w:id="30"/>
    </w:p>
    <w:p w14:paraId="33BE2DFB" w14:textId="77777777" w:rsidR="00596D17" w:rsidRDefault="00596D17" w:rsidP="00596D17">
      <w:r>
        <w:t xml:space="preserve">All Facilities are required to maintain a pre-determined static power factor. </w:t>
      </w:r>
      <w:proofErr w:type="gramStart"/>
      <w:r>
        <w:t>Typically</w:t>
      </w:r>
      <w:proofErr w:type="gramEnd"/>
      <w:r>
        <w:t xml:space="preserve"> each utility requires unity power factor operation at the generator device </w:t>
      </w:r>
      <w:proofErr w:type="gramStart"/>
      <w:r>
        <w:t>terminals, but</w:t>
      </w:r>
      <w:proofErr w:type="gramEnd"/>
      <w:r>
        <w:t xml:space="preserve"> may require </w:t>
      </w:r>
      <w:proofErr w:type="gramStart"/>
      <w:r>
        <w:t>off-unity</w:t>
      </w:r>
      <w:proofErr w:type="gramEnd"/>
      <w:r>
        <w:t xml:space="preserve"> depending on site conditions. Equipment may be required to be installed at the Facility if the generator source is </w:t>
      </w:r>
      <w:r>
        <w:lastRenderedPageBreak/>
        <w:t>unable to meet the specified power factor. Active voltage regulation may be permitted on a case-by-case basis.</w:t>
      </w:r>
      <w:r>
        <w:rPr>
          <w:vertAlign w:val="superscript"/>
        </w:rPr>
        <w:footnoteReference w:id="9"/>
      </w:r>
      <w:r>
        <w:t xml:space="preserve"> </w:t>
      </w:r>
    </w:p>
    <w:p w14:paraId="21F6BF17" w14:textId="77777777" w:rsidR="00596D17" w:rsidRPr="004467A2" w:rsidRDefault="00596D17" w:rsidP="00596D17">
      <w:pPr>
        <w:rPr>
          <w:color w:val="FF0000"/>
        </w:rPr>
      </w:pPr>
      <w:r w:rsidRPr="004467A2">
        <w:rPr>
          <w:b/>
          <w:bCs/>
          <w:color w:val="FF0000"/>
        </w:rPr>
        <w:t>Eversource:</w:t>
      </w:r>
      <w:r w:rsidRPr="004467A2">
        <w:rPr>
          <w:color w:val="FF0000"/>
        </w:rPr>
        <w:t xml:space="preserve"> A DER owner may be required to install equipment that can be set to operate at a power factor between 0.90 lagging (V</w:t>
      </w:r>
      <w:r>
        <w:rPr>
          <w:color w:val="FF0000"/>
        </w:rPr>
        <w:t>ARs</w:t>
      </w:r>
      <w:r w:rsidRPr="004467A2">
        <w:rPr>
          <w:color w:val="FF0000"/>
        </w:rPr>
        <w:t xml:space="preserve"> to the Utility EPS) and 0.90 leading (Vars from the Utility EPS). All DERs greater than 1 MW connecting to the Eversource distribution system are required to have capability to operate in Volt-V</w:t>
      </w:r>
      <w:r>
        <w:rPr>
          <w:color w:val="FF0000"/>
        </w:rPr>
        <w:t>AR</w:t>
      </w:r>
      <w:r w:rsidRPr="004467A2">
        <w:rPr>
          <w:color w:val="FF0000"/>
        </w:rPr>
        <w:t xml:space="preserve"> control mode per the most recent EDC approved version of IEEE 1547. </w:t>
      </w:r>
      <w:proofErr w:type="gramStart"/>
      <w:r>
        <w:rPr>
          <w:color w:val="FF0000"/>
        </w:rPr>
        <w:t xml:space="preserve">The </w:t>
      </w:r>
      <w:r w:rsidRPr="004467A2">
        <w:rPr>
          <w:color w:val="FF0000"/>
        </w:rPr>
        <w:t>Utility</w:t>
      </w:r>
      <w:proofErr w:type="gramEnd"/>
      <w:r w:rsidRPr="004467A2">
        <w:rPr>
          <w:color w:val="FF0000"/>
        </w:rPr>
        <w:t xml:space="preserve"> regulates the voltage on the EPS by employing load tap changing transformers, line voltage regulators and/or </w:t>
      </w:r>
      <w:r>
        <w:rPr>
          <w:color w:val="FF0000"/>
        </w:rPr>
        <w:t>C</w:t>
      </w:r>
      <w:r w:rsidRPr="004467A2">
        <w:rPr>
          <w:color w:val="FF0000"/>
        </w:rPr>
        <w:t xml:space="preserve">apacitors. Upgrades to </w:t>
      </w:r>
      <w:proofErr w:type="gramStart"/>
      <w:r w:rsidRPr="004467A2">
        <w:rPr>
          <w:color w:val="FF0000"/>
        </w:rPr>
        <w:t>these facilities</w:t>
      </w:r>
      <w:r>
        <w:rPr>
          <w:color w:val="FF0000"/>
        </w:rPr>
        <w:t>/equipment</w:t>
      </w:r>
      <w:proofErr w:type="gramEnd"/>
      <w:r w:rsidRPr="004467A2">
        <w:rPr>
          <w:color w:val="FF0000"/>
        </w:rPr>
        <w:t xml:space="preserve"> may be required </w:t>
      </w:r>
      <w:proofErr w:type="gramStart"/>
      <w:r>
        <w:rPr>
          <w:color w:val="FF0000"/>
        </w:rPr>
        <w:t>per</w:t>
      </w:r>
      <w:proofErr w:type="gramEnd"/>
      <w:r>
        <w:rPr>
          <w:color w:val="FF0000"/>
        </w:rPr>
        <w:t xml:space="preserve"> </w:t>
      </w:r>
      <w:r w:rsidRPr="004467A2">
        <w:rPr>
          <w:color w:val="FF0000"/>
        </w:rPr>
        <w:t>system modifications resulting from the DER interconnection</w:t>
      </w:r>
      <w:r>
        <w:rPr>
          <w:color w:val="FF0000"/>
        </w:rPr>
        <w:t xml:space="preserve"> studies</w:t>
      </w:r>
      <w:r w:rsidRPr="004467A2">
        <w:rPr>
          <w:color w:val="FF0000"/>
        </w:rPr>
        <w:t>.</w:t>
      </w:r>
    </w:p>
    <w:p w14:paraId="120DA515" w14:textId="77777777" w:rsidR="00596D17" w:rsidRDefault="00596D17" w:rsidP="00596D17">
      <w:pPr>
        <w:pStyle w:val="Heading1"/>
        <w:numPr>
          <w:ilvl w:val="0"/>
          <w:numId w:val="8"/>
        </w:numPr>
      </w:pPr>
      <w:bookmarkStart w:id="31" w:name="_Toc122618282"/>
      <w:r>
        <w:t>GSU Transformer Winding Configurations</w:t>
      </w:r>
      <w:bookmarkEnd w:id="31"/>
    </w:p>
    <w:p w14:paraId="3082D44C" w14:textId="77777777" w:rsidR="00596D17" w:rsidRDefault="00596D17" w:rsidP="00596D17">
      <w:r>
        <w:t xml:space="preserve">With few exceptions, the Joint Utilities maintain multi-grounded systems, and the Customer’s generation step-up (GSU) transformer winding configuration must be compatible with the Area EPS. In all service territories, neutral grounding reactors or resistors (NGR) may be required </w:t>
      </w:r>
      <w:proofErr w:type="gramStart"/>
      <w:r>
        <w:t>in the event that</w:t>
      </w:r>
      <w:proofErr w:type="gramEnd"/>
      <w:r>
        <w:t xml:space="preserve"> utility grounding fault detection is compromised by the addition of the Facility. Each Member Utility maintains a handful of ungrounded circuits, for which alternate winding configurations may be acceptable. However, for standard, four-wire, multi-grounded circuits, the acceptable transformer configurations are shown in Table 4.</w:t>
      </w:r>
    </w:p>
    <w:p w14:paraId="26172DE5" w14:textId="77777777" w:rsidR="00596D17" w:rsidRDefault="00596D17" w:rsidP="00596D17">
      <w:pPr>
        <w:keepNext/>
        <w:pBdr>
          <w:top w:val="nil"/>
          <w:left w:val="nil"/>
          <w:bottom w:val="nil"/>
          <w:right w:val="nil"/>
          <w:between w:val="nil"/>
        </w:pBdr>
        <w:spacing w:before="200" w:after="60" w:line="240" w:lineRule="auto"/>
        <w:jc w:val="center"/>
        <w:rPr>
          <w:b/>
          <w:color w:val="000000"/>
          <w:sz w:val="20"/>
          <w:szCs w:val="20"/>
        </w:rPr>
      </w:pPr>
      <w:bookmarkStart w:id="32" w:name="_23ckvvd" w:colFirst="0" w:colLast="0"/>
      <w:bookmarkEnd w:id="32"/>
      <w:r>
        <w:rPr>
          <w:b/>
          <w:color w:val="000000"/>
          <w:sz w:val="20"/>
          <w:szCs w:val="20"/>
        </w:rPr>
        <w:t>Table 4: Permitted Transformer Winding Configurations for Multi-Grounded Circuits</w:t>
      </w:r>
    </w:p>
    <w:tbl>
      <w:tblPr>
        <w:tblStyle w:val="2"/>
        <w:tblW w:w="8370" w:type="dxa"/>
        <w:tblInd w:w="6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20" w:firstRow="1" w:lastRow="0" w:firstColumn="0" w:lastColumn="0" w:noHBand="1" w:noVBand="1"/>
      </w:tblPr>
      <w:tblGrid>
        <w:gridCol w:w="2790"/>
        <w:gridCol w:w="2790"/>
        <w:gridCol w:w="2790"/>
      </w:tblGrid>
      <w:tr w:rsidR="00596D17" w14:paraId="028A6F48" w14:textId="77777777" w:rsidTr="000976B3">
        <w:trPr>
          <w:cnfStyle w:val="100000000000" w:firstRow="1" w:lastRow="0" w:firstColumn="0" w:lastColumn="0" w:oddVBand="0" w:evenVBand="0" w:oddHBand="0" w:evenHBand="0" w:firstRowFirstColumn="0" w:firstRowLastColumn="0" w:lastRowFirstColumn="0" w:lastRowLastColumn="0"/>
          <w:trHeight w:val="140"/>
        </w:trPr>
        <w:tc>
          <w:tcPr>
            <w:tcW w:w="0" w:type="dxa"/>
          </w:tcPr>
          <w:p w14:paraId="62486C34" w14:textId="77777777" w:rsidR="00596D17" w:rsidRDefault="00596D17" w:rsidP="000976B3">
            <w:pPr>
              <w:keepNext/>
              <w:pBdr>
                <w:top w:val="nil"/>
                <w:left w:val="nil"/>
                <w:bottom w:val="nil"/>
                <w:right w:val="nil"/>
                <w:between w:val="nil"/>
              </w:pBdr>
              <w:spacing w:after="0"/>
              <w:rPr>
                <w:color w:val="000000"/>
              </w:rPr>
            </w:pPr>
            <w:r>
              <w:rPr>
                <w:b w:val="0"/>
                <w:color w:val="000000"/>
              </w:rPr>
              <w:t>Primary (Utility)</w:t>
            </w:r>
          </w:p>
        </w:tc>
        <w:tc>
          <w:tcPr>
            <w:tcW w:w="0" w:type="dxa"/>
          </w:tcPr>
          <w:p w14:paraId="0F6BE1B5" w14:textId="77777777" w:rsidR="00596D17" w:rsidRDefault="00596D17" w:rsidP="000976B3">
            <w:pPr>
              <w:keepNext/>
              <w:pBdr>
                <w:top w:val="nil"/>
                <w:left w:val="nil"/>
                <w:bottom w:val="nil"/>
                <w:right w:val="nil"/>
                <w:between w:val="nil"/>
              </w:pBdr>
              <w:spacing w:after="0"/>
              <w:rPr>
                <w:color w:val="000000"/>
              </w:rPr>
            </w:pPr>
            <w:r>
              <w:rPr>
                <w:b w:val="0"/>
                <w:color w:val="000000"/>
              </w:rPr>
              <w:t>Secondary (Customer)</w:t>
            </w:r>
          </w:p>
        </w:tc>
        <w:tc>
          <w:tcPr>
            <w:tcW w:w="0" w:type="dxa"/>
          </w:tcPr>
          <w:p w14:paraId="38BE95ED" w14:textId="77777777" w:rsidR="00596D17" w:rsidRDefault="00596D17" w:rsidP="000976B3">
            <w:pPr>
              <w:keepNext/>
              <w:pBdr>
                <w:top w:val="nil"/>
                <w:left w:val="nil"/>
                <w:bottom w:val="nil"/>
                <w:right w:val="nil"/>
                <w:between w:val="nil"/>
              </w:pBdr>
              <w:spacing w:after="0"/>
              <w:rPr>
                <w:color w:val="000000"/>
              </w:rPr>
            </w:pPr>
            <w:r>
              <w:rPr>
                <w:b w:val="0"/>
                <w:color w:val="000000"/>
              </w:rPr>
              <w:t>Added Requirements</w:t>
            </w:r>
          </w:p>
        </w:tc>
      </w:tr>
      <w:tr w:rsidR="00596D17" w14:paraId="5C9B24F6" w14:textId="77777777" w:rsidTr="000976B3">
        <w:trPr>
          <w:trHeight w:val="60"/>
        </w:trPr>
        <w:tc>
          <w:tcPr>
            <w:tcW w:w="0" w:type="dxa"/>
          </w:tcPr>
          <w:p w14:paraId="13DBC9E4" w14:textId="77777777" w:rsidR="00596D17" w:rsidRDefault="00596D17" w:rsidP="000976B3">
            <w:pPr>
              <w:keepNext/>
              <w:pBdr>
                <w:top w:val="nil"/>
                <w:left w:val="nil"/>
                <w:bottom w:val="nil"/>
                <w:right w:val="nil"/>
                <w:between w:val="nil"/>
              </w:pBdr>
              <w:spacing w:after="0"/>
              <w:rPr>
                <w:color w:val="000000"/>
              </w:rPr>
            </w:pPr>
            <w:r>
              <w:rPr>
                <w:color w:val="000000"/>
              </w:rPr>
              <w:t>Wye-grounded</w:t>
            </w:r>
          </w:p>
        </w:tc>
        <w:tc>
          <w:tcPr>
            <w:tcW w:w="0" w:type="dxa"/>
          </w:tcPr>
          <w:p w14:paraId="71DCF42A" w14:textId="77777777" w:rsidR="00596D17" w:rsidRDefault="00596D17" w:rsidP="000976B3">
            <w:pPr>
              <w:keepNext/>
              <w:pBdr>
                <w:top w:val="nil"/>
                <w:left w:val="nil"/>
                <w:bottom w:val="nil"/>
                <w:right w:val="nil"/>
                <w:between w:val="nil"/>
              </w:pBdr>
              <w:spacing w:after="0"/>
              <w:rPr>
                <w:color w:val="000000"/>
              </w:rPr>
            </w:pPr>
            <w:r>
              <w:rPr>
                <w:color w:val="000000"/>
              </w:rPr>
              <w:t>Delta</w:t>
            </w:r>
          </w:p>
        </w:tc>
        <w:tc>
          <w:tcPr>
            <w:tcW w:w="0" w:type="dxa"/>
          </w:tcPr>
          <w:p w14:paraId="448FD2EA" w14:textId="77777777" w:rsidR="00596D17" w:rsidRDefault="00596D17" w:rsidP="000976B3">
            <w:pPr>
              <w:keepNext/>
              <w:pBdr>
                <w:top w:val="nil"/>
                <w:left w:val="nil"/>
                <w:bottom w:val="nil"/>
                <w:right w:val="nil"/>
                <w:between w:val="nil"/>
              </w:pBdr>
              <w:spacing w:after="0"/>
              <w:rPr>
                <w:color w:val="000000"/>
              </w:rPr>
            </w:pPr>
            <w:r>
              <w:rPr>
                <w:color w:val="000000"/>
              </w:rPr>
              <w:t>NGR (if necessary)</w:t>
            </w:r>
          </w:p>
        </w:tc>
      </w:tr>
      <w:tr w:rsidR="00596D17" w14:paraId="0FBB68A2" w14:textId="77777777" w:rsidTr="000976B3">
        <w:trPr>
          <w:trHeight w:val="60"/>
        </w:trPr>
        <w:tc>
          <w:tcPr>
            <w:tcW w:w="0" w:type="dxa"/>
          </w:tcPr>
          <w:p w14:paraId="46E5D5EC" w14:textId="77777777" w:rsidR="00596D17" w:rsidRDefault="00596D17" w:rsidP="000976B3">
            <w:pPr>
              <w:keepNext/>
              <w:pBdr>
                <w:top w:val="nil"/>
                <w:left w:val="nil"/>
                <w:bottom w:val="nil"/>
                <w:right w:val="nil"/>
                <w:between w:val="nil"/>
              </w:pBdr>
              <w:spacing w:after="0"/>
              <w:rPr>
                <w:color w:val="000000"/>
              </w:rPr>
            </w:pPr>
            <w:r>
              <w:rPr>
                <w:color w:val="000000"/>
              </w:rPr>
              <w:t>Wye-grounded</w:t>
            </w:r>
          </w:p>
        </w:tc>
        <w:tc>
          <w:tcPr>
            <w:tcW w:w="0" w:type="dxa"/>
          </w:tcPr>
          <w:p w14:paraId="7A4C8F6E" w14:textId="77777777" w:rsidR="00596D17" w:rsidRDefault="00596D17" w:rsidP="000976B3">
            <w:pPr>
              <w:keepNext/>
              <w:pBdr>
                <w:top w:val="nil"/>
                <w:left w:val="nil"/>
                <w:bottom w:val="nil"/>
                <w:right w:val="nil"/>
                <w:between w:val="nil"/>
              </w:pBdr>
              <w:spacing w:after="0"/>
              <w:rPr>
                <w:color w:val="000000"/>
              </w:rPr>
            </w:pPr>
            <w:bookmarkStart w:id="33" w:name="_ihv636" w:colFirst="0" w:colLast="0"/>
            <w:bookmarkEnd w:id="33"/>
            <w:r>
              <w:rPr>
                <w:color w:val="000000"/>
              </w:rPr>
              <w:t>Wye-grounded</w:t>
            </w:r>
            <w:r w:rsidRPr="005F3B0B">
              <w:rPr>
                <w:strike/>
                <w:color w:val="EE0000"/>
                <w:vertAlign w:val="superscript"/>
              </w:rPr>
              <w:footnoteReference w:id="10"/>
            </w:r>
          </w:p>
        </w:tc>
        <w:tc>
          <w:tcPr>
            <w:tcW w:w="0" w:type="dxa"/>
          </w:tcPr>
          <w:p w14:paraId="662760DA" w14:textId="77777777" w:rsidR="00596D17" w:rsidRDefault="00596D17" w:rsidP="000976B3">
            <w:pPr>
              <w:keepNext/>
              <w:pBdr>
                <w:top w:val="nil"/>
                <w:left w:val="nil"/>
                <w:bottom w:val="nil"/>
                <w:right w:val="nil"/>
                <w:between w:val="nil"/>
              </w:pBdr>
              <w:spacing w:after="0"/>
              <w:rPr>
                <w:color w:val="000000"/>
              </w:rPr>
            </w:pPr>
            <w:r>
              <w:rPr>
                <w:color w:val="000000"/>
              </w:rPr>
              <w:t>Effectively grounded DER source</w:t>
            </w:r>
          </w:p>
        </w:tc>
      </w:tr>
      <w:tr w:rsidR="00596D17" w14:paraId="19C0CBC3" w14:textId="77777777" w:rsidTr="000976B3">
        <w:trPr>
          <w:trHeight w:val="60"/>
        </w:trPr>
        <w:tc>
          <w:tcPr>
            <w:tcW w:w="0" w:type="dxa"/>
          </w:tcPr>
          <w:p w14:paraId="23A9D5BC" w14:textId="77777777" w:rsidR="00596D17" w:rsidRDefault="00596D17" w:rsidP="000976B3">
            <w:pPr>
              <w:keepNext/>
              <w:pBdr>
                <w:top w:val="nil"/>
                <w:left w:val="nil"/>
                <w:bottom w:val="nil"/>
                <w:right w:val="nil"/>
                <w:between w:val="nil"/>
              </w:pBdr>
              <w:spacing w:after="0"/>
              <w:rPr>
                <w:color w:val="000000"/>
              </w:rPr>
            </w:pPr>
            <w:r>
              <w:rPr>
                <w:color w:val="000000"/>
              </w:rPr>
              <w:t>Wye-grounded</w:t>
            </w:r>
          </w:p>
        </w:tc>
        <w:tc>
          <w:tcPr>
            <w:tcW w:w="0" w:type="dxa"/>
          </w:tcPr>
          <w:p w14:paraId="457960B1" w14:textId="77777777" w:rsidR="00596D17" w:rsidRDefault="00596D17" w:rsidP="000976B3">
            <w:pPr>
              <w:keepNext/>
              <w:pBdr>
                <w:top w:val="nil"/>
                <w:left w:val="nil"/>
                <w:bottom w:val="nil"/>
                <w:right w:val="nil"/>
                <w:between w:val="nil"/>
              </w:pBdr>
              <w:spacing w:after="0"/>
              <w:rPr>
                <w:color w:val="000000"/>
              </w:rPr>
            </w:pPr>
            <w:r>
              <w:rPr>
                <w:color w:val="000000"/>
              </w:rPr>
              <w:t>Wye-grounded</w:t>
            </w:r>
          </w:p>
        </w:tc>
        <w:tc>
          <w:tcPr>
            <w:tcW w:w="0" w:type="dxa"/>
          </w:tcPr>
          <w:p w14:paraId="5C7F4682" w14:textId="77777777" w:rsidR="00596D17" w:rsidRDefault="00596D17" w:rsidP="000976B3">
            <w:pPr>
              <w:keepNext/>
              <w:pBdr>
                <w:top w:val="nil"/>
                <w:left w:val="nil"/>
                <w:bottom w:val="nil"/>
                <w:right w:val="nil"/>
                <w:between w:val="nil"/>
              </w:pBdr>
              <w:spacing w:after="0"/>
              <w:rPr>
                <w:color w:val="000000"/>
              </w:rPr>
            </w:pPr>
            <w:r>
              <w:rPr>
                <w:color w:val="000000"/>
              </w:rPr>
              <w:t>Secondary grounding transformer</w:t>
            </w:r>
          </w:p>
        </w:tc>
      </w:tr>
    </w:tbl>
    <w:p w14:paraId="1455A5D9" w14:textId="77777777" w:rsidR="00596D17" w:rsidRDefault="00596D17" w:rsidP="00596D17"/>
    <w:p w14:paraId="34C83D8A" w14:textId="77777777" w:rsidR="00596D17" w:rsidRDefault="00596D17" w:rsidP="00596D17">
      <w:r>
        <w:t>National Grid may require additional information and analysis should the Customer choose to install a 3-legged transformer.</w:t>
      </w:r>
    </w:p>
    <w:p w14:paraId="00EDAA75" w14:textId="77777777" w:rsidR="00596D17" w:rsidRDefault="00596D17" w:rsidP="00596D17">
      <w:pPr>
        <w:pStyle w:val="Heading1"/>
        <w:numPr>
          <w:ilvl w:val="0"/>
          <w:numId w:val="8"/>
        </w:numPr>
      </w:pPr>
      <w:bookmarkStart w:id="34" w:name="_Toc122618283"/>
      <w:r>
        <w:t>Utility Grade and Redundant Relaying</w:t>
      </w:r>
      <w:bookmarkEnd w:id="34"/>
    </w:p>
    <w:p w14:paraId="38B0FD62" w14:textId="77777777" w:rsidR="00596D17" w:rsidRDefault="00596D17" w:rsidP="00596D17">
      <w:r>
        <w:t xml:space="preserve">For all Facilities with a capacity of 500 kW or greater, the Joint Utilities require redundant utility-grade relaying to disconnect the Facility under faulted conditions. In addition, redundant </w:t>
      </w:r>
      <w:proofErr w:type="gramStart"/>
      <w:r>
        <w:t>relaying</w:t>
      </w:r>
      <w:proofErr w:type="gramEnd"/>
      <w:r>
        <w:t xml:space="preserve"> may be required for Facilities with a capacity of 250 kW or greater depending on site conditions. Utility-grade </w:t>
      </w:r>
      <w:r>
        <w:lastRenderedPageBreak/>
        <w:t xml:space="preserve">relaying is required for all synchronous and/or non-UL1741 certified generators. The Joint Utilities reserve the right to require redundant </w:t>
      </w:r>
      <w:proofErr w:type="gramStart"/>
      <w:r>
        <w:t>relaying</w:t>
      </w:r>
      <w:proofErr w:type="gramEnd"/>
      <w:r>
        <w:t xml:space="preserve"> for any installation </w:t>
      </w:r>
      <w:proofErr w:type="gramStart"/>
      <w:r>
        <w:t>in order to</w:t>
      </w:r>
      <w:proofErr w:type="gramEnd"/>
      <w:r>
        <w:t xml:space="preserve"> maintain safety and reliability.</w:t>
      </w:r>
    </w:p>
    <w:p w14:paraId="78F558E3" w14:textId="77777777" w:rsidR="00596D17" w:rsidRDefault="00596D17" w:rsidP="00596D17">
      <w:r>
        <w:t xml:space="preserve">The location of the relaying is determined by the location of the generator grounding source (e.g. based on the transformer winding configuration, generator grounding, or location of grounding banks). Customer-owned relays and instrument transformers must be located on the utility side of the grounding source, if applicable, on the customer side of the PCC. For a list of required relays, refer to the Witness Test Section 8.0. </w:t>
      </w:r>
    </w:p>
    <w:p w14:paraId="77600249" w14:textId="77777777" w:rsidR="00596D17" w:rsidRDefault="00596D17" w:rsidP="00596D17">
      <w:pPr>
        <w:pStyle w:val="Heading1"/>
        <w:numPr>
          <w:ilvl w:val="0"/>
          <w:numId w:val="8"/>
        </w:numPr>
        <w:rPr>
          <w:u w:val="single"/>
        </w:rPr>
      </w:pPr>
      <w:bookmarkStart w:id="35" w:name="_Toc122618284"/>
      <w:r>
        <w:t>Substation Reverse Power Flow</w:t>
      </w:r>
      <w:bookmarkEnd w:id="35"/>
    </w:p>
    <w:p w14:paraId="3944943E" w14:textId="77777777" w:rsidR="00596D17" w:rsidRDefault="00596D17" w:rsidP="00596D17">
      <w:pPr>
        <w:rPr>
          <w:b/>
        </w:rPr>
      </w:pPr>
      <w:r>
        <w:t>The Joint Utilities permit reverse power flow through the substation supply transformers, although System Modifications may be required to do so.  Any proposed Facility that has the potential to cause reverse power flow through a substation transformer will require a System Impact Study (SIS). The SIS will specifically address the ability of the transformer to accommodate reverse power flow. During the SIS, the following items will be evaluated.</w:t>
      </w:r>
    </w:p>
    <w:p w14:paraId="16F7F3C1" w14:textId="77777777" w:rsidR="00596D17" w:rsidRDefault="00596D17" w:rsidP="00596D17">
      <w:pPr>
        <w:pStyle w:val="Heading2"/>
        <w:numPr>
          <w:ilvl w:val="1"/>
          <w:numId w:val="8"/>
        </w:numPr>
        <w:ind w:left="1440"/>
      </w:pPr>
      <w:bookmarkStart w:id="36" w:name="_Toc122618285"/>
      <w:r>
        <w:t>System Voltage Control</w:t>
      </w:r>
      <w:bookmarkEnd w:id="36"/>
    </w:p>
    <w:p w14:paraId="414EF5CD" w14:textId="77777777" w:rsidR="00596D17" w:rsidRDefault="00596D17" w:rsidP="00596D17">
      <w:pPr>
        <w:pBdr>
          <w:top w:val="nil"/>
          <w:left w:val="nil"/>
          <w:bottom w:val="nil"/>
          <w:right w:val="nil"/>
          <w:between w:val="nil"/>
        </w:pBdr>
        <w:ind w:left="720"/>
        <w:rPr>
          <w:color w:val="000000"/>
        </w:rPr>
      </w:pPr>
      <w:r>
        <w:rPr>
          <w:color w:val="000000"/>
        </w:rPr>
        <w:t xml:space="preserve">System voltage control includes load tap changers or voltage regulators. The SIS determines if system voltage control can be maintained at various boundary </w:t>
      </w:r>
      <w:proofErr w:type="gramStart"/>
      <w:r>
        <w:rPr>
          <w:color w:val="000000"/>
        </w:rPr>
        <w:t>conditions, and</w:t>
      </w:r>
      <w:proofErr w:type="gramEnd"/>
      <w:r>
        <w:rPr>
          <w:color w:val="000000"/>
        </w:rPr>
        <w:t xml:space="preserve"> will evaluate excessive controller operation caused by intermittent DER sources. The SIS will also evaluate the capability of the controller to accommodate reverse power conditions and to respond with appropriate control strategies.</w:t>
      </w:r>
    </w:p>
    <w:p w14:paraId="0D388647" w14:textId="77777777" w:rsidR="00596D17" w:rsidRDefault="00596D17" w:rsidP="00596D17">
      <w:pPr>
        <w:pBdr>
          <w:top w:val="nil"/>
          <w:left w:val="nil"/>
          <w:bottom w:val="nil"/>
          <w:right w:val="nil"/>
          <w:between w:val="nil"/>
        </w:pBdr>
        <w:ind w:left="720"/>
        <w:rPr>
          <w:color w:val="000000"/>
        </w:rPr>
      </w:pPr>
      <w:r>
        <w:rPr>
          <w:color w:val="000000"/>
        </w:rPr>
        <w:t xml:space="preserve">Voltage and current inputs must be available to the system voltage controller. Any controller configuration that is not appropriate for reverse power must be replaced with a suitable controller with both voltage and current inputs. The requirement to add a backup controller will also be evaluated. Controller upgrades may </w:t>
      </w:r>
      <w:proofErr w:type="gramStart"/>
      <w:r>
        <w:rPr>
          <w:color w:val="000000"/>
        </w:rPr>
        <w:t>be required</w:t>
      </w:r>
      <w:proofErr w:type="gramEnd"/>
      <w:r>
        <w:rPr>
          <w:color w:val="000000"/>
        </w:rPr>
        <w:t xml:space="preserve"> system modifications resulting from DER facility interconnection.</w:t>
      </w:r>
    </w:p>
    <w:p w14:paraId="4C840C3D" w14:textId="77777777" w:rsidR="00596D17" w:rsidRDefault="00596D17" w:rsidP="00596D17">
      <w:pPr>
        <w:pBdr>
          <w:top w:val="nil"/>
          <w:left w:val="nil"/>
          <w:bottom w:val="nil"/>
          <w:right w:val="nil"/>
          <w:between w:val="nil"/>
        </w:pBdr>
        <w:ind w:left="720"/>
        <w:rPr>
          <w:color w:val="000000"/>
        </w:rPr>
      </w:pPr>
      <w:r>
        <w:rPr>
          <w:color w:val="000000"/>
        </w:rPr>
        <w:t>Controller settings will be determined on case-by-case analysis of DER type and penetration.</w:t>
      </w:r>
    </w:p>
    <w:p w14:paraId="00D64DB7" w14:textId="77777777" w:rsidR="00596D17" w:rsidRDefault="00596D17" w:rsidP="00596D17">
      <w:pPr>
        <w:pStyle w:val="Heading2"/>
        <w:numPr>
          <w:ilvl w:val="1"/>
          <w:numId w:val="8"/>
        </w:numPr>
        <w:ind w:left="1440"/>
      </w:pPr>
      <w:bookmarkStart w:id="37" w:name="_Toc122618286"/>
      <w:r>
        <w:t>Capacity Limit</w:t>
      </w:r>
      <w:bookmarkEnd w:id="37"/>
      <w:r>
        <w:t xml:space="preserve"> </w:t>
      </w:r>
    </w:p>
    <w:p w14:paraId="387018E2" w14:textId="77777777" w:rsidR="00596D17" w:rsidRDefault="00596D17" w:rsidP="00596D17">
      <w:pPr>
        <w:pBdr>
          <w:top w:val="nil"/>
          <w:left w:val="nil"/>
          <w:bottom w:val="nil"/>
          <w:right w:val="nil"/>
          <w:between w:val="nil"/>
        </w:pBdr>
        <w:ind w:left="720"/>
        <w:rPr>
          <w:b/>
          <w:color w:val="000000"/>
        </w:rPr>
      </w:pPr>
      <w:r>
        <w:rPr>
          <w:color w:val="000000"/>
        </w:rPr>
        <w:t xml:space="preserve">Intermittent reverse power flow will be permitted up to a level consistent with each Member Utility’s standards for transformer loading. </w:t>
      </w:r>
      <w:r w:rsidRPr="00DB305C">
        <w:rPr>
          <w:strike/>
          <w:color w:val="000000"/>
        </w:rPr>
        <w:t>The reverse power flow limit is based strictly on the transformer nameplate, with no consideration given to any forward power load on the transformer</w:t>
      </w:r>
      <w:r w:rsidRPr="00DB305C">
        <w:rPr>
          <w:color w:val="000000"/>
        </w:rPr>
        <w:t>.</w:t>
      </w:r>
      <w:r>
        <w:rPr>
          <w:color w:val="000000"/>
        </w:rPr>
        <w:t xml:space="preserve"> </w:t>
      </w:r>
      <w:r w:rsidRPr="005E4186">
        <w:rPr>
          <w:color w:val="FF0000"/>
        </w:rPr>
        <w:t xml:space="preserve">The minimum forward loading of the transformer shall be considered for the </w:t>
      </w:r>
      <w:r>
        <w:rPr>
          <w:color w:val="FF0000"/>
        </w:rPr>
        <w:t xml:space="preserve">Capacity limit </w:t>
      </w:r>
      <w:r w:rsidRPr="005E4186">
        <w:rPr>
          <w:color w:val="FF0000"/>
        </w:rPr>
        <w:t>assessment.</w:t>
      </w:r>
      <w:r>
        <w:rPr>
          <w:color w:val="FF0000"/>
        </w:rPr>
        <w:t xml:space="preserve"> </w:t>
      </w:r>
      <w:r>
        <w:rPr>
          <w:color w:val="000000"/>
        </w:rPr>
        <w:t xml:space="preserve">Reverse power flow that will significantly add to the transformer insulation loss of life on a routine basis, based on the transformer specification and the insulation aging description in the latest version of IEEE Std. C57.91, will be evaluated. Any </w:t>
      </w:r>
      <w:r>
        <w:rPr>
          <w:color w:val="000000"/>
        </w:rPr>
        <w:lastRenderedPageBreak/>
        <w:t>required transformer upgrades will be included in system modifications required to interconnect the DER Facility.</w:t>
      </w:r>
    </w:p>
    <w:p w14:paraId="3F7760CE" w14:textId="77777777" w:rsidR="00596D17" w:rsidRDefault="00596D17" w:rsidP="00596D17">
      <w:pPr>
        <w:pBdr>
          <w:top w:val="nil"/>
          <w:left w:val="nil"/>
          <w:bottom w:val="nil"/>
          <w:right w:val="nil"/>
          <w:between w:val="nil"/>
        </w:pBdr>
        <w:ind w:left="720"/>
        <w:rPr>
          <w:color w:val="000000"/>
        </w:rPr>
      </w:pPr>
      <w:r>
        <w:rPr>
          <w:color w:val="000000"/>
        </w:rPr>
        <w:t xml:space="preserve">DER Facilities must supply a balanced three-phase output such that there would never be a situation where a substation transformer could experience forward power flow on one or more phases while experiencing reverse power flow on the other phase(s). </w:t>
      </w:r>
    </w:p>
    <w:p w14:paraId="61C9A7CF" w14:textId="77777777" w:rsidR="00596D17" w:rsidRDefault="00596D17" w:rsidP="00596D17">
      <w:pPr>
        <w:pStyle w:val="Heading2"/>
        <w:numPr>
          <w:ilvl w:val="1"/>
          <w:numId w:val="8"/>
        </w:numPr>
        <w:ind w:left="1440"/>
      </w:pPr>
      <w:bookmarkStart w:id="38" w:name="_Toc122618287"/>
      <w:r>
        <w:t>Transmission Ground Fault Protection</w:t>
      </w:r>
      <w:bookmarkEnd w:id="38"/>
    </w:p>
    <w:p w14:paraId="10379C66" w14:textId="77777777" w:rsidR="00596D17" w:rsidRDefault="00596D17" w:rsidP="00596D17">
      <w:pPr>
        <w:pBdr>
          <w:top w:val="nil"/>
          <w:left w:val="nil"/>
          <w:bottom w:val="nil"/>
          <w:right w:val="nil"/>
          <w:between w:val="nil"/>
        </w:pBdr>
        <w:ind w:left="720"/>
        <w:rPr>
          <w:color w:val="000000"/>
        </w:rPr>
      </w:pPr>
      <w:r>
        <w:rPr>
          <w:color w:val="000000"/>
        </w:rPr>
        <w:t xml:space="preserve">For situations where the total DER on the substation is approaching the minimum load of the substation, reverse power flow and the likelihood of the DER being able to sustain overvoltage conditions in the event of a single line to ground fault on the high side of the substation transformer are of concern.  In these instances, zero-sequence overvoltage relaying (59N) is required on the high-side of the supply transformer (if delta or otherwise ungrounded) to detect and trip the DER’s contribution to transmission ground faults. In instances where primary instrumentation transformers are not viable, DTT may be used to disconnect the facility for transmission faults. </w:t>
      </w:r>
    </w:p>
    <w:p w14:paraId="4077B39F" w14:textId="77777777" w:rsidR="00596D17" w:rsidRDefault="00596D17" w:rsidP="00596D17">
      <w:pPr>
        <w:pStyle w:val="Heading1"/>
        <w:numPr>
          <w:ilvl w:val="0"/>
          <w:numId w:val="8"/>
        </w:numPr>
      </w:pPr>
      <w:bookmarkStart w:id="39" w:name="_Toc122618288"/>
      <w:r>
        <w:t>Simplified Spot and Area Network Interconnections</w:t>
      </w:r>
      <w:bookmarkEnd w:id="39"/>
    </w:p>
    <w:p w14:paraId="4B32A7F0" w14:textId="77777777" w:rsidR="00596D17" w:rsidRPr="00D37783" w:rsidRDefault="00596D17" w:rsidP="00596D17">
      <w:pPr>
        <w:rPr>
          <w:color w:val="EE0000"/>
          <w:highlight w:val="yellow"/>
        </w:rPr>
      </w:pPr>
      <w:r>
        <w:t>For all UL 1741 Listed Inverter-based Facilities connecting to a Spot or Area Network that have a total nameplate rating less than 1/15 of the Customer’s minimum load and 15kW or less qualify of for the Simplified interconnection track per the interconnection tariff. Facilities that do not qualify for Simplified interconnections require a study per the Standard process</w:t>
      </w:r>
      <w:r w:rsidRPr="00DE6016">
        <w:rPr>
          <w:color w:val="EE0000"/>
        </w:rPr>
        <w:t xml:space="preserve"> </w:t>
      </w:r>
      <w:r w:rsidRPr="00712AEC">
        <w:rPr>
          <w:color w:val="EE0000"/>
        </w:rPr>
        <w:t>that is evaluated on a case-by-case basis.</w:t>
      </w:r>
      <w:r>
        <w:rPr>
          <w:color w:val="EE0000"/>
        </w:rPr>
        <w:t xml:space="preserve"> Please refer to the Company’s Technical Guide for further information related to the Network Interconnection requirements.</w:t>
      </w:r>
      <w:bookmarkStart w:id="40" w:name="_Toc122618289"/>
    </w:p>
    <w:p w14:paraId="71617F78" w14:textId="77777777" w:rsidR="00596D17" w:rsidRDefault="00596D17" w:rsidP="00596D17">
      <w:pPr>
        <w:pStyle w:val="Heading1"/>
        <w:numPr>
          <w:ilvl w:val="0"/>
          <w:numId w:val="8"/>
        </w:numPr>
      </w:pPr>
      <w:r>
        <w:t>Voltage Flicker</w:t>
      </w:r>
      <w:bookmarkEnd w:id="40"/>
      <w:r>
        <w:t xml:space="preserve"> </w:t>
      </w:r>
      <w:r w:rsidRPr="00AA164A">
        <w:rPr>
          <w:color w:val="EE0000"/>
        </w:rPr>
        <w:t>&amp; Rapid Voltage Change (RVC)</w:t>
      </w:r>
    </w:p>
    <w:p w14:paraId="44642444" w14:textId="77777777" w:rsidR="00596D17" w:rsidRDefault="00596D17" w:rsidP="00596D17">
      <w:r>
        <w:t>During the Expedited Review process, voltage deviations of greater than 2.0% will prompt the application to be moved to a full System Impact Study.</w:t>
      </w:r>
    </w:p>
    <w:p w14:paraId="50D02057" w14:textId="77777777" w:rsidR="00596D17" w:rsidRPr="00A8532E" w:rsidRDefault="00596D17" w:rsidP="00596D17">
      <w:pPr>
        <w:rPr>
          <w:color w:val="FF0000"/>
        </w:rPr>
      </w:pPr>
      <w:r w:rsidRPr="00A8532E">
        <w:rPr>
          <w:color w:val="FF0000"/>
        </w:rPr>
        <w:t>Eversource</w:t>
      </w:r>
      <w:r>
        <w:rPr>
          <w:color w:val="FF0000"/>
        </w:rPr>
        <w:t>/National Grid</w:t>
      </w:r>
      <w:r w:rsidRPr="00A8532E">
        <w:rPr>
          <w:color w:val="FF0000"/>
        </w:rPr>
        <w:t xml:space="preserve">: </w:t>
      </w:r>
    </w:p>
    <w:p w14:paraId="5B758910" w14:textId="77777777" w:rsidR="00596D17" w:rsidRPr="00A8532E" w:rsidRDefault="00596D17" w:rsidP="00596D17">
      <w:pPr>
        <w:rPr>
          <w:color w:val="FF0000"/>
        </w:rPr>
      </w:pPr>
      <w:r w:rsidRPr="00A8532E">
        <w:rPr>
          <w:color w:val="FF0000"/>
        </w:rPr>
        <w:t xml:space="preserve">The DER shall not cause step or ramp change at the POI exceeding 3% at medium distribution voltages per IEEE 1547-2018 clause 7.2.2. </w:t>
      </w:r>
      <w:r w:rsidRPr="00A8532E">
        <w:rPr>
          <w:rFonts w:cstheme="minorBidi"/>
          <w:color w:val="FF0000"/>
        </w:rPr>
        <w:t>The DER shall also not exceed the voltage flicker (</w:t>
      </w:r>
      <w:proofErr w:type="spellStart"/>
      <w:r w:rsidRPr="00A8532E">
        <w:rPr>
          <w:rFonts w:cstheme="minorBidi"/>
          <w:color w:val="FF0000"/>
        </w:rPr>
        <w:t>Pst</w:t>
      </w:r>
      <w:proofErr w:type="spellEnd"/>
      <w:r w:rsidRPr="00A8532E">
        <w:rPr>
          <w:rFonts w:cstheme="minorBidi"/>
          <w:color w:val="FF0000"/>
        </w:rPr>
        <w:t xml:space="preserve"> and </w:t>
      </w:r>
      <w:proofErr w:type="spellStart"/>
      <w:r w:rsidRPr="00A8532E">
        <w:rPr>
          <w:rFonts w:cstheme="minorBidi"/>
          <w:color w:val="FF0000"/>
        </w:rPr>
        <w:t>Plt</w:t>
      </w:r>
      <w:proofErr w:type="spellEnd"/>
      <w:r w:rsidRPr="00A8532E">
        <w:rPr>
          <w:rFonts w:cstheme="minorBidi"/>
          <w:color w:val="FF0000"/>
        </w:rPr>
        <w:t>) limits defined in the latest EDC approved versions of IEEE 1547 and IEEE1453.</w:t>
      </w:r>
    </w:p>
    <w:p w14:paraId="47181463" w14:textId="77777777" w:rsidR="00596D17" w:rsidRDefault="00596D17" w:rsidP="00596D17">
      <w:pPr>
        <w:pStyle w:val="Heading1"/>
        <w:numPr>
          <w:ilvl w:val="0"/>
          <w:numId w:val="8"/>
        </w:numPr>
      </w:pPr>
      <w:bookmarkStart w:id="41" w:name="_Toc122618290"/>
      <w:r>
        <w:lastRenderedPageBreak/>
        <w:t>Detailed Study</w:t>
      </w:r>
      <w:bookmarkEnd w:id="41"/>
    </w:p>
    <w:p w14:paraId="01D2F12F" w14:textId="77777777" w:rsidR="00596D17" w:rsidRDefault="00596D17" w:rsidP="00596D17">
      <w:r>
        <w:t>The Detailed Study from each utility follows the requirements of the tariff. Each utility provides an Estimated Project Construction Schedule/Duration which will include a description of major milestone items, duration of each milestone item in weeks, and responsible party for that item.</w:t>
      </w:r>
    </w:p>
    <w:p w14:paraId="147B5C0A" w14:textId="77777777" w:rsidR="00596D17" w:rsidRDefault="00596D17" w:rsidP="00596D17">
      <w:r>
        <w:t xml:space="preserve">In general, unless otherwise noted on the schedule, milestone items are assumed to be sequential, in that one must be completed before the next may proceed.  Delays at any one milestone item, </w:t>
      </w:r>
      <w:proofErr w:type="gramStart"/>
      <w:r>
        <w:t>including  but</w:t>
      </w:r>
      <w:proofErr w:type="gramEnd"/>
      <w:r>
        <w:t xml:space="preserve"> not limited to, weather, force majeure, customer response, transmission outage requirements, or other unforeseen circumstances outside of utility control will result in delay of total project </w:t>
      </w:r>
      <w:proofErr w:type="gramStart"/>
      <w:r>
        <w:t>time line</w:t>
      </w:r>
      <w:proofErr w:type="gramEnd"/>
      <w:r>
        <w:t xml:space="preserve">. The information included is on a case-by-case basis for the project as determined by the results of the detailed study and </w:t>
      </w:r>
      <w:proofErr w:type="gramStart"/>
      <w:r>
        <w:t>are</w:t>
      </w:r>
      <w:proofErr w:type="gramEnd"/>
      <w:r>
        <w:t xml:space="preserve"> subject to each utility’s construction terms and conditions. </w:t>
      </w:r>
    </w:p>
    <w:p w14:paraId="55200E87" w14:textId="77777777" w:rsidR="00596D17" w:rsidRDefault="00596D17" w:rsidP="00596D17">
      <w:pPr>
        <w:pStyle w:val="Heading1"/>
        <w:numPr>
          <w:ilvl w:val="0"/>
          <w:numId w:val="8"/>
        </w:numPr>
      </w:pPr>
      <w:bookmarkStart w:id="42" w:name="_Toc122618291"/>
      <w:r>
        <w:t>Energy Storage Systems (ESS)</w:t>
      </w:r>
      <w:bookmarkEnd w:id="42"/>
    </w:p>
    <w:p w14:paraId="49DA4242" w14:textId="77777777" w:rsidR="00596D17" w:rsidRDefault="00596D17" w:rsidP="00596D17">
      <w:r>
        <w:t>The Joint Utilities generally permit interconnection of energy storage systems to their infrastructure.  The following section identifies further details surrounding the interconnection of ESS.  Where practices differ amongst the Joint Utilities, individual utility position is listed below, with explanation as to the need for the differentiation.</w:t>
      </w:r>
    </w:p>
    <w:p w14:paraId="552CC96C" w14:textId="77777777" w:rsidR="00596D17" w:rsidRDefault="00596D17" w:rsidP="00596D17">
      <w:pPr>
        <w:pStyle w:val="Heading2"/>
        <w:numPr>
          <w:ilvl w:val="1"/>
          <w:numId w:val="8"/>
        </w:numPr>
        <w:ind w:left="1440"/>
      </w:pPr>
      <w:bookmarkStart w:id="43" w:name="_Toc122618292"/>
      <w:r>
        <w:t>Technical Analyses</w:t>
      </w:r>
      <w:bookmarkEnd w:id="43"/>
    </w:p>
    <w:p w14:paraId="32382035" w14:textId="77777777" w:rsidR="00596D17" w:rsidRDefault="00596D17" w:rsidP="00596D17">
      <w:pPr>
        <w:pBdr>
          <w:top w:val="nil"/>
          <w:left w:val="nil"/>
          <w:bottom w:val="nil"/>
          <w:right w:val="nil"/>
          <w:between w:val="nil"/>
        </w:pBdr>
        <w:ind w:left="720"/>
        <w:rPr>
          <w:color w:val="000000"/>
        </w:rPr>
      </w:pPr>
      <w:r>
        <w:rPr>
          <w:color w:val="000000"/>
        </w:rPr>
        <w:t xml:space="preserve">Load flow simulation and protective device analysis will be performed for ESS interconnections in a similar manner to that of a proposed site that does not include ESS.  As ESS is a dispatchable source, time of day operations of the site and any other </w:t>
      </w:r>
      <w:proofErr w:type="gramStart"/>
      <w:r>
        <w:rPr>
          <w:color w:val="000000"/>
        </w:rPr>
        <w:t>site specific</w:t>
      </w:r>
      <w:proofErr w:type="gramEnd"/>
      <w:r>
        <w:rPr>
          <w:color w:val="000000"/>
        </w:rPr>
        <w:t xml:space="preserve"> control schemes incorporated into the design will be factored into the analysis, as well as the implementation of any advanced functions.  </w:t>
      </w:r>
    </w:p>
    <w:p w14:paraId="2E386147" w14:textId="77777777" w:rsidR="00596D17" w:rsidRDefault="00596D17" w:rsidP="00596D17">
      <w:pPr>
        <w:pBdr>
          <w:top w:val="nil"/>
          <w:left w:val="nil"/>
          <w:bottom w:val="nil"/>
          <w:right w:val="nil"/>
          <w:between w:val="nil"/>
        </w:pBdr>
        <w:ind w:left="720"/>
        <w:rPr>
          <w:color w:val="000000"/>
        </w:rPr>
      </w:pPr>
      <w:r>
        <w:rPr>
          <w:color w:val="000000"/>
        </w:rPr>
        <w:t xml:space="preserve">Further discussion regarding ESS specific design aspects </w:t>
      </w:r>
      <w:proofErr w:type="gramStart"/>
      <w:r>
        <w:rPr>
          <w:color w:val="000000"/>
        </w:rPr>
        <w:t>are</w:t>
      </w:r>
      <w:proofErr w:type="gramEnd"/>
      <w:r>
        <w:rPr>
          <w:color w:val="000000"/>
        </w:rPr>
        <w:t xml:space="preserve"> provided in the subsequent sub-sections.  The Joint Utilities acknowledge the </w:t>
      </w:r>
      <w:r w:rsidRPr="00F47391">
        <w:rPr>
          <w:color w:val="000000"/>
        </w:rPr>
        <w:t xml:space="preserve">evolving nature of ESS technology, design aspects, and state incentives that may drive new and unique site designs in the future.  In the interest of collaboratively progressing toward the most efficient state of the electric power system, the Utilities will consider </w:t>
      </w:r>
      <w:proofErr w:type="gramStart"/>
      <w:r w:rsidRPr="00F47391">
        <w:rPr>
          <w:color w:val="000000"/>
        </w:rPr>
        <w:t>any and all</w:t>
      </w:r>
      <w:proofErr w:type="gramEnd"/>
      <w:r w:rsidRPr="00F47391">
        <w:rPr>
          <w:color w:val="000000"/>
        </w:rPr>
        <w:t xml:space="preserve"> proposed designs, seeking to ensure system safety, reliability, and efficiency.</w:t>
      </w:r>
      <w:r>
        <w:rPr>
          <w:color w:val="000000"/>
        </w:rPr>
        <w:t xml:space="preserve">  </w:t>
      </w:r>
    </w:p>
    <w:p w14:paraId="43F8BA55" w14:textId="77777777" w:rsidR="00596D17" w:rsidRDefault="00596D17" w:rsidP="00596D17">
      <w:pPr>
        <w:pStyle w:val="Heading2"/>
        <w:numPr>
          <w:ilvl w:val="1"/>
          <w:numId w:val="8"/>
        </w:numPr>
        <w:ind w:left="1440"/>
      </w:pPr>
      <w:bookmarkStart w:id="44" w:name="_Toc122618293"/>
      <w:r>
        <w:t>Coupling</w:t>
      </w:r>
      <w:bookmarkEnd w:id="44"/>
      <w:r>
        <w:t xml:space="preserve"> </w:t>
      </w:r>
    </w:p>
    <w:p w14:paraId="38112B0B" w14:textId="77777777" w:rsidR="00596D17" w:rsidRDefault="00596D17" w:rsidP="00596D17">
      <w:pPr>
        <w:pBdr>
          <w:top w:val="nil"/>
          <w:left w:val="nil"/>
          <w:bottom w:val="nil"/>
          <w:right w:val="nil"/>
          <w:between w:val="nil"/>
        </w:pBdr>
        <w:ind w:left="720"/>
        <w:rPr>
          <w:color w:val="000000"/>
        </w:rPr>
      </w:pPr>
      <w:r>
        <w:rPr>
          <w:color w:val="000000"/>
        </w:rPr>
        <w:t>Systems may be interconnected as stand-alone storage systems, or coupled with distributed generation, such as photovoltaics.  Where coupled with DG, coupling may be accomplished either by DC coupling behind a single inverter, or via AC coupling through multiple inverters.</w:t>
      </w:r>
    </w:p>
    <w:p w14:paraId="05AD0883" w14:textId="77777777" w:rsidR="00596D17" w:rsidRDefault="00596D17" w:rsidP="00596D17">
      <w:pPr>
        <w:pStyle w:val="Heading2"/>
        <w:numPr>
          <w:ilvl w:val="1"/>
          <w:numId w:val="8"/>
        </w:numPr>
        <w:ind w:left="1440"/>
      </w:pPr>
      <w:bookmarkStart w:id="45" w:name="_Toc122618294"/>
      <w:r>
        <w:lastRenderedPageBreak/>
        <w:t xml:space="preserve">Limiting </w:t>
      </w:r>
      <w:r w:rsidRPr="00A8532E">
        <w:rPr>
          <w:color w:val="EE0000"/>
        </w:rPr>
        <w:t>Import &amp;</w:t>
      </w:r>
      <w:r>
        <w:t xml:space="preserve"> Export</w:t>
      </w:r>
      <w:bookmarkEnd w:id="45"/>
      <w:r>
        <w:t xml:space="preserve"> </w:t>
      </w:r>
    </w:p>
    <w:p w14:paraId="5A2C2FF4" w14:textId="77777777" w:rsidR="00596D17" w:rsidRPr="00FE49EE" w:rsidRDefault="00596D17" w:rsidP="00596D17">
      <w:pPr>
        <w:pStyle w:val="ListParagraph"/>
        <w:pBdr>
          <w:top w:val="nil"/>
          <w:left w:val="nil"/>
          <w:bottom w:val="nil"/>
          <w:right w:val="nil"/>
          <w:between w:val="nil"/>
        </w:pBdr>
        <w:ind w:left="810"/>
        <w:rPr>
          <w:color w:val="000000"/>
        </w:rPr>
      </w:pPr>
      <w:r w:rsidRPr="00FE49EE">
        <w:rPr>
          <w:color w:val="000000"/>
        </w:rPr>
        <w:t xml:space="preserve">Customer proposals to limit </w:t>
      </w:r>
      <w:r w:rsidRPr="00FE49EE">
        <w:rPr>
          <w:color w:val="FF0000"/>
        </w:rPr>
        <w:t xml:space="preserve">import and </w:t>
      </w:r>
      <w:r w:rsidRPr="00FE49EE">
        <w:rPr>
          <w:color w:val="000000"/>
        </w:rPr>
        <w:t xml:space="preserve">export of a paired ESS + solar facilities are evaluated by the Utility on a case-by-case basis based on </w:t>
      </w:r>
      <w:r w:rsidRPr="00244AB6">
        <w:t>the certified operational characteristics and technical review sizing principles</w:t>
      </w:r>
      <w:r>
        <w:t xml:space="preserve"> acceptable to the individual Utility</w:t>
      </w:r>
      <w:r w:rsidRPr="00244AB6">
        <w:t>, though</w:t>
      </w:r>
      <w:r w:rsidRPr="00FE49EE">
        <w:rPr>
          <w:color w:val="000000"/>
        </w:rPr>
        <w:t xml:space="preserve"> not indicative of a standard going forward for all projects. </w:t>
      </w:r>
    </w:p>
    <w:p w14:paraId="6C387D7A" w14:textId="77777777" w:rsidR="00596D17" w:rsidRDefault="00596D17" w:rsidP="00596D17">
      <w:pPr>
        <w:pBdr>
          <w:top w:val="nil"/>
          <w:left w:val="nil"/>
          <w:bottom w:val="nil"/>
          <w:right w:val="nil"/>
          <w:between w:val="nil"/>
        </w:pBdr>
        <w:ind w:left="720"/>
        <w:rPr>
          <w:color w:val="000000"/>
        </w:rPr>
      </w:pPr>
      <w:r>
        <w:rPr>
          <w:color w:val="000000"/>
        </w:rPr>
        <w:t xml:space="preserve">The purpose of a </w:t>
      </w:r>
      <w:proofErr w:type="gramStart"/>
      <w:r>
        <w:rPr>
          <w:color w:val="000000"/>
        </w:rPr>
        <w:t>Customer’s</w:t>
      </w:r>
      <w:proofErr w:type="gramEnd"/>
      <w:r>
        <w:rPr>
          <w:color w:val="000000"/>
        </w:rPr>
        <w:t xml:space="preserve"> proposed power export </w:t>
      </w:r>
      <w:r w:rsidRPr="009814D0">
        <w:rPr>
          <w:color w:val="FF0000"/>
        </w:rPr>
        <w:t xml:space="preserve">and/or import </w:t>
      </w:r>
      <w:r>
        <w:rPr>
          <w:color w:val="000000"/>
        </w:rPr>
        <w:t xml:space="preserve">limiting scheme is to limit the maximum export </w:t>
      </w:r>
      <w:r w:rsidRPr="009814D0">
        <w:rPr>
          <w:color w:val="FF0000"/>
        </w:rPr>
        <w:t xml:space="preserve">and/or import </w:t>
      </w:r>
      <w:r>
        <w:rPr>
          <w:color w:val="000000"/>
        </w:rPr>
        <w:t xml:space="preserve">capabilities from the Facility.  Export </w:t>
      </w:r>
      <w:r w:rsidRPr="009814D0">
        <w:rPr>
          <w:color w:val="FF0000"/>
        </w:rPr>
        <w:t xml:space="preserve">and Import </w:t>
      </w:r>
      <w:r>
        <w:rPr>
          <w:color w:val="000000"/>
        </w:rPr>
        <w:t xml:space="preserve">will be considered as the </w:t>
      </w:r>
      <w:r w:rsidRPr="009814D0">
        <w:rPr>
          <w:color w:val="FF0000"/>
        </w:rPr>
        <w:t xml:space="preserve">DER capability </w:t>
      </w:r>
      <w:r>
        <w:rPr>
          <w:color w:val="000000"/>
        </w:rPr>
        <w:t xml:space="preserve">at the point of common coupling (PCC). </w:t>
      </w:r>
    </w:p>
    <w:p w14:paraId="4E32A95B" w14:textId="77777777" w:rsidR="00596D17" w:rsidRPr="00F47391" w:rsidRDefault="00596D17" w:rsidP="00596D17">
      <w:pPr>
        <w:pBdr>
          <w:top w:val="nil"/>
          <w:left w:val="nil"/>
          <w:bottom w:val="nil"/>
          <w:right w:val="nil"/>
          <w:between w:val="nil"/>
        </w:pBdr>
        <w:ind w:left="720"/>
        <w:rPr>
          <w:color w:val="000000"/>
        </w:rPr>
      </w:pPr>
      <w:r>
        <w:rPr>
          <w:color w:val="000000"/>
        </w:rPr>
        <w:t xml:space="preserve">Limiting site export </w:t>
      </w:r>
      <w:r w:rsidRPr="00515C4A">
        <w:rPr>
          <w:color w:val="FF0000"/>
        </w:rPr>
        <w:t xml:space="preserve">or import </w:t>
      </w:r>
      <w:r>
        <w:rPr>
          <w:color w:val="000000"/>
        </w:rPr>
        <w:t xml:space="preserve">would generally impact the load flow analyses of the interconnection, in some cases reducing required system modifications from what would </w:t>
      </w:r>
      <w:r w:rsidRPr="00F47391">
        <w:rPr>
          <w:color w:val="000000"/>
        </w:rPr>
        <w:t xml:space="preserve">otherwise have been required for full nameplate output.  </w:t>
      </w:r>
    </w:p>
    <w:p w14:paraId="0897E19A" w14:textId="77777777" w:rsidR="00596D17" w:rsidRPr="00F47391" w:rsidRDefault="00596D17" w:rsidP="00596D17">
      <w:pPr>
        <w:pBdr>
          <w:top w:val="nil"/>
          <w:left w:val="nil"/>
          <w:bottom w:val="nil"/>
          <w:right w:val="nil"/>
          <w:between w:val="nil"/>
        </w:pBdr>
        <w:ind w:left="720"/>
        <w:rPr>
          <w:color w:val="000000"/>
        </w:rPr>
      </w:pPr>
      <w:r w:rsidRPr="00F47391">
        <w:rPr>
          <w:color w:val="000000"/>
        </w:rPr>
        <w:t>A utility-grade, ANSI C37.90</w:t>
      </w:r>
      <w:r>
        <w:rPr>
          <w:color w:val="EE0000"/>
        </w:rPr>
        <w:t xml:space="preserve"> </w:t>
      </w:r>
      <w:r w:rsidRPr="00F47391">
        <w:rPr>
          <w:color w:val="000000"/>
        </w:rPr>
        <w:t xml:space="preserve">is required for limit control functions.  The relay sensing must be located at the point of common coupling.  Specific location is subject to </w:t>
      </w:r>
      <w:proofErr w:type="gramStart"/>
      <w:r w:rsidRPr="00F47391">
        <w:rPr>
          <w:color w:val="000000"/>
        </w:rPr>
        <w:t>review</w:t>
      </w:r>
      <w:proofErr w:type="gramEnd"/>
      <w:r w:rsidRPr="00F47391">
        <w:rPr>
          <w:color w:val="000000"/>
        </w:rPr>
        <w:t xml:space="preserve"> by the Utility</w:t>
      </w:r>
      <w:r>
        <w:rPr>
          <w:color w:val="000000"/>
        </w:rPr>
        <w:t xml:space="preserve"> for appropriate placement.  The total system accuracy must be factored into the proposed relay settings, which must be calculated based on the highest power export case that has the largest sum accuracy of the protective devices in the control scheme.  A root mean square (RMS) calculation method is insufficient to calculate the worst-case error and meet the Utility equipment system protection needs.  Class I resources (less than or equal to 60kW) on radial feeders shall not </w:t>
      </w:r>
      <w:r w:rsidRPr="005509E9">
        <w:t>be subject to ANSI C37.90 relay requirements.</w:t>
      </w:r>
      <w:bookmarkStart w:id="46" w:name="_Hlk11133565"/>
      <w:r>
        <w:t xml:space="preserve">  </w:t>
      </w:r>
      <w:r>
        <w:rPr>
          <w:color w:val="000000"/>
        </w:rPr>
        <w:t xml:space="preserve">For projects with an acceptable site limiting scheme, the limited site export generation would be used in </w:t>
      </w:r>
      <w:r w:rsidRPr="00F47391">
        <w:rPr>
          <w:color w:val="000000"/>
        </w:rPr>
        <w:t>calculation/analysis of load flow analyses including but not limited to the following:</w:t>
      </w:r>
    </w:p>
    <w:p w14:paraId="45B686BE" w14:textId="77777777" w:rsidR="00596D17" w:rsidRPr="00F47391" w:rsidRDefault="00596D17" w:rsidP="00596D17">
      <w:pPr>
        <w:pStyle w:val="ListParagraph"/>
        <w:numPr>
          <w:ilvl w:val="0"/>
          <w:numId w:val="11"/>
        </w:numPr>
        <w:pBdr>
          <w:top w:val="nil"/>
          <w:left w:val="nil"/>
          <w:bottom w:val="nil"/>
          <w:right w:val="nil"/>
          <w:between w:val="nil"/>
        </w:pBdr>
        <w:spacing w:after="0"/>
        <w:ind w:left="1710"/>
      </w:pPr>
      <w:r w:rsidRPr="00F47391">
        <w:rPr>
          <w:color w:val="000000"/>
        </w:rPr>
        <w:t>Conductor thermal capabilities (short-term and long-term contingencies)</w:t>
      </w:r>
    </w:p>
    <w:p w14:paraId="065C10E7" w14:textId="77777777" w:rsidR="00596D17" w:rsidRPr="00F47391" w:rsidRDefault="00596D17" w:rsidP="00596D17">
      <w:pPr>
        <w:pStyle w:val="ListParagraph"/>
        <w:numPr>
          <w:ilvl w:val="0"/>
          <w:numId w:val="11"/>
        </w:numPr>
        <w:pBdr>
          <w:top w:val="nil"/>
          <w:left w:val="nil"/>
          <w:bottom w:val="nil"/>
          <w:right w:val="nil"/>
          <w:between w:val="nil"/>
        </w:pBdr>
        <w:spacing w:after="0"/>
        <w:ind w:left="1710"/>
      </w:pPr>
      <w:r w:rsidRPr="00F47391">
        <w:rPr>
          <w:color w:val="000000"/>
        </w:rPr>
        <w:t>Exceeding equipment nameplate ratings (e.g. transformer, regulators, etc.)</w:t>
      </w:r>
    </w:p>
    <w:p w14:paraId="15011449" w14:textId="77777777" w:rsidR="00596D17" w:rsidRPr="00F47391" w:rsidRDefault="00596D17" w:rsidP="00596D17">
      <w:pPr>
        <w:pStyle w:val="ListParagraph"/>
        <w:numPr>
          <w:ilvl w:val="0"/>
          <w:numId w:val="11"/>
        </w:numPr>
        <w:pBdr>
          <w:top w:val="nil"/>
          <w:left w:val="nil"/>
          <w:bottom w:val="nil"/>
          <w:right w:val="nil"/>
          <w:between w:val="nil"/>
        </w:pBdr>
        <w:spacing w:after="0"/>
        <w:ind w:left="1710"/>
        <w:rPr>
          <w:color w:val="000000"/>
        </w:rPr>
      </w:pPr>
      <w:r w:rsidRPr="00F47391">
        <w:rPr>
          <w:color w:val="000000"/>
        </w:rPr>
        <w:t>Flicker</w:t>
      </w:r>
    </w:p>
    <w:p w14:paraId="6573E7FE" w14:textId="77777777" w:rsidR="00596D17" w:rsidRPr="00F47391" w:rsidRDefault="00596D17" w:rsidP="00596D17">
      <w:pPr>
        <w:pStyle w:val="ListParagraph"/>
        <w:numPr>
          <w:ilvl w:val="0"/>
          <w:numId w:val="11"/>
        </w:numPr>
        <w:pBdr>
          <w:top w:val="nil"/>
          <w:left w:val="nil"/>
          <w:bottom w:val="nil"/>
          <w:right w:val="nil"/>
          <w:between w:val="nil"/>
        </w:pBdr>
        <w:spacing w:after="0"/>
        <w:ind w:left="1710"/>
        <w:rPr>
          <w:color w:val="000000"/>
        </w:rPr>
      </w:pPr>
      <w:r w:rsidRPr="00F47391">
        <w:rPr>
          <w:color w:val="000000"/>
        </w:rPr>
        <w:t>Steady state voltage analysis</w:t>
      </w:r>
    </w:p>
    <w:p w14:paraId="2A97F34F" w14:textId="77777777" w:rsidR="00596D17" w:rsidRPr="00F47391" w:rsidRDefault="00596D17" w:rsidP="00596D17">
      <w:pPr>
        <w:pStyle w:val="ListParagraph"/>
        <w:numPr>
          <w:ilvl w:val="0"/>
          <w:numId w:val="11"/>
        </w:numPr>
        <w:pBdr>
          <w:top w:val="nil"/>
          <w:left w:val="nil"/>
          <w:bottom w:val="nil"/>
          <w:right w:val="nil"/>
          <w:between w:val="nil"/>
        </w:pBdr>
        <w:spacing w:after="0"/>
        <w:ind w:left="1710"/>
        <w:rPr>
          <w:color w:val="000000"/>
        </w:rPr>
      </w:pPr>
      <w:r w:rsidRPr="00F47391">
        <w:rPr>
          <w:color w:val="000000"/>
        </w:rPr>
        <w:t>Power factor analysis</w:t>
      </w:r>
      <w:bookmarkEnd w:id="46"/>
    </w:p>
    <w:p w14:paraId="225DF717" w14:textId="77777777" w:rsidR="00596D17" w:rsidRPr="00F47391" w:rsidRDefault="00596D17" w:rsidP="00596D17">
      <w:pPr>
        <w:pBdr>
          <w:top w:val="nil"/>
          <w:left w:val="nil"/>
          <w:bottom w:val="nil"/>
          <w:right w:val="nil"/>
          <w:between w:val="nil"/>
        </w:pBdr>
        <w:spacing w:after="0"/>
        <w:rPr>
          <w:color w:val="000000"/>
        </w:rPr>
      </w:pPr>
    </w:p>
    <w:p w14:paraId="09DCFB96" w14:textId="77777777" w:rsidR="00596D17" w:rsidRDefault="00596D17" w:rsidP="00596D17">
      <w:pPr>
        <w:pBdr>
          <w:top w:val="nil"/>
          <w:left w:val="nil"/>
          <w:bottom w:val="nil"/>
          <w:right w:val="nil"/>
          <w:between w:val="nil"/>
        </w:pBdr>
        <w:ind w:left="720"/>
        <w:rPr>
          <w:color w:val="000000"/>
        </w:rPr>
      </w:pPr>
      <w:r w:rsidRPr="00F47391">
        <w:rPr>
          <w:color w:val="000000"/>
        </w:rPr>
        <w:t xml:space="preserve">For analysis related to fault conditions and risk of islanding concerns it is necessary to consider the full nameplate capacity of the inverters, therefore the limited site export generation would </w:t>
      </w:r>
      <w:r w:rsidRPr="00F47391">
        <w:rPr>
          <w:b/>
          <w:i/>
          <w:color w:val="000000"/>
          <w:u w:val="single"/>
        </w:rPr>
        <w:t>NOT</w:t>
      </w:r>
      <w:r w:rsidRPr="00F47391">
        <w:rPr>
          <w:color w:val="000000"/>
        </w:rPr>
        <w:t xml:space="preserve"> be used in the calculation/analysis of these conditions.</w:t>
      </w:r>
    </w:p>
    <w:p w14:paraId="7DAC4EE1" w14:textId="77777777" w:rsidR="00596D17" w:rsidRDefault="00596D17" w:rsidP="00596D17">
      <w:pPr>
        <w:pStyle w:val="Heading2"/>
        <w:numPr>
          <w:ilvl w:val="1"/>
          <w:numId w:val="8"/>
        </w:numPr>
        <w:ind w:left="1440"/>
      </w:pPr>
      <w:bookmarkStart w:id="47" w:name="_Toc122618295"/>
      <w:r>
        <w:t>Charging Methods</w:t>
      </w:r>
      <w:bookmarkEnd w:id="47"/>
    </w:p>
    <w:p w14:paraId="565B0014" w14:textId="77777777" w:rsidR="00596D17" w:rsidRDefault="00596D17" w:rsidP="00596D17">
      <w:pPr>
        <w:pBdr>
          <w:top w:val="nil"/>
          <w:left w:val="nil"/>
          <w:bottom w:val="nil"/>
          <w:right w:val="nil"/>
          <w:between w:val="nil"/>
        </w:pBdr>
        <w:ind w:left="720"/>
        <w:rPr>
          <w:color w:val="000000"/>
        </w:rPr>
      </w:pPr>
      <w:r>
        <w:rPr>
          <w:color w:val="000000"/>
        </w:rPr>
        <w:t xml:space="preserve">Customers may elect to charge ESS from locally paired DG or may </w:t>
      </w:r>
      <w:proofErr w:type="gramStart"/>
      <w:r>
        <w:rPr>
          <w:color w:val="000000"/>
        </w:rPr>
        <w:t>request to</w:t>
      </w:r>
      <w:proofErr w:type="gramEnd"/>
      <w:r>
        <w:rPr>
          <w:color w:val="000000"/>
        </w:rPr>
        <w:t xml:space="preserve"> charge from the Utility source or both.  The distinction must be made prior to commencement of engineering studies, as this design approach will have a significant impact in the methodology used to evaluate the proposed site.  </w:t>
      </w:r>
    </w:p>
    <w:p w14:paraId="7C1EE04B" w14:textId="77777777" w:rsidR="00596D17" w:rsidRDefault="00596D17" w:rsidP="00596D17">
      <w:pPr>
        <w:pBdr>
          <w:top w:val="nil"/>
          <w:left w:val="nil"/>
          <w:bottom w:val="nil"/>
          <w:right w:val="nil"/>
          <w:between w:val="nil"/>
        </w:pBdr>
        <w:ind w:left="720"/>
        <w:rPr>
          <w:color w:val="000000"/>
        </w:rPr>
      </w:pPr>
      <w:r>
        <w:rPr>
          <w:color w:val="000000"/>
        </w:rPr>
        <w:lastRenderedPageBreak/>
        <w:t xml:space="preserve">If electing to charge from local DG only, the design must explicitly describe and illustrate </w:t>
      </w:r>
      <w:proofErr w:type="gramStart"/>
      <w:r>
        <w:rPr>
          <w:color w:val="000000"/>
        </w:rPr>
        <w:t>the means by which</w:t>
      </w:r>
      <w:proofErr w:type="gramEnd"/>
      <w:r>
        <w:rPr>
          <w:color w:val="000000"/>
        </w:rPr>
        <w:t xml:space="preserve"> the site will protect against Utility charging, subject to review and approval by the Utility.</w:t>
      </w:r>
    </w:p>
    <w:p w14:paraId="6CE2A7B9" w14:textId="7D4FB28B" w:rsidR="00596D17" w:rsidRPr="004F2197" w:rsidRDefault="00596D17" w:rsidP="002065F8">
      <w:pPr>
        <w:pBdr>
          <w:top w:val="nil"/>
          <w:left w:val="nil"/>
          <w:bottom w:val="nil"/>
          <w:right w:val="nil"/>
          <w:between w:val="nil"/>
        </w:pBdr>
        <w:ind w:left="720"/>
      </w:pPr>
      <w:r>
        <w:rPr>
          <w:color w:val="000000"/>
        </w:rPr>
        <w:t xml:space="preserve">If </w:t>
      </w:r>
      <w:proofErr w:type="gramStart"/>
      <w:r>
        <w:rPr>
          <w:color w:val="000000"/>
        </w:rPr>
        <w:t>requesting to</w:t>
      </w:r>
      <w:proofErr w:type="gramEnd"/>
      <w:r>
        <w:rPr>
          <w:color w:val="000000"/>
        </w:rPr>
        <w:t xml:space="preserve"> charge from the Utility source, the Utility may, in its sole discretion, elect to evaluate the charging aspect of the design as a </w:t>
      </w:r>
      <w:r w:rsidRPr="009E76DF">
        <w:rPr>
          <w:strike/>
          <w:color w:val="000000"/>
        </w:rPr>
        <w:t>new</w:t>
      </w:r>
      <w:r>
        <w:rPr>
          <w:color w:val="000000"/>
        </w:rPr>
        <w:t xml:space="preserve"> load customer </w:t>
      </w:r>
      <w:r w:rsidRPr="009E76DF">
        <w:rPr>
          <w:strike/>
          <w:color w:val="000000"/>
        </w:rPr>
        <w:t>request</w:t>
      </w:r>
      <w:r>
        <w:rPr>
          <w:color w:val="000000"/>
        </w:rPr>
        <w:t xml:space="preserve">.  If progressed in this manner, the site would be subject to the Utilities typical procedure for new load customer interconnection, and not subject to </w:t>
      </w:r>
      <w:r w:rsidRPr="00FF139E">
        <w:rPr>
          <w:strike/>
          <w:color w:val="000000"/>
        </w:rPr>
        <w:t xml:space="preserve">MDPU </w:t>
      </w:r>
      <w:proofErr w:type="gramStart"/>
      <w:r w:rsidRPr="00FF139E">
        <w:rPr>
          <w:strike/>
          <w:color w:val="000000"/>
        </w:rPr>
        <w:t>1320</w:t>
      </w:r>
      <w:r>
        <w:rPr>
          <w:strike/>
          <w:color w:val="000000"/>
        </w:rPr>
        <w:t xml:space="preserve">  </w:t>
      </w:r>
      <w:r w:rsidRPr="001B7202">
        <w:rPr>
          <w:color w:val="EE0000"/>
        </w:rPr>
        <w:t>Standards</w:t>
      </w:r>
      <w:proofErr w:type="gramEnd"/>
      <w:r w:rsidRPr="001B7202">
        <w:rPr>
          <w:color w:val="EE0000"/>
        </w:rPr>
        <w:t xml:space="preserve"> for Interconnection of Distributed Generation Tariff</w:t>
      </w:r>
      <w:r>
        <w:rPr>
          <w:color w:val="000000"/>
        </w:rPr>
        <w:t xml:space="preserve">, specifically for the charging mode where the site appears as a load customer.  Consideration of sites in this manner will be project specific and evaluated on a case by case basis.  </w:t>
      </w:r>
    </w:p>
    <w:p w14:paraId="4E496455" w14:textId="77777777" w:rsidR="00596D17" w:rsidRDefault="00596D17" w:rsidP="00596D17">
      <w:pPr>
        <w:pStyle w:val="Heading2"/>
        <w:numPr>
          <w:ilvl w:val="1"/>
          <w:numId w:val="8"/>
        </w:numPr>
        <w:ind w:left="1440"/>
      </w:pPr>
      <w:bookmarkStart w:id="48" w:name="_Toc122618296"/>
      <w:r>
        <w:t>Required Information</w:t>
      </w:r>
      <w:bookmarkEnd w:id="48"/>
      <w:r>
        <w:t xml:space="preserve"> </w:t>
      </w:r>
    </w:p>
    <w:p w14:paraId="709B0218" w14:textId="77777777" w:rsidR="00596D17" w:rsidRDefault="00596D17" w:rsidP="00596D17">
      <w:pPr>
        <w:pBdr>
          <w:top w:val="nil"/>
          <w:left w:val="nil"/>
          <w:bottom w:val="nil"/>
          <w:right w:val="nil"/>
          <w:between w:val="nil"/>
        </w:pBdr>
        <w:ind w:left="720"/>
        <w:rPr>
          <w:color w:val="000000"/>
        </w:rPr>
      </w:pPr>
      <w:r>
        <w:rPr>
          <w:color w:val="000000"/>
        </w:rPr>
        <w:t xml:space="preserve">The following section itemizes a list of typical information that is required </w:t>
      </w:r>
      <w:proofErr w:type="gramStart"/>
      <w:r>
        <w:rPr>
          <w:color w:val="000000"/>
        </w:rPr>
        <w:t>in order for</w:t>
      </w:r>
      <w:proofErr w:type="gramEnd"/>
      <w:r>
        <w:rPr>
          <w:color w:val="000000"/>
        </w:rPr>
        <w:t xml:space="preserve"> the Utility to complete their analyses.  </w:t>
      </w:r>
    </w:p>
    <w:p w14:paraId="05AC3E2B" w14:textId="77777777" w:rsidR="00596D17" w:rsidRDefault="00596D17" w:rsidP="00596D17">
      <w:pPr>
        <w:pBdr>
          <w:top w:val="nil"/>
          <w:left w:val="nil"/>
          <w:bottom w:val="nil"/>
          <w:right w:val="nil"/>
          <w:between w:val="nil"/>
        </w:pBdr>
        <w:ind w:left="720"/>
        <w:rPr>
          <w:color w:val="000000"/>
        </w:rPr>
      </w:pPr>
      <w:r>
        <w:rPr>
          <w:color w:val="000000"/>
        </w:rPr>
        <w:t>Note that portions of this information are required to be collected by the Utilities in order to comply with DOER reporting, which is intended to track progress toward Massachusetts state goals (</w:t>
      </w:r>
      <w:hyperlink r:id="rId17" w:history="1">
        <w:r w:rsidRPr="00A67E02">
          <w:rPr>
            <w:rStyle w:val="Hyperlink"/>
          </w:rPr>
          <w:t>See Chapter 227, Section 20</w:t>
        </w:r>
      </w:hyperlink>
      <w:r>
        <w:rPr>
          <w:color w:val="000000"/>
        </w:rPr>
        <w:t xml:space="preserve">).  </w:t>
      </w:r>
      <w:r w:rsidRPr="00E52E98">
        <w:rPr>
          <w:color w:val="000000"/>
        </w:rPr>
        <w:t xml:space="preserve">This information will be used by the Utility as peripheral information to inform intended site operating parameters, however </w:t>
      </w:r>
      <w:r>
        <w:rPr>
          <w:color w:val="000000"/>
        </w:rPr>
        <w:t xml:space="preserve">all requested information is not expected to have a direct impact on the progression of the engineering analyses. </w:t>
      </w:r>
    </w:p>
    <w:p w14:paraId="3BD9BD61" w14:textId="77777777" w:rsidR="00596D17" w:rsidRDefault="00596D17" w:rsidP="00596D17">
      <w:pPr>
        <w:pBdr>
          <w:top w:val="nil"/>
          <w:left w:val="nil"/>
          <w:bottom w:val="nil"/>
          <w:right w:val="nil"/>
          <w:between w:val="nil"/>
        </w:pBdr>
        <w:ind w:left="720"/>
        <w:rPr>
          <w:color w:val="000000"/>
        </w:rPr>
      </w:pPr>
      <w:r>
        <w:rPr>
          <w:color w:val="000000"/>
        </w:rPr>
        <w:t xml:space="preserve">As of the time of writing, the exact list of requested information has been submitted to the DPU for feedback.   Pending the response, the specific list of information will be included herein, which will identify required information in further detail.  </w:t>
      </w:r>
    </w:p>
    <w:p w14:paraId="2B431033" w14:textId="77777777" w:rsidR="00596D17" w:rsidRDefault="00596D17" w:rsidP="00596D17">
      <w:pPr>
        <w:pStyle w:val="Heading2"/>
        <w:numPr>
          <w:ilvl w:val="1"/>
          <w:numId w:val="8"/>
        </w:numPr>
        <w:ind w:left="1440"/>
      </w:pPr>
      <w:bookmarkStart w:id="49" w:name="_Toc122618297"/>
      <w:r>
        <w:t>Energy Storage Study Process</w:t>
      </w:r>
      <w:bookmarkEnd w:id="49"/>
    </w:p>
    <w:p w14:paraId="46D145D3" w14:textId="77777777" w:rsidR="00596D17" w:rsidRDefault="00596D17" w:rsidP="00596D17">
      <w:pPr>
        <w:pBdr>
          <w:top w:val="nil"/>
          <w:left w:val="nil"/>
          <w:bottom w:val="nil"/>
          <w:right w:val="nil"/>
          <w:between w:val="nil"/>
        </w:pBdr>
        <w:ind w:left="720"/>
      </w:pPr>
      <w:r>
        <w:t xml:space="preserve">Due to the complications associated with energy storage interconnections, the following process was created </w:t>
      </w:r>
      <w:proofErr w:type="gramStart"/>
      <w:r>
        <w:t>as a means to</w:t>
      </w:r>
      <w:proofErr w:type="gramEnd"/>
      <w:r>
        <w:t xml:space="preserve"> provide project information early in the study process that </w:t>
      </w:r>
      <w:proofErr w:type="gramStart"/>
      <w:r>
        <w:t>allows for</w:t>
      </w:r>
      <w:proofErr w:type="gramEnd"/>
      <w:r>
        <w:t xml:space="preserve"> customers to make an informed decision on their project, while minimizing overall process delays to other projects in queue.  The below describes the general approach adopted by all </w:t>
      </w:r>
      <w:proofErr w:type="gramStart"/>
      <w:r>
        <w:t>EDC’s</w:t>
      </w:r>
      <w:proofErr w:type="gramEnd"/>
      <w:r>
        <w:t xml:space="preserve">.  Each EDC will provide company specific </w:t>
      </w:r>
      <w:proofErr w:type="gramStart"/>
      <w:r>
        <w:t>detail</w:t>
      </w:r>
      <w:proofErr w:type="gramEnd"/>
      <w:r>
        <w:t xml:space="preserve"> on their respective websites.</w:t>
      </w:r>
    </w:p>
    <w:p w14:paraId="65708C90" w14:textId="77777777" w:rsidR="00596D17" w:rsidRDefault="00596D17" w:rsidP="00596D17">
      <w:pPr>
        <w:pStyle w:val="Heading2"/>
        <w:numPr>
          <w:ilvl w:val="2"/>
          <w:numId w:val="8"/>
        </w:numPr>
      </w:pPr>
      <w:bookmarkStart w:id="50" w:name="_Toc122618298"/>
      <w:r>
        <w:t>General Process Description</w:t>
      </w:r>
      <w:bookmarkEnd w:id="50"/>
    </w:p>
    <w:p w14:paraId="29CD5325" w14:textId="77777777" w:rsidR="00596D17" w:rsidRDefault="00596D17" w:rsidP="00596D17">
      <w:pPr>
        <w:pStyle w:val="ListParagraph"/>
        <w:numPr>
          <w:ilvl w:val="0"/>
          <w:numId w:val="21"/>
        </w:numPr>
        <w:spacing w:after="160" w:line="259" w:lineRule="auto"/>
        <w:ind w:left="1800"/>
      </w:pPr>
      <w:r>
        <w:t>Deliver Initial Review/Screening Memo (Existing Tariff timelines)</w:t>
      </w:r>
    </w:p>
    <w:p w14:paraId="44FB7C52" w14:textId="77777777" w:rsidR="00596D17" w:rsidRDefault="00596D17" w:rsidP="00596D17">
      <w:pPr>
        <w:pStyle w:val="ListParagraph"/>
        <w:numPr>
          <w:ilvl w:val="1"/>
          <w:numId w:val="21"/>
        </w:numPr>
        <w:spacing w:after="160" w:line="259" w:lineRule="auto"/>
        <w:ind w:left="2520"/>
      </w:pPr>
      <w:r>
        <w:t>Requires System Impact Study (SIS) with mutually agreed upon time frame</w:t>
      </w:r>
    </w:p>
    <w:p w14:paraId="7EDD335F" w14:textId="77777777" w:rsidR="00596D17" w:rsidRDefault="00596D17" w:rsidP="00596D17">
      <w:pPr>
        <w:pStyle w:val="ListParagraph"/>
        <w:numPr>
          <w:ilvl w:val="1"/>
          <w:numId w:val="21"/>
        </w:numPr>
        <w:spacing w:after="160" w:line="259" w:lineRule="auto"/>
        <w:ind w:left="2520"/>
      </w:pPr>
      <w:r>
        <w:t>SIS timeframe to begin once customer payment is received</w:t>
      </w:r>
    </w:p>
    <w:p w14:paraId="0708BEB3" w14:textId="77777777" w:rsidR="00596D17" w:rsidRDefault="00596D17" w:rsidP="00596D17">
      <w:pPr>
        <w:pStyle w:val="ListParagraph"/>
        <w:ind w:left="1800"/>
      </w:pPr>
    </w:p>
    <w:p w14:paraId="75887DD0" w14:textId="77777777" w:rsidR="00596D17" w:rsidRDefault="00596D17" w:rsidP="00596D17">
      <w:pPr>
        <w:pStyle w:val="ListParagraph"/>
        <w:numPr>
          <w:ilvl w:val="0"/>
          <w:numId w:val="21"/>
        </w:numPr>
        <w:spacing w:after="160" w:line="259" w:lineRule="auto"/>
        <w:ind w:left="1800"/>
      </w:pPr>
      <w:r>
        <w:t xml:space="preserve">Primary </w:t>
      </w:r>
      <w:proofErr w:type="gramStart"/>
      <w:r>
        <w:t>Assessment  (</w:t>
      </w:r>
      <w:proofErr w:type="gramEnd"/>
      <w:r>
        <w:t>40BD)</w:t>
      </w:r>
    </w:p>
    <w:p w14:paraId="104F9BE3" w14:textId="77777777" w:rsidR="00596D17" w:rsidRDefault="00596D17" w:rsidP="00596D17">
      <w:pPr>
        <w:pStyle w:val="ListParagraph"/>
        <w:numPr>
          <w:ilvl w:val="1"/>
          <w:numId w:val="21"/>
        </w:numPr>
        <w:spacing w:after="160" w:line="259" w:lineRule="auto"/>
        <w:ind w:left="2520"/>
      </w:pPr>
      <w:proofErr w:type="gramStart"/>
      <w:r>
        <w:lastRenderedPageBreak/>
        <w:t>Once begun</w:t>
      </w:r>
      <w:proofErr w:type="gramEnd"/>
      <w:r>
        <w:t xml:space="preserve"> other applications following this project in the queue will not be progressed beyond Initial Review/Screening until step 4 of this process is complete.</w:t>
      </w:r>
    </w:p>
    <w:p w14:paraId="591C08BD" w14:textId="77777777" w:rsidR="00596D17" w:rsidRDefault="00596D17" w:rsidP="00596D17">
      <w:pPr>
        <w:pStyle w:val="ListParagraph"/>
        <w:numPr>
          <w:ilvl w:val="1"/>
          <w:numId w:val="21"/>
        </w:numPr>
        <w:spacing w:after="160" w:line="259" w:lineRule="auto"/>
        <w:ind w:left="2520"/>
      </w:pPr>
      <w:r>
        <w:t>The Primary Assessment will be performed to the extent possible without employing modeling software.  Assessment will include:</w:t>
      </w:r>
    </w:p>
    <w:p w14:paraId="23881A1F" w14:textId="77777777" w:rsidR="00596D17" w:rsidRDefault="00596D17" w:rsidP="00596D17">
      <w:pPr>
        <w:pStyle w:val="ListParagraph"/>
        <w:numPr>
          <w:ilvl w:val="2"/>
          <w:numId w:val="21"/>
        </w:numPr>
        <w:spacing w:after="160" w:line="259" w:lineRule="auto"/>
        <w:ind w:left="3240"/>
      </w:pPr>
      <w:r>
        <w:t xml:space="preserve">Thermal analysis - worst case calculations on normal feeder and N-1 contingency case </w:t>
      </w:r>
    </w:p>
    <w:p w14:paraId="375EDA79" w14:textId="77777777" w:rsidR="00596D17" w:rsidRDefault="00596D17" w:rsidP="00596D17">
      <w:pPr>
        <w:pStyle w:val="ListParagraph"/>
        <w:numPr>
          <w:ilvl w:val="2"/>
          <w:numId w:val="21"/>
        </w:numPr>
        <w:spacing w:after="160" w:line="259" w:lineRule="auto"/>
        <w:ind w:left="3240"/>
      </w:pPr>
      <w:r>
        <w:t>3V0 assessment</w:t>
      </w:r>
    </w:p>
    <w:p w14:paraId="4CF02B2C" w14:textId="77777777" w:rsidR="00596D17" w:rsidRDefault="00596D17" w:rsidP="00596D17">
      <w:pPr>
        <w:pStyle w:val="ListParagraph"/>
        <w:numPr>
          <w:ilvl w:val="2"/>
          <w:numId w:val="21"/>
        </w:numPr>
        <w:spacing w:after="160" w:line="259" w:lineRule="auto"/>
        <w:ind w:left="3240"/>
      </w:pPr>
      <w:r>
        <w:t xml:space="preserve">Risk of Islanding </w:t>
      </w:r>
      <w:r w:rsidRPr="004A0059">
        <w:rPr>
          <w:color w:val="EE0000"/>
        </w:rPr>
        <w:t xml:space="preserve">&amp; TOV </w:t>
      </w:r>
      <w:r>
        <w:t>assessment</w:t>
      </w:r>
    </w:p>
    <w:p w14:paraId="34B5214F" w14:textId="77777777" w:rsidR="00596D17" w:rsidRDefault="00596D17" w:rsidP="00596D17">
      <w:pPr>
        <w:pStyle w:val="ListParagraph"/>
        <w:numPr>
          <w:ilvl w:val="1"/>
          <w:numId w:val="21"/>
        </w:numPr>
        <w:spacing w:after="160" w:line="259" w:lineRule="auto"/>
        <w:ind w:left="2520"/>
      </w:pPr>
      <w:r>
        <w:t>Customer documentation review for compliance with Company standards Primary assessment to be performed for two different scenarios</w:t>
      </w:r>
    </w:p>
    <w:p w14:paraId="23CBA3E0" w14:textId="77777777" w:rsidR="00596D17" w:rsidRDefault="00596D17" w:rsidP="00596D17">
      <w:pPr>
        <w:pStyle w:val="ListParagraph"/>
        <w:numPr>
          <w:ilvl w:val="2"/>
          <w:numId w:val="21"/>
        </w:numPr>
        <w:spacing w:after="160" w:line="259" w:lineRule="auto"/>
        <w:ind w:left="3240"/>
      </w:pPr>
      <w:r>
        <w:t>Unscheduled – allowing charge or discharge at full capacity at any time of day/year</w:t>
      </w:r>
    </w:p>
    <w:p w14:paraId="565A897D" w14:textId="77777777" w:rsidR="00596D17" w:rsidRDefault="00596D17" w:rsidP="00596D17">
      <w:pPr>
        <w:pStyle w:val="ListParagraph"/>
        <w:numPr>
          <w:ilvl w:val="2"/>
          <w:numId w:val="21"/>
        </w:numPr>
        <w:spacing w:after="160" w:line="259" w:lineRule="auto"/>
        <w:ind w:left="3240"/>
      </w:pPr>
      <w:r>
        <w:t>Scheduled – Restricting charge/discharge operation to the EDC standardized schedule</w:t>
      </w:r>
    </w:p>
    <w:p w14:paraId="6A595454" w14:textId="77777777" w:rsidR="00596D17" w:rsidRDefault="00596D17" w:rsidP="00596D17">
      <w:pPr>
        <w:pStyle w:val="ListParagraph"/>
        <w:numPr>
          <w:ilvl w:val="3"/>
          <w:numId w:val="21"/>
        </w:numPr>
        <w:spacing w:after="160" w:line="259" w:lineRule="auto"/>
        <w:ind w:left="3960"/>
      </w:pPr>
      <w:r>
        <w:t xml:space="preserve">Standardized schedules for each EDC will aim at avoiding </w:t>
      </w:r>
      <w:proofErr w:type="gramStart"/>
      <w:r>
        <w:t>capacity related</w:t>
      </w:r>
      <w:proofErr w:type="gramEnd"/>
      <w:r>
        <w:t xml:space="preserve"> substation and/or feeder upgrades and are subject to change based on detailed review</w:t>
      </w:r>
    </w:p>
    <w:p w14:paraId="00050525" w14:textId="77777777" w:rsidR="00596D17" w:rsidRDefault="00596D17" w:rsidP="00596D17">
      <w:pPr>
        <w:pStyle w:val="ListParagraph"/>
        <w:numPr>
          <w:ilvl w:val="3"/>
          <w:numId w:val="21"/>
        </w:numPr>
        <w:spacing w:after="160" w:line="259" w:lineRule="auto"/>
        <w:ind w:left="3960"/>
      </w:pPr>
      <w:r>
        <w:t>Unique schedules different than standardized schedule will not be permitted.</w:t>
      </w:r>
    </w:p>
    <w:p w14:paraId="5BA2FBC3" w14:textId="77777777" w:rsidR="00596D17" w:rsidRDefault="00596D17" w:rsidP="00596D17">
      <w:pPr>
        <w:pStyle w:val="ListParagraph"/>
        <w:numPr>
          <w:ilvl w:val="1"/>
          <w:numId w:val="21"/>
        </w:numPr>
        <w:spacing w:after="160" w:line="259" w:lineRule="auto"/>
        <w:ind w:left="2520"/>
      </w:pPr>
      <w:r>
        <w:t xml:space="preserve">Engineering analyses progressed in subsequent study stages may identify additional system modifications beyond those capable of being identified in the Primary Assessment and will be communicated as part of the final study report.  </w:t>
      </w:r>
    </w:p>
    <w:p w14:paraId="16A13ED6" w14:textId="77777777" w:rsidR="00596D17" w:rsidRPr="001D7E8A" w:rsidRDefault="00596D17" w:rsidP="00596D17">
      <w:pPr>
        <w:ind w:left="2160"/>
        <w:rPr>
          <w:i/>
          <w:iCs/>
        </w:rPr>
      </w:pPr>
      <w:r w:rsidRPr="001D7E8A">
        <w:rPr>
          <w:i/>
          <w:iCs/>
        </w:rPr>
        <w:t>Note</w:t>
      </w:r>
      <w:proofErr w:type="gramStart"/>
      <w:r w:rsidRPr="001D7E8A">
        <w:rPr>
          <w:i/>
          <w:iCs/>
        </w:rPr>
        <w:t>:  The</w:t>
      </w:r>
      <w:proofErr w:type="gramEnd"/>
      <w:r w:rsidRPr="001D7E8A">
        <w:rPr>
          <w:i/>
          <w:iCs/>
        </w:rPr>
        <w:t xml:space="preserve"> above describes the baseline expectation that customers will be evaluate</w:t>
      </w:r>
      <w:r>
        <w:rPr>
          <w:i/>
          <w:iCs/>
        </w:rPr>
        <w:t>d</w:t>
      </w:r>
      <w:r w:rsidRPr="001D7E8A">
        <w:rPr>
          <w:i/>
          <w:iCs/>
        </w:rPr>
        <w:t xml:space="preserve"> for both Scheduled AND Unscheduled operation.  At the time of original application, </w:t>
      </w:r>
      <w:proofErr w:type="gramStart"/>
      <w:r w:rsidRPr="001D7E8A">
        <w:rPr>
          <w:i/>
          <w:iCs/>
        </w:rPr>
        <w:t>customer</w:t>
      </w:r>
      <w:proofErr w:type="gramEnd"/>
      <w:r w:rsidRPr="001D7E8A">
        <w:rPr>
          <w:i/>
          <w:iCs/>
        </w:rPr>
        <w:t xml:space="preserve"> will be given the ability to identify if they would like </w:t>
      </w:r>
      <w:r>
        <w:rPr>
          <w:i/>
          <w:iCs/>
        </w:rPr>
        <w:t xml:space="preserve">to </w:t>
      </w:r>
      <w:r w:rsidRPr="001D7E8A">
        <w:rPr>
          <w:i/>
          <w:iCs/>
        </w:rPr>
        <w:t xml:space="preserve">be considered as only Scheduled </w:t>
      </w:r>
      <w:proofErr w:type="gramStart"/>
      <w:r w:rsidRPr="001D7E8A">
        <w:rPr>
          <w:i/>
          <w:iCs/>
        </w:rPr>
        <w:t>OR only</w:t>
      </w:r>
      <w:proofErr w:type="gramEnd"/>
      <w:r w:rsidRPr="001D7E8A">
        <w:rPr>
          <w:i/>
          <w:iCs/>
        </w:rPr>
        <w:t xml:space="preserve"> Unscheduled, foregoing the analysis of the unselected option.  Due to the </w:t>
      </w:r>
      <w:proofErr w:type="gramStart"/>
      <w:r w:rsidRPr="001D7E8A">
        <w:rPr>
          <w:i/>
          <w:iCs/>
        </w:rPr>
        <w:t>reduced,</w:t>
      </w:r>
      <w:proofErr w:type="gramEnd"/>
      <w:r w:rsidRPr="001D7E8A">
        <w:rPr>
          <w:i/>
          <w:iCs/>
        </w:rPr>
        <w:t xml:space="preserve"> </w:t>
      </w:r>
      <w:r>
        <w:rPr>
          <w:i/>
          <w:iCs/>
        </w:rPr>
        <w:t>Primary Assessment</w:t>
      </w:r>
      <w:r w:rsidRPr="001D7E8A">
        <w:rPr>
          <w:i/>
          <w:iCs/>
        </w:rPr>
        <w:t xml:space="preserve"> timelines would be as follows:</w:t>
      </w:r>
    </w:p>
    <w:p w14:paraId="42F454A9" w14:textId="77777777" w:rsidR="00596D17" w:rsidRPr="001D7E8A" w:rsidRDefault="00596D17" w:rsidP="00596D17">
      <w:pPr>
        <w:pStyle w:val="ListParagraph"/>
        <w:numPr>
          <w:ilvl w:val="0"/>
          <w:numId w:val="23"/>
        </w:numPr>
        <w:spacing w:after="160" w:line="259" w:lineRule="auto"/>
        <w:ind w:left="2977"/>
        <w:rPr>
          <w:i/>
          <w:iCs/>
        </w:rPr>
      </w:pPr>
      <w:r w:rsidRPr="001D7E8A">
        <w:rPr>
          <w:i/>
          <w:iCs/>
        </w:rPr>
        <w:t>Scheduled Only – 30BD</w:t>
      </w:r>
    </w:p>
    <w:p w14:paraId="3260A4B9" w14:textId="77777777" w:rsidR="00596D17" w:rsidRDefault="00596D17" w:rsidP="00596D17">
      <w:pPr>
        <w:pStyle w:val="ListParagraph"/>
        <w:numPr>
          <w:ilvl w:val="0"/>
          <w:numId w:val="23"/>
        </w:numPr>
        <w:spacing w:after="160" w:line="259" w:lineRule="auto"/>
        <w:ind w:left="2977"/>
        <w:rPr>
          <w:i/>
          <w:iCs/>
        </w:rPr>
      </w:pPr>
      <w:r w:rsidRPr="001D7E8A">
        <w:rPr>
          <w:i/>
          <w:iCs/>
        </w:rPr>
        <w:t>Unscheduled Only – 20BD</w:t>
      </w:r>
      <w:r>
        <w:rPr>
          <w:i/>
          <w:iCs/>
        </w:rPr>
        <w:t xml:space="preserve"> </w:t>
      </w:r>
    </w:p>
    <w:p w14:paraId="409C1211" w14:textId="77777777" w:rsidR="00596D17" w:rsidRPr="001D7E8A" w:rsidRDefault="00596D17" w:rsidP="00596D17">
      <w:pPr>
        <w:pStyle w:val="ListParagraph"/>
        <w:ind w:left="2977"/>
        <w:rPr>
          <w:i/>
          <w:iCs/>
        </w:rPr>
      </w:pPr>
    </w:p>
    <w:p w14:paraId="3E6DED3E" w14:textId="77777777" w:rsidR="00596D17" w:rsidRDefault="00596D17" w:rsidP="00596D17">
      <w:pPr>
        <w:pStyle w:val="ListParagraph"/>
        <w:numPr>
          <w:ilvl w:val="0"/>
          <w:numId w:val="21"/>
        </w:numPr>
        <w:spacing w:after="160" w:line="259" w:lineRule="auto"/>
        <w:ind w:left="1800"/>
      </w:pPr>
      <w:r>
        <w:t xml:space="preserve">Deliver Primary Assessment  </w:t>
      </w:r>
    </w:p>
    <w:p w14:paraId="1A333FEA" w14:textId="77777777" w:rsidR="00596D17" w:rsidRDefault="00596D17" w:rsidP="00596D17">
      <w:pPr>
        <w:pStyle w:val="ListParagraph"/>
        <w:numPr>
          <w:ilvl w:val="1"/>
          <w:numId w:val="21"/>
        </w:numPr>
        <w:spacing w:after="160" w:line="259" w:lineRule="auto"/>
        <w:ind w:left="2520"/>
      </w:pPr>
      <w:r>
        <w:t>EDC identifies results of the analyses including specific system limits that are being exceeded, prompting the need for system modifications.</w:t>
      </w:r>
    </w:p>
    <w:p w14:paraId="3B27A60F" w14:textId="77777777" w:rsidR="00596D17" w:rsidRDefault="00596D17" w:rsidP="00596D17">
      <w:pPr>
        <w:pStyle w:val="ListParagraph"/>
        <w:numPr>
          <w:ilvl w:val="1"/>
          <w:numId w:val="21"/>
        </w:numPr>
        <w:spacing w:after="160" w:line="259" w:lineRule="auto"/>
        <w:ind w:left="2520"/>
      </w:pPr>
      <w:r>
        <w:t xml:space="preserve">Means </w:t>
      </w:r>
      <w:proofErr w:type="gramStart"/>
      <w:r>
        <w:t>customer</w:t>
      </w:r>
      <w:proofErr w:type="gramEnd"/>
      <w:r>
        <w:t xml:space="preserve"> will be </w:t>
      </w:r>
      <w:proofErr w:type="gramStart"/>
      <w:r>
        <w:t>provided</w:t>
      </w:r>
      <w:proofErr w:type="gramEnd"/>
      <w:r>
        <w:t xml:space="preserve"> information on up to 4 different possible paths forward:</w:t>
      </w:r>
    </w:p>
    <w:p w14:paraId="7B1A742C" w14:textId="77777777" w:rsidR="00596D17" w:rsidRDefault="00596D17" w:rsidP="00596D17">
      <w:pPr>
        <w:pStyle w:val="ListParagraph"/>
        <w:numPr>
          <w:ilvl w:val="2"/>
          <w:numId w:val="22"/>
        </w:numPr>
        <w:spacing w:after="160" w:line="259" w:lineRule="auto"/>
        <w:ind w:left="3420"/>
      </w:pPr>
      <w:r>
        <w:t>Unscheduled – System mods as required to accommodate proposed system rating</w:t>
      </w:r>
    </w:p>
    <w:p w14:paraId="40E7BD50" w14:textId="77777777" w:rsidR="00596D17" w:rsidRDefault="00596D17" w:rsidP="00596D17">
      <w:pPr>
        <w:pStyle w:val="ListParagraph"/>
        <w:numPr>
          <w:ilvl w:val="2"/>
          <w:numId w:val="22"/>
        </w:numPr>
        <w:spacing w:after="160" w:line="259" w:lineRule="auto"/>
        <w:ind w:left="3420"/>
      </w:pPr>
      <w:r>
        <w:t>Unscheduled – System limits to inform derating opportunities</w:t>
      </w:r>
    </w:p>
    <w:p w14:paraId="15566D52" w14:textId="77777777" w:rsidR="00596D17" w:rsidRDefault="00596D17" w:rsidP="00596D17">
      <w:pPr>
        <w:pStyle w:val="ListParagraph"/>
        <w:numPr>
          <w:ilvl w:val="2"/>
          <w:numId w:val="22"/>
        </w:numPr>
        <w:spacing w:after="160" w:line="259" w:lineRule="auto"/>
        <w:ind w:left="3420"/>
      </w:pPr>
      <w:r>
        <w:lastRenderedPageBreak/>
        <w:t>Scheduled – System mods as required to accommodate proposed system rating</w:t>
      </w:r>
    </w:p>
    <w:p w14:paraId="2FACB2AA" w14:textId="77777777" w:rsidR="00596D17" w:rsidRDefault="00596D17" w:rsidP="00596D17">
      <w:pPr>
        <w:pStyle w:val="ListParagraph"/>
        <w:numPr>
          <w:ilvl w:val="2"/>
          <w:numId w:val="22"/>
        </w:numPr>
        <w:spacing w:after="160" w:line="259" w:lineRule="auto"/>
        <w:ind w:left="3420"/>
      </w:pPr>
      <w:r>
        <w:t>Scheduled – System limits to inform curtailment opportunities</w:t>
      </w:r>
    </w:p>
    <w:p w14:paraId="0F4EEF5D" w14:textId="77777777" w:rsidR="00596D17" w:rsidRPr="00517B4E" w:rsidRDefault="00596D17" w:rsidP="00596D17">
      <w:pPr>
        <w:ind w:left="3150"/>
        <w:rPr>
          <w:i/>
          <w:iCs/>
        </w:rPr>
      </w:pPr>
      <w:r w:rsidRPr="00517B4E">
        <w:rPr>
          <w:i/>
          <w:iCs/>
        </w:rPr>
        <w:t>Note</w:t>
      </w:r>
      <w:proofErr w:type="gramStart"/>
      <w:r w:rsidRPr="00517B4E">
        <w:rPr>
          <w:i/>
          <w:iCs/>
        </w:rPr>
        <w:t>:  Should</w:t>
      </w:r>
      <w:proofErr w:type="gramEnd"/>
      <w:r w:rsidRPr="00517B4E">
        <w:rPr>
          <w:i/>
          <w:iCs/>
        </w:rPr>
        <w:t xml:space="preserve"> </w:t>
      </w:r>
      <w:proofErr w:type="gramStart"/>
      <w:r w:rsidRPr="00517B4E">
        <w:rPr>
          <w:i/>
          <w:iCs/>
        </w:rPr>
        <w:t>customer</w:t>
      </w:r>
      <w:proofErr w:type="gramEnd"/>
      <w:r w:rsidRPr="00517B4E">
        <w:rPr>
          <w:i/>
          <w:iCs/>
        </w:rPr>
        <w:t xml:space="preserve"> have </w:t>
      </w:r>
      <w:proofErr w:type="gramStart"/>
      <w:r w:rsidRPr="00517B4E">
        <w:rPr>
          <w:i/>
          <w:iCs/>
        </w:rPr>
        <w:t>elected on the original application</w:t>
      </w:r>
      <w:proofErr w:type="gramEnd"/>
      <w:r w:rsidRPr="00517B4E">
        <w:rPr>
          <w:i/>
          <w:iCs/>
        </w:rPr>
        <w:t xml:space="preserve"> to omit </w:t>
      </w:r>
      <w:r>
        <w:rPr>
          <w:i/>
          <w:iCs/>
        </w:rPr>
        <w:t xml:space="preserve">Primary Assessment </w:t>
      </w:r>
      <w:r w:rsidRPr="00517B4E">
        <w:rPr>
          <w:i/>
          <w:iCs/>
        </w:rPr>
        <w:t xml:space="preserve">of Schedule OR Unscheduled, those results would be omitted from the </w:t>
      </w:r>
      <w:r>
        <w:rPr>
          <w:i/>
          <w:iCs/>
        </w:rPr>
        <w:t xml:space="preserve">delivered </w:t>
      </w:r>
      <w:r w:rsidRPr="00517B4E">
        <w:rPr>
          <w:i/>
          <w:iCs/>
        </w:rPr>
        <w:t>results.</w:t>
      </w:r>
    </w:p>
    <w:p w14:paraId="624180D3" w14:textId="77777777" w:rsidR="00596D17" w:rsidRDefault="00596D17" w:rsidP="00596D17">
      <w:pPr>
        <w:pStyle w:val="ListParagraph"/>
        <w:numPr>
          <w:ilvl w:val="1"/>
          <w:numId w:val="21"/>
        </w:numPr>
        <w:spacing w:after="160" w:line="259" w:lineRule="auto"/>
        <w:ind w:left="2520"/>
      </w:pPr>
      <w:r>
        <w:t xml:space="preserve">High level system mod scope to be provided.  Specific cost estimates will not be provided, however costs for typical scopes of work are publicly available online for each EDC.  </w:t>
      </w:r>
    </w:p>
    <w:p w14:paraId="05F807C8" w14:textId="77777777" w:rsidR="00596D17" w:rsidRPr="00273F8D" w:rsidRDefault="00596D17" w:rsidP="00596D17">
      <w:pPr>
        <w:pStyle w:val="ListParagraph"/>
        <w:ind w:left="2160"/>
        <w:rPr>
          <w:i/>
          <w:iCs/>
        </w:rPr>
      </w:pPr>
      <w:r w:rsidRPr="00273F8D">
        <w:rPr>
          <w:i/>
          <w:iCs/>
        </w:rPr>
        <w:t>Note</w:t>
      </w:r>
      <w:proofErr w:type="gramStart"/>
      <w:r w:rsidRPr="00273F8D">
        <w:rPr>
          <w:i/>
          <w:iCs/>
        </w:rPr>
        <w:t>:  Engineering</w:t>
      </w:r>
      <w:proofErr w:type="gramEnd"/>
      <w:r w:rsidRPr="00273F8D">
        <w:rPr>
          <w:i/>
          <w:iCs/>
        </w:rPr>
        <w:t xml:space="preserve"> analysis will include N-1 contingency analyses in alignment with each EDC’s technical standards and Distribution Automation Scheme.  This analysis will generally consider specific N-1 scenario(s</w:t>
      </w:r>
      <w:proofErr w:type="gramStart"/>
      <w:r w:rsidRPr="00273F8D">
        <w:rPr>
          <w:i/>
          <w:iCs/>
        </w:rPr>
        <w:t>),</w:t>
      </w:r>
      <w:proofErr w:type="gramEnd"/>
      <w:r w:rsidRPr="00273F8D">
        <w:rPr>
          <w:i/>
          <w:iCs/>
        </w:rPr>
        <w:t xml:space="preserve"> however it is not possible to cover the full spectrum of possible real-world contingencies that might materialize.  The results of contingency analyses will identify system modifications required to accommodate site interconnection in the specific N-1 conditions considered, which will minimize the need for utilities to direct a DG or ESS site to disconnect.  However, this analysis does not preclude the utility in its sole discretion, in alignment with the tariff, from the ability to direct a site to come offline if system conditions exist under an abnormal system configuration. </w:t>
      </w:r>
    </w:p>
    <w:p w14:paraId="174F3111" w14:textId="77777777" w:rsidR="00596D17" w:rsidRDefault="00596D17" w:rsidP="00596D17">
      <w:pPr>
        <w:pStyle w:val="ListParagraph"/>
        <w:ind w:left="2520"/>
      </w:pPr>
    </w:p>
    <w:p w14:paraId="541A0F7F" w14:textId="77777777" w:rsidR="00596D17" w:rsidRDefault="00596D17" w:rsidP="00596D17">
      <w:pPr>
        <w:pStyle w:val="ListParagraph"/>
        <w:numPr>
          <w:ilvl w:val="0"/>
          <w:numId w:val="21"/>
        </w:numPr>
        <w:spacing w:after="160" w:line="259" w:lineRule="auto"/>
        <w:ind w:left="1800"/>
      </w:pPr>
      <w:r>
        <w:t>Customer Decision (10BD)</w:t>
      </w:r>
    </w:p>
    <w:p w14:paraId="06D16F6E" w14:textId="77777777" w:rsidR="00596D17" w:rsidRDefault="00596D17" w:rsidP="00596D17">
      <w:pPr>
        <w:pStyle w:val="ListParagraph"/>
        <w:numPr>
          <w:ilvl w:val="1"/>
          <w:numId w:val="21"/>
        </w:numPr>
        <w:spacing w:after="160" w:line="259" w:lineRule="auto"/>
        <w:ind w:left="2520"/>
      </w:pPr>
      <w:r>
        <w:t xml:space="preserve">Customer to decide on one of the four paths forward that will be the basis for the SIS. </w:t>
      </w:r>
    </w:p>
    <w:p w14:paraId="2BAC7ED7" w14:textId="77777777" w:rsidR="00596D17" w:rsidRDefault="00596D17" w:rsidP="00596D17">
      <w:pPr>
        <w:pStyle w:val="ListParagraph"/>
        <w:numPr>
          <w:ilvl w:val="2"/>
          <w:numId w:val="21"/>
        </w:numPr>
        <w:spacing w:after="160" w:line="259" w:lineRule="auto"/>
        <w:ind w:left="3240"/>
      </w:pPr>
      <w:r>
        <w:t>Application on hold pending customer decision on path forward</w:t>
      </w:r>
    </w:p>
    <w:p w14:paraId="138ADA92" w14:textId="77777777" w:rsidR="00596D17" w:rsidRDefault="00596D17" w:rsidP="00596D17">
      <w:pPr>
        <w:pStyle w:val="ListParagraph"/>
        <w:numPr>
          <w:ilvl w:val="2"/>
          <w:numId w:val="21"/>
        </w:numPr>
        <w:spacing w:after="160" w:line="259" w:lineRule="auto"/>
        <w:ind w:left="3240"/>
      </w:pPr>
      <w:r>
        <w:t xml:space="preserve">Customer confirmation of intended de-rating and/or curtailment is acceptable to move the application forward, lifting the hold. </w:t>
      </w:r>
      <w:proofErr w:type="gramStart"/>
      <w:r>
        <w:t>However</w:t>
      </w:r>
      <w:proofErr w:type="gramEnd"/>
      <w:r>
        <w:t xml:space="preserve"> updated documents must be submitted in a timely manner by the customer thereafter to reflect the </w:t>
      </w:r>
      <w:proofErr w:type="gramStart"/>
      <w:r>
        <w:t>update  (</w:t>
      </w:r>
      <w:proofErr w:type="gramEnd"/>
      <w:r>
        <w:t xml:space="preserve">within 15BD following customer confirmation).  </w:t>
      </w:r>
    </w:p>
    <w:p w14:paraId="50EFCC0F" w14:textId="77777777" w:rsidR="00596D17" w:rsidRDefault="00596D17" w:rsidP="00596D17">
      <w:pPr>
        <w:pStyle w:val="ListParagraph"/>
        <w:numPr>
          <w:ilvl w:val="3"/>
          <w:numId w:val="21"/>
        </w:numPr>
        <w:spacing w:after="160" w:line="259" w:lineRule="auto"/>
        <w:ind w:left="3960"/>
      </w:pPr>
      <w:r>
        <w:t xml:space="preserve">Note that failure to provide updated drawings in a timely manner and/or any drawing updates beyond the specific de-rating and/or curtailment modifications may result in subsequent study hold periods, at the discretion of the EDC.   </w:t>
      </w:r>
    </w:p>
    <w:p w14:paraId="1A743E0F" w14:textId="77777777" w:rsidR="00596D17" w:rsidRDefault="00596D17" w:rsidP="00596D17">
      <w:pPr>
        <w:pStyle w:val="ListParagraph"/>
        <w:numPr>
          <w:ilvl w:val="1"/>
          <w:numId w:val="21"/>
        </w:numPr>
        <w:spacing w:after="160" w:line="259" w:lineRule="auto"/>
        <w:ind w:left="2520"/>
      </w:pPr>
      <w:r>
        <w:t xml:space="preserve">Once decided, this establishes the base case for the next application in queue, allowing that applicant to proceed. </w:t>
      </w:r>
    </w:p>
    <w:p w14:paraId="787D7A6C" w14:textId="77777777" w:rsidR="00596D17" w:rsidRDefault="00596D17" w:rsidP="00596D17">
      <w:pPr>
        <w:ind w:left="2160"/>
      </w:pPr>
      <w:r w:rsidRPr="00BE2FC9">
        <w:rPr>
          <w:i/>
          <w:iCs/>
        </w:rPr>
        <w:t>Note</w:t>
      </w:r>
      <w:proofErr w:type="gramStart"/>
      <w:r w:rsidRPr="00BE2FC9">
        <w:rPr>
          <w:i/>
          <w:iCs/>
        </w:rPr>
        <w:t xml:space="preserve">:  </w:t>
      </w:r>
      <w:r>
        <w:rPr>
          <w:i/>
          <w:iCs/>
        </w:rPr>
        <w:t>Results</w:t>
      </w:r>
      <w:proofErr w:type="gramEnd"/>
      <w:r>
        <w:rPr>
          <w:i/>
          <w:iCs/>
        </w:rPr>
        <w:t xml:space="preserve"> of the Primary Assessment are reflective only of those known system modifications required from the analyses identified in item #2.  Regardless of the decision in this step by the customer, the balance of the System Impact Study may illustrate the need for additional System Modifications that could not be identified in the Primary Assessment set of analyses.    </w:t>
      </w:r>
    </w:p>
    <w:p w14:paraId="00CE6B30" w14:textId="77777777" w:rsidR="00596D17" w:rsidRDefault="00596D17" w:rsidP="00596D17">
      <w:pPr>
        <w:pStyle w:val="ListParagraph"/>
        <w:numPr>
          <w:ilvl w:val="0"/>
          <w:numId w:val="21"/>
        </w:numPr>
        <w:spacing w:after="160" w:line="259" w:lineRule="auto"/>
        <w:ind w:left="1800"/>
      </w:pPr>
      <w:r>
        <w:lastRenderedPageBreak/>
        <w:t xml:space="preserve">Complete </w:t>
      </w:r>
      <w:proofErr w:type="gramStart"/>
      <w:r>
        <w:t>SIS  (</w:t>
      </w:r>
      <w:proofErr w:type="gramEnd"/>
      <w:r>
        <w:t>55BD)</w:t>
      </w:r>
    </w:p>
    <w:p w14:paraId="09F2BDEC" w14:textId="77777777" w:rsidR="00596D17" w:rsidRDefault="00596D17" w:rsidP="00596D17">
      <w:pPr>
        <w:pStyle w:val="ListParagraph"/>
        <w:numPr>
          <w:ilvl w:val="1"/>
          <w:numId w:val="21"/>
        </w:numPr>
        <w:spacing w:after="160" w:line="259" w:lineRule="auto"/>
        <w:ind w:left="2520"/>
      </w:pPr>
      <w:r>
        <w:t xml:space="preserve">EDC completes SIS based on confirmed or updated operating methodology provided by customer in step 4. </w:t>
      </w:r>
    </w:p>
    <w:p w14:paraId="406CC407" w14:textId="77777777" w:rsidR="00596D17" w:rsidRDefault="00596D17" w:rsidP="00596D17">
      <w:pPr>
        <w:pStyle w:val="ListParagraph"/>
        <w:numPr>
          <w:ilvl w:val="2"/>
          <w:numId w:val="21"/>
        </w:numPr>
        <w:spacing w:after="160" w:line="259" w:lineRule="auto"/>
        <w:ind w:left="3240"/>
      </w:pPr>
      <w:r>
        <w:t>Any change to the decision will be considered Significant, subject to application withdrawal</w:t>
      </w:r>
    </w:p>
    <w:p w14:paraId="27A915DA" w14:textId="77777777" w:rsidR="00596D17" w:rsidRDefault="00596D17" w:rsidP="00596D17">
      <w:pPr>
        <w:pStyle w:val="ListParagraph"/>
        <w:numPr>
          <w:ilvl w:val="1"/>
          <w:numId w:val="21"/>
        </w:numPr>
        <w:spacing w:after="160" w:line="259" w:lineRule="auto"/>
        <w:ind w:left="2520"/>
      </w:pPr>
      <w:r>
        <w:t>Other project design changes will be evaluated according to EDC policy on Significant and Moderate changes per tariff, as would occur on any other SIS</w:t>
      </w:r>
    </w:p>
    <w:p w14:paraId="1CB80B23" w14:textId="77777777" w:rsidR="00596D17" w:rsidRPr="00B77120" w:rsidRDefault="00596D17" w:rsidP="00596D17">
      <w:pPr>
        <w:pStyle w:val="Heading2"/>
        <w:numPr>
          <w:ilvl w:val="2"/>
          <w:numId w:val="8"/>
        </w:numPr>
        <w:rPr>
          <w:strike/>
        </w:rPr>
      </w:pPr>
      <w:bookmarkStart w:id="51" w:name="_Toc122618299"/>
      <w:r w:rsidRPr="00B77120">
        <w:rPr>
          <w:strike/>
        </w:rPr>
        <w:t>Company Specific Process Descriptions</w:t>
      </w:r>
      <w:bookmarkEnd w:id="51"/>
    </w:p>
    <w:p w14:paraId="5B90075E" w14:textId="77777777" w:rsidR="00596D17" w:rsidRPr="00B77120" w:rsidRDefault="00596D17" w:rsidP="00596D17">
      <w:pPr>
        <w:ind w:left="1440"/>
        <w:rPr>
          <w:strike/>
        </w:rPr>
      </w:pPr>
      <w:r w:rsidRPr="00B77120">
        <w:rPr>
          <w:strike/>
        </w:rPr>
        <w:t xml:space="preserve">The following are links to each EDC’s company specific detail on ESS study process. </w:t>
      </w:r>
    </w:p>
    <w:p w14:paraId="3F779031" w14:textId="77777777" w:rsidR="00596D17" w:rsidRPr="00B77120" w:rsidRDefault="00596D17" w:rsidP="00596D17">
      <w:pPr>
        <w:ind w:left="2250"/>
        <w:rPr>
          <w:strike/>
        </w:rPr>
      </w:pPr>
      <w:r w:rsidRPr="00B77120">
        <w:rPr>
          <w:strike/>
        </w:rPr>
        <w:t xml:space="preserve">National Grid:  </w:t>
      </w:r>
      <w:hyperlink r:id="rId18" w:history="1">
        <w:r w:rsidRPr="00B77120">
          <w:rPr>
            <w:rStyle w:val="Hyperlink"/>
            <w:strike/>
          </w:rPr>
          <w:t>https://gridforce.my.site.com/s/article/MA-Interconnection-Documents</w:t>
        </w:r>
      </w:hyperlink>
      <w:r w:rsidRPr="00B77120">
        <w:rPr>
          <w:strike/>
        </w:rPr>
        <w:t xml:space="preserve"> </w:t>
      </w:r>
    </w:p>
    <w:p w14:paraId="68E388FB" w14:textId="77777777" w:rsidR="00596D17" w:rsidRPr="00B77120" w:rsidRDefault="00596D17" w:rsidP="00596D17">
      <w:pPr>
        <w:ind w:left="2250"/>
        <w:rPr>
          <w:strike/>
        </w:rPr>
      </w:pPr>
      <w:r w:rsidRPr="00B77120">
        <w:rPr>
          <w:strike/>
        </w:rPr>
        <w:t xml:space="preserve">Eversource: </w:t>
      </w:r>
    </w:p>
    <w:p w14:paraId="7C0AF593" w14:textId="77777777" w:rsidR="00596D17" w:rsidRPr="00B77120" w:rsidRDefault="00596D17" w:rsidP="00596D17">
      <w:pPr>
        <w:ind w:left="2250"/>
        <w:rPr>
          <w:strike/>
        </w:rPr>
      </w:pPr>
      <w:proofErr w:type="spellStart"/>
      <w:r w:rsidRPr="00B77120">
        <w:rPr>
          <w:strike/>
        </w:rPr>
        <w:t>Unitil</w:t>
      </w:r>
      <w:proofErr w:type="spellEnd"/>
      <w:r w:rsidRPr="00B77120">
        <w:rPr>
          <w:strike/>
        </w:rPr>
        <w:t>:</w:t>
      </w:r>
    </w:p>
    <w:p w14:paraId="4B7BF3ED" w14:textId="77777777" w:rsidR="00596D17" w:rsidRDefault="00596D17" w:rsidP="00596D17">
      <w:pPr>
        <w:pBdr>
          <w:top w:val="nil"/>
          <w:left w:val="nil"/>
          <w:bottom w:val="nil"/>
          <w:right w:val="nil"/>
          <w:between w:val="nil"/>
        </w:pBdr>
        <w:ind w:left="720"/>
        <w:rPr>
          <w:color w:val="000000"/>
        </w:rPr>
      </w:pPr>
    </w:p>
    <w:p w14:paraId="6D4997BF" w14:textId="77777777" w:rsidR="00596D17" w:rsidRDefault="00596D17" w:rsidP="00596D17">
      <w:pPr>
        <w:pStyle w:val="Heading1"/>
        <w:numPr>
          <w:ilvl w:val="0"/>
          <w:numId w:val="8"/>
        </w:numPr>
      </w:pPr>
      <w:bookmarkStart w:id="52" w:name="_Toc122618300"/>
      <w:r>
        <w:t>Significant vs Moderate Changes</w:t>
      </w:r>
      <w:bookmarkEnd w:id="52"/>
    </w:p>
    <w:p w14:paraId="3B4F739F" w14:textId="77777777" w:rsidR="00596D17" w:rsidRPr="007D419A" w:rsidRDefault="00596D17" w:rsidP="00596D17">
      <w:r>
        <w:t>As part of the interconnection process, customers may request to make changes to their designs at any time.  In accordance with the Tariff these changes are to be assessed by the EDC to determine whether the change is Significant or Moderate.  The following defines these terms and the associated impacts to the DG application.</w:t>
      </w:r>
    </w:p>
    <w:p w14:paraId="721370B4" w14:textId="77777777" w:rsidR="00596D17" w:rsidRPr="00C96715" w:rsidRDefault="00596D17" w:rsidP="00596D17">
      <w:pPr>
        <w:spacing w:before="240"/>
        <w:ind w:left="360"/>
        <w:rPr>
          <w:rFonts w:eastAsiaTheme="minorEastAsia"/>
        </w:rPr>
      </w:pPr>
      <w:r w:rsidRPr="03660FC4">
        <w:rPr>
          <w:b/>
          <w:bCs/>
        </w:rPr>
        <w:t>Significant Change</w:t>
      </w:r>
      <w:r>
        <w:t xml:space="preserve">:   A change is considered Significant if it meets the </w:t>
      </w:r>
      <w:r w:rsidRPr="005C0DE2">
        <w:rPr>
          <w:u w:val="single"/>
        </w:rPr>
        <w:t>EITHER</w:t>
      </w:r>
      <w:r>
        <w:t xml:space="preserve"> of following criteria:</w:t>
      </w:r>
    </w:p>
    <w:p w14:paraId="6ED79057" w14:textId="77777777" w:rsidR="00596D17" w:rsidRPr="00D74A1D" w:rsidRDefault="00596D17" w:rsidP="00596D17">
      <w:pPr>
        <w:pStyle w:val="ListParagraph"/>
        <w:numPr>
          <w:ilvl w:val="1"/>
          <w:numId w:val="16"/>
        </w:numPr>
        <w:spacing w:after="160" w:line="259" w:lineRule="auto"/>
        <w:rPr>
          <w:rFonts w:eastAsiaTheme="minorEastAsia"/>
        </w:rPr>
      </w:pPr>
      <w:r w:rsidRPr="00BA31F6">
        <w:rPr>
          <w:rFonts w:eastAsiaTheme="minorEastAsia"/>
          <w:u w:val="single"/>
        </w:rPr>
        <w:t>Customer Impact</w:t>
      </w:r>
      <w:proofErr w:type="gramStart"/>
      <w:r w:rsidRPr="00BA31F6">
        <w:rPr>
          <w:rFonts w:eastAsiaTheme="minorEastAsia"/>
          <w:u w:val="single"/>
        </w:rPr>
        <w:t>:</w:t>
      </w:r>
      <w:r>
        <w:rPr>
          <w:rFonts w:eastAsiaTheme="minorEastAsia"/>
        </w:rPr>
        <w:t xml:space="preserve">  Results</w:t>
      </w:r>
      <w:proofErr w:type="gramEnd"/>
      <w:r>
        <w:rPr>
          <w:rFonts w:eastAsiaTheme="minorEastAsia"/>
        </w:rPr>
        <w:t xml:space="preserve"> of studying t</w:t>
      </w:r>
      <w:r w:rsidRPr="004C00E3">
        <w:rPr>
          <w:rFonts w:eastAsiaTheme="minorEastAsia"/>
        </w:rPr>
        <w:t xml:space="preserve">he change may </w:t>
      </w:r>
      <w:r>
        <w:rPr>
          <w:rFonts w:eastAsiaTheme="minorEastAsia"/>
        </w:rPr>
        <w:t>have</w:t>
      </w:r>
      <w:r w:rsidRPr="004C00E3">
        <w:rPr>
          <w:rFonts w:eastAsiaTheme="minorEastAsia"/>
        </w:rPr>
        <w:t xml:space="preserve"> an adverse impact </w:t>
      </w:r>
      <w:proofErr w:type="gramStart"/>
      <w:r w:rsidRPr="004C00E3">
        <w:rPr>
          <w:rFonts w:eastAsiaTheme="minorEastAsia"/>
        </w:rPr>
        <w:t>to</w:t>
      </w:r>
      <w:proofErr w:type="gramEnd"/>
      <w:r w:rsidRPr="004C00E3">
        <w:rPr>
          <w:rFonts w:eastAsiaTheme="minorEastAsia"/>
        </w:rPr>
        <w:t xml:space="preserve"> other customers </w:t>
      </w:r>
      <w:r>
        <w:rPr>
          <w:rFonts w:eastAsiaTheme="minorEastAsia"/>
        </w:rPr>
        <w:t xml:space="preserve">that are </w:t>
      </w:r>
      <w:r w:rsidRPr="004C00E3">
        <w:rPr>
          <w:rFonts w:eastAsiaTheme="minorEastAsia"/>
        </w:rPr>
        <w:t>in queue</w:t>
      </w:r>
      <w:r>
        <w:rPr>
          <w:rFonts w:eastAsiaTheme="minorEastAsia"/>
        </w:rPr>
        <w:t xml:space="preserve"> at the time the change is requested.  </w:t>
      </w:r>
      <w:r w:rsidRPr="00D74A1D">
        <w:rPr>
          <w:rFonts w:eastAsiaTheme="minorEastAsia"/>
          <w:u w:val="single"/>
        </w:rPr>
        <w:t xml:space="preserve">Projects </w:t>
      </w:r>
      <w:r>
        <w:rPr>
          <w:rFonts w:eastAsiaTheme="minorEastAsia"/>
          <w:u w:val="single"/>
        </w:rPr>
        <w:t xml:space="preserve">that are </w:t>
      </w:r>
      <w:r w:rsidRPr="00D74A1D">
        <w:rPr>
          <w:rFonts w:eastAsiaTheme="minorEastAsia"/>
          <w:u w:val="single"/>
        </w:rPr>
        <w:t>post-</w:t>
      </w:r>
      <w:r w:rsidRPr="00D74A1D">
        <w:rPr>
          <w:rFonts w:eastAsiaTheme="minorEastAsia"/>
        </w:rPr>
        <w:t xml:space="preserve">ISA must adhere to what is in </w:t>
      </w:r>
      <w:r>
        <w:rPr>
          <w:rFonts w:eastAsiaTheme="minorEastAsia"/>
        </w:rPr>
        <w:t xml:space="preserve">the </w:t>
      </w:r>
      <w:r w:rsidRPr="00D74A1D">
        <w:rPr>
          <w:rFonts w:eastAsiaTheme="minorEastAsia"/>
        </w:rPr>
        <w:t xml:space="preserve">agreement, so this applies to </w:t>
      </w:r>
      <w:r>
        <w:rPr>
          <w:rFonts w:eastAsiaTheme="minorEastAsia"/>
        </w:rPr>
        <w:t xml:space="preserve">changes proposed to </w:t>
      </w:r>
      <w:r w:rsidRPr="00D74A1D">
        <w:rPr>
          <w:rFonts w:eastAsiaTheme="minorEastAsia"/>
        </w:rPr>
        <w:t>pre-</w:t>
      </w:r>
      <w:proofErr w:type="spellStart"/>
      <w:proofErr w:type="gramStart"/>
      <w:r w:rsidRPr="00D74A1D">
        <w:rPr>
          <w:rFonts w:eastAsiaTheme="minorEastAsia"/>
        </w:rPr>
        <w:t>iSA</w:t>
      </w:r>
      <w:proofErr w:type="spellEnd"/>
      <w:proofErr w:type="gramEnd"/>
      <w:r>
        <w:rPr>
          <w:rFonts w:eastAsiaTheme="minorEastAsia"/>
        </w:rPr>
        <w:t xml:space="preserve"> applications.</w:t>
      </w:r>
    </w:p>
    <w:p w14:paraId="5EC9499F" w14:textId="77777777" w:rsidR="00596D17" w:rsidRPr="002801AF" w:rsidRDefault="00596D17" w:rsidP="00596D17">
      <w:pPr>
        <w:pStyle w:val="ListParagraph"/>
        <w:ind w:left="1440"/>
        <w:rPr>
          <w:rFonts w:eastAsiaTheme="minorEastAsia"/>
        </w:rPr>
      </w:pPr>
      <w:r w:rsidRPr="002801AF">
        <w:rPr>
          <w:rFonts w:eastAsiaTheme="minorEastAsia"/>
        </w:rPr>
        <w:t xml:space="preserve">Examples of effects to others in queue include, but are not limited to, reducing electrical capacity availability, causing the need for new cost obligations, causing delay to either study or construction timelines, etc.   </w:t>
      </w:r>
    </w:p>
    <w:p w14:paraId="6B1A47E1" w14:textId="77777777" w:rsidR="00596D17" w:rsidRDefault="00596D17" w:rsidP="00596D17">
      <w:pPr>
        <w:pStyle w:val="ListParagraph"/>
        <w:numPr>
          <w:ilvl w:val="2"/>
          <w:numId w:val="17"/>
        </w:numPr>
        <w:spacing w:after="160" w:line="259" w:lineRule="auto"/>
        <w:rPr>
          <w:rFonts w:eastAsiaTheme="minorEastAsia"/>
        </w:rPr>
      </w:pPr>
      <w:r>
        <w:rPr>
          <w:rFonts w:eastAsiaTheme="minorEastAsia"/>
        </w:rPr>
        <w:t>Modifying the base case assumptions used for evaluation of other applications</w:t>
      </w:r>
    </w:p>
    <w:p w14:paraId="6A446AE3" w14:textId="77777777" w:rsidR="00596D17" w:rsidRDefault="00596D17" w:rsidP="00596D17">
      <w:pPr>
        <w:pStyle w:val="ListParagraph"/>
        <w:numPr>
          <w:ilvl w:val="2"/>
          <w:numId w:val="17"/>
        </w:numPr>
        <w:spacing w:after="160" w:line="259" w:lineRule="auto"/>
        <w:rPr>
          <w:rFonts w:eastAsiaTheme="minorEastAsia"/>
        </w:rPr>
      </w:pPr>
      <w:r>
        <w:rPr>
          <w:rFonts w:eastAsiaTheme="minorEastAsia"/>
        </w:rPr>
        <w:t xml:space="preserve">Adjusting required system modifications </w:t>
      </w:r>
    </w:p>
    <w:p w14:paraId="5DC572E2" w14:textId="77777777" w:rsidR="00596D17" w:rsidRPr="00BB3E2C" w:rsidRDefault="00596D17" w:rsidP="00596D17">
      <w:pPr>
        <w:ind w:left="720" w:firstLine="720"/>
        <w:rPr>
          <w:rFonts w:eastAsiaTheme="minorEastAsia"/>
          <w:b/>
          <w:bCs/>
          <w:i/>
          <w:iCs/>
        </w:rPr>
      </w:pPr>
      <w:r w:rsidRPr="00BB3E2C">
        <w:rPr>
          <w:rFonts w:eastAsiaTheme="minorEastAsia"/>
          <w:b/>
          <w:bCs/>
          <w:i/>
          <w:iCs/>
        </w:rPr>
        <w:t>OR</w:t>
      </w:r>
    </w:p>
    <w:p w14:paraId="7AD541EF" w14:textId="77777777" w:rsidR="00596D17" w:rsidRPr="002C64F9" w:rsidRDefault="00596D17" w:rsidP="00596D17">
      <w:pPr>
        <w:pStyle w:val="ListParagraph"/>
        <w:numPr>
          <w:ilvl w:val="1"/>
          <w:numId w:val="16"/>
        </w:numPr>
        <w:spacing w:after="160" w:line="259" w:lineRule="auto"/>
      </w:pPr>
      <w:r w:rsidRPr="013E02A8">
        <w:rPr>
          <w:color w:val="000000" w:themeColor="text1"/>
          <w:u w:val="single"/>
        </w:rPr>
        <w:t>Engineering Impact</w:t>
      </w:r>
      <w:proofErr w:type="gramStart"/>
      <w:r w:rsidRPr="013E02A8">
        <w:rPr>
          <w:color w:val="000000" w:themeColor="text1"/>
        </w:rPr>
        <w:t>:  The</w:t>
      </w:r>
      <w:proofErr w:type="gramEnd"/>
      <w:r w:rsidRPr="013E02A8">
        <w:rPr>
          <w:color w:val="000000" w:themeColor="text1"/>
        </w:rPr>
        <w:t xml:space="preserve"> change modifies the fundamental design intent of the original application to such an extent that majority of the engineering analyses of the original SIS </w:t>
      </w:r>
      <w:r w:rsidRPr="013E02A8">
        <w:rPr>
          <w:color w:val="000000" w:themeColor="text1"/>
        </w:rPr>
        <w:lastRenderedPageBreak/>
        <w:t xml:space="preserve">must be re-performed (ex. load flow, protective device analyses, substation assessment, </w:t>
      </w:r>
      <w:proofErr w:type="spellStart"/>
      <w:r w:rsidRPr="013E02A8">
        <w:rPr>
          <w:color w:val="000000" w:themeColor="text1"/>
        </w:rPr>
        <w:t>etc</w:t>
      </w:r>
      <w:proofErr w:type="spellEnd"/>
      <w:r w:rsidRPr="013E02A8">
        <w:rPr>
          <w:color w:val="000000" w:themeColor="text1"/>
        </w:rPr>
        <w:t>).</w:t>
      </w:r>
      <w:r w:rsidRPr="013E02A8">
        <w:rPr>
          <w:color w:val="000000" w:themeColor="text1"/>
          <w:u w:val="single"/>
        </w:rPr>
        <w:t xml:space="preserve">  </w:t>
      </w:r>
    </w:p>
    <w:p w14:paraId="624F5500" w14:textId="77777777" w:rsidR="00596D17" w:rsidRPr="002C64F9" w:rsidRDefault="00596D17" w:rsidP="00596D17">
      <w:pPr>
        <w:ind w:left="1080"/>
      </w:pPr>
      <w:r w:rsidRPr="002C64F9">
        <w:t>Examples of Significant changes include, but are not limited to:</w:t>
      </w:r>
    </w:p>
    <w:p w14:paraId="187CBF7D" w14:textId="77777777" w:rsidR="00596D17" w:rsidRDefault="00596D17" w:rsidP="00596D17">
      <w:pPr>
        <w:pStyle w:val="ListParagraph"/>
        <w:numPr>
          <w:ilvl w:val="0"/>
          <w:numId w:val="20"/>
        </w:numPr>
        <w:spacing w:after="160" w:line="259" w:lineRule="auto"/>
      </w:pPr>
      <w:r>
        <w:t>Adding new DER technology not in original design (ex. adding AC coupled ESS)</w:t>
      </w:r>
    </w:p>
    <w:p w14:paraId="04CAD3C3" w14:textId="77777777" w:rsidR="00596D17" w:rsidRDefault="00596D17" w:rsidP="00596D17">
      <w:pPr>
        <w:pStyle w:val="ListParagraph"/>
        <w:numPr>
          <w:ilvl w:val="0"/>
          <w:numId w:val="20"/>
        </w:numPr>
        <w:spacing w:after="160" w:line="259" w:lineRule="auto"/>
      </w:pPr>
      <w:r>
        <w:t xml:space="preserve">Physical relocation of POI to feeder location with different electrical characteristics (ex. different feeder, or different location relative to recloser, capacitor, </w:t>
      </w:r>
      <w:proofErr w:type="spellStart"/>
      <w:r>
        <w:t>etc</w:t>
      </w:r>
      <w:proofErr w:type="spellEnd"/>
      <w:r>
        <w:t>)</w:t>
      </w:r>
    </w:p>
    <w:p w14:paraId="742A9FE7" w14:textId="77777777" w:rsidR="00596D17" w:rsidRDefault="00596D17" w:rsidP="00596D17">
      <w:pPr>
        <w:pStyle w:val="ListParagraph"/>
        <w:numPr>
          <w:ilvl w:val="0"/>
          <w:numId w:val="20"/>
        </w:numPr>
        <w:spacing w:after="160" w:line="259" w:lineRule="auto"/>
        <w:rPr>
          <w:rFonts w:eastAsiaTheme="minorEastAsia"/>
        </w:rPr>
      </w:pPr>
      <w:r>
        <w:t>Any increase in nameplate rating or total export capacity of the facility</w:t>
      </w:r>
    </w:p>
    <w:p w14:paraId="2245465F" w14:textId="77777777" w:rsidR="00596D17" w:rsidRDefault="00596D17" w:rsidP="00596D17">
      <w:pPr>
        <w:pStyle w:val="ListParagraph"/>
        <w:numPr>
          <w:ilvl w:val="0"/>
          <w:numId w:val="20"/>
        </w:numPr>
        <w:spacing w:after="160" w:line="259" w:lineRule="auto"/>
        <w:rPr>
          <w:rFonts w:eastAsiaTheme="minorEastAsia"/>
        </w:rPr>
      </w:pPr>
      <w:r w:rsidRPr="6D2B18EE">
        <w:t xml:space="preserve">Change to BESS </w:t>
      </w:r>
      <w:r>
        <w:t>charge/</w:t>
      </w:r>
      <w:r w:rsidRPr="6D2B18EE">
        <w:t>discharge schedule</w:t>
      </w:r>
    </w:p>
    <w:p w14:paraId="56A98240" w14:textId="77777777" w:rsidR="00596D17" w:rsidRPr="002F2A29" w:rsidRDefault="00596D17" w:rsidP="00596D17">
      <w:pPr>
        <w:pStyle w:val="ListParagraph"/>
        <w:numPr>
          <w:ilvl w:val="0"/>
          <w:numId w:val="20"/>
        </w:numPr>
        <w:spacing w:after="160" w:line="259" w:lineRule="auto"/>
        <w:rPr>
          <w:rFonts w:eastAsiaTheme="minorEastAsia"/>
        </w:rPr>
      </w:pPr>
      <w:r>
        <w:t>Change to BESS charging method/source (ex. grid charging vs PV charging)</w:t>
      </w:r>
    </w:p>
    <w:p w14:paraId="3FF6C5FD" w14:textId="77777777" w:rsidR="00596D17" w:rsidRPr="00B07A76" w:rsidRDefault="00596D17" w:rsidP="00596D17">
      <w:pPr>
        <w:pStyle w:val="ListParagraph"/>
        <w:numPr>
          <w:ilvl w:val="0"/>
          <w:numId w:val="20"/>
        </w:numPr>
        <w:spacing w:after="160" w:line="259" w:lineRule="auto"/>
        <w:rPr>
          <w:rFonts w:eastAsiaTheme="minorEastAsia"/>
        </w:rPr>
      </w:pPr>
      <w:r w:rsidRPr="6D2B18EE">
        <w:t>Change in Market participation</w:t>
      </w:r>
      <w:r>
        <w:t>, causing a change to site design</w:t>
      </w:r>
    </w:p>
    <w:p w14:paraId="79165499" w14:textId="77777777" w:rsidR="00596D17" w:rsidRPr="002D7C0C" w:rsidRDefault="00596D17" w:rsidP="00596D17">
      <w:pPr>
        <w:pStyle w:val="ListParagraph"/>
        <w:numPr>
          <w:ilvl w:val="0"/>
          <w:numId w:val="20"/>
        </w:numPr>
        <w:spacing w:after="160" w:line="256" w:lineRule="auto"/>
        <w:rPr>
          <w:rFonts w:eastAsiaTheme="minorEastAsia"/>
        </w:rPr>
      </w:pPr>
      <w:r>
        <w:t>Change in interface transformer winding configuration (Delta or Wye)</w:t>
      </w:r>
    </w:p>
    <w:p w14:paraId="68B85BAE" w14:textId="77777777" w:rsidR="00596D17" w:rsidRPr="006226F8" w:rsidRDefault="00596D17" w:rsidP="00596D17">
      <w:pPr>
        <w:pStyle w:val="ListParagraph"/>
        <w:numPr>
          <w:ilvl w:val="0"/>
          <w:numId w:val="20"/>
        </w:numPr>
        <w:spacing w:after="160" w:line="256" w:lineRule="auto"/>
        <w:rPr>
          <w:rFonts w:eastAsiaTheme="minorEastAsia"/>
        </w:rPr>
      </w:pPr>
      <w:r>
        <w:t>Change in grounding configuration</w:t>
      </w:r>
    </w:p>
    <w:p w14:paraId="03A203D9" w14:textId="77777777" w:rsidR="00596D17" w:rsidRDefault="00596D17" w:rsidP="00596D17">
      <w:pPr>
        <w:pStyle w:val="ListParagraph"/>
        <w:numPr>
          <w:ilvl w:val="0"/>
          <w:numId w:val="20"/>
        </w:numPr>
        <w:spacing w:after="160" w:line="256" w:lineRule="auto"/>
        <w:rPr>
          <w:rFonts w:eastAsiaTheme="minorEastAsia"/>
        </w:rPr>
      </w:pPr>
      <w:r>
        <w:t xml:space="preserve">Changes that affect any ASO </w:t>
      </w:r>
      <w:proofErr w:type="gramStart"/>
      <w:r>
        <w:t>analyses</w:t>
      </w:r>
      <w:proofErr w:type="gramEnd"/>
    </w:p>
    <w:p w14:paraId="797A42F1" w14:textId="77777777" w:rsidR="00596D17" w:rsidRPr="002F2A29" w:rsidRDefault="00596D17" w:rsidP="00596D17">
      <w:pPr>
        <w:pStyle w:val="ListParagraph"/>
        <w:rPr>
          <w:rFonts w:eastAsiaTheme="minorEastAsia"/>
        </w:rPr>
      </w:pPr>
    </w:p>
    <w:p w14:paraId="626710B5" w14:textId="77777777" w:rsidR="00596D17" w:rsidRPr="00C96715" w:rsidRDefault="00596D17" w:rsidP="00596D17">
      <w:pPr>
        <w:ind w:left="360"/>
        <w:rPr>
          <w:rFonts w:eastAsiaTheme="minorEastAsia"/>
        </w:rPr>
      </w:pPr>
      <w:r w:rsidRPr="00C96715">
        <w:rPr>
          <w:b/>
          <w:bCs/>
        </w:rPr>
        <w:t>Moderate Change</w:t>
      </w:r>
      <w:r>
        <w:t xml:space="preserve">:  </w:t>
      </w:r>
      <w:r w:rsidRPr="00C96715">
        <w:rPr>
          <w:color w:val="000000" w:themeColor="text1"/>
        </w:rPr>
        <w:t xml:space="preserve"> A change is considered Moderate if it meets </w:t>
      </w:r>
      <w:r w:rsidRPr="00C96715">
        <w:rPr>
          <w:color w:val="000000" w:themeColor="text1"/>
          <w:u w:val="single"/>
        </w:rPr>
        <w:t>BOTH</w:t>
      </w:r>
      <w:r w:rsidRPr="00C96715">
        <w:rPr>
          <w:color w:val="000000" w:themeColor="text1"/>
        </w:rPr>
        <w:t xml:space="preserve"> of the following criteria:</w:t>
      </w:r>
    </w:p>
    <w:p w14:paraId="26F8E505" w14:textId="77777777" w:rsidR="00596D17" w:rsidRPr="00B03531" w:rsidRDefault="00596D17" w:rsidP="00596D17">
      <w:pPr>
        <w:pStyle w:val="ListParagraph"/>
        <w:numPr>
          <w:ilvl w:val="0"/>
          <w:numId w:val="19"/>
        </w:numPr>
        <w:spacing w:after="160" w:line="259" w:lineRule="auto"/>
        <w:rPr>
          <w:rFonts w:eastAsiaTheme="minorEastAsia"/>
        </w:rPr>
      </w:pPr>
      <w:r w:rsidRPr="03660FC4">
        <w:rPr>
          <w:color w:val="000000" w:themeColor="text1"/>
          <w:u w:val="single"/>
        </w:rPr>
        <w:t>Customer Impact</w:t>
      </w:r>
      <w:proofErr w:type="gramStart"/>
      <w:r w:rsidRPr="03660FC4">
        <w:rPr>
          <w:color w:val="000000" w:themeColor="text1"/>
          <w:u w:val="single"/>
        </w:rPr>
        <w:t>:</w:t>
      </w:r>
      <w:r w:rsidRPr="03660FC4">
        <w:rPr>
          <w:color w:val="000000" w:themeColor="text1"/>
        </w:rPr>
        <w:t xml:space="preserve">  </w:t>
      </w:r>
      <w:r>
        <w:rPr>
          <w:color w:val="000000" w:themeColor="text1"/>
        </w:rPr>
        <w:t>The</w:t>
      </w:r>
      <w:proofErr w:type="gramEnd"/>
      <w:r>
        <w:rPr>
          <w:color w:val="000000" w:themeColor="text1"/>
        </w:rPr>
        <w:t xml:space="preserve"> change has</w:t>
      </w:r>
      <w:r w:rsidRPr="03660FC4">
        <w:rPr>
          <w:color w:val="000000" w:themeColor="text1"/>
        </w:rPr>
        <w:t xml:space="preserve"> no possibility of impact </w:t>
      </w:r>
      <w:proofErr w:type="gramStart"/>
      <w:r w:rsidRPr="03660FC4">
        <w:rPr>
          <w:color w:val="000000" w:themeColor="text1"/>
        </w:rPr>
        <w:t>to</w:t>
      </w:r>
      <w:proofErr w:type="gramEnd"/>
      <w:r w:rsidRPr="03660FC4">
        <w:rPr>
          <w:color w:val="000000" w:themeColor="text1"/>
        </w:rPr>
        <w:t xml:space="preserve"> other customers.  Either confirmed through the fact that no other applications are after the subject project in queue or confirmed by </w:t>
      </w:r>
      <w:r>
        <w:rPr>
          <w:color w:val="000000" w:themeColor="text1"/>
        </w:rPr>
        <w:t>engineering review of</w:t>
      </w:r>
      <w:r w:rsidRPr="03660FC4">
        <w:rPr>
          <w:color w:val="000000" w:themeColor="text1"/>
        </w:rPr>
        <w:t xml:space="preserve"> the proposed change.     </w:t>
      </w:r>
    </w:p>
    <w:p w14:paraId="3576AE8F" w14:textId="77777777" w:rsidR="00596D17" w:rsidRPr="007C3E31" w:rsidRDefault="00596D17" w:rsidP="00596D17">
      <w:pPr>
        <w:pStyle w:val="ListParagraph"/>
        <w:spacing w:after="160" w:line="259" w:lineRule="auto"/>
        <w:ind w:left="1440"/>
        <w:rPr>
          <w:rFonts w:eastAsiaTheme="minorEastAsia"/>
        </w:rPr>
      </w:pPr>
    </w:p>
    <w:p w14:paraId="25137134" w14:textId="77777777" w:rsidR="00596D17" w:rsidRPr="00B64BF7" w:rsidRDefault="00596D17" w:rsidP="00596D17">
      <w:pPr>
        <w:ind w:left="720" w:firstLine="720"/>
        <w:rPr>
          <w:rFonts w:eastAsiaTheme="minorEastAsia"/>
          <w:b/>
          <w:bCs/>
          <w:i/>
          <w:iCs/>
        </w:rPr>
      </w:pPr>
      <w:r w:rsidRPr="00B64BF7">
        <w:rPr>
          <w:b/>
          <w:bCs/>
          <w:i/>
          <w:iCs/>
          <w:color w:val="000000" w:themeColor="text1"/>
        </w:rPr>
        <w:t>AND</w:t>
      </w:r>
    </w:p>
    <w:p w14:paraId="75EA95C7" w14:textId="77777777" w:rsidR="00596D17" w:rsidRDefault="00596D17" w:rsidP="00596D17">
      <w:pPr>
        <w:pStyle w:val="ListParagraph"/>
        <w:numPr>
          <w:ilvl w:val="0"/>
          <w:numId w:val="19"/>
        </w:numPr>
        <w:spacing w:after="160" w:line="259" w:lineRule="auto"/>
        <w:rPr>
          <w:color w:val="000000" w:themeColor="text1"/>
          <w:u w:val="single"/>
        </w:rPr>
      </w:pPr>
      <w:r w:rsidRPr="003F24DF">
        <w:rPr>
          <w:color w:val="000000" w:themeColor="text1"/>
          <w:u w:val="single"/>
        </w:rPr>
        <w:t>Engineering Impact</w:t>
      </w:r>
      <w:proofErr w:type="gramStart"/>
      <w:r w:rsidRPr="00255C28">
        <w:rPr>
          <w:color w:val="000000" w:themeColor="text1"/>
        </w:rPr>
        <w:t>:  The</w:t>
      </w:r>
      <w:proofErr w:type="gramEnd"/>
      <w:r w:rsidRPr="00255C28">
        <w:rPr>
          <w:color w:val="000000" w:themeColor="text1"/>
        </w:rPr>
        <w:t xml:space="preserve"> change modifies the original application </w:t>
      </w:r>
      <w:r>
        <w:rPr>
          <w:color w:val="000000" w:themeColor="text1"/>
        </w:rPr>
        <w:t>requiring performance of</w:t>
      </w:r>
      <w:r w:rsidRPr="00255C28">
        <w:rPr>
          <w:color w:val="000000" w:themeColor="text1"/>
        </w:rPr>
        <w:t xml:space="preserve"> engineering analyses of the original SIS </w:t>
      </w:r>
      <w:r>
        <w:rPr>
          <w:color w:val="000000" w:themeColor="text1"/>
        </w:rPr>
        <w:t>to</w:t>
      </w:r>
      <w:r w:rsidRPr="00255C28">
        <w:rPr>
          <w:color w:val="000000" w:themeColor="text1"/>
        </w:rPr>
        <w:t xml:space="preserve"> be re-performed (ex. load flow, protective device analyses, substation assessment, </w:t>
      </w:r>
      <w:proofErr w:type="spellStart"/>
      <w:r w:rsidRPr="00255C28">
        <w:rPr>
          <w:color w:val="000000" w:themeColor="text1"/>
        </w:rPr>
        <w:t>etc</w:t>
      </w:r>
      <w:proofErr w:type="spellEnd"/>
      <w:r w:rsidRPr="00255C28">
        <w:rPr>
          <w:color w:val="000000" w:themeColor="text1"/>
        </w:rPr>
        <w:t>).</w:t>
      </w:r>
      <w:r w:rsidRPr="003F24DF">
        <w:rPr>
          <w:color w:val="000000" w:themeColor="text1"/>
          <w:u w:val="single"/>
        </w:rPr>
        <w:t xml:space="preserve">  </w:t>
      </w:r>
    </w:p>
    <w:p w14:paraId="4380F4D8" w14:textId="77777777" w:rsidR="00596D17" w:rsidRPr="00702A43" w:rsidRDefault="00596D17" w:rsidP="00596D17">
      <w:pPr>
        <w:ind w:left="1080"/>
        <w:rPr>
          <w:color w:val="000000" w:themeColor="text1"/>
        </w:rPr>
      </w:pPr>
      <w:r w:rsidRPr="00702A43">
        <w:rPr>
          <w:color w:val="000000" w:themeColor="text1"/>
        </w:rPr>
        <w:t>Examples of Moderate changes include, but are not limited to:</w:t>
      </w:r>
    </w:p>
    <w:p w14:paraId="453DDE8E" w14:textId="77777777" w:rsidR="00596D17" w:rsidRDefault="00596D17" w:rsidP="00596D17">
      <w:pPr>
        <w:pStyle w:val="ListParagraph"/>
        <w:numPr>
          <w:ilvl w:val="0"/>
          <w:numId w:val="18"/>
        </w:numPr>
        <w:spacing w:after="160" w:line="259" w:lineRule="auto"/>
      </w:pPr>
      <w:r>
        <w:t>Inverter manufacturer change</w:t>
      </w:r>
    </w:p>
    <w:p w14:paraId="718FD07D" w14:textId="77777777" w:rsidR="00596D17" w:rsidRDefault="00596D17" w:rsidP="00596D17">
      <w:pPr>
        <w:pStyle w:val="ListParagraph"/>
        <w:numPr>
          <w:ilvl w:val="0"/>
          <w:numId w:val="18"/>
        </w:numPr>
        <w:spacing w:after="160" w:line="259" w:lineRule="auto"/>
      </w:pPr>
      <w:r>
        <w:t>Adjustment to transformer impedance</w:t>
      </w:r>
    </w:p>
    <w:p w14:paraId="353E429F" w14:textId="77777777" w:rsidR="00596D17" w:rsidRDefault="00596D17" w:rsidP="00596D17">
      <w:pPr>
        <w:pStyle w:val="ListParagraph"/>
        <w:numPr>
          <w:ilvl w:val="0"/>
          <w:numId w:val="18"/>
        </w:numPr>
        <w:spacing w:after="160" w:line="259" w:lineRule="auto"/>
      </w:pPr>
      <w:r>
        <w:t>Recloser setting adjustment</w:t>
      </w:r>
    </w:p>
    <w:p w14:paraId="308EA74D" w14:textId="77777777" w:rsidR="00596D17" w:rsidRDefault="00596D17" w:rsidP="00596D17">
      <w:r>
        <w:t>Note: For changes associated with a project in a Group Study, the change approval process in Section 3.4.1 of Standards for Interconnection of Distributed Generation Tariff shall be followed.</w:t>
      </w:r>
    </w:p>
    <w:p w14:paraId="6BB51122" w14:textId="77777777" w:rsidR="00596D17" w:rsidRPr="005D0C4A" w:rsidRDefault="00596D17" w:rsidP="00596D17">
      <w:pPr>
        <w:pStyle w:val="Heading1"/>
        <w:numPr>
          <w:ilvl w:val="0"/>
          <w:numId w:val="8"/>
        </w:numPr>
        <w:rPr>
          <w:color w:val="FF0000"/>
        </w:rPr>
      </w:pPr>
      <w:bookmarkStart w:id="53" w:name="_Toc206408634"/>
      <w:r w:rsidRPr="005D0C4A">
        <w:rPr>
          <w:color w:val="FF0000"/>
        </w:rPr>
        <w:t>Transient Overvoltage (TOV)</w:t>
      </w:r>
      <w:bookmarkEnd w:id="53"/>
    </w:p>
    <w:p w14:paraId="1C5F2F3A" w14:textId="77777777" w:rsidR="00596D17" w:rsidRPr="005D0C4A" w:rsidRDefault="00596D17" w:rsidP="00596D17">
      <w:pPr>
        <w:rPr>
          <w:color w:val="FF0000"/>
        </w:rPr>
      </w:pPr>
      <w:r w:rsidRPr="005D0C4A">
        <w:rPr>
          <w:color w:val="FF0000"/>
        </w:rPr>
        <w:t xml:space="preserve">Transient overvoltage is of concern due to potential load rejection overvoltage (LROV) and Ground Fault Overvoltage (GFOV) by inverter-based DER. There is concern that during step changes in load (such as tripping of an upstream device) as well as single-phase to ground fault condition, the proposed inverters </w:t>
      </w:r>
      <w:r w:rsidRPr="005D0C4A">
        <w:rPr>
          <w:color w:val="FF0000"/>
        </w:rPr>
        <w:lastRenderedPageBreak/>
        <w:t>may cause transient over voltages more than 1.2pu, which can potentially cause damage to the DER customer’s equipment, utility equipment, and/or nearby customer equipment. Due to this concern, EDCs require that the DER customer demonstrate that the inverters limit their cumulative overvoltage according to the transient overvoltage curve in IEEE Std. 1547-2018 clause 7.4.2.</w:t>
      </w:r>
    </w:p>
    <w:p w14:paraId="0AA390E0" w14:textId="77777777" w:rsidR="00596D17" w:rsidRPr="005D0C4A" w:rsidRDefault="00596D17" w:rsidP="00596D17">
      <w:pPr>
        <w:rPr>
          <w:color w:val="FF0000"/>
        </w:rPr>
      </w:pPr>
      <w:r w:rsidRPr="005D0C4A">
        <w:rPr>
          <w:color w:val="FF0000"/>
        </w:rPr>
        <w:t xml:space="preserve">NOTE: Please note that compliance with IEEE Std. 1547-2018 cannot guarantee that the Electromagnetic Transient (EMT) analysis is not required. </w:t>
      </w:r>
    </w:p>
    <w:p w14:paraId="3FF99BD2" w14:textId="77777777" w:rsidR="00596D17" w:rsidRPr="005D0C4A" w:rsidRDefault="00596D17" w:rsidP="00596D17">
      <w:pPr>
        <w:rPr>
          <w:color w:val="FF0000"/>
        </w:rPr>
      </w:pPr>
      <w:r w:rsidRPr="00BA68A1">
        <w:rPr>
          <w:b/>
          <w:bCs/>
          <w:color w:val="FF0000"/>
        </w:rPr>
        <w:t>Eversource:</w:t>
      </w:r>
      <w:r w:rsidRPr="00BA68A1">
        <w:rPr>
          <w:color w:val="FF0000"/>
        </w:rPr>
        <w:t xml:space="preserve"> The aggregate DER to minimum gross load ratio will be determined for the proposed feeder(s). If the ratio exceeds 115% then there is potential for transient overvoltage concerns and an EMT study may be required.</w:t>
      </w:r>
      <w:r w:rsidRPr="005D0C4A">
        <w:rPr>
          <w:color w:val="FF0000"/>
        </w:rPr>
        <w:t xml:space="preserve"> If the EMT study is required and analysis determines that a TOV condition is caused by the DER, mitigation or combination of mitigations, such as, but not limited to, Self-Protection Overvoltage (SPOV) enabling in the inverter, revising grounding system, and Surge Arrestors at POI or </w:t>
      </w:r>
      <w:r>
        <w:rPr>
          <w:color w:val="FF0000"/>
        </w:rPr>
        <w:t>S</w:t>
      </w:r>
      <w:r w:rsidRPr="005D0C4A">
        <w:rPr>
          <w:color w:val="FF0000"/>
        </w:rPr>
        <w:t>ubstation may be required.</w:t>
      </w:r>
    </w:p>
    <w:p w14:paraId="65DB94D6" w14:textId="77777777" w:rsidR="00596D17" w:rsidRDefault="00596D17" w:rsidP="00596D17"/>
    <w:p w14:paraId="33E9D5DF" w14:textId="77777777" w:rsidR="00596D17" w:rsidRDefault="00596D17" w:rsidP="00596D17"/>
    <w:p w14:paraId="2CBE96B7" w14:textId="77777777" w:rsidR="00596D17" w:rsidRPr="00E52E98" w:rsidRDefault="00596D17" w:rsidP="00596D17">
      <w:pPr>
        <w:pBdr>
          <w:top w:val="nil"/>
          <w:left w:val="nil"/>
          <w:bottom w:val="nil"/>
          <w:right w:val="nil"/>
          <w:between w:val="nil"/>
        </w:pBdr>
        <w:rPr>
          <w:color w:val="000000"/>
        </w:rPr>
      </w:pPr>
    </w:p>
    <w:p w14:paraId="17924C73" w14:textId="77777777" w:rsidR="00596D17" w:rsidRDefault="00596D17"/>
    <w:sectPr w:rsidR="00596D17" w:rsidSect="00596D1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0E96" w14:textId="77777777" w:rsidR="00596D17" w:rsidRDefault="00596D17" w:rsidP="00596D17">
      <w:pPr>
        <w:spacing w:after="0" w:line="240" w:lineRule="auto"/>
      </w:pPr>
      <w:r>
        <w:separator/>
      </w:r>
    </w:p>
  </w:endnote>
  <w:endnote w:type="continuationSeparator" w:id="0">
    <w:p w14:paraId="302141C9" w14:textId="77777777" w:rsidR="00596D17" w:rsidRDefault="00596D17" w:rsidP="00596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E261" w14:textId="77777777" w:rsidR="00596D17" w:rsidRDefault="00596D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9B9F"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F3D0E95" w14:textId="77777777" w:rsidR="00596D17" w:rsidRDefault="00596D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3AC3" w14:textId="77777777" w:rsidR="00596D17" w:rsidRDefault="00596D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49D0D" w14:textId="77777777" w:rsidR="00596D17" w:rsidRDefault="00596D17" w:rsidP="00596D17">
      <w:pPr>
        <w:spacing w:after="0" w:line="240" w:lineRule="auto"/>
      </w:pPr>
      <w:r>
        <w:separator/>
      </w:r>
    </w:p>
  </w:footnote>
  <w:footnote w:type="continuationSeparator" w:id="0">
    <w:p w14:paraId="4EB2729E" w14:textId="77777777" w:rsidR="00596D17" w:rsidRDefault="00596D17" w:rsidP="00596D17">
      <w:pPr>
        <w:spacing w:after="0" w:line="240" w:lineRule="auto"/>
      </w:pPr>
      <w:r>
        <w:continuationSeparator/>
      </w:r>
    </w:p>
  </w:footnote>
  <w:footnote w:id="1">
    <w:p w14:paraId="703172C1" w14:textId="77777777" w:rsidR="00596D17" w:rsidRDefault="00596D17" w:rsidP="00596D17">
      <w:pPr>
        <w:keepLines/>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 its Final Report to the Department of Public Utilities (“Department”), the Massachusetts Distributed Generation Interconnection Working Group, as established in D.P.U. 11-75, recommended the creation of a Technical Standards Review Group (“TSRG”) to further address interconnection issues.  </w:t>
      </w:r>
    </w:p>
  </w:footnote>
  <w:footnote w:id="2">
    <w:p w14:paraId="340C575E" w14:textId="77777777" w:rsidR="00596D17" w:rsidRDefault="00596D17" w:rsidP="00596D17">
      <w:pPr>
        <w:keepLines/>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This Manual was developed pursuant to the Massachusetts Distributed Generation Interconnection Working Group Final Report.  </w:t>
      </w:r>
      <w:r>
        <w:rPr>
          <w:i/>
          <w:color w:val="000000"/>
          <w:sz w:val="20"/>
          <w:szCs w:val="20"/>
        </w:rPr>
        <w:t>See Final Report, p. 30.</w:t>
      </w:r>
    </w:p>
  </w:footnote>
  <w:footnote w:id="3">
    <w:p w14:paraId="5880715C" w14:textId="77777777" w:rsidR="00596D17" w:rsidRDefault="00596D17" w:rsidP="00596D17">
      <w:pPr>
        <w:keepLines/>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Provided, however, neither notice to the TSRG or such posting is required prior to implementation of any Utility Interconnection Requirement.</w:t>
      </w:r>
      <w:r>
        <w:rPr>
          <w:rFonts w:ascii="Times New Roman" w:eastAsia="Times New Roman" w:hAnsi="Times New Roman" w:cs="Times New Roman"/>
          <w:color w:val="000000"/>
          <w:sz w:val="20"/>
          <w:szCs w:val="20"/>
        </w:rPr>
        <w:t xml:space="preserve">  </w:t>
      </w:r>
    </w:p>
  </w:footnote>
  <w:footnote w:id="4">
    <w:p w14:paraId="5289C9D0" w14:textId="77777777" w:rsidR="00596D17" w:rsidRPr="00A95187" w:rsidRDefault="00596D17" w:rsidP="00596D17">
      <w:pPr>
        <w:autoSpaceDE w:val="0"/>
        <w:autoSpaceDN w:val="0"/>
        <w:adjustRightInd w:val="0"/>
        <w:rPr>
          <w:rFonts w:cs="Arial"/>
          <w:bCs/>
          <w:i/>
          <w:sz w:val="20"/>
          <w:szCs w:val="20"/>
        </w:rPr>
      </w:pPr>
      <w:r w:rsidRPr="00A95187">
        <w:rPr>
          <w:rStyle w:val="FootnoteReference"/>
        </w:rPr>
        <w:footnoteRef/>
      </w:r>
      <w:r w:rsidRPr="00A95187">
        <w:rPr>
          <w:rFonts w:cs="Arial"/>
          <w:bCs/>
          <w:i/>
          <w:sz w:val="20"/>
          <w:szCs w:val="20"/>
        </w:rPr>
        <w:t xml:space="preserve"> As defined in SANDIA technical report </w:t>
      </w:r>
      <w:hyperlink r:id="rId1" w:history="1">
        <w:r w:rsidRPr="00A95187">
          <w:rPr>
            <w:rStyle w:val="Hyperlink"/>
            <w:bCs/>
            <w:sz w:val="20"/>
            <w:szCs w:val="20"/>
          </w:rPr>
          <w:t>https://www.osti.gov/servlets/purl/1463446</w:t>
        </w:r>
      </w:hyperlink>
      <w:r w:rsidRPr="00A95187">
        <w:rPr>
          <w:rFonts w:cs="Arial"/>
          <w:bCs/>
          <w:i/>
          <w:sz w:val="20"/>
          <w:szCs w:val="20"/>
        </w:rPr>
        <w:t>:</w:t>
      </w:r>
    </w:p>
    <w:p w14:paraId="0B0FFFEA" w14:textId="77777777" w:rsidR="00596D17" w:rsidRPr="00A95187" w:rsidRDefault="00596D17" w:rsidP="00596D17">
      <w:pPr>
        <w:autoSpaceDE w:val="0"/>
        <w:autoSpaceDN w:val="0"/>
        <w:adjustRightInd w:val="0"/>
        <w:rPr>
          <w:rFonts w:cs="Arial"/>
          <w:bCs/>
          <w:i/>
          <w:sz w:val="20"/>
          <w:szCs w:val="20"/>
        </w:rPr>
      </w:pPr>
      <w:r w:rsidRPr="00A95187">
        <w:rPr>
          <w:rFonts w:cs="Arial"/>
          <w:bCs/>
          <w:i/>
          <w:sz w:val="20"/>
          <w:szCs w:val="20"/>
        </w:rPr>
        <w:t>Group 1: Methods in this group produce an output perturbation in positive-sequence fundamental frequency (or</w:t>
      </w:r>
      <w:r>
        <w:rPr>
          <w:rFonts w:cs="Arial"/>
          <w:bCs/>
          <w:i/>
          <w:sz w:val="20"/>
          <w:szCs w:val="20"/>
        </w:rPr>
        <w:t xml:space="preserve"> </w:t>
      </w:r>
      <w:r w:rsidRPr="00A95187">
        <w:rPr>
          <w:rFonts w:cs="Arial"/>
          <w:bCs/>
          <w:i/>
          <w:sz w:val="20"/>
          <w:szCs w:val="20"/>
        </w:rPr>
        <w:t>phase) specifically for island detection. This perturbation increases as the error increases (e.g. positive feedback on frequency error). It may be continuous or pulsed. Group 1 inverters use this positive feedback to promote instability after an island forms. Within the normal frequency operating range, feedback is key to destabilizing. Feedback continues until a frequency trip limit is reached and includes no dead zone.</w:t>
      </w:r>
    </w:p>
    <w:p w14:paraId="7FD97531" w14:textId="77777777" w:rsidR="00596D17" w:rsidRDefault="00596D17" w:rsidP="00596D17">
      <w:pPr>
        <w:autoSpaceDE w:val="0"/>
        <w:autoSpaceDN w:val="0"/>
        <w:adjustRightInd w:val="0"/>
        <w:rPr>
          <w:rFonts w:ascii="TimesNewRoman" w:hAnsi="TimesNewRoman" w:cs="TimesNewRoman"/>
        </w:rPr>
      </w:pPr>
      <w:r w:rsidRPr="00A95187">
        <w:rPr>
          <w:rFonts w:cs="Arial"/>
          <w:bCs/>
          <w:i/>
          <w:sz w:val="20"/>
          <w:szCs w:val="20"/>
        </w:rPr>
        <w:t xml:space="preserve">Group 2A: </w:t>
      </w:r>
      <w:proofErr w:type="gramStart"/>
      <w:r w:rsidRPr="00A95187">
        <w:rPr>
          <w:rFonts w:cs="Arial"/>
          <w:bCs/>
          <w:i/>
          <w:sz w:val="20"/>
          <w:szCs w:val="20"/>
        </w:rPr>
        <w:t>Similar to</w:t>
      </w:r>
      <w:proofErr w:type="gramEnd"/>
      <w:r w:rsidRPr="00A95187">
        <w:rPr>
          <w:rFonts w:cs="Arial"/>
          <w:bCs/>
          <w:i/>
          <w:sz w:val="20"/>
          <w:szCs w:val="20"/>
        </w:rPr>
        <w:t xml:space="preserve"> Group 1 in that the method produces an output perturbation in positive-sequence</w:t>
      </w:r>
      <w:r>
        <w:rPr>
          <w:rFonts w:cs="Arial"/>
          <w:bCs/>
          <w:i/>
          <w:sz w:val="20"/>
          <w:szCs w:val="20"/>
        </w:rPr>
        <w:t xml:space="preserve"> </w:t>
      </w:r>
      <w:r w:rsidRPr="00A95187">
        <w:rPr>
          <w:rFonts w:cs="Arial"/>
          <w:bCs/>
          <w:i/>
          <w:sz w:val="20"/>
          <w:szCs w:val="20"/>
        </w:rPr>
        <w:t>fundamental frequency (or phase</w:t>
      </w:r>
      <w:proofErr w:type="gramStart"/>
      <w:r w:rsidRPr="00A95187">
        <w:rPr>
          <w:rFonts w:cs="Arial"/>
          <w:bCs/>
          <w:i/>
          <w:sz w:val="20"/>
          <w:szCs w:val="20"/>
        </w:rPr>
        <w:t>)</w:t>
      </w:r>
      <w:proofErr w:type="gramEnd"/>
      <w:r w:rsidRPr="00A95187">
        <w:rPr>
          <w:rFonts w:cs="Arial"/>
          <w:bCs/>
          <w:i/>
          <w:sz w:val="20"/>
          <w:szCs w:val="20"/>
        </w:rPr>
        <w:t xml:space="preserve"> and the perturbation increases with error (i.e., positive feedback on frequency error). The difference is that positive feedback, within trip bands, is not continuous. Inverters in this Group may have a stepped or otherwise discontinuous response as the magnitude of perturbation reaches a limit prior to the frequency trip thresholds. Inverters with a dead zone around 60-Hz are excluded from Group 2A.</w:t>
      </w:r>
    </w:p>
  </w:footnote>
  <w:footnote w:id="5">
    <w:p w14:paraId="5471DA0D" w14:textId="77777777" w:rsidR="00596D17" w:rsidRDefault="00596D17" w:rsidP="00596D17">
      <w:pPr>
        <w:keepLines/>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i/>
          <w:color w:val="000000"/>
          <w:sz w:val="20"/>
          <w:szCs w:val="20"/>
        </w:rPr>
        <w:t>While the intent of this unintentional islanding protection policy is to encourage DER installations while minimizing inhibitive impacts to the DER installation, National Grid reserves the right and flexibility to enforce protective measures deemed required for the safety and reliability of the EPS.</w:t>
      </w:r>
    </w:p>
  </w:footnote>
  <w:footnote w:id="6">
    <w:p w14:paraId="2EC70B4D" w14:textId="77777777" w:rsidR="00596D17" w:rsidRDefault="00596D17" w:rsidP="00596D17">
      <w:pPr>
        <w:keepLines/>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vertAlign w:val="superscript"/>
        </w:rPr>
        <w:t xml:space="preserve"> </w:t>
      </w:r>
      <w:r>
        <w:rPr>
          <w:rFonts w:ascii="Arial" w:eastAsia="Arial" w:hAnsi="Arial" w:cs="Arial"/>
          <w:i/>
          <w:color w:val="000000"/>
          <w:sz w:val="20"/>
          <w:szCs w:val="20"/>
        </w:rPr>
        <w:t>Customers should be aware that &gt;15kV class circuits typically involve more complex protection schemes, which can be more likely to require DTT due to inability to see and trip faults in an acceptable time frame, in addition to operational issues that may be present at these voltage classes (23kV and 34.5kV).</w:t>
      </w:r>
    </w:p>
  </w:footnote>
  <w:footnote w:id="7">
    <w:p w14:paraId="25095600" w14:textId="77777777" w:rsidR="00596D17" w:rsidRDefault="00596D17" w:rsidP="00596D17">
      <w:pPr>
        <w:keepLines/>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If the unit is UL 1741 Listed inverter-based and has a disconnecting means integrated into the design and meets the requirements of the National Electrical Code (NEC), an additional external disconnect may not be required below 25kW.</w:t>
      </w:r>
    </w:p>
  </w:footnote>
  <w:footnote w:id="8">
    <w:p w14:paraId="72350D59" w14:textId="77777777" w:rsidR="00596D17" w:rsidRDefault="00596D17" w:rsidP="00596D17">
      <w:pPr>
        <w:keepLines/>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New England ISO may update ride through and tripping requirements for DERs.</w:t>
      </w:r>
    </w:p>
  </w:footnote>
  <w:footnote w:id="9">
    <w:p w14:paraId="784DF6E1" w14:textId="77777777" w:rsidR="00596D17" w:rsidRDefault="00596D17" w:rsidP="00596D17">
      <w:pPr>
        <w:keepLines/>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Active voltage regulation may require direct transfer trip per section 4.1.</w:t>
      </w:r>
    </w:p>
  </w:footnote>
  <w:footnote w:id="10">
    <w:p w14:paraId="62051723" w14:textId="77777777" w:rsidR="00596D17" w:rsidRPr="005F3B0B" w:rsidRDefault="00596D17" w:rsidP="00596D17">
      <w:pPr>
        <w:keepLines/>
        <w:pBdr>
          <w:top w:val="nil"/>
          <w:left w:val="nil"/>
          <w:bottom w:val="nil"/>
          <w:right w:val="nil"/>
          <w:between w:val="nil"/>
        </w:pBdr>
        <w:spacing w:after="0" w:line="240" w:lineRule="auto"/>
        <w:rPr>
          <w:strike/>
          <w:color w:val="000000"/>
          <w:sz w:val="20"/>
          <w:szCs w:val="20"/>
        </w:rPr>
      </w:pPr>
      <w:r w:rsidRPr="005F3B0B">
        <w:rPr>
          <w:strike/>
          <w:color w:val="EE0000"/>
          <w:vertAlign w:val="superscript"/>
        </w:rPr>
        <w:footnoteRef/>
      </w:r>
      <w:r w:rsidRPr="005F3B0B">
        <w:rPr>
          <w:strike/>
          <w:color w:val="EE0000"/>
          <w:sz w:val="20"/>
          <w:szCs w:val="20"/>
        </w:rPr>
        <w:t xml:space="preserve"> Assumes high magnetizing impedance for 3-legged core-type transformers.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8E3A"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5E98"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r>
      <w:rPr>
        <w:color w:val="000000"/>
      </w:rPr>
      <w:t>Massachusetts Technical Standards Review Group</w:t>
    </w:r>
  </w:p>
  <w:p w14:paraId="6E4EB54C"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r>
      <w:rPr>
        <w:color w:val="000000"/>
      </w:rPr>
      <w:t>Common Technical Standards Manual</w:t>
    </w:r>
  </w:p>
  <w:p w14:paraId="5C8E1AC5"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as of </w:t>
    </w:r>
    <w:proofErr w:type="gramStart"/>
    <w:r>
      <w:rPr>
        <w:color w:val="000000"/>
      </w:rPr>
      <w:t>September 18</w:t>
    </w:r>
    <w:r w:rsidRPr="00D46791">
      <w:rPr>
        <w:color w:val="000000"/>
        <w:vertAlign w:val="superscript"/>
      </w:rPr>
      <w:t>th</w:t>
    </w:r>
    <w:r>
      <w:rPr>
        <w:color w:val="000000"/>
      </w:rPr>
      <w:t xml:space="preserve"> 2025</w:t>
    </w:r>
    <w:proofErr w:type="gramEnd"/>
  </w:p>
  <w:p w14:paraId="52A5E2A3"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D9B3" w14:textId="77777777" w:rsidR="00596D17" w:rsidRDefault="00596D17">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384"/>
    <w:multiLevelType w:val="hybridMultilevel"/>
    <w:tmpl w:val="B5983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A4BAF"/>
    <w:multiLevelType w:val="hybridMultilevel"/>
    <w:tmpl w:val="733C6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34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12896"/>
    <w:multiLevelType w:val="hybridMultilevel"/>
    <w:tmpl w:val="FEAEDD4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45B5A"/>
    <w:multiLevelType w:val="multilevel"/>
    <w:tmpl w:val="BC9C5D1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3B963EF"/>
    <w:multiLevelType w:val="hybridMultilevel"/>
    <w:tmpl w:val="12B0571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1A6850D3"/>
    <w:multiLevelType w:val="multilevel"/>
    <w:tmpl w:val="DBA0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CD436D"/>
    <w:multiLevelType w:val="multilevel"/>
    <w:tmpl w:val="D47081FA"/>
    <w:lvl w:ilvl="0">
      <w:start w:val="1"/>
      <w:numFmt w:val="decimal"/>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2CEE621A"/>
    <w:multiLevelType w:val="hybridMultilevel"/>
    <w:tmpl w:val="72A6E0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0E3F8F"/>
    <w:multiLevelType w:val="hybridMultilevel"/>
    <w:tmpl w:val="212AD3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DAB"/>
    <w:multiLevelType w:val="hybridMultilevel"/>
    <w:tmpl w:val="857C7CCE"/>
    <w:lvl w:ilvl="0" w:tplc="04090001">
      <w:start w:val="1"/>
      <w:numFmt w:val="bullet"/>
      <w:lvlText w:val=""/>
      <w:lvlJc w:val="left"/>
      <w:pPr>
        <w:ind w:left="1897" w:hanging="360"/>
      </w:pPr>
      <w:rPr>
        <w:rFonts w:ascii="Symbol" w:hAnsi="Symbol" w:hint="default"/>
      </w:rPr>
    </w:lvl>
    <w:lvl w:ilvl="1" w:tplc="04090003" w:tentative="1">
      <w:start w:val="1"/>
      <w:numFmt w:val="bullet"/>
      <w:lvlText w:val="o"/>
      <w:lvlJc w:val="left"/>
      <w:pPr>
        <w:ind w:left="2617" w:hanging="360"/>
      </w:pPr>
      <w:rPr>
        <w:rFonts w:ascii="Courier New" w:hAnsi="Courier New" w:cs="Courier New" w:hint="default"/>
      </w:rPr>
    </w:lvl>
    <w:lvl w:ilvl="2" w:tplc="04090005" w:tentative="1">
      <w:start w:val="1"/>
      <w:numFmt w:val="bullet"/>
      <w:lvlText w:val=""/>
      <w:lvlJc w:val="left"/>
      <w:pPr>
        <w:ind w:left="3337" w:hanging="360"/>
      </w:pPr>
      <w:rPr>
        <w:rFonts w:ascii="Wingdings" w:hAnsi="Wingdings" w:hint="default"/>
      </w:rPr>
    </w:lvl>
    <w:lvl w:ilvl="3" w:tplc="04090001" w:tentative="1">
      <w:start w:val="1"/>
      <w:numFmt w:val="bullet"/>
      <w:lvlText w:val=""/>
      <w:lvlJc w:val="left"/>
      <w:pPr>
        <w:ind w:left="4057" w:hanging="360"/>
      </w:pPr>
      <w:rPr>
        <w:rFonts w:ascii="Symbol" w:hAnsi="Symbol" w:hint="default"/>
      </w:rPr>
    </w:lvl>
    <w:lvl w:ilvl="4" w:tplc="04090003" w:tentative="1">
      <w:start w:val="1"/>
      <w:numFmt w:val="bullet"/>
      <w:lvlText w:val="o"/>
      <w:lvlJc w:val="left"/>
      <w:pPr>
        <w:ind w:left="4777" w:hanging="360"/>
      </w:pPr>
      <w:rPr>
        <w:rFonts w:ascii="Courier New" w:hAnsi="Courier New" w:cs="Courier New" w:hint="default"/>
      </w:rPr>
    </w:lvl>
    <w:lvl w:ilvl="5" w:tplc="04090005" w:tentative="1">
      <w:start w:val="1"/>
      <w:numFmt w:val="bullet"/>
      <w:lvlText w:val=""/>
      <w:lvlJc w:val="left"/>
      <w:pPr>
        <w:ind w:left="5497" w:hanging="360"/>
      </w:pPr>
      <w:rPr>
        <w:rFonts w:ascii="Wingdings" w:hAnsi="Wingdings" w:hint="default"/>
      </w:rPr>
    </w:lvl>
    <w:lvl w:ilvl="6" w:tplc="04090001" w:tentative="1">
      <w:start w:val="1"/>
      <w:numFmt w:val="bullet"/>
      <w:lvlText w:val=""/>
      <w:lvlJc w:val="left"/>
      <w:pPr>
        <w:ind w:left="6217" w:hanging="360"/>
      </w:pPr>
      <w:rPr>
        <w:rFonts w:ascii="Symbol" w:hAnsi="Symbol" w:hint="default"/>
      </w:rPr>
    </w:lvl>
    <w:lvl w:ilvl="7" w:tplc="04090003" w:tentative="1">
      <w:start w:val="1"/>
      <w:numFmt w:val="bullet"/>
      <w:lvlText w:val="o"/>
      <w:lvlJc w:val="left"/>
      <w:pPr>
        <w:ind w:left="6937" w:hanging="360"/>
      </w:pPr>
      <w:rPr>
        <w:rFonts w:ascii="Courier New" w:hAnsi="Courier New" w:cs="Courier New" w:hint="default"/>
      </w:rPr>
    </w:lvl>
    <w:lvl w:ilvl="8" w:tplc="04090005" w:tentative="1">
      <w:start w:val="1"/>
      <w:numFmt w:val="bullet"/>
      <w:lvlText w:val=""/>
      <w:lvlJc w:val="left"/>
      <w:pPr>
        <w:ind w:left="7657" w:hanging="360"/>
      </w:pPr>
      <w:rPr>
        <w:rFonts w:ascii="Wingdings" w:hAnsi="Wingdings" w:hint="default"/>
      </w:rPr>
    </w:lvl>
  </w:abstractNum>
  <w:abstractNum w:abstractNumId="10" w15:restartNumberingAfterBreak="0">
    <w:nsid w:val="363D7A15"/>
    <w:multiLevelType w:val="hybridMultilevel"/>
    <w:tmpl w:val="72BE7E8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248CF"/>
    <w:multiLevelType w:val="hybridMultilevel"/>
    <w:tmpl w:val="E8CED2F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A5A577C"/>
    <w:multiLevelType w:val="multilevel"/>
    <w:tmpl w:val="0C464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586017"/>
    <w:multiLevelType w:val="hybridMultilevel"/>
    <w:tmpl w:val="649E9E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F2A88"/>
    <w:multiLevelType w:val="multilevel"/>
    <w:tmpl w:val="D180C6CA"/>
    <w:lvl w:ilvl="0">
      <w:start w:val="1"/>
      <w:numFmt w:val="decimal"/>
      <w:lvlText w:val="%1."/>
      <w:lvlJc w:val="left"/>
      <w:pPr>
        <w:ind w:left="1440" w:hanging="360"/>
      </w:pPr>
    </w:lvl>
    <w:lvl w:ilvl="1">
      <w:start w:val="1"/>
      <w:numFmt w:val="bullet"/>
      <w:lvlText w:val="●"/>
      <w:lvlJc w:val="left"/>
      <w:pPr>
        <w:ind w:left="2520" w:hanging="72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47746D4"/>
    <w:multiLevelType w:val="hybridMultilevel"/>
    <w:tmpl w:val="D3D6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80098"/>
    <w:multiLevelType w:val="multilevel"/>
    <w:tmpl w:val="D47081FA"/>
    <w:lvl w:ilvl="0">
      <w:start w:val="1"/>
      <w:numFmt w:val="decimal"/>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57319B4"/>
    <w:multiLevelType w:val="hybridMultilevel"/>
    <w:tmpl w:val="534629EE"/>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15:restartNumberingAfterBreak="0">
    <w:nsid w:val="4C756347"/>
    <w:multiLevelType w:val="multilevel"/>
    <w:tmpl w:val="C7E6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614325"/>
    <w:multiLevelType w:val="multilevel"/>
    <w:tmpl w:val="5DE48B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67D3F50"/>
    <w:multiLevelType w:val="multilevel"/>
    <w:tmpl w:val="50B8150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D2F188F"/>
    <w:multiLevelType w:val="multilevel"/>
    <w:tmpl w:val="D9CA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8038E"/>
    <w:multiLevelType w:val="multilevel"/>
    <w:tmpl w:val="FC76F2A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15:restartNumberingAfterBreak="0">
    <w:nsid w:val="63783C56"/>
    <w:multiLevelType w:val="multilevel"/>
    <w:tmpl w:val="C2FCF9A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A6746BF"/>
    <w:multiLevelType w:val="multilevel"/>
    <w:tmpl w:val="7D0A87D8"/>
    <w:lvl w:ilvl="0">
      <w:start w:val="1"/>
      <w:numFmt w:val="decimal"/>
      <w:lvlText w:val="%1.0"/>
      <w:lvlJc w:val="left"/>
      <w:pPr>
        <w:ind w:left="810" w:hanging="810"/>
      </w:pPr>
    </w:lvl>
    <w:lvl w:ilvl="1">
      <w:start w:val="1"/>
      <w:numFmt w:val="decimal"/>
      <w:lvlText w:val="%1.%2"/>
      <w:lvlJc w:val="left"/>
      <w:pPr>
        <w:ind w:left="4770" w:hanging="810"/>
      </w:pPr>
    </w:lvl>
    <w:lvl w:ilvl="2">
      <w:start w:val="1"/>
      <w:numFmt w:val="decimal"/>
      <w:lvlText w:val="%1.%2.%3"/>
      <w:lvlJc w:val="left"/>
      <w:pPr>
        <w:ind w:left="2250" w:hanging="810"/>
      </w:pPr>
    </w:lvl>
    <w:lvl w:ilvl="3">
      <w:start w:val="1"/>
      <w:numFmt w:val="decimal"/>
      <w:lvlText w:val="%1.%2.%3.%4"/>
      <w:lvlJc w:val="left"/>
      <w:pPr>
        <w:ind w:left="2970" w:hanging="81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5" w15:restartNumberingAfterBreak="0">
    <w:nsid w:val="6F39369C"/>
    <w:multiLevelType w:val="hybridMultilevel"/>
    <w:tmpl w:val="EE782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7208A"/>
    <w:multiLevelType w:val="hybridMultilevel"/>
    <w:tmpl w:val="23F6F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02293"/>
    <w:multiLevelType w:val="multilevel"/>
    <w:tmpl w:val="15C20B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329556516">
    <w:abstractNumId w:val="20"/>
  </w:num>
  <w:num w:numId="2" w16cid:durableId="1160468645">
    <w:abstractNumId w:val="3"/>
  </w:num>
  <w:num w:numId="3" w16cid:durableId="2007245472">
    <w:abstractNumId w:val="14"/>
  </w:num>
  <w:num w:numId="4" w16cid:durableId="690840485">
    <w:abstractNumId w:val="22"/>
  </w:num>
  <w:num w:numId="5" w16cid:durableId="1806197384">
    <w:abstractNumId w:val="23"/>
  </w:num>
  <w:num w:numId="6" w16cid:durableId="969895591">
    <w:abstractNumId w:val="19"/>
  </w:num>
  <w:num w:numId="7" w16cid:durableId="2034842027">
    <w:abstractNumId w:val="16"/>
  </w:num>
  <w:num w:numId="8" w16cid:durableId="189299867">
    <w:abstractNumId w:val="24"/>
  </w:num>
  <w:num w:numId="9" w16cid:durableId="1056511014">
    <w:abstractNumId w:val="27"/>
  </w:num>
  <w:num w:numId="10" w16cid:durableId="208034991">
    <w:abstractNumId w:val="0"/>
  </w:num>
  <w:num w:numId="11" w16cid:durableId="168369178">
    <w:abstractNumId w:val="26"/>
  </w:num>
  <w:num w:numId="12" w16cid:durableId="384834502">
    <w:abstractNumId w:val="6"/>
  </w:num>
  <w:num w:numId="13" w16cid:durableId="1945724837">
    <w:abstractNumId w:val="25"/>
  </w:num>
  <w:num w:numId="14" w16cid:durableId="139153274">
    <w:abstractNumId w:val="17"/>
  </w:num>
  <w:num w:numId="15" w16cid:durableId="1529683483">
    <w:abstractNumId w:val="10"/>
  </w:num>
  <w:num w:numId="16" w16cid:durableId="334575441">
    <w:abstractNumId w:val="8"/>
  </w:num>
  <w:num w:numId="17" w16cid:durableId="1275937067">
    <w:abstractNumId w:val="2"/>
  </w:num>
  <w:num w:numId="18" w16cid:durableId="2018001239">
    <w:abstractNumId w:val="4"/>
  </w:num>
  <w:num w:numId="19" w16cid:durableId="1315376046">
    <w:abstractNumId w:val="7"/>
  </w:num>
  <w:num w:numId="20" w16cid:durableId="511263325">
    <w:abstractNumId w:val="11"/>
  </w:num>
  <w:num w:numId="21" w16cid:durableId="582029814">
    <w:abstractNumId w:val="13"/>
  </w:num>
  <w:num w:numId="22" w16cid:durableId="2098551359">
    <w:abstractNumId w:val="1"/>
  </w:num>
  <w:num w:numId="23" w16cid:durableId="405735211">
    <w:abstractNumId w:val="9"/>
  </w:num>
  <w:num w:numId="24" w16cid:durableId="665941380">
    <w:abstractNumId w:val="15"/>
  </w:num>
  <w:num w:numId="25" w16cid:durableId="121731989">
    <w:abstractNumId w:val="5"/>
  </w:num>
  <w:num w:numId="26" w16cid:durableId="346292598">
    <w:abstractNumId w:val="18"/>
  </w:num>
  <w:num w:numId="27" w16cid:durableId="839852643">
    <w:abstractNumId w:val="12"/>
  </w:num>
  <w:num w:numId="28" w16cid:durableId="524323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17"/>
    <w:rsid w:val="002065F8"/>
    <w:rsid w:val="00596D17"/>
    <w:rsid w:val="00910723"/>
    <w:rsid w:val="00B6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474C"/>
  <w15:chartTrackingRefBased/>
  <w15:docId w15:val="{3E183053-4F44-4E1F-8307-ED2630F29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96D17"/>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qFormat/>
    <w:rsid w:val="00596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6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6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6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96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96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96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6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96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D17"/>
    <w:rPr>
      <w:rFonts w:eastAsiaTheme="majorEastAsia" w:cstheme="majorBidi"/>
      <w:color w:val="272727" w:themeColor="text1" w:themeTint="D8"/>
    </w:rPr>
  </w:style>
  <w:style w:type="paragraph" w:styleId="Title">
    <w:name w:val="Title"/>
    <w:basedOn w:val="Normal"/>
    <w:next w:val="Normal"/>
    <w:link w:val="TitleChar"/>
    <w:qFormat/>
    <w:rsid w:val="00596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96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D17"/>
    <w:pPr>
      <w:spacing w:before="160"/>
      <w:jc w:val="center"/>
    </w:pPr>
    <w:rPr>
      <w:i/>
      <w:iCs/>
      <w:color w:val="404040" w:themeColor="text1" w:themeTint="BF"/>
    </w:rPr>
  </w:style>
  <w:style w:type="character" w:customStyle="1" w:styleId="QuoteChar">
    <w:name w:val="Quote Char"/>
    <w:basedOn w:val="DefaultParagraphFont"/>
    <w:link w:val="Quote"/>
    <w:uiPriority w:val="29"/>
    <w:rsid w:val="00596D17"/>
    <w:rPr>
      <w:i/>
      <w:iCs/>
      <w:color w:val="404040" w:themeColor="text1" w:themeTint="BF"/>
    </w:rPr>
  </w:style>
  <w:style w:type="paragraph" w:styleId="ListParagraph">
    <w:name w:val="List Paragraph"/>
    <w:basedOn w:val="Normal"/>
    <w:uiPriority w:val="34"/>
    <w:qFormat/>
    <w:rsid w:val="00596D17"/>
    <w:pPr>
      <w:ind w:left="720"/>
      <w:contextualSpacing/>
    </w:pPr>
  </w:style>
  <w:style w:type="character" w:styleId="IntenseEmphasis">
    <w:name w:val="Intense Emphasis"/>
    <w:basedOn w:val="DefaultParagraphFont"/>
    <w:uiPriority w:val="21"/>
    <w:qFormat/>
    <w:rsid w:val="00596D17"/>
    <w:rPr>
      <w:i/>
      <w:iCs/>
      <w:color w:val="0F4761" w:themeColor="accent1" w:themeShade="BF"/>
    </w:rPr>
  </w:style>
  <w:style w:type="paragraph" w:styleId="IntenseQuote">
    <w:name w:val="Intense Quote"/>
    <w:basedOn w:val="Normal"/>
    <w:next w:val="Normal"/>
    <w:link w:val="IntenseQuoteChar"/>
    <w:uiPriority w:val="30"/>
    <w:qFormat/>
    <w:rsid w:val="00596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D17"/>
    <w:rPr>
      <w:i/>
      <w:iCs/>
      <w:color w:val="0F4761" w:themeColor="accent1" w:themeShade="BF"/>
    </w:rPr>
  </w:style>
  <w:style w:type="character" w:styleId="IntenseReference">
    <w:name w:val="Intense Reference"/>
    <w:basedOn w:val="DefaultParagraphFont"/>
    <w:uiPriority w:val="32"/>
    <w:qFormat/>
    <w:rsid w:val="00596D17"/>
    <w:rPr>
      <w:b/>
      <w:bCs/>
      <w:smallCaps/>
      <w:color w:val="0F4761" w:themeColor="accent1" w:themeShade="BF"/>
      <w:spacing w:val="5"/>
    </w:rPr>
  </w:style>
  <w:style w:type="table" w:customStyle="1" w:styleId="7">
    <w:name w:val="7"/>
    <w:basedOn w:val="TableNormal"/>
    <w:rsid w:val="00596D1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table" w:customStyle="1" w:styleId="6">
    <w:name w:val="6"/>
    <w:basedOn w:val="TableNormal"/>
    <w:rsid w:val="00596D1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table" w:customStyle="1" w:styleId="5">
    <w:name w:val="5"/>
    <w:basedOn w:val="TableNormal"/>
    <w:rsid w:val="00596D17"/>
    <w:pPr>
      <w:spacing w:after="200" w:line="276"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tcPr>
      <w:shd w:val="clear" w:color="auto" w:fill="DBE5F1"/>
      <w:vAlign w:val="center"/>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
    <w:rsid w:val="00596D17"/>
    <w:pPr>
      <w:spacing w:after="200" w:line="276"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tcPr>
      <w:shd w:val="clear" w:color="auto" w:fill="DBE5F1"/>
      <w:vAlign w:val="center"/>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
    <w:name w:val="3"/>
    <w:basedOn w:val="TableNormal"/>
    <w:rsid w:val="00596D17"/>
    <w:pPr>
      <w:spacing w:after="200" w:line="276"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tcPr>
      <w:shd w:val="clear" w:color="auto" w:fill="DBE5F1"/>
      <w:vAlign w:val="center"/>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rsid w:val="00596D17"/>
    <w:pPr>
      <w:spacing w:after="200" w:line="276"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tcPr>
      <w:shd w:val="clear" w:color="auto" w:fill="DBE5F1"/>
      <w:vAlign w:val="center"/>
    </w:tcPr>
    <w:tblStylePr w:type="firstRow">
      <w:rPr>
        <w:b/>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rPr>
      <w:tblPr/>
      <w:tcPr>
        <w:tcBorders>
          <w:top w:val="single" w:sz="4" w:space="0" w:color="4F81BD"/>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
    <w:name w:val="1"/>
    <w:basedOn w:val="TableNormal"/>
    <w:rsid w:val="00596D17"/>
    <w:pPr>
      <w:spacing w:after="200" w:line="276" w:lineRule="auto"/>
    </w:pPr>
    <w:rPr>
      <w:rFonts w:ascii="Calibri" w:eastAsia="Calibri" w:hAnsi="Calibri" w:cs="Calibri"/>
      <w:kern w:val="0"/>
      <w:sz w:val="22"/>
      <w:szCs w:val="22"/>
      <w14:ligatures w14:val="none"/>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596D17"/>
    <w:pPr>
      <w:spacing w:line="240" w:lineRule="auto"/>
    </w:pPr>
    <w:rPr>
      <w:sz w:val="20"/>
      <w:szCs w:val="20"/>
    </w:rPr>
  </w:style>
  <w:style w:type="character" w:customStyle="1" w:styleId="CommentTextChar">
    <w:name w:val="Comment Text Char"/>
    <w:basedOn w:val="DefaultParagraphFont"/>
    <w:link w:val="CommentText"/>
    <w:uiPriority w:val="99"/>
    <w:rsid w:val="00596D17"/>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sid w:val="00596D17"/>
    <w:rPr>
      <w:sz w:val="16"/>
      <w:szCs w:val="16"/>
    </w:rPr>
  </w:style>
  <w:style w:type="paragraph" w:styleId="BalloonText">
    <w:name w:val="Balloon Text"/>
    <w:basedOn w:val="Normal"/>
    <w:link w:val="BalloonTextChar"/>
    <w:uiPriority w:val="99"/>
    <w:semiHidden/>
    <w:unhideWhenUsed/>
    <w:rsid w:val="00596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D17"/>
    <w:rPr>
      <w:rFonts w:ascii="Segoe UI" w:eastAsia="Calibri" w:hAnsi="Segoe UI" w:cs="Segoe UI"/>
      <w:kern w:val="0"/>
      <w:sz w:val="18"/>
      <w:szCs w:val="18"/>
      <w14:ligatures w14:val="none"/>
    </w:rPr>
  </w:style>
  <w:style w:type="paragraph" w:styleId="Revision">
    <w:name w:val="Revision"/>
    <w:hidden/>
    <w:uiPriority w:val="99"/>
    <w:semiHidden/>
    <w:rsid w:val="00596D17"/>
    <w:pPr>
      <w:spacing w:after="0" w:line="240" w:lineRule="auto"/>
    </w:pPr>
    <w:rPr>
      <w:rFonts w:ascii="Calibri" w:eastAsia="Calibri" w:hAnsi="Calibri" w:cs="Calibri"/>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596D17"/>
    <w:rPr>
      <w:b/>
      <w:bCs/>
    </w:rPr>
  </w:style>
  <w:style w:type="character" w:customStyle="1" w:styleId="CommentSubjectChar">
    <w:name w:val="Comment Subject Char"/>
    <w:basedOn w:val="CommentTextChar"/>
    <w:link w:val="CommentSubject"/>
    <w:uiPriority w:val="99"/>
    <w:semiHidden/>
    <w:rsid w:val="00596D17"/>
    <w:rPr>
      <w:rFonts w:ascii="Calibri" w:eastAsia="Calibri" w:hAnsi="Calibri" w:cs="Calibri"/>
      <w:b/>
      <w:bCs/>
      <w:kern w:val="0"/>
      <w:sz w:val="20"/>
      <w:szCs w:val="20"/>
      <w14:ligatures w14:val="none"/>
    </w:rPr>
  </w:style>
  <w:style w:type="character" w:styleId="Hyperlink">
    <w:name w:val="Hyperlink"/>
    <w:basedOn w:val="DefaultParagraphFont"/>
    <w:uiPriority w:val="99"/>
    <w:unhideWhenUsed/>
    <w:rsid w:val="00596D17"/>
    <w:rPr>
      <w:color w:val="0000FF"/>
      <w:u w:val="single"/>
    </w:rPr>
  </w:style>
  <w:style w:type="paragraph" w:styleId="NormalWeb">
    <w:name w:val="Normal (Web)"/>
    <w:basedOn w:val="Normal"/>
    <w:uiPriority w:val="99"/>
    <w:semiHidden/>
    <w:unhideWhenUsed/>
    <w:rsid w:val="00596D17"/>
    <w:pPr>
      <w:spacing w:before="100" w:beforeAutospacing="1" w:after="100" w:afterAutospacing="1" w:line="240" w:lineRule="auto"/>
    </w:pPr>
    <w:rPr>
      <w:rFonts w:eastAsiaTheme="minorHAnsi"/>
    </w:rPr>
  </w:style>
  <w:style w:type="character" w:styleId="UnresolvedMention">
    <w:name w:val="Unresolved Mention"/>
    <w:basedOn w:val="DefaultParagraphFont"/>
    <w:uiPriority w:val="99"/>
    <w:semiHidden/>
    <w:unhideWhenUsed/>
    <w:rsid w:val="00596D17"/>
    <w:rPr>
      <w:color w:val="605E5C"/>
      <w:shd w:val="clear" w:color="auto" w:fill="E1DFDD"/>
    </w:rPr>
  </w:style>
  <w:style w:type="paragraph" w:styleId="TOC1">
    <w:name w:val="toc 1"/>
    <w:basedOn w:val="Normal"/>
    <w:next w:val="Normal"/>
    <w:autoRedefine/>
    <w:uiPriority w:val="39"/>
    <w:unhideWhenUsed/>
    <w:rsid w:val="00596D17"/>
    <w:pPr>
      <w:tabs>
        <w:tab w:val="left" w:pos="660"/>
        <w:tab w:val="right" w:pos="9350"/>
      </w:tabs>
      <w:spacing w:after="100"/>
    </w:pPr>
  </w:style>
  <w:style w:type="paragraph" w:styleId="TOC2">
    <w:name w:val="toc 2"/>
    <w:basedOn w:val="Normal"/>
    <w:next w:val="Normal"/>
    <w:autoRedefine/>
    <w:uiPriority w:val="39"/>
    <w:unhideWhenUsed/>
    <w:rsid w:val="00596D17"/>
    <w:pPr>
      <w:spacing w:after="100"/>
      <w:ind w:left="220"/>
    </w:pPr>
  </w:style>
  <w:style w:type="paragraph" w:styleId="TOC6">
    <w:name w:val="toc 6"/>
    <w:basedOn w:val="Normal"/>
    <w:next w:val="Normal"/>
    <w:autoRedefine/>
    <w:uiPriority w:val="39"/>
    <w:unhideWhenUsed/>
    <w:rsid w:val="00596D17"/>
    <w:pPr>
      <w:spacing w:after="100"/>
      <w:ind w:left="1100"/>
    </w:pPr>
  </w:style>
  <w:style w:type="paragraph" w:styleId="FootnoteText">
    <w:name w:val="footnote text"/>
    <w:basedOn w:val="Normal"/>
    <w:link w:val="FootnoteTextChar"/>
    <w:uiPriority w:val="99"/>
    <w:semiHidden/>
    <w:unhideWhenUsed/>
    <w:rsid w:val="00596D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6D17"/>
    <w:rPr>
      <w:rFonts w:ascii="Calibri" w:eastAsia="Calibri" w:hAnsi="Calibri" w:cs="Calibri"/>
      <w:kern w:val="0"/>
      <w:sz w:val="20"/>
      <w:szCs w:val="20"/>
      <w14:ligatures w14:val="none"/>
    </w:rPr>
  </w:style>
  <w:style w:type="character" w:styleId="FootnoteReference">
    <w:name w:val="footnote reference"/>
    <w:basedOn w:val="DefaultParagraphFont"/>
    <w:unhideWhenUsed/>
    <w:rsid w:val="00596D17"/>
    <w:rPr>
      <w:vertAlign w:val="superscript"/>
    </w:rPr>
  </w:style>
  <w:style w:type="paragraph" w:styleId="NoSpacing">
    <w:name w:val="No Spacing"/>
    <w:uiPriority w:val="1"/>
    <w:qFormat/>
    <w:rsid w:val="00596D17"/>
    <w:pPr>
      <w:spacing w:after="0" w:line="240" w:lineRule="auto"/>
    </w:pPr>
    <w:rPr>
      <w:rFonts w:ascii="Calibri" w:eastAsia="Calibri" w:hAnsi="Calibri" w:cs="Calibri"/>
      <w:kern w:val="0"/>
      <w:sz w:val="22"/>
      <w:szCs w:val="22"/>
      <w14:ligatures w14:val="none"/>
    </w:rPr>
  </w:style>
  <w:style w:type="character" w:styleId="FollowedHyperlink">
    <w:name w:val="FollowedHyperlink"/>
    <w:basedOn w:val="DefaultParagraphFont"/>
    <w:uiPriority w:val="99"/>
    <w:semiHidden/>
    <w:unhideWhenUsed/>
    <w:rsid w:val="00596D17"/>
    <w:rPr>
      <w:color w:val="96607D" w:themeColor="followedHyperlink"/>
      <w:u w:val="single"/>
    </w:rPr>
  </w:style>
  <w:style w:type="paragraph" w:customStyle="1" w:styleId="List1-A">
    <w:name w:val="List (1-A)"/>
    <w:basedOn w:val="Normal"/>
    <w:next w:val="Normal"/>
    <w:qFormat/>
    <w:rsid w:val="00596D17"/>
    <w:pPr>
      <w:spacing w:after="120" w:line="240" w:lineRule="auto"/>
      <w:ind w:left="720" w:hanging="720"/>
      <w:jc w:val="both"/>
    </w:pPr>
    <w:rPr>
      <w:rFonts w:ascii="Arial" w:eastAsiaTheme="minorHAnsi" w:hAnsi="Arial" w:cstheme="minorBidi"/>
    </w:rPr>
  </w:style>
  <w:style w:type="paragraph" w:customStyle="1" w:styleId="List2-1">
    <w:name w:val="List (2-1)"/>
    <w:basedOn w:val="Normal"/>
    <w:next w:val="Normal"/>
    <w:qFormat/>
    <w:rsid w:val="00596D17"/>
    <w:pPr>
      <w:spacing w:after="120" w:line="240" w:lineRule="auto"/>
      <w:ind w:left="720" w:hanging="720"/>
      <w:jc w:val="both"/>
    </w:pPr>
    <w:rPr>
      <w:rFonts w:ascii="Arial" w:eastAsiaTheme="minorHAnsi" w:hAnsi="Arial" w:cstheme="minorBidi"/>
    </w:rPr>
  </w:style>
  <w:style w:type="paragraph" w:customStyle="1" w:styleId="List3-a">
    <w:name w:val="List (3-a)"/>
    <w:basedOn w:val="Normal"/>
    <w:next w:val="Normal"/>
    <w:qFormat/>
    <w:rsid w:val="00596D17"/>
    <w:pPr>
      <w:spacing w:after="120" w:line="240" w:lineRule="auto"/>
      <w:ind w:left="720" w:hanging="720"/>
      <w:jc w:val="both"/>
    </w:pPr>
    <w:rPr>
      <w:rFonts w:ascii="Arial" w:eastAsiaTheme="minorHAnsi" w:hAnsi="Arial"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dforce.my.site.com/servlet/servlet.FileDownload?file=0156T00000H8zbF" TargetMode="External"/><Relationship Id="rId13" Type="http://schemas.openxmlformats.org/officeDocument/2006/relationships/hyperlink" Target="https://www.mass.gov/info-details/net-metering-filings-and-tariffs" TargetMode="External"/><Relationship Id="rId18" Type="http://schemas.openxmlformats.org/officeDocument/2006/relationships/hyperlink" Target="https://gridforce.my.site.com/s/article/MA-Interconnection-Document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eversource.com/content/docs/default-source/builders-contractors/der-information-technical-requirements.pdf?sfvrsn=ab2bfc62_10" TargetMode="External"/><Relationship Id="rId12" Type="http://schemas.openxmlformats.org/officeDocument/2006/relationships/hyperlink" Target="https://www.mass.gov/info-details/interconnection-filings-and-tariffs" TargetMode="External"/><Relationship Id="rId17" Type="http://schemas.openxmlformats.org/officeDocument/2006/relationships/hyperlink" Target="https://malegislature.gov/Laws/SessionLaws/Acts/2018/Chapter2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ss.gov/guides/provisional-system-planning-program-guid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itil.com/sites/default/files/2021-03/Unitil%20Guideline%20for%20Interconnecting%20DG%20GL-DT-TC-10.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ass.gov/info-details/solar-massachusetts-renewable-target-smart-program" TargetMode="External"/><Relationship Id="rId23" Type="http://schemas.openxmlformats.org/officeDocument/2006/relationships/header" Target="header3.xml"/><Relationship Id="rId10" Type="http://schemas.openxmlformats.org/officeDocument/2006/relationships/hyperlink" Target="https://gridforce.my.site.com/s/article/MA-Interconnection-Documen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ridforce.my.site.com/electric/s/article/Electric-Specifications" TargetMode="External"/><Relationship Id="rId14" Type="http://schemas.openxmlformats.org/officeDocument/2006/relationships/hyperlink" Target="https://www.mass.gov/info-details/qualifying-facilities-and-on-site-generating-facilities"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ti.gov/servlets/purl/1463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4225</TotalTime>
  <Pages>29</Pages>
  <Words>9167</Words>
  <Characters>52070</Characters>
  <Application>Microsoft Office Word</Application>
  <DocSecurity>0</DocSecurity>
  <Lines>1062</Lines>
  <Paragraphs>577</Paragraphs>
  <ScaleCrop>false</ScaleCrop>
  <HeadingPairs>
    <vt:vector size="2" baseType="variant">
      <vt:variant>
        <vt:lpstr>Title</vt:lpstr>
      </vt:variant>
      <vt:variant>
        <vt:i4>1</vt:i4>
      </vt:variant>
    </vt:vector>
  </HeadingPairs>
  <TitlesOfParts>
    <vt:vector size="1" baseType="lpstr">
      <vt:lpstr/>
    </vt:vector>
  </TitlesOfParts>
  <Company>EVERSOURCE</Company>
  <LinksUpToDate>false</LinksUpToDate>
  <CharactersWithSpaces>60660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Shakir</dc:creator>
  <cp:keywords/>
  <dc:description/>
  <cp:lastModifiedBy>Iqbal, Shakir</cp:lastModifiedBy>
  <cp:revision>1</cp:revision>
  <dcterms:created xsi:type="dcterms:W3CDTF">2025-10-24T15:38:00Z</dcterms:created>
  <dcterms:modified xsi:type="dcterms:W3CDTF">2025-10-27T14:03:00Z</dcterms:modified>
</cp:coreProperties>
</file>