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DA" w:rsidRDefault="002877DA" w:rsidP="00EC3D38">
      <w:pPr>
        <w:pStyle w:val="NoSpacing"/>
      </w:pPr>
      <w:r>
        <w:t>November 18, 2016</w:t>
      </w:r>
    </w:p>
    <w:p w:rsidR="002877DA" w:rsidRDefault="002877DA" w:rsidP="00EC3D38">
      <w:pPr>
        <w:pStyle w:val="NoSpacing"/>
      </w:pPr>
    </w:p>
    <w:p w:rsidR="002877DA" w:rsidRPr="000D5E12" w:rsidRDefault="002877DA" w:rsidP="000D5E12">
      <w:pPr>
        <w:pStyle w:val="NoSpacing"/>
        <w:jc w:val="center"/>
        <w:rPr>
          <w:b/>
        </w:rPr>
      </w:pPr>
      <w:r w:rsidRPr="000D5E12">
        <w:rPr>
          <w:b/>
        </w:rPr>
        <w:t>Executive Summary Report to Implementation Council</w:t>
      </w:r>
    </w:p>
    <w:p w:rsidR="00C62080" w:rsidRPr="000D5E12" w:rsidRDefault="00C62080" w:rsidP="000D5E12">
      <w:pPr>
        <w:pStyle w:val="NoSpacing"/>
        <w:jc w:val="center"/>
        <w:rPr>
          <w:b/>
        </w:rPr>
      </w:pPr>
      <w:r w:rsidRPr="000D5E12">
        <w:rPr>
          <w:b/>
          <w:i/>
        </w:rPr>
        <w:t xml:space="preserve">Tufts Health Unify </w:t>
      </w:r>
      <w:r w:rsidRPr="000D5E12">
        <w:rPr>
          <w:b/>
        </w:rPr>
        <w:t>Quality Improvement Project</w:t>
      </w:r>
    </w:p>
    <w:p w:rsidR="00C9167B" w:rsidRPr="00C9167B" w:rsidRDefault="00C9167B" w:rsidP="00EC3D38">
      <w:pPr>
        <w:pStyle w:val="NoSpacing"/>
      </w:pPr>
    </w:p>
    <w:p w:rsidR="003A2307" w:rsidRDefault="008E2072" w:rsidP="00EC3D38">
      <w:pPr>
        <w:spacing w:after="0" w:line="240" w:lineRule="auto"/>
        <w:rPr>
          <w:b/>
          <w:u w:val="single"/>
        </w:rPr>
      </w:pPr>
      <w:r>
        <w:rPr>
          <w:b/>
          <w:u w:val="single"/>
        </w:rPr>
        <w:t>Background</w:t>
      </w:r>
    </w:p>
    <w:p w:rsidR="005A52D6" w:rsidRDefault="005A52D6" w:rsidP="005A52D6">
      <w:pPr>
        <w:pStyle w:val="NoSpacing"/>
      </w:pPr>
      <w:r>
        <w:t xml:space="preserve">Members who access their PCP and/or Specialist or Urgent care Centers at the early signs of illness can prevent unnecessary visits to the ED and for members with LTSS services, the presence of personal care assistance and or access to transportation can support these needs.  </w:t>
      </w:r>
    </w:p>
    <w:p w:rsidR="005A52D6" w:rsidRDefault="005A52D6" w:rsidP="005A52D6">
      <w:pPr>
        <w:pStyle w:val="NoSpacing"/>
      </w:pPr>
    </w:p>
    <w:p w:rsidR="005A52D6" w:rsidRDefault="005A52D6" w:rsidP="005A52D6">
      <w:pPr>
        <w:pStyle w:val="NoSpacing"/>
      </w:pPr>
      <w:r>
        <w:t xml:space="preserve">All members are assessed as part of their enrollment into the Unify Program </w:t>
      </w:r>
      <w:r>
        <w:t>and in addition to assessing LT</w:t>
      </w:r>
      <w:r>
        <w:t xml:space="preserve">SS needs, all members receive education about preventing unnecessary ED use, including information available in the Member Handbook, member assessment and care planning by their care manager and or LTSS Coordinator and the availability </w:t>
      </w:r>
      <w:r w:rsidR="008B540D">
        <w:t>of an</w:t>
      </w:r>
      <w:r>
        <w:t xml:space="preserve"> after -hours nurses line for members who have questions about needing ED services</w:t>
      </w:r>
      <w:r>
        <w:t>.</w:t>
      </w:r>
    </w:p>
    <w:p w:rsidR="005A52D6" w:rsidRDefault="005A52D6" w:rsidP="005A52D6">
      <w:pPr>
        <w:pStyle w:val="NoSpacing"/>
      </w:pPr>
    </w:p>
    <w:p w:rsidR="005A52D6" w:rsidRDefault="008B540D" w:rsidP="005A52D6">
      <w:pPr>
        <w:pStyle w:val="NoSpacing"/>
      </w:pPr>
      <w:r>
        <w:t xml:space="preserve">The </w:t>
      </w:r>
      <w:r w:rsidR="005A52D6">
        <w:t xml:space="preserve">Quality Improvement Project (QIP) focused on decreasing Emergency Department (ED) utilization and the data collection period represents activity between July 1, 2015 and June 30, 2016 as compared to the baseline year: July 1, 2014 through June 30, 2016. </w:t>
      </w:r>
    </w:p>
    <w:p w:rsidR="005A52D6" w:rsidRDefault="005A52D6" w:rsidP="00EC3D38">
      <w:pPr>
        <w:spacing w:after="0" w:line="240" w:lineRule="auto"/>
      </w:pPr>
    </w:p>
    <w:p w:rsidR="00C46066" w:rsidRDefault="00C46066" w:rsidP="00EC3D38">
      <w:pPr>
        <w:spacing w:after="0" w:line="240" w:lineRule="auto"/>
        <w:rPr>
          <w:b/>
          <w:u w:val="single"/>
        </w:rPr>
      </w:pPr>
      <w:r>
        <w:t xml:space="preserve">For its </w:t>
      </w:r>
      <w:r w:rsidR="00FC3F3F">
        <w:rPr>
          <w:i/>
        </w:rPr>
        <w:t>Unify</w:t>
      </w:r>
      <w:r>
        <w:t xml:space="preserve"> Quality Improvement Project (QIP), Tufts Health Public Plans, Inc. (THPP) conducted an analysis on the impact of Long-Term Services and Supports (LTSS) utilization on E</w:t>
      </w:r>
      <w:r w:rsidR="00FD0927">
        <w:t xml:space="preserve">mergency </w:t>
      </w:r>
      <w:r>
        <w:t>D</w:t>
      </w:r>
      <w:r w:rsidR="00FD0927">
        <w:t>epartment (ED)</w:t>
      </w:r>
      <w:r>
        <w:t xml:space="preserve"> use</w:t>
      </w:r>
      <w:r w:rsidR="008B540D">
        <w:t>.</w:t>
      </w:r>
      <w:r w:rsidR="00B94A8D">
        <w:t xml:space="preserve"> </w:t>
      </w:r>
      <w:r>
        <w:t xml:space="preserve">Using a survey instrument provided by EOHHS, qualitative data was collected from </w:t>
      </w:r>
      <w:r w:rsidR="003A2F14">
        <w:t xml:space="preserve">a sample of </w:t>
      </w:r>
      <w:r>
        <w:t>twenty</w:t>
      </w:r>
      <w:r w:rsidR="00B55EC5">
        <w:t xml:space="preserve"> (20)</w:t>
      </w:r>
      <w:r>
        <w:t xml:space="preserve"> </w:t>
      </w:r>
      <w:r>
        <w:rPr>
          <w:i/>
        </w:rPr>
        <w:t xml:space="preserve">Tufts Health Unify </w:t>
      </w:r>
      <w:r>
        <w:t xml:space="preserve">members </w:t>
      </w:r>
      <w:r w:rsidR="00B94A8D">
        <w:t xml:space="preserve">from </w:t>
      </w:r>
      <w:r>
        <w:t>2014</w:t>
      </w:r>
      <w:r w:rsidR="00FC3F3F">
        <w:t xml:space="preserve"> conducted by </w:t>
      </w:r>
      <w:r w:rsidR="005A52D6">
        <w:t xml:space="preserve">THPP </w:t>
      </w:r>
      <w:r w:rsidR="00FC3F3F">
        <w:t>Community Health Workers</w:t>
      </w:r>
      <w:r w:rsidR="008B540D">
        <w:t xml:space="preserve">. </w:t>
      </w:r>
      <w:r>
        <w:t xml:space="preserve">In order to assess a potential correlation between LTSS utilization and ED use, members were asked to recall their experiences utilizing both types of services. In addition, THPP supplemented the qualitative data provided through the member survey with quantitative ED utilization data. Comparing ED utilization between THPP’s </w:t>
      </w:r>
      <w:r w:rsidR="00B94A8D" w:rsidRPr="008B540D">
        <w:rPr>
          <w:i/>
        </w:rPr>
        <w:t>Unify</w:t>
      </w:r>
      <w:r w:rsidR="00B94A8D">
        <w:t xml:space="preserve"> </w:t>
      </w:r>
      <w:r>
        <w:t xml:space="preserve">and </w:t>
      </w:r>
      <w:r w:rsidR="00B94A8D">
        <w:t>Mass</w:t>
      </w:r>
      <w:r w:rsidR="008B540D">
        <w:t xml:space="preserve"> </w:t>
      </w:r>
      <w:r w:rsidR="00B94A8D">
        <w:t xml:space="preserve">Health </w:t>
      </w:r>
      <w:r>
        <w:t xml:space="preserve">populations, THPP found that </w:t>
      </w:r>
      <w:r w:rsidR="00B94A8D" w:rsidRPr="008B540D">
        <w:rPr>
          <w:i/>
        </w:rPr>
        <w:t>Unify</w:t>
      </w:r>
      <w:r w:rsidR="00B94A8D">
        <w:t xml:space="preserve"> </w:t>
      </w:r>
      <w:r>
        <w:t xml:space="preserve">members used the ED more frequently than </w:t>
      </w:r>
      <w:r w:rsidR="00303B65">
        <w:t xml:space="preserve">our Medicaid-only population. </w:t>
      </w:r>
      <w:r w:rsidR="00303B65">
        <w:br/>
      </w:r>
    </w:p>
    <w:p w:rsidR="008B540D" w:rsidRPr="008B540D" w:rsidRDefault="005A52D6" w:rsidP="005A52D6">
      <w:pPr>
        <w:pStyle w:val="NoSpacing"/>
        <w:rPr>
          <w:u w:val="single"/>
        </w:rPr>
      </w:pPr>
      <w:r w:rsidRPr="008B540D">
        <w:rPr>
          <w:b/>
          <w:u w:val="single"/>
        </w:rPr>
        <w:t>Purpose</w:t>
      </w:r>
    </w:p>
    <w:p w:rsidR="005A52D6" w:rsidRDefault="005A52D6" w:rsidP="005A52D6">
      <w:pPr>
        <w:spacing w:after="0" w:line="240" w:lineRule="auto"/>
        <w:rPr>
          <w:b/>
          <w:u w:val="single"/>
        </w:rPr>
      </w:pPr>
      <w:r>
        <w:t xml:space="preserve">This specific ED QIP was designed to examine if there was a relationship between the member’s ED use and Long Term Support Services (LTSS), specifically if the presence of LTSS contributed to lower ED utilization.  The population in the study was any member that utilized the Emergency Department four or more times in a rolling 12 month period.   Members who met the criteria were outreached to assess the reason for their ED visit and compliance with any follow-up.  In addition, member records were audited to evaluate if they received the education about ED use and if they were receiving LTSS.  A survey tool was used to obtain member feedback related to ED use.  </w:t>
      </w:r>
    </w:p>
    <w:p w:rsidR="005A52D6" w:rsidRDefault="005A52D6" w:rsidP="00EC3D38">
      <w:pPr>
        <w:spacing w:after="0" w:line="240" w:lineRule="auto"/>
        <w:rPr>
          <w:b/>
          <w:u w:val="single"/>
        </w:rPr>
      </w:pPr>
    </w:p>
    <w:p w:rsidR="0064279D" w:rsidRDefault="0064279D" w:rsidP="00EC3D38">
      <w:pPr>
        <w:spacing w:after="0" w:line="240" w:lineRule="auto"/>
        <w:rPr>
          <w:b/>
          <w:u w:val="single"/>
        </w:rPr>
      </w:pPr>
      <w:r>
        <w:rPr>
          <w:b/>
          <w:u w:val="single"/>
        </w:rPr>
        <w:t>Objective</w:t>
      </w:r>
    </w:p>
    <w:p w:rsidR="003A2F14" w:rsidRDefault="00303B65" w:rsidP="003A2F14">
      <w:pPr>
        <w:spacing w:after="0" w:line="240" w:lineRule="auto"/>
        <w:rPr>
          <w:rFonts w:eastAsia="Times New Roman"/>
          <w:bCs/>
          <w:color w:val="000000"/>
        </w:rPr>
      </w:pPr>
      <w:r>
        <w:rPr>
          <w:rFonts w:eastAsia="Times New Roman"/>
          <w:bCs/>
          <w:color w:val="000000"/>
        </w:rPr>
        <w:t xml:space="preserve">Through its QIP, THPP aims to reduce ED utilization by 10% annually for its </w:t>
      </w:r>
      <w:r w:rsidR="00B94A8D">
        <w:rPr>
          <w:rFonts w:eastAsia="Times New Roman"/>
          <w:bCs/>
          <w:i/>
          <w:color w:val="000000"/>
          <w:u w:val="single"/>
        </w:rPr>
        <w:t xml:space="preserve">Unify </w:t>
      </w:r>
      <w:r w:rsidRPr="008B540D">
        <w:rPr>
          <w:rFonts w:eastAsia="Times New Roman"/>
          <w:bCs/>
          <w:color w:val="000000"/>
          <w:u w:val="single"/>
        </w:rPr>
        <w:t>population</w:t>
      </w:r>
      <w:r>
        <w:rPr>
          <w:rFonts w:eastAsia="Times New Roman"/>
          <w:bCs/>
          <w:color w:val="000000"/>
        </w:rPr>
        <w:t>.</w:t>
      </w:r>
      <w:r w:rsidR="003A2F14" w:rsidRPr="003A2F14">
        <w:rPr>
          <w:rFonts w:eastAsia="Times New Roman"/>
          <w:bCs/>
          <w:color w:val="000000"/>
        </w:rPr>
        <w:t xml:space="preserve"> </w:t>
      </w:r>
      <w:r w:rsidR="003A2F14">
        <w:rPr>
          <w:rFonts w:eastAsia="Times New Roman"/>
          <w:bCs/>
          <w:color w:val="000000"/>
        </w:rPr>
        <w:t xml:space="preserve">For the QIP, </w:t>
      </w:r>
      <w:r w:rsidR="000D5E12">
        <w:rPr>
          <w:rFonts w:eastAsia="Times New Roman"/>
          <w:bCs/>
          <w:color w:val="000000"/>
        </w:rPr>
        <w:t xml:space="preserve">THPP </w:t>
      </w:r>
      <w:proofErr w:type="gramStart"/>
      <w:r w:rsidR="000D5E12">
        <w:rPr>
          <w:rFonts w:eastAsia="Times New Roman"/>
          <w:bCs/>
          <w:color w:val="000000"/>
        </w:rPr>
        <w:t>continues</w:t>
      </w:r>
      <w:proofErr w:type="gramEnd"/>
      <w:r w:rsidR="003A2F14">
        <w:rPr>
          <w:rFonts w:eastAsia="Times New Roman"/>
          <w:bCs/>
          <w:color w:val="000000"/>
        </w:rPr>
        <w:t xml:space="preserve"> to measure ED utilization across the entire population regardless of LTSS eligibility or acceptance of LTSS. </w:t>
      </w:r>
    </w:p>
    <w:p w:rsidR="002877DA" w:rsidRPr="002877DA" w:rsidRDefault="003A2F14" w:rsidP="00EC3D38">
      <w:pPr>
        <w:autoSpaceDE w:val="0"/>
        <w:autoSpaceDN w:val="0"/>
        <w:adjustRightInd w:val="0"/>
        <w:spacing w:after="0" w:line="240" w:lineRule="auto"/>
        <w:rPr>
          <w:rFonts w:eastAsia="Times New Roman"/>
          <w:bCs/>
          <w:color w:val="000000"/>
        </w:rPr>
      </w:pPr>
      <w:r>
        <w:rPr>
          <w:rFonts w:eastAsia="Times New Roman"/>
          <w:bCs/>
          <w:color w:val="000000"/>
        </w:rPr>
        <w:t xml:space="preserve"> </w:t>
      </w:r>
      <w:r w:rsidR="00303B65">
        <w:rPr>
          <w:rFonts w:eastAsia="Times New Roman"/>
          <w:bCs/>
          <w:color w:val="000000"/>
        </w:rPr>
        <w:t xml:space="preserve"> </w:t>
      </w:r>
    </w:p>
    <w:p w:rsidR="0064279D" w:rsidRDefault="0064279D" w:rsidP="00EC3D38">
      <w:pPr>
        <w:spacing w:after="0" w:line="240" w:lineRule="auto"/>
        <w:rPr>
          <w:b/>
          <w:u w:val="single"/>
        </w:rPr>
      </w:pPr>
      <w:r>
        <w:rPr>
          <w:b/>
          <w:u w:val="single"/>
        </w:rPr>
        <w:t>Anticipated Outcomes</w:t>
      </w:r>
    </w:p>
    <w:p w:rsidR="005C53DE" w:rsidRDefault="005C53DE" w:rsidP="00EC3D38">
      <w:pPr>
        <w:spacing w:after="0" w:line="240" w:lineRule="auto"/>
      </w:pPr>
      <w:r>
        <w:t xml:space="preserve">THPP </w:t>
      </w:r>
      <w:r w:rsidR="00FD0927">
        <w:t>hypothesizes</w:t>
      </w:r>
      <w:r>
        <w:t xml:space="preserve"> that members will reduce ED utilization by </w:t>
      </w:r>
      <w:r w:rsidR="00355A2F">
        <w:t xml:space="preserve">providing targeted interventions to members who </w:t>
      </w:r>
      <w:r w:rsidR="000D5E12">
        <w:t>are admitted to the ED</w:t>
      </w:r>
      <w:r w:rsidR="00355A2F">
        <w:t xml:space="preserve">. These interventions include </w:t>
      </w:r>
      <w:r>
        <w:t>member education, LTSS</w:t>
      </w:r>
      <w:r w:rsidR="00FD0927">
        <w:t>,</w:t>
      </w:r>
      <w:r>
        <w:t xml:space="preserve"> and member-centric care planning. </w:t>
      </w:r>
    </w:p>
    <w:p w:rsidR="003A2F14" w:rsidRDefault="003A2F14" w:rsidP="00EC3D38">
      <w:pPr>
        <w:spacing w:after="0" w:line="240" w:lineRule="auto"/>
        <w:rPr>
          <w:b/>
          <w:u w:val="single"/>
        </w:rPr>
      </w:pPr>
    </w:p>
    <w:p w:rsidR="0064279D" w:rsidRDefault="0064279D" w:rsidP="00EC3D38">
      <w:pPr>
        <w:spacing w:after="0" w:line="240" w:lineRule="auto"/>
        <w:rPr>
          <w:b/>
          <w:u w:val="single"/>
        </w:rPr>
      </w:pPr>
      <w:r>
        <w:rPr>
          <w:b/>
          <w:u w:val="single"/>
        </w:rPr>
        <w:lastRenderedPageBreak/>
        <w:t>Possible Barriers</w:t>
      </w:r>
      <w:r w:rsidR="004C0883">
        <w:rPr>
          <w:b/>
          <w:u w:val="single"/>
        </w:rPr>
        <w:t xml:space="preserve"> to Achieving Anticipated Outcome</w:t>
      </w:r>
    </w:p>
    <w:p w:rsidR="00355A2F" w:rsidRDefault="005C53DE" w:rsidP="00EC3D38">
      <w:pPr>
        <w:spacing w:after="0" w:line="240" w:lineRule="auto"/>
        <w:rPr>
          <w:rFonts w:eastAsia="Times New Roman"/>
          <w:bCs/>
          <w:color w:val="000000"/>
        </w:rPr>
      </w:pPr>
      <w:r>
        <w:rPr>
          <w:rFonts w:eastAsia="Times New Roman"/>
          <w:bCs/>
          <w:color w:val="000000"/>
        </w:rPr>
        <w:t xml:space="preserve">In order to achieve the outcome listed above, member engagement is necessary. </w:t>
      </w:r>
      <w:r w:rsidR="00355A2F">
        <w:rPr>
          <w:rFonts w:eastAsia="Times New Roman"/>
          <w:bCs/>
          <w:color w:val="000000"/>
        </w:rPr>
        <w:t xml:space="preserve">Approximately </w:t>
      </w:r>
      <w:r w:rsidR="0006531D">
        <w:rPr>
          <w:rFonts w:eastAsia="Times New Roman"/>
          <w:bCs/>
          <w:color w:val="000000"/>
        </w:rPr>
        <w:t>35</w:t>
      </w:r>
      <w:r w:rsidR="00355A2F">
        <w:rPr>
          <w:rFonts w:eastAsia="Times New Roman"/>
          <w:bCs/>
          <w:color w:val="000000"/>
        </w:rPr>
        <w:t>% of our members have been identified by our Care Management team as</w:t>
      </w:r>
      <w:r w:rsidR="00C913BC">
        <w:rPr>
          <w:rFonts w:eastAsia="Times New Roman"/>
          <w:bCs/>
          <w:color w:val="000000"/>
        </w:rPr>
        <w:t xml:space="preserve"> </w:t>
      </w:r>
      <w:r w:rsidR="00FD0927">
        <w:rPr>
          <w:rFonts w:eastAsia="Times New Roman"/>
          <w:bCs/>
          <w:color w:val="000000"/>
        </w:rPr>
        <w:t>difficult</w:t>
      </w:r>
      <w:r w:rsidR="00C913BC">
        <w:rPr>
          <w:rFonts w:eastAsia="Times New Roman"/>
          <w:bCs/>
          <w:color w:val="000000"/>
        </w:rPr>
        <w:t xml:space="preserve"> to engage</w:t>
      </w:r>
      <w:r w:rsidR="00355A2F">
        <w:rPr>
          <w:rFonts w:eastAsia="Times New Roman"/>
          <w:bCs/>
          <w:color w:val="000000"/>
        </w:rPr>
        <w:t>. Despite the plan’s best efforts, these members are unable to reach or have r</w:t>
      </w:r>
      <w:r w:rsidR="000D5E12">
        <w:rPr>
          <w:rFonts w:eastAsia="Times New Roman"/>
          <w:bCs/>
          <w:color w:val="000000"/>
        </w:rPr>
        <w:t>efused the P</w:t>
      </w:r>
      <w:r w:rsidR="00355A2F">
        <w:rPr>
          <w:rFonts w:eastAsia="Times New Roman"/>
          <w:bCs/>
          <w:color w:val="000000"/>
        </w:rPr>
        <w:t xml:space="preserve">lan’s care management and care coordination services. As a result, it can be challenging to obtain qualitative information through a survey from our membership, which in turn, complicates our ability to objectively evaluate progress towards QIP goals. </w:t>
      </w:r>
      <w:r w:rsidR="00B55EC5">
        <w:rPr>
          <w:rFonts w:eastAsia="Times New Roman"/>
          <w:bCs/>
          <w:color w:val="000000"/>
        </w:rPr>
        <w:t xml:space="preserve">In addition, </w:t>
      </w:r>
      <w:r w:rsidR="00FD0927">
        <w:rPr>
          <w:rFonts w:eastAsia="Times New Roman"/>
          <w:bCs/>
          <w:color w:val="000000"/>
        </w:rPr>
        <w:t xml:space="preserve">the data shows that </w:t>
      </w:r>
      <w:r w:rsidR="00B55EC5">
        <w:rPr>
          <w:rFonts w:eastAsia="Times New Roman"/>
          <w:bCs/>
          <w:color w:val="000000"/>
        </w:rPr>
        <w:t>s</w:t>
      </w:r>
      <w:r w:rsidR="00C3395B">
        <w:rPr>
          <w:rFonts w:eastAsia="Times New Roman"/>
          <w:bCs/>
          <w:color w:val="000000"/>
        </w:rPr>
        <w:t>ome</w:t>
      </w:r>
      <w:r w:rsidR="00B55EC5">
        <w:rPr>
          <w:rFonts w:eastAsia="Times New Roman"/>
          <w:bCs/>
          <w:color w:val="000000"/>
        </w:rPr>
        <w:t xml:space="preserve"> of our</w:t>
      </w:r>
      <w:r w:rsidR="00C3395B">
        <w:rPr>
          <w:rFonts w:eastAsia="Times New Roman"/>
          <w:bCs/>
          <w:color w:val="000000"/>
        </w:rPr>
        <w:t xml:space="preserve"> </w:t>
      </w:r>
      <w:r w:rsidR="00B94A8D">
        <w:rPr>
          <w:rFonts w:eastAsia="Times New Roman"/>
          <w:bCs/>
          <w:i/>
          <w:color w:val="000000"/>
        </w:rPr>
        <w:t xml:space="preserve">Unify </w:t>
      </w:r>
      <w:r w:rsidR="00C3395B">
        <w:rPr>
          <w:rFonts w:eastAsia="Times New Roman"/>
          <w:bCs/>
          <w:color w:val="000000"/>
        </w:rPr>
        <w:t xml:space="preserve">members do not maintain consistent relationships </w:t>
      </w:r>
      <w:r w:rsidR="00FD0927">
        <w:rPr>
          <w:rFonts w:eastAsia="Times New Roman"/>
          <w:bCs/>
          <w:color w:val="000000"/>
        </w:rPr>
        <w:t xml:space="preserve">with their primary care providers </w:t>
      </w:r>
      <w:r w:rsidR="00C3395B">
        <w:rPr>
          <w:rFonts w:eastAsia="Times New Roman"/>
          <w:bCs/>
          <w:color w:val="000000"/>
        </w:rPr>
        <w:t xml:space="preserve">over time and </w:t>
      </w:r>
      <w:r w:rsidR="00FD0927">
        <w:rPr>
          <w:rFonts w:eastAsia="Times New Roman"/>
          <w:bCs/>
          <w:color w:val="000000"/>
        </w:rPr>
        <w:t>may</w:t>
      </w:r>
      <w:r w:rsidR="00C3395B">
        <w:rPr>
          <w:rFonts w:eastAsia="Times New Roman"/>
          <w:bCs/>
          <w:color w:val="000000"/>
        </w:rPr>
        <w:t xml:space="preserve"> not contact their provider upon the earliest signs of clinical need</w:t>
      </w:r>
      <w:r w:rsidR="00FD0927">
        <w:rPr>
          <w:rFonts w:eastAsia="Times New Roman"/>
          <w:bCs/>
          <w:color w:val="000000"/>
        </w:rPr>
        <w:t>.</w:t>
      </w:r>
      <w:r w:rsidR="00D87B21">
        <w:rPr>
          <w:rFonts w:eastAsia="Times New Roman"/>
          <w:bCs/>
          <w:color w:val="000000"/>
        </w:rPr>
        <w:t xml:space="preserve"> </w:t>
      </w:r>
      <w:r w:rsidR="00FD0927">
        <w:rPr>
          <w:rFonts w:eastAsia="Times New Roman"/>
          <w:bCs/>
          <w:color w:val="000000"/>
        </w:rPr>
        <w:t xml:space="preserve">This may </w:t>
      </w:r>
      <w:r w:rsidR="00C3395B">
        <w:rPr>
          <w:rFonts w:eastAsia="Times New Roman"/>
          <w:bCs/>
          <w:color w:val="000000"/>
        </w:rPr>
        <w:t>increas</w:t>
      </w:r>
      <w:r w:rsidR="00D87B21">
        <w:rPr>
          <w:rFonts w:eastAsia="Times New Roman"/>
          <w:bCs/>
          <w:color w:val="000000"/>
        </w:rPr>
        <w:t>e</w:t>
      </w:r>
      <w:r w:rsidR="00C3395B">
        <w:rPr>
          <w:rFonts w:eastAsia="Times New Roman"/>
          <w:bCs/>
          <w:color w:val="000000"/>
        </w:rPr>
        <w:t xml:space="preserve"> the likelihood </w:t>
      </w:r>
      <w:r w:rsidR="00D87B21">
        <w:rPr>
          <w:rFonts w:eastAsia="Times New Roman"/>
          <w:bCs/>
          <w:color w:val="000000"/>
        </w:rPr>
        <w:t xml:space="preserve">for some members to access urgent or emergent care. </w:t>
      </w:r>
    </w:p>
    <w:p w:rsidR="005A2EDB" w:rsidRDefault="005A2EDB" w:rsidP="00EC3D38">
      <w:pPr>
        <w:spacing w:after="0" w:line="240" w:lineRule="auto"/>
        <w:rPr>
          <w:b/>
          <w:u w:val="single"/>
        </w:rPr>
      </w:pPr>
    </w:p>
    <w:p w:rsidR="00D87B21" w:rsidRDefault="00D87B21" w:rsidP="00EC3D38">
      <w:pPr>
        <w:spacing w:after="0" w:line="240" w:lineRule="auto"/>
        <w:rPr>
          <w:b/>
          <w:u w:val="single"/>
        </w:rPr>
      </w:pPr>
    </w:p>
    <w:p w:rsidR="005A2EDB" w:rsidRDefault="005A2EDB" w:rsidP="00EC3D38">
      <w:pPr>
        <w:spacing w:after="0" w:line="240" w:lineRule="auto"/>
        <w:rPr>
          <w:b/>
          <w:u w:val="single"/>
        </w:rPr>
      </w:pPr>
    </w:p>
    <w:p w:rsidR="005A2EDB" w:rsidRDefault="005A2EDB" w:rsidP="00EC3D38">
      <w:pPr>
        <w:spacing w:after="0" w:line="240" w:lineRule="auto"/>
        <w:rPr>
          <w:b/>
          <w:u w:val="single"/>
        </w:rPr>
      </w:pPr>
    </w:p>
    <w:p w:rsidR="005A2EDB" w:rsidRDefault="005A2EDB" w:rsidP="00EC3D38">
      <w:pPr>
        <w:spacing w:after="0" w:line="240" w:lineRule="auto"/>
        <w:rPr>
          <w:b/>
          <w:u w:val="single"/>
        </w:rPr>
      </w:pPr>
    </w:p>
    <w:p w:rsidR="005A2EDB" w:rsidRDefault="005A2EDB" w:rsidP="00EC3D38">
      <w:pPr>
        <w:spacing w:after="0" w:line="240" w:lineRule="auto"/>
        <w:rPr>
          <w:b/>
          <w:u w:val="single"/>
        </w:rPr>
      </w:pPr>
    </w:p>
    <w:p w:rsidR="005A2EDB" w:rsidRDefault="005A2EDB" w:rsidP="00EC3D38">
      <w:pPr>
        <w:spacing w:after="0" w:line="240" w:lineRule="auto"/>
        <w:rPr>
          <w:b/>
          <w:u w:val="single"/>
        </w:rPr>
      </w:pPr>
    </w:p>
    <w:p w:rsidR="005A2EDB" w:rsidRDefault="005A2EDB" w:rsidP="00EC3D38">
      <w:pPr>
        <w:spacing w:after="0" w:line="240" w:lineRule="auto"/>
        <w:rPr>
          <w:b/>
          <w:u w:val="single"/>
        </w:rPr>
      </w:pPr>
    </w:p>
    <w:p w:rsidR="00B55EC5" w:rsidRDefault="00B55EC5">
      <w:pPr>
        <w:rPr>
          <w:b/>
          <w:u w:val="single"/>
        </w:rPr>
      </w:pPr>
      <w:r>
        <w:rPr>
          <w:b/>
          <w:u w:val="single"/>
        </w:rPr>
        <w:br w:type="page"/>
      </w:r>
    </w:p>
    <w:p w:rsidR="0064279D" w:rsidRDefault="006F17D3" w:rsidP="00EC3D38">
      <w:pPr>
        <w:spacing w:after="0" w:line="240" w:lineRule="auto"/>
        <w:rPr>
          <w:b/>
          <w:u w:val="single"/>
        </w:rPr>
      </w:pPr>
      <w:r>
        <w:rPr>
          <w:b/>
          <w:u w:val="single"/>
        </w:rPr>
        <w:lastRenderedPageBreak/>
        <w:t>Quantitative D</w:t>
      </w:r>
      <w:r w:rsidR="0064279D">
        <w:rPr>
          <w:b/>
          <w:u w:val="single"/>
        </w:rPr>
        <w:t>ata</w:t>
      </w:r>
    </w:p>
    <w:p w:rsidR="00D87B21" w:rsidRDefault="00D87B21" w:rsidP="00D87B21">
      <w:pPr>
        <w:spacing w:after="0" w:line="240" w:lineRule="auto"/>
      </w:pPr>
    </w:p>
    <w:p w:rsidR="00D87B21" w:rsidRPr="000D5E12" w:rsidRDefault="00D87B21" w:rsidP="00D87B21">
      <w:pPr>
        <w:spacing w:after="0" w:line="240" w:lineRule="auto"/>
        <w:rPr>
          <w:b/>
        </w:rPr>
      </w:pPr>
      <w:proofErr w:type="gramStart"/>
      <w:r w:rsidRPr="000D5E12">
        <w:rPr>
          <w:b/>
        </w:rPr>
        <w:t>Table 1.</w:t>
      </w:r>
      <w:proofErr w:type="gramEnd"/>
      <w:r w:rsidRPr="000D5E12">
        <w:rPr>
          <w:b/>
        </w:rPr>
        <w:t xml:space="preserve"> ED </w:t>
      </w:r>
      <w:r>
        <w:rPr>
          <w:b/>
        </w:rPr>
        <w:t xml:space="preserve">Visits for Continuously Enrolled Members, Baseline and </w:t>
      </w:r>
      <w:proofErr w:type="spellStart"/>
      <w:r>
        <w:rPr>
          <w:b/>
        </w:rPr>
        <w:t>Remeasurement</w:t>
      </w:r>
      <w:proofErr w:type="spellEnd"/>
      <w:r>
        <w:rPr>
          <w:b/>
        </w:rPr>
        <w:t xml:space="preserve"> Year 1 </w:t>
      </w:r>
    </w:p>
    <w:p w:rsidR="00EC3D38" w:rsidRDefault="00EC3D38" w:rsidP="00EC3D38">
      <w:pPr>
        <w:spacing w:after="0" w:line="240" w:lineRule="auto"/>
      </w:pPr>
    </w:p>
    <w:tbl>
      <w:tblPr>
        <w:tblW w:w="8922" w:type="dxa"/>
        <w:tblInd w:w="93" w:type="dxa"/>
        <w:tblLook w:val="04A0" w:firstRow="1" w:lastRow="0" w:firstColumn="1" w:lastColumn="0" w:noHBand="0" w:noVBand="1"/>
      </w:tblPr>
      <w:tblGrid>
        <w:gridCol w:w="1521"/>
        <w:gridCol w:w="1352"/>
        <w:gridCol w:w="1453"/>
        <w:gridCol w:w="1504"/>
        <w:gridCol w:w="1538"/>
        <w:gridCol w:w="1554"/>
      </w:tblGrid>
      <w:tr w:rsidR="0064279D" w:rsidRPr="00D06FC1" w:rsidTr="00C620EA">
        <w:trPr>
          <w:trHeight w:val="257"/>
        </w:trPr>
        <w:tc>
          <w:tcPr>
            <w:tcW w:w="4326" w:type="dxa"/>
            <w:gridSpan w:val="3"/>
            <w:tcBorders>
              <w:top w:val="single" w:sz="4" w:space="0" w:color="auto"/>
              <w:left w:val="single" w:sz="4" w:space="0" w:color="auto"/>
              <w:bottom w:val="single" w:sz="4" w:space="0" w:color="auto"/>
              <w:right w:val="single" w:sz="4" w:space="0" w:color="000000"/>
            </w:tcBorders>
            <w:shd w:val="clear" w:color="000000" w:fill="DDD9C4"/>
            <w:vAlign w:val="bottom"/>
            <w:hideMark/>
          </w:tcPr>
          <w:p w:rsidR="0064279D" w:rsidRPr="00D06FC1" w:rsidRDefault="0064279D" w:rsidP="00B04FB3">
            <w:pPr>
              <w:spacing w:after="0" w:line="240" w:lineRule="auto"/>
              <w:jc w:val="center"/>
              <w:rPr>
                <w:rFonts w:eastAsia="Times New Roman"/>
                <w:b/>
                <w:bCs/>
                <w:color w:val="000000"/>
              </w:rPr>
            </w:pPr>
            <w:r w:rsidRPr="00D06FC1">
              <w:rPr>
                <w:rFonts w:eastAsia="Times New Roman"/>
                <w:b/>
                <w:bCs/>
                <w:color w:val="000000"/>
              </w:rPr>
              <w:t>7/1/14 thru 6/30/15</w:t>
            </w:r>
            <w:r w:rsidR="000D69D7">
              <w:rPr>
                <w:rFonts w:eastAsia="Times New Roman"/>
                <w:b/>
                <w:bCs/>
                <w:color w:val="000000"/>
              </w:rPr>
              <w:t xml:space="preserve"> (Baseline)</w:t>
            </w:r>
            <w:r w:rsidRPr="00D06FC1">
              <w:rPr>
                <w:rFonts w:eastAsia="Times New Roman"/>
                <w:b/>
                <w:bCs/>
                <w:color w:val="000000"/>
              </w:rPr>
              <w:t>:</w:t>
            </w:r>
          </w:p>
        </w:tc>
        <w:tc>
          <w:tcPr>
            <w:tcW w:w="4596" w:type="dxa"/>
            <w:gridSpan w:val="3"/>
            <w:tcBorders>
              <w:top w:val="single" w:sz="4" w:space="0" w:color="auto"/>
              <w:left w:val="nil"/>
              <w:bottom w:val="single" w:sz="4" w:space="0" w:color="auto"/>
              <w:right w:val="single" w:sz="4" w:space="0" w:color="000000"/>
            </w:tcBorders>
            <w:shd w:val="clear" w:color="000000" w:fill="DDD9C4"/>
            <w:vAlign w:val="bottom"/>
            <w:hideMark/>
          </w:tcPr>
          <w:p w:rsidR="0064279D" w:rsidRPr="00D06FC1" w:rsidRDefault="0064279D" w:rsidP="00B04FB3">
            <w:pPr>
              <w:spacing w:after="0" w:line="240" w:lineRule="auto"/>
              <w:jc w:val="center"/>
              <w:rPr>
                <w:rFonts w:eastAsia="Times New Roman"/>
                <w:b/>
                <w:bCs/>
                <w:color w:val="000000"/>
              </w:rPr>
            </w:pPr>
            <w:r w:rsidRPr="00D06FC1">
              <w:rPr>
                <w:rFonts w:eastAsia="Times New Roman"/>
                <w:b/>
                <w:bCs/>
                <w:color w:val="000000"/>
              </w:rPr>
              <w:t xml:space="preserve"> 7/1/15 thru 6/30/16</w:t>
            </w:r>
            <w:r w:rsidR="000D69D7">
              <w:rPr>
                <w:rFonts w:eastAsia="Times New Roman"/>
                <w:b/>
                <w:bCs/>
                <w:color w:val="000000"/>
              </w:rPr>
              <w:t xml:space="preserve"> (</w:t>
            </w:r>
            <w:proofErr w:type="spellStart"/>
            <w:r w:rsidR="000D69D7">
              <w:rPr>
                <w:rFonts w:eastAsia="Times New Roman"/>
                <w:b/>
                <w:bCs/>
                <w:color w:val="000000"/>
              </w:rPr>
              <w:t>Remeasurement</w:t>
            </w:r>
            <w:proofErr w:type="spellEnd"/>
            <w:r w:rsidR="000D69D7">
              <w:rPr>
                <w:rFonts w:eastAsia="Times New Roman"/>
                <w:b/>
                <w:bCs/>
                <w:color w:val="000000"/>
              </w:rPr>
              <w:t xml:space="preserve"> 1)</w:t>
            </w:r>
            <w:r w:rsidRPr="00D06FC1">
              <w:rPr>
                <w:rFonts w:eastAsia="Times New Roman"/>
                <w:b/>
                <w:bCs/>
                <w:color w:val="000000"/>
              </w:rPr>
              <w:t>:</w:t>
            </w:r>
          </w:p>
        </w:tc>
      </w:tr>
      <w:tr w:rsidR="0064279D" w:rsidRPr="00D06FC1" w:rsidTr="00C620EA">
        <w:trPr>
          <w:trHeight w:val="257"/>
        </w:trPr>
        <w:tc>
          <w:tcPr>
            <w:tcW w:w="4326" w:type="dxa"/>
            <w:gridSpan w:val="3"/>
            <w:tcBorders>
              <w:top w:val="single" w:sz="4" w:space="0" w:color="auto"/>
              <w:left w:val="single" w:sz="4" w:space="0" w:color="auto"/>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b/>
                <w:bCs/>
                <w:color w:val="000000"/>
              </w:rPr>
            </w:pPr>
            <w:r>
              <w:rPr>
                <w:rFonts w:eastAsia="Times New Roman"/>
                <w:b/>
                <w:bCs/>
                <w:color w:val="000000"/>
              </w:rPr>
              <w:t>Members</w:t>
            </w:r>
            <w:r w:rsidRPr="00D06FC1">
              <w:rPr>
                <w:rFonts w:eastAsia="Times New Roman"/>
                <w:b/>
                <w:bCs/>
                <w:color w:val="000000"/>
              </w:rPr>
              <w:t xml:space="preserve"> With </w:t>
            </w:r>
            <w:r>
              <w:rPr>
                <w:rFonts w:eastAsia="Times New Roman"/>
                <w:b/>
                <w:bCs/>
                <w:color w:val="000000"/>
              </w:rPr>
              <w:t>ED</w:t>
            </w:r>
            <w:r w:rsidRPr="00D06FC1">
              <w:rPr>
                <w:rFonts w:eastAsia="Times New Roman"/>
                <w:b/>
                <w:bCs/>
                <w:color w:val="000000"/>
              </w:rPr>
              <w:t xml:space="preserve"> Visits:  442</w:t>
            </w:r>
            <w:r>
              <w:rPr>
                <w:rFonts w:eastAsia="Times New Roman"/>
                <w:b/>
                <w:bCs/>
                <w:color w:val="000000"/>
              </w:rPr>
              <w:t xml:space="preserve"> out of 924 Members (47.8%) </w:t>
            </w:r>
          </w:p>
        </w:tc>
        <w:tc>
          <w:tcPr>
            <w:tcW w:w="4596" w:type="dxa"/>
            <w:gridSpan w:val="3"/>
            <w:tcBorders>
              <w:top w:val="single" w:sz="4" w:space="0" w:color="auto"/>
              <w:left w:val="nil"/>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b/>
                <w:bCs/>
                <w:color w:val="000000"/>
              </w:rPr>
            </w:pPr>
            <w:r>
              <w:rPr>
                <w:rFonts w:eastAsia="Times New Roman"/>
                <w:b/>
                <w:bCs/>
                <w:color w:val="000000"/>
              </w:rPr>
              <w:t>Members</w:t>
            </w:r>
            <w:r w:rsidRPr="00D06FC1">
              <w:rPr>
                <w:rFonts w:eastAsia="Times New Roman"/>
                <w:b/>
                <w:bCs/>
                <w:color w:val="000000"/>
              </w:rPr>
              <w:t xml:space="preserve"> With ED Visits:  431</w:t>
            </w:r>
            <w:r>
              <w:rPr>
                <w:rFonts w:eastAsia="Times New Roman"/>
                <w:b/>
                <w:bCs/>
                <w:color w:val="000000"/>
              </w:rPr>
              <w:t xml:space="preserve"> out of 924 Members (46.6%) </w:t>
            </w:r>
          </w:p>
        </w:tc>
      </w:tr>
      <w:tr w:rsidR="0064279D" w:rsidRPr="00D06FC1" w:rsidTr="00C620EA">
        <w:trPr>
          <w:trHeight w:val="257"/>
        </w:trPr>
        <w:tc>
          <w:tcPr>
            <w:tcW w:w="4326" w:type="dxa"/>
            <w:gridSpan w:val="3"/>
            <w:tcBorders>
              <w:top w:val="single" w:sz="4" w:space="0" w:color="auto"/>
              <w:left w:val="single" w:sz="4" w:space="0" w:color="auto"/>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b/>
                <w:bCs/>
                <w:color w:val="000000"/>
              </w:rPr>
            </w:pPr>
            <w:r w:rsidRPr="00D06FC1">
              <w:rPr>
                <w:rFonts w:eastAsia="Times New Roman"/>
                <w:b/>
                <w:bCs/>
                <w:color w:val="000000"/>
              </w:rPr>
              <w:t>Total Visits: 1,225</w:t>
            </w:r>
          </w:p>
        </w:tc>
        <w:tc>
          <w:tcPr>
            <w:tcW w:w="4596" w:type="dxa"/>
            <w:gridSpan w:val="3"/>
            <w:tcBorders>
              <w:top w:val="single" w:sz="4" w:space="0" w:color="auto"/>
              <w:left w:val="nil"/>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b/>
                <w:bCs/>
                <w:color w:val="000000"/>
              </w:rPr>
            </w:pPr>
            <w:r w:rsidRPr="00D06FC1">
              <w:rPr>
                <w:rFonts w:eastAsia="Times New Roman"/>
                <w:b/>
                <w:bCs/>
                <w:color w:val="000000"/>
              </w:rPr>
              <w:t>Total Visits: 1,154</w:t>
            </w:r>
          </w:p>
        </w:tc>
      </w:tr>
      <w:tr w:rsidR="0064279D" w:rsidRPr="00D06FC1" w:rsidTr="00C620EA">
        <w:trPr>
          <w:trHeight w:val="514"/>
        </w:trPr>
        <w:tc>
          <w:tcPr>
            <w:tcW w:w="1521" w:type="dxa"/>
            <w:tcBorders>
              <w:top w:val="nil"/>
              <w:left w:val="single" w:sz="4" w:space="0" w:color="auto"/>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Total ED visits</w:t>
            </w:r>
          </w:p>
        </w:tc>
        <w:tc>
          <w:tcPr>
            <w:tcW w:w="1352" w:type="dxa"/>
            <w:tcBorders>
              <w:top w:val="nil"/>
              <w:left w:val="nil"/>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 xml:space="preserve">Number of </w:t>
            </w:r>
            <w:r>
              <w:rPr>
                <w:rFonts w:eastAsia="Times New Roman"/>
                <w:color w:val="000000"/>
              </w:rPr>
              <w:t>Members</w:t>
            </w:r>
          </w:p>
        </w:tc>
        <w:tc>
          <w:tcPr>
            <w:tcW w:w="1453" w:type="dxa"/>
            <w:tcBorders>
              <w:top w:val="nil"/>
              <w:left w:val="nil"/>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 xml:space="preserve">Percent of Total </w:t>
            </w:r>
            <w:r>
              <w:rPr>
                <w:rFonts w:eastAsia="Times New Roman"/>
                <w:color w:val="000000"/>
              </w:rPr>
              <w:t>Members</w:t>
            </w:r>
          </w:p>
        </w:tc>
        <w:tc>
          <w:tcPr>
            <w:tcW w:w="1504" w:type="dxa"/>
            <w:tcBorders>
              <w:top w:val="nil"/>
              <w:left w:val="nil"/>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Total ED visits</w:t>
            </w:r>
          </w:p>
        </w:tc>
        <w:tc>
          <w:tcPr>
            <w:tcW w:w="1538" w:type="dxa"/>
            <w:tcBorders>
              <w:top w:val="nil"/>
              <w:left w:val="nil"/>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 xml:space="preserve">Number of </w:t>
            </w:r>
            <w:r>
              <w:rPr>
                <w:rFonts w:eastAsia="Times New Roman"/>
                <w:color w:val="000000"/>
              </w:rPr>
              <w:t>Members</w:t>
            </w:r>
          </w:p>
        </w:tc>
        <w:tc>
          <w:tcPr>
            <w:tcW w:w="1554" w:type="dxa"/>
            <w:tcBorders>
              <w:top w:val="nil"/>
              <w:left w:val="nil"/>
              <w:bottom w:val="single" w:sz="4" w:space="0" w:color="auto"/>
              <w:right w:val="single" w:sz="4" w:space="0" w:color="auto"/>
            </w:tcBorders>
            <w:shd w:val="clear" w:color="000000" w:fill="DDD9C4"/>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 xml:space="preserve">Percent of Total </w:t>
            </w:r>
            <w:r>
              <w:rPr>
                <w:rFonts w:eastAsia="Times New Roman"/>
                <w:color w:val="000000"/>
              </w:rPr>
              <w:t>Members</w:t>
            </w:r>
          </w:p>
        </w:tc>
      </w:tr>
      <w:tr w:rsidR="0064279D" w:rsidRPr="00D06FC1" w:rsidTr="00C620EA">
        <w:trPr>
          <w:trHeight w:val="257"/>
        </w:trPr>
        <w:tc>
          <w:tcPr>
            <w:tcW w:w="1521" w:type="dxa"/>
            <w:tcBorders>
              <w:top w:val="nil"/>
              <w:left w:val="single" w:sz="4" w:space="0" w:color="auto"/>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1-4</w:t>
            </w:r>
          </w:p>
        </w:tc>
        <w:tc>
          <w:tcPr>
            <w:tcW w:w="1352"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374</w:t>
            </w:r>
          </w:p>
        </w:tc>
        <w:tc>
          <w:tcPr>
            <w:tcW w:w="1453"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85%</w:t>
            </w:r>
          </w:p>
        </w:tc>
        <w:tc>
          <w:tcPr>
            <w:tcW w:w="1504"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1-4</w:t>
            </w:r>
          </w:p>
        </w:tc>
        <w:tc>
          <w:tcPr>
            <w:tcW w:w="1538"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378</w:t>
            </w:r>
          </w:p>
        </w:tc>
        <w:tc>
          <w:tcPr>
            <w:tcW w:w="1554"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88%</w:t>
            </w:r>
          </w:p>
        </w:tc>
      </w:tr>
      <w:tr w:rsidR="0064279D" w:rsidRPr="00D06FC1" w:rsidTr="00C620EA">
        <w:trPr>
          <w:trHeight w:val="257"/>
        </w:trPr>
        <w:tc>
          <w:tcPr>
            <w:tcW w:w="1521" w:type="dxa"/>
            <w:tcBorders>
              <w:top w:val="nil"/>
              <w:left w:val="single" w:sz="4" w:space="0" w:color="auto"/>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5-9</w:t>
            </w:r>
          </w:p>
        </w:tc>
        <w:tc>
          <w:tcPr>
            <w:tcW w:w="1352"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53</w:t>
            </w:r>
          </w:p>
        </w:tc>
        <w:tc>
          <w:tcPr>
            <w:tcW w:w="1453"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12%</w:t>
            </w:r>
          </w:p>
        </w:tc>
        <w:tc>
          <w:tcPr>
            <w:tcW w:w="1504"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5-9</w:t>
            </w:r>
          </w:p>
        </w:tc>
        <w:tc>
          <w:tcPr>
            <w:tcW w:w="1538"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37</w:t>
            </w:r>
          </w:p>
        </w:tc>
        <w:tc>
          <w:tcPr>
            <w:tcW w:w="1554"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9%</w:t>
            </w:r>
          </w:p>
        </w:tc>
      </w:tr>
      <w:tr w:rsidR="0064279D" w:rsidRPr="00D06FC1" w:rsidTr="00C620EA">
        <w:trPr>
          <w:trHeight w:val="257"/>
        </w:trPr>
        <w:tc>
          <w:tcPr>
            <w:tcW w:w="1521" w:type="dxa"/>
            <w:tcBorders>
              <w:top w:val="nil"/>
              <w:left w:val="single" w:sz="4" w:space="0" w:color="auto"/>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10-19</w:t>
            </w:r>
          </w:p>
        </w:tc>
        <w:tc>
          <w:tcPr>
            <w:tcW w:w="1352"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12</w:t>
            </w:r>
          </w:p>
        </w:tc>
        <w:tc>
          <w:tcPr>
            <w:tcW w:w="1453"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3%</w:t>
            </w:r>
          </w:p>
        </w:tc>
        <w:tc>
          <w:tcPr>
            <w:tcW w:w="1504"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10-19</w:t>
            </w:r>
          </w:p>
        </w:tc>
        <w:tc>
          <w:tcPr>
            <w:tcW w:w="1538"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13</w:t>
            </w:r>
          </w:p>
        </w:tc>
        <w:tc>
          <w:tcPr>
            <w:tcW w:w="1554"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3%</w:t>
            </w:r>
          </w:p>
        </w:tc>
      </w:tr>
      <w:tr w:rsidR="0064279D" w:rsidRPr="00D06FC1" w:rsidTr="00C620EA">
        <w:trPr>
          <w:trHeight w:val="257"/>
        </w:trPr>
        <w:tc>
          <w:tcPr>
            <w:tcW w:w="1521" w:type="dxa"/>
            <w:tcBorders>
              <w:top w:val="nil"/>
              <w:left w:val="single" w:sz="4" w:space="0" w:color="auto"/>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20-29</w:t>
            </w:r>
          </w:p>
        </w:tc>
        <w:tc>
          <w:tcPr>
            <w:tcW w:w="1352"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2</w:t>
            </w:r>
          </w:p>
        </w:tc>
        <w:tc>
          <w:tcPr>
            <w:tcW w:w="1453"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0%</w:t>
            </w:r>
          </w:p>
        </w:tc>
        <w:tc>
          <w:tcPr>
            <w:tcW w:w="1504"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20-29</w:t>
            </w:r>
          </w:p>
        </w:tc>
        <w:tc>
          <w:tcPr>
            <w:tcW w:w="1538"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2</w:t>
            </w:r>
          </w:p>
        </w:tc>
        <w:tc>
          <w:tcPr>
            <w:tcW w:w="1554" w:type="dxa"/>
            <w:tcBorders>
              <w:top w:val="nil"/>
              <w:left w:val="nil"/>
              <w:bottom w:val="single" w:sz="4" w:space="0" w:color="auto"/>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0%</w:t>
            </w:r>
          </w:p>
        </w:tc>
      </w:tr>
      <w:tr w:rsidR="0064279D" w:rsidRPr="00D06FC1" w:rsidTr="00E74064">
        <w:trPr>
          <w:trHeight w:val="257"/>
        </w:trPr>
        <w:tc>
          <w:tcPr>
            <w:tcW w:w="1521" w:type="dxa"/>
            <w:tcBorders>
              <w:top w:val="nil"/>
              <w:left w:val="single" w:sz="4" w:space="0" w:color="auto"/>
              <w:bottom w:val="nil"/>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30-39</w:t>
            </w:r>
          </w:p>
        </w:tc>
        <w:tc>
          <w:tcPr>
            <w:tcW w:w="1352" w:type="dxa"/>
            <w:tcBorders>
              <w:top w:val="nil"/>
              <w:left w:val="nil"/>
              <w:bottom w:val="nil"/>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1</w:t>
            </w:r>
          </w:p>
        </w:tc>
        <w:tc>
          <w:tcPr>
            <w:tcW w:w="1453" w:type="dxa"/>
            <w:tcBorders>
              <w:top w:val="nil"/>
              <w:left w:val="nil"/>
              <w:bottom w:val="nil"/>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0%</w:t>
            </w:r>
          </w:p>
        </w:tc>
        <w:tc>
          <w:tcPr>
            <w:tcW w:w="1504" w:type="dxa"/>
            <w:tcBorders>
              <w:top w:val="nil"/>
              <w:left w:val="nil"/>
              <w:bottom w:val="nil"/>
              <w:right w:val="single" w:sz="4" w:space="0" w:color="auto"/>
            </w:tcBorders>
            <w:shd w:val="clear" w:color="auto" w:fill="auto"/>
            <w:noWrap/>
            <w:vAlign w:val="bottom"/>
            <w:hideMark/>
          </w:tcPr>
          <w:p w:rsidR="0064279D" w:rsidRPr="00D06FC1" w:rsidRDefault="0064279D" w:rsidP="00B04FB3">
            <w:pPr>
              <w:spacing w:after="0" w:line="240" w:lineRule="auto"/>
              <w:rPr>
                <w:rFonts w:eastAsia="Times New Roman"/>
                <w:color w:val="000000"/>
              </w:rPr>
            </w:pPr>
            <w:r w:rsidRPr="00D06FC1">
              <w:rPr>
                <w:rFonts w:eastAsia="Times New Roman"/>
                <w:color w:val="000000"/>
              </w:rPr>
              <w:t>30-39</w:t>
            </w:r>
          </w:p>
        </w:tc>
        <w:tc>
          <w:tcPr>
            <w:tcW w:w="1538" w:type="dxa"/>
            <w:tcBorders>
              <w:top w:val="nil"/>
              <w:left w:val="nil"/>
              <w:bottom w:val="nil"/>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1</w:t>
            </w:r>
          </w:p>
        </w:tc>
        <w:tc>
          <w:tcPr>
            <w:tcW w:w="1554" w:type="dxa"/>
            <w:tcBorders>
              <w:top w:val="nil"/>
              <w:left w:val="nil"/>
              <w:bottom w:val="nil"/>
              <w:right w:val="single" w:sz="4" w:space="0" w:color="auto"/>
            </w:tcBorders>
            <w:shd w:val="clear" w:color="auto" w:fill="auto"/>
            <w:noWrap/>
            <w:vAlign w:val="bottom"/>
            <w:hideMark/>
          </w:tcPr>
          <w:p w:rsidR="0064279D" w:rsidRPr="00D06FC1" w:rsidRDefault="0064279D" w:rsidP="00B04FB3">
            <w:pPr>
              <w:spacing w:after="0" w:line="240" w:lineRule="auto"/>
              <w:jc w:val="right"/>
              <w:rPr>
                <w:rFonts w:eastAsia="Times New Roman"/>
                <w:color w:val="000000"/>
              </w:rPr>
            </w:pPr>
            <w:r w:rsidRPr="00D06FC1">
              <w:rPr>
                <w:rFonts w:eastAsia="Times New Roman"/>
                <w:color w:val="000000"/>
              </w:rPr>
              <w:t>0%</w:t>
            </w:r>
          </w:p>
        </w:tc>
      </w:tr>
      <w:tr w:rsidR="00E74064" w:rsidRPr="00D06FC1" w:rsidTr="00C620EA">
        <w:trPr>
          <w:trHeight w:val="257"/>
        </w:trPr>
        <w:tc>
          <w:tcPr>
            <w:tcW w:w="1521" w:type="dxa"/>
            <w:tcBorders>
              <w:top w:val="nil"/>
              <w:left w:val="single" w:sz="4" w:space="0" w:color="auto"/>
              <w:bottom w:val="single" w:sz="4" w:space="0" w:color="auto"/>
              <w:right w:val="single" w:sz="4" w:space="0" w:color="auto"/>
            </w:tcBorders>
            <w:shd w:val="clear" w:color="auto" w:fill="auto"/>
            <w:noWrap/>
            <w:vAlign w:val="bottom"/>
          </w:tcPr>
          <w:p w:rsidR="00E74064" w:rsidRPr="00D06FC1" w:rsidRDefault="00E74064" w:rsidP="00B04FB3">
            <w:pPr>
              <w:spacing w:after="0" w:line="240" w:lineRule="auto"/>
              <w:rPr>
                <w:rFonts w:eastAsia="Times New Roman"/>
                <w:color w:val="000000"/>
              </w:rPr>
            </w:pPr>
          </w:p>
        </w:tc>
        <w:tc>
          <w:tcPr>
            <w:tcW w:w="1352" w:type="dxa"/>
            <w:tcBorders>
              <w:top w:val="nil"/>
              <w:left w:val="nil"/>
              <w:bottom w:val="single" w:sz="4" w:space="0" w:color="auto"/>
              <w:right w:val="single" w:sz="4" w:space="0" w:color="auto"/>
            </w:tcBorders>
            <w:shd w:val="clear" w:color="auto" w:fill="auto"/>
            <w:noWrap/>
            <w:vAlign w:val="bottom"/>
          </w:tcPr>
          <w:p w:rsidR="00E74064" w:rsidRPr="00D06FC1" w:rsidRDefault="00E74064" w:rsidP="00B04FB3">
            <w:pPr>
              <w:spacing w:after="0" w:line="240" w:lineRule="auto"/>
              <w:jc w:val="right"/>
              <w:rPr>
                <w:rFonts w:eastAsia="Times New Roman"/>
                <w:color w:val="000000"/>
              </w:rPr>
            </w:pPr>
          </w:p>
        </w:tc>
        <w:tc>
          <w:tcPr>
            <w:tcW w:w="1453" w:type="dxa"/>
            <w:tcBorders>
              <w:top w:val="nil"/>
              <w:left w:val="nil"/>
              <w:bottom w:val="single" w:sz="4" w:space="0" w:color="auto"/>
              <w:right w:val="single" w:sz="4" w:space="0" w:color="auto"/>
            </w:tcBorders>
            <w:shd w:val="clear" w:color="auto" w:fill="auto"/>
            <w:noWrap/>
            <w:vAlign w:val="bottom"/>
          </w:tcPr>
          <w:p w:rsidR="00E74064" w:rsidRPr="00D06FC1" w:rsidRDefault="00E74064" w:rsidP="00B04FB3">
            <w:pPr>
              <w:spacing w:after="0" w:line="240" w:lineRule="auto"/>
              <w:jc w:val="right"/>
              <w:rPr>
                <w:rFonts w:eastAsia="Times New Roman"/>
                <w:color w:val="000000"/>
              </w:rPr>
            </w:pPr>
          </w:p>
        </w:tc>
        <w:tc>
          <w:tcPr>
            <w:tcW w:w="1504" w:type="dxa"/>
            <w:tcBorders>
              <w:top w:val="nil"/>
              <w:left w:val="nil"/>
              <w:bottom w:val="single" w:sz="4" w:space="0" w:color="auto"/>
              <w:right w:val="single" w:sz="4" w:space="0" w:color="auto"/>
            </w:tcBorders>
            <w:shd w:val="clear" w:color="auto" w:fill="auto"/>
            <w:noWrap/>
            <w:vAlign w:val="bottom"/>
          </w:tcPr>
          <w:p w:rsidR="00E74064" w:rsidRPr="00D06FC1" w:rsidRDefault="00E74064" w:rsidP="00B04FB3">
            <w:pPr>
              <w:spacing w:after="0" w:line="240" w:lineRule="auto"/>
              <w:rPr>
                <w:rFonts w:eastAsia="Times New Roman"/>
                <w:color w:val="000000"/>
              </w:rPr>
            </w:pPr>
          </w:p>
        </w:tc>
        <w:tc>
          <w:tcPr>
            <w:tcW w:w="1538" w:type="dxa"/>
            <w:tcBorders>
              <w:top w:val="nil"/>
              <w:left w:val="nil"/>
              <w:bottom w:val="single" w:sz="4" w:space="0" w:color="auto"/>
              <w:right w:val="single" w:sz="4" w:space="0" w:color="auto"/>
            </w:tcBorders>
            <w:shd w:val="clear" w:color="auto" w:fill="auto"/>
            <w:noWrap/>
            <w:vAlign w:val="bottom"/>
          </w:tcPr>
          <w:p w:rsidR="00E74064" w:rsidRPr="00D06FC1" w:rsidRDefault="00E74064" w:rsidP="00B04FB3">
            <w:pPr>
              <w:spacing w:after="0" w:line="240" w:lineRule="auto"/>
              <w:jc w:val="right"/>
              <w:rPr>
                <w:rFonts w:eastAsia="Times New Roman"/>
                <w:color w:val="000000"/>
              </w:rPr>
            </w:pPr>
          </w:p>
        </w:tc>
        <w:tc>
          <w:tcPr>
            <w:tcW w:w="1554" w:type="dxa"/>
            <w:tcBorders>
              <w:top w:val="nil"/>
              <w:left w:val="nil"/>
              <w:bottom w:val="single" w:sz="4" w:space="0" w:color="auto"/>
              <w:right w:val="single" w:sz="4" w:space="0" w:color="auto"/>
            </w:tcBorders>
            <w:shd w:val="clear" w:color="auto" w:fill="auto"/>
            <w:noWrap/>
            <w:vAlign w:val="bottom"/>
          </w:tcPr>
          <w:p w:rsidR="00E74064" w:rsidRPr="00D06FC1" w:rsidRDefault="00E74064" w:rsidP="00B04FB3">
            <w:pPr>
              <w:spacing w:after="0" w:line="240" w:lineRule="auto"/>
              <w:jc w:val="right"/>
              <w:rPr>
                <w:rFonts w:eastAsia="Times New Roman"/>
                <w:color w:val="000000"/>
              </w:rPr>
            </w:pPr>
          </w:p>
        </w:tc>
      </w:tr>
    </w:tbl>
    <w:p w:rsidR="000D69D7" w:rsidRDefault="000D69D7" w:rsidP="00BD43D4">
      <w:pPr>
        <w:spacing w:after="0" w:line="240" w:lineRule="auto"/>
      </w:pPr>
    </w:p>
    <w:p w:rsidR="00D87B21" w:rsidRDefault="00D87B21" w:rsidP="00D87B21">
      <w:pPr>
        <w:spacing w:after="0" w:line="240" w:lineRule="auto"/>
      </w:pPr>
      <w:r>
        <w:t xml:space="preserve">Result: Between the Baseline and </w:t>
      </w:r>
      <w:proofErr w:type="spellStart"/>
      <w:r>
        <w:t>Remeasurement</w:t>
      </w:r>
      <w:proofErr w:type="spellEnd"/>
      <w:r>
        <w:t xml:space="preserve"> Year 1, ED visits dropped 5.8%.</w:t>
      </w:r>
    </w:p>
    <w:p w:rsidR="00624C5D" w:rsidRDefault="00624C5D" w:rsidP="00BD43D4">
      <w:pPr>
        <w:spacing w:after="0" w:line="240" w:lineRule="auto"/>
      </w:pPr>
    </w:p>
    <w:p w:rsidR="00624C5D" w:rsidRPr="000D5E12" w:rsidRDefault="00D87B21" w:rsidP="00BD43D4">
      <w:pPr>
        <w:spacing w:after="0" w:line="240" w:lineRule="auto"/>
        <w:rPr>
          <w:b/>
        </w:rPr>
      </w:pPr>
      <w:proofErr w:type="gramStart"/>
      <w:r w:rsidRPr="000D5E12">
        <w:rPr>
          <w:b/>
        </w:rPr>
        <w:t>Figure 1.</w:t>
      </w:r>
      <w:proofErr w:type="gramEnd"/>
      <w:r w:rsidRPr="000D5E12">
        <w:rPr>
          <w:b/>
        </w:rPr>
        <w:t xml:space="preserve"> ED Utilizers Stratified by Rating Category, Baseline and </w:t>
      </w:r>
      <w:proofErr w:type="spellStart"/>
      <w:r w:rsidRPr="000D5E12">
        <w:rPr>
          <w:b/>
        </w:rPr>
        <w:t>Remeasurement</w:t>
      </w:r>
      <w:proofErr w:type="spellEnd"/>
      <w:r w:rsidRPr="000D5E12">
        <w:rPr>
          <w:b/>
        </w:rPr>
        <w:t xml:space="preserve"> Year 1</w:t>
      </w:r>
    </w:p>
    <w:p w:rsidR="00BD43D4" w:rsidRDefault="00BD43D4" w:rsidP="00BD43D4">
      <w:pPr>
        <w:spacing w:after="0" w:line="240" w:lineRule="auto"/>
      </w:pPr>
    </w:p>
    <w:p w:rsidR="000D69D7" w:rsidRDefault="003E3215" w:rsidP="0064279D">
      <w:r>
        <w:rPr>
          <w:noProof/>
        </w:rPr>
        <mc:AlternateContent>
          <mc:Choice Requires="wps">
            <w:drawing>
              <wp:anchor distT="0" distB="0" distL="114300" distR="114300" simplePos="0" relativeHeight="251659264" behindDoc="0" locked="0" layoutInCell="1" allowOverlap="1" wp14:anchorId="7AAE9FAF" wp14:editId="1831065F">
                <wp:simplePos x="0" y="0"/>
                <wp:positionH relativeFrom="column">
                  <wp:posOffset>635</wp:posOffset>
                </wp:positionH>
                <wp:positionV relativeFrom="paragraph">
                  <wp:posOffset>2500934</wp:posOffset>
                </wp:positionV>
                <wp:extent cx="5828306" cy="421420"/>
                <wp:effectExtent l="0" t="0" r="2032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421420"/>
                        </a:xfrm>
                        <a:prstGeom prst="rect">
                          <a:avLst/>
                        </a:prstGeom>
                        <a:solidFill>
                          <a:srgbClr val="FFFFFF"/>
                        </a:solidFill>
                        <a:ln w="9525">
                          <a:solidFill>
                            <a:srgbClr val="000000"/>
                          </a:solidFill>
                          <a:miter lim="800000"/>
                          <a:headEnd/>
                          <a:tailEnd/>
                        </a:ln>
                      </wps:spPr>
                      <wps:txbx>
                        <w:txbxContent>
                          <w:p w:rsidR="00B04FB3" w:rsidRPr="006C16C2" w:rsidRDefault="00B04FB3" w:rsidP="003E3215">
                            <w:pPr>
                              <w:rPr>
                                <w:sz w:val="20"/>
                                <w:szCs w:val="20"/>
                              </w:rPr>
                            </w:pPr>
                            <w:r w:rsidRPr="006C16C2">
                              <w:rPr>
                                <w:sz w:val="20"/>
                                <w:szCs w:val="20"/>
                              </w:rPr>
                              <w:t>*Note: Members in the C2 rating category represent approximately 50% of the Tufts Health Unify Membership at any given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96.9pt;width:458.9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">
                <v:textbox>
                  <w:txbxContent>
                    <w:p w:rsidR="00B04FB3" w:rsidRPr="006C16C2" w:rsidRDefault="00B04FB3" w:rsidP="003E3215">
                      <w:pPr>
                        <w:rPr>
                          <w:sz w:val="20"/>
                          <w:szCs w:val="20"/>
                        </w:rPr>
                      </w:pPr>
                      <w:r w:rsidRPr="006C16C2">
                        <w:rPr>
                          <w:sz w:val="20"/>
                          <w:szCs w:val="20"/>
                        </w:rPr>
                        <w:t>*Note: Members in the C2 rating category represent approximately 50% of the Tufts Health Unify Membership at any given time.</w:t>
                      </w:r>
                    </w:p>
                  </w:txbxContent>
                </v:textbox>
              </v:shape>
            </w:pict>
          </mc:Fallback>
        </mc:AlternateContent>
      </w:r>
      <w:r w:rsidR="00163109">
        <w:rPr>
          <w:noProof/>
        </w:rPr>
        <w:drawing>
          <wp:inline distT="0" distB="0" distL="0" distR="0" wp14:anchorId="2BCE1F7D" wp14:editId="1D9AC1FF">
            <wp:extent cx="2918129" cy="2488758"/>
            <wp:effectExtent l="0" t="0" r="15875" b="260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D69D7">
        <w:rPr>
          <w:noProof/>
        </w:rPr>
        <w:drawing>
          <wp:inline distT="0" distB="0" distL="0" distR="0" wp14:anchorId="55112755" wp14:editId="0E1EBD9A">
            <wp:extent cx="2902226" cy="2488758"/>
            <wp:effectExtent l="0" t="0" r="12700" b="2603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3215" w:rsidRDefault="003E3215" w:rsidP="00D87B21">
      <w:pPr>
        <w:spacing w:after="0" w:line="240" w:lineRule="auto"/>
      </w:pPr>
    </w:p>
    <w:p w:rsidR="003E3215" w:rsidRDefault="003E3215" w:rsidP="00D87B21">
      <w:pPr>
        <w:spacing w:after="0" w:line="240" w:lineRule="auto"/>
      </w:pPr>
    </w:p>
    <w:p w:rsidR="00D87B21" w:rsidRDefault="00D87B21" w:rsidP="00D87B21">
      <w:pPr>
        <w:spacing w:after="0" w:line="240" w:lineRule="auto"/>
      </w:pPr>
      <w:r>
        <w:t xml:space="preserve">Result: The majority of the ED utilizers were in the C2 (A or B) rating category during the Baseline Year and </w:t>
      </w:r>
      <w:proofErr w:type="spellStart"/>
      <w:r>
        <w:t>Remeasurement</w:t>
      </w:r>
      <w:proofErr w:type="spellEnd"/>
      <w:r>
        <w:t xml:space="preserve"> Year.  </w:t>
      </w:r>
    </w:p>
    <w:p w:rsidR="005A2EDB" w:rsidRDefault="005A2EDB" w:rsidP="00BD43D4">
      <w:pPr>
        <w:spacing w:after="0" w:line="240" w:lineRule="auto"/>
      </w:pPr>
    </w:p>
    <w:p w:rsidR="005A2EDB" w:rsidRDefault="005A2EDB" w:rsidP="00BD43D4">
      <w:pPr>
        <w:spacing w:after="0" w:line="240" w:lineRule="auto"/>
      </w:pPr>
    </w:p>
    <w:p w:rsidR="005A2EDB" w:rsidRDefault="005A2EDB" w:rsidP="00BD43D4">
      <w:pPr>
        <w:spacing w:after="0" w:line="240" w:lineRule="auto"/>
      </w:pPr>
    </w:p>
    <w:p w:rsidR="005A2EDB" w:rsidRDefault="005A2EDB" w:rsidP="00BD43D4">
      <w:pPr>
        <w:spacing w:after="0" w:line="240" w:lineRule="auto"/>
      </w:pPr>
    </w:p>
    <w:p w:rsidR="00D87B21" w:rsidRPr="000D5E12" w:rsidRDefault="00D87B21" w:rsidP="0064279D">
      <w:pPr>
        <w:rPr>
          <w:b/>
        </w:rPr>
      </w:pPr>
      <w:r>
        <w:rPr>
          <w:b/>
        </w:rPr>
        <w:t xml:space="preserve">Figure 2: </w:t>
      </w:r>
      <w:r w:rsidR="00D52A12">
        <w:rPr>
          <w:b/>
        </w:rPr>
        <w:t>Percent of Continuously Enrolled ED Utilizers with and without LTSS</w:t>
      </w:r>
    </w:p>
    <w:p w:rsidR="0064279D" w:rsidRDefault="0064279D" w:rsidP="0064279D">
      <w:r>
        <w:rPr>
          <w:noProof/>
        </w:rPr>
        <w:drawing>
          <wp:inline distT="0" distB="0" distL="0" distR="0" wp14:anchorId="0AF68BF0" wp14:editId="2F6337AD">
            <wp:extent cx="5573864" cy="2743200"/>
            <wp:effectExtent l="0" t="0" r="2730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7B21" w:rsidRDefault="00D52A12" w:rsidP="00D87B21">
      <w:pPr>
        <w:spacing w:after="0" w:line="240" w:lineRule="auto"/>
      </w:pPr>
      <w:r>
        <w:t xml:space="preserve">Result: </w:t>
      </w:r>
      <w:r w:rsidR="00D87B21">
        <w:t xml:space="preserve">For both years, only about one third of ED utilizers had LTSS in place.  </w:t>
      </w:r>
    </w:p>
    <w:p w:rsidR="00D87B21" w:rsidRDefault="00D87B21" w:rsidP="008E2072">
      <w:pPr>
        <w:spacing w:after="0" w:line="240" w:lineRule="auto"/>
      </w:pPr>
    </w:p>
    <w:p w:rsidR="00D52A12" w:rsidRPr="000D5E12" w:rsidRDefault="00D52A12" w:rsidP="00BD43D4">
      <w:pPr>
        <w:spacing w:after="0" w:line="240" w:lineRule="auto"/>
        <w:rPr>
          <w:b/>
        </w:rPr>
      </w:pPr>
      <w:r w:rsidRPr="000D5E12">
        <w:rPr>
          <w:b/>
        </w:rPr>
        <w:t>Figure 3: High</w:t>
      </w:r>
      <w:r>
        <w:rPr>
          <w:b/>
        </w:rPr>
        <w:t xml:space="preserve"> ED</w:t>
      </w:r>
      <w:r w:rsidRPr="000D5E12">
        <w:rPr>
          <w:b/>
        </w:rPr>
        <w:t xml:space="preserve"> Utilizers by Primary Care Provider Type</w:t>
      </w:r>
      <w:r w:rsidR="003E3215">
        <w:rPr>
          <w:b/>
        </w:rPr>
        <w:t xml:space="preserve"> and by Hospital</w:t>
      </w:r>
      <w:r w:rsidRPr="000D5E12">
        <w:rPr>
          <w:b/>
        </w:rPr>
        <w:t xml:space="preserve">, 2015-2016 </w:t>
      </w:r>
    </w:p>
    <w:p w:rsidR="00BD43D4" w:rsidRDefault="00BD43D4" w:rsidP="00BD43D4">
      <w:pPr>
        <w:spacing w:after="0" w:line="240" w:lineRule="auto"/>
      </w:pPr>
    </w:p>
    <w:p w:rsidR="00D52A12" w:rsidRDefault="003E3215" w:rsidP="003E3215">
      <w:pPr>
        <w:rPr>
          <w:noProof/>
        </w:rPr>
      </w:pPr>
      <w:r>
        <w:rPr>
          <w:noProof/>
        </w:rPr>
        <mc:AlternateContent>
          <mc:Choice Requires="wps">
            <w:drawing>
              <wp:anchor distT="0" distB="0" distL="114300" distR="114300" simplePos="0" relativeHeight="251661312" behindDoc="0" locked="0" layoutInCell="1" allowOverlap="1" wp14:anchorId="3F5505C4" wp14:editId="3BCAF836">
                <wp:simplePos x="0" y="0"/>
                <wp:positionH relativeFrom="column">
                  <wp:posOffset>5356</wp:posOffset>
                </wp:positionH>
                <wp:positionV relativeFrom="paragraph">
                  <wp:posOffset>2442210</wp:posOffset>
                </wp:positionV>
                <wp:extent cx="2766695" cy="492760"/>
                <wp:effectExtent l="0" t="0" r="14605"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492760"/>
                        </a:xfrm>
                        <a:prstGeom prst="rect">
                          <a:avLst/>
                        </a:prstGeom>
                        <a:solidFill>
                          <a:srgbClr val="FFFFFF"/>
                        </a:solidFill>
                        <a:ln w="9525">
                          <a:solidFill>
                            <a:srgbClr val="000000"/>
                          </a:solidFill>
                          <a:miter lim="800000"/>
                          <a:headEnd/>
                          <a:tailEnd/>
                        </a:ln>
                      </wps:spPr>
                      <wps:txbx>
                        <w:txbxContent>
                          <w:p w:rsidR="00B04FB3" w:rsidRPr="00685D89" w:rsidRDefault="00B04FB3" w:rsidP="000D5E12">
                            <w:pPr>
                              <w:jc w:val="both"/>
                              <w:rPr>
                                <w:sz w:val="16"/>
                                <w:szCs w:val="16"/>
                              </w:rPr>
                            </w:pPr>
                            <w:r w:rsidRPr="00685D89">
                              <w:rPr>
                                <w:sz w:val="16"/>
                                <w:szCs w:val="16"/>
                              </w:rPr>
                              <w:t>*Note: As of 11/11/2016, 66.21% of Tufts Health Unify Members w</w:t>
                            </w:r>
                            <w:r>
                              <w:rPr>
                                <w:sz w:val="16"/>
                                <w:szCs w:val="16"/>
                              </w:rPr>
                              <w:t>ere assigned to a PCP at a community health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pt;margin-top:192.3pt;width:217.85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">
                <v:textbox>
                  <w:txbxContent>
                    <w:p w:rsidR="00B04FB3" w:rsidRPr="00685D89" w:rsidRDefault="00B04FB3" w:rsidP="000D5E12">
                      <w:pPr>
                        <w:jc w:val="both"/>
                        <w:rPr>
                          <w:sz w:val="16"/>
                          <w:szCs w:val="16"/>
                        </w:rPr>
                      </w:pPr>
                      <w:r w:rsidRPr="00685D89">
                        <w:rPr>
                          <w:sz w:val="16"/>
                          <w:szCs w:val="16"/>
                        </w:rPr>
                        <w:t>*Note: As of 11/11/2016, 66.21% of Tufts Health Unify Members w</w:t>
                      </w:r>
                      <w:r>
                        <w:rPr>
                          <w:sz w:val="16"/>
                          <w:szCs w:val="16"/>
                        </w:rPr>
                        <w:t>ere assigned to a PCP at a community health center.</w:t>
                      </w:r>
                    </w:p>
                  </w:txbxContent>
                </v:textbox>
              </v:shape>
            </w:pict>
          </mc:Fallback>
        </mc:AlternateContent>
      </w:r>
      <w:r w:rsidR="00BD43D4" w:rsidRPr="00BD43D4">
        <w:rPr>
          <w:noProof/>
        </w:rPr>
        <w:drawing>
          <wp:inline distT="0" distB="0" distL="0" distR="0" wp14:anchorId="74A0F872" wp14:editId="5E681C88">
            <wp:extent cx="2767054" cy="2449002"/>
            <wp:effectExtent l="0" t="0" r="14605" b="279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drawing>
          <wp:inline distT="0" distB="0" distL="0" distR="0" wp14:anchorId="5B1B75A1" wp14:editId="477C94BA">
            <wp:extent cx="3093057" cy="2449002"/>
            <wp:effectExtent l="0" t="0" r="12700" b="279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3215" w:rsidRDefault="003E3215" w:rsidP="000D5E12">
      <w:pPr>
        <w:jc w:val="center"/>
        <w:rPr>
          <w:noProof/>
        </w:rPr>
      </w:pPr>
    </w:p>
    <w:p w:rsidR="00624C5D" w:rsidRDefault="00624C5D" w:rsidP="00EC3D38">
      <w:pPr>
        <w:spacing w:after="0" w:line="240" w:lineRule="auto"/>
        <w:rPr>
          <w:b/>
          <w:u w:val="single"/>
        </w:rPr>
      </w:pPr>
    </w:p>
    <w:p w:rsidR="00BC49E4" w:rsidRDefault="00D52A12" w:rsidP="00EC3D38">
      <w:pPr>
        <w:spacing w:after="0" w:line="240" w:lineRule="auto"/>
      </w:pPr>
      <w:r>
        <w:lastRenderedPageBreak/>
        <w:t xml:space="preserve">Result: </w:t>
      </w:r>
      <w:r w:rsidR="00BC49E4">
        <w:t xml:space="preserve">Among members who utilized the ED four or more times in a 12 month period, two-thirds receive primary care at a community health center. Over half of these ED visits occurred at four hospitals. </w:t>
      </w:r>
    </w:p>
    <w:p w:rsidR="00BC49E4" w:rsidRDefault="006B01A7">
      <w:r>
        <w:br/>
      </w:r>
    </w:p>
    <w:p w:rsidR="0064279D" w:rsidRDefault="0064279D" w:rsidP="00EC3D38">
      <w:pPr>
        <w:spacing w:after="0" w:line="240" w:lineRule="auto"/>
        <w:rPr>
          <w:b/>
          <w:u w:val="single"/>
        </w:rPr>
      </w:pPr>
      <w:r>
        <w:rPr>
          <w:b/>
          <w:u w:val="single"/>
        </w:rPr>
        <w:t>Qualitative Data</w:t>
      </w:r>
      <w:r w:rsidR="002877DA">
        <w:rPr>
          <w:b/>
          <w:u w:val="single"/>
        </w:rPr>
        <w:t xml:space="preserve"> – Annual Member Survey</w:t>
      </w:r>
    </w:p>
    <w:p w:rsidR="0064279D" w:rsidRPr="0064279D" w:rsidRDefault="00DC4690" w:rsidP="00EC3D38">
      <w:pPr>
        <w:pStyle w:val="NormalWeb"/>
        <w:spacing w:before="0" w:beforeAutospacing="0" w:after="0" w:afterAutospacing="0"/>
        <w:rPr>
          <w:rFonts w:asciiTheme="minorHAnsi" w:eastAsiaTheme="minorEastAsia" w:hAnsiTheme="minorHAnsi" w:cs="Verdana"/>
          <w:color w:val="000000" w:themeColor="text1"/>
          <w:kern w:val="24"/>
          <w:sz w:val="22"/>
          <w:szCs w:val="22"/>
        </w:rPr>
      </w:pPr>
      <w:r>
        <w:rPr>
          <w:rFonts w:asciiTheme="minorHAnsi" w:hAnsiTheme="minorHAnsi" w:cs="Arial"/>
          <w:sz w:val="22"/>
          <w:szCs w:val="22"/>
        </w:rPr>
        <w:t xml:space="preserve">For its QIP, THPP fields an annual member survey to better understand why </w:t>
      </w:r>
      <w:r>
        <w:rPr>
          <w:rFonts w:asciiTheme="minorHAnsi" w:hAnsiTheme="minorHAnsi" w:cs="Arial"/>
          <w:i/>
          <w:sz w:val="22"/>
          <w:szCs w:val="22"/>
        </w:rPr>
        <w:t xml:space="preserve">Tufts Health Unify </w:t>
      </w:r>
      <w:r>
        <w:rPr>
          <w:rFonts w:asciiTheme="minorHAnsi" w:hAnsiTheme="minorHAnsi" w:cs="Arial"/>
          <w:sz w:val="22"/>
          <w:szCs w:val="22"/>
        </w:rPr>
        <w:t>members use the ED. The most recent survey asked members about their experiences leading to their ED visit(s) in 2016, including</w:t>
      </w:r>
      <w:r w:rsidR="00D07448">
        <w:rPr>
          <w:rFonts w:asciiTheme="minorHAnsi" w:hAnsiTheme="minorHAnsi" w:cs="Arial"/>
          <w:sz w:val="22"/>
          <w:szCs w:val="22"/>
        </w:rPr>
        <w:t xml:space="preserve"> the reason(s) for their visit. </w:t>
      </w:r>
      <w:r>
        <w:rPr>
          <w:rFonts w:asciiTheme="minorHAnsi" w:hAnsiTheme="minorHAnsi" w:cs="Arial"/>
          <w:sz w:val="22"/>
          <w:szCs w:val="22"/>
        </w:rPr>
        <w:t>The</w:t>
      </w:r>
      <w:r w:rsidR="00B04FB3" w:rsidRPr="0064279D">
        <w:rPr>
          <w:rFonts w:asciiTheme="minorHAnsi" w:eastAsiaTheme="minorEastAsia" w:hAnsiTheme="minorHAnsi" w:cs="Verdana"/>
          <w:color w:val="000000" w:themeColor="text1"/>
          <w:kern w:val="24"/>
          <w:sz w:val="22"/>
          <w:szCs w:val="22"/>
        </w:rPr>
        <w:t xml:space="preserve"> survey also asked members for their opinions about what</w:t>
      </w:r>
      <w:r>
        <w:rPr>
          <w:rFonts w:asciiTheme="minorHAnsi" w:eastAsiaTheme="minorEastAsia" w:hAnsiTheme="minorHAnsi" w:cs="Verdana"/>
          <w:color w:val="000000" w:themeColor="text1"/>
          <w:kern w:val="24"/>
          <w:sz w:val="22"/>
          <w:szCs w:val="22"/>
        </w:rPr>
        <w:t xml:space="preserve"> health plan</w:t>
      </w:r>
      <w:r w:rsidR="00B04FB3" w:rsidRPr="0064279D">
        <w:rPr>
          <w:rFonts w:asciiTheme="minorHAnsi" w:eastAsiaTheme="minorEastAsia" w:hAnsiTheme="minorHAnsi" w:cs="Verdana"/>
          <w:color w:val="000000" w:themeColor="text1"/>
          <w:kern w:val="24"/>
          <w:sz w:val="22"/>
          <w:szCs w:val="22"/>
        </w:rPr>
        <w:t xml:space="preserve"> services, if any, could have helped them avoid ED visits.</w:t>
      </w:r>
      <w:r w:rsidR="00B04FB3">
        <w:rPr>
          <w:rFonts w:asciiTheme="minorHAnsi" w:eastAsiaTheme="minorEastAsia" w:hAnsiTheme="minorHAnsi" w:cs="Verdana"/>
          <w:color w:val="000000" w:themeColor="text1"/>
          <w:kern w:val="24"/>
          <w:sz w:val="22"/>
          <w:szCs w:val="22"/>
        </w:rPr>
        <w:t xml:space="preserve"> </w:t>
      </w:r>
      <w:r w:rsidR="00D07448">
        <w:rPr>
          <w:rFonts w:asciiTheme="minorHAnsi" w:eastAsiaTheme="minorEastAsia" w:hAnsiTheme="minorHAnsi" w:cs="Verdana"/>
          <w:color w:val="000000" w:themeColor="text1"/>
          <w:kern w:val="24"/>
          <w:sz w:val="22"/>
          <w:szCs w:val="22"/>
        </w:rPr>
        <w:t xml:space="preserve">In addition, the survey asks members to recall THPP’s interventions designed to reduce inappropriate ED utilization. </w:t>
      </w:r>
      <w:r w:rsidR="006B01A7">
        <w:rPr>
          <w:rFonts w:asciiTheme="minorHAnsi" w:eastAsiaTheme="minorEastAsia" w:hAnsiTheme="minorHAnsi" w:cs="Verdana"/>
          <w:color w:val="000000" w:themeColor="text1"/>
          <w:kern w:val="24"/>
          <w:sz w:val="22"/>
          <w:szCs w:val="22"/>
        </w:rPr>
        <w:t xml:space="preserve">For members who recalled the intervention, the survey asks whether or not the intervention was helpful. For members who did not recall the intervention, the survey asks </w:t>
      </w:r>
      <w:r w:rsidR="00B55EC5">
        <w:rPr>
          <w:rFonts w:asciiTheme="minorHAnsi" w:eastAsiaTheme="minorEastAsia" w:hAnsiTheme="minorHAnsi" w:cs="Verdana"/>
          <w:color w:val="000000" w:themeColor="text1"/>
          <w:kern w:val="24"/>
          <w:sz w:val="22"/>
          <w:szCs w:val="22"/>
        </w:rPr>
        <w:t>if</w:t>
      </w:r>
      <w:r w:rsidR="006B01A7">
        <w:rPr>
          <w:rFonts w:asciiTheme="minorHAnsi" w:eastAsiaTheme="minorEastAsia" w:hAnsiTheme="minorHAnsi" w:cs="Verdana"/>
          <w:color w:val="000000" w:themeColor="text1"/>
          <w:kern w:val="24"/>
          <w:sz w:val="22"/>
          <w:szCs w:val="22"/>
        </w:rPr>
        <w:t xml:space="preserve"> the intervention would have been helpful in deciding whether or not to use the ED. </w:t>
      </w:r>
      <w:r>
        <w:rPr>
          <w:rFonts w:asciiTheme="minorHAnsi" w:eastAsiaTheme="minorEastAsia" w:hAnsiTheme="minorHAnsi" w:cs="Verdana"/>
          <w:color w:val="000000" w:themeColor="text1"/>
          <w:kern w:val="24"/>
          <w:sz w:val="22"/>
          <w:szCs w:val="22"/>
        </w:rPr>
        <w:t xml:space="preserve">The results of the survey are limited by the small sample size (N=32 members) and recall bias from remembers who may have used the ED up to several months before the survey. </w:t>
      </w:r>
    </w:p>
    <w:p w:rsidR="0064279D" w:rsidRDefault="0064279D" w:rsidP="00EC3D38">
      <w:pPr>
        <w:pStyle w:val="NormalWeb"/>
        <w:spacing w:before="0" w:beforeAutospacing="0" w:after="0" w:afterAutospacing="0"/>
        <w:rPr>
          <w:rFonts w:asciiTheme="minorHAnsi" w:eastAsiaTheme="minorEastAsia" w:hAnsiTheme="minorHAnsi" w:cs="Verdana"/>
          <w:color w:val="000000" w:themeColor="text1"/>
          <w:kern w:val="24"/>
          <w:sz w:val="22"/>
          <w:szCs w:val="22"/>
        </w:rPr>
      </w:pPr>
    </w:p>
    <w:p w:rsidR="0064279D" w:rsidRDefault="0064279D" w:rsidP="00EC3D38">
      <w:pPr>
        <w:spacing w:after="0" w:line="240" w:lineRule="auto"/>
        <w:rPr>
          <w:rFonts w:ascii="Calibri" w:eastAsia="Calibri" w:hAnsi="Calibri" w:cs="Times New Roman"/>
          <w:b/>
        </w:rPr>
      </w:pPr>
      <w:r>
        <w:rPr>
          <w:rFonts w:ascii="Calibri" w:eastAsia="Calibri" w:hAnsi="Calibri" w:cs="Times New Roman"/>
          <w:b/>
        </w:rPr>
        <w:t xml:space="preserve">Survey Design:  </w:t>
      </w:r>
    </w:p>
    <w:p w:rsidR="008E3EB1" w:rsidRDefault="008E3EB1" w:rsidP="00EC3D38">
      <w:pPr>
        <w:spacing w:after="0" w:line="240" w:lineRule="auto"/>
        <w:rPr>
          <w:rFonts w:eastAsiaTheme="minorEastAsia" w:cs="Verdana"/>
          <w:color w:val="000000" w:themeColor="text1"/>
          <w:kern w:val="24"/>
        </w:rPr>
      </w:pPr>
    </w:p>
    <w:tbl>
      <w:tblPr>
        <w:tblStyle w:val="TableGrid"/>
        <w:tblW w:w="0" w:type="auto"/>
        <w:tblLook w:val="04A0" w:firstRow="1" w:lastRow="0" w:firstColumn="1" w:lastColumn="0" w:noHBand="0" w:noVBand="1"/>
      </w:tblPr>
      <w:tblGrid>
        <w:gridCol w:w="3078"/>
        <w:gridCol w:w="7938"/>
      </w:tblGrid>
      <w:tr w:rsidR="0064279D" w:rsidTr="00B04FB3">
        <w:tc>
          <w:tcPr>
            <w:tcW w:w="307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Sample Universe</w:t>
            </w:r>
          </w:p>
        </w:tc>
        <w:tc>
          <w:tcPr>
            <w:tcW w:w="7938" w:type="dxa"/>
          </w:tcPr>
          <w:p w:rsidR="0064279D" w:rsidRDefault="0064279D" w:rsidP="00B04FB3">
            <w:pPr>
              <w:rPr>
                <w:rFonts w:eastAsiaTheme="minorEastAsia" w:cs="Verdana"/>
                <w:color w:val="000000" w:themeColor="text1"/>
                <w:kern w:val="24"/>
              </w:rPr>
            </w:pPr>
            <w:r w:rsidRPr="00421FAB">
              <w:rPr>
                <w:rFonts w:eastAsia="Times New Roman" w:cs="Arial"/>
                <w:color w:val="000000" w:themeColor="dark1"/>
                <w:kern w:val="24"/>
              </w:rPr>
              <w:t>Current Tufts Health Unify members who had four or more ED visits between 1/1/2016 and 6/30/2016</w:t>
            </w:r>
          </w:p>
        </w:tc>
      </w:tr>
      <w:tr w:rsidR="0064279D" w:rsidTr="00B04FB3">
        <w:tc>
          <w:tcPr>
            <w:tcW w:w="307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Survey Sample Size</w:t>
            </w:r>
          </w:p>
        </w:tc>
        <w:tc>
          <w:tcPr>
            <w:tcW w:w="793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149 members</w:t>
            </w:r>
          </w:p>
        </w:tc>
      </w:tr>
      <w:tr w:rsidR="0064279D" w:rsidTr="00B04FB3">
        <w:tc>
          <w:tcPr>
            <w:tcW w:w="307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Total Surveys Completed</w:t>
            </w:r>
          </w:p>
        </w:tc>
        <w:tc>
          <w:tcPr>
            <w:tcW w:w="793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32 (21.5% response rate); 1 additional survey was started but not completed</w:t>
            </w:r>
          </w:p>
        </w:tc>
      </w:tr>
      <w:tr w:rsidR="0064279D" w:rsidTr="00B04FB3">
        <w:tc>
          <w:tcPr>
            <w:tcW w:w="307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Survey Fielding Dates</w:t>
            </w:r>
          </w:p>
        </w:tc>
        <w:tc>
          <w:tcPr>
            <w:tcW w:w="793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August 16 – August 30, 2016</w:t>
            </w:r>
          </w:p>
        </w:tc>
      </w:tr>
      <w:tr w:rsidR="0064279D" w:rsidTr="00B04FB3">
        <w:tc>
          <w:tcPr>
            <w:tcW w:w="307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Method of Administration</w:t>
            </w:r>
          </w:p>
        </w:tc>
        <w:tc>
          <w:tcPr>
            <w:tcW w:w="7938" w:type="dxa"/>
          </w:tcPr>
          <w:p w:rsidR="0064279D" w:rsidRDefault="0064279D" w:rsidP="00B04FB3">
            <w:pPr>
              <w:pStyle w:val="NormalWeb"/>
              <w:spacing w:before="0" w:beforeAutospacing="0" w:after="0" w:afterAutospacing="0"/>
              <w:rPr>
                <w:rFonts w:asciiTheme="minorHAnsi" w:eastAsiaTheme="minorEastAsia" w:hAnsiTheme="minorHAnsi" w:cs="Verdana"/>
                <w:color w:val="000000" w:themeColor="text1"/>
                <w:kern w:val="24"/>
                <w:sz w:val="22"/>
                <w:szCs w:val="22"/>
              </w:rPr>
            </w:pPr>
            <w:r w:rsidRPr="00421FAB">
              <w:rPr>
                <w:rFonts w:asciiTheme="minorHAnsi" w:hAnsiTheme="minorHAnsi" w:cs="Arial"/>
                <w:color w:val="000000" w:themeColor="dark1"/>
                <w:kern w:val="24"/>
                <w:sz w:val="22"/>
                <w:szCs w:val="22"/>
              </w:rPr>
              <w:t>Open-ended telephone survey conducted by THPP’s Community Health Workers</w:t>
            </w:r>
          </w:p>
        </w:tc>
      </w:tr>
    </w:tbl>
    <w:p w:rsidR="000D69D7" w:rsidRDefault="000D69D7" w:rsidP="00EC3D38">
      <w:pPr>
        <w:spacing w:after="0" w:line="240" w:lineRule="auto"/>
      </w:pPr>
    </w:p>
    <w:p w:rsidR="00D07448" w:rsidRPr="000D5E12" w:rsidRDefault="00D07448" w:rsidP="00EC3D38">
      <w:pPr>
        <w:spacing w:after="0" w:line="240" w:lineRule="auto"/>
        <w:rPr>
          <w:b/>
        </w:rPr>
      </w:pPr>
      <w:r w:rsidRPr="000D5E12">
        <w:rPr>
          <w:b/>
        </w:rPr>
        <w:t>QIP Interventions:</w:t>
      </w:r>
    </w:p>
    <w:p w:rsidR="00D07448" w:rsidRDefault="00D07448" w:rsidP="00EC3D38">
      <w:pPr>
        <w:spacing w:after="0" w:line="240" w:lineRule="auto"/>
      </w:pPr>
    </w:p>
    <w:p w:rsidR="00D07448" w:rsidRDefault="00D07448" w:rsidP="00EC3D38">
      <w:pPr>
        <w:spacing w:after="0" w:line="240" w:lineRule="auto"/>
      </w:pPr>
      <w:r>
        <w:t xml:space="preserve">THPP has instituted several interventions to ensure members are aware of LTSS, as well as options to receive care in other settings than the ED for non-emergent care. These interventions include: </w:t>
      </w:r>
    </w:p>
    <w:p w:rsidR="00D07448" w:rsidRDefault="00D07448" w:rsidP="00EC3D38">
      <w:pPr>
        <w:spacing w:after="0" w:line="240" w:lineRule="auto"/>
      </w:pPr>
    </w:p>
    <w:p w:rsidR="00D07448" w:rsidRDefault="00D07448" w:rsidP="000D5E12">
      <w:pPr>
        <w:pStyle w:val="ListParagraph"/>
        <w:numPr>
          <w:ilvl w:val="0"/>
          <w:numId w:val="3"/>
        </w:numPr>
        <w:spacing w:after="0" w:line="240" w:lineRule="auto"/>
      </w:pPr>
      <w:r>
        <w:t>Mailing a flier on the availability of LTSS to all new members, and annually to all existing members</w:t>
      </w:r>
    </w:p>
    <w:p w:rsidR="00D07448" w:rsidRDefault="006B01A7" w:rsidP="000D5E12">
      <w:pPr>
        <w:pStyle w:val="ListParagraph"/>
        <w:numPr>
          <w:ilvl w:val="0"/>
          <w:numId w:val="3"/>
        </w:numPr>
        <w:spacing w:after="0" w:line="240" w:lineRule="auto"/>
      </w:pPr>
      <w:r>
        <w:t>Educating members</w:t>
      </w:r>
      <w:r w:rsidR="00D07448">
        <w:t xml:space="preserve"> about THPP’s after-hours nurse availability</w:t>
      </w:r>
    </w:p>
    <w:p w:rsidR="00D07448" w:rsidRDefault="006B01A7" w:rsidP="000D5E12">
      <w:pPr>
        <w:pStyle w:val="ListParagraph"/>
        <w:numPr>
          <w:ilvl w:val="0"/>
          <w:numId w:val="3"/>
        </w:numPr>
        <w:spacing w:after="0" w:line="240" w:lineRule="auto"/>
      </w:pPr>
      <w:r>
        <w:t>Providing information for members to receive care in other settings than the ED for non-emergent conditions through care planning</w:t>
      </w: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pPr>
    </w:p>
    <w:p w:rsidR="006B01A7" w:rsidRDefault="006B01A7" w:rsidP="006B01A7">
      <w:pPr>
        <w:spacing w:after="0" w:line="240" w:lineRule="auto"/>
        <w:rPr>
          <w:b/>
        </w:rPr>
      </w:pPr>
      <w:r w:rsidRPr="000D5E12">
        <w:rPr>
          <w:b/>
        </w:rPr>
        <w:lastRenderedPageBreak/>
        <w:t>Figure 4: Survey Respondent Recall of THPP Interventions and Perceived Usefulness</w:t>
      </w:r>
    </w:p>
    <w:p w:rsidR="006B01A7" w:rsidRPr="000D5E12" w:rsidRDefault="006B01A7" w:rsidP="006B01A7">
      <w:pPr>
        <w:spacing w:after="0" w:line="240" w:lineRule="auto"/>
        <w:rPr>
          <w:b/>
        </w:rPr>
      </w:pPr>
    </w:p>
    <w:p w:rsidR="0064279D" w:rsidRDefault="0064279D">
      <w:pPr>
        <w:rPr>
          <w:b/>
          <w:u w:val="single"/>
        </w:rPr>
      </w:pPr>
      <w:r w:rsidRPr="004E0E65">
        <w:rPr>
          <w:rFonts w:ascii="Calibri" w:eastAsia="Calibri" w:hAnsi="Calibri" w:cs="Times New Roman"/>
          <w:b/>
          <w:noProof/>
        </w:rPr>
        <w:drawing>
          <wp:inline distT="0" distB="0" distL="0" distR="0" wp14:anchorId="17D3F8E8" wp14:editId="3A00A629">
            <wp:extent cx="5947576" cy="3641697"/>
            <wp:effectExtent l="0" t="0" r="1524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01A7" w:rsidRPr="000D5E12" w:rsidRDefault="006B01A7" w:rsidP="008E3EB1">
      <w:pPr>
        <w:spacing w:after="0" w:line="240" w:lineRule="auto"/>
        <w:rPr>
          <w:rFonts w:ascii="Calibri" w:eastAsia="Calibri" w:hAnsi="Calibri" w:cs="Times New Roman"/>
          <w:b/>
        </w:rPr>
      </w:pPr>
      <w:r w:rsidRPr="000D5E12">
        <w:rPr>
          <w:rFonts w:ascii="Calibri" w:eastAsia="Calibri" w:hAnsi="Calibri" w:cs="Times New Roman"/>
          <w:b/>
        </w:rPr>
        <w:t xml:space="preserve">Table 2: Reasons for ED Use </w:t>
      </w:r>
      <w:proofErr w:type="gramStart"/>
      <w:r w:rsidRPr="000D5E12">
        <w:rPr>
          <w:rFonts w:ascii="Calibri" w:eastAsia="Calibri" w:hAnsi="Calibri" w:cs="Times New Roman"/>
          <w:b/>
        </w:rPr>
        <w:t>Among</w:t>
      </w:r>
      <w:proofErr w:type="gramEnd"/>
      <w:r w:rsidRPr="000D5E12">
        <w:rPr>
          <w:rFonts w:ascii="Calibri" w:eastAsia="Calibri" w:hAnsi="Calibri" w:cs="Times New Roman"/>
          <w:b/>
        </w:rPr>
        <w:t xml:space="preserve"> Members Who Did Not Consider Other Care Options</w:t>
      </w:r>
    </w:p>
    <w:p w:rsidR="0064279D" w:rsidRDefault="0064279D" w:rsidP="008E3EB1">
      <w:pPr>
        <w:spacing w:after="0" w:line="240" w:lineRule="auto"/>
        <w:rPr>
          <w:rFonts w:ascii="Calibri" w:eastAsia="Calibri" w:hAnsi="Calibri" w:cs="Times New Roman"/>
        </w:rPr>
      </w:pPr>
    </w:p>
    <w:tbl>
      <w:tblPr>
        <w:tblStyle w:val="TableGrid"/>
        <w:tblW w:w="10260" w:type="dxa"/>
        <w:tblInd w:w="-342" w:type="dxa"/>
        <w:tblLook w:val="04A0" w:firstRow="1" w:lastRow="0" w:firstColumn="1" w:lastColumn="0" w:noHBand="0" w:noVBand="1"/>
      </w:tblPr>
      <w:tblGrid>
        <w:gridCol w:w="6930"/>
        <w:gridCol w:w="1440"/>
        <w:gridCol w:w="1890"/>
      </w:tblGrid>
      <w:tr w:rsidR="0064279D" w:rsidTr="008E3EB1">
        <w:tc>
          <w:tcPr>
            <w:tcW w:w="6930" w:type="dxa"/>
          </w:tcPr>
          <w:p w:rsidR="0064279D" w:rsidRDefault="0064279D" w:rsidP="00B04FB3">
            <w:pPr>
              <w:rPr>
                <w:rFonts w:ascii="Calibri" w:eastAsia="Calibri" w:hAnsi="Calibri" w:cs="Times New Roman"/>
              </w:rPr>
            </w:pPr>
            <w:r>
              <w:rPr>
                <w:rFonts w:ascii="Calibri" w:eastAsia="Calibri" w:hAnsi="Calibri" w:cs="Times New Roman"/>
              </w:rPr>
              <w:t>Reason</w:t>
            </w:r>
          </w:p>
        </w:tc>
        <w:tc>
          <w:tcPr>
            <w:tcW w:w="1440" w:type="dxa"/>
          </w:tcPr>
          <w:p w:rsidR="0064279D" w:rsidRDefault="0064279D" w:rsidP="00B04FB3">
            <w:pPr>
              <w:rPr>
                <w:rFonts w:ascii="Calibri" w:eastAsia="Calibri" w:hAnsi="Calibri" w:cs="Times New Roman"/>
              </w:rPr>
            </w:pPr>
            <w:r>
              <w:rPr>
                <w:rFonts w:ascii="Calibri" w:eastAsia="Calibri" w:hAnsi="Calibri" w:cs="Times New Roman"/>
              </w:rPr>
              <w:t xml:space="preserve">% of respondents </w:t>
            </w:r>
          </w:p>
        </w:tc>
        <w:tc>
          <w:tcPr>
            <w:tcW w:w="1890" w:type="dxa"/>
          </w:tcPr>
          <w:p w:rsidR="0064279D" w:rsidRDefault="0064279D" w:rsidP="00B04FB3">
            <w:pPr>
              <w:rPr>
                <w:rFonts w:ascii="Calibri" w:eastAsia="Calibri" w:hAnsi="Calibri" w:cs="Times New Roman"/>
              </w:rPr>
            </w:pPr>
            <w:r>
              <w:rPr>
                <w:rFonts w:ascii="Calibri" w:eastAsia="Calibri" w:hAnsi="Calibri" w:cs="Times New Roman"/>
              </w:rPr>
              <w:t># of respondents  (n=32)</w:t>
            </w:r>
          </w:p>
        </w:tc>
      </w:tr>
      <w:tr w:rsidR="0064279D" w:rsidTr="008E3EB1">
        <w:tc>
          <w:tcPr>
            <w:tcW w:w="6930" w:type="dxa"/>
          </w:tcPr>
          <w:p w:rsidR="0064279D" w:rsidRPr="00AD28D1" w:rsidRDefault="00AD28D1" w:rsidP="00B04FB3">
            <w:pPr>
              <w:rPr>
                <w:rFonts w:ascii="Calibri" w:eastAsia="Calibri" w:hAnsi="Calibri" w:cs="Times New Roman"/>
              </w:rPr>
            </w:pPr>
            <w:r w:rsidRPr="00AD28D1">
              <w:rPr>
                <w:rFonts w:eastAsia="Times New Roman" w:cs="Arial"/>
                <w:color w:val="000000" w:themeColor="dark1"/>
                <w:kern w:val="24"/>
              </w:rPr>
              <w:t>Thought the problem was too serious, required more immediate attention</w:t>
            </w:r>
          </w:p>
        </w:tc>
        <w:tc>
          <w:tcPr>
            <w:tcW w:w="1440" w:type="dxa"/>
          </w:tcPr>
          <w:p w:rsidR="0064279D" w:rsidRDefault="00AD28D1" w:rsidP="00B04FB3">
            <w:pPr>
              <w:rPr>
                <w:rFonts w:ascii="Calibri" w:eastAsia="Calibri" w:hAnsi="Calibri" w:cs="Times New Roman"/>
              </w:rPr>
            </w:pPr>
            <w:r>
              <w:rPr>
                <w:rFonts w:eastAsia="Times New Roman" w:cs="Arial"/>
                <w:color w:val="000000" w:themeColor="dark1"/>
                <w:kern w:val="24"/>
              </w:rPr>
              <w:t>53.8%</w:t>
            </w:r>
          </w:p>
        </w:tc>
        <w:tc>
          <w:tcPr>
            <w:tcW w:w="1890" w:type="dxa"/>
          </w:tcPr>
          <w:p w:rsidR="0064279D" w:rsidRDefault="00AD28D1" w:rsidP="00B04FB3">
            <w:pPr>
              <w:rPr>
                <w:rFonts w:ascii="Calibri" w:eastAsia="Calibri" w:hAnsi="Calibri" w:cs="Times New Roman"/>
              </w:rPr>
            </w:pPr>
            <w:r>
              <w:rPr>
                <w:rFonts w:ascii="Calibri" w:eastAsia="Calibri" w:hAnsi="Calibri" w:cs="Times New Roman"/>
              </w:rPr>
              <w:t>14</w:t>
            </w:r>
          </w:p>
        </w:tc>
      </w:tr>
      <w:tr w:rsidR="0064279D" w:rsidTr="008E3EB1">
        <w:tc>
          <w:tcPr>
            <w:tcW w:w="6930" w:type="dxa"/>
          </w:tcPr>
          <w:p w:rsidR="0064279D" w:rsidRPr="00AD28D1" w:rsidRDefault="0064279D" w:rsidP="00B04FB3">
            <w:pPr>
              <w:rPr>
                <w:rFonts w:ascii="Calibri" w:eastAsia="Calibri" w:hAnsi="Calibri" w:cs="Times New Roman"/>
              </w:rPr>
            </w:pPr>
            <w:r w:rsidRPr="00AD28D1">
              <w:rPr>
                <w:rFonts w:ascii="Calibri" w:eastAsia="Calibri" w:hAnsi="Calibri" w:cs="Times New Roman"/>
              </w:rPr>
              <w:t>ED is closer</w:t>
            </w:r>
          </w:p>
        </w:tc>
        <w:tc>
          <w:tcPr>
            <w:tcW w:w="1440" w:type="dxa"/>
          </w:tcPr>
          <w:p w:rsidR="0064279D" w:rsidRPr="00AD28D1" w:rsidRDefault="0064279D" w:rsidP="00B04FB3">
            <w:pPr>
              <w:rPr>
                <w:rFonts w:ascii="Calibri" w:eastAsia="Calibri" w:hAnsi="Calibri" w:cs="Times New Roman"/>
              </w:rPr>
            </w:pPr>
            <w:r w:rsidRPr="00AD28D1">
              <w:rPr>
                <w:rFonts w:ascii="Calibri" w:eastAsia="Calibri" w:hAnsi="Calibri" w:cs="Times New Roman"/>
              </w:rPr>
              <w:t>46.2%</w:t>
            </w:r>
          </w:p>
        </w:tc>
        <w:tc>
          <w:tcPr>
            <w:tcW w:w="1890" w:type="dxa"/>
          </w:tcPr>
          <w:p w:rsidR="0064279D" w:rsidRPr="00AD28D1" w:rsidRDefault="0064279D" w:rsidP="00B04FB3">
            <w:pPr>
              <w:rPr>
                <w:rFonts w:ascii="Calibri" w:eastAsia="Calibri" w:hAnsi="Calibri" w:cs="Times New Roman"/>
              </w:rPr>
            </w:pPr>
            <w:r w:rsidRPr="00AD28D1">
              <w:rPr>
                <w:rFonts w:ascii="Calibri" w:eastAsia="Calibri" w:hAnsi="Calibri" w:cs="Times New Roman"/>
              </w:rPr>
              <w:t>12</w:t>
            </w:r>
          </w:p>
        </w:tc>
      </w:tr>
      <w:tr w:rsidR="0064279D" w:rsidTr="008E3EB1">
        <w:tc>
          <w:tcPr>
            <w:tcW w:w="6930" w:type="dxa"/>
          </w:tcPr>
          <w:p w:rsidR="0064279D" w:rsidRDefault="00AD28D1" w:rsidP="00AD28D1">
            <w:pPr>
              <w:rPr>
                <w:rFonts w:ascii="Calibri" w:eastAsia="Calibri" w:hAnsi="Calibri" w:cs="Times New Roman"/>
              </w:rPr>
            </w:pPr>
            <w:r>
              <w:rPr>
                <w:rFonts w:eastAsia="Times New Roman" w:cs="Arial"/>
                <w:color w:val="000000" w:themeColor="dark1"/>
                <w:kern w:val="24"/>
              </w:rPr>
              <w:t>Was told in the past by doctor to go to ED for this issue</w:t>
            </w:r>
          </w:p>
        </w:tc>
        <w:tc>
          <w:tcPr>
            <w:tcW w:w="1440" w:type="dxa"/>
          </w:tcPr>
          <w:p w:rsidR="0064279D" w:rsidRDefault="00AD28D1" w:rsidP="00B04FB3">
            <w:pPr>
              <w:rPr>
                <w:rFonts w:ascii="Calibri" w:eastAsia="Calibri" w:hAnsi="Calibri" w:cs="Times New Roman"/>
              </w:rPr>
            </w:pPr>
            <w:r>
              <w:rPr>
                <w:rFonts w:ascii="Calibri" w:eastAsia="Calibri" w:hAnsi="Calibri" w:cs="Times New Roman"/>
              </w:rPr>
              <w:t>46.2%</w:t>
            </w:r>
          </w:p>
        </w:tc>
        <w:tc>
          <w:tcPr>
            <w:tcW w:w="1890" w:type="dxa"/>
          </w:tcPr>
          <w:p w:rsidR="0064279D" w:rsidRDefault="00AD28D1" w:rsidP="00B04FB3">
            <w:pPr>
              <w:rPr>
                <w:rFonts w:ascii="Calibri" w:eastAsia="Calibri" w:hAnsi="Calibri" w:cs="Times New Roman"/>
              </w:rPr>
            </w:pPr>
            <w:r>
              <w:rPr>
                <w:rFonts w:ascii="Calibri" w:eastAsia="Calibri" w:hAnsi="Calibri" w:cs="Times New Roman"/>
              </w:rPr>
              <w:t>12</w:t>
            </w:r>
          </w:p>
        </w:tc>
      </w:tr>
      <w:tr w:rsidR="0064279D" w:rsidTr="008E3EB1">
        <w:tc>
          <w:tcPr>
            <w:tcW w:w="6930" w:type="dxa"/>
          </w:tcPr>
          <w:p w:rsidR="0064279D" w:rsidRDefault="00AD28D1" w:rsidP="00B04FB3">
            <w:pPr>
              <w:rPr>
                <w:rFonts w:ascii="Calibri" w:eastAsia="Calibri" w:hAnsi="Calibri" w:cs="Times New Roman"/>
              </w:rPr>
            </w:pPr>
            <w:r>
              <w:rPr>
                <w:rFonts w:eastAsia="Times New Roman" w:cs="Arial"/>
                <w:color w:val="000000" w:themeColor="dark1"/>
                <w:kern w:val="24"/>
              </w:rPr>
              <w:t>Prefer ED</w:t>
            </w:r>
          </w:p>
        </w:tc>
        <w:tc>
          <w:tcPr>
            <w:tcW w:w="1440" w:type="dxa"/>
          </w:tcPr>
          <w:p w:rsidR="0064279D" w:rsidRDefault="00AD28D1" w:rsidP="00B04FB3">
            <w:pPr>
              <w:rPr>
                <w:rFonts w:ascii="Calibri" w:eastAsia="Calibri" w:hAnsi="Calibri" w:cs="Times New Roman"/>
              </w:rPr>
            </w:pPr>
            <w:r>
              <w:rPr>
                <w:rFonts w:ascii="Calibri" w:eastAsia="Calibri" w:hAnsi="Calibri" w:cs="Times New Roman"/>
              </w:rPr>
              <w:t>15.4%</w:t>
            </w:r>
          </w:p>
        </w:tc>
        <w:tc>
          <w:tcPr>
            <w:tcW w:w="1890" w:type="dxa"/>
          </w:tcPr>
          <w:p w:rsidR="0064279D" w:rsidRDefault="00AD28D1" w:rsidP="00B04FB3">
            <w:pPr>
              <w:rPr>
                <w:rFonts w:ascii="Calibri" w:eastAsia="Calibri" w:hAnsi="Calibri" w:cs="Times New Roman"/>
              </w:rPr>
            </w:pPr>
            <w:r>
              <w:rPr>
                <w:rFonts w:ascii="Calibri" w:eastAsia="Calibri" w:hAnsi="Calibri" w:cs="Times New Roman"/>
              </w:rPr>
              <w:t>4</w:t>
            </w:r>
          </w:p>
        </w:tc>
      </w:tr>
      <w:tr w:rsidR="0064279D" w:rsidTr="008E3EB1">
        <w:tc>
          <w:tcPr>
            <w:tcW w:w="6930" w:type="dxa"/>
          </w:tcPr>
          <w:p w:rsidR="0064279D" w:rsidRDefault="00AD28D1" w:rsidP="00AD28D1">
            <w:pPr>
              <w:rPr>
                <w:rFonts w:ascii="Calibri" w:eastAsia="Calibri" w:hAnsi="Calibri" w:cs="Times New Roman"/>
              </w:rPr>
            </w:pPr>
            <w:r>
              <w:rPr>
                <w:rFonts w:eastAsia="Times New Roman" w:cs="Arial"/>
                <w:color w:val="000000" w:themeColor="dark1"/>
                <w:kern w:val="24"/>
              </w:rPr>
              <w:t>ED offers better quality of care than other options</w:t>
            </w:r>
          </w:p>
        </w:tc>
        <w:tc>
          <w:tcPr>
            <w:tcW w:w="1440" w:type="dxa"/>
          </w:tcPr>
          <w:p w:rsidR="0064279D" w:rsidRDefault="00AD28D1" w:rsidP="00B04FB3">
            <w:pPr>
              <w:rPr>
                <w:rFonts w:ascii="Calibri" w:eastAsia="Calibri" w:hAnsi="Calibri" w:cs="Times New Roman"/>
              </w:rPr>
            </w:pPr>
            <w:r>
              <w:rPr>
                <w:rFonts w:ascii="Calibri" w:eastAsia="Calibri" w:hAnsi="Calibri" w:cs="Times New Roman"/>
              </w:rPr>
              <w:t>15.4%</w:t>
            </w:r>
          </w:p>
        </w:tc>
        <w:tc>
          <w:tcPr>
            <w:tcW w:w="1890" w:type="dxa"/>
          </w:tcPr>
          <w:p w:rsidR="0064279D" w:rsidRDefault="00AD28D1" w:rsidP="00B04FB3">
            <w:pPr>
              <w:rPr>
                <w:rFonts w:ascii="Calibri" w:eastAsia="Calibri" w:hAnsi="Calibri" w:cs="Times New Roman"/>
              </w:rPr>
            </w:pPr>
            <w:r>
              <w:rPr>
                <w:rFonts w:ascii="Calibri" w:eastAsia="Calibri" w:hAnsi="Calibri" w:cs="Times New Roman"/>
              </w:rPr>
              <w:t>4</w:t>
            </w:r>
          </w:p>
        </w:tc>
      </w:tr>
      <w:tr w:rsidR="0064279D" w:rsidTr="008E3EB1">
        <w:tc>
          <w:tcPr>
            <w:tcW w:w="6930" w:type="dxa"/>
          </w:tcPr>
          <w:p w:rsidR="0064279D" w:rsidRPr="00AD28D1" w:rsidRDefault="00AD28D1" w:rsidP="00B04FB3">
            <w:pPr>
              <w:rPr>
                <w:rFonts w:ascii="Calibri" w:eastAsia="Calibri" w:hAnsi="Calibri" w:cs="Times New Roman"/>
              </w:rPr>
            </w:pPr>
            <w:r>
              <w:rPr>
                <w:rFonts w:eastAsia="Times New Roman" w:cs="Arial"/>
                <w:color w:val="000000" w:themeColor="dark1"/>
                <w:kern w:val="24"/>
              </w:rPr>
              <w:t>Unaware of other care options</w:t>
            </w:r>
          </w:p>
        </w:tc>
        <w:tc>
          <w:tcPr>
            <w:tcW w:w="1440" w:type="dxa"/>
          </w:tcPr>
          <w:p w:rsidR="0064279D" w:rsidRPr="00AD28D1" w:rsidRDefault="00AD28D1" w:rsidP="00B04FB3">
            <w:pPr>
              <w:rPr>
                <w:rFonts w:ascii="Calibri" w:eastAsia="Calibri" w:hAnsi="Calibri" w:cs="Times New Roman"/>
              </w:rPr>
            </w:pPr>
            <w:r>
              <w:rPr>
                <w:rFonts w:ascii="Calibri" w:eastAsia="Calibri" w:hAnsi="Calibri" w:cs="Times New Roman"/>
              </w:rPr>
              <w:t>11.5%</w:t>
            </w:r>
          </w:p>
        </w:tc>
        <w:tc>
          <w:tcPr>
            <w:tcW w:w="1890" w:type="dxa"/>
          </w:tcPr>
          <w:p w:rsidR="0064279D" w:rsidRPr="00AD28D1" w:rsidRDefault="00AD28D1" w:rsidP="00B04FB3">
            <w:pPr>
              <w:rPr>
                <w:rFonts w:ascii="Calibri" w:eastAsia="Calibri" w:hAnsi="Calibri" w:cs="Times New Roman"/>
              </w:rPr>
            </w:pPr>
            <w:r>
              <w:rPr>
                <w:rFonts w:ascii="Calibri" w:eastAsia="Calibri" w:hAnsi="Calibri" w:cs="Times New Roman"/>
              </w:rPr>
              <w:t>3</w:t>
            </w:r>
          </w:p>
        </w:tc>
      </w:tr>
      <w:tr w:rsidR="0064279D" w:rsidTr="008E3EB1">
        <w:trPr>
          <w:trHeight w:val="233"/>
        </w:trPr>
        <w:tc>
          <w:tcPr>
            <w:tcW w:w="6930" w:type="dxa"/>
          </w:tcPr>
          <w:p w:rsidR="0064279D" w:rsidRPr="00AD28D1" w:rsidRDefault="00AD28D1" w:rsidP="00B04FB3">
            <w:pPr>
              <w:rPr>
                <w:rFonts w:ascii="Calibri" w:eastAsia="Calibri" w:hAnsi="Calibri" w:cs="Times New Roman"/>
              </w:rPr>
            </w:pPr>
            <w:r w:rsidRPr="00AD28D1">
              <w:rPr>
                <w:rFonts w:ascii="Calibri" w:eastAsia="Calibri" w:hAnsi="Calibri" w:cs="Times New Roman"/>
              </w:rPr>
              <w:t>Other (nurse assists member; family member took member to ED; rehab sent member to ED)</w:t>
            </w:r>
          </w:p>
        </w:tc>
        <w:tc>
          <w:tcPr>
            <w:tcW w:w="1440" w:type="dxa"/>
          </w:tcPr>
          <w:p w:rsidR="0064279D" w:rsidRPr="00AD28D1" w:rsidRDefault="00AD28D1" w:rsidP="00B04FB3">
            <w:pPr>
              <w:rPr>
                <w:rFonts w:ascii="Calibri" w:eastAsia="Calibri" w:hAnsi="Calibri" w:cs="Times New Roman"/>
              </w:rPr>
            </w:pPr>
            <w:r w:rsidRPr="00AD28D1">
              <w:rPr>
                <w:rFonts w:ascii="Calibri" w:eastAsia="Calibri" w:hAnsi="Calibri" w:cs="Times New Roman"/>
              </w:rPr>
              <w:t>11.5%</w:t>
            </w:r>
          </w:p>
        </w:tc>
        <w:tc>
          <w:tcPr>
            <w:tcW w:w="1890" w:type="dxa"/>
          </w:tcPr>
          <w:p w:rsidR="0064279D" w:rsidRPr="00AD28D1" w:rsidRDefault="00AD28D1" w:rsidP="00B04FB3">
            <w:pPr>
              <w:rPr>
                <w:rFonts w:ascii="Calibri" w:eastAsia="Calibri" w:hAnsi="Calibri" w:cs="Times New Roman"/>
              </w:rPr>
            </w:pPr>
            <w:r w:rsidRPr="00AD28D1">
              <w:rPr>
                <w:rFonts w:ascii="Calibri" w:eastAsia="Calibri" w:hAnsi="Calibri" w:cs="Times New Roman"/>
              </w:rPr>
              <w:t>3</w:t>
            </w:r>
          </w:p>
        </w:tc>
      </w:tr>
      <w:tr w:rsidR="0064279D" w:rsidTr="008E3EB1">
        <w:tc>
          <w:tcPr>
            <w:tcW w:w="6930" w:type="dxa"/>
          </w:tcPr>
          <w:p w:rsidR="0064279D" w:rsidRPr="004E0E65" w:rsidRDefault="0064279D" w:rsidP="00B04FB3">
            <w:pPr>
              <w:rPr>
                <w:rFonts w:eastAsia="Times New Roman" w:cs="Arial"/>
                <w:color w:val="000000" w:themeColor="dark1"/>
                <w:kern w:val="24"/>
              </w:rPr>
            </w:pPr>
            <w:r>
              <w:rPr>
                <w:rFonts w:eastAsia="Times New Roman" w:cs="Arial"/>
                <w:color w:val="000000" w:themeColor="dark1"/>
                <w:kern w:val="24"/>
              </w:rPr>
              <w:t>After hours / practice closed</w:t>
            </w:r>
          </w:p>
        </w:tc>
        <w:tc>
          <w:tcPr>
            <w:tcW w:w="1440" w:type="dxa"/>
          </w:tcPr>
          <w:p w:rsidR="0064279D" w:rsidRDefault="0064279D" w:rsidP="00B04FB3">
            <w:pPr>
              <w:rPr>
                <w:rFonts w:ascii="Calibri" w:eastAsia="Calibri" w:hAnsi="Calibri" w:cs="Times New Roman"/>
              </w:rPr>
            </w:pPr>
            <w:r>
              <w:rPr>
                <w:rFonts w:ascii="Calibri" w:eastAsia="Calibri" w:hAnsi="Calibri" w:cs="Times New Roman"/>
              </w:rPr>
              <w:t>7.7%</w:t>
            </w:r>
          </w:p>
        </w:tc>
        <w:tc>
          <w:tcPr>
            <w:tcW w:w="1890" w:type="dxa"/>
          </w:tcPr>
          <w:p w:rsidR="0064279D" w:rsidRDefault="0064279D" w:rsidP="00B04FB3">
            <w:pPr>
              <w:rPr>
                <w:rFonts w:ascii="Calibri" w:eastAsia="Calibri" w:hAnsi="Calibri" w:cs="Times New Roman"/>
              </w:rPr>
            </w:pPr>
            <w:r>
              <w:rPr>
                <w:rFonts w:ascii="Calibri" w:eastAsia="Calibri" w:hAnsi="Calibri" w:cs="Times New Roman"/>
              </w:rPr>
              <w:t>2</w:t>
            </w:r>
          </w:p>
        </w:tc>
      </w:tr>
      <w:tr w:rsidR="0064279D" w:rsidTr="008E3EB1">
        <w:tc>
          <w:tcPr>
            <w:tcW w:w="6930" w:type="dxa"/>
          </w:tcPr>
          <w:p w:rsidR="0064279D" w:rsidRPr="004E0E65" w:rsidRDefault="00AD28D1" w:rsidP="00B04FB3">
            <w:pPr>
              <w:rPr>
                <w:rFonts w:eastAsia="Times New Roman" w:cs="Arial"/>
                <w:color w:val="000000" w:themeColor="dark1"/>
                <w:kern w:val="24"/>
              </w:rPr>
            </w:pPr>
            <w:r>
              <w:rPr>
                <w:rFonts w:eastAsia="Times New Roman" w:cs="Arial"/>
                <w:color w:val="000000" w:themeColor="dark1"/>
                <w:kern w:val="24"/>
              </w:rPr>
              <w:t>Unaware of urgent care in area</w:t>
            </w:r>
          </w:p>
        </w:tc>
        <w:tc>
          <w:tcPr>
            <w:tcW w:w="1440" w:type="dxa"/>
          </w:tcPr>
          <w:p w:rsidR="0064279D" w:rsidRDefault="00AD28D1" w:rsidP="00B04FB3">
            <w:pPr>
              <w:rPr>
                <w:rFonts w:ascii="Calibri" w:eastAsia="Calibri" w:hAnsi="Calibri" w:cs="Times New Roman"/>
              </w:rPr>
            </w:pPr>
            <w:r>
              <w:rPr>
                <w:rFonts w:ascii="Calibri" w:eastAsia="Calibri" w:hAnsi="Calibri" w:cs="Times New Roman"/>
              </w:rPr>
              <w:t>7.7%</w:t>
            </w:r>
          </w:p>
        </w:tc>
        <w:tc>
          <w:tcPr>
            <w:tcW w:w="1890" w:type="dxa"/>
          </w:tcPr>
          <w:p w:rsidR="0064279D" w:rsidRDefault="00AD28D1" w:rsidP="00B04FB3">
            <w:pPr>
              <w:rPr>
                <w:rFonts w:ascii="Calibri" w:eastAsia="Calibri" w:hAnsi="Calibri" w:cs="Times New Roman"/>
              </w:rPr>
            </w:pPr>
            <w:r>
              <w:rPr>
                <w:rFonts w:ascii="Calibri" w:eastAsia="Calibri" w:hAnsi="Calibri" w:cs="Times New Roman"/>
              </w:rPr>
              <w:t>2</w:t>
            </w:r>
          </w:p>
        </w:tc>
      </w:tr>
      <w:tr w:rsidR="0064279D" w:rsidTr="008E3EB1">
        <w:tc>
          <w:tcPr>
            <w:tcW w:w="6930" w:type="dxa"/>
          </w:tcPr>
          <w:p w:rsidR="0064279D" w:rsidRPr="004E0E65" w:rsidRDefault="00AD28D1" w:rsidP="00B04FB3">
            <w:pPr>
              <w:rPr>
                <w:rFonts w:eastAsia="Times New Roman" w:cs="Arial"/>
                <w:color w:val="000000" w:themeColor="dark1"/>
                <w:kern w:val="24"/>
              </w:rPr>
            </w:pPr>
            <w:r>
              <w:rPr>
                <w:rFonts w:eastAsia="Times New Roman" w:cs="Arial"/>
                <w:color w:val="000000" w:themeColor="dark1"/>
                <w:kern w:val="24"/>
              </w:rPr>
              <w:t>Dissatisfaction with urgent care in the past</w:t>
            </w:r>
          </w:p>
        </w:tc>
        <w:tc>
          <w:tcPr>
            <w:tcW w:w="1440" w:type="dxa"/>
          </w:tcPr>
          <w:p w:rsidR="0064279D" w:rsidRDefault="00AD28D1" w:rsidP="00B04FB3">
            <w:pPr>
              <w:rPr>
                <w:rFonts w:ascii="Calibri" w:eastAsia="Calibri" w:hAnsi="Calibri" w:cs="Times New Roman"/>
              </w:rPr>
            </w:pPr>
            <w:r>
              <w:rPr>
                <w:rFonts w:ascii="Calibri" w:eastAsia="Calibri" w:hAnsi="Calibri" w:cs="Times New Roman"/>
              </w:rPr>
              <w:t>3.8%</w:t>
            </w:r>
          </w:p>
        </w:tc>
        <w:tc>
          <w:tcPr>
            <w:tcW w:w="1890" w:type="dxa"/>
          </w:tcPr>
          <w:p w:rsidR="0064279D" w:rsidRDefault="00AD28D1" w:rsidP="00B04FB3">
            <w:pPr>
              <w:rPr>
                <w:rFonts w:ascii="Calibri" w:eastAsia="Calibri" w:hAnsi="Calibri" w:cs="Times New Roman"/>
              </w:rPr>
            </w:pPr>
            <w:r>
              <w:rPr>
                <w:rFonts w:ascii="Calibri" w:eastAsia="Calibri" w:hAnsi="Calibri" w:cs="Times New Roman"/>
              </w:rPr>
              <w:t>1</w:t>
            </w:r>
          </w:p>
        </w:tc>
      </w:tr>
      <w:tr w:rsidR="0064279D" w:rsidTr="008E3EB1">
        <w:tc>
          <w:tcPr>
            <w:tcW w:w="6930" w:type="dxa"/>
          </w:tcPr>
          <w:p w:rsidR="0064279D" w:rsidRPr="004E0E65" w:rsidRDefault="00AD28D1" w:rsidP="00B04FB3">
            <w:pPr>
              <w:rPr>
                <w:rFonts w:eastAsia="Times New Roman" w:cs="Arial"/>
                <w:color w:val="000000" w:themeColor="dark1"/>
                <w:kern w:val="24"/>
              </w:rPr>
            </w:pPr>
            <w:r>
              <w:rPr>
                <w:rFonts w:eastAsia="Times New Roman" w:cs="Arial"/>
                <w:color w:val="000000" w:themeColor="dark1"/>
                <w:kern w:val="24"/>
              </w:rPr>
              <w:t>Dissatisfaction with doctor</w:t>
            </w:r>
          </w:p>
        </w:tc>
        <w:tc>
          <w:tcPr>
            <w:tcW w:w="1440" w:type="dxa"/>
          </w:tcPr>
          <w:p w:rsidR="0064279D" w:rsidRDefault="00AD28D1" w:rsidP="00B04FB3">
            <w:pPr>
              <w:rPr>
                <w:rFonts w:ascii="Calibri" w:eastAsia="Calibri" w:hAnsi="Calibri" w:cs="Times New Roman"/>
              </w:rPr>
            </w:pPr>
            <w:r>
              <w:rPr>
                <w:rFonts w:ascii="Calibri" w:eastAsia="Calibri" w:hAnsi="Calibri" w:cs="Times New Roman"/>
              </w:rPr>
              <w:t>3.8%</w:t>
            </w:r>
          </w:p>
        </w:tc>
        <w:tc>
          <w:tcPr>
            <w:tcW w:w="1890" w:type="dxa"/>
          </w:tcPr>
          <w:p w:rsidR="0064279D" w:rsidRDefault="00AD28D1" w:rsidP="00B04FB3">
            <w:pPr>
              <w:rPr>
                <w:rFonts w:ascii="Calibri" w:eastAsia="Calibri" w:hAnsi="Calibri" w:cs="Times New Roman"/>
              </w:rPr>
            </w:pPr>
            <w:r>
              <w:rPr>
                <w:rFonts w:ascii="Calibri" w:eastAsia="Calibri" w:hAnsi="Calibri" w:cs="Times New Roman"/>
              </w:rPr>
              <w:t>1</w:t>
            </w:r>
          </w:p>
        </w:tc>
      </w:tr>
      <w:tr w:rsidR="0064279D" w:rsidTr="008E3EB1">
        <w:tc>
          <w:tcPr>
            <w:tcW w:w="6930" w:type="dxa"/>
          </w:tcPr>
          <w:p w:rsidR="0064279D" w:rsidRPr="004E0E65" w:rsidRDefault="0064279D" w:rsidP="00B04FB3">
            <w:pPr>
              <w:rPr>
                <w:rFonts w:eastAsia="Times New Roman" w:cs="Arial"/>
                <w:color w:val="000000" w:themeColor="dark1"/>
                <w:kern w:val="24"/>
              </w:rPr>
            </w:pPr>
            <w:r w:rsidRPr="004E0E65">
              <w:rPr>
                <w:rFonts w:eastAsia="Times New Roman" w:cs="Arial"/>
                <w:color w:val="000000" w:themeColor="dark1"/>
                <w:kern w:val="24"/>
              </w:rPr>
              <w:t xml:space="preserve">Thought tests were needed </w:t>
            </w:r>
            <w:r w:rsidR="008E3EB1">
              <w:rPr>
                <w:rFonts w:eastAsia="Times New Roman" w:cs="Arial"/>
                <w:color w:val="000000" w:themeColor="dark1"/>
                <w:kern w:val="24"/>
              </w:rPr>
              <w:t>that could not be performed in</w:t>
            </w:r>
            <w:r w:rsidRPr="004E0E65">
              <w:rPr>
                <w:rFonts w:eastAsia="Times New Roman" w:cs="Arial"/>
                <w:color w:val="000000" w:themeColor="dark1"/>
                <w:kern w:val="24"/>
              </w:rPr>
              <w:t xml:space="preserve"> doctor’s office</w:t>
            </w:r>
          </w:p>
        </w:tc>
        <w:tc>
          <w:tcPr>
            <w:tcW w:w="1440" w:type="dxa"/>
          </w:tcPr>
          <w:p w:rsidR="0064279D" w:rsidRDefault="0064279D" w:rsidP="00B04FB3">
            <w:pPr>
              <w:rPr>
                <w:rFonts w:ascii="Calibri" w:eastAsia="Calibri" w:hAnsi="Calibri" w:cs="Times New Roman"/>
              </w:rPr>
            </w:pPr>
            <w:r>
              <w:rPr>
                <w:rFonts w:ascii="Calibri" w:eastAsia="Calibri" w:hAnsi="Calibri" w:cs="Times New Roman"/>
              </w:rPr>
              <w:t>3.8%</w:t>
            </w:r>
          </w:p>
        </w:tc>
        <w:tc>
          <w:tcPr>
            <w:tcW w:w="1890" w:type="dxa"/>
          </w:tcPr>
          <w:p w:rsidR="0064279D" w:rsidRDefault="0064279D" w:rsidP="00B04FB3">
            <w:pPr>
              <w:rPr>
                <w:rFonts w:ascii="Calibri" w:eastAsia="Calibri" w:hAnsi="Calibri" w:cs="Times New Roman"/>
              </w:rPr>
            </w:pPr>
            <w:r>
              <w:rPr>
                <w:rFonts w:ascii="Calibri" w:eastAsia="Calibri" w:hAnsi="Calibri" w:cs="Times New Roman"/>
              </w:rPr>
              <w:t>1</w:t>
            </w:r>
          </w:p>
        </w:tc>
      </w:tr>
      <w:tr w:rsidR="0064279D" w:rsidTr="008E3EB1">
        <w:tc>
          <w:tcPr>
            <w:tcW w:w="6930" w:type="dxa"/>
          </w:tcPr>
          <w:p w:rsidR="0064279D" w:rsidRPr="004E0E65" w:rsidRDefault="00AD28D1" w:rsidP="00B04FB3">
            <w:pPr>
              <w:rPr>
                <w:rFonts w:eastAsia="Times New Roman" w:cs="Arial"/>
              </w:rPr>
            </w:pPr>
            <w:r>
              <w:rPr>
                <w:rFonts w:eastAsia="Times New Roman" w:cs="Arial"/>
              </w:rPr>
              <w:t>Dissatisfaction with THPP after-hours nurse</w:t>
            </w:r>
          </w:p>
        </w:tc>
        <w:tc>
          <w:tcPr>
            <w:tcW w:w="1440" w:type="dxa"/>
          </w:tcPr>
          <w:p w:rsidR="0064279D" w:rsidRDefault="00AD28D1" w:rsidP="00B04FB3">
            <w:pPr>
              <w:rPr>
                <w:rFonts w:ascii="Calibri" w:eastAsia="Calibri" w:hAnsi="Calibri" w:cs="Times New Roman"/>
              </w:rPr>
            </w:pPr>
            <w:r>
              <w:rPr>
                <w:rFonts w:ascii="Calibri" w:eastAsia="Calibri" w:hAnsi="Calibri" w:cs="Times New Roman"/>
              </w:rPr>
              <w:t>0%</w:t>
            </w:r>
          </w:p>
        </w:tc>
        <w:tc>
          <w:tcPr>
            <w:tcW w:w="1890" w:type="dxa"/>
          </w:tcPr>
          <w:p w:rsidR="0064279D" w:rsidRDefault="00AD28D1" w:rsidP="00B04FB3">
            <w:pPr>
              <w:rPr>
                <w:rFonts w:ascii="Calibri" w:eastAsia="Calibri" w:hAnsi="Calibri" w:cs="Times New Roman"/>
              </w:rPr>
            </w:pPr>
            <w:r>
              <w:rPr>
                <w:rFonts w:ascii="Calibri" w:eastAsia="Calibri" w:hAnsi="Calibri" w:cs="Times New Roman"/>
              </w:rPr>
              <w:t>0</w:t>
            </w:r>
          </w:p>
        </w:tc>
      </w:tr>
      <w:tr w:rsidR="00AD28D1" w:rsidTr="008E3EB1">
        <w:tc>
          <w:tcPr>
            <w:tcW w:w="6930" w:type="dxa"/>
          </w:tcPr>
          <w:p w:rsidR="00AD28D1" w:rsidRDefault="006B01A7" w:rsidP="00B04FB3">
            <w:pPr>
              <w:rPr>
                <w:rFonts w:eastAsia="Times New Roman" w:cs="Arial"/>
              </w:rPr>
            </w:pPr>
            <w:r>
              <w:rPr>
                <w:noProof/>
              </w:rPr>
              <mc:AlternateContent>
                <mc:Choice Requires="wps">
                  <w:drawing>
                    <wp:anchor distT="0" distB="0" distL="114300" distR="114300" simplePos="0" relativeHeight="251663360" behindDoc="0" locked="0" layoutInCell="1" allowOverlap="1" wp14:anchorId="2D115749" wp14:editId="0D4E4A3D">
                      <wp:simplePos x="0" y="0"/>
                      <wp:positionH relativeFrom="column">
                        <wp:posOffset>-71120</wp:posOffset>
                      </wp:positionH>
                      <wp:positionV relativeFrom="paragraph">
                        <wp:posOffset>185420</wp:posOffset>
                      </wp:positionV>
                      <wp:extent cx="2766695" cy="492760"/>
                      <wp:effectExtent l="0" t="0" r="14605" b="215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492760"/>
                              </a:xfrm>
                              <a:prstGeom prst="rect">
                                <a:avLst/>
                              </a:prstGeom>
                              <a:solidFill>
                                <a:srgbClr val="FFFFFF"/>
                              </a:solidFill>
                              <a:ln w="9525">
                                <a:solidFill>
                                  <a:srgbClr val="000000"/>
                                </a:solidFill>
                                <a:miter lim="800000"/>
                                <a:headEnd/>
                                <a:tailEnd/>
                              </a:ln>
                            </wps:spPr>
                            <wps:txbx>
                              <w:txbxContent>
                                <w:p w:rsidR="006B01A7" w:rsidRPr="00685D89" w:rsidRDefault="006B01A7" w:rsidP="000D5E12">
                                  <w:pPr>
                                    <w:jc w:val="both"/>
                                    <w:rPr>
                                      <w:sz w:val="16"/>
                                      <w:szCs w:val="16"/>
                                    </w:rPr>
                                  </w:pPr>
                                  <w:r w:rsidRPr="00685D89">
                                    <w:rPr>
                                      <w:sz w:val="16"/>
                                      <w:szCs w:val="16"/>
                                    </w:rPr>
                                    <w:t xml:space="preserve">*Note: </w:t>
                                  </w:r>
                                  <w:r>
                                    <w:rPr>
                                      <w:sz w:val="16"/>
                                      <w:szCs w:val="16"/>
                                    </w:rPr>
                                    <w:t>Survey respondents were asked to check all that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6pt;margin-top:14.6pt;width:217.85pt;height:3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">
                      <v:textbox>
                        <w:txbxContent>
                          <w:p w:rsidR="006B01A7" w:rsidRPr="00685D89" w:rsidRDefault="006B01A7" w:rsidP="000D5E12">
                            <w:pPr>
                              <w:jc w:val="both"/>
                              <w:rPr>
                                <w:sz w:val="16"/>
                                <w:szCs w:val="16"/>
                              </w:rPr>
                            </w:pPr>
                            <w:r w:rsidRPr="00685D89">
                              <w:rPr>
                                <w:sz w:val="16"/>
                                <w:szCs w:val="16"/>
                              </w:rPr>
                              <w:t xml:space="preserve">*Note: </w:t>
                            </w:r>
                            <w:r>
                              <w:rPr>
                                <w:sz w:val="16"/>
                                <w:szCs w:val="16"/>
                              </w:rPr>
                              <w:t>Survey respondents were asked to check all that apply</w:t>
                            </w:r>
                          </w:p>
                        </w:txbxContent>
                      </v:textbox>
                    </v:shape>
                  </w:pict>
                </mc:Fallback>
              </mc:AlternateContent>
            </w:r>
            <w:r w:rsidR="00AD28D1">
              <w:rPr>
                <w:rFonts w:eastAsia="Times New Roman" w:cs="Arial"/>
              </w:rPr>
              <w:t>Did not think urgent care took Tufts Health Unify insurance</w:t>
            </w:r>
          </w:p>
        </w:tc>
        <w:tc>
          <w:tcPr>
            <w:tcW w:w="1440" w:type="dxa"/>
          </w:tcPr>
          <w:p w:rsidR="00AD28D1" w:rsidRDefault="00AD28D1" w:rsidP="00B04FB3">
            <w:pPr>
              <w:rPr>
                <w:rFonts w:ascii="Calibri" w:eastAsia="Calibri" w:hAnsi="Calibri" w:cs="Times New Roman"/>
              </w:rPr>
            </w:pPr>
            <w:r>
              <w:rPr>
                <w:rFonts w:ascii="Calibri" w:eastAsia="Calibri" w:hAnsi="Calibri" w:cs="Times New Roman"/>
              </w:rPr>
              <w:t>0%</w:t>
            </w:r>
          </w:p>
        </w:tc>
        <w:tc>
          <w:tcPr>
            <w:tcW w:w="1890" w:type="dxa"/>
          </w:tcPr>
          <w:p w:rsidR="00AD28D1" w:rsidRDefault="00AD28D1" w:rsidP="00B04FB3">
            <w:pPr>
              <w:rPr>
                <w:rFonts w:ascii="Calibri" w:eastAsia="Calibri" w:hAnsi="Calibri" w:cs="Times New Roman"/>
              </w:rPr>
            </w:pPr>
            <w:r>
              <w:rPr>
                <w:rFonts w:ascii="Calibri" w:eastAsia="Calibri" w:hAnsi="Calibri" w:cs="Times New Roman"/>
              </w:rPr>
              <w:t>0</w:t>
            </w:r>
          </w:p>
        </w:tc>
      </w:tr>
    </w:tbl>
    <w:p w:rsidR="005A2EDB" w:rsidRDefault="005A2EDB" w:rsidP="00EC3D38">
      <w:pPr>
        <w:spacing w:after="0" w:line="240" w:lineRule="auto"/>
        <w:rPr>
          <w:rFonts w:eastAsiaTheme="majorEastAsia" w:cs="Verdana"/>
          <w:bCs/>
          <w:spacing w:val="-20"/>
          <w:kern w:val="24"/>
        </w:rPr>
      </w:pPr>
    </w:p>
    <w:p w:rsidR="0064279D" w:rsidRPr="000D5E12" w:rsidRDefault="0064279D" w:rsidP="00EC3D38">
      <w:pPr>
        <w:spacing w:after="0" w:line="240" w:lineRule="auto"/>
        <w:rPr>
          <w:rFonts w:eastAsia="Calibri" w:cs="Times New Roman"/>
        </w:rPr>
      </w:pPr>
      <w:r w:rsidRPr="000D5E12">
        <w:rPr>
          <w:rFonts w:eastAsiaTheme="majorEastAsia" w:cs="Verdana"/>
          <w:bCs/>
          <w:kern w:val="24"/>
        </w:rPr>
        <w:t xml:space="preserve">Members were asked  </w:t>
      </w:r>
      <w:r w:rsidR="00EC3D38" w:rsidRPr="000D5E12">
        <w:rPr>
          <w:rFonts w:eastAsiaTheme="majorEastAsia" w:cs="Verdana"/>
          <w:bCs/>
          <w:kern w:val="24"/>
        </w:rPr>
        <w:t xml:space="preserve"> “Do you feel that </w:t>
      </w:r>
      <w:r w:rsidRPr="000D5E12">
        <w:rPr>
          <w:rFonts w:eastAsiaTheme="majorEastAsia" w:cs="Verdana"/>
          <w:bCs/>
          <w:kern w:val="24"/>
        </w:rPr>
        <w:t>havin</w:t>
      </w:r>
      <w:r w:rsidR="00EC3D38" w:rsidRPr="000D5E12">
        <w:rPr>
          <w:rFonts w:eastAsiaTheme="majorEastAsia" w:cs="Verdana"/>
          <w:bCs/>
          <w:kern w:val="24"/>
        </w:rPr>
        <w:t xml:space="preserve">g support services (LTSS) has had </w:t>
      </w:r>
      <w:r w:rsidR="008B540D" w:rsidRPr="000D5E12">
        <w:rPr>
          <w:rFonts w:eastAsiaTheme="majorEastAsia" w:cs="Verdana"/>
          <w:bCs/>
          <w:kern w:val="24"/>
        </w:rPr>
        <w:t>any impact</w:t>
      </w:r>
      <w:r w:rsidRPr="000D5E12">
        <w:rPr>
          <w:rFonts w:eastAsiaTheme="majorEastAsia" w:cs="Verdana"/>
          <w:bCs/>
          <w:kern w:val="24"/>
        </w:rPr>
        <w:t xml:space="preserve"> on your decision to use the ED?</w:t>
      </w:r>
    </w:p>
    <w:p w:rsidR="006B01A7" w:rsidRDefault="006B01A7" w:rsidP="00EC3D38">
      <w:pPr>
        <w:spacing w:after="0" w:line="240" w:lineRule="auto"/>
        <w:rPr>
          <w:rFonts w:eastAsiaTheme="minorEastAsia" w:cs="Verdana"/>
          <w:kern w:val="24"/>
        </w:rPr>
      </w:pPr>
    </w:p>
    <w:p w:rsidR="0064279D" w:rsidRDefault="006B01A7" w:rsidP="00EC3D38">
      <w:pPr>
        <w:spacing w:after="0" w:line="240" w:lineRule="auto"/>
        <w:rPr>
          <w:rFonts w:eastAsiaTheme="minorEastAsia" w:cs="Verdana"/>
          <w:kern w:val="24"/>
        </w:rPr>
      </w:pPr>
      <w:r>
        <w:rPr>
          <w:rFonts w:eastAsiaTheme="minorEastAsia" w:cs="Verdana"/>
          <w:kern w:val="24"/>
        </w:rPr>
        <w:t>Seven (7)</w:t>
      </w:r>
      <w:r w:rsidR="0064279D" w:rsidRPr="00D07448">
        <w:rPr>
          <w:rFonts w:eastAsiaTheme="minorEastAsia" w:cs="Verdana"/>
          <w:kern w:val="24"/>
        </w:rPr>
        <w:t xml:space="preserve"> out of 32 </w:t>
      </w:r>
      <w:r w:rsidR="00EC3D38" w:rsidRPr="00D07448">
        <w:rPr>
          <w:rFonts w:eastAsiaTheme="minorEastAsia" w:cs="Verdana"/>
          <w:kern w:val="24"/>
        </w:rPr>
        <w:t>respondents (21.9%) felt</w:t>
      </w:r>
      <w:r w:rsidR="0064279D" w:rsidRPr="00D07448">
        <w:rPr>
          <w:rFonts w:eastAsiaTheme="minorEastAsia" w:cs="Verdana"/>
          <w:kern w:val="24"/>
        </w:rPr>
        <w:t xml:space="preserve"> that having supportive services in place has had an impact on ED use, noting</w:t>
      </w:r>
      <w:r>
        <w:rPr>
          <w:rFonts w:eastAsiaTheme="minorEastAsia" w:cs="Verdana"/>
          <w:kern w:val="24"/>
        </w:rPr>
        <w:t xml:space="preserve">, in particular, </w:t>
      </w:r>
      <w:r w:rsidR="0064279D" w:rsidRPr="00D07448">
        <w:rPr>
          <w:rFonts w:eastAsiaTheme="minorEastAsia" w:cs="Verdana"/>
          <w:kern w:val="24"/>
        </w:rPr>
        <w:t xml:space="preserve">ADL assistance </w:t>
      </w:r>
      <w:r w:rsidR="00EC3D38" w:rsidRPr="00D07448">
        <w:rPr>
          <w:rFonts w:eastAsiaTheme="minorEastAsia" w:cs="Verdana"/>
          <w:kern w:val="24"/>
        </w:rPr>
        <w:t>and help with housing</w:t>
      </w:r>
      <w:r w:rsidR="0064279D" w:rsidRPr="00D07448">
        <w:rPr>
          <w:rFonts w:eastAsiaTheme="minorEastAsia" w:cs="Verdana"/>
          <w:kern w:val="24"/>
        </w:rPr>
        <w:t xml:space="preserve">.  100% </w:t>
      </w:r>
      <w:r>
        <w:rPr>
          <w:rFonts w:eastAsiaTheme="minorEastAsia" w:cs="Verdana"/>
          <w:kern w:val="24"/>
        </w:rPr>
        <w:t xml:space="preserve">of members </w:t>
      </w:r>
      <w:r w:rsidR="0064279D" w:rsidRPr="00D07448">
        <w:rPr>
          <w:rFonts w:eastAsiaTheme="minorEastAsia" w:cs="Verdana"/>
          <w:kern w:val="24"/>
        </w:rPr>
        <w:t>reported that they did not need any additional resources</w:t>
      </w:r>
      <w:r w:rsidR="000E5AC3" w:rsidRPr="00D07448">
        <w:t xml:space="preserve">.  </w:t>
      </w:r>
      <w:r>
        <w:t>Twenty-five (</w:t>
      </w:r>
      <w:r w:rsidR="0064279D" w:rsidRPr="00D07448">
        <w:rPr>
          <w:rFonts w:eastAsiaTheme="minorEastAsia" w:cs="Verdana"/>
          <w:kern w:val="24"/>
        </w:rPr>
        <w:t>25</w:t>
      </w:r>
      <w:r>
        <w:rPr>
          <w:rFonts w:eastAsiaTheme="minorEastAsia" w:cs="Verdana"/>
          <w:kern w:val="24"/>
        </w:rPr>
        <w:t>)</w:t>
      </w:r>
      <w:r w:rsidR="0064279D" w:rsidRPr="00D07448">
        <w:rPr>
          <w:rFonts w:eastAsiaTheme="minorEastAsia" w:cs="Verdana"/>
          <w:kern w:val="24"/>
        </w:rPr>
        <w:t xml:space="preserve"> out of 32 respondents (78.1%) d</w:t>
      </w:r>
      <w:r>
        <w:rPr>
          <w:rFonts w:eastAsiaTheme="minorEastAsia" w:cs="Verdana"/>
          <w:kern w:val="24"/>
        </w:rPr>
        <w:t>id</w:t>
      </w:r>
      <w:r w:rsidR="0064279D" w:rsidRPr="00D07448">
        <w:rPr>
          <w:rFonts w:eastAsiaTheme="minorEastAsia" w:cs="Verdana"/>
          <w:kern w:val="24"/>
        </w:rPr>
        <w:t xml:space="preserve"> not feel that having supportive services in pl</w:t>
      </w:r>
      <w:r w:rsidR="000E5AC3" w:rsidRPr="00D07448">
        <w:rPr>
          <w:rFonts w:eastAsiaTheme="minorEastAsia" w:cs="Verdana"/>
          <w:kern w:val="24"/>
        </w:rPr>
        <w:t>ace had an impact on ED use because:</w:t>
      </w:r>
    </w:p>
    <w:p w:rsidR="006B01A7" w:rsidRPr="00D07448" w:rsidRDefault="006B01A7" w:rsidP="00EC3D38">
      <w:pPr>
        <w:spacing w:after="0" w:line="240" w:lineRule="auto"/>
      </w:pPr>
    </w:p>
    <w:p w:rsidR="0064279D" w:rsidRPr="00D07448" w:rsidRDefault="0064279D" w:rsidP="00EC3D38">
      <w:pPr>
        <w:pStyle w:val="ListParagraph"/>
        <w:numPr>
          <w:ilvl w:val="0"/>
          <w:numId w:val="2"/>
        </w:numPr>
        <w:spacing w:after="0" w:line="240" w:lineRule="auto"/>
      </w:pPr>
      <w:r w:rsidRPr="00D07448">
        <w:rPr>
          <w:rFonts w:eastAsiaTheme="minorEastAsia" w:cs="Verdana"/>
          <w:kern w:val="24"/>
        </w:rPr>
        <w:t>7 out of these 25 respondents (28%) reported being independent and not needing LTSS</w:t>
      </w:r>
    </w:p>
    <w:p w:rsidR="0064279D" w:rsidRPr="00D07448" w:rsidRDefault="0064279D" w:rsidP="00EC3D38">
      <w:pPr>
        <w:pStyle w:val="ListParagraph"/>
        <w:numPr>
          <w:ilvl w:val="0"/>
          <w:numId w:val="2"/>
        </w:numPr>
        <w:spacing w:after="0" w:line="240" w:lineRule="auto"/>
      </w:pPr>
      <w:r w:rsidRPr="00D07448">
        <w:rPr>
          <w:rFonts w:eastAsiaTheme="minorEastAsia" w:cs="Verdana"/>
          <w:kern w:val="24"/>
        </w:rPr>
        <w:t>1 respondent (4%) reported that LTSS would not have an impact on seizures</w:t>
      </w:r>
    </w:p>
    <w:p w:rsidR="0064279D" w:rsidRPr="00D07448" w:rsidRDefault="0064279D" w:rsidP="00EC3D38">
      <w:pPr>
        <w:pStyle w:val="ListParagraph"/>
        <w:numPr>
          <w:ilvl w:val="0"/>
          <w:numId w:val="2"/>
        </w:numPr>
        <w:spacing w:after="0" w:line="240" w:lineRule="auto"/>
      </w:pPr>
      <w:r w:rsidRPr="00D07448">
        <w:rPr>
          <w:rFonts w:eastAsiaTheme="minorEastAsia" w:cs="Verdana"/>
          <w:kern w:val="24"/>
        </w:rPr>
        <w:t>4 respondents (16%) reported they will go to the ED when needed, and 1 of these respondents expressed a preference for the ED</w:t>
      </w:r>
    </w:p>
    <w:p w:rsidR="0064279D" w:rsidRPr="00D07448" w:rsidRDefault="0064279D" w:rsidP="00EC3D38">
      <w:pPr>
        <w:pStyle w:val="ListParagraph"/>
        <w:numPr>
          <w:ilvl w:val="0"/>
          <w:numId w:val="2"/>
        </w:numPr>
        <w:spacing w:after="0" w:line="240" w:lineRule="auto"/>
      </w:pPr>
      <w:r w:rsidRPr="00D07448">
        <w:rPr>
          <w:rFonts w:eastAsiaTheme="minorEastAsia" w:cs="Verdana"/>
          <w:kern w:val="24"/>
        </w:rPr>
        <w:t>2 respondents (8%) reported that they hope not to go to the ED again/will try other options if not too sick</w:t>
      </w:r>
    </w:p>
    <w:p w:rsidR="000E5AC3" w:rsidRDefault="000E5AC3" w:rsidP="000E5AC3">
      <w:pPr>
        <w:spacing w:after="0" w:line="240" w:lineRule="auto"/>
        <w:rPr>
          <w:b/>
          <w:u w:val="single"/>
        </w:rPr>
      </w:pPr>
    </w:p>
    <w:p w:rsidR="008E3EB1" w:rsidRDefault="008B540D" w:rsidP="000E5AC3">
      <w:pPr>
        <w:spacing w:after="0" w:line="240" w:lineRule="auto"/>
        <w:rPr>
          <w:b/>
          <w:u w:val="single"/>
        </w:rPr>
      </w:pPr>
      <w:r>
        <w:rPr>
          <w:b/>
          <w:u w:val="single"/>
        </w:rPr>
        <w:t>Outcome</w:t>
      </w:r>
      <w:bookmarkStart w:id="0" w:name="_GoBack"/>
      <w:bookmarkEnd w:id="0"/>
    </w:p>
    <w:tbl>
      <w:tblPr>
        <w:tblW w:w="0" w:type="auto"/>
        <w:tblInd w:w="-72" w:type="dxa"/>
        <w:tblLook w:val="00A0" w:firstRow="1" w:lastRow="0" w:firstColumn="1" w:lastColumn="0" w:noHBand="0" w:noVBand="0"/>
      </w:tblPr>
      <w:tblGrid>
        <w:gridCol w:w="11088"/>
      </w:tblGrid>
      <w:tr w:rsidR="0064279D" w:rsidRPr="00DA0BAD" w:rsidTr="0064279D">
        <w:trPr>
          <w:trHeight w:val="226"/>
        </w:trPr>
        <w:tc>
          <w:tcPr>
            <w:tcW w:w="11340" w:type="dxa"/>
            <w:shd w:val="clear" w:color="auto" w:fill="auto"/>
          </w:tcPr>
          <w:p w:rsidR="006B01A7" w:rsidRDefault="006B01A7" w:rsidP="000E5AC3">
            <w:pPr>
              <w:autoSpaceDE w:val="0"/>
              <w:autoSpaceDN w:val="0"/>
              <w:adjustRightInd w:val="0"/>
              <w:spacing w:after="0" w:line="240" w:lineRule="auto"/>
            </w:pPr>
            <w:r>
              <w:t xml:space="preserve">Comparing ED utilization between the baseline measurement year and </w:t>
            </w:r>
            <w:proofErr w:type="spellStart"/>
            <w:r>
              <w:t>remeasurement</w:t>
            </w:r>
            <w:proofErr w:type="spellEnd"/>
            <w:r>
              <w:t xml:space="preserve"> year 1, the number of </w:t>
            </w:r>
            <w:r>
              <w:rPr>
                <w:i/>
              </w:rPr>
              <w:t xml:space="preserve">Tufts Health Unify </w:t>
            </w:r>
            <w:r>
              <w:t xml:space="preserve">members who utilized the ED decreased 2.5% and </w:t>
            </w:r>
            <w:r w:rsidRPr="000D5E12">
              <w:rPr>
                <w:b/>
                <w:i/>
                <w:u w:val="single"/>
              </w:rPr>
              <w:t>the number of ED visits decreased by 5.8%.</w:t>
            </w:r>
            <w:r>
              <w:t xml:space="preserve">  </w:t>
            </w:r>
          </w:p>
          <w:p w:rsidR="0064279D" w:rsidRDefault="0064279D" w:rsidP="000E5AC3">
            <w:pPr>
              <w:autoSpaceDE w:val="0"/>
              <w:autoSpaceDN w:val="0"/>
              <w:adjustRightInd w:val="0"/>
              <w:spacing w:after="0" w:line="240" w:lineRule="auto"/>
            </w:pPr>
          </w:p>
          <w:p w:rsidR="003F15FF" w:rsidRDefault="003F15FF" w:rsidP="000E5AC3">
            <w:pPr>
              <w:autoSpaceDE w:val="0"/>
              <w:autoSpaceDN w:val="0"/>
              <w:adjustRightInd w:val="0"/>
              <w:spacing w:after="0" w:line="240" w:lineRule="auto"/>
              <w:rPr>
                <w:b/>
                <w:u w:val="single"/>
              </w:rPr>
            </w:pPr>
            <w:r w:rsidRPr="003F15FF">
              <w:rPr>
                <w:b/>
                <w:u w:val="single"/>
              </w:rPr>
              <w:t>Conclusion</w:t>
            </w:r>
          </w:p>
          <w:p w:rsidR="00F935EF" w:rsidRDefault="00F935EF" w:rsidP="000E5AC3">
            <w:pPr>
              <w:autoSpaceDE w:val="0"/>
              <w:autoSpaceDN w:val="0"/>
              <w:adjustRightInd w:val="0"/>
              <w:spacing w:after="0" w:line="240" w:lineRule="auto"/>
            </w:pPr>
            <w:r>
              <w:t>Despite this outcome, more analysis is needed</w:t>
            </w:r>
            <w:r w:rsidR="00461713">
              <w:t xml:space="preserve"> to determine</w:t>
            </w:r>
            <w:r>
              <w:t xml:space="preserve"> if the interventions implemented had a </w:t>
            </w:r>
            <w:r w:rsidR="00461713">
              <w:t>causal impact on the reduction in ED utilization.</w:t>
            </w:r>
          </w:p>
          <w:p w:rsidR="003F15FF" w:rsidRDefault="003F15FF" w:rsidP="000E5AC3">
            <w:pPr>
              <w:autoSpaceDE w:val="0"/>
              <w:autoSpaceDN w:val="0"/>
              <w:adjustRightInd w:val="0"/>
              <w:spacing w:after="0" w:line="240" w:lineRule="auto"/>
            </w:pPr>
          </w:p>
          <w:p w:rsidR="005A2EDB" w:rsidRDefault="005A2EDB" w:rsidP="000E5AC3">
            <w:pPr>
              <w:autoSpaceDE w:val="0"/>
              <w:autoSpaceDN w:val="0"/>
              <w:adjustRightInd w:val="0"/>
              <w:spacing w:after="0" w:line="240" w:lineRule="auto"/>
              <w:rPr>
                <w:b/>
                <w:u w:val="single"/>
              </w:rPr>
            </w:pPr>
            <w:r w:rsidRPr="005A2EDB">
              <w:rPr>
                <w:b/>
                <w:u w:val="single"/>
              </w:rPr>
              <w:t>Future Improvement focus</w:t>
            </w:r>
          </w:p>
          <w:p w:rsidR="003F15FF" w:rsidRPr="00DA0BAD" w:rsidRDefault="00461713" w:rsidP="0019707B">
            <w:pPr>
              <w:autoSpaceDE w:val="0"/>
              <w:autoSpaceDN w:val="0"/>
              <w:adjustRightInd w:val="0"/>
              <w:spacing w:after="0" w:line="240" w:lineRule="auto"/>
            </w:pPr>
            <w:r>
              <w:t>Given ED utilization patterns observed through this QIP, THPP has identified an opportunity to narr</w:t>
            </w:r>
            <w:r w:rsidR="002E5081">
              <w:t xml:space="preserve">ow the population focus on </w:t>
            </w:r>
            <w:r>
              <w:t>memb</w:t>
            </w:r>
            <w:r w:rsidR="002E5081">
              <w:t xml:space="preserve">ers </w:t>
            </w:r>
            <w:r w:rsidR="0019707B">
              <w:t>with behavioral health needs</w:t>
            </w:r>
            <w:r w:rsidR="002E5081">
              <w:t>, primary care providers at</w:t>
            </w:r>
            <w:r>
              <w:t xml:space="preserve"> </w:t>
            </w:r>
            <w:r w:rsidR="0019707B">
              <w:t xml:space="preserve">community </w:t>
            </w:r>
            <w:r>
              <w:t>health center</w:t>
            </w:r>
            <w:r w:rsidR="002E5081">
              <w:t>s</w:t>
            </w:r>
            <w:r>
              <w:t>,</w:t>
            </w:r>
            <w:r w:rsidR="0019707B">
              <w:t xml:space="preserve"> and high volume ED facilities</w:t>
            </w:r>
            <w:r w:rsidR="002E5081">
              <w:t xml:space="preserve">. </w:t>
            </w:r>
            <w:r w:rsidR="004E5F51">
              <w:t xml:space="preserve">THPP </w:t>
            </w:r>
            <w:r w:rsidR="0019707B">
              <w:t>expects to</w:t>
            </w:r>
            <w:r w:rsidR="004E5F51">
              <w:t xml:space="preserve"> design a program that </w:t>
            </w:r>
            <w:r w:rsidR="00EC3D38">
              <w:t xml:space="preserve">will allow for </w:t>
            </w:r>
            <w:r w:rsidR="008E3EB1">
              <w:t xml:space="preserve">real-time notification of a </w:t>
            </w:r>
            <w:r>
              <w:t>m</w:t>
            </w:r>
            <w:r w:rsidR="008E3EB1">
              <w:t>ember’s ED visit and immediate connection</w:t>
            </w:r>
            <w:r w:rsidR="00EC3D38">
              <w:t xml:space="preserve"> with </w:t>
            </w:r>
            <w:r w:rsidR="008E3EB1">
              <w:t xml:space="preserve">the </w:t>
            </w:r>
            <w:r>
              <w:t>m</w:t>
            </w:r>
            <w:r w:rsidR="008E3EB1">
              <w:t>ember</w:t>
            </w:r>
            <w:r w:rsidR="004E5F51">
              <w:t xml:space="preserve"> to learn more about the reasons for</w:t>
            </w:r>
            <w:r w:rsidR="008E3EB1">
              <w:t xml:space="preserve"> the visit.  Interventions will be designed based on this real-time feedback and </w:t>
            </w:r>
            <w:r w:rsidR="0019707B">
              <w:t xml:space="preserve">member care </w:t>
            </w:r>
            <w:r w:rsidR="008E3EB1">
              <w:t>needs.</w:t>
            </w:r>
            <w:r w:rsidR="003F15FF">
              <w:t xml:space="preserve"> </w:t>
            </w:r>
          </w:p>
        </w:tc>
      </w:tr>
      <w:tr w:rsidR="0064279D" w:rsidRPr="00372488" w:rsidTr="0064279D">
        <w:trPr>
          <w:trHeight w:val="1205"/>
        </w:trPr>
        <w:tc>
          <w:tcPr>
            <w:tcW w:w="11340" w:type="dxa"/>
            <w:shd w:val="clear" w:color="auto" w:fill="auto"/>
          </w:tcPr>
          <w:p w:rsidR="0064279D" w:rsidRDefault="0064279D" w:rsidP="00B04FB3">
            <w:pPr>
              <w:spacing w:after="0" w:line="240" w:lineRule="auto"/>
              <w:outlineLvl w:val="0"/>
              <w:rPr>
                <w:rFonts w:eastAsia="Times New Roman" w:cs="Arial"/>
              </w:rPr>
            </w:pPr>
          </w:p>
          <w:p w:rsidR="0064279D" w:rsidRPr="00372488" w:rsidRDefault="0064279D" w:rsidP="00B04FB3">
            <w:pPr>
              <w:spacing w:after="0" w:line="240" w:lineRule="auto"/>
              <w:outlineLvl w:val="0"/>
              <w:rPr>
                <w:rFonts w:eastAsia="Times New Roman" w:cs="Arial"/>
              </w:rPr>
            </w:pPr>
          </w:p>
        </w:tc>
      </w:tr>
    </w:tbl>
    <w:p w:rsidR="0064279D" w:rsidRPr="0064279D" w:rsidRDefault="0064279D">
      <w:pPr>
        <w:rPr>
          <w:b/>
          <w:u w:val="single"/>
        </w:rPr>
      </w:pPr>
    </w:p>
    <w:sectPr w:rsidR="0064279D" w:rsidRPr="0064279D" w:rsidSect="005A2EDB">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54" w:rsidRDefault="00E31354" w:rsidP="002877DA">
      <w:pPr>
        <w:spacing w:after="0" w:line="240" w:lineRule="auto"/>
      </w:pPr>
      <w:r>
        <w:separator/>
      </w:r>
    </w:p>
  </w:endnote>
  <w:endnote w:type="continuationSeparator" w:id="0">
    <w:p w:rsidR="00E31354" w:rsidRDefault="00E31354" w:rsidP="0028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154008"/>
      <w:docPartObj>
        <w:docPartGallery w:val="Page Numbers (Bottom of Page)"/>
        <w:docPartUnique/>
      </w:docPartObj>
    </w:sdtPr>
    <w:sdtEndPr>
      <w:rPr>
        <w:noProof/>
      </w:rPr>
    </w:sdtEndPr>
    <w:sdtContent>
      <w:p w:rsidR="00B57996" w:rsidRDefault="00B57996">
        <w:pPr>
          <w:pStyle w:val="Footer"/>
          <w:jc w:val="right"/>
        </w:pPr>
        <w:r>
          <w:fldChar w:fldCharType="begin"/>
        </w:r>
        <w:r>
          <w:instrText xml:space="preserve"> PAGE   \* MERGEFORMAT </w:instrText>
        </w:r>
        <w:r>
          <w:fldChar w:fldCharType="separate"/>
        </w:r>
        <w:r w:rsidR="008B540D">
          <w:rPr>
            <w:noProof/>
          </w:rPr>
          <w:t>1</w:t>
        </w:r>
        <w:r>
          <w:rPr>
            <w:noProof/>
          </w:rPr>
          <w:fldChar w:fldCharType="end"/>
        </w:r>
      </w:p>
    </w:sdtContent>
  </w:sdt>
  <w:p w:rsidR="00B57996" w:rsidRDefault="00B57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54" w:rsidRDefault="00E31354" w:rsidP="002877DA">
      <w:pPr>
        <w:spacing w:after="0" w:line="240" w:lineRule="auto"/>
      </w:pPr>
      <w:r>
        <w:separator/>
      </w:r>
    </w:p>
  </w:footnote>
  <w:footnote w:type="continuationSeparator" w:id="0">
    <w:p w:rsidR="00E31354" w:rsidRDefault="00E31354" w:rsidP="00287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B3" w:rsidRDefault="00B04FB3">
    <w:pPr>
      <w:pStyle w:val="Header"/>
    </w:pPr>
    <w:r>
      <w:rPr>
        <w:noProof/>
      </w:rPr>
      <w:drawing>
        <wp:inline distT="0" distB="0" distL="0" distR="0" wp14:anchorId="2615FB89" wp14:editId="345F6FA4">
          <wp:extent cx="68580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Corp-Office.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715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7E5E"/>
    <w:multiLevelType w:val="hybridMultilevel"/>
    <w:tmpl w:val="F85693E2"/>
    <w:lvl w:ilvl="0" w:tplc="84809CDE">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863D39"/>
    <w:multiLevelType w:val="hybridMultilevel"/>
    <w:tmpl w:val="F31AEAEA"/>
    <w:lvl w:ilvl="0" w:tplc="B3DA4566">
      <w:start w:val="1"/>
      <w:numFmt w:val="bullet"/>
      <w:lvlText w:val="•"/>
      <w:lvlJc w:val="left"/>
      <w:pPr>
        <w:tabs>
          <w:tab w:val="num" w:pos="360"/>
        </w:tabs>
        <w:ind w:left="360" w:hanging="360"/>
      </w:pPr>
      <w:rPr>
        <w:rFonts w:ascii="Arial" w:hAnsi="Arial" w:hint="default"/>
      </w:rPr>
    </w:lvl>
    <w:lvl w:ilvl="1" w:tplc="DC7640FA">
      <w:start w:val="2166"/>
      <w:numFmt w:val="bullet"/>
      <w:lvlText w:val="•"/>
      <w:lvlJc w:val="left"/>
      <w:pPr>
        <w:tabs>
          <w:tab w:val="num" w:pos="1080"/>
        </w:tabs>
        <w:ind w:left="1080" w:hanging="360"/>
      </w:pPr>
      <w:rPr>
        <w:rFonts w:ascii="Arial" w:hAnsi="Arial" w:hint="default"/>
      </w:rPr>
    </w:lvl>
    <w:lvl w:ilvl="2" w:tplc="46D268CA" w:tentative="1">
      <w:start w:val="1"/>
      <w:numFmt w:val="bullet"/>
      <w:lvlText w:val="•"/>
      <w:lvlJc w:val="left"/>
      <w:pPr>
        <w:tabs>
          <w:tab w:val="num" w:pos="1800"/>
        </w:tabs>
        <w:ind w:left="1800" w:hanging="360"/>
      </w:pPr>
      <w:rPr>
        <w:rFonts w:ascii="Arial" w:hAnsi="Arial" w:hint="default"/>
      </w:rPr>
    </w:lvl>
    <w:lvl w:ilvl="3" w:tplc="AC48BF2A" w:tentative="1">
      <w:start w:val="1"/>
      <w:numFmt w:val="bullet"/>
      <w:lvlText w:val="•"/>
      <w:lvlJc w:val="left"/>
      <w:pPr>
        <w:tabs>
          <w:tab w:val="num" w:pos="2520"/>
        </w:tabs>
        <w:ind w:left="2520" w:hanging="360"/>
      </w:pPr>
      <w:rPr>
        <w:rFonts w:ascii="Arial" w:hAnsi="Arial" w:hint="default"/>
      </w:rPr>
    </w:lvl>
    <w:lvl w:ilvl="4" w:tplc="2612E392" w:tentative="1">
      <w:start w:val="1"/>
      <w:numFmt w:val="bullet"/>
      <w:lvlText w:val="•"/>
      <w:lvlJc w:val="left"/>
      <w:pPr>
        <w:tabs>
          <w:tab w:val="num" w:pos="3240"/>
        </w:tabs>
        <w:ind w:left="3240" w:hanging="360"/>
      </w:pPr>
      <w:rPr>
        <w:rFonts w:ascii="Arial" w:hAnsi="Arial" w:hint="default"/>
      </w:rPr>
    </w:lvl>
    <w:lvl w:ilvl="5" w:tplc="EE725126" w:tentative="1">
      <w:start w:val="1"/>
      <w:numFmt w:val="bullet"/>
      <w:lvlText w:val="•"/>
      <w:lvlJc w:val="left"/>
      <w:pPr>
        <w:tabs>
          <w:tab w:val="num" w:pos="3960"/>
        </w:tabs>
        <w:ind w:left="3960" w:hanging="360"/>
      </w:pPr>
      <w:rPr>
        <w:rFonts w:ascii="Arial" w:hAnsi="Arial" w:hint="default"/>
      </w:rPr>
    </w:lvl>
    <w:lvl w:ilvl="6" w:tplc="9156192E" w:tentative="1">
      <w:start w:val="1"/>
      <w:numFmt w:val="bullet"/>
      <w:lvlText w:val="•"/>
      <w:lvlJc w:val="left"/>
      <w:pPr>
        <w:tabs>
          <w:tab w:val="num" w:pos="4680"/>
        </w:tabs>
        <w:ind w:left="4680" w:hanging="360"/>
      </w:pPr>
      <w:rPr>
        <w:rFonts w:ascii="Arial" w:hAnsi="Arial" w:hint="default"/>
      </w:rPr>
    </w:lvl>
    <w:lvl w:ilvl="7" w:tplc="76D2BF2E" w:tentative="1">
      <w:start w:val="1"/>
      <w:numFmt w:val="bullet"/>
      <w:lvlText w:val="•"/>
      <w:lvlJc w:val="left"/>
      <w:pPr>
        <w:tabs>
          <w:tab w:val="num" w:pos="5400"/>
        </w:tabs>
        <w:ind w:left="5400" w:hanging="360"/>
      </w:pPr>
      <w:rPr>
        <w:rFonts w:ascii="Arial" w:hAnsi="Arial" w:hint="default"/>
      </w:rPr>
    </w:lvl>
    <w:lvl w:ilvl="8" w:tplc="E91ED6EA" w:tentative="1">
      <w:start w:val="1"/>
      <w:numFmt w:val="bullet"/>
      <w:lvlText w:val="•"/>
      <w:lvlJc w:val="left"/>
      <w:pPr>
        <w:tabs>
          <w:tab w:val="num" w:pos="6120"/>
        </w:tabs>
        <w:ind w:left="6120" w:hanging="360"/>
      </w:pPr>
      <w:rPr>
        <w:rFonts w:ascii="Arial" w:hAnsi="Arial" w:hint="default"/>
      </w:rPr>
    </w:lvl>
  </w:abstractNum>
  <w:abstractNum w:abstractNumId="2">
    <w:nsid w:val="3B501ED8"/>
    <w:multiLevelType w:val="hybridMultilevel"/>
    <w:tmpl w:val="E548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9D"/>
    <w:rsid w:val="0006531D"/>
    <w:rsid w:val="000D5E12"/>
    <w:rsid w:val="000D69D7"/>
    <w:rsid w:val="000E5AC3"/>
    <w:rsid w:val="00163109"/>
    <w:rsid w:val="0019707B"/>
    <w:rsid w:val="001E4B54"/>
    <w:rsid w:val="002877DA"/>
    <w:rsid w:val="002E30E8"/>
    <w:rsid w:val="002E5081"/>
    <w:rsid w:val="00303B65"/>
    <w:rsid w:val="00355A2F"/>
    <w:rsid w:val="003A2307"/>
    <w:rsid w:val="003A2F14"/>
    <w:rsid w:val="003E3215"/>
    <w:rsid w:val="003F15FF"/>
    <w:rsid w:val="00461713"/>
    <w:rsid w:val="00493DDA"/>
    <w:rsid w:val="004C0883"/>
    <w:rsid w:val="004E5F51"/>
    <w:rsid w:val="00582B12"/>
    <w:rsid w:val="005A2EDB"/>
    <w:rsid w:val="005A52D6"/>
    <w:rsid w:val="005B71E0"/>
    <w:rsid w:val="005C53DE"/>
    <w:rsid w:val="00624C5D"/>
    <w:rsid w:val="0064279D"/>
    <w:rsid w:val="006B01A7"/>
    <w:rsid w:val="006B47DA"/>
    <w:rsid w:val="006C3F7F"/>
    <w:rsid w:val="006F17D3"/>
    <w:rsid w:val="00740066"/>
    <w:rsid w:val="008B540D"/>
    <w:rsid w:val="008C4349"/>
    <w:rsid w:val="008E2072"/>
    <w:rsid w:val="008E3EB1"/>
    <w:rsid w:val="008F6982"/>
    <w:rsid w:val="009A243F"/>
    <w:rsid w:val="00AD28D1"/>
    <w:rsid w:val="00B04FB3"/>
    <w:rsid w:val="00B55EC5"/>
    <w:rsid w:val="00B57996"/>
    <w:rsid w:val="00B92EB8"/>
    <w:rsid w:val="00B94A8D"/>
    <w:rsid w:val="00BC49E4"/>
    <w:rsid w:val="00BC5F69"/>
    <w:rsid w:val="00BD43D4"/>
    <w:rsid w:val="00C25158"/>
    <w:rsid w:val="00C3395B"/>
    <w:rsid w:val="00C46066"/>
    <w:rsid w:val="00C62080"/>
    <w:rsid w:val="00C620EA"/>
    <w:rsid w:val="00C913BC"/>
    <w:rsid w:val="00C9167B"/>
    <w:rsid w:val="00CA7BF7"/>
    <w:rsid w:val="00D07448"/>
    <w:rsid w:val="00D134FD"/>
    <w:rsid w:val="00D41E38"/>
    <w:rsid w:val="00D52A12"/>
    <w:rsid w:val="00D87B21"/>
    <w:rsid w:val="00DC4690"/>
    <w:rsid w:val="00DC6585"/>
    <w:rsid w:val="00E31354"/>
    <w:rsid w:val="00E74064"/>
    <w:rsid w:val="00EC3D38"/>
    <w:rsid w:val="00ED6592"/>
    <w:rsid w:val="00F935EF"/>
    <w:rsid w:val="00FC3F3F"/>
    <w:rsid w:val="00FD0927"/>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9D"/>
    <w:pPr>
      <w:ind w:left="720"/>
      <w:contextualSpacing/>
    </w:pPr>
  </w:style>
  <w:style w:type="paragraph" w:styleId="NormalWeb">
    <w:name w:val="Normal (Web)"/>
    <w:basedOn w:val="Normal"/>
    <w:uiPriority w:val="99"/>
    <w:unhideWhenUsed/>
    <w:rsid w:val="0064279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4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79D"/>
    <w:rPr>
      <w:rFonts w:ascii="Tahoma" w:hAnsi="Tahoma" w:cs="Tahoma"/>
      <w:sz w:val="16"/>
      <w:szCs w:val="16"/>
    </w:rPr>
  </w:style>
  <w:style w:type="paragraph" w:styleId="NoSpacing">
    <w:name w:val="No Spacing"/>
    <w:uiPriority w:val="1"/>
    <w:qFormat/>
    <w:rsid w:val="002877DA"/>
    <w:pPr>
      <w:spacing w:after="0" w:line="240" w:lineRule="auto"/>
    </w:pPr>
  </w:style>
  <w:style w:type="paragraph" w:styleId="Header">
    <w:name w:val="header"/>
    <w:basedOn w:val="Normal"/>
    <w:link w:val="HeaderChar"/>
    <w:uiPriority w:val="99"/>
    <w:unhideWhenUsed/>
    <w:rsid w:val="00287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DA"/>
  </w:style>
  <w:style w:type="paragraph" w:styleId="Footer">
    <w:name w:val="footer"/>
    <w:basedOn w:val="Normal"/>
    <w:link w:val="FooterChar"/>
    <w:uiPriority w:val="99"/>
    <w:unhideWhenUsed/>
    <w:rsid w:val="00287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DA"/>
  </w:style>
  <w:style w:type="character" w:styleId="CommentReference">
    <w:name w:val="annotation reference"/>
    <w:basedOn w:val="DefaultParagraphFont"/>
    <w:uiPriority w:val="99"/>
    <w:semiHidden/>
    <w:unhideWhenUsed/>
    <w:rsid w:val="008C4349"/>
    <w:rPr>
      <w:sz w:val="16"/>
      <w:szCs w:val="16"/>
    </w:rPr>
  </w:style>
  <w:style w:type="paragraph" w:styleId="CommentText">
    <w:name w:val="annotation text"/>
    <w:basedOn w:val="Normal"/>
    <w:link w:val="CommentTextChar"/>
    <w:uiPriority w:val="99"/>
    <w:semiHidden/>
    <w:unhideWhenUsed/>
    <w:rsid w:val="008C4349"/>
    <w:pPr>
      <w:spacing w:line="240" w:lineRule="auto"/>
    </w:pPr>
    <w:rPr>
      <w:sz w:val="20"/>
      <w:szCs w:val="20"/>
    </w:rPr>
  </w:style>
  <w:style w:type="character" w:customStyle="1" w:styleId="CommentTextChar">
    <w:name w:val="Comment Text Char"/>
    <w:basedOn w:val="DefaultParagraphFont"/>
    <w:link w:val="CommentText"/>
    <w:uiPriority w:val="99"/>
    <w:semiHidden/>
    <w:rsid w:val="008C4349"/>
    <w:rPr>
      <w:sz w:val="20"/>
      <w:szCs w:val="20"/>
    </w:rPr>
  </w:style>
  <w:style w:type="paragraph" w:styleId="CommentSubject">
    <w:name w:val="annotation subject"/>
    <w:basedOn w:val="CommentText"/>
    <w:next w:val="CommentText"/>
    <w:link w:val="CommentSubjectChar"/>
    <w:uiPriority w:val="99"/>
    <w:semiHidden/>
    <w:unhideWhenUsed/>
    <w:rsid w:val="008C4349"/>
    <w:rPr>
      <w:b/>
      <w:bCs/>
    </w:rPr>
  </w:style>
  <w:style w:type="character" w:customStyle="1" w:styleId="CommentSubjectChar">
    <w:name w:val="Comment Subject Char"/>
    <w:basedOn w:val="CommentTextChar"/>
    <w:link w:val="CommentSubject"/>
    <w:uiPriority w:val="99"/>
    <w:semiHidden/>
    <w:rsid w:val="008C4349"/>
    <w:rPr>
      <w:b/>
      <w:bCs/>
      <w:sz w:val="20"/>
      <w:szCs w:val="20"/>
    </w:rPr>
  </w:style>
  <w:style w:type="paragraph" w:styleId="Revision">
    <w:name w:val="Revision"/>
    <w:hidden/>
    <w:uiPriority w:val="99"/>
    <w:semiHidden/>
    <w:rsid w:val="00355A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9D"/>
    <w:pPr>
      <w:ind w:left="720"/>
      <w:contextualSpacing/>
    </w:pPr>
  </w:style>
  <w:style w:type="paragraph" w:styleId="NormalWeb">
    <w:name w:val="Normal (Web)"/>
    <w:basedOn w:val="Normal"/>
    <w:uiPriority w:val="99"/>
    <w:unhideWhenUsed/>
    <w:rsid w:val="0064279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4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79D"/>
    <w:rPr>
      <w:rFonts w:ascii="Tahoma" w:hAnsi="Tahoma" w:cs="Tahoma"/>
      <w:sz w:val="16"/>
      <w:szCs w:val="16"/>
    </w:rPr>
  </w:style>
  <w:style w:type="paragraph" w:styleId="NoSpacing">
    <w:name w:val="No Spacing"/>
    <w:uiPriority w:val="1"/>
    <w:qFormat/>
    <w:rsid w:val="002877DA"/>
    <w:pPr>
      <w:spacing w:after="0" w:line="240" w:lineRule="auto"/>
    </w:pPr>
  </w:style>
  <w:style w:type="paragraph" w:styleId="Header">
    <w:name w:val="header"/>
    <w:basedOn w:val="Normal"/>
    <w:link w:val="HeaderChar"/>
    <w:uiPriority w:val="99"/>
    <w:unhideWhenUsed/>
    <w:rsid w:val="00287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DA"/>
  </w:style>
  <w:style w:type="paragraph" w:styleId="Footer">
    <w:name w:val="footer"/>
    <w:basedOn w:val="Normal"/>
    <w:link w:val="FooterChar"/>
    <w:uiPriority w:val="99"/>
    <w:unhideWhenUsed/>
    <w:rsid w:val="00287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DA"/>
  </w:style>
  <w:style w:type="character" w:styleId="CommentReference">
    <w:name w:val="annotation reference"/>
    <w:basedOn w:val="DefaultParagraphFont"/>
    <w:uiPriority w:val="99"/>
    <w:semiHidden/>
    <w:unhideWhenUsed/>
    <w:rsid w:val="008C4349"/>
    <w:rPr>
      <w:sz w:val="16"/>
      <w:szCs w:val="16"/>
    </w:rPr>
  </w:style>
  <w:style w:type="paragraph" w:styleId="CommentText">
    <w:name w:val="annotation text"/>
    <w:basedOn w:val="Normal"/>
    <w:link w:val="CommentTextChar"/>
    <w:uiPriority w:val="99"/>
    <w:semiHidden/>
    <w:unhideWhenUsed/>
    <w:rsid w:val="008C4349"/>
    <w:pPr>
      <w:spacing w:line="240" w:lineRule="auto"/>
    </w:pPr>
    <w:rPr>
      <w:sz w:val="20"/>
      <w:szCs w:val="20"/>
    </w:rPr>
  </w:style>
  <w:style w:type="character" w:customStyle="1" w:styleId="CommentTextChar">
    <w:name w:val="Comment Text Char"/>
    <w:basedOn w:val="DefaultParagraphFont"/>
    <w:link w:val="CommentText"/>
    <w:uiPriority w:val="99"/>
    <w:semiHidden/>
    <w:rsid w:val="008C4349"/>
    <w:rPr>
      <w:sz w:val="20"/>
      <w:szCs w:val="20"/>
    </w:rPr>
  </w:style>
  <w:style w:type="paragraph" w:styleId="CommentSubject">
    <w:name w:val="annotation subject"/>
    <w:basedOn w:val="CommentText"/>
    <w:next w:val="CommentText"/>
    <w:link w:val="CommentSubjectChar"/>
    <w:uiPriority w:val="99"/>
    <w:semiHidden/>
    <w:unhideWhenUsed/>
    <w:rsid w:val="008C4349"/>
    <w:rPr>
      <w:b/>
      <w:bCs/>
    </w:rPr>
  </w:style>
  <w:style w:type="character" w:customStyle="1" w:styleId="CommentSubjectChar">
    <w:name w:val="Comment Subject Char"/>
    <w:basedOn w:val="CommentTextChar"/>
    <w:link w:val="CommentSubject"/>
    <w:uiPriority w:val="99"/>
    <w:semiHidden/>
    <w:rsid w:val="008C4349"/>
    <w:rPr>
      <w:b/>
      <w:bCs/>
      <w:sz w:val="20"/>
      <w:szCs w:val="20"/>
    </w:rPr>
  </w:style>
  <w:style w:type="paragraph" w:styleId="Revision">
    <w:name w:val="Revision"/>
    <w:hidden/>
    <w:uiPriority w:val="99"/>
    <w:semiHidden/>
    <w:rsid w:val="00355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chart" Target="charts/chart3.xml"/>
  <Relationship Id="rId11" Type="http://schemas.openxmlformats.org/officeDocument/2006/relationships/chart" Target="charts/chart4.xml"/>
  <Relationship Id="rId12" Type="http://schemas.openxmlformats.org/officeDocument/2006/relationships/chart" Target="charts/chart5.xml"/>
  <Relationship Id="rId13" Type="http://schemas.openxmlformats.org/officeDocument/2006/relationships/chart" Target="charts/chart6.xm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hart" Target="charts/chart1.xml"/>
  <Relationship Id="rId9" Type="http://schemas.openxmlformats.org/officeDocument/2006/relationships/chart" Target="charts/chart2.xml"/>
</Relationships>

</file>

<file path=word/_rels/header1.xml.rels><?xml version="1.0" encoding="UTF-8"?>

<Relationships xmlns="http://schemas.openxmlformats.org/package/2006/relationships">
  <Relationship Id="rId1" Type="http://schemas.openxmlformats.org/officeDocument/2006/relationships/image" Target="media/image1.jp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oleObject" Target="../embeddings/oleObject1.bin"/>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Rating</a:t>
            </a:r>
            <a:r>
              <a:rPr lang="en-US" sz="1200" baseline="0"/>
              <a:t> Category Among ED Utilizers</a:t>
            </a:r>
          </a:p>
          <a:p>
            <a:pPr>
              <a:defRPr/>
            </a:pPr>
            <a:r>
              <a:rPr lang="en-US" sz="1200" baseline="0"/>
              <a:t>7/1/2014 - 6/30/2015 (n=442)</a:t>
            </a:r>
            <a:endParaRPr lang="en-US" sz="1200"/>
          </a:p>
        </c:rich>
      </c:tx>
      <c:overlay val="0"/>
    </c:title>
    <c:autoTitleDeleted val="0"/>
    <c:plotArea>
      <c:layout/>
      <c:pieChart>
        <c:varyColors val="1"/>
        <c:ser>
          <c:idx val="0"/>
          <c:order val="0"/>
          <c:tx>
            <c:strRef>
              <c:f>Summary!$C$34</c:f>
              <c:strCache>
                <c:ptCount val="1"/>
              </c:strCache>
            </c:strRef>
          </c:tx>
          <c:dLbls>
            <c:numFmt formatCode="0.0%" sourceLinked="0"/>
            <c:showLegendKey val="0"/>
            <c:showVal val="0"/>
            <c:showCatName val="0"/>
            <c:showSerName val="0"/>
            <c:showPercent val="1"/>
            <c:showBubbleSize val="0"/>
            <c:showLeaderLines val="1"/>
          </c:dLbls>
          <c:cat>
            <c:strRef>
              <c:f>Summary!$B$36:$B$41</c:f>
              <c:strCache>
                <c:ptCount val="6"/>
                <c:pt idx="0">
                  <c:v>DC1</c:v>
                </c:pt>
                <c:pt idx="1">
                  <c:v>DC2A</c:v>
                </c:pt>
                <c:pt idx="2">
                  <c:v>DC2B</c:v>
                </c:pt>
                <c:pt idx="3">
                  <c:v>DC3A</c:v>
                </c:pt>
                <c:pt idx="4">
                  <c:v>DC3B </c:v>
                </c:pt>
                <c:pt idx="5">
                  <c:v>DF1 </c:v>
                </c:pt>
              </c:strCache>
            </c:strRef>
          </c:cat>
          <c:val>
            <c:numRef>
              <c:f>Summary!$D$36:$D$41</c:f>
              <c:numCache>
                <c:formatCode>General</c:formatCode>
                <c:ptCount val="6"/>
                <c:pt idx="0">
                  <c:v>116</c:v>
                </c:pt>
                <c:pt idx="1">
                  <c:v>215</c:v>
                </c:pt>
                <c:pt idx="2">
                  <c:v>55</c:v>
                </c:pt>
                <c:pt idx="3">
                  <c:v>53</c:v>
                </c:pt>
                <c:pt idx="4">
                  <c:v>1</c:v>
                </c:pt>
                <c:pt idx="5">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Rating Category</a:t>
            </a:r>
            <a:r>
              <a:rPr lang="en-US" sz="1200" baseline="0"/>
              <a:t> Among ED Utilizers</a:t>
            </a:r>
          </a:p>
          <a:p>
            <a:pPr>
              <a:defRPr/>
            </a:pPr>
            <a:r>
              <a:rPr lang="en-US" sz="1200" baseline="0"/>
              <a:t>7/1/2015 - 6/30/2016 (n=431)</a:t>
            </a:r>
            <a:endParaRPr lang="en-US" sz="1200"/>
          </a:p>
        </c:rich>
      </c:tx>
      <c:overlay val="0"/>
    </c:title>
    <c:autoTitleDeleted val="0"/>
    <c:plotArea>
      <c:layout/>
      <c:pieChart>
        <c:varyColors val="1"/>
        <c:ser>
          <c:idx val="0"/>
          <c:order val="0"/>
          <c:tx>
            <c:strRef>
              <c:f>Summary!$I$34</c:f>
              <c:strCache>
                <c:ptCount val="1"/>
              </c:strCache>
            </c:strRef>
          </c:tx>
          <c:dLbls>
            <c:numFmt formatCode="0.0%" sourceLinked="0"/>
            <c:showLegendKey val="0"/>
            <c:showVal val="0"/>
            <c:showCatName val="0"/>
            <c:showSerName val="0"/>
            <c:showPercent val="1"/>
            <c:showBubbleSize val="0"/>
            <c:showLeaderLines val="1"/>
          </c:dLbls>
          <c:cat>
            <c:strRef>
              <c:f>Summary!$H$36:$H$41</c:f>
              <c:strCache>
                <c:ptCount val="6"/>
                <c:pt idx="0">
                  <c:v>DC1 </c:v>
                </c:pt>
                <c:pt idx="1">
                  <c:v>DC2A </c:v>
                </c:pt>
                <c:pt idx="2">
                  <c:v>DC2B</c:v>
                </c:pt>
                <c:pt idx="3">
                  <c:v>DC3A</c:v>
                </c:pt>
                <c:pt idx="4">
                  <c:v>DC3B</c:v>
                </c:pt>
                <c:pt idx="5">
                  <c:v>DF1 </c:v>
                </c:pt>
              </c:strCache>
            </c:strRef>
          </c:cat>
          <c:val>
            <c:numRef>
              <c:f>Summary!$J$36:$J$41</c:f>
              <c:numCache>
                <c:formatCode>General</c:formatCode>
                <c:ptCount val="6"/>
                <c:pt idx="0">
                  <c:v>107</c:v>
                </c:pt>
                <c:pt idx="1">
                  <c:v>211</c:v>
                </c:pt>
                <c:pt idx="2">
                  <c:v>55</c:v>
                </c:pt>
                <c:pt idx="3">
                  <c:v>55</c:v>
                </c:pt>
                <c:pt idx="4">
                  <c:v>1</c:v>
                </c:pt>
                <c:pt idx="5">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t>
            </a:r>
            <a:r>
              <a:rPr lang="en-US" baseline="0"/>
              <a:t> of Continuously Enrolled ED Utilizers With and Without LTSS</a:t>
            </a:r>
            <a:endParaRPr lang="en-US"/>
          </a:p>
        </c:rich>
      </c:tx>
      <c:overlay val="0"/>
    </c:title>
    <c:autoTitleDeleted val="0"/>
    <c:plotArea>
      <c:layout/>
      <c:barChart>
        <c:barDir val="col"/>
        <c:grouping val="clustered"/>
        <c:varyColors val="0"/>
        <c:ser>
          <c:idx val="0"/>
          <c:order val="0"/>
          <c:tx>
            <c:strRef>
              <c:f>Sheet1!$A$2</c:f>
              <c:strCache>
                <c:ptCount val="1"/>
                <c:pt idx="0">
                  <c:v>Had LTSS in Place</c:v>
                </c:pt>
              </c:strCache>
            </c:strRef>
          </c:tx>
          <c:invertIfNegative val="0"/>
          <c:dLbls>
            <c:showLegendKey val="0"/>
            <c:showVal val="1"/>
            <c:showCatName val="0"/>
            <c:showSerName val="0"/>
            <c:showPercent val="0"/>
            <c:showBubbleSize val="0"/>
            <c:showLeaderLines val="0"/>
          </c:dLbls>
          <c:cat>
            <c:strRef>
              <c:f>Sheet1!$B$1:$C$1</c:f>
              <c:strCache>
                <c:ptCount val="2"/>
                <c:pt idx="0">
                  <c:v>7/1/2014-6/30/2015 (n=442)</c:v>
                </c:pt>
                <c:pt idx="1">
                  <c:v>7/1/2015-6/30/2016 (n=431)</c:v>
                </c:pt>
              </c:strCache>
            </c:strRef>
          </c:cat>
          <c:val>
            <c:numRef>
              <c:f>Sheet1!$B$2:$C$2</c:f>
              <c:numCache>
                <c:formatCode>0.0%</c:formatCode>
                <c:ptCount val="2"/>
                <c:pt idx="0">
                  <c:v>0.29399999999999998</c:v>
                </c:pt>
                <c:pt idx="1">
                  <c:v>0.33100000000000002</c:v>
                </c:pt>
              </c:numCache>
            </c:numRef>
          </c:val>
        </c:ser>
        <c:ser>
          <c:idx val="1"/>
          <c:order val="1"/>
          <c:tx>
            <c:strRef>
              <c:f>Sheet1!$A$3</c:f>
              <c:strCache>
                <c:ptCount val="1"/>
                <c:pt idx="0">
                  <c:v>Did not have LTSS in Place</c:v>
                </c:pt>
              </c:strCache>
            </c:strRef>
          </c:tx>
          <c:invertIfNegative val="0"/>
          <c:dLbls>
            <c:showLegendKey val="0"/>
            <c:showVal val="1"/>
            <c:showCatName val="0"/>
            <c:showSerName val="0"/>
            <c:showPercent val="0"/>
            <c:showBubbleSize val="0"/>
            <c:showLeaderLines val="0"/>
          </c:dLbls>
          <c:cat>
            <c:strRef>
              <c:f>Sheet1!$B$1:$C$1</c:f>
              <c:strCache>
                <c:ptCount val="2"/>
                <c:pt idx="0">
                  <c:v>7/1/2014-6/30/2015 (n=442)</c:v>
                </c:pt>
                <c:pt idx="1">
                  <c:v>7/1/2015-6/30/2016 (n=431)</c:v>
                </c:pt>
              </c:strCache>
            </c:strRef>
          </c:cat>
          <c:val>
            <c:numRef>
              <c:f>Sheet1!$B$3:$C$3</c:f>
              <c:numCache>
                <c:formatCode>0.0%</c:formatCode>
                <c:ptCount val="2"/>
                <c:pt idx="0">
                  <c:v>0.70599999999999996</c:v>
                </c:pt>
                <c:pt idx="1">
                  <c:v>0.66900000000000004</c:v>
                </c:pt>
              </c:numCache>
            </c:numRef>
          </c:val>
        </c:ser>
        <c:dLbls>
          <c:showLegendKey val="0"/>
          <c:showVal val="0"/>
          <c:showCatName val="0"/>
          <c:showSerName val="0"/>
          <c:showPercent val="0"/>
          <c:showBubbleSize val="0"/>
        </c:dLbls>
        <c:gapWidth val="150"/>
        <c:axId val="154701824"/>
        <c:axId val="154703360"/>
      </c:barChart>
      <c:catAx>
        <c:axId val="154701824"/>
        <c:scaling>
          <c:orientation val="minMax"/>
        </c:scaling>
        <c:delete val="0"/>
        <c:axPos val="b"/>
        <c:majorTickMark val="out"/>
        <c:minorTickMark val="none"/>
        <c:tickLblPos val="nextTo"/>
        <c:crossAx val="154703360"/>
        <c:crosses val="autoZero"/>
        <c:auto val="1"/>
        <c:lblAlgn val="ctr"/>
        <c:lblOffset val="100"/>
        <c:noMultiLvlLbl val="0"/>
      </c:catAx>
      <c:valAx>
        <c:axId val="154703360"/>
        <c:scaling>
          <c:orientation val="minMax"/>
        </c:scaling>
        <c:delete val="0"/>
        <c:axPos val="l"/>
        <c:majorGridlines/>
        <c:numFmt formatCode="0.0%" sourceLinked="1"/>
        <c:majorTickMark val="out"/>
        <c:minorTickMark val="none"/>
        <c:tickLblPos val="nextTo"/>
        <c:crossAx val="154701824"/>
        <c:crosses val="autoZero"/>
        <c:crossBetween val="between"/>
      </c:valAx>
    </c:plotArea>
    <c:legend>
      <c:legendPos val="b"/>
      <c:layout>
        <c:manualLayout>
          <c:xMode val="edge"/>
          <c:yMode val="edge"/>
          <c:x val="0.23388586445596807"/>
          <c:y val="0.84933435403907842"/>
          <c:w val="0.54134205642620636"/>
          <c:h val="0.10858056582194155"/>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2000"/>
            </a:pPr>
            <a:r>
              <a:rPr lang="en-US" sz="1200" dirty="0"/>
              <a:t>Primary</a:t>
            </a:r>
            <a:r>
              <a:rPr lang="en-US" sz="1200" baseline="0" dirty="0"/>
              <a:t> Care Provider </a:t>
            </a:r>
            <a:r>
              <a:rPr lang="en-US" sz="1200" dirty="0"/>
              <a:t>of Members With 4+ ED Visits Between 7/1/2015 and 6/30/2016</a:t>
            </a:r>
          </a:p>
        </c:rich>
      </c:tx>
      <c:overlay val="0"/>
    </c:title>
    <c:autoTitleDeleted val="0"/>
    <c:plotArea>
      <c:layout/>
      <c:pieChart>
        <c:varyColors val="1"/>
        <c:ser>
          <c:idx val="0"/>
          <c:order val="0"/>
          <c:dLbls>
            <c:txPr>
              <a:bodyPr/>
              <a:lstStyle/>
              <a:p>
                <a:pPr>
                  <a:defRPr sz="1000"/>
                </a:pPr>
                <a:endParaRPr lang="en-US"/>
              </a:p>
            </c:txPr>
            <c:showLegendKey val="0"/>
            <c:showVal val="1"/>
            <c:showCatName val="0"/>
            <c:showSerName val="0"/>
            <c:showPercent val="0"/>
            <c:showBubbleSize val="0"/>
            <c:showLeaderLines val="1"/>
          </c:dLbls>
          <c:cat>
            <c:strRef>
              <c:f>Sheet3!$B$68:$B$69</c:f>
              <c:strCache>
                <c:ptCount val="2"/>
                <c:pt idx="0">
                  <c:v>Community Health Centers</c:v>
                </c:pt>
                <c:pt idx="1">
                  <c:v>Non-Community Health Centers</c:v>
                </c:pt>
              </c:strCache>
            </c:strRef>
          </c:cat>
          <c:val>
            <c:numRef>
              <c:f>Sheet3!$C$68:$C$69</c:f>
              <c:numCache>
                <c:formatCode>0.0%</c:formatCode>
                <c:ptCount val="2"/>
                <c:pt idx="0">
                  <c:v>0.66253869969040247</c:v>
                </c:pt>
                <c:pt idx="1">
                  <c:v>0.33746130030959753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668197725284339"/>
          <c:y val="0.38608799939372018"/>
          <c:w val="0.31479950422863806"/>
          <c:h val="0.48501569319814802"/>
        </c:manualLayout>
      </c:layout>
      <c:overlay val="0"/>
      <c:txPr>
        <a:bodyPr/>
        <a:lstStyle/>
        <a:p>
          <a:pPr>
            <a:defRPr sz="10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baseline="0"/>
              <a:t>Location of ED Utilization Among Members Who Utilized the ED 4+ Times Between 7/1/2015 and 6/30/2016</a:t>
            </a:r>
            <a:endParaRPr lang="en-US" sz="1000"/>
          </a:p>
        </c:rich>
      </c:tx>
      <c:overlay val="0"/>
    </c:title>
    <c:autoTitleDeleted val="0"/>
    <c:plotArea>
      <c:layout/>
      <c:pieChart>
        <c:varyColors val="1"/>
        <c:ser>
          <c:idx val="0"/>
          <c:order val="0"/>
          <c:dLbls>
            <c:showLegendKey val="0"/>
            <c:showVal val="1"/>
            <c:showCatName val="0"/>
            <c:showSerName val="0"/>
            <c:showPercent val="0"/>
            <c:showBubbleSize val="0"/>
            <c:showLeaderLines val="1"/>
          </c:dLbls>
          <c:cat>
            <c:strRef>
              <c:f>Sheet1!$A$2:$A$6</c:f>
              <c:strCache>
                <c:ptCount val="5"/>
                <c:pt idx="0">
                  <c:v>Boston Medical Center</c:v>
                </c:pt>
                <c:pt idx="1">
                  <c:v>UMass Memorial Medical Center</c:v>
                </c:pt>
                <c:pt idx="2">
                  <c:v>Saint Vincent Hospital</c:v>
                </c:pt>
                <c:pt idx="3">
                  <c:v>Tufts Medical Center</c:v>
                </c:pt>
                <c:pt idx="4">
                  <c:v>Other</c:v>
                </c:pt>
              </c:strCache>
            </c:strRef>
          </c:cat>
          <c:val>
            <c:numRef>
              <c:f>Sheet1!$B$2:$B$6</c:f>
              <c:numCache>
                <c:formatCode>0.0%</c:formatCode>
                <c:ptCount val="5"/>
                <c:pt idx="0">
                  <c:v>0.23200000000000001</c:v>
                </c:pt>
                <c:pt idx="1">
                  <c:v>0.159</c:v>
                </c:pt>
                <c:pt idx="2">
                  <c:v>9.9000000000000005E-2</c:v>
                </c:pt>
                <c:pt idx="3">
                  <c:v>8.1000000000000003E-2</c:v>
                </c:pt>
                <c:pt idx="4">
                  <c:v>0.42899999999999999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0525299081135586"/>
          <c:y val="0.30362417094128796"/>
          <c:w val="0.39071771572701258"/>
          <c:h val="0.6937044630313327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b="1" i="0" u="none" strike="noStrike" baseline="0">
                <a:effectLst/>
              </a:rPr>
              <a:t>Respondent Recall of THPP Interventions and Perceived Usefulness</a:t>
            </a:r>
            <a:endParaRPr lang="en-US" sz="1600"/>
          </a:p>
        </c:rich>
      </c:tx>
      <c:layout>
        <c:manualLayout>
          <c:xMode val="edge"/>
          <c:yMode val="edge"/>
          <c:x val="9.6776064736289205E-2"/>
          <c:y val="0"/>
        </c:manualLayout>
      </c:layout>
      <c:overlay val="0"/>
    </c:title>
    <c:autoTitleDeleted val="0"/>
    <c:plotArea>
      <c:layout/>
      <c:barChart>
        <c:barDir val="col"/>
        <c:grouping val="clustered"/>
        <c:varyColors val="0"/>
        <c:ser>
          <c:idx val="0"/>
          <c:order val="0"/>
          <c:tx>
            <c:strRef>
              <c:f>Sheet1!$B$1</c:f>
              <c:strCache>
                <c:ptCount val="1"/>
                <c:pt idx="0">
                  <c:v>% of Respondents Who Recall Intervention </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txPr>
              <a:bodyPr rot="-5400000" vert="horz"/>
              <a:lstStyle/>
              <a:p>
                <a:pPr>
                  <a:defRPr sz="1000"/>
                </a:pPr>
                <a:endParaRPr lang="en-US"/>
              </a:p>
            </c:txPr>
            <c:showLegendKey val="0"/>
            <c:showVal val="0"/>
            <c:showCatName val="0"/>
            <c:showSerName val="0"/>
            <c:showPercent val="0"/>
            <c:showBubbleSize val="0"/>
          </c:dLbls>
          <c:cat>
            <c:strRef>
              <c:f>Sheet1!$A$2:$A$4</c:f>
              <c:strCache>
                <c:ptCount val="3"/>
                <c:pt idx="0">
                  <c:v>Welcome Call Packet (n=32)</c:v>
                </c:pt>
                <c:pt idx="1">
                  <c:v>Info on THPP's After Hours RN Availability (n=31)</c:v>
                </c:pt>
                <c:pt idx="2">
                  <c:v>Info from THPP CM on other care options (n=32)</c:v>
                </c:pt>
              </c:strCache>
            </c:strRef>
          </c:cat>
          <c:val>
            <c:numRef>
              <c:f>Sheet1!$B$2:$B$4</c:f>
              <c:numCache>
                <c:formatCode>0.0%</c:formatCode>
                <c:ptCount val="3"/>
                <c:pt idx="0">
                  <c:v>0.625</c:v>
                </c:pt>
                <c:pt idx="1">
                  <c:v>0.32300000000000001</c:v>
                </c:pt>
                <c:pt idx="2">
                  <c:v>0.34399999999999997</c:v>
                </c:pt>
              </c:numCache>
            </c:numRef>
          </c:val>
        </c:ser>
        <c:ser>
          <c:idx val="1"/>
          <c:order val="1"/>
          <c:tx>
            <c:strRef>
              <c:f>Sheet1!$C$1</c:f>
              <c:strCache>
                <c:ptCount val="1"/>
                <c:pt idx="0">
                  <c:v>% of Respondents Who Found Information Helpful (out of those who recall intervention)</c:v>
                </c:pt>
              </c:strCache>
            </c:strRef>
          </c:tx>
          <c:invertIfNegative val="0"/>
          <c:dLbls>
            <c:txPr>
              <a:bodyPr rot="-5400000" vert="horz"/>
              <a:lstStyle/>
              <a:p>
                <a:pPr>
                  <a:defRPr sz="1000"/>
                </a:pPr>
                <a:endParaRPr lang="en-US"/>
              </a:p>
            </c:txPr>
            <c:showLegendKey val="0"/>
            <c:showVal val="1"/>
            <c:showCatName val="0"/>
            <c:showSerName val="0"/>
            <c:showPercent val="0"/>
            <c:showBubbleSize val="0"/>
            <c:showLeaderLines val="0"/>
          </c:dLbls>
          <c:cat>
            <c:strRef>
              <c:f>Sheet1!$A$2:$A$4</c:f>
              <c:strCache>
                <c:ptCount val="3"/>
                <c:pt idx="0">
                  <c:v>Welcome Call Packet (n=32)</c:v>
                </c:pt>
                <c:pt idx="1">
                  <c:v>Info on THPP's After Hours RN Availability (n=31)</c:v>
                </c:pt>
                <c:pt idx="2">
                  <c:v>Info from THPP CM on other care options (n=32)</c:v>
                </c:pt>
              </c:strCache>
            </c:strRef>
          </c:cat>
          <c:val>
            <c:numRef>
              <c:f>Sheet1!$C$2:$C$4</c:f>
              <c:numCache>
                <c:formatCode>0.0%</c:formatCode>
                <c:ptCount val="3"/>
                <c:pt idx="0">
                  <c:v>0.76500000000000001</c:v>
                </c:pt>
                <c:pt idx="1">
                  <c:v>0.83899999999999997</c:v>
                </c:pt>
                <c:pt idx="2">
                  <c:v>0.63600000000000001</c:v>
                </c:pt>
              </c:numCache>
            </c:numRef>
          </c:val>
        </c:ser>
        <c:ser>
          <c:idx val="2"/>
          <c:order val="2"/>
          <c:tx>
            <c:strRef>
              <c:f>Sheet1!$D$1</c:f>
              <c:strCache>
                <c:ptCount val="1"/>
                <c:pt idx="0">
                  <c:v>Column1</c:v>
                </c:pt>
              </c:strCache>
            </c:strRef>
          </c:tx>
          <c:invertIfNegative val="0"/>
          <c:cat>
            <c:strRef>
              <c:f>Sheet1!$A$2:$A$4</c:f>
              <c:strCache>
                <c:ptCount val="3"/>
                <c:pt idx="0">
                  <c:v>Welcome Call Packet (n=32)</c:v>
                </c:pt>
                <c:pt idx="1">
                  <c:v>Info on THPP's After Hours RN Availability (n=31)</c:v>
                </c:pt>
                <c:pt idx="2">
                  <c:v>Info from THPP CM on other care options (n=32)</c:v>
                </c:pt>
              </c:strCache>
            </c:strRef>
          </c:cat>
          <c:val>
            <c:numRef>
              <c:f>Sheet1!$D$2:$D$4</c:f>
              <c:numCache>
                <c:formatCode>General</c:formatCode>
                <c:ptCount val="3"/>
              </c:numCache>
            </c:numRef>
          </c:val>
        </c:ser>
        <c:ser>
          <c:idx val="3"/>
          <c:order val="3"/>
          <c:tx>
            <c:strRef>
              <c:f>Sheet1!$E$1</c:f>
              <c:strCache>
                <c:ptCount val="1"/>
                <c:pt idx="0">
                  <c:v>% of Respondents Who Do Not Recall Intervention</c:v>
                </c:pt>
              </c:strCache>
            </c:strRef>
          </c:tx>
          <c:invertIfNegative val="0"/>
          <c:dLbls>
            <c:txPr>
              <a:bodyPr rot="-5400000" vert="horz"/>
              <a:lstStyle/>
              <a:p>
                <a:pPr>
                  <a:defRPr sz="1000"/>
                </a:pPr>
                <a:endParaRPr lang="en-US"/>
              </a:p>
            </c:txPr>
            <c:showLegendKey val="0"/>
            <c:showVal val="1"/>
            <c:showCatName val="0"/>
            <c:showSerName val="0"/>
            <c:showPercent val="0"/>
            <c:showBubbleSize val="0"/>
            <c:showLeaderLines val="0"/>
          </c:dLbls>
          <c:cat>
            <c:strRef>
              <c:f>Sheet1!$A$2:$A$4</c:f>
              <c:strCache>
                <c:ptCount val="3"/>
                <c:pt idx="0">
                  <c:v>Welcome Call Packet (n=32)</c:v>
                </c:pt>
                <c:pt idx="1">
                  <c:v>Info on THPP's After Hours RN Availability (n=31)</c:v>
                </c:pt>
                <c:pt idx="2">
                  <c:v>Info from THPP CM on other care options (n=32)</c:v>
                </c:pt>
              </c:strCache>
            </c:strRef>
          </c:cat>
          <c:val>
            <c:numRef>
              <c:f>Sheet1!$E$2:$E$4</c:f>
              <c:numCache>
                <c:formatCode>0.0%</c:formatCode>
                <c:ptCount val="3"/>
                <c:pt idx="0">
                  <c:v>0.375</c:v>
                </c:pt>
                <c:pt idx="1">
                  <c:v>0.67800000000000005</c:v>
                </c:pt>
                <c:pt idx="2">
                  <c:v>0.65600000000000003</c:v>
                </c:pt>
              </c:numCache>
            </c:numRef>
          </c:val>
        </c:ser>
        <c:ser>
          <c:idx val="4"/>
          <c:order val="4"/>
          <c:tx>
            <c:strRef>
              <c:f>Sheet1!$F$1</c:f>
              <c:strCache>
                <c:ptCount val="1"/>
                <c:pt idx="0">
                  <c:v>% of Respondents Who Would Not Have Been Influenced by Intervention (out of those who do not recall intervention)</c:v>
                </c:pt>
              </c:strCache>
            </c:strRef>
          </c:tx>
          <c:invertIfNegative val="0"/>
          <c:dLbls>
            <c:txPr>
              <a:bodyPr rot="-5400000" vert="horz"/>
              <a:lstStyle/>
              <a:p>
                <a:pPr>
                  <a:defRPr sz="1000"/>
                </a:pPr>
                <a:endParaRPr lang="en-US"/>
              </a:p>
            </c:txPr>
            <c:showLegendKey val="0"/>
            <c:showVal val="1"/>
            <c:showCatName val="0"/>
            <c:showSerName val="0"/>
            <c:showPercent val="0"/>
            <c:showBubbleSize val="0"/>
            <c:showLeaderLines val="0"/>
          </c:dLbls>
          <c:cat>
            <c:strRef>
              <c:f>Sheet1!$A$2:$A$4</c:f>
              <c:strCache>
                <c:ptCount val="3"/>
                <c:pt idx="0">
                  <c:v>Welcome Call Packet (n=32)</c:v>
                </c:pt>
                <c:pt idx="1">
                  <c:v>Info on THPP's After Hours RN Availability (n=31)</c:v>
                </c:pt>
                <c:pt idx="2">
                  <c:v>Info from THPP CM on other care options (n=32)</c:v>
                </c:pt>
              </c:strCache>
            </c:strRef>
          </c:cat>
          <c:val>
            <c:numRef>
              <c:f>Sheet1!$F$2:$F$4</c:f>
              <c:numCache>
                <c:formatCode>0.0%</c:formatCode>
                <c:ptCount val="3"/>
                <c:pt idx="0">
                  <c:v>0.83899999999999997</c:v>
                </c:pt>
                <c:pt idx="1">
                  <c:v>0.89500000000000002</c:v>
                </c:pt>
                <c:pt idx="2">
                  <c:v>0.85699999999999998</c:v>
                </c:pt>
              </c:numCache>
            </c:numRef>
          </c:val>
        </c:ser>
        <c:dLbls>
          <c:showLegendKey val="0"/>
          <c:showVal val="0"/>
          <c:showCatName val="0"/>
          <c:showSerName val="0"/>
          <c:showPercent val="0"/>
          <c:showBubbleSize val="0"/>
        </c:dLbls>
        <c:gapWidth val="150"/>
        <c:axId val="152760704"/>
        <c:axId val="152762240"/>
      </c:barChart>
      <c:catAx>
        <c:axId val="152760704"/>
        <c:scaling>
          <c:orientation val="minMax"/>
        </c:scaling>
        <c:delete val="0"/>
        <c:axPos val="b"/>
        <c:majorTickMark val="out"/>
        <c:minorTickMark val="none"/>
        <c:tickLblPos val="nextTo"/>
        <c:txPr>
          <a:bodyPr/>
          <a:lstStyle/>
          <a:p>
            <a:pPr>
              <a:defRPr sz="1000"/>
            </a:pPr>
            <a:endParaRPr lang="en-US"/>
          </a:p>
        </c:txPr>
        <c:crossAx val="152762240"/>
        <c:crosses val="autoZero"/>
        <c:auto val="1"/>
        <c:lblAlgn val="ctr"/>
        <c:lblOffset val="100"/>
        <c:noMultiLvlLbl val="0"/>
      </c:catAx>
      <c:valAx>
        <c:axId val="152762240"/>
        <c:scaling>
          <c:orientation val="minMax"/>
        </c:scaling>
        <c:delete val="0"/>
        <c:axPos val="l"/>
        <c:majorGridlines/>
        <c:numFmt formatCode="0.0%" sourceLinked="1"/>
        <c:majorTickMark val="out"/>
        <c:minorTickMark val="none"/>
        <c:tickLblPos val="nextTo"/>
        <c:txPr>
          <a:bodyPr/>
          <a:lstStyle/>
          <a:p>
            <a:pPr>
              <a:defRPr sz="1200"/>
            </a:pPr>
            <a:endParaRPr lang="en-US"/>
          </a:p>
        </c:txPr>
        <c:crossAx val="152760704"/>
        <c:crosses val="autoZero"/>
        <c:crossBetween val="between"/>
      </c:valAx>
    </c:plotArea>
    <c:legend>
      <c:legendPos val="r"/>
      <c:legendEntry>
        <c:idx val="2"/>
        <c:delete val="1"/>
      </c:legendEntry>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Tufts Health Plan</Company>
  <LinksUpToDate>false</LinksUpToDate>
  <CharactersWithSpaces>10066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2016-11-17T21:37:00Z</dcterms:created>
  <dc:creator>Joanna Kreil</dc:creator>
  <lastModifiedBy>Sherry Copeland</lastModifiedBy>
  <lastPrinted>2016-11-16T14:56:00Z</lastPrinted>
  <dcterms:modified xsi:type="dcterms:W3CDTF">2016-11-17T21:37:00Z</dcterms:modified>
  <revision>2</revision>
</coreProperties>
</file>