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772" w:rsidRPr="00123772" w:rsidRDefault="00123772" w:rsidP="00123772">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color w:val="auto"/>
          <w:bdr w:val="none" w:sz="0" w:space="0" w:color="auto"/>
        </w:rPr>
      </w:pPr>
      <w:bookmarkStart w:id="0" w:name="_GoBack"/>
      <w:bookmarkEnd w:id="0"/>
    </w:p>
    <w:p w:rsidR="00523FC0" w:rsidRDefault="00D62044">
      <w:pPr>
        <w:pStyle w:val="BodyText"/>
        <w:rPr>
          <w:rFonts w:ascii="Arial" w:eastAsia="Arial" w:hAnsi="Arial" w:cs="Arial"/>
          <w:sz w:val="24"/>
          <w:szCs w:val="24"/>
        </w:rPr>
      </w:pPr>
      <w:r w:rsidRPr="00D62044">
        <w:rPr>
          <w:rFonts w:asciiTheme="minorHAnsi" w:eastAsiaTheme="minorHAnsi" w:hAnsiTheme="minorHAnsi" w:cstheme="minorBidi"/>
          <w:noProof/>
          <w:color w:val="auto"/>
          <w:sz w:val="22"/>
          <w:szCs w:val="22"/>
          <w:bdr w:val="none" w:sz="0" w:space="0" w:color="auto"/>
        </w:rPr>
        <w:drawing>
          <wp:anchor distT="0" distB="0" distL="114300" distR="114300" simplePos="0" relativeHeight="251659264" behindDoc="1" locked="0" layoutInCell="1" allowOverlap="1" wp14:anchorId="1044D25A" wp14:editId="3B467B86">
            <wp:simplePos x="0" y="0"/>
            <wp:positionH relativeFrom="column">
              <wp:posOffset>-1040765</wp:posOffset>
            </wp:positionH>
            <wp:positionV relativeFrom="paragraph">
              <wp:posOffset>-558191</wp:posOffset>
            </wp:positionV>
            <wp:extent cx="7567930" cy="9702800"/>
            <wp:effectExtent l="514350" t="438150" r="775970" b="7937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7930" cy="9702800"/>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tabs>
          <w:tab w:val="left" w:pos="2913"/>
        </w:tabs>
        <w:spacing w:before="100" w:beforeAutospacing="1" w:after="480" w:line="276" w:lineRule="auto"/>
        <w:ind w:left="-1584"/>
        <w:rPr>
          <w:rFonts w:asciiTheme="minorHAnsi" w:eastAsiaTheme="minorHAnsi" w:hAnsiTheme="minorHAnsi" w:cstheme="minorBidi"/>
          <w:color w:val="auto"/>
          <w:sz w:val="22"/>
          <w:szCs w:val="22"/>
          <w:bdr w:val="none" w:sz="0" w:space="0" w:color="auto"/>
        </w:rPr>
      </w:pPr>
      <w:r w:rsidRPr="00D62044">
        <w:rPr>
          <w:rFonts w:asciiTheme="minorHAnsi" w:eastAsiaTheme="minorHAnsi" w:hAnsiTheme="minorHAnsi" w:cstheme="minorBidi"/>
          <w:color w:val="auto"/>
          <w:sz w:val="22"/>
          <w:szCs w:val="22"/>
          <w:bdr w:val="none" w:sz="0" w:space="0" w:color="auto"/>
        </w:rPr>
        <w:tab/>
      </w:r>
    </w:p>
    <w:p w:rsidR="00D62044" w:rsidRPr="00D62044" w:rsidRDefault="00421123"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r w:rsidRPr="00D62044">
        <w:rPr>
          <w:rFonts w:asciiTheme="minorHAnsi" w:eastAsiaTheme="minorHAnsi" w:hAnsiTheme="minorHAnsi" w:cstheme="minorBidi"/>
          <w:noProof/>
          <w:color w:val="auto"/>
          <w:sz w:val="22"/>
          <w:szCs w:val="22"/>
          <w:bdr w:val="none" w:sz="0" w:space="0" w:color="auto"/>
        </w:rPr>
        <mc:AlternateContent>
          <mc:Choice Requires="wps">
            <w:drawing>
              <wp:anchor distT="0" distB="0" distL="114300" distR="114300" simplePos="0" relativeHeight="251660288" behindDoc="0" locked="0" layoutInCell="1" allowOverlap="1" wp14:anchorId="7F2E74E3" wp14:editId="34471D0E">
                <wp:simplePos x="0" y="0"/>
                <wp:positionH relativeFrom="column">
                  <wp:posOffset>-104775</wp:posOffset>
                </wp:positionH>
                <wp:positionV relativeFrom="paragraph">
                  <wp:posOffset>133351</wp:posOffset>
                </wp:positionV>
                <wp:extent cx="5791200" cy="23050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305050"/>
                        </a:xfrm>
                        <a:prstGeom prst="rect">
                          <a:avLst/>
                        </a:prstGeom>
                        <a:solidFill>
                          <a:srgbClr val="FFFFFF"/>
                        </a:solidFill>
                        <a:ln w="9525">
                          <a:noFill/>
                          <a:miter lim="800000"/>
                          <a:headEnd/>
                          <a:tailEnd/>
                        </a:ln>
                      </wps:spPr>
                      <wps:txbx>
                        <w:txbxContent>
                          <w:p w:rsidR="00D62044" w:rsidRPr="00484EF5" w:rsidRDefault="00D62044" w:rsidP="00D62044">
                            <w:pPr>
                              <w:spacing w:line="800" w:lineRule="exact"/>
                              <w:jc w:val="center"/>
                              <w:rPr>
                                <w:rFonts w:ascii="Adobe garamo" w:hAnsi="Adobe garamo"/>
                                <w:b/>
                                <w:color w:val="244061" w:themeColor="accent1" w:themeShade="80"/>
                                <w:sz w:val="80"/>
                                <w:szCs w:val="80"/>
                              </w:rPr>
                            </w:pPr>
                          </w:p>
                          <w:p w:rsidR="00D62044" w:rsidRPr="00484EF5" w:rsidRDefault="00D62044" w:rsidP="00D62044">
                            <w:pPr>
                              <w:spacing w:line="800" w:lineRule="exact"/>
                              <w:jc w:val="center"/>
                              <w:rPr>
                                <w:rFonts w:ascii="Adobe garamo" w:hAnsi="Adobe garamo"/>
                                <w:b/>
                                <w:color w:val="244061" w:themeColor="accent1" w:themeShade="80"/>
                                <w:sz w:val="80"/>
                                <w:szCs w:val="80"/>
                              </w:rPr>
                            </w:pPr>
                            <w:r w:rsidRPr="00484EF5">
                              <w:rPr>
                                <w:rFonts w:ascii="Adobe garamo" w:hAnsi="Adobe garamo"/>
                                <w:b/>
                                <w:color w:val="244061" w:themeColor="accent1" w:themeShade="80"/>
                                <w:sz w:val="80"/>
                                <w:szCs w:val="80"/>
                              </w:rPr>
                              <w:t>Turning 22</w:t>
                            </w:r>
                            <w:r w:rsidR="006D0170" w:rsidRPr="00484EF5">
                              <w:rPr>
                                <w:rFonts w:ascii="Adobe garamo" w:hAnsi="Adobe garamo"/>
                                <w:b/>
                                <w:color w:val="244061" w:themeColor="accent1" w:themeShade="80"/>
                                <w:sz w:val="80"/>
                                <w:szCs w:val="80"/>
                              </w:rPr>
                              <w:t xml:space="preserve"> Program</w:t>
                            </w:r>
                          </w:p>
                          <w:p w:rsidR="00421123" w:rsidRDefault="00421123" w:rsidP="00D62044">
                            <w:pPr>
                              <w:spacing w:line="800" w:lineRule="exact"/>
                              <w:jc w:val="center"/>
                              <w:rPr>
                                <w:rFonts w:ascii="Adobe garamo" w:hAnsi="Adobe garamo"/>
                                <w:b/>
                                <w:color w:val="244061" w:themeColor="accent1" w:themeShade="80"/>
                                <w:sz w:val="80"/>
                                <w:szCs w:val="80"/>
                              </w:rPr>
                            </w:pPr>
                            <w:r w:rsidRPr="00484EF5">
                              <w:rPr>
                                <w:rFonts w:ascii="Adobe garamo" w:hAnsi="Adobe garamo"/>
                                <w:b/>
                                <w:color w:val="244061" w:themeColor="accent1" w:themeShade="80"/>
                                <w:sz w:val="80"/>
                                <w:szCs w:val="80"/>
                              </w:rPr>
                              <w:t>Annual Report</w:t>
                            </w:r>
                          </w:p>
                          <w:p w:rsidR="00484EF5" w:rsidRPr="00484EF5" w:rsidRDefault="00484EF5" w:rsidP="00D62044">
                            <w:pPr>
                              <w:spacing w:line="800" w:lineRule="exact"/>
                              <w:jc w:val="center"/>
                              <w:rPr>
                                <w:rFonts w:ascii="Adobe garamo" w:hAnsi="Adobe garamo"/>
                                <w:b/>
                                <w:color w:val="244061" w:themeColor="accent1" w:themeShade="80"/>
                                <w:sz w:val="80"/>
                                <w:szCs w:val="80"/>
                              </w:rPr>
                            </w:pPr>
                            <w:r w:rsidRPr="00484EF5">
                              <w:rPr>
                                <w:rFonts w:ascii="Adobe garamo" w:hAnsi="Adobe garamo"/>
                                <w:b/>
                                <w:color w:val="244061" w:themeColor="accent1" w:themeShade="80"/>
                                <w:sz w:val="80"/>
                                <w:szCs w:val="80"/>
                              </w:rPr>
                              <w:t>FY16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5pt;margin-top:10.5pt;width:456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" stroked="f">
                <v:textbox>
                  <w:txbxContent>
                    <w:p w:rsidR="00D62044" w:rsidRPr="00484EF5" w:rsidRDefault="00D62044" w:rsidP="00D62044">
                      <w:pPr>
                        <w:spacing w:line="800" w:lineRule="exact"/>
                        <w:jc w:val="center"/>
                        <w:rPr>
                          <w:rFonts w:ascii="Adobe garamo" w:hAnsi="Adobe garamo"/>
                          <w:b/>
                          <w:color w:val="244061" w:themeColor="accent1" w:themeShade="80"/>
                          <w:sz w:val="80"/>
                          <w:szCs w:val="80"/>
                        </w:rPr>
                      </w:pPr>
                    </w:p>
                    <w:p w:rsidR="00D62044" w:rsidRPr="00484EF5" w:rsidRDefault="00D62044" w:rsidP="00D62044">
                      <w:pPr>
                        <w:spacing w:line="800" w:lineRule="exact"/>
                        <w:jc w:val="center"/>
                        <w:rPr>
                          <w:rFonts w:ascii="Adobe garamo" w:hAnsi="Adobe garamo"/>
                          <w:b/>
                          <w:color w:val="244061" w:themeColor="accent1" w:themeShade="80"/>
                          <w:sz w:val="80"/>
                          <w:szCs w:val="80"/>
                        </w:rPr>
                      </w:pPr>
                      <w:r w:rsidRPr="00484EF5">
                        <w:rPr>
                          <w:rFonts w:ascii="Adobe garamo" w:hAnsi="Adobe garamo"/>
                          <w:b/>
                          <w:color w:val="244061" w:themeColor="accent1" w:themeShade="80"/>
                          <w:sz w:val="80"/>
                          <w:szCs w:val="80"/>
                        </w:rPr>
                        <w:t>Turning 22</w:t>
                      </w:r>
                      <w:r w:rsidR="006D0170" w:rsidRPr="00484EF5">
                        <w:rPr>
                          <w:rFonts w:ascii="Adobe garamo" w:hAnsi="Adobe garamo"/>
                          <w:b/>
                          <w:color w:val="244061" w:themeColor="accent1" w:themeShade="80"/>
                          <w:sz w:val="80"/>
                          <w:szCs w:val="80"/>
                        </w:rPr>
                        <w:t xml:space="preserve"> Program</w:t>
                      </w:r>
                    </w:p>
                    <w:p w:rsidR="00421123" w:rsidRDefault="00421123" w:rsidP="00D62044">
                      <w:pPr>
                        <w:spacing w:line="800" w:lineRule="exact"/>
                        <w:jc w:val="center"/>
                        <w:rPr>
                          <w:rFonts w:ascii="Adobe garamo" w:hAnsi="Adobe garamo"/>
                          <w:b/>
                          <w:color w:val="244061" w:themeColor="accent1" w:themeShade="80"/>
                          <w:sz w:val="80"/>
                          <w:szCs w:val="80"/>
                        </w:rPr>
                      </w:pPr>
                      <w:r w:rsidRPr="00484EF5">
                        <w:rPr>
                          <w:rFonts w:ascii="Adobe garamo" w:hAnsi="Adobe garamo"/>
                          <w:b/>
                          <w:color w:val="244061" w:themeColor="accent1" w:themeShade="80"/>
                          <w:sz w:val="80"/>
                          <w:szCs w:val="80"/>
                        </w:rPr>
                        <w:t>Annual Repor</w:t>
                      </w:r>
                      <w:bookmarkStart w:id="1" w:name="_GoBack"/>
                      <w:bookmarkEnd w:id="1"/>
                      <w:r w:rsidRPr="00484EF5">
                        <w:rPr>
                          <w:rFonts w:ascii="Adobe garamo" w:hAnsi="Adobe garamo"/>
                          <w:b/>
                          <w:color w:val="244061" w:themeColor="accent1" w:themeShade="80"/>
                          <w:sz w:val="80"/>
                          <w:szCs w:val="80"/>
                        </w:rPr>
                        <w:t>t</w:t>
                      </w:r>
                    </w:p>
                    <w:p w:rsidR="00484EF5" w:rsidRPr="00484EF5" w:rsidRDefault="00484EF5" w:rsidP="00D62044">
                      <w:pPr>
                        <w:spacing w:line="800" w:lineRule="exact"/>
                        <w:jc w:val="center"/>
                        <w:rPr>
                          <w:rFonts w:ascii="Adobe garamo" w:hAnsi="Adobe garamo"/>
                          <w:b/>
                          <w:color w:val="244061" w:themeColor="accent1" w:themeShade="80"/>
                          <w:sz w:val="80"/>
                          <w:szCs w:val="80"/>
                        </w:rPr>
                      </w:pPr>
                      <w:r w:rsidRPr="00484EF5">
                        <w:rPr>
                          <w:rFonts w:ascii="Adobe garamo" w:hAnsi="Adobe garamo"/>
                          <w:b/>
                          <w:color w:val="244061" w:themeColor="accent1" w:themeShade="80"/>
                          <w:sz w:val="80"/>
                          <w:szCs w:val="80"/>
                        </w:rPr>
                        <w:t>FY16</w:t>
                      </w:r>
                    </w:p>
                  </w:txbxContent>
                </v:textbox>
              </v:shape>
            </w:pict>
          </mc:Fallback>
        </mc:AlternateContent>
      </w: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tabs>
          <w:tab w:val="left" w:pos="3433"/>
        </w:tabs>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eastAsiaTheme="minorHAnsi" w:hAnsiTheme="minorHAnsi" w:cstheme="minorBidi"/>
          <w:color w:val="auto"/>
          <w:sz w:val="22"/>
          <w:szCs w:val="22"/>
          <w:bdr w:val="none" w:sz="0" w:space="0" w:color="auto"/>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D62044" w:rsidRDefault="00836FE2">
      <w:pPr>
        <w:rPr>
          <w:rFonts w:ascii="Arial" w:eastAsia="Arial" w:hAnsi="Arial" w:cs="Arial"/>
        </w:rPr>
      </w:pPr>
      <w:r w:rsidRPr="00D62044">
        <w:rPr>
          <w:rFonts w:asciiTheme="minorHAnsi" w:eastAsiaTheme="minorHAnsi" w:hAnsiTheme="minorHAnsi" w:cstheme="minorBidi"/>
          <w:noProof/>
          <w:color w:val="auto"/>
          <w:sz w:val="22"/>
          <w:szCs w:val="22"/>
          <w:bdr w:val="none" w:sz="0" w:space="0" w:color="auto"/>
        </w:rPr>
        <mc:AlternateContent>
          <mc:Choice Requires="wps">
            <w:drawing>
              <wp:anchor distT="0" distB="0" distL="114300" distR="114300" simplePos="0" relativeHeight="251661312" behindDoc="0" locked="0" layoutInCell="1" allowOverlap="1" wp14:anchorId="39AD6631" wp14:editId="4C362843">
                <wp:simplePos x="0" y="0"/>
                <wp:positionH relativeFrom="column">
                  <wp:posOffset>1636192</wp:posOffset>
                </wp:positionH>
                <wp:positionV relativeFrom="paragraph">
                  <wp:posOffset>976681</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rsidR="00D62044" w:rsidRPr="00E02475" w:rsidRDefault="00D62044" w:rsidP="00D62044">
                            <w:pPr>
                              <w:jc w:val="center"/>
                              <w:rPr>
                                <w:rFonts w:ascii="Adobe Garamond Pro Bold" w:hAnsi="Adobe Garamond Pro Bold"/>
                                <w:sz w:val="48"/>
                                <w:szCs w:val="48"/>
                              </w:rPr>
                            </w:pPr>
                            <w:r>
                              <w:rPr>
                                <w:rFonts w:ascii="Adobe Garamond Pro Bold" w:hAnsi="Adobe Garamond Pro Bold"/>
                                <w:b/>
                                <w:color w:val="043064"/>
                                <w:sz w:val="48"/>
                                <w:szCs w:val="48"/>
                              </w:rPr>
                              <w:t>December 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8.85pt;margin-top:76.9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" stroked="f">
                <v:textbox>
                  <w:txbxContent>
                    <w:p w:rsidR="00D62044" w:rsidRPr="00E02475" w:rsidRDefault="00D62044" w:rsidP="00D62044">
                      <w:pPr>
                        <w:jc w:val="center"/>
                        <w:rPr>
                          <w:rFonts w:ascii="Adobe Garamond Pro Bold" w:hAnsi="Adobe Garamond Pro Bold"/>
                          <w:sz w:val="48"/>
                          <w:szCs w:val="48"/>
                        </w:rPr>
                      </w:pPr>
                      <w:r>
                        <w:rPr>
                          <w:rFonts w:ascii="Adobe Garamond Pro Bold" w:hAnsi="Adobe Garamond Pro Bold"/>
                          <w:b/>
                          <w:color w:val="043064"/>
                          <w:sz w:val="48"/>
                          <w:szCs w:val="48"/>
                        </w:rPr>
                        <w:t>December 2015</w:t>
                      </w:r>
                    </w:p>
                  </w:txbxContent>
                </v:textbox>
              </v:shape>
            </w:pict>
          </mc:Fallback>
        </mc:AlternateContent>
      </w:r>
      <w:r w:rsidR="00D62044">
        <w:rPr>
          <w:rFonts w:ascii="Arial" w:eastAsia="Arial" w:hAnsi="Arial" w:cs="Arial"/>
        </w:rPr>
        <w:br w:type="page"/>
      </w: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4D4142" w:rsidRDefault="004D4142">
      <w:pPr>
        <w:pStyle w:val="BodyText"/>
        <w:rPr>
          <w:rFonts w:ascii="Arial" w:eastAsia="Arial" w:hAnsi="Arial" w:cs="Arial"/>
          <w:sz w:val="24"/>
          <w:szCs w:val="24"/>
        </w:rPr>
      </w:pPr>
    </w:p>
    <w:p w:rsidR="00D62044" w:rsidRDefault="008A5D2C" w:rsidP="004D4142">
      <w:pPr>
        <w:pStyle w:val="BodyText"/>
        <w:rPr>
          <w:rFonts w:ascii="Arial" w:eastAsia="Arial" w:hAnsi="Arial" w:cs="Arial"/>
          <w:b/>
          <w:bCs/>
          <w:sz w:val="24"/>
          <w:szCs w:val="24"/>
        </w:rPr>
      </w:pPr>
      <w:r>
        <w:rPr>
          <w:rFonts w:ascii="Arial" w:eastAsia="Arial" w:hAnsi="Arial" w:cs="Arial"/>
          <w:sz w:val="24"/>
          <w:szCs w:val="24"/>
        </w:rPr>
        <w:t>Figure 1 displays the number of individuals leaving Special Education and entering DDS services since Fiscal Year (FY) 1998. As noted in the chart, there have been steady increases in the number of “graduates” each year.  In addition, the Department is experiencing a higher number of individuals with complex clinical profiles who have intensive support needs due to medical or behavioral challenges.</w:t>
      </w:r>
    </w:p>
    <w:p w:rsidR="00D62044" w:rsidRDefault="00D62044">
      <w:pPr>
        <w:pStyle w:val="BodyText"/>
        <w:jc w:val="center"/>
        <w:rPr>
          <w:rFonts w:ascii="Arial" w:eastAsia="Arial" w:hAnsi="Arial" w:cs="Arial"/>
          <w:b/>
          <w:bCs/>
          <w:sz w:val="24"/>
          <w:szCs w:val="24"/>
        </w:rPr>
      </w:pPr>
    </w:p>
    <w:p w:rsidR="00523FC0" w:rsidRPr="00433E0D" w:rsidRDefault="008A5D2C">
      <w:pPr>
        <w:pStyle w:val="BodyText"/>
        <w:jc w:val="center"/>
        <w:rPr>
          <w:rFonts w:ascii="Arial" w:eastAsia="Arial" w:hAnsi="Arial" w:cs="Arial"/>
          <w:b/>
          <w:bCs/>
          <w:sz w:val="22"/>
          <w:szCs w:val="22"/>
        </w:rPr>
      </w:pPr>
      <w:r w:rsidRPr="00433E0D">
        <w:rPr>
          <w:rFonts w:ascii="Arial" w:eastAsia="Arial" w:hAnsi="Arial" w:cs="Arial"/>
          <w:b/>
          <w:bCs/>
          <w:sz w:val="22"/>
          <w:szCs w:val="22"/>
        </w:rPr>
        <w:t>Figure 1</w:t>
      </w:r>
    </w:p>
    <w:p w:rsidR="00220655" w:rsidRDefault="008A5D2C" w:rsidP="00B26776">
      <w:pPr>
        <w:pStyle w:val="BodyText"/>
        <w:jc w:val="center"/>
        <w:rPr>
          <w:rFonts w:ascii="Arial" w:eastAsia="Arial" w:hAnsi="Arial" w:cs="Arial"/>
          <w:b/>
          <w:bCs/>
          <w:sz w:val="22"/>
          <w:szCs w:val="22"/>
        </w:rPr>
      </w:pPr>
      <w:r w:rsidRPr="00433E0D">
        <w:rPr>
          <w:rFonts w:ascii="Arial" w:eastAsia="Arial" w:hAnsi="Arial" w:cs="Arial"/>
          <w:b/>
          <w:bCs/>
          <w:sz w:val="22"/>
          <w:szCs w:val="22"/>
        </w:rPr>
        <w:t>DDS Turning 22 Census by Fiscal Year</w:t>
      </w:r>
      <w:r w:rsidR="00B20775">
        <w:rPr>
          <w:noProof/>
        </w:rPr>
        <w:drawing>
          <wp:inline distT="0" distB="0" distL="0" distR="0" wp14:anchorId="64D77FAB" wp14:editId="3A49B829">
            <wp:extent cx="5369560" cy="1755775"/>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0655" w:rsidRDefault="00220655" w:rsidP="00B26776">
      <w:pPr>
        <w:pStyle w:val="BodyText"/>
        <w:jc w:val="center"/>
        <w:rPr>
          <w:rFonts w:ascii="Arial" w:eastAsia="Arial" w:hAnsi="Arial" w:cs="Arial"/>
          <w:b/>
          <w:bCs/>
          <w:sz w:val="22"/>
          <w:szCs w:val="22"/>
        </w:rPr>
      </w:pPr>
    </w:p>
    <w:p w:rsidR="00220655" w:rsidRDefault="00220655" w:rsidP="00B26776">
      <w:pPr>
        <w:pStyle w:val="BodyText"/>
        <w:jc w:val="center"/>
        <w:rPr>
          <w:rFonts w:ascii="Arial" w:eastAsia="Arial" w:hAnsi="Arial" w:cs="Arial"/>
          <w:b/>
          <w:bCs/>
          <w:sz w:val="22"/>
          <w:szCs w:val="22"/>
        </w:rPr>
      </w:pPr>
    </w:p>
    <w:p w:rsidR="00523FC0" w:rsidRDefault="008A5D2C" w:rsidP="00D2016C">
      <w:pPr>
        <w:pStyle w:val="BodyText"/>
        <w:rPr>
          <w:rFonts w:ascii="Arial" w:eastAsia="Arial" w:hAnsi="Arial" w:cs="Arial"/>
          <w:b/>
          <w:bCs/>
          <w:sz w:val="24"/>
          <w:szCs w:val="24"/>
        </w:rPr>
      </w:pPr>
      <w:r>
        <w:rPr>
          <w:rFonts w:ascii="Arial" w:eastAsia="Arial" w:hAnsi="Arial" w:cs="Arial"/>
          <w:sz w:val="24"/>
          <w:szCs w:val="24"/>
        </w:rPr>
        <w:t xml:space="preserve">Figure 2 displays the annualized legislative appropriation for the </w:t>
      </w:r>
      <w:r w:rsidR="00B20775">
        <w:rPr>
          <w:rFonts w:ascii="Arial" w:eastAsia="Arial" w:hAnsi="Arial" w:cs="Arial"/>
          <w:sz w:val="24"/>
          <w:szCs w:val="24"/>
        </w:rPr>
        <w:t>8</w:t>
      </w:r>
      <w:r w:rsidR="003C18B9">
        <w:rPr>
          <w:rFonts w:ascii="Arial" w:eastAsia="Arial" w:hAnsi="Arial" w:cs="Arial"/>
          <w:sz w:val="24"/>
          <w:szCs w:val="24"/>
        </w:rPr>
        <w:t>09</w:t>
      </w:r>
      <w:r>
        <w:rPr>
          <w:rFonts w:ascii="Arial" w:eastAsia="Arial" w:hAnsi="Arial" w:cs="Arial"/>
          <w:sz w:val="24"/>
          <w:szCs w:val="24"/>
        </w:rPr>
        <w:t xml:space="preserve"> cohort of students who entered the DDS system in FY</w:t>
      </w:r>
      <w:r w:rsidR="00B20775">
        <w:rPr>
          <w:rFonts w:ascii="Arial" w:eastAsia="Arial" w:hAnsi="Arial" w:cs="Arial"/>
          <w:sz w:val="24"/>
          <w:szCs w:val="24"/>
        </w:rPr>
        <w:t>1</w:t>
      </w:r>
      <w:r w:rsidR="003C18B9">
        <w:rPr>
          <w:rFonts w:ascii="Arial" w:eastAsia="Arial" w:hAnsi="Arial" w:cs="Arial"/>
          <w:sz w:val="24"/>
          <w:szCs w:val="24"/>
        </w:rPr>
        <w:t>5</w:t>
      </w:r>
      <w:r>
        <w:rPr>
          <w:rFonts w:ascii="Arial" w:eastAsia="Arial" w:hAnsi="Arial" w:cs="Arial"/>
          <w:sz w:val="24"/>
          <w:szCs w:val="24"/>
        </w:rPr>
        <w:t xml:space="preserve">. </w:t>
      </w:r>
    </w:p>
    <w:p w:rsidR="00433E0D" w:rsidRDefault="00433E0D">
      <w:pPr>
        <w:pStyle w:val="BodyText"/>
        <w:jc w:val="center"/>
        <w:rPr>
          <w:rFonts w:ascii="Arial" w:eastAsia="Arial" w:hAnsi="Arial" w:cs="Arial"/>
          <w:b/>
          <w:bCs/>
          <w:sz w:val="24"/>
          <w:szCs w:val="24"/>
        </w:rPr>
      </w:pPr>
    </w:p>
    <w:p w:rsidR="00523FC0" w:rsidRPr="00433E0D" w:rsidRDefault="008A5D2C">
      <w:pPr>
        <w:pStyle w:val="BodyText"/>
        <w:jc w:val="center"/>
        <w:rPr>
          <w:rFonts w:ascii="Arial" w:eastAsia="Arial" w:hAnsi="Arial" w:cs="Arial"/>
          <w:b/>
          <w:bCs/>
          <w:sz w:val="22"/>
          <w:szCs w:val="22"/>
        </w:rPr>
      </w:pPr>
      <w:r w:rsidRPr="00433E0D">
        <w:rPr>
          <w:rFonts w:ascii="Arial" w:eastAsia="Arial" w:hAnsi="Arial" w:cs="Arial"/>
          <w:b/>
          <w:bCs/>
          <w:sz w:val="22"/>
          <w:szCs w:val="22"/>
        </w:rPr>
        <w:t>Figure 2</w:t>
      </w:r>
    </w:p>
    <w:p w:rsidR="00433E0D" w:rsidRDefault="008A5D2C">
      <w:pPr>
        <w:pStyle w:val="BodyText"/>
        <w:jc w:val="center"/>
        <w:rPr>
          <w:rFonts w:ascii="Arial" w:eastAsia="Arial" w:hAnsi="Arial" w:cs="Arial"/>
          <w:b/>
          <w:bCs/>
          <w:sz w:val="22"/>
          <w:szCs w:val="22"/>
        </w:rPr>
      </w:pPr>
      <w:r w:rsidRPr="00433E0D">
        <w:rPr>
          <w:rFonts w:ascii="Arial" w:eastAsia="Arial" w:hAnsi="Arial" w:cs="Arial"/>
          <w:b/>
          <w:bCs/>
          <w:sz w:val="22"/>
          <w:szCs w:val="22"/>
        </w:rPr>
        <w:t>Legislative Annual Appropriation for the FY</w:t>
      </w:r>
      <w:r w:rsidR="00B20775">
        <w:rPr>
          <w:rFonts w:ascii="Arial" w:eastAsia="Arial" w:hAnsi="Arial" w:cs="Arial"/>
          <w:b/>
          <w:bCs/>
          <w:sz w:val="22"/>
          <w:szCs w:val="22"/>
        </w:rPr>
        <w:t>1</w:t>
      </w:r>
      <w:r w:rsidR="003C18B9">
        <w:rPr>
          <w:rFonts w:ascii="Arial" w:eastAsia="Arial" w:hAnsi="Arial" w:cs="Arial"/>
          <w:b/>
          <w:bCs/>
          <w:sz w:val="22"/>
          <w:szCs w:val="22"/>
        </w:rPr>
        <w:t>5</w:t>
      </w:r>
      <w:r w:rsidRPr="00433E0D">
        <w:rPr>
          <w:rFonts w:ascii="Arial" w:eastAsia="Arial" w:hAnsi="Arial" w:cs="Arial"/>
          <w:b/>
          <w:bCs/>
          <w:sz w:val="22"/>
          <w:szCs w:val="22"/>
        </w:rPr>
        <w:t xml:space="preserve"> Class</w:t>
      </w:r>
    </w:p>
    <w:p w:rsidR="00B20775" w:rsidRPr="00433E0D" w:rsidRDefault="00B20775">
      <w:pPr>
        <w:pStyle w:val="BodyText"/>
        <w:jc w:val="center"/>
        <w:rPr>
          <w:noProof/>
          <w:sz w:val="22"/>
          <w:szCs w:val="22"/>
        </w:rPr>
      </w:pPr>
      <w:r>
        <w:rPr>
          <w:noProof/>
          <w:sz w:val="25"/>
          <w:szCs w:val="25"/>
        </w:rPr>
        <w:drawing>
          <wp:inline distT="0" distB="0" distL="0" distR="0" wp14:anchorId="392ACC18" wp14:editId="39E48E55">
            <wp:extent cx="5106035" cy="1828800"/>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23FC0" w:rsidRDefault="00523FC0">
      <w:pPr>
        <w:pStyle w:val="BodyText"/>
        <w:jc w:val="center"/>
        <w:rPr>
          <w:sz w:val="25"/>
          <w:szCs w:val="25"/>
        </w:rPr>
      </w:pPr>
    </w:p>
    <w:p w:rsidR="00374EB0" w:rsidRDefault="00374EB0">
      <w:pPr>
        <w:pStyle w:val="BodyText"/>
        <w:rPr>
          <w:rFonts w:ascii="Arial" w:eastAsia="Arial" w:hAnsi="Arial" w:cs="Arial"/>
          <w:sz w:val="24"/>
          <w:szCs w:val="24"/>
        </w:rPr>
      </w:pPr>
    </w:p>
    <w:p w:rsidR="004D4142" w:rsidRDefault="004D4142" w:rsidP="00D2016C">
      <w:pPr>
        <w:pStyle w:val="BodyText"/>
        <w:rPr>
          <w:rFonts w:ascii="Arial" w:eastAsia="Arial" w:hAnsi="Arial" w:cs="Arial"/>
          <w:sz w:val="24"/>
          <w:szCs w:val="24"/>
        </w:rPr>
      </w:pPr>
    </w:p>
    <w:p w:rsidR="004D4142" w:rsidRDefault="004D4142" w:rsidP="00D2016C">
      <w:pPr>
        <w:pStyle w:val="BodyText"/>
        <w:rPr>
          <w:rFonts w:ascii="Arial" w:eastAsia="Arial" w:hAnsi="Arial" w:cs="Arial"/>
          <w:sz w:val="24"/>
          <w:szCs w:val="24"/>
        </w:rPr>
      </w:pPr>
    </w:p>
    <w:p w:rsidR="004D4142" w:rsidRDefault="004D4142" w:rsidP="00D2016C">
      <w:pPr>
        <w:pStyle w:val="BodyText"/>
        <w:rPr>
          <w:rFonts w:ascii="Arial" w:eastAsia="Arial" w:hAnsi="Arial" w:cs="Arial"/>
          <w:sz w:val="24"/>
          <w:szCs w:val="24"/>
        </w:rPr>
      </w:pPr>
    </w:p>
    <w:p w:rsidR="004D4142" w:rsidRDefault="004D4142" w:rsidP="00D2016C">
      <w:pPr>
        <w:pStyle w:val="BodyText"/>
        <w:rPr>
          <w:rFonts w:ascii="Arial" w:eastAsia="Arial" w:hAnsi="Arial" w:cs="Arial"/>
          <w:sz w:val="24"/>
          <w:szCs w:val="24"/>
        </w:rPr>
      </w:pPr>
    </w:p>
    <w:p w:rsidR="004D4142" w:rsidRDefault="004D4142" w:rsidP="00D2016C">
      <w:pPr>
        <w:pStyle w:val="BodyText"/>
        <w:rPr>
          <w:rFonts w:ascii="Arial" w:eastAsia="Arial" w:hAnsi="Arial" w:cs="Arial"/>
          <w:sz w:val="24"/>
          <w:szCs w:val="24"/>
        </w:rPr>
      </w:pPr>
    </w:p>
    <w:p w:rsidR="004D4142" w:rsidRDefault="004D4142" w:rsidP="00D2016C">
      <w:pPr>
        <w:pStyle w:val="BodyText"/>
        <w:rPr>
          <w:rFonts w:ascii="Arial" w:eastAsia="Arial" w:hAnsi="Arial" w:cs="Arial"/>
          <w:sz w:val="24"/>
          <w:szCs w:val="24"/>
        </w:rPr>
      </w:pPr>
    </w:p>
    <w:p w:rsidR="004D4142" w:rsidRDefault="004D4142" w:rsidP="00D2016C">
      <w:pPr>
        <w:pStyle w:val="BodyText"/>
        <w:rPr>
          <w:rFonts w:ascii="Arial" w:eastAsia="Arial" w:hAnsi="Arial" w:cs="Arial"/>
          <w:sz w:val="24"/>
          <w:szCs w:val="24"/>
        </w:rPr>
      </w:pPr>
    </w:p>
    <w:p w:rsidR="004D4142" w:rsidRDefault="004D4142" w:rsidP="00D2016C">
      <w:pPr>
        <w:pStyle w:val="BodyText"/>
        <w:rPr>
          <w:rFonts w:ascii="Arial" w:eastAsia="Arial" w:hAnsi="Arial" w:cs="Arial"/>
          <w:sz w:val="24"/>
          <w:szCs w:val="24"/>
        </w:rPr>
      </w:pPr>
    </w:p>
    <w:p w:rsidR="00374EB0" w:rsidRDefault="008A5D2C" w:rsidP="00D2016C">
      <w:pPr>
        <w:pStyle w:val="BodyText"/>
        <w:rPr>
          <w:rFonts w:ascii="Arial" w:eastAsia="Arial" w:hAnsi="Arial" w:cs="Arial"/>
          <w:b/>
          <w:bCs/>
          <w:sz w:val="22"/>
          <w:szCs w:val="22"/>
        </w:rPr>
      </w:pPr>
      <w:r>
        <w:rPr>
          <w:rFonts w:ascii="Arial" w:eastAsia="Arial" w:hAnsi="Arial" w:cs="Arial"/>
          <w:sz w:val="24"/>
          <w:szCs w:val="24"/>
        </w:rPr>
        <w:t xml:space="preserve">Figure 3 represents spending from FY10 and onward for the first year of funding for services for some of the </w:t>
      </w:r>
      <w:r w:rsidR="00220655">
        <w:rPr>
          <w:rFonts w:ascii="Arial" w:eastAsia="Arial" w:hAnsi="Arial" w:cs="Arial"/>
          <w:sz w:val="24"/>
          <w:szCs w:val="24"/>
        </w:rPr>
        <w:t>individuals</w:t>
      </w:r>
      <w:r>
        <w:rPr>
          <w:rFonts w:ascii="Arial" w:eastAsia="Arial" w:hAnsi="Arial" w:cs="Arial"/>
          <w:sz w:val="24"/>
          <w:szCs w:val="24"/>
        </w:rPr>
        <w:t xml:space="preserve"> of the Turning 22 class</w:t>
      </w:r>
      <w:r w:rsidR="00D2016C">
        <w:rPr>
          <w:rFonts w:ascii="Arial" w:eastAsia="Arial" w:hAnsi="Arial" w:cs="Arial"/>
          <w:sz w:val="24"/>
          <w:szCs w:val="24"/>
        </w:rPr>
        <w:t>.</w:t>
      </w:r>
      <w:r>
        <w:rPr>
          <w:rFonts w:ascii="Arial" w:eastAsia="Arial" w:hAnsi="Arial" w:cs="Arial"/>
          <w:sz w:val="24"/>
          <w:szCs w:val="24"/>
        </w:rPr>
        <w:t xml:space="preserve"> The FY</w:t>
      </w:r>
      <w:r w:rsidR="00B20775">
        <w:rPr>
          <w:rFonts w:ascii="Arial" w:eastAsia="Arial" w:hAnsi="Arial" w:cs="Arial"/>
          <w:sz w:val="24"/>
          <w:szCs w:val="24"/>
        </w:rPr>
        <w:t>1</w:t>
      </w:r>
      <w:r w:rsidR="004F6CB4">
        <w:rPr>
          <w:rFonts w:ascii="Arial" w:eastAsia="Arial" w:hAnsi="Arial" w:cs="Arial"/>
          <w:sz w:val="24"/>
          <w:szCs w:val="24"/>
        </w:rPr>
        <w:t>6</w:t>
      </w:r>
      <w:r>
        <w:rPr>
          <w:rFonts w:ascii="Arial" w:eastAsia="Arial" w:hAnsi="Arial" w:cs="Arial"/>
          <w:sz w:val="24"/>
          <w:szCs w:val="24"/>
        </w:rPr>
        <w:t xml:space="preserve"> appropriation for line-item 5920-5000 </w:t>
      </w:r>
      <w:r w:rsidR="00D77FFC">
        <w:rPr>
          <w:rFonts w:ascii="Arial" w:eastAsia="Arial" w:hAnsi="Arial" w:cs="Arial"/>
          <w:sz w:val="24"/>
          <w:szCs w:val="24"/>
        </w:rPr>
        <w:t>i</w:t>
      </w:r>
      <w:r>
        <w:rPr>
          <w:rFonts w:ascii="Arial" w:eastAsia="Arial" w:hAnsi="Arial" w:cs="Arial"/>
          <w:sz w:val="24"/>
          <w:szCs w:val="24"/>
        </w:rPr>
        <w:t>s $</w:t>
      </w:r>
      <w:r w:rsidR="004F6CB4">
        <w:rPr>
          <w:rFonts w:ascii="Arial" w:eastAsia="Arial" w:hAnsi="Arial" w:cs="Arial"/>
          <w:sz w:val="24"/>
          <w:szCs w:val="24"/>
        </w:rPr>
        <w:t>7</w:t>
      </w:r>
      <w:r>
        <w:rPr>
          <w:rFonts w:ascii="Arial" w:eastAsia="Arial" w:hAnsi="Arial" w:cs="Arial"/>
          <w:sz w:val="24"/>
          <w:szCs w:val="24"/>
        </w:rPr>
        <w:t xml:space="preserve"> million</w:t>
      </w:r>
      <w:r w:rsidR="00E13038">
        <w:rPr>
          <w:rFonts w:ascii="Arial" w:eastAsia="Arial" w:hAnsi="Arial" w:cs="Arial"/>
          <w:sz w:val="24"/>
          <w:szCs w:val="24"/>
        </w:rPr>
        <w:t>.</w:t>
      </w:r>
    </w:p>
    <w:p w:rsidR="00374EB0" w:rsidRDefault="00374EB0">
      <w:pPr>
        <w:pStyle w:val="BodyText"/>
        <w:jc w:val="center"/>
        <w:rPr>
          <w:rFonts w:ascii="Arial" w:eastAsia="Arial" w:hAnsi="Arial" w:cs="Arial"/>
          <w:b/>
          <w:bCs/>
          <w:sz w:val="22"/>
          <w:szCs w:val="22"/>
        </w:rPr>
      </w:pPr>
    </w:p>
    <w:p w:rsidR="00523FC0" w:rsidRPr="00433E0D" w:rsidRDefault="008A5D2C">
      <w:pPr>
        <w:pStyle w:val="BodyText"/>
        <w:jc w:val="center"/>
        <w:rPr>
          <w:rFonts w:ascii="Arial" w:eastAsia="Arial" w:hAnsi="Arial" w:cs="Arial"/>
          <w:b/>
          <w:bCs/>
          <w:sz w:val="22"/>
          <w:szCs w:val="22"/>
        </w:rPr>
      </w:pPr>
      <w:r w:rsidRPr="00433E0D">
        <w:rPr>
          <w:rFonts w:ascii="Arial" w:eastAsia="Arial" w:hAnsi="Arial" w:cs="Arial"/>
          <w:b/>
          <w:bCs/>
          <w:sz w:val="22"/>
          <w:szCs w:val="22"/>
        </w:rPr>
        <w:t>Figure 3</w:t>
      </w:r>
    </w:p>
    <w:p w:rsidR="00433E0D" w:rsidRPr="00433E0D" w:rsidRDefault="008A5D2C">
      <w:pPr>
        <w:pStyle w:val="BodyText"/>
        <w:jc w:val="center"/>
        <w:rPr>
          <w:noProof/>
          <w:sz w:val="22"/>
          <w:szCs w:val="22"/>
        </w:rPr>
      </w:pPr>
      <w:r w:rsidRPr="00433E0D">
        <w:rPr>
          <w:rFonts w:ascii="Arial" w:eastAsia="Arial" w:hAnsi="Arial" w:cs="Arial"/>
          <w:b/>
          <w:bCs/>
          <w:sz w:val="22"/>
          <w:szCs w:val="22"/>
        </w:rPr>
        <w:t>5920-5000 Legislative 1</w:t>
      </w:r>
      <w:r w:rsidRPr="00433E0D">
        <w:rPr>
          <w:rFonts w:ascii="Arial" w:eastAsia="Arial" w:hAnsi="Arial" w:cs="Arial"/>
          <w:b/>
          <w:bCs/>
          <w:sz w:val="22"/>
          <w:szCs w:val="22"/>
          <w:vertAlign w:val="superscript"/>
        </w:rPr>
        <w:t>st</w:t>
      </w:r>
      <w:r w:rsidRPr="00433E0D">
        <w:rPr>
          <w:rFonts w:ascii="Arial" w:eastAsia="Arial" w:hAnsi="Arial" w:cs="Arial"/>
          <w:b/>
          <w:bCs/>
          <w:sz w:val="22"/>
          <w:szCs w:val="22"/>
        </w:rPr>
        <w:t xml:space="preserve"> Year Appropriation</w:t>
      </w:r>
    </w:p>
    <w:p w:rsidR="00E13038" w:rsidRDefault="00374EB0">
      <w:pPr>
        <w:pStyle w:val="BodyText"/>
        <w:rPr>
          <w:rFonts w:ascii="Arial" w:eastAsia="Arial" w:hAnsi="Arial" w:cs="Arial"/>
          <w:sz w:val="24"/>
          <w:szCs w:val="24"/>
        </w:rPr>
      </w:pPr>
      <w:r>
        <w:rPr>
          <w:noProof/>
          <w:sz w:val="25"/>
          <w:szCs w:val="25"/>
        </w:rPr>
        <w:drawing>
          <wp:inline distT="0" distB="0" distL="0" distR="0" wp14:anchorId="1DFB42D1" wp14:editId="4B3EFBE1">
            <wp:extent cx="5106035" cy="1828800"/>
            <wp:effectExtent l="0" t="0" r="0" b="0"/>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13038" w:rsidRDefault="00E13038">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For FY</w:t>
      </w:r>
      <w:r w:rsidR="00374EB0">
        <w:rPr>
          <w:rFonts w:ascii="Arial" w:eastAsia="Arial" w:hAnsi="Arial" w:cs="Arial"/>
          <w:sz w:val="24"/>
          <w:szCs w:val="24"/>
        </w:rPr>
        <w:t>1</w:t>
      </w:r>
      <w:r w:rsidR="004F6CB4">
        <w:rPr>
          <w:rFonts w:ascii="Arial" w:eastAsia="Arial" w:hAnsi="Arial" w:cs="Arial"/>
          <w:sz w:val="24"/>
          <w:szCs w:val="24"/>
        </w:rPr>
        <w:t>6</w:t>
      </w:r>
      <w:r>
        <w:rPr>
          <w:rFonts w:ascii="Arial" w:eastAsia="Arial" w:hAnsi="Arial" w:cs="Arial"/>
          <w:sz w:val="24"/>
          <w:szCs w:val="24"/>
        </w:rPr>
        <w:t xml:space="preserve">, DDS has identified </w:t>
      </w:r>
      <w:r w:rsidR="00374EB0">
        <w:rPr>
          <w:rFonts w:ascii="Arial" w:eastAsia="Arial" w:hAnsi="Arial" w:cs="Arial"/>
          <w:sz w:val="24"/>
          <w:szCs w:val="24"/>
        </w:rPr>
        <w:t>8</w:t>
      </w:r>
      <w:r w:rsidR="004F6CB4">
        <w:rPr>
          <w:rFonts w:ascii="Arial" w:eastAsia="Arial" w:hAnsi="Arial" w:cs="Arial"/>
          <w:sz w:val="24"/>
          <w:szCs w:val="24"/>
        </w:rPr>
        <w:t>55</w:t>
      </w:r>
      <w:r>
        <w:rPr>
          <w:rFonts w:ascii="Arial" w:eastAsia="Arial" w:hAnsi="Arial" w:cs="Arial"/>
          <w:sz w:val="24"/>
          <w:szCs w:val="24"/>
        </w:rPr>
        <w:t xml:space="preserve"> young people eligible for Turning 22 services. Line-item 5920-5000</w:t>
      </w:r>
      <w:r w:rsidR="00D2016C">
        <w:rPr>
          <w:rFonts w:ascii="Arial" w:eastAsia="Arial" w:hAnsi="Arial" w:cs="Arial"/>
          <w:sz w:val="24"/>
          <w:szCs w:val="24"/>
        </w:rPr>
        <w:t>. T</w:t>
      </w:r>
      <w:r>
        <w:rPr>
          <w:rFonts w:ascii="Arial" w:eastAsia="Arial" w:hAnsi="Arial" w:cs="Arial"/>
          <w:sz w:val="24"/>
          <w:szCs w:val="24"/>
        </w:rPr>
        <w:t xml:space="preserve">he Turning 22 account, supplemented the cost to serve </w:t>
      </w:r>
      <w:r w:rsidR="00374EB0">
        <w:rPr>
          <w:rFonts w:ascii="Arial" w:eastAsia="Arial" w:hAnsi="Arial" w:cs="Arial"/>
          <w:sz w:val="24"/>
          <w:szCs w:val="24"/>
        </w:rPr>
        <w:t>23</w:t>
      </w:r>
      <w:r w:rsidR="004F6CB4">
        <w:rPr>
          <w:rFonts w:ascii="Arial" w:eastAsia="Arial" w:hAnsi="Arial" w:cs="Arial"/>
          <w:sz w:val="24"/>
          <w:szCs w:val="24"/>
        </w:rPr>
        <w:t>7</w:t>
      </w:r>
      <w:r>
        <w:rPr>
          <w:rFonts w:ascii="Arial" w:eastAsia="Arial" w:hAnsi="Arial" w:cs="Arial"/>
          <w:sz w:val="24"/>
          <w:szCs w:val="24"/>
        </w:rPr>
        <w:t xml:space="preserve"> young people who were identified as needing some Community Based Residential Services as they leave special education gradually over the course of this fiscal year. DDS allocated</w:t>
      </w:r>
      <w:r w:rsidR="00D77FFC">
        <w:rPr>
          <w:rFonts w:ascii="Arial" w:eastAsia="Arial" w:hAnsi="Arial" w:cs="Arial"/>
          <w:sz w:val="24"/>
          <w:szCs w:val="24"/>
        </w:rPr>
        <w:t xml:space="preserve"> </w:t>
      </w:r>
      <w:r w:rsidR="00987944">
        <w:rPr>
          <w:rFonts w:ascii="Arial" w:eastAsia="Arial" w:hAnsi="Arial" w:cs="Arial"/>
          <w:sz w:val="24"/>
          <w:szCs w:val="24"/>
        </w:rPr>
        <w:t>over</w:t>
      </w:r>
      <w:r>
        <w:rPr>
          <w:rFonts w:ascii="Arial" w:eastAsia="Arial" w:hAnsi="Arial" w:cs="Arial"/>
          <w:sz w:val="24"/>
          <w:szCs w:val="24"/>
        </w:rPr>
        <w:t xml:space="preserve"> $6</w:t>
      </w:r>
      <w:r w:rsidR="004F6CB4">
        <w:rPr>
          <w:rFonts w:ascii="Arial" w:eastAsia="Arial" w:hAnsi="Arial" w:cs="Arial"/>
          <w:sz w:val="24"/>
          <w:szCs w:val="24"/>
        </w:rPr>
        <w:t>.5</w:t>
      </w:r>
      <w:r>
        <w:rPr>
          <w:rFonts w:ascii="Arial" w:eastAsia="Arial" w:hAnsi="Arial" w:cs="Arial"/>
          <w:sz w:val="24"/>
          <w:szCs w:val="24"/>
        </w:rPr>
        <w:t xml:space="preserve"> million for their first year residential supports in a wide range of living arrangements in their community including small individual settings and group living situations. State and private vendors</w:t>
      </w:r>
      <w:r w:rsidR="00D2016C">
        <w:rPr>
          <w:rFonts w:ascii="Arial" w:eastAsia="Arial" w:hAnsi="Arial" w:cs="Arial"/>
          <w:sz w:val="24"/>
          <w:szCs w:val="24"/>
        </w:rPr>
        <w:t xml:space="preserve"> are</w:t>
      </w:r>
      <w:r>
        <w:rPr>
          <w:rFonts w:ascii="Arial" w:eastAsia="Arial" w:hAnsi="Arial" w:cs="Arial"/>
          <w:sz w:val="24"/>
          <w:szCs w:val="24"/>
        </w:rPr>
        <w:t xml:space="preserve"> contracted with the Commonwealth to manage these services. Appropriate vocational and transportation services are also arranged for this group.</w:t>
      </w:r>
    </w:p>
    <w:p w:rsidR="00523FC0" w:rsidRDefault="00523FC0">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Figure 4 presents the number of those individuals receiving Community Based Residential Services by region.</w:t>
      </w:r>
    </w:p>
    <w:p w:rsidR="00523FC0" w:rsidRDefault="00523FC0">
      <w:pPr>
        <w:rPr>
          <w:rFonts w:ascii="Arial" w:eastAsia="Arial" w:hAnsi="Arial" w:cs="Arial"/>
        </w:rPr>
      </w:pPr>
    </w:p>
    <w:p w:rsidR="00523FC0" w:rsidRDefault="008A5D2C">
      <w:pPr>
        <w:jc w:val="center"/>
        <w:rPr>
          <w:rFonts w:ascii="Arial" w:eastAsia="Arial" w:hAnsi="Arial" w:cs="Arial"/>
          <w:b/>
          <w:bCs/>
        </w:rPr>
      </w:pPr>
      <w:r>
        <w:rPr>
          <w:rFonts w:ascii="Arial" w:eastAsia="Arial" w:hAnsi="Arial" w:cs="Arial"/>
          <w:b/>
          <w:bCs/>
        </w:rPr>
        <w:t>Figure 4</w:t>
      </w:r>
    </w:p>
    <w:p w:rsidR="00523FC0" w:rsidRDefault="008A5D2C">
      <w:pPr>
        <w:jc w:val="center"/>
        <w:rPr>
          <w:sz w:val="28"/>
          <w:szCs w:val="28"/>
        </w:rPr>
      </w:pPr>
      <w:r>
        <w:rPr>
          <w:rFonts w:ascii="Arial" w:eastAsia="Arial" w:hAnsi="Arial" w:cs="Arial"/>
          <w:b/>
          <w:bCs/>
        </w:rPr>
        <w:t xml:space="preserve">DDS 5920-5000 </w:t>
      </w:r>
      <w:r w:rsidR="00D52FDB">
        <w:rPr>
          <w:rFonts w:ascii="Arial" w:eastAsia="Arial" w:hAnsi="Arial" w:cs="Arial"/>
          <w:b/>
          <w:bCs/>
        </w:rPr>
        <w:t xml:space="preserve">FY16 </w:t>
      </w:r>
      <w:r>
        <w:rPr>
          <w:rFonts w:ascii="Arial" w:eastAsia="Arial" w:hAnsi="Arial" w:cs="Arial"/>
          <w:b/>
          <w:bCs/>
        </w:rPr>
        <w:t>Residential Census</w:t>
      </w:r>
    </w:p>
    <w:tbl>
      <w:tblPr>
        <w:tblW w:w="8856"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6"/>
        <w:gridCol w:w="1476"/>
        <w:gridCol w:w="1476"/>
        <w:gridCol w:w="1476"/>
        <w:gridCol w:w="1476"/>
        <w:gridCol w:w="1476"/>
      </w:tblGrid>
      <w:tr w:rsidR="00523FC0">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REGION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Central/West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Metro Boston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Northeast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pStyle w:val="Heading1"/>
            </w:pPr>
            <w:r>
              <w:rPr>
                <w:rFonts w:ascii="Arial" w:eastAsia="Arial" w:hAnsi="Arial" w:cs="Arial"/>
              </w:rPr>
              <w:t>Southeast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TOTAL</w:t>
            </w:r>
          </w:p>
        </w:tc>
      </w:tr>
      <w:tr w:rsidR="00523FC0">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4F6CB4" w:rsidP="004F6CB4">
            <w:pPr>
              <w:jc w:val="center"/>
            </w:pPr>
            <w:r>
              <w:rPr>
                <w:rFonts w:ascii="Arial" w:eastAsia="Arial" w:hAnsi="Arial" w:cs="Arial"/>
                <w:sz w:val="20"/>
                <w:szCs w:val="20"/>
              </w:rPr>
              <w:t>70</w:t>
            </w:r>
            <w:r w:rsidR="00374EB0">
              <w:rPr>
                <w:rFonts w:ascii="Arial" w:eastAsia="Arial" w:hAnsi="Arial" w:cs="Arial"/>
                <w:sz w:val="20"/>
                <w:szCs w:val="20"/>
              </w:rPr>
              <w:t xml:space="preserve"> </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374EB0" w:rsidP="004F6CB4">
            <w:pPr>
              <w:jc w:val="center"/>
            </w:pPr>
            <w:r>
              <w:rPr>
                <w:rFonts w:ascii="Arial" w:eastAsia="Arial" w:hAnsi="Arial" w:cs="Arial"/>
                <w:sz w:val="20"/>
                <w:szCs w:val="20"/>
              </w:rPr>
              <w:t xml:space="preserve"> </w:t>
            </w:r>
            <w:r w:rsidR="004F6CB4">
              <w:rPr>
                <w:rFonts w:ascii="Arial" w:eastAsia="Arial" w:hAnsi="Arial" w:cs="Arial"/>
                <w:sz w:val="20"/>
                <w:szCs w:val="20"/>
              </w:rPr>
              <w:t>57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484CF2" w:rsidP="004F6CB4">
            <w:pPr>
              <w:jc w:val="center"/>
            </w:pPr>
            <w:r>
              <w:rPr>
                <w:rFonts w:ascii="Arial" w:eastAsia="Arial" w:hAnsi="Arial" w:cs="Arial"/>
                <w:sz w:val="20"/>
                <w:szCs w:val="20"/>
              </w:rPr>
              <w:t>5</w:t>
            </w:r>
            <w:r w:rsidR="004F6CB4">
              <w:rPr>
                <w:rFonts w:ascii="Arial" w:eastAsia="Arial" w:hAnsi="Arial" w:cs="Arial"/>
                <w:sz w:val="20"/>
                <w:szCs w:val="20"/>
              </w:rPr>
              <w:t>8</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484CF2" w:rsidP="004F6CB4">
            <w:pPr>
              <w:jc w:val="center"/>
            </w:pPr>
            <w:r>
              <w:rPr>
                <w:rFonts w:ascii="Arial" w:eastAsia="Arial" w:hAnsi="Arial" w:cs="Arial"/>
                <w:sz w:val="20"/>
                <w:szCs w:val="20"/>
              </w:rPr>
              <w:t>5</w:t>
            </w:r>
            <w:r w:rsidR="004F6CB4">
              <w:rPr>
                <w:rFonts w:ascii="Arial" w:eastAsia="Arial" w:hAnsi="Arial" w:cs="Arial"/>
                <w:sz w:val="20"/>
                <w:szCs w:val="20"/>
              </w:rPr>
              <w:t>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4A30CB" w:rsidP="00484CF2">
            <w:pPr>
              <w:jc w:val="center"/>
            </w:pPr>
            <w:r>
              <w:rPr>
                <w:rFonts w:ascii="Arial" w:eastAsia="Arial" w:hAnsi="Arial" w:cs="Arial"/>
                <w:b/>
                <w:bCs/>
                <w:sz w:val="20"/>
                <w:szCs w:val="20"/>
              </w:rPr>
              <w:t xml:space="preserve"> 237</w:t>
            </w:r>
          </w:p>
        </w:tc>
      </w:tr>
    </w:tbl>
    <w:p w:rsidR="00523FC0" w:rsidRDefault="00523FC0">
      <w:pPr>
        <w:jc w:val="center"/>
        <w:rPr>
          <w:sz w:val="28"/>
          <w:szCs w:val="28"/>
        </w:rPr>
      </w:pPr>
    </w:p>
    <w:p w:rsidR="00523FC0" w:rsidRDefault="00523FC0">
      <w:pPr>
        <w:rPr>
          <w:sz w:val="28"/>
          <w:szCs w:val="28"/>
        </w:rPr>
      </w:pPr>
    </w:p>
    <w:p w:rsidR="004D4142" w:rsidRDefault="004D4142">
      <w:pPr>
        <w:pStyle w:val="BodyText"/>
        <w:rPr>
          <w:rFonts w:ascii="Arial" w:eastAsia="Arial" w:hAnsi="Arial" w:cs="Arial"/>
          <w:sz w:val="24"/>
          <w:szCs w:val="24"/>
        </w:rPr>
      </w:pPr>
    </w:p>
    <w:p w:rsidR="004D4142" w:rsidRDefault="004D4142">
      <w:pPr>
        <w:pStyle w:val="BodyText"/>
        <w:rPr>
          <w:rFonts w:ascii="Arial" w:eastAsia="Arial" w:hAnsi="Arial" w:cs="Arial"/>
          <w:sz w:val="24"/>
          <w:szCs w:val="24"/>
        </w:rPr>
      </w:pPr>
    </w:p>
    <w:p w:rsidR="004D4142" w:rsidRDefault="004D4142">
      <w:pPr>
        <w:pStyle w:val="BodyText"/>
        <w:rPr>
          <w:rFonts w:ascii="Arial" w:eastAsia="Arial" w:hAnsi="Arial" w:cs="Arial"/>
          <w:sz w:val="24"/>
          <w:szCs w:val="24"/>
        </w:rPr>
      </w:pPr>
    </w:p>
    <w:p w:rsidR="004D4142" w:rsidRDefault="004D4142">
      <w:pPr>
        <w:pStyle w:val="BodyText"/>
        <w:rPr>
          <w:rFonts w:ascii="Arial" w:eastAsia="Arial" w:hAnsi="Arial" w:cs="Arial"/>
          <w:sz w:val="24"/>
          <w:szCs w:val="24"/>
        </w:rPr>
      </w:pPr>
    </w:p>
    <w:p w:rsidR="004D4142" w:rsidRDefault="004D4142">
      <w:pPr>
        <w:pStyle w:val="BodyText"/>
        <w:rPr>
          <w:rFonts w:ascii="Arial" w:eastAsia="Arial" w:hAnsi="Arial" w:cs="Arial"/>
          <w:sz w:val="24"/>
          <w:szCs w:val="24"/>
        </w:rPr>
      </w:pPr>
    </w:p>
    <w:p w:rsidR="004D4142" w:rsidRDefault="004D4142">
      <w:pPr>
        <w:pStyle w:val="BodyText"/>
        <w:rPr>
          <w:rFonts w:ascii="Arial" w:eastAsia="Arial" w:hAnsi="Arial" w:cs="Arial"/>
          <w:sz w:val="24"/>
          <w:szCs w:val="24"/>
        </w:rPr>
      </w:pPr>
    </w:p>
    <w:p w:rsidR="004D4142" w:rsidRDefault="004D4142">
      <w:pPr>
        <w:pStyle w:val="BodyText"/>
        <w:rPr>
          <w:rFonts w:ascii="Arial" w:eastAsia="Arial" w:hAnsi="Arial" w:cs="Arial"/>
          <w:sz w:val="24"/>
          <w:szCs w:val="24"/>
        </w:rPr>
      </w:pPr>
    </w:p>
    <w:p w:rsidR="004D4142" w:rsidRDefault="004D4142">
      <w:pPr>
        <w:pStyle w:val="BodyText"/>
        <w:rPr>
          <w:rFonts w:ascii="Arial" w:eastAsia="Arial" w:hAnsi="Arial" w:cs="Arial"/>
          <w:sz w:val="24"/>
          <w:szCs w:val="24"/>
        </w:rPr>
      </w:pPr>
    </w:p>
    <w:p w:rsidR="004D4142" w:rsidRDefault="004D4142">
      <w:pPr>
        <w:pStyle w:val="BodyText"/>
        <w:rPr>
          <w:rFonts w:ascii="Arial" w:eastAsia="Arial" w:hAnsi="Arial" w:cs="Arial"/>
          <w:sz w:val="24"/>
          <w:szCs w:val="24"/>
        </w:rPr>
      </w:pPr>
    </w:p>
    <w:p w:rsidR="004D4142" w:rsidRDefault="004D4142">
      <w:pPr>
        <w:pStyle w:val="BodyText"/>
        <w:rPr>
          <w:rFonts w:ascii="Arial" w:eastAsia="Arial" w:hAnsi="Arial" w:cs="Arial"/>
          <w:sz w:val="24"/>
          <w:szCs w:val="24"/>
        </w:rPr>
      </w:pPr>
    </w:p>
    <w:p w:rsidR="004D4142" w:rsidRDefault="004D4142">
      <w:pPr>
        <w:pStyle w:val="BodyText"/>
        <w:rPr>
          <w:rFonts w:ascii="Arial" w:eastAsia="Arial" w:hAnsi="Arial" w:cs="Arial"/>
          <w:sz w:val="24"/>
          <w:szCs w:val="24"/>
        </w:rPr>
      </w:pPr>
    </w:p>
    <w:p w:rsidR="004D4142" w:rsidRDefault="004D4142">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 xml:space="preserve">As for the remaining </w:t>
      </w:r>
      <w:r w:rsidR="004A30CB">
        <w:rPr>
          <w:rFonts w:ascii="Arial" w:eastAsia="Arial" w:hAnsi="Arial" w:cs="Arial"/>
          <w:sz w:val="24"/>
          <w:szCs w:val="24"/>
        </w:rPr>
        <w:t>618</w:t>
      </w:r>
      <w:r>
        <w:rPr>
          <w:rFonts w:ascii="Arial" w:eastAsia="Arial" w:hAnsi="Arial" w:cs="Arial"/>
          <w:sz w:val="24"/>
          <w:szCs w:val="24"/>
        </w:rPr>
        <w:t xml:space="preserve"> students, FY</w:t>
      </w:r>
      <w:r w:rsidR="006F4109">
        <w:rPr>
          <w:rFonts w:ascii="Arial" w:eastAsia="Arial" w:hAnsi="Arial" w:cs="Arial"/>
          <w:sz w:val="24"/>
          <w:szCs w:val="24"/>
        </w:rPr>
        <w:t>1</w:t>
      </w:r>
      <w:r w:rsidR="004A30CB">
        <w:rPr>
          <w:rFonts w:ascii="Arial" w:eastAsia="Arial" w:hAnsi="Arial" w:cs="Arial"/>
          <w:sz w:val="24"/>
          <w:szCs w:val="24"/>
        </w:rPr>
        <w:t>6</w:t>
      </w:r>
      <w:r>
        <w:rPr>
          <w:rFonts w:ascii="Arial" w:eastAsia="Arial" w:hAnsi="Arial" w:cs="Arial"/>
          <w:sz w:val="24"/>
          <w:szCs w:val="24"/>
        </w:rPr>
        <w:t xml:space="preserve"> continues to be a challenging year to serve those living at home as they enter the DDS system. Figure 5 represents the remaining number of FY</w:t>
      </w:r>
      <w:r w:rsidR="006F4109">
        <w:rPr>
          <w:rFonts w:ascii="Arial" w:eastAsia="Arial" w:hAnsi="Arial" w:cs="Arial"/>
          <w:sz w:val="24"/>
          <w:szCs w:val="24"/>
        </w:rPr>
        <w:t>1</w:t>
      </w:r>
      <w:r w:rsidR="004A30CB">
        <w:rPr>
          <w:rFonts w:ascii="Arial" w:eastAsia="Arial" w:hAnsi="Arial" w:cs="Arial"/>
          <w:sz w:val="24"/>
          <w:szCs w:val="24"/>
        </w:rPr>
        <w:t>6</w:t>
      </w:r>
      <w:r>
        <w:rPr>
          <w:rFonts w:ascii="Arial" w:eastAsia="Arial" w:hAnsi="Arial" w:cs="Arial"/>
          <w:sz w:val="24"/>
          <w:szCs w:val="24"/>
        </w:rPr>
        <w:t xml:space="preserve"> Turning 22 students by DDS region. Approximately </w:t>
      </w:r>
      <w:r w:rsidR="006F4109">
        <w:rPr>
          <w:rFonts w:ascii="Arial" w:eastAsia="Arial" w:hAnsi="Arial" w:cs="Arial"/>
          <w:sz w:val="24"/>
          <w:szCs w:val="24"/>
        </w:rPr>
        <w:t>$2</w:t>
      </w:r>
      <w:r w:rsidR="004A30CB">
        <w:rPr>
          <w:rFonts w:ascii="Arial" w:eastAsia="Arial" w:hAnsi="Arial" w:cs="Arial"/>
          <w:sz w:val="24"/>
          <w:szCs w:val="24"/>
        </w:rPr>
        <w:t>12,520</w:t>
      </w:r>
      <w:r>
        <w:rPr>
          <w:rFonts w:ascii="Arial" w:eastAsia="Arial" w:hAnsi="Arial" w:cs="Arial"/>
          <w:sz w:val="24"/>
          <w:szCs w:val="24"/>
        </w:rPr>
        <w:t xml:space="preserve"> from line-item 5920-5000 was allocated by DDS to supplement the</w:t>
      </w:r>
      <w:r w:rsidR="00D2016C">
        <w:rPr>
          <w:rFonts w:ascii="Arial" w:eastAsia="Arial" w:hAnsi="Arial" w:cs="Arial"/>
          <w:sz w:val="24"/>
          <w:szCs w:val="24"/>
        </w:rPr>
        <w:t xml:space="preserve">ir </w:t>
      </w:r>
      <w:r>
        <w:rPr>
          <w:rFonts w:ascii="Arial" w:eastAsia="Arial" w:hAnsi="Arial" w:cs="Arial"/>
          <w:sz w:val="24"/>
          <w:szCs w:val="24"/>
        </w:rPr>
        <w:t xml:space="preserve">day supports for </w:t>
      </w:r>
      <w:r w:rsidR="006F4109">
        <w:rPr>
          <w:rFonts w:ascii="Arial" w:eastAsia="Arial" w:hAnsi="Arial" w:cs="Arial"/>
          <w:sz w:val="24"/>
          <w:szCs w:val="24"/>
        </w:rPr>
        <w:t>28</w:t>
      </w:r>
      <w:r>
        <w:rPr>
          <w:rFonts w:ascii="Arial" w:eastAsia="Arial" w:hAnsi="Arial" w:cs="Arial"/>
          <w:sz w:val="24"/>
          <w:szCs w:val="24"/>
        </w:rPr>
        <w:t xml:space="preserve"> “medically complex” individuals who are living at home and require special services.  The balance of the account</w:t>
      </w:r>
      <w:r w:rsidR="00D2016C">
        <w:rPr>
          <w:rFonts w:ascii="Arial" w:eastAsia="Arial" w:hAnsi="Arial" w:cs="Arial"/>
          <w:sz w:val="24"/>
          <w:szCs w:val="24"/>
        </w:rPr>
        <w:t>, $287,480</w:t>
      </w:r>
      <w:r>
        <w:rPr>
          <w:rFonts w:ascii="Arial" w:eastAsia="Arial" w:hAnsi="Arial" w:cs="Arial"/>
          <w:sz w:val="24"/>
          <w:szCs w:val="24"/>
        </w:rPr>
        <w:t xml:space="preserve"> was appropriated </w:t>
      </w:r>
      <w:r w:rsidR="00987944">
        <w:rPr>
          <w:rFonts w:ascii="Arial" w:eastAsia="Arial" w:hAnsi="Arial" w:cs="Arial"/>
          <w:sz w:val="24"/>
          <w:szCs w:val="24"/>
        </w:rPr>
        <w:t xml:space="preserve">for the </w:t>
      </w:r>
      <w:r w:rsidR="00D52FDB">
        <w:rPr>
          <w:rFonts w:ascii="Arial" w:eastAsia="Arial" w:hAnsi="Arial" w:cs="Arial"/>
          <w:sz w:val="24"/>
          <w:szCs w:val="24"/>
        </w:rPr>
        <w:t>590</w:t>
      </w:r>
      <w:r w:rsidR="006F4109">
        <w:rPr>
          <w:rFonts w:ascii="Arial" w:eastAsia="Arial" w:hAnsi="Arial" w:cs="Arial"/>
          <w:sz w:val="24"/>
          <w:szCs w:val="24"/>
        </w:rPr>
        <w:t xml:space="preserve"> </w:t>
      </w:r>
      <w:r>
        <w:rPr>
          <w:rFonts w:ascii="Arial" w:eastAsia="Arial" w:hAnsi="Arial" w:cs="Arial"/>
          <w:sz w:val="24"/>
          <w:szCs w:val="24"/>
        </w:rPr>
        <w:t xml:space="preserve">individuals who are also living at home to supplement their </w:t>
      </w:r>
      <w:r w:rsidR="00D2016C">
        <w:rPr>
          <w:rFonts w:ascii="Arial" w:eastAsia="Arial" w:hAnsi="Arial" w:cs="Arial"/>
          <w:sz w:val="24"/>
          <w:szCs w:val="24"/>
        </w:rPr>
        <w:t>employment/</w:t>
      </w:r>
      <w:r>
        <w:rPr>
          <w:rFonts w:ascii="Arial" w:eastAsia="Arial" w:hAnsi="Arial" w:cs="Arial"/>
          <w:sz w:val="24"/>
          <w:szCs w:val="24"/>
        </w:rPr>
        <w:t>day supports. This is in alignment with the Department’s Employment First Policy to expand work opportunities for the individuals we support. Other individuals availed themselves of their entitlement to MassHealth state plan services, such as day habilitation.</w:t>
      </w:r>
    </w:p>
    <w:p w:rsidR="006F4109" w:rsidRDefault="006F4109">
      <w:pPr>
        <w:pStyle w:val="BodyText"/>
        <w:jc w:val="center"/>
        <w:rPr>
          <w:rFonts w:ascii="Arial" w:eastAsia="Arial" w:hAnsi="Arial" w:cs="Arial"/>
          <w:b/>
          <w:bCs/>
          <w:sz w:val="24"/>
          <w:szCs w:val="24"/>
        </w:rPr>
      </w:pPr>
    </w:p>
    <w:p w:rsidR="00523FC0" w:rsidRDefault="008A5D2C">
      <w:pPr>
        <w:pStyle w:val="BodyText"/>
        <w:jc w:val="center"/>
        <w:rPr>
          <w:rFonts w:ascii="Arial" w:eastAsia="Arial" w:hAnsi="Arial" w:cs="Arial"/>
          <w:sz w:val="24"/>
          <w:szCs w:val="24"/>
        </w:rPr>
      </w:pPr>
      <w:r>
        <w:rPr>
          <w:rFonts w:ascii="Arial" w:eastAsia="Arial" w:hAnsi="Arial" w:cs="Arial"/>
          <w:b/>
          <w:bCs/>
          <w:sz w:val="24"/>
          <w:szCs w:val="24"/>
        </w:rPr>
        <w:t>Figure 5</w:t>
      </w:r>
    </w:p>
    <w:tbl>
      <w:tblPr>
        <w:tblW w:w="8856"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6"/>
        <w:gridCol w:w="1476"/>
        <w:gridCol w:w="1476"/>
        <w:gridCol w:w="1476"/>
        <w:gridCol w:w="1476"/>
        <w:gridCol w:w="1476"/>
      </w:tblGrid>
      <w:tr w:rsidR="00523FC0">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REGION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Central/West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Metro Boston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Northeast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pStyle w:val="Heading1"/>
            </w:pPr>
            <w:r>
              <w:rPr>
                <w:rFonts w:ascii="Arial" w:eastAsia="Arial" w:hAnsi="Arial" w:cs="Arial"/>
              </w:rPr>
              <w:t>Southeast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TOTAL</w:t>
            </w:r>
          </w:p>
        </w:tc>
      </w:tr>
      <w:tr w:rsidR="00523FC0">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D52FDB" w:rsidP="00D52FDB">
            <w:pPr>
              <w:jc w:val="center"/>
            </w:pPr>
            <w:r>
              <w:rPr>
                <w:rFonts w:ascii="Arial" w:eastAsia="Arial" w:hAnsi="Arial" w:cs="Arial"/>
                <w:sz w:val="20"/>
                <w:szCs w:val="20"/>
              </w:rPr>
              <w:t>213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6F4109" w:rsidP="004A30CB">
            <w:pPr>
              <w:jc w:val="center"/>
            </w:pPr>
            <w:r>
              <w:rPr>
                <w:rFonts w:ascii="Arial" w:eastAsia="Arial" w:hAnsi="Arial" w:cs="Arial"/>
                <w:sz w:val="20"/>
                <w:szCs w:val="20"/>
              </w:rPr>
              <w:t xml:space="preserve"> 1</w:t>
            </w:r>
            <w:r w:rsidR="00D52FDB">
              <w:rPr>
                <w:rFonts w:ascii="Arial" w:eastAsia="Arial" w:hAnsi="Arial" w:cs="Arial"/>
                <w:sz w:val="20"/>
                <w:szCs w:val="20"/>
              </w:rPr>
              <w:t>40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D52FDB" w:rsidP="006F4109">
            <w:pPr>
              <w:jc w:val="center"/>
            </w:pPr>
            <w:r>
              <w:rPr>
                <w:rFonts w:ascii="Arial" w:eastAsia="Arial" w:hAnsi="Arial" w:cs="Arial"/>
                <w:sz w:val="20"/>
                <w:szCs w:val="20"/>
              </w:rPr>
              <w:t xml:space="preserve"> 129</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6F4109" w:rsidP="004A30CB">
            <w:pPr>
              <w:jc w:val="center"/>
            </w:pPr>
            <w:r>
              <w:rPr>
                <w:rFonts w:ascii="Arial" w:eastAsia="Arial" w:hAnsi="Arial" w:cs="Arial"/>
                <w:sz w:val="20"/>
                <w:szCs w:val="20"/>
              </w:rPr>
              <w:t xml:space="preserve"> 1</w:t>
            </w:r>
            <w:r w:rsidR="00D52FDB">
              <w:rPr>
                <w:rFonts w:ascii="Arial" w:eastAsia="Arial" w:hAnsi="Arial" w:cs="Arial"/>
                <w:sz w:val="20"/>
                <w:szCs w:val="20"/>
              </w:rPr>
              <w:t>08</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6F4109" w:rsidP="004A30CB">
            <w:pPr>
              <w:jc w:val="center"/>
            </w:pPr>
            <w:r>
              <w:rPr>
                <w:rFonts w:ascii="Arial" w:eastAsia="Arial" w:hAnsi="Arial" w:cs="Arial"/>
                <w:b/>
                <w:bCs/>
                <w:sz w:val="20"/>
                <w:szCs w:val="20"/>
              </w:rPr>
              <w:t xml:space="preserve"> 5</w:t>
            </w:r>
            <w:r w:rsidR="004A30CB">
              <w:rPr>
                <w:rFonts w:ascii="Arial" w:eastAsia="Arial" w:hAnsi="Arial" w:cs="Arial"/>
                <w:b/>
                <w:bCs/>
                <w:sz w:val="20"/>
                <w:szCs w:val="20"/>
              </w:rPr>
              <w:t>9</w:t>
            </w:r>
            <w:r w:rsidR="00D52FDB">
              <w:rPr>
                <w:rFonts w:ascii="Arial" w:eastAsia="Arial" w:hAnsi="Arial" w:cs="Arial"/>
                <w:b/>
                <w:bCs/>
                <w:sz w:val="20"/>
                <w:szCs w:val="20"/>
              </w:rPr>
              <w:t>0</w:t>
            </w:r>
          </w:p>
        </w:tc>
      </w:tr>
    </w:tbl>
    <w:p w:rsidR="00E13038" w:rsidRDefault="00E13038" w:rsidP="003475CE">
      <w:pPr>
        <w:pStyle w:val="BodyText"/>
        <w:rPr>
          <w:rFonts w:ascii="Arial" w:eastAsia="Arial" w:hAnsi="Arial" w:cs="Arial"/>
          <w:sz w:val="24"/>
          <w:szCs w:val="24"/>
        </w:rPr>
      </w:pPr>
    </w:p>
    <w:p w:rsidR="003475CE" w:rsidRDefault="003475CE" w:rsidP="003475CE">
      <w:pPr>
        <w:pStyle w:val="BodyText"/>
        <w:rPr>
          <w:rFonts w:ascii="Arial" w:eastAsia="Arial" w:hAnsi="Arial" w:cs="Arial"/>
          <w:sz w:val="24"/>
          <w:szCs w:val="24"/>
        </w:rPr>
      </w:pPr>
      <w:r>
        <w:rPr>
          <w:rFonts w:ascii="Arial" w:eastAsia="Arial" w:hAnsi="Arial" w:cs="Arial"/>
          <w:sz w:val="24"/>
          <w:szCs w:val="24"/>
        </w:rPr>
        <w:t xml:space="preserve">In addition to the data presented in this report, please note the Department </w:t>
      </w:r>
      <w:r w:rsidR="00987944">
        <w:rPr>
          <w:rFonts w:ascii="Arial" w:eastAsia="Arial" w:hAnsi="Arial" w:cs="Arial"/>
          <w:sz w:val="24"/>
          <w:szCs w:val="24"/>
        </w:rPr>
        <w:t xml:space="preserve">continues to offer an </w:t>
      </w:r>
      <w:r>
        <w:rPr>
          <w:rFonts w:ascii="Arial" w:eastAsia="Arial" w:hAnsi="Arial" w:cs="Arial"/>
          <w:sz w:val="24"/>
          <w:szCs w:val="24"/>
        </w:rPr>
        <w:t xml:space="preserve">array of </w:t>
      </w:r>
      <w:r w:rsidR="004A30CB">
        <w:rPr>
          <w:rFonts w:ascii="Arial" w:eastAsia="Arial" w:hAnsi="Arial" w:cs="Arial"/>
          <w:sz w:val="24"/>
          <w:szCs w:val="24"/>
        </w:rPr>
        <w:t>services for</w:t>
      </w:r>
      <w:r>
        <w:rPr>
          <w:rFonts w:ascii="Arial" w:eastAsia="Arial" w:hAnsi="Arial" w:cs="Arial"/>
          <w:sz w:val="24"/>
          <w:szCs w:val="24"/>
        </w:rPr>
        <w:t xml:space="preserve"> the upcoming T22 class in recognition of the importance and positive impact work has on the lives of the people we support. </w:t>
      </w:r>
      <w:r w:rsidR="008A5D2C">
        <w:rPr>
          <w:rFonts w:ascii="Arial" w:eastAsia="Arial" w:hAnsi="Arial" w:cs="Arial"/>
          <w:sz w:val="24"/>
          <w:szCs w:val="24"/>
        </w:rPr>
        <w:t xml:space="preserve"> </w:t>
      </w:r>
      <w:r>
        <w:rPr>
          <w:rFonts w:ascii="Arial" w:eastAsia="Arial" w:hAnsi="Arial" w:cs="Arial"/>
          <w:sz w:val="24"/>
          <w:szCs w:val="24"/>
        </w:rPr>
        <w:t xml:space="preserve">As a result, a major focus has been put on sustaining career paths for individuals turning 22. </w:t>
      </w:r>
    </w:p>
    <w:p w:rsidR="003475CE" w:rsidRDefault="003475CE" w:rsidP="003475CE">
      <w:pPr>
        <w:pStyle w:val="BodyText"/>
        <w:rPr>
          <w:rFonts w:ascii="Arial" w:eastAsia="Arial" w:hAnsi="Arial" w:cs="Arial"/>
          <w:sz w:val="24"/>
          <w:szCs w:val="24"/>
        </w:rPr>
      </w:pPr>
    </w:p>
    <w:p w:rsidR="003475CE" w:rsidRDefault="003475CE" w:rsidP="003475CE">
      <w:pPr>
        <w:pStyle w:val="BodyText"/>
        <w:rPr>
          <w:rFonts w:ascii="Arial" w:eastAsia="Arial" w:hAnsi="Arial" w:cs="Arial"/>
          <w:sz w:val="24"/>
          <w:szCs w:val="24"/>
        </w:rPr>
      </w:pPr>
      <w:r>
        <w:rPr>
          <w:rFonts w:ascii="Arial" w:eastAsia="Arial" w:hAnsi="Arial" w:cs="Arial"/>
          <w:sz w:val="24"/>
          <w:szCs w:val="24"/>
        </w:rPr>
        <w:t xml:space="preserve">. </w:t>
      </w:r>
    </w:p>
    <w:p w:rsidR="00523FC0" w:rsidRDefault="00523FC0">
      <w:pPr>
        <w:pStyle w:val="BodyText"/>
        <w:jc w:val="center"/>
      </w:pPr>
    </w:p>
    <w:sectPr w:rsidR="00523FC0">
      <w:headerReference w:type="default" r:id="rId12"/>
      <w:footerReference w:type="default" r:id="rId13"/>
      <w:pgSz w:w="12240" w:h="15840"/>
      <w:pgMar w:top="1080" w:right="1800" w:bottom="108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E34" w:rsidRDefault="008E7E34">
      <w:r>
        <w:separator/>
      </w:r>
    </w:p>
  </w:endnote>
  <w:endnote w:type="continuationSeparator" w:id="0">
    <w:p w:rsidR="008E7E34" w:rsidRDefault="008E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obe garamo">
    <w:altName w:val="Times New Roman"/>
    <w:panose1 w:val="00000000000000000000"/>
    <w:charset w:val="00"/>
    <w:family w:val="roman"/>
    <w:notTrueType/>
    <w:pitch w:val="default"/>
  </w:font>
  <w:font w:name="Adobe Garamond Pro Bold">
    <w:altName w:val="Times New Roman"/>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C0" w:rsidRDefault="008A5D2C">
    <w:pPr>
      <w:pStyle w:val="Footer"/>
      <w:tabs>
        <w:tab w:val="clear" w:pos="8640"/>
        <w:tab w:val="right" w:pos="8620"/>
      </w:tabs>
      <w:jc w:val="right"/>
    </w:pPr>
    <w:r>
      <w:fldChar w:fldCharType="begin"/>
    </w:r>
    <w:r>
      <w:instrText xml:space="preserve"> PAGE </w:instrText>
    </w:r>
    <w:r>
      <w:fldChar w:fldCharType="separate"/>
    </w:r>
    <w:r w:rsidR="002D35C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E34" w:rsidRDefault="008E7E34">
      <w:r>
        <w:separator/>
      </w:r>
    </w:p>
  </w:footnote>
  <w:footnote w:type="continuationSeparator" w:id="0">
    <w:p w:rsidR="008E7E34" w:rsidRDefault="008E7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C0" w:rsidRDefault="00523FC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23FC0"/>
    <w:rsid w:val="00081C27"/>
    <w:rsid w:val="000836F8"/>
    <w:rsid w:val="00123772"/>
    <w:rsid w:val="00220655"/>
    <w:rsid w:val="002D35CC"/>
    <w:rsid w:val="003475CE"/>
    <w:rsid w:val="003657A0"/>
    <w:rsid w:val="00374EB0"/>
    <w:rsid w:val="003C18B9"/>
    <w:rsid w:val="00421123"/>
    <w:rsid w:val="00433E0D"/>
    <w:rsid w:val="00484CF2"/>
    <w:rsid w:val="00484EF5"/>
    <w:rsid w:val="004A30CB"/>
    <w:rsid w:val="004D4142"/>
    <w:rsid w:val="004F6CB4"/>
    <w:rsid w:val="00523FC0"/>
    <w:rsid w:val="005C4CFC"/>
    <w:rsid w:val="0060029A"/>
    <w:rsid w:val="006D0170"/>
    <w:rsid w:val="006F4109"/>
    <w:rsid w:val="00836FE2"/>
    <w:rsid w:val="008A5D2C"/>
    <w:rsid w:val="008E7E34"/>
    <w:rsid w:val="00987944"/>
    <w:rsid w:val="00A4181A"/>
    <w:rsid w:val="00B20775"/>
    <w:rsid w:val="00B26776"/>
    <w:rsid w:val="00BA5FED"/>
    <w:rsid w:val="00BF0A9E"/>
    <w:rsid w:val="00C90484"/>
    <w:rsid w:val="00D2016C"/>
    <w:rsid w:val="00D52FDB"/>
    <w:rsid w:val="00D62044"/>
    <w:rsid w:val="00D62CE8"/>
    <w:rsid w:val="00D77FFC"/>
    <w:rsid w:val="00E13038"/>
    <w:rsid w:val="00E51180"/>
    <w:rsid w:val="00EE2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rPr>
  </w:style>
  <w:style w:type="paragraph" w:styleId="Heading1">
    <w:name w:val="heading 1"/>
    <w:next w:val="Normal"/>
    <w:pPr>
      <w:keepNext/>
      <w:jc w:val="center"/>
      <w:outlineLvl w:val="0"/>
    </w:pPr>
    <w:rPr>
      <w:rFonts w:eastAsia="Times New Roman"/>
      <w:b/>
      <w:bCs/>
      <w:color w:val="000000"/>
      <w:u w:color="000000"/>
    </w:rPr>
  </w:style>
  <w:style w:type="paragraph" w:styleId="Heading2">
    <w:name w:val="heading 2"/>
    <w:basedOn w:val="Normal"/>
    <w:next w:val="Normal"/>
    <w:link w:val="Heading2Char"/>
    <w:uiPriority w:val="9"/>
    <w:semiHidden/>
    <w:unhideWhenUsed/>
    <w:qFormat/>
    <w:rsid w:val="001237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eastAsia="Times New Roman"/>
      <w:color w:val="000000"/>
      <w:sz w:val="24"/>
      <w:szCs w:val="24"/>
      <w:u w:color="000000"/>
    </w:rPr>
  </w:style>
  <w:style w:type="paragraph" w:styleId="BodyText">
    <w:name w:val="Body Text"/>
    <w:rPr>
      <w:rFonts w:eastAsia="Times New Roman"/>
      <w:color w:val="000000"/>
      <w:sz w:val="28"/>
      <w:szCs w:val="28"/>
      <w:u w:color="000000"/>
    </w:r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475CE"/>
    <w:rPr>
      <w:rFonts w:ascii="Tahoma" w:hAnsi="Tahoma" w:cs="Tahoma"/>
      <w:sz w:val="16"/>
      <w:szCs w:val="16"/>
    </w:rPr>
  </w:style>
  <w:style w:type="character" w:customStyle="1" w:styleId="BalloonTextChar">
    <w:name w:val="Balloon Text Char"/>
    <w:basedOn w:val="DefaultParagraphFont"/>
    <w:link w:val="BalloonText"/>
    <w:uiPriority w:val="99"/>
    <w:semiHidden/>
    <w:rsid w:val="003475CE"/>
    <w:rPr>
      <w:rFonts w:ascii="Tahoma" w:eastAsia="Times New Roman" w:hAnsi="Tahoma" w:cs="Tahoma"/>
      <w:color w:val="000000"/>
      <w:sz w:val="16"/>
      <w:szCs w:val="16"/>
      <w:u w:color="000000"/>
    </w:rPr>
  </w:style>
  <w:style w:type="character" w:customStyle="1" w:styleId="Heading2Char">
    <w:name w:val="Heading 2 Char"/>
    <w:basedOn w:val="DefaultParagraphFont"/>
    <w:link w:val="Heading2"/>
    <w:uiPriority w:val="9"/>
    <w:semiHidden/>
    <w:rsid w:val="00123772"/>
    <w:rPr>
      <w:rFonts w:asciiTheme="majorHAnsi" w:eastAsiaTheme="majorEastAsia" w:hAnsiTheme="majorHAnsi" w:cstheme="majorBidi"/>
      <w:b/>
      <w:bCs/>
      <w:color w:val="4F81BD" w:themeColor="accent1"/>
      <w:sz w:val="26"/>
      <w:szCs w:val="2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rPr>
  </w:style>
  <w:style w:type="paragraph" w:styleId="Heading1">
    <w:name w:val="heading 1"/>
    <w:next w:val="Normal"/>
    <w:pPr>
      <w:keepNext/>
      <w:jc w:val="center"/>
      <w:outlineLvl w:val="0"/>
    </w:pPr>
    <w:rPr>
      <w:rFonts w:eastAsia="Times New Roman"/>
      <w:b/>
      <w:bCs/>
      <w:color w:val="000000"/>
      <w:u w:color="000000"/>
    </w:rPr>
  </w:style>
  <w:style w:type="paragraph" w:styleId="Heading2">
    <w:name w:val="heading 2"/>
    <w:basedOn w:val="Normal"/>
    <w:next w:val="Normal"/>
    <w:link w:val="Heading2Char"/>
    <w:uiPriority w:val="9"/>
    <w:semiHidden/>
    <w:unhideWhenUsed/>
    <w:qFormat/>
    <w:rsid w:val="001237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eastAsia="Times New Roman"/>
      <w:color w:val="000000"/>
      <w:sz w:val="24"/>
      <w:szCs w:val="24"/>
      <w:u w:color="000000"/>
    </w:rPr>
  </w:style>
  <w:style w:type="paragraph" w:styleId="BodyText">
    <w:name w:val="Body Text"/>
    <w:rPr>
      <w:rFonts w:eastAsia="Times New Roman"/>
      <w:color w:val="000000"/>
      <w:sz w:val="28"/>
      <w:szCs w:val="28"/>
      <w:u w:color="000000"/>
    </w:r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475CE"/>
    <w:rPr>
      <w:rFonts w:ascii="Tahoma" w:hAnsi="Tahoma" w:cs="Tahoma"/>
      <w:sz w:val="16"/>
      <w:szCs w:val="16"/>
    </w:rPr>
  </w:style>
  <w:style w:type="character" w:customStyle="1" w:styleId="BalloonTextChar">
    <w:name w:val="Balloon Text Char"/>
    <w:basedOn w:val="DefaultParagraphFont"/>
    <w:link w:val="BalloonText"/>
    <w:uiPriority w:val="99"/>
    <w:semiHidden/>
    <w:rsid w:val="003475CE"/>
    <w:rPr>
      <w:rFonts w:ascii="Tahoma" w:eastAsia="Times New Roman" w:hAnsi="Tahoma" w:cs="Tahoma"/>
      <w:color w:val="000000"/>
      <w:sz w:val="16"/>
      <w:szCs w:val="16"/>
      <w:u w:color="000000"/>
    </w:rPr>
  </w:style>
  <w:style w:type="character" w:customStyle="1" w:styleId="Heading2Char">
    <w:name w:val="Heading 2 Char"/>
    <w:basedOn w:val="DefaultParagraphFont"/>
    <w:link w:val="Heading2"/>
    <w:uiPriority w:val="9"/>
    <w:semiHidden/>
    <w:rsid w:val="00123772"/>
    <w:rPr>
      <w:rFonts w:asciiTheme="majorHAnsi" w:eastAsiaTheme="majorEastAsia" w:hAnsiTheme="majorHAnsi" w:cstheme="majorBidi"/>
      <w:b/>
      <w:bCs/>
      <w:color w:val="4F81BD" w:themeColor="accent1"/>
      <w:sz w:val="26"/>
      <w:szCs w:val="2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hart" Target="charts/chart2.xml"/>
  <Relationship Id="rId11" Type="http://schemas.openxmlformats.org/officeDocument/2006/relationships/chart" Target="charts/chart3.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chart" Target="charts/chart1.xml"/>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noFill/>
        <a:ln w="3175">
          <a:solidFill>
            <a:srgbClr val="000000"/>
          </a:solidFill>
          <a:prstDash val="solid"/>
        </a:ln>
      </c:spPr>
    </c:sideWall>
    <c:backWall>
      <c:thickness val="0"/>
      <c:spPr>
        <a:noFill/>
        <a:ln w="3175">
          <a:solidFill>
            <a:srgbClr val="000000"/>
          </a:solidFill>
          <a:prstDash val="solid"/>
        </a:ln>
      </c:spPr>
    </c:backWall>
    <c:plotArea>
      <c:layout>
        <c:manualLayout>
          <c:layoutTarget val="inner"/>
          <c:xMode val="edge"/>
          <c:yMode val="edge"/>
          <c:x val="0.16647207477543402"/>
          <c:y val="5.7519329071207874E-2"/>
          <c:w val="0.82892906815020861"/>
          <c:h val="0.72123893805309724"/>
        </c:manualLayout>
      </c:layout>
      <c:bar3DChart>
        <c:barDir val="col"/>
        <c:grouping val="clustered"/>
        <c:varyColors val="0"/>
        <c:ser>
          <c:idx val="0"/>
          <c:order val="0"/>
          <c:tx>
            <c:strRef>
              <c:f>Sheet1!$A$2</c:f>
              <c:strCache>
                <c:ptCount val="1"/>
                <c:pt idx="0">
                  <c:v>FY Census</c:v>
                </c:pt>
              </c:strCache>
            </c:strRef>
          </c:tx>
          <c:spPr>
            <a:solidFill>
              <a:srgbClr val="9999FF"/>
            </a:solidFill>
            <a:ln w="12701">
              <a:solidFill>
                <a:srgbClr val="000000"/>
              </a:solidFill>
              <a:prstDash val="solid"/>
            </a:ln>
          </c:spPr>
          <c:invertIfNegative val="0"/>
          <c:cat>
            <c:strRef>
              <c:f>Sheet1!$B$1:$T$1</c:f>
              <c:strCache>
                <c:ptCount val="19"/>
                <c:pt idx="0">
                  <c:v>'98</c:v>
                </c:pt>
                <c:pt idx="1">
                  <c:v>'99</c:v>
                </c:pt>
                <c:pt idx="2">
                  <c:v>'00</c:v>
                </c:pt>
                <c:pt idx="3">
                  <c:v>'01</c:v>
                </c:pt>
                <c:pt idx="4">
                  <c:v>'02</c:v>
                </c:pt>
                <c:pt idx="5">
                  <c:v>'03</c:v>
                </c:pt>
                <c:pt idx="6">
                  <c:v>'04</c:v>
                </c:pt>
                <c:pt idx="7">
                  <c:v>'05</c:v>
                </c:pt>
                <c:pt idx="8">
                  <c:v>'06</c:v>
                </c:pt>
                <c:pt idx="9">
                  <c:v>'07</c:v>
                </c:pt>
                <c:pt idx="10">
                  <c:v>'08</c:v>
                </c:pt>
                <c:pt idx="11">
                  <c:v>'09</c:v>
                </c:pt>
                <c:pt idx="12">
                  <c:v>'10</c:v>
                </c:pt>
                <c:pt idx="13">
                  <c:v>'11</c:v>
                </c:pt>
                <c:pt idx="14">
                  <c:v>'12</c:v>
                </c:pt>
                <c:pt idx="15">
                  <c:v>'13</c:v>
                </c:pt>
                <c:pt idx="16">
                  <c:v>'14</c:v>
                </c:pt>
                <c:pt idx="17">
                  <c:v>'15</c:v>
                </c:pt>
                <c:pt idx="18">
                  <c:v>'16</c:v>
                </c:pt>
              </c:strCache>
            </c:strRef>
          </c:cat>
          <c:val>
            <c:numRef>
              <c:f>Sheet1!$B$2:$T$2</c:f>
              <c:numCache>
                <c:formatCode>General</c:formatCode>
                <c:ptCount val="19"/>
                <c:pt idx="0">
                  <c:v>450</c:v>
                </c:pt>
                <c:pt idx="1">
                  <c:v>462</c:v>
                </c:pt>
                <c:pt idx="2">
                  <c:v>446</c:v>
                </c:pt>
                <c:pt idx="3">
                  <c:v>462</c:v>
                </c:pt>
                <c:pt idx="4">
                  <c:v>535</c:v>
                </c:pt>
                <c:pt idx="5">
                  <c:v>453</c:v>
                </c:pt>
                <c:pt idx="6">
                  <c:v>502</c:v>
                </c:pt>
                <c:pt idx="7">
                  <c:v>513</c:v>
                </c:pt>
                <c:pt idx="8">
                  <c:v>597</c:v>
                </c:pt>
                <c:pt idx="9">
                  <c:v>571</c:v>
                </c:pt>
                <c:pt idx="10">
                  <c:v>608</c:v>
                </c:pt>
                <c:pt idx="11">
                  <c:v>618</c:v>
                </c:pt>
                <c:pt idx="12">
                  <c:v>628</c:v>
                </c:pt>
                <c:pt idx="13">
                  <c:v>675</c:v>
                </c:pt>
                <c:pt idx="14">
                  <c:v>712</c:v>
                </c:pt>
                <c:pt idx="15">
                  <c:v>731</c:v>
                </c:pt>
                <c:pt idx="16">
                  <c:v>804</c:v>
                </c:pt>
                <c:pt idx="17">
                  <c:v>809</c:v>
                </c:pt>
                <c:pt idx="18">
                  <c:v>855</c:v>
                </c:pt>
              </c:numCache>
            </c:numRef>
          </c:val>
        </c:ser>
        <c:dLbls>
          <c:showLegendKey val="0"/>
          <c:showVal val="0"/>
          <c:showCatName val="0"/>
          <c:showSerName val="0"/>
          <c:showPercent val="0"/>
          <c:showBubbleSize val="0"/>
        </c:dLbls>
        <c:gapWidth val="150"/>
        <c:gapDepth val="0"/>
        <c:shape val="box"/>
        <c:axId val="143721984"/>
        <c:axId val="143723520"/>
        <c:axId val="0"/>
      </c:bar3DChart>
      <c:catAx>
        <c:axId val="1437219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43723520"/>
        <c:crosses val="autoZero"/>
        <c:auto val="1"/>
        <c:lblAlgn val="ctr"/>
        <c:lblOffset val="100"/>
        <c:tickLblSkip val="1"/>
        <c:tickMarkSkip val="1"/>
        <c:noMultiLvlLbl val="0"/>
      </c:catAx>
      <c:valAx>
        <c:axId val="143723520"/>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43721984"/>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800" b="1" i="0" u="none" strike="noStrike" baseline="0">
                <a:solidFill>
                  <a:srgbClr val="000000"/>
                </a:solidFill>
                <a:latin typeface="Arial"/>
                <a:ea typeface="Arial"/>
                <a:cs typeface="Arial"/>
              </a:defRPr>
            </a:pPr>
            <a:endParaRPr lang="en-US"/>
          </a:p>
        </c:txPr>
      </c:dTable>
      <c:spPr>
        <a:noFill/>
        <a:ln w="25401">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0.18887262079062958"/>
          <c:y val="4.6610169491525424E-2"/>
          <c:w val="0.79355783308931183"/>
          <c:h val="0.7033898305084747"/>
        </c:manualLayout>
      </c:layout>
      <c:bar3DChart>
        <c:barDir val="col"/>
        <c:grouping val="clustered"/>
        <c:varyColors val="0"/>
        <c:ser>
          <c:idx val="0"/>
          <c:order val="0"/>
          <c:tx>
            <c:strRef>
              <c:f>Sheet1!$A$2</c:f>
              <c:strCache>
                <c:ptCount val="1"/>
                <c:pt idx="0">
                  <c:v>Appropriation</c:v>
                </c:pt>
              </c:strCache>
            </c:strRef>
          </c:tx>
          <c:spPr>
            <a:solidFill>
              <a:srgbClr val="9999FF"/>
            </a:solidFill>
            <a:ln w="12699">
              <a:solidFill>
                <a:srgbClr val="000000"/>
              </a:solidFill>
              <a:prstDash val="solid"/>
            </a:ln>
          </c:spPr>
          <c:invertIfNegative val="0"/>
          <c:cat>
            <c:strRef>
              <c:f>Sheet1!$B$1:$D$1</c:f>
              <c:strCache>
                <c:ptCount val="3"/>
                <c:pt idx="0">
                  <c:v>Residential        5920-2000</c:v>
                </c:pt>
                <c:pt idx="1">
                  <c:v>Day 5920-2025</c:v>
                </c:pt>
                <c:pt idx="2">
                  <c:v>Transportation     5911-2000</c:v>
                </c:pt>
              </c:strCache>
            </c:strRef>
          </c:cat>
          <c:val>
            <c:numRef>
              <c:f>Sheet1!$B$2:$D$2</c:f>
              <c:numCache>
                <c:formatCode>"$"#,##0</c:formatCode>
                <c:ptCount val="3"/>
                <c:pt idx="0">
                  <c:v>26342539</c:v>
                </c:pt>
                <c:pt idx="1">
                  <c:v>11020621</c:v>
                </c:pt>
                <c:pt idx="2">
                  <c:v>2110618</c:v>
                </c:pt>
              </c:numCache>
            </c:numRef>
          </c:val>
        </c:ser>
        <c:dLbls>
          <c:showLegendKey val="0"/>
          <c:showVal val="0"/>
          <c:showCatName val="0"/>
          <c:showSerName val="0"/>
          <c:showPercent val="0"/>
          <c:showBubbleSize val="0"/>
        </c:dLbls>
        <c:gapWidth val="150"/>
        <c:gapDepth val="0"/>
        <c:shape val="box"/>
        <c:axId val="143741312"/>
        <c:axId val="143742848"/>
        <c:axId val="0"/>
      </c:bar3DChart>
      <c:catAx>
        <c:axId val="1437413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43742848"/>
        <c:crosses val="autoZero"/>
        <c:auto val="1"/>
        <c:lblAlgn val="ctr"/>
        <c:lblOffset val="100"/>
        <c:tickLblSkip val="1"/>
        <c:tickMarkSkip val="1"/>
        <c:noMultiLvlLbl val="0"/>
      </c:catAx>
      <c:valAx>
        <c:axId val="143742848"/>
        <c:scaling>
          <c:orientation val="minMax"/>
        </c:scaling>
        <c:delete val="0"/>
        <c:axPos val="l"/>
        <c:majorGridlines>
          <c:spPr>
            <a:ln w="3175">
              <a:solidFill>
                <a:srgbClr val="000000"/>
              </a:solidFill>
              <a:prstDash val="solid"/>
            </a:ln>
          </c:spPr>
        </c:majorGridlines>
        <c:numFmt formatCode="&quot;$&quot;#,##0"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43741312"/>
        <c:crosses val="autoZero"/>
        <c:crossBetween val="between"/>
        <c:majorUnit val="5000000"/>
      </c:valAx>
      <c:dTable>
        <c:showHorzBorder val="1"/>
        <c:showVertBorder val="1"/>
        <c:showOutline val="1"/>
        <c:showKeys val="1"/>
        <c:spPr>
          <a:ln w="3175">
            <a:solidFill>
              <a:srgbClr val="000000"/>
            </a:solidFill>
            <a:prstDash val="solid"/>
          </a:ln>
        </c:spPr>
        <c:txPr>
          <a:bodyPr/>
          <a:lstStyle/>
          <a:p>
            <a:pPr rtl="0">
              <a:defRPr sz="800" b="1" i="0" u="none" strike="noStrike" baseline="0">
                <a:solidFill>
                  <a:srgbClr val="000000"/>
                </a:solidFill>
                <a:latin typeface="Arial"/>
                <a:ea typeface="Arial"/>
                <a:cs typeface="Arial"/>
              </a:defRPr>
            </a:pPr>
            <a:endParaRPr lang="en-US"/>
          </a:p>
        </c:txPr>
      </c:dTable>
      <c:spPr>
        <a:noFill/>
        <a:ln w="25399">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0.18887262079062958"/>
          <c:y val="4.6610169491525424E-2"/>
          <c:w val="0.79355783308931183"/>
          <c:h val="0.7033898305084747"/>
        </c:manualLayout>
      </c:layout>
      <c:bar3DChart>
        <c:barDir val="col"/>
        <c:grouping val="clustered"/>
        <c:varyColors val="0"/>
        <c:ser>
          <c:idx val="0"/>
          <c:order val="0"/>
          <c:tx>
            <c:strRef>
              <c:f>Sheet1!$A$2</c:f>
              <c:strCache>
                <c:ptCount val="1"/>
                <c:pt idx="0">
                  <c:v>Appropriation</c:v>
                </c:pt>
              </c:strCache>
            </c:strRef>
          </c:tx>
          <c:spPr>
            <a:solidFill>
              <a:srgbClr val="9999FF"/>
            </a:solidFill>
            <a:ln w="12699">
              <a:solidFill>
                <a:srgbClr val="000000"/>
              </a:solidFill>
              <a:prstDash val="solid"/>
            </a:ln>
          </c:spPr>
          <c:invertIfNegative val="0"/>
          <c:cat>
            <c:strRef>
              <c:f>Sheet1!$B$1:$F$1</c:f>
              <c:strCache>
                <c:ptCount val="5"/>
                <c:pt idx="0">
                  <c:v>FY10-12</c:v>
                </c:pt>
                <c:pt idx="1">
                  <c:v>FY13</c:v>
                </c:pt>
                <c:pt idx="2">
                  <c:v>FY14</c:v>
                </c:pt>
                <c:pt idx="3">
                  <c:v>FY15</c:v>
                </c:pt>
                <c:pt idx="4">
                  <c:v>FY16</c:v>
                </c:pt>
              </c:strCache>
            </c:strRef>
          </c:cat>
          <c:val>
            <c:numRef>
              <c:f>Sheet1!$B$2:$F$2</c:f>
              <c:numCache>
                <c:formatCode>"$"#,##0_);[Red]\("$"#,##0\)</c:formatCode>
                <c:ptCount val="5"/>
                <c:pt idx="0" formatCode="&quot;$&quot;#,##0">
                  <c:v>5000000</c:v>
                </c:pt>
                <c:pt idx="1">
                  <c:v>6000000</c:v>
                </c:pt>
                <c:pt idx="2">
                  <c:v>6500000</c:v>
                </c:pt>
                <c:pt idx="3">
                  <c:v>6500000</c:v>
                </c:pt>
                <c:pt idx="4">
                  <c:v>7000000</c:v>
                </c:pt>
              </c:numCache>
            </c:numRef>
          </c:val>
        </c:ser>
        <c:dLbls>
          <c:showLegendKey val="0"/>
          <c:showVal val="0"/>
          <c:showCatName val="0"/>
          <c:showSerName val="0"/>
          <c:showPercent val="0"/>
          <c:showBubbleSize val="0"/>
        </c:dLbls>
        <c:gapWidth val="150"/>
        <c:gapDepth val="0"/>
        <c:shape val="box"/>
        <c:axId val="143756288"/>
        <c:axId val="143966976"/>
        <c:axId val="0"/>
      </c:bar3DChart>
      <c:catAx>
        <c:axId val="14375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43966976"/>
        <c:crosses val="autoZero"/>
        <c:auto val="1"/>
        <c:lblAlgn val="ctr"/>
        <c:lblOffset val="100"/>
        <c:tickLblSkip val="1"/>
        <c:tickMarkSkip val="1"/>
        <c:noMultiLvlLbl val="0"/>
      </c:catAx>
      <c:valAx>
        <c:axId val="143966976"/>
        <c:scaling>
          <c:orientation val="minMax"/>
          <c:max val="7000000"/>
          <c:min val="0"/>
        </c:scaling>
        <c:delete val="0"/>
        <c:axPos val="l"/>
        <c:majorGridlines>
          <c:spPr>
            <a:ln w="3175">
              <a:solidFill>
                <a:srgbClr val="000000"/>
              </a:solidFill>
              <a:prstDash val="solid"/>
            </a:ln>
          </c:spPr>
        </c:majorGridlines>
        <c:numFmt formatCode="&quot;$&quot;#,##0"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43756288"/>
        <c:crosses val="autoZero"/>
        <c:crossBetween val="between"/>
        <c:majorUnit val="5000000"/>
      </c:valAx>
      <c:dTable>
        <c:showHorzBorder val="1"/>
        <c:showVertBorder val="1"/>
        <c:showOutline val="1"/>
        <c:showKeys val="1"/>
        <c:spPr>
          <a:ln w="3175">
            <a:solidFill>
              <a:srgbClr val="000000"/>
            </a:solidFill>
            <a:prstDash val="solid"/>
          </a:ln>
        </c:spPr>
        <c:txPr>
          <a:bodyPr/>
          <a:lstStyle/>
          <a:p>
            <a:pPr rtl="0">
              <a:defRPr sz="800" b="1" i="0" u="none" strike="noStrike" baseline="0">
                <a:solidFill>
                  <a:srgbClr val="000000"/>
                </a:solidFill>
                <a:latin typeface="Arial"/>
                <a:ea typeface="Arial"/>
                <a:cs typeface="Arial"/>
              </a:defRPr>
            </a:pPr>
            <a:endParaRPr lang="en-US"/>
          </a:p>
        </c:txPr>
      </c:dTable>
      <c:spPr>
        <a:noFill/>
        <a:ln w="25399">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9B28E-2C3C-42C0-9B6C-9CF41A70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3147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2016-01-05T17:04:00Z</dcterms:created>
  <dc:creator>Hernandez, Victor (DDS)</dc:creator>
  <lastModifiedBy/>
  <lastPrinted>2015-12-23T17:47:00Z</lastPrinted>
  <dcterms:modified xsi:type="dcterms:W3CDTF">2016-01-05T17:04:00Z</dcterms:modified>
  <revision>2</revision>
</coreProperties>
</file>