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9998" w14:textId="77777777" w:rsidR="00055385" w:rsidRPr="00055385" w:rsidRDefault="00055385" w:rsidP="00055385">
      <w:pPr>
        <w:spacing w:after="0" w:line="240" w:lineRule="auto"/>
        <w:jc w:val="center"/>
        <w:outlineLvl w:val="0"/>
        <w:rPr>
          <w:rFonts w:ascii="Times New Roman" w:eastAsia="Times New Roman" w:hAnsi="Times New Roman" w:cs="Times New Roman"/>
          <w:b/>
          <w:sz w:val="24"/>
          <w:szCs w:val="20"/>
        </w:rPr>
      </w:pPr>
      <w:r w:rsidRPr="00055385">
        <w:rPr>
          <w:rFonts w:ascii="Times New Roman" w:eastAsia="Times New Roman" w:hAnsi="Times New Roman" w:cs="Times New Roman"/>
          <w:b/>
          <w:sz w:val="24"/>
          <w:szCs w:val="20"/>
        </w:rPr>
        <w:t>BOARD OF REGISTRATION IN NURSING</w:t>
      </w:r>
    </w:p>
    <w:p w14:paraId="2F6950BC" w14:textId="2CF344AA" w:rsidR="00055385" w:rsidRPr="00055385" w:rsidRDefault="00055385" w:rsidP="00055385">
      <w:pPr>
        <w:spacing w:after="0" w:line="240" w:lineRule="auto"/>
        <w:jc w:val="center"/>
        <w:outlineLvl w:val="0"/>
        <w:rPr>
          <w:rFonts w:ascii="Times New Roman" w:eastAsia="Times New Roman" w:hAnsi="Times New Roman" w:cs="Times New Roman"/>
          <w:b/>
          <w:sz w:val="24"/>
          <w:szCs w:val="20"/>
        </w:rPr>
      </w:pPr>
      <w:r w:rsidRPr="00055385">
        <w:rPr>
          <w:rFonts w:ascii="Times New Roman" w:eastAsia="Times New Roman" w:hAnsi="Times New Roman" w:cs="Times New Roman"/>
          <w:b/>
          <w:sz w:val="24"/>
          <w:szCs w:val="20"/>
        </w:rPr>
        <w:t xml:space="preserve">Substance </w:t>
      </w:r>
      <w:r w:rsidR="000F1108">
        <w:rPr>
          <w:rFonts w:ascii="Times New Roman" w:eastAsia="Times New Roman" w:hAnsi="Times New Roman" w:cs="Times New Roman"/>
          <w:b/>
          <w:sz w:val="24"/>
          <w:szCs w:val="20"/>
        </w:rPr>
        <w:t>Addiction Recovery Program</w:t>
      </w:r>
      <w:r w:rsidRPr="00055385">
        <w:rPr>
          <w:rFonts w:ascii="Times New Roman" w:eastAsia="Times New Roman" w:hAnsi="Times New Roman" w:cs="Times New Roman"/>
          <w:b/>
          <w:sz w:val="24"/>
          <w:szCs w:val="20"/>
        </w:rPr>
        <w:t xml:space="preserve"> (SARP)</w:t>
      </w:r>
    </w:p>
    <w:p w14:paraId="764B0127" w14:textId="0B9DE98E" w:rsidR="00055385" w:rsidRPr="00055385" w:rsidRDefault="00055385" w:rsidP="00055385">
      <w:pPr>
        <w:spacing w:after="0" w:line="240" w:lineRule="auto"/>
        <w:jc w:val="center"/>
        <w:outlineLvl w:val="0"/>
        <w:rPr>
          <w:rFonts w:ascii="Times New Roman" w:eastAsia="Times New Roman" w:hAnsi="Times New Roman" w:cs="Times New Roman"/>
          <w:b/>
          <w:sz w:val="24"/>
          <w:szCs w:val="20"/>
        </w:rPr>
      </w:pPr>
      <w:r w:rsidRPr="00055385">
        <w:rPr>
          <w:rFonts w:ascii="Times New Roman" w:eastAsia="Times New Roman" w:hAnsi="Times New Roman" w:cs="Times New Roman"/>
          <w:b/>
          <w:sz w:val="24"/>
          <w:szCs w:val="20"/>
        </w:rPr>
        <w:t>SARP Policy 06-01</w:t>
      </w:r>
    </w:p>
    <w:p w14:paraId="36783299" w14:textId="77777777" w:rsidR="00055385" w:rsidRPr="00055385" w:rsidRDefault="00055385" w:rsidP="00055385">
      <w:pPr>
        <w:spacing w:after="0" w:line="240" w:lineRule="auto"/>
        <w:rPr>
          <w:rFonts w:ascii="Times New Roman" w:eastAsia="Times New Roman" w:hAnsi="Times New Roman" w:cs="Times New Roman"/>
          <w:sz w:val="24"/>
          <w:szCs w:val="20"/>
        </w:rPr>
      </w:pPr>
    </w:p>
    <w:tbl>
      <w:tblPr>
        <w:tblW w:w="0" w:type="auto"/>
        <w:tblInd w:w="-252" w:type="dxa"/>
        <w:tblBorders>
          <w:insideH w:val="single" w:sz="6" w:space="0" w:color="000000"/>
          <w:insideV w:val="single" w:sz="6" w:space="0" w:color="000000"/>
        </w:tblBorders>
        <w:tblLook w:val="01E0" w:firstRow="1" w:lastRow="1" w:firstColumn="1" w:lastColumn="1" w:noHBand="0" w:noVBand="0"/>
      </w:tblPr>
      <w:tblGrid>
        <w:gridCol w:w="2667"/>
        <w:gridCol w:w="6945"/>
      </w:tblGrid>
      <w:tr w:rsidR="00055385" w:rsidRPr="00055385" w14:paraId="4AAA9A02" w14:textId="77777777" w:rsidTr="006D4513">
        <w:tc>
          <w:tcPr>
            <w:tcW w:w="2700" w:type="dxa"/>
            <w:shd w:val="clear" w:color="auto" w:fill="auto"/>
          </w:tcPr>
          <w:p w14:paraId="3C39F41E" w14:textId="77777777" w:rsidR="00055385" w:rsidRPr="00055385" w:rsidRDefault="00055385" w:rsidP="00055385">
            <w:pPr>
              <w:spacing w:after="0" w:line="240" w:lineRule="auto"/>
              <w:rPr>
                <w:rFonts w:ascii="Times New Roman" w:eastAsia="Times New Roman" w:hAnsi="Times New Roman" w:cs="Times New Roman"/>
                <w:b/>
                <w:bCs/>
                <w:sz w:val="24"/>
                <w:szCs w:val="20"/>
              </w:rPr>
            </w:pPr>
            <w:r w:rsidRPr="00055385">
              <w:rPr>
                <w:rFonts w:ascii="Times New Roman" w:eastAsia="Times New Roman" w:hAnsi="Times New Roman" w:cs="Times New Roman"/>
                <w:b/>
                <w:bCs/>
                <w:sz w:val="24"/>
                <w:szCs w:val="20"/>
              </w:rPr>
              <w:t>Title</w:t>
            </w:r>
          </w:p>
        </w:tc>
        <w:tc>
          <w:tcPr>
            <w:tcW w:w="7128" w:type="dxa"/>
            <w:shd w:val="clear" w:color="auto" w:fill="auto"/>
          </w:tcPr>
          <w:p w14:paraId="16570941" w14:textId="77777777" w:rsidR="00055385" w:rsidRPr="00055385" w:rsidRDefault="00055385" w:rsidP="00055385">
            <w:pPr>
              <w:spacing w:after="0" w:line="240" w:lineRule="auto"/>
              <w:rPr>
                <w:rFonts w:ascii="Times New Roman" w:eastAsia="Times New Roman" w:hAnsi="Times New Roman" w:cs="Times New Roman"/>
                <w:bCs/>
                <w:sz w:val="24"/>
                <w:szCs w:val="20"/>
              </w:rPr>
            </w:pPr>
            <w:r w:rsidRPr="00055385">
              <w:rPr>
                <w:rFonts w:ascii="Times New Roman" w:eastAsia="Times New Roman" w:hAnsi="Times New Roman" w:cs="Times New Roman"/>
                <w:bCs/>
                <w:sz w:val="24"/>
                <w:szCs w:val="20"/>
              </w:rPr>
              <w:t xml:space="preserve">SARP Participants’ </w:t>
            </w:r>
            <w:r w:rsidR="00400056">
              <w:rPr>
                <w:rFonts w:ascii="Times New Roman" w:eastAsia="Times New Roman" w:hAnsi="Times New Roman" w:cs="Times New Roman"/>
                <w:bCs/>
                <w:sz w:val="24"/>
                <w:szCs w:val="20"/>
              </w:rPr>
              <w:t xml:space="preserve">Unauthorized Substance Use or Impairment During </w:t>
            </w:r>
            <w:r w:rsidR="002A571D">
              <w:rPr>
                <w:rFonts w:ascii="Times New Roman" w:eastAsia="Times New Roman" w:hAnsi="Times New Roman" w:cs="Times New Roman"/>
                <w:bCs/>
                <w:sz w:val="24"/>
                <w:szCs w:val="20"/>
              </w:rPr>
              <w:t xml:space="preserve">Program </w:t>
            </w:r>
            <w:r w:rsidR="00400056">
              <w:rPr>
                <w:rFonts w:ascii="Times New Roman" w:eastAsia="Times New Roman" w:hAnsi="Times New Roman" w:cs="Times New Roman"/>
                <w:bCs/>
                <w:sz w:val="24"/>
                <w:szCs w:val="20"/>
              </w:rPr>
              <w:t>Participation</w:t>
            </w:r>
          </w:p>
          <w:p w14:paraId="240ABABD" w14:textId="77777777" w:rsidR="00055385" w:rsidRPr="00055385" w:rsidRDefault="00055385" w:rsidP="00055385">
            <w:pPr>
              <w:spacing w:after="0" w:line="240" w:lineRule="auto"/>
              <w:rPr>
                <w:rFonts w:ascii="Times New Roman" w:eastAsia="Times New Roman" w:hAnsi="Times New Roman" w:cs="Times New Roman"/>
                <w:bCs/>
                <w:sz w:val="24"/>
                <w:szCs w:val="20"/>
              </w:rPr>
            </w:pPr>
          </w:p>
        </w:tc>
      </w:tr>
      <w:tr w:rsidR="00055385" w:rsidRPr="00055385" w14:paraId="3C65A07F" w14:textId="77777777" w:rsidTr="006D4513">
        <w:tc>
          <w:tcPr>
            <w:tcW w:w="2700" w:type="dxa"/>
            <w:shd w:val="clear" w:color="auto" w:fill="auto"/>
          </w:tcPr>
          <w:p w14:paraId="0DE32528" w14:textId="77777777" w:rsidR="00055385" w:rsidRPr="00055385" w:rsidRDefault="00055385" w:rsidP="00055385">
            <w:pPr>
              <w:spacing w:after="0" w:line="240" w:lineRule="auto"/>
              <w:rPr>
                <w:rFonts w:ascii="Times New Roman" w:eastAsia="Times New Roman" w:hAnsi="Times New Roman" w:cs="Times New Roman"/>
                <w:b/>
                <w:bCs/>
                <w:sz w:val="24"/>
                <w:szCs w:val="20"/>
              </w:rPr>
            </w:pPr>
            <w:r w:rsidRPr="00055385">
              <w:rPr>
                <w:rFonts w:ascii="Times New Roman" w:eastAsia="Times New Roman" w:hAnsi="Times New Roman" w:cs="Times New Roman"/>
                <w:b/>
                <w:bCs/>
                <w:sz w:val="24"/>
                <w:szCs w:val="20"/>
              </w:rPr>
              <w:t>Purpose</w:t>
            </w:r>
          </w:p>
        </w:tc>
        <w:tc>
          <w:tcPr>
            <w:tcW w:w="7128" w:type="dxa"/>
            <w:shd w:val="clear" w:color="auto" w:fill="auto"/>
          </w:tcPr>
          <w:p w14:paraId="5E152E9F" w14:textId="77777777" w:rsidR="00055385" w:rsidRPr="00055385" w:rsidRDefault="00055385" w:rsidP="00055385">
            <w:pPr>
              <w:spacing w:after="0" w:line="240" w:lineRule="auto"/>
              <w:rPr>
                <w:rFonts w:ascii="Times New Roman" w:eastAsia="Times New Roman" w:hAnsi="Times New Roman" w:cs="Times New Roman"/>
                <w:bCs/>
                <w:sz w:val="24"/>
                <w:szCs w:val="20"/>
              </w:rPr>
            </w:pPr>
            <w:r w:rsidRPr="00055385">
              <w:rPr>
                <w:rFonts w:ascii="Times New Roman" w:eastAsia="Times New Roman" w:hAnsi="Times New Roman" w:cs="Times New Roman"/>
                <w:bCs/>
                <w:sz w:val="24"/>
                <w:szCs w:val="20"/>
              </w:rPr>
              <w:t xml:space="preserve">The Board of Registration in Nursing (Board) adopts this policy, to identify </w:t>
            </w:r>
            <w:r>
              <w:rPr>
                <w:rFonts w:ascii="Times New Roman" w:eastAsia="Times New Roman" w:hAnsi="Times New Roman" w:cs="Times New Roman"/>
                <w:bCs/>
                <w:sz w:val="24"/>
                <w:szCs w:val="20"/>
              </w:rPr>
              <w:t xml:space="preserve">criteria </w:t>
            </w:r>
            <w:r w:rsidRPr="00055385">
              <w:rPr>
                <w:rFonts w:ascii="Times New Roman" w:eastAsia="Times New Roman" w:hAnsi="Times New Roman" w:cs="Times New Roman"/>
                <w:bCs/>
                <w:sz w:val="24"/>
                <w:szCs w:val="20"/>
              </w:rPr>
              <w:t xml:space="preserve">for </w:t>
            </w:r>
            <w:r>
              <w:rPr>
                <w:rFonts w:ascii="Times New Roman" w:eastAsia="Times New Roman" w:hAnsi="Times New Roman" w:cs="Times New Roman"/>
                <w:bCs/>
                <w:sz w:val="24"/>
                <w:szCs w:val="20"/>
              </w:rPr>
              <w:t xml:space="preserve">SARP staff authorized action </w:t>
            </w:r>
            <w:r w:rsidR="002A571D">
              <w:rPr>
                <w:rFonts w:ascii="Times New Roman" w:eastAsia="Times New Roman" w:hAnsi="Times New Roman" w:cs="Times New Roman"/>
                <w:bCs/>
                <w:sz w:val="24"/>
                <w:szCs w:val="20"/>
              </w:rPr>
              <w:t xml:space="preserve">in response to </w:t>
            </w:r>
            <w:r w:rsidRPr="00055385">
              <w:rPr>
                <w:rFonts w:ascii="Times New Roman" w:eastAsia="Times New Roman" w:hAnsi="Times New Roman" w:cs="Times New Roman"/>
                <w:bCs/>
                <w:sz w:val="24"/>
                <w:szCs w:val="20"/>
              </w:rPr>
              <w:t xml:space="preserve">a SARP participant’s </w:t>
            </w:r>
            <w:r w:rsidR="002A571D">
              <w:rPr>
                <w:rFonts w:ascii="Times New Roman" w:eastAsia="Times New Roman" w:hAnsi="Times New Roman" w:cs="Times New Roman"/>
                <w:bCs/>
                <w:sz w:val="24"/>
                <w:szCs w:val="20"/>
              </w:rPr>
              <w:t>use of unauthorized substances or impairment, or both, during program participation</w:t>
            </w:r>
            <w:r w:rsidRPr="00055385">
              <w:rPr>
                <w:rFonts w:ascii="Times New Roman" w:eastAsia="Times New Roman" w:hAnsi="Times New Roman" w:cs="Times New Roman"/>
                <w:bCs/>
                <w:sz w:val="24"/>
                <w:szCs w:val="20"/>
              </w:rPr>
              <w:t>.</w:t>
            </w:r>
          </w:p>
          <w:p w14:paraId="6DAA615A" w14:textId="77777777" w:rsidR="00055385" w:rsidRPr="00055385" w:rsidRDefault="00055385" w:rsidP="00055385">
            <w:pPr>
              <w:spacing w:after="0" w:line="240" w:lineRule="auto"/>
              <w:rPr>
                <w:rFonts w:ascii="Times New Roman" w:eastAsia="Times New Roman" w:hAnsi="Times New Roman" w:cs="Times New Roman"/>
                <w:bCs/>
                <w:sz w:val="24"/>
                <w:szCs w:val="20"/>
              </w:rPr>
            </w:pPr>
          </w:p>
        </w:tc>
      </w:tr>
      <w:tr w:rsidR="00055385" w:rsidRPr="00055385" w14:paraId="5CF75DA6" w14:textId="77777777" w:rsidTr="006D4513">
        <w:tc>
          <w:tcPr>
            <w:tcW w:w="2700" w:type="dxa"/>
            <w:shd w:val="clear" w:color="auto" w:fill="auto"/>
          </w:tcPr>
          <w:p w14:paraId="21CB0A12" w14:textId="77777777" w:rsidR="00055385" w:rsidRPr="00055385" w:rsidRDefault="00055385" w:rsidP="00055385">
            <w:pPr>
              <w:spacing w:after="0" w:line="240" w:lineRule="auto"/>
              <w:rPr>
                <w:rFonts w:ascii="Times New Roman" w:eastAsia="Times New Roman" w:hAnsi="Times New Roman" w:cs="Times New Roman"/>
                <w:b/>
                <w:bCs/>
                <w:sz w:val="24"/>
                <w:szCs w:val="20"/>
              </w:rPr>
            </w:pPr>
            <w:r w:rsidRPr="00055385">
              <w:rPr>
                <w:rFonts w:ascii="Times New Roman" w:eastAsia="Times New Roman" w:hAnsi="Times New Roman" w:cs="Times New Roman"/>
                <w:b/>
                <w:bCs/>
                <w:sz w:val="24"/>
                <w:szCs w:val="20"/>
              </w:rPr>
              <w:t xml:space="preserve">Date Adopted/Revised    </w:t>
            </w:r>
          </w:p>
          <w:p w14:paraId="054E1787"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tc>
        <w:tc>
          <w:tcPr>
            <w:tcW w:w="7128" w:type="dxa"/>
            <w:shd w:val="clear" w:color="auto" w:fill="auto"/>
          </w:tcPr>
          <w:p w14:paraId="1FE9585B" w14:textId="4B18F49E" w:rsidR="00055385" w:rsidRPr="00055385" w:rsidRDefault="00055385" w:rsidP="00055385">
            <w:pPr>
              <w:spacing w:after="0" w:line="240" w:lineRule="auto"/>
              <w:rPr>
                <w:rFonts w:ascii="Times New Roman" w:eastAsia="Times New Roman" w:hAnsi="Times New Roman" w:cs="Times New Roman"/>
                <w:bCs/>
                <w:sz w:val="24"/>
                <w:szCs w:val="20"/>
              </w:rPr>
            </w:pPr>
            <w:r w:rsidRPr="00055385">
              <w:rPr>
                <w:rFonts w:ascii="Times New Roman" w:eastAsia="Times New Roman" w:hAnsi="Times New Roman" w:cs="Times New Roman"/>
                <w:bCs/>
                <w:sz w:val="24"/>
                <w:szCs w:val="20"/>
              </w:rPr>
              <w:t>April 12, 2006</w:t>
            </w:r>
            <w:r w:rsidR="00905D33">
              <w:rPr>
                <w:rFonts w:ascii="Times New Roman" w:eastAsia="Times New Roman" w:hAnsi="Times New Roman" w:cs="Times New Roman"/>
                <w:bCs/>
                <w:sz w:val="24"/>
                <w:szCs w:val="20"/>
              </w:rPr>
              <w:t xml:space="preserve"> (adopted)</w:t>
            </w:r>
            <w:r w:rsidRPr="00055385">
              <w:rPr>
                <w:rFonts w:ascii="Times New Roman" w:eastAsia="Times New Roman" w:hAnsi="Times New Roman" w:cs="Times New Roman"/>
                <w:bCs/>
                <w:sz w:val="24"/>
                <w:szCs w:val="20"/>
              </w:rPr>
              <w:t>, October 22, 2008 (corrected)</w:t>
            </w:r>
            <w:r w:rsidRPr="00055385">
              <w:rPr>
                <w:rFonts w:ascii="Times New Roman" w:eastAsia="Times New Roman" w:hAnsi="Times New Roman" w:cs="Times New Roman"/>
                <w:bCs/>
                <w:sz w:val="24"/>
                <w:szCs w:val="20"/>
                <w:vertAlign w:val="superscript"/>
              </w:rPr>
              <w:footnoteReference w:id="1"/>
            </w:r>
            <w:r w:rsidRPr="00055385">
              <w:rPr>
                <w:rFonts w:ascii="Times New Roman" w:eastAsia="Times New Roman" w:hAnsi="Times New Roman" w:cs="Times New Roman"/>
                <w:bCs/>
                <w:sz w:val="24"/>
                <w:szCs w:val="20"/>
              </w:rPr>
              <w:t>,  May 12, 2010 (revised), May 11, 2011 (revised), July 13, 2016 (revised), September 12, 2018 (revised), October 10, 2018 (revised)</w:t>
            </w:r>
            <w:r w:rsidR="00963C68">
              <w:rPr>
                <w:rFonts w:ascii="Times New Roman" w:eastAsia="Times New Roman" w:hAnsi="Times New Roman" w:cs="Times New Roman"/>
                <w:bCs/>
                <w:sz w:val="24"/>
                <w:szCs w:val="20"/>
              </w:rPr>
              <w:t xml:space="preserve">, January </w:t>
            </w:r>
            <w:r w:rsidR="00400056">
              <w:rPr>
                <w:rFonts w:ascii="Times New Roman" w:eastAsia="Times New Roman" w:hAnsi="Times New Roman" w:cs="Times New Roman"/>
                <w:bCs/>
                <w:sz w:val="24"/>
                <w:szCs w:val="20"/>
              </w:rPr>
              <w:t>9, 2018</w:t>
            </w:r>
            <w:r>
              <w:rPr>
                <w:rFonts w:ascii="Times New Roman" w:eastAsia="Times New Roman" w:hAnsi="Times New Roman" w:cs="Times New Roman"/>
                <w:bCs/>
                <w:sz w:val="24"/>
                <w:szCs w:val="20"/>
              </w:rPr>
              <w:t xml:space="preserve"> (revised)</w:t>
            </w:r>
            <w:r w:rsidR="00275D29">
              <w:rPr>
                <w:rFonts w:ascii="Times New Roman" w:eastAsia="Times New Roman" w:hAnsi="Times New Roman" w:cs="Times New Roman"/>
                <w:bCs/>
                <w:sz w:val="24"/>
                <w:szCs w:val="20"/>
              </w:rPr>
              <w:t xml:space="preserve">, </w:t>
            </w:r>
            <w:r w:rsidR="000F1108">
              <w:rPr>
                <w:rFonts w:ascii="Times New Roman" w:eastAsia="Times New Roman" w:hAnsi="Times New Roman" w:cs="Times New Roman"/>
                <w:bCs/>
                <w:sz w:val="24"/>
                <w:szCs w:val="20"/>
              </w:rPr>
              <w:t>August 10, 2022 (</w:t>
            </w:r>
            <w:r w:rsidR="00275D29">
              <w:rPr>
                <w:rFonts w:ascii="Times New Roman" w:eastAsia="Times New Roman" w:hAnsi="Times New Roman" w:cs="Times New Roman"/>
                <w:bCs/>
                <w:sz w:val="24"/>
                <w:szCs w:val="20"/>
              </w:rPr>
              <w:t>revised</w:t>
            </w:r>
            <w:r w:rsidR="000F1108">
              <w:rPr>
                <w:rFonts w:ascii="Times New Roman" w:eastAsia="Times New Roman" w:hAnsi="Times New Roman" w:cs="Times New Roman"/>
                <w:bCs/>
                <w:sz w:val="24"/>
                <w:szCs w:val="20"/>
              </w:rPr>
              <w:t>)</w:t>
            </w:r>
          </w:p>
          <w:p w14:paraId="55EF6B61" w14:textId="77777777" w:rsidR="00055385" w:rsidRPr="00055385" w:rsidRDefault="00055385" w:rsidP="00055385">
            <w:pPr>
              <w:spacing w:after="0" w:line="240" w:lineRule="auto"/>
              <w:rPr>
                <w:rFonts w:ascii="Times New Roman" w:eastAsia="Times New Roman" w:hAnsi="Times New Roman" w:cs="Times New Roman"/>
                <w:bCs/>
                <w:sz w:val="24"/>
                <w:szCs w:val="20"/>
              </w:rPr>
            </w:pPr>
          </w:p>
        </w:tc>
      </w:tr>
      <w:tr w:rsidR="00055385" w:rsidRPr="00055385" w14:paraId="2FD7BB24" w14:textId="77777777" w:rsidTr="006D4513">
        <w:tc>
          <w:tcPr>
            <w:tcW w:w="2700" w:type="dxa"/>
            <w:tcBorders>
              <w:top w:val="single" w:sz="6" w:space="0" w:color="000000"/>
              <w:bottom w:val="single" w:sz="6" w:space="0" w:color="000000"/>
            </w:tcBorders>
            <w:shd w:val="clear" w:color="auto" w:fill="auto"/>
          </w:tcPr>
          <w:p w14:paraId="18D09B59" w14:textId="77777777" w:rsidR="00055385" w:rsidRPr="00055385" w:rsidRDefault="00055385" w:rsidP="00055385">
            <w:pPr>
              <w:spacing w:after="0" w:line="240" w:lineRule="auto"/>
              <w:rPr>
                <w:rFonts w:ascii="Times New Roman" w:eastAsia="Times New Roman" w:hAnsi="Times New Roman" w:cs="Times New Roman"/>
                <w:b/>
                <w:bCs/>
                <w:sz w:val="24"/>
                <w:szCs w:val="20"/>
              </w:rPr>
            </w:pPr>
            <w:r w:rsidRPr="00055385">
              <w:rPr>
                <w:rFonts w:ascii="Times New Roman" w:eastAsia="Times New Roman" w:hAnsi="Times New Roman" w:cs="Times New Roman"/>
                <w:b/>
                <w:bCs/>
                <w:sz w:val="24"/>
                <w:szCs w:val="20"/>
              </w:rPr>
              <w:t>General Statement of Policy</w:t>
            </w:r>
          </w:p>
          <w:p w14:paraId="15E46A58"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76D0709B"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357CE4D1"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1362FF2B" w14:textId="77777777" w:rsidR="00055385" w:rsidRPr="00055385" w:rsidRDefault="00602A64" w:rsidP="00055385">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Reliable </w:t>
            </w:r>
            <w:r w:rsidR="00055385" w:rsidRPr="00055385">
              <w:rPr>
                <w:rFonts w:ascii="Times New Roman" w:eastAsia="Times New Roman" w:hAnsi="Times New Roman" w:cs="Times New Roman"/>
                <w:b/>
                <w:bCs/>
                <w:sz w:val="24"/>
                <w:szCs w:val="20"/>
              </w:rPr>
              <w:t>Evidence</w:t>
            </w:r>
            <w:r w:rsidR="00055385">
              <w:rPr>
                <w:rFonts w:ascii="Times New Roman" w:eastAsia="Times New Roman" w:hAnsi="Times New Roman" w:cs="Times New Roman"/>
                <w:b/>
                <w:bCs/>
                <w:sz w:val="24"/>
                <w:szCs w:val="20"/>
              </w:rPr>
              <w:t xml:space="preserve"> </w:t>
            </w:r>
            <w:r w:rsidR="0084609D">
              <w:rPr>
                <w:rFonts w:ascii="Times New Roman" w:eastAsia="Times New Roman" w:hAnsi="Times New Roman" w:cs="Times New Roman"/>
                <w:b/>
                <w:bCs/>
                <w:sz w:val="24"/>
                <w:szCs w:val="20"/>
              </w:rPr>
              <w:t>Received</w:t>
            </w:r>
          </w:p>
          <w:p w14:paraId="57E3D4E9"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5A6BC2A3"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7316D8CE"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4E883EC3"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5BDC9648"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387E2106"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59C5A6FD"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0EA42083"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49800AF2"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5030B915"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78394C4B"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4930C824"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6F7AE052"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57FCA26C"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11EFF429"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3D768417"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06B62CDE"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15E3F134" w14:textId="77777777" w:rsidR="00055385" w:rsidRPr="00055385" w:rsidRDefault="00055385" w:rsidP="00055385">
            <w:pPr>
              <w:spacing w:after="0" w:line="240" w:lineRule="auto"/>
              <w:rPr>
                <w:rFonts w:ascii="Times New Roman" w:eastAsia="Times New Roman" w:hAnsi="Times New Roman" w:cs="Times New Roman"/>
                <w:b/>
                <w:bCs/>
                <w:sz w:val="24"/>
                <w:szCs w:val="20"/>
              </w:rPr>
            </w:pPr>
            <w:r w:rsidRPr="00055385">
              <w:rPr>
                <w:rFonts w:ascii="Times New Roman" w:eastAsia="Times New Roman" w:hAnsi="Times New Roman" w:cs="Times New Roman"/>
                <w:b/>
                <w:bCs/>
                <w:sz w:val="24"/>
                <w:szCs w:val="20"/>
              </w:rPr>
              <w:lastRenderedPageBreak/>
              <w:t>Requirements</w:t>
            </w:r>
          </w:p>
          <w:p w14:paraId="64A92657"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4830B843"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1019C852"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4826AD6F"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0ED84548"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19E69959"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3E95BC08"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115B4A70"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764361C2"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120A3CBA"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2DC858C1"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7A01ABE4"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2D2C4A7B"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173225E1"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79E3F05E"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388938DD"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035753BA"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4833A717"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009DF0C1"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4629D5F5"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4E01FA89"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3CF5399A"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26AFAF00"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3CD9559D"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78B62DDD"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000A8295"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2E403505"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703EBEB5"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32270E94"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1F67221A"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52940D38"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14CC0C04"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p w14:paraId="72F5B3CA" w14:textId="77777777" w:rsidR="00055385" w:rsidRPr="00055385" w:rsidRDefault="00055385" w:rsidP="00055385">
            <w:pPr>
              <w:spacing w:after="0" w:line="240" w:lineRule="auto"/>
              <w:rPr>
                <w:rFonts w:ascii="Times New Roman" w:eastAsia="Times New Roman" w:hAnsi="Times New Roman" w:cs="Times New Roman"/>
                <w:b/>
                <w:bCs/>
                <w:sz w:val="24"/>
                <w:szCs w:val="20"/>
              </w:rPr>
            </w:pPr>
            <w:r w:rsidRPr="00055385">
              <w:rPr>
                <w:rFonts w:ascii="Times New Roman" w:eastAsia="Times New Roman" w:hAnsi="Times New Roman" w:cs="Times New Roman"/>
                <w:b/>
                <w:bCs/>
                <w:sz w:val="24"/>
                <w:szCs w:val="20"/>
              </w:rPr>
              <w:t xml:space="preserve">Noncompliance </w:t>
            </w:r>
          </w:p>
        </w:tc>
        <w:tc>
          <w:tcPr>
            <w:tcW w:w="7128" w:type="dxa"/>
            <w:tcBorders>
              <w:top w:val="single" w:sz="6" w:space="0" w:color="000000"/>
              <w:bottom w:val="single" w:sz="6" w:space="0" w:color="000000"/>
            </w:tcBorders>
            <w:shd w:val="clear" w:color="auto" w:fill="auto"/>
          </w:tcPr>
          <w:p w14:paraId="56FF5161" w14:textId="509C864A" w:rsidR="00055385" w:rsidRPr="00055385" w:rsidRDefault="00055385" w:rsidP="00055385">
            <w:pPr>
              <w:spacing w:after="0" w:line="240" w:lineRule="auto"/>
              <w:rPr>
                <w:rFonts w:ascii="Times New Roman" w:eastAsia="Times New Roman" w:hAnsi="Times New Roman" w:cs="Times New Roman"/>
                <w:bCs/>
                <w:sz w:val="24"/>
                <w:szCs w:val="20"/>
              </w:rPr>
            </w:pPr>
            <w:r w:rsidRPr="00055385">
              <w:rPr>
                <w:rFonts w:ascii="Times New Roman" w:eastAsia="Times New Roman" w:hAnsi="Times New Roman" w:cs="Times New Roman"/>
                <w:bCs/>
                <w:sz w:val="24"/>
                <w:szCs w:val="20"/>
              </w:rPr>
              <w:lastRenderedPageBreak/>
              <w:t xml:space="preserve">The Board authorizes a SARP staff who receives substantial </w:t>
            </w:r>
            <w:r w:rsidR="00905D33">
              <w:rPr>
                <w:rFonts w:ascii="Times New Roman" w:eastAsia="Times New Roman" w:hAnsi="Times New Roman" w:cs="Times New Roman"/>
                <w:bCs/>
                <w:sz w:val="24"/>
                <w:szCs w:val="20"/>
              </w:rPr>
              <w:t>**</w:t>
            </w:r>
            <w:r w:rsidRPr="00055385">
              <w:rPr>
                <w:rFonts w:ascii="Times New Roman" w:eastAsia="Times New Roman" w:hAnsi="Times New Roman" w:cs="Times New Roman"/>
                <w:bCs/>
                <w:sz w:val="24"/>
                <w:szCs w:val="20"/>
              </w:rPr>
              <w:t>evidence</w:t>
            </w:r>
            <w:r w:rsidRPr="00055385">
              <w:rPr>
                <w:rFonts w:ascii="Times New Roman" w:eastAsia="Times New Roman" w:hAnsi="Times New Roman" w:cs="Times New Roman"/>
                <w:bCs/>
                <w:color w:val="000000"/>
                <w:sz w:val="24"/>
                <w:szCs w:val="20"/>
                <w:vertAlign w:val="superscript"/>
              </w:rPr>
              <w:footnoteReference w:id="2"/>
            </w:r>
            <w:r w:rsidRPr="00055385">
              <w:rPr>
                <w:rFonts w:ascii="Times New Roman" w:eastAsia="Times New Roman" w:hAnsi="Times New Roman" w:cs="Times New Roman"/>
                <w:bCs/>
                <w:color w:val="000000"/>
                <w:sz w:val="24"/>
                <w:szCs w:val="20"/>
              </w:rPr>
              <w:t xml:space="preserve"> </w:t>
            </w:r>
            <w:r w:rsidRPr="00055385">
              <w:rPr>
                <w:rFonts w:ascii="Times New Roman" w:eastAsia="Times New Roman" w:hAnsi="Times New Roman" w:cs="Times New Roman"/>
                <w:bCs/>
                <w:sz w:val="24"/>
                <w:szCs w:val="20"/>
              </w:rPr>
              <w:t xml:space="preserve">of a SARP participant’s </w:t>
            </w:r>
            <w:r w:rsidR="00157C9F">
              <w:rPr>
                <w:rFonts w:ascii="Times New Roman" w:eastAsia="Times New Roman" w:hAnsi="Times New Roman" w:cs="Times New Roman"/>
                <w:bCs/>
                <w:sz w:val="24"/>
                <w:szCs w:val="20"/>
              </w:rPr>
              <w:t>unauthorized substance use or impairment</w:t>
            </w:r>
            <w:r w:rsidRPr="00055385">
              <w:rPr>
                <w:rFonts w:ascii="Times New Roman" w:eastAsia="Times New Roman" w:hAnsi="Times New Roman" w:cs="Times New Roman"/>
                <w:bCs/>
                <w:sz w:val="24"/>
                <w:szCs w:val="20"/>
              </w:rPr>
              <w:t xml:space="preserve">, </w:t>
            </w:r>
            <w:r w:rsidR="002A571D">
              <w:rPr>
                <w:rFonts w:ascii="Times New Roman" w:eastAsia="Times New Roman" w:hAnsi="Times New Roman" w:cs="Times New Roman"/>
                <w:bCs/>
                <w:sz w:val="24"/>
                <w:szCs w:val="20"/>
              </w:rPr>
              <w:t xml:space="preserve">or both, </w:t>
            </w:r>
            <w:r w:rsidRPr="00055385">
              <w:rPr>
                <w:rFonts w:ascii="Times New Roman" w:eastAsia="Times New Roman" w:hAnsi="Times New Roman" w:cs="Times New Roman"/>
                <w:bCs/>
                <w:sz w:val="24"/>
                <w:szCs w:val="20"/>
              </w:rPr>
              <w:t>to initiate and impose steps that are described in this policy.</w:t>
            </w:r>
          </w:p>
          <w:p w14:paraId="1BE1DFF7" w14:textId="77777777" w:rsidR="00055385" w:rsidRPr="00055385" w:rsidRDefault="00055385" w:rsidP="00055385">
            <w:pPr>
              <w:spacing w:after="0" w:line="240" w:lineRule="auto"/>
              <w:rPr>
                <w:rFonts w:ascii="Times New Roman" w:eastAsia="Times New Roman" w:hAnsi="Times New Roman" w:cs="Times New Roman"/>
                <w:bCs/>
                <w:sz w:val="24"/>
                <w:szCs w:val="20"/>
              </w:rPr>
            </w:pPr>
          </w:p>
          <w:p w14:paraId="4359C585" w14:textId="77777777" w:rsidR="00055385" w:rsidRPr="00055385" w:rsidRDefault="00055385" w:rsidP="00055385">
            <w:pPr>
              <w:keepNext/>
              <w:spacing w:after="0" w:line="240" w:lineRule="auto"/>
              <w:outlineLvl w:val="1"/>
              <w:rPr>
                <w:rFonts w:ascii="Times New Roman" w:eastAsia="Times New Roman" w:hAnsi="Times New Roman" w:cs="Times New Roman"/>
                <w:bCs/>
                <w:sz w:val="24"/>
                <w:szCs w:val="20"/>
              </w:rPr>
            </w:pPr>
            <w:r w:rsidRPr="00055385">
              <w:rPr>
                <w:rFonts w:ascii="Times New Roman" w:eastAsia="Times New Roman" w:hAnsi="Times New Roman" w:cs="Times New Roman"/>
                <w:bCs/>
                <w:sz w:val="24"/>
                <w:szCs w:val="20"/>
              </w:rPr>
              <w:t xml:space="preserve">A SARP staff may rely on, but shall not be limited to, the following reliable evidence to conclude that a SARP participant </w:t>
            </w:r>
            <w:r w:rsidR="00400056">
              <w:rPr>
                <w:rFonts w:ascii="Times New Roman" w:eastAsia="Times New Roman" w:hAnsi="Times New Roman" w:cs="Times New Roman"/>
                <w:bCs/>
                <w:sz w:val="24"/>
                <w:szCs w:val="20"/>
              </w:rPr>
              <w:t>has demonstrated unauthorized</w:t>
            </w:r>
            <w:r w:rsidRPr="00055385">
              <w:rPr>
                <w:rFonts w:ascii="Times New Roman" w:eastAsia="Times New Roman" w:hAnsi="Times New Roman" w:cs="Times New Roman"/>
                <w:bCs/>
                <w:sz w:val="24"/>
                <w:szCs w:val="20"/>
              </w:rPr>
              <w:t xml:space="preserve"> substance use, </w:t>
            </w:r>
            <w:r w:rsidR="00400056">
              <w:rPr>
                <w:rFonts w:ascii="Times New Roman" w:eastAsia="Times New Roman" w:hAnsi="Times New Roman" w:cs="Times New Roman"/>
                <w:bCs/>
                <w:sz w:val="24"/>
                <w:szCs w:val="20"/>
              </w:rPr>
              <w:t xml:space="preserve">impairment, </w:t>
            </w:r>
            <w:r w:rsidRPr="00055385">
              <w:rPr>
                <w:rFonts w:ascii="Times New Roman" w:eastAsia="Times New Roman" w:hAnsi="Times New Roman" w:cs="Times New Roman"/>
                <w:bCs/>
                <w:sz w:val="24"/>
                <w:szCs w:val="20"/>
              </w:rPr>
              <w:t>or both:</w:t>
            </w:r>
          </w:p>
          <w:p w14:paraId="65FB6165" w14:textId="77777777" w:rsidR="00055385" w:rsidRPr="00055385" w:rsidRDefault="00055385" w:rsidP="00055385">
            <w:pPr>
              <w:spacing w:after="0" w:line="240" w:lineRule="auto"/>
              <w:rPr>
                <w:rFonts w:ascii="Times New Roman" w:eastAsia="Times New Roman" w:hAnsi="Times New Roman" w:cs="Times New Roman"/>
                <w:bCs/>
                <w:sz w:val="24"/>
                <w:szCs w:val="20"/>
              </w:rPr>
            </w:pPr>
          </w:p>
          <w:p w14:paraId="77D456F9" w14:textId="77777777" w:rsidR="00A37513" w:rsidRPr="00493C7E" w:rsidRDefault="00055385" w:rsidP="00493C7E">
            <w:pPr>
              <w:pStyle w:val="ListParagraph"/>
              <w:numPr>
                <w:ilvl w:val="0"/>
                <w:numId w:val="1"/>
              </w:numPr>
              <w:rPr>
                <w:rFonts w:ascii="Times New Roman" w:eastAsia="Times New Roman" w:hAnsi="Times New Roman" w:cs="Times New Roman"/>
                <w:sz w:val="24"/>
                <w:szCs w:val="24"/>
              </w:rPr>
            </w:pPr>
            <w:r w:rsidRPr="00493C7E">
              <w:rPr>
                <w:rFonts w:ascii="Times New Roman" w:eastAsia="Times New Roman" w:hAnsi="Times New Roman" w:cs="Times New Roman"/>
                <w:bCs/>
                <w:sz w:val="24"/>
                <w:szCs w:val="20"/>
              </w:rPr>
              <w:t xml:space="preserve">A SARP participant’s self-report, </w:t>
            </w:r>
            <w:r w:rsidR="00392CC9" w:rsidRPr="00493C7E">
              <w:rPr>
                <w:rFonts w:ascii="Times New Roman" w:eastAsia="Times New Roman" w:hAnsi="Times New Roman" w:cs="Times New Roman"/>
                <w:bCs/>
                <w:sz w:val="24"/>
                <w:szCs w:val="20"/>
              </w:rPr>
              <w:t>treatment provider</w:t>
            </w:r>
            <w:r w:rsidR="00392CC9">
              <w:rPr>
                <w:rFonts w:ascii="Times New Roman" w:eastAsia="Times New Roman" w:hAnsi="Times New Roman" w:cs="Times New Roman"/>
                <w:bCs/>
                <w:sz w:val="24"/>
                <w:szCs w:val="20"/>
              </w:rPr>
              <w:t xml:space="preserve"> report</w:t>
            </w:r>
            <w:r w:rsidR="00392CC9" w:rsidRPr="00493C7E">
              <w:rPr>
                <w:rFonts w:ascii="Times New Roman" w:eastAsia="Times New Roman" w:hAnsi="Times New Roman" w:cs="Times New Roman"/>
                <w:bCs/>
                <w:sz w:val="24"/>
                <w:szCs w:val="20"/>
              </w:rPr>
              <w:t xml:space="preserve">, or </w:t>
            </w:r>
            <w:r w:rsidR="00392CC9" w:rsidRPr="002A571D">
              <w:rPr>
                <w:rFonts w:ascii="Times New Roman" w:eastAsia="Times New Roman" w:hAnsi="Times New Roman" w:cs="Times New Roman"/>
                <w:bCs/>
                <w:sz w:val="24"/>
                <w:szCs w:val="20"/>
              </w:rPr>
              <w:t>any report by a</w:t>
            </w:r>
            <w:r w:rsidR="00392CC9" w:rsidRPr="00493C7E">
              <w:rPr>
                <w:rFonts w:ascii="Times New Roman" w:eastAsia="Times New Roman" w:hAnsi="Times New Roman" w:cs="Times New Roman"/>
                <w:sz w:val="24"/>
                <w:szCs w:val="24"/>
              </w:rPr>
              <w:t xml:space="preserve"> third party</w:t>
            </w:r>
            <w:r w:rsidR="00A37513" w:rsidRPr="00493C7E">
              <w:rPr>
                <w:rFonts w:ascii="Times New Roman" w:eastAsia="Times New Roman" w:hAnsi="Times New Roman" w:cs="Times New Roman"/>
                <w:sz w:val="24"/>
                <w:szCs w:val="24"/>
              </w:rPr>
              <w:t xml:space="preserve"> that the </w:t>
            </w:r>
            <w:r w:rsidR="00392CC9" w:rsidRPr="00493C7E">
              <w:rPr>
                <w:rFonts w:ascii="Times New Roman" w:eastAsia="Times New Roman" w:hAnsi="Times New Roman" w:cs="Times New Roman"/>
                <w:sz w:val="24"/>
                <w:szCs w:val="24"/>
              </w:rPr>
              <w:t>participant</w:t>
            </w:r>
            <w:r w:rsidR="00A37513" w:rsidRPr="00493C7E">
              <w:rPr>
                <w:rFonts w:ascii="Times New Roman" w:eastAsia="Times New Roman" w:hAnsi="Times New Roman" w:cs="Times New Roman"/>
                <w:sz w:val="24"/>
                <w:szCs w:val="24"/>
              </w:rPr>
              <w:t xml:space="preserve"> has engaged in unauthorized substance use or has been impaired, </w:t>
            </w:r>
            <w:r w:rsidR="00A37513" w:rsidRPr="00493C7E">
              <w:rPr>
                <w:rFonts w:ascii="Times New Roman" w:eastAsia="Times New Roman" w:hAnsi="Times New Roman" w:cs="Times New Roman"/>
                <w:i/>
                <w:sz w:val="24"/>
                <w:szCs w:val="24"/>
              </w:rPr>
              <w:t>provided that</w:t>
            </w:r>
            <w:r w:rsidR="00A37513" w:rsidRPr="00493C7E">
              <w:rPr>
                <w:rFonts w:ascii="Times New Roman" w:eastAsia="Times New Roman" w:hAnsi="Times New Roman" w:cs="Times New Roman"/>
                <w:sz w:val="24"/>
                <w:szCs w:val="24"/>
              </w:rPr>
              <w:t xml:space="preserve"> such report is supported by statement or documentation by a person to whom the </w:t>
            </w:r>
            <w:r w:rsidR="00392CC9" w:rsidRPr="00493C7E">
              <w:rPr>
                <w:rFonts w:ascii="Times New Roman" w:eastAsia="Times New Roman" w:hAnsi="Times New Roman" w:cs="Times New Roman"/>
                <w:sz w:val="24"/>
                <w:szCs w:val="24"/>
              </w:rPr>
              <w:t>participant</w:t>
            </w:r>
            <w:r w:rsidR="00A37513" w:rsidRPr="00493C7E">
              <w:rPr>
                <w:rFonts w:ascii="Times New Roman" w:eastAsia="Times New Roman" w:hAnsi="Times New Roman" w:cs="Times New Roman"/>
                <w:sz w:val="24"/>
                <w:szCs w:val="24"/>
              </w:rPr>
              <w:t xml:space="preserve"> has admitted </w:t>
            </w:r>
            <w:r w:rsidR="00392CC9" w:rsidRPr="002A571D">
              <w:rPr>
                <w:rFonts w:ascii="Times New Roman" w:eastAsia="Times New Roman" w:hAnsi="Times New Roman" w:cs="Times New Roman"/>
                <w:sz w:val="24"/>
                <w:szCs w:val="24"/>
              </w:rPr>
              <w:t xml:space="preserve">such use or </w:t>
            </w:r>
            <w:r w:rsidR="00A37513" w:rsidRPr="00493C7E">
              <w:rPr>
                <w:rFonts w:ascii="Times New Roman" w:eastAsia="Times New Roman" w:hAnsi="Times New Roman" w:cs="Times New Roman"/>
                <w:sz w:val="24"/>
                <w:szCs w:val="24"/>
              </w:rPr>
              <w:t xml:space="preserve">impairment or a person who has </w:t>
            </w:r>
            <w:r w:rsidR="00392CC9" w:rsidRPr="002A571D">
              <w:rPr>
                <w:rFonts w:ascii="Times New Roman" w:eastAsia="Times New Roman" w:hAnsi="Times New Roman" w:cs="Times New Roman"/>
                <w:sz w:val="24"/>
                <w:szCs w:val="24"/>
              </w:rPr>
              <w:t>observed such use or impairment; and/or</w:t>
            </w:r>
          </w:p>
          <w:p w14:paraId="28199541" w14:textId="77777777" w:rsidR="00392CC9" w:rsidRPr="00493C7E" w:rsidRDefault="00392CC9" w:rsidP="00493C7E">
            <w:pPr>
              <w:pStyle w:val="ListParagraph"/>
              <w:numPr>
                <w:ilvl w:val="0"/>
                <w:numId w:val="1"/>
              </w:numPr>
              <w:ind w:left="451"/>
              <w:rPr>
                <w:rFonts w:ascii="Times New Roman" w:hAnsi="Times New Roman" w:cs="Times New Roman"/>
                <w:sz w:val="24"/>
                <w:szCs w:val="24"/>
              </w:rPr>
            </w:pPr>
            <w:r>
              <w:rPr>
                <w:rFonts w:ascii="Times New Roman" w:hAnsi="Times New Roman" w:cs="Times New Roman"/>
                <w:sz w:val="24"/>
                <w:szCs w:val="24"/>
              </w:rPr>
              <w:t>A</w:t>
            </w:r>
            <w:r w:rsidR="00055385" w:rsidRPr="00493C7E">
              <w:rPr>
                <w:rFonts w:ascii="Times New Roman" w:hAnsi="Times New Roman" w:cs="Times New Roman"/>
                <w:sz w:val="24"/>
                <w:szCs w:val="24"/>
              </w:rPr>
              <w:t xml:space="preserve"> SARP participant’s positive toxicology screening test</w:t>
            </w:r>
            <w:r w:rsidR="002A571D">
              <w:rPr>
                <w:rFonts w:ascii="Times New Roman" w:hAnsi="Times New Roman" w:cs="Times New Roman"/>
                <w:sz w:val="24"/>
                <w:szCs w:val="24"/>
              </w:rPr>
              <w:t>, performed by the Board’s Designated Drug Testing Management Company (DTMC),</w:t>
            </w:r>
            <w:r w:rsidR="00055385" w:rsidRPr="00493C7E">
              <w:rPr>
                <w:rFonts w:ascii="Times New Roman" w:hAnsi="Times New Roman" w:cs="Times New Roman"/>
                <w:sz w:val="24"/>
                <w:szCs w:val="24"/>
              </w:rPr>
              <w:t xml:space="preserve"> for any unauthorized substance(s) of abuse </w:t>
            </w:r>
            <w:r w:rsidRPr="00493C7E">
              <w:rPr>
                <w:rFonts w:ascii="Times New Roman" w:hAnsi="Times New Roman" w:cs="Times New Roman"/>
                <w:sz w:val="24"/>
                <w:szCs w:val="24"/>
              </w:rPr>
              <w:t>that are not supported by a current and valid prescription provided to the SARP staff pr</w:t>
            </w:r>
            <w:r w:rsidRPr="002A571D">
              <w:rPr>
                <w:rFonts w:ascii="Times New Roman" w:hAnsi="Times New Roman" w:cs="Times New Roman"/>
                <w:sz w:val="24"/>
                <w:szCs w:val="24"/>
              </w:rPr>
              <w:t>ior to the toxicology test date</w:t>
            </w:r>
            <w:r>
              <w:rPr>
                <w:rFonts w:ascii="Times New Roman" w:hAnsi="Times New Roman" w:cs="Times New Roman"/>
                <w:sz w:val="24"/>
                <w:szCs w:val="24"/>
              </w:rPr>
              <w:t>.</w:t>
            </w:r>
          </w:p>
          <w:p w14:paraId="787FAFC2" w14:textId="77777777" w:rsidR="00055385" w:rsidRPr="00055385" w:rsidRDefault="00055385" w:rsidP="00055385">
            <w:pPr>
              <w:spacing w:after="0" w:line="240" w:lineRule="auto"/>
              <w:rPr>
                <w:rFonts w:ascii="Times New Roman" w:eastAsia="Times New Roman" w:hAnsi="Times New Roman" w:cs="Times New Roman"/>
                <w:bCs/>
                <w:sz w:val="24"/>
                <w:szCs w:val="20"/>
              </w:rPr>
            </w:pPr>
          </w:p>
          <w:p w14:paraId="55869AD0" w14:textId="77777777" w:rsidR="00055385" w:rsidRPr="00055385" w:rsidRDefault="00055385" w:rsidP="00055385">
            <w:pPr>
              <w:spacing w:after="0" w:line="240" w:lineRule="auto"/>
              <w:rPr>
                <w:rFonts w:ascii="Times New Roman" w:eastAsia="Times New Roman" w:hAnsi="Times New Roman" w:cs="Times New Roman"/>
                <w:bCs/>
                <w:sz w:val="24"/>
                <w:szCs w:val="20"/>
              </w:rPr>
            </w:pPr>
          </w:p>
          <w:p w14:paraId="27EE08C9" w14:textId="77777777" w:rsidR="00055385" w:rsidRPr="00055385" w:rsidRDefault="00055385" w:rsidP="00055385">
            <w:pPr>
              <w:numPr>
                <w:ilvl w:val="0"/>
                <w:numId w:val="2"/>
              </w:numPr>
              <w:spacing w:after="0" w:line="240" w:lineRule="auto"/>
              <w:rPr>
                <w:rFonts w:ascii="Times New Roman" w:eastAsia="Times New Roman" w:hAnsi="Times New Roman" w:cs="Times New Roman"/>
                <w:bCs/>
                <w:sz w:val="24"/>
                <w:szCs w:val="20"/>
              </w:rPr>
            </w:pPr>
            <w:r w:rsidRPr="00055385">
              <w:rPr>
                <w:rFonts w:ascii="Times New Roman" w:eastAsia="Times New Roman" w:hAnsi="Times New Roman" w:cs="Times New Roman"/>
                <w:bCs/>
                <w:sz w:val="24"/>
                <w:szCs w:val="20"/>
              </w:rPr>
              <w:lastRenderedPageBreak/>
              <w:t xml:space="preserve">The SARP staff, upon determination of </w:t>
            </w:r>
            <w:r w:rsidR="00400056">
              <w:rPr>
                <w:rFonts w:ascii="Times New Roman" w:eastAsia="Times New Roman" w:hAnsi="Times New Roman" w:cs="Times New Roman"/>
                <w:bCs/>
                <w:sz w:val="24"/>
                <w:szCs w:val="20"/>
              </w:rPr>
              <w:t xml:space="preserve">the substantiated reliability of the evidence received, </w:t>
            </w:r>
            <w:r w:rsidRPr="00055385">
              <w:rPr>
                <w:rFonts w:ascii="Times New Roman" w:eastAsia="Times New Roman" w:hAnsi="Times New Roman" w:cs="Times New Roman"/>
                <w:bCs/>
                <w:i/>
                <w:sz w:val="24"/>
                <w:szCs w:val="20"/>
              </w:rPr>
              <w:t>will</w:t>
            </w:r>
            <w:r w:rsidRPr="00055385">
              <w:rPr>
                <w:rFonts w:ascii="Times New Roman" w:eastAsia="Times New Roman" w:hAnsi="Times New Roman" w:cs="Times New Roman"/>
                <w:bCs/>
                <w:sz w:val="24"/>
                <w:szCs w:val="20"/>
              </w:rPr>
              <w:t>:</w:t>
            </w:r>
          </w:p>
          <w:p w14:paraId="71D3DE15" w14:textId="77777777" w:rsidR="00055385" w:rsidRPr="00055385" w:rsidRDefault="00055385" w:rsidP="00055385">
            <w:pPr>
              <w:spacing w:after="0" w:line="240" w:lineRule="auto"/>
              <w:rPr>
                <w:rFonts w:ascii="Times New Roman" w:eastAsia="Times New Roman" w:hAnsi="Times New Roman" w:cs="Times New Roman"/>
                <w:bCs/>
                <w:sz w:val="24"/>
                <w:szCs w:val="20"/>
              </w:rPr>
            </w:pPr>
          </w:p>
          <w:p w14:paraId="67FBCE60" w14:textId="77777777" w:rsidR="00055385" w:rsidRPr="00055385" w:rsidRDefault="00055385" w:rsidP="00055385">
            <w:pPr>
              <w:numPr>
                <w:ilvl w:val="0"/>
                <w:numId w:val="4"/>
              </w:numPr>
              <w:spacing w:after="0" w:line="240" w:lineRule="auto"/>
              <w:contextualSpacing/>
              <w:rPr>
                <w:rFonts w:ascii="Times New Roman" w:eastAsia="Times New Roman" w:hAnsi="Times New Roman" w:cs="Times New Roman"/>
                <w:bCs/>
                <w:sz w:val="24"/>
                <w:szCs w:val="20"/>
              </w:rPr>
            </w:pPr>
            <w:r w:rsidRPr="00055385">
              <w:rPr>
                <w:rFonts w:ascii="Times New Roman" w:eastAsia="Times New Roman" w:hAnsi="Times New Roman" w:cs="Times New Roman"/>
                <w:bCs/>
                <w:sz w:val="24"/>
                <w:szCs w:val="20"/>
              </w:rPr>
              <w:t xml:space="preserve">Notify the SARP participant, in writing, of the receipt of the information and that the participant </w:t>
            </w:r>
            <w:r w:rsidRPr="00055385">
              <w:rPr>
                <w:rFonts w:ascii="Times New Roman" w:eastAsia="Times New Roman" w:hAnsi="Times New Roman" w:cs="Times New Roman"/>
                <w:bCs/>
                <w:i/>
                <w:sz w:val="24"/>
                <w:szCs w:val="20"/>
              </w:rPr>
              <w:t>must</w:t>
            </w:r>
            <w:r w:rsidRPr="00055385">
              <w:rPr>
                <w:rFonts w:ascii="Times New Roman" w:eastAsia="Times New Roman" w:hAnsi="Times New Roman" w:cs="Times New Roman"/>
                <w:bCs/>
                <w:sz w:val="24"/>
                <w:szCs w:val="20"/>
              </w:rPr>
              <w:t>:</w:t>
            </w:r>
          </w:p>
          <w:p w14:paraId="422937BB" w14:textId="77777777" w:rsidR="002A571D" w:rsidRPr="006D4513" w:rsidRDefault="00055385" w:rsidP="002A571D">
            <w:pPr>
              <w:numPr>
                <w:ilvl w:val="2"/>
                <w:numId w:val="4"/>
              </w:numPr>
              <w:spacing w:after="0" w:line="240" w:lineRule="auto"/>
              <w:contextualSpacing/>
              <w:rPr>
                <w:rFonts w:ascii="Times New Roman" w:eastAsia="Times New Roman" w:hAnsi="Times New Roman" w:cs="Times New Roman"/>
                <w:bCs/>
                <w:sz w:val="24"/>
                <w:szCs w:val="20"/>
              </w:rPr>
            </w:pPr>
            <w:r w:rsidRPr="00055385">
              <w:rPr>
                <w:rFonts w:ascii="Times New Roman" w:eastAsia="Times New Roman" w:hAnsi="Times New Roman" w:cs="Times New Roman"/>
                <w:bCs/>
                <w:sz w:val="24"/>
                <w:szCs w:val="20"/>
              </w:rPr>
              <w:t xml:space="preserve">Immediately cease all nursing practice and notify his/her employer </w:t>
            </w:r>
            <w:r w:rsidR="002A571D" w:rsidRPr="006D4513">
              <w:rPr>
                <w:rFonts w:ascii="Times New Roman" w:eastAsia="Times New Roman" w:hAnsi="Times New Roman" w:cs="Times New Roman"/>
                <w:bCs/>
                <w:sz w:val="24"/>
                <w:szCs w:val="20"/>
              </w:rPr>
              <w:t>that the participant is no longer authorized to be working in any nursing capacity.</w:t>
            </w:r>
          </w:p>
          <w:p w14:paraId="424BC844" w14:textId="77777777" w:rsidR="00055385" w:rsidRPr="002A571D" w:rsidRDefault="00055385" w:rsidP="002A571D">
            <w:pPr>
              <w:numPr>
                <w:ilvl w:val="2"/>
                <w:numId w:val="4"/>
              </w:numPr>
              <w:spacing w:after="0" w:line="240" w:lineRule="auto"/>
              <w:contextualSpacing/>
              <w:rPr>
                <w:rFonts w:ascii="Times New Roman" w:eastAsia="Times New Roman" w:hAnsi="Times New Roman" w:cs="Times New Roman"/>
                <w:sz w:val="24"/>
                <w:szCs w:val="20"/>
              </w:rPr>
            </w:pPr>
            <w:r w:rsidRPr="002A571D">
              <w:rPr>
                <w:rFonts w:ascii="Times New Roman" w:eastAsia="Times New Roman" w:hAnsi="Times New Roman" w:cs="Times New Roman"/>
                <w:sz w:val="24"/>
                <w:szCs w:val="20"/>
              </w:rPr>
              <w:t xml:space="preserve">Cease all nursing practice until they are notified in writing by the Board that they may resume. </w:t>
            </w:r>
          </w:p>
          <w:p w14:paraId="704EAF8B" w14:textId="77777777" w:rsidR="00392CC9" w:rsidRPr="00493C7E" w:rsidRDefault="00055385" w:rsidP="002A571D">
            <w:pPr>
              <w:numPr>
                <w:ilvl w:val="2"/>
                <w:numId w:val="4"/>
              </w:numPr>
              <w:spacing w:after="0" w:line="240" w:lineRule="auto"/>
              <w:contextualSpacing/>
              <w:rPr>
                <w:rFonts w:ascii="Times New Roman" w:eastAsia="Times New Roman" w:hAnsi="Times New Roman" w:cs="Times New Roman"/>
                <w:sz w:val="24"/>
                <w:szCs w:val="20"/>
              </w:rPr>
            </w:pPr>
            <w:r w:rsidRPr="00392CC9">
              <w:rPr>
                <w:rFonts w:ascii="Times New Roman" w:eastAsia="Times New Roman" w:hAnsi="Times New Roman" w:cs="Times New Roman"/>
                <w:bCs/>
                <w:sz w:val="24"/>
                <w:szCs w:val="20"/>
              </w:rPr>
              <w:t xml:space="preserve">The SARP staff </w:t>
            </w:r>
            <w:r w:rsidRPr="00493C7E">
              <w:rPr>
                <w:rFonts w:ascii="Times New Roman" w:eastAsia="Times New Roman" w:hAnsi="Times New Roman" w:cs="Times New Roman"/>
                <w:bCs/>
                <w:sz w:val="24"/>
                <w:szCs w:val="20"/>
              </w:rPr>
              <w:t>will</w:t>
            </w:r>
            <w:r w:rsidRPr="002A571D">
              <w:rPr>
                <w:rFonts w:ascii="Times New Roman" w:eastAsia="Times New Roman" w:hAnsi="Times New Roman" w:cs="Times New Roman"/>
                <w:bCs/>
                <w:sz w:val="24"/>
                <w:szCs w:val="20"/>
              </w:rPr>
              <w:t xml:space="preserve"> schedule the participant’s matter to </w:t>
            </w:r>
            <w:r w:rsidR="00392CC9">
              <w:rPr>
                <w:rFonts w:ascii="Times New Roman" w:eastAsia="Times New Roman" w:hAnsi="Times New Roman" w:cs="Times New Roman"/>
                <w:bCs/>
                <w:sz w:val="24"/>
                <w:szCs w:val="20"/>
              </w:rPr>
              <w:t xml:space="preserve">be heard by </w:t>
            </w:r>
            <w:r w:rsidRPr="002A571D">
              <w:rPr>
                <w:rFonts w:ascii="Times New Roman" w:eastAsia="Times New Roman" w:hAnsi="Times New Roman" w:cs="Times New Roman"/>
                <w:bCs/>
                <w:sz w:val="24"/>
                <w:szCs w:val="20"/>
              </w:rPr>
              <w:t>the SAREC/Board for its determination of the participant’s eligibility for continued participation in SARP, and any corresponding SARP contract changes</w:t>
            </w:r>
            <w:r w:rsidR="00392CC9" w:rsidRPr="00392CC9">
              <w:rPr>
                <w:rFonts w:ascii="Times New Roman" w:eastAsia="Times New Roman" w:hAnsi="Times New Roman" w:cs="Times New Roman"/>
                <w:bCs/>
                <w:sz w:val="24"/>
                <w:szCs w:val="20"/>
              </w:rPr>
              <w:t>.</w:t>
            </w:r>
            <w:r w:rsidRPr="00392CC9">
              <w:rPr>
                <w:rFonts w:ascii="Times New Roman" w:eastAsia="Times New Roman" w:hAnsi="Times New Roman" w:cs="Times New Roman"/>
                <w:bCs/>
                <w:sz w:val="24"/>
                <w:szCs w:val="20"/>
              </w:rPr>
              <w:t xml:space="preserve"> </w:t>
            </w:r>
          </w:p>
          <w:p w14:paraId="15B15558" w14:textId="77777777" w:rsidR="00055385" w:rsidRPr="00392CC9" w:rsidRDefault="00055385">
            <w:pPr>
              <w:numPr>
                <w:ilvl w:val="2"/>
                <w:numId w:val="4"/>
              </w:numPr>
              <w:spacing w:after="0" w:line="240" w:lineRule="auto"/>
              <w:contextualSpacing/>
              <w:rPr>
                <w:rFonts w:ascii="Times New Roman" w:eastAsia="Times New Roman" w:hAnsi="Times New Roman" w:cs="Times New Roman"/>
                <w:bCs/>
                <w:sz w:val="24"/>
                <w:szCs w:val="20"/>
              </w:rPr>
            </w:pPr>
            <w:r w:rsidRPr="002A571D">
              <w:rPr>
                <w:rFonts w:ascii="Times New Roman" w:eastAsia="Times New Roman" w:hAnsi="Times New Roman" w:cs="Times New Roman"/>
                <w:bCs/>
                <w:sz w:val="24"/>
                <w:szCs w:val="20"/>
              </w:rPr>
              <w:t xml:space="preserve">Immediately, the </w:t>
            </w:r>
            <w:r w:rsidRPr="00392CC9">
              <w:rPr>
                <w:rFonts w:ascii="Times New Roman" w:eastAsia="Times New Roman" w:hAnsi="Times New Roman" w:cs="Times New Roman"/>
                <w:bCs/>
                <w:sz w:val="24"/>
                <w:szCs w:val="20"/>
              </w:rPr>
              <w:t>SARP staff will contact the SARP participant’s employer(s) and notify each that the participant is no longer authorized to be working in any nursing capacity.</w:t>
            </w:r>
          </w:p>
          <w:p w14:paraId="4F23CF89" w14:textId="77777777" w:rsidR="00055385" w:rsidRPr="00055385" w:rsidRDefault="00055385" w:rsidP="00055385">
            <w:pPr>
              <w:spacing w:after="0" w:line="240" w:lineRule="auto"/>
              <w:ind w:left="792" w:hanging="360"/>
              <w:rPr>
                <w:rFonts w:ascii="Times New Roman" w:eastAsia="Times New Roman" w:hAnsi="Times New Roman" w:cs="Times New Roman"/>
                <w:bCs/>
                <w:sz w:val="24"/>
                <w:szCs w:val="20"/>
              </w:rPr>
            </w:pPr>
          </w:p>
          <w:p w14:paraId="2BDD87F2" w14:textId="77777777" w:rsidR="00055385" w:rsidRPr="00055385" w:rsidRDefault="00055385" w:rsidP="00055385">
            <w:pPr>
              <w:numPr>
                <w:ilvl w:val="0"/>
                <w:numId w:val="2"/>
              </w:numPr>
              <w:spacing w:after="0" w:line="240" w:lineRule="auto"/>
              <w:contextualSpacing/>
              <w:rPr>
                <w:rFonts w:ascii="Times New Roman" w:eastAsia="Times New Roman" w:hAnsi="Times New Roman" w:cs="Times New Roman"/>
                <w:bCs/>
                <w:sz w:val="24"/>
                <w:szCs w:val="20"/>
                <w:u w:val="single"/>
              </w:rPr>
            </w:pPr>
            <w:r w:rsidRPr="00055385">
              <w:rPr>
                <w:rFonts w:ascii="Times New Roman" w:eastAsia="Times New Roman" w:hAnsi="Times New Roman" w:cs="Times New Roman"/>
                <w:bCs/>
                <w:sz w:val="24"/>
                <w:szCs w:val="20"/>
              </w:rPr>
              <w:t xml:space="preserve">Any SARP participant who </w:t>
            </w:r>
            <w:r w:rsidR="00400056">
              <w:rPr>
                <w:rFonts w:ascii="Times New Roman" w:eastAsia="Times New Roman" w:hAnsi="Times New Roman" w:cs="Times New Roman"/>
                <w:bCs/>
                <w:sz w:val="24"/>
                <w:szCs w:val="20"/>
              </w:rPr>
              <w:t xml:space="preserve">demonstrates </w:t>
            </w:r>
            <w:r w:rsidR="002A571D">
              <w:rPr>
                <w:rFonts w:ascii="Times New Roman" w:eastAsia="Times New Roman" w:hAnsi="Times New Roman" w:cs="Times New Roman"/>
                <w:bCs/>
                <w:sz w:val="24"/>
                <w:szCs w:val="20"/>
              </w:rPr>
              <w:t>un</w:t>
            </w:r>
            <w:r w:rsidR="00400056">
              <w:rPr>
                <w:rFonts w:ascii="Times New Roman" w:eastAsia="Times New Roman" w:hAnsi="Times New Roman" w:cs="Times New Roman"/>
                <w:bCs/>
                <w:sz w:val="24"/>
                <w:szCs w:val="20"/>
              </w:rPr>
              <w:t>authorized substance use or impairment, or both,</w:t>
            </w:r>
            <w:r w:rsidR="00400056" w:rsidRPr="00055385">
              <w:rPr>
                <w:rFonts w:ascii="Times New Roman" w:eastAsia="Times New Roman" w:hAnsi="Times New Roman" w:cs="Times New Roman"/>
                <w:bCs/>
                <w:sz w:val="24"/>
                <w:szCs w:val="20"/>
              </w:rPr>
              <w:t xml:space="preserve"> will</w:t>
            </w:r>
            <w:r w:rsidRPr="00055385">
              <w:rPr>
                <w:rFonts w:ascii="Times New Roman" w:eastAsia="Times New Roman" w:hAnsi="Times New Roman" w:cs="Times New Roman"/>
                <w:bCs/>
                <w:sz w:val="24"/>
                <w:szCs w:val="20"/>
              </w:rPr>
              <w:t xml:space="preserve"> have their nursing practice privileges delayed or placed on hold for </w:t>
            </w:r>
            <w:r w:rsidRPr="00055385">
              <w:rPr>
                <w:rFonts w:ascii="Times New Roman" w:eastAsia="Times New Roman" w:hAnsi="Times New Roman" w:cs="Times New Roman"/>
                <w:bCs/>
                <w:i/>
                <w:sz w:val="24"/>
                <w:szCs w:val="20"/>
              </w:rPr>
              <w:t>at least</w:t>
            </w:r>
            <w:r w:rsidRPr="00055385">
              <w:rPr>
                <w:rFonts w:ascii="Times New Roman" w:eastAsia="Times New Roman" w:hAnsi="Times New Roman" w:cs="Times New Roman"/>
                <w:bCs/>
                <w:sz w:val="24"/>
                <w:szCs w:val="20"/>
              </w:rPr>
              <w:t xml:space="preserve"> twelve (12) months</w:t>
            </w:r>
            <w:r w:rsidRPr="00055385">
              <w:rPr>
                <w:rFonts w:ascii="Times New Roman" w:eastAsia="Times New Roman" w:hAnsi="Times New Roman" w:cs="Times New Roman"/>
                <w:bCs/>
                <w:sz w:val="24"/>
                <w:szCs w:val="20"/>
                <w:vertAlign w:val="superscript"/>
              </w:rPr>
              <w:footnoteReference w:id="3"/>
            </w:r>
            <w:r w:rsidRPr="00055385">
              <w:rPr>
                <w:rFonts w:ascii="Times New Roman" w:eastAsia="Times New Roman" w:hAnsi="Times New Roman" w:cs="Times New Roman"/>
                <w:bCs/>
                <w:sz w:val="24"/>
                <w:szCs w:val="20"/>
              </w:rPr>
              <w:t xml:space="preserve"> from the date of </w:t>
            </w:r>
            <w:r w:rsidR="0084609D">
              <w:rPr>
                <w:rFonts w:ascii="Times New Roman" w:eastAsia="Times New Roman" w:hAnsi="Times New Roman" w:cs="Times New Roman"/>
                <w:bCs/>
                <w:sz w:val="24"/>
                <w:szCs w:val="20"/>
              </w:rPr>
              <w:t>occurrence</w:t>
            </w:r>
            <w:r w:rsidRPr="00055385">
              <w:rPr>
                <w:rFonts w:ascii="Times New Roman" w:eastAsia="Times New Roman" w:hAnsi="Times New Roman" w:cs="Times New Roman"/>
                <w:bCs/>
                <w:sz w:val="24"/>
                <w:szCs w:val="20"/>
              </w:rPr>
              <w:t xml:space="preserve">.  </w:t>
            </w:r>
          </w:p>
          <w:p w14:paraId="6CB52C33" w14:textId="77777777" w:rsidR="00055385" w:rsidRPr="00055385" w:rsidRDefault="00055385" w:rsidP="00055385">
            <w:pPr>
              <w:spacing w:after="0" w:line="240" w:lineRule="auto"/>
              <w:ind w:left="432" w:hanging="432"/>
              <w:rPr>
                <w:rFonts w:ascii="Times New Roman" w:eastAsia="Times New Roman" w:hAnsi="Times New Roman" w:cs="Times New Roman"/>
                <w:bCs/>
                <w:sz w:val="24"/>
                <w:szCs w:val="20"/>
              </w:rPr>
            </w:pPr>
          </w:p>
          <w:p w14:paraId="7D6D7FD5" w14:textId="1AD297BF" w:rsidR="00055385" w:rsidRPr="00055385" w:rsidRDefault="00055385" w:rsidP="00055385">
            <w:pPr>
              <w:numPr>
                <w:ilvl w:val="0"/>
                <w:numId w:val="2"/>
              </w:numPr>
              <w:spacing w:after="0" w:line="240" w:lineRule="auto"/>
              <w:contextualSpacing/>
              <w:rPr>
                <w:rFonts w:ascii="Times New Roman" w:eastAsia="Times New Roman" w:hAnsi="Times New Roman" w:cs="Times New Roman"/>
                <w:sz w:val="24"/>
                <w:szCs w:val="20"/>
              </w:rPr>
            </w:pPr>
            <w:r w:rsidRPr="00055385">
              <w:rPr>
                <w:rFonts w:ascii="Times New Roman" w:eastAsia="Times New Roman" w:hAnsi="Times New Roman" w:cs="Times New Roman"/>
                <w:sz w:val="24"/>
                <w:szCs w:val="20"/>
              </w:rPr>
              <w:t>Any SARP participant who demonstrate</w:t>
            </w:r>
            <w:r w:rsidR="00400056">
              <w:rPr>
                <w:rFonts w:ascii="Times New Roman" w:eastAsia="Times New Roman" w:hAnsi="Times New Roman" w:cs="Times New Roman"/>
                <w:sz w:val="24"/>
                <w:szCs w:val="20"/>
              </w:rPr>
              <w:t>s</w:t>
            </w:r>
            <w:r w:rsidRPr="00055385">
              <w:rPr>
                <w:rFonts w:ascii="Times New Roman" w:eastAsia="Times New Roman" w:hAnsi="Times New Roman" w:cs="Times New Roman"/>
                <w:sz w:val="24"/>
                <w:szCs w:val="20"/>
              </w:rPr>
              <w:t xml:space="preserve"> </w:t>
            </w:r>
            <w:r w:rsidR="00400056">
              <w:rPr>
                <w:rFonts w:ascii="Times New Roman" w:eastAsia="Times New Roman" w:hAnsi="Times New Roman" w:cs="Times New Roman"/>
                <w:bCs/>
                <w:sz w:val="24"/>
                <w:szCs w:val="20"/>
              </w:rPr>
              <w:t xml:space="preserve">authorized substance use or impairment, or </w:t>
            </w:r>
            <w:r w:rsidR="00493C7E">
              <w:rPr>
                <w:rFonts w:ascii="Times New Roman" w:eastAsia="Times New Roman" w:hAnsi="Times New Roman" w:cs="Times New Roman"/>
                <w:bCs/>
                <w:sz w:val="24"/>
                <w:szCs w:val="20"/>
              </w:rPr>
              <w:t>both,</w:t>
            </w:r>
            <w:r w:rsidRPr="00055385">
              <w:rPr>
                <w:rFonts w:ascii="Times New Roman" w:eastAsia="Times New Roman" w:hAnsi="Times New Roman" w:cs="Times New Roman"/>
                <w:sz w:val="24"/>
                <w:szCs w:val="20"/>
              </w:rPr>
              <w:t xml:space="preserve"> will have the SARP participant’s </w:t>
            </w:r>
            <w:r w:rsidR="00275D29">
              <w:rPr>
                <w:rFonts w:ascii="Times New Roman" w:eastAsia="Times New Roman" w:hAnsi="Times New Roman" w:cs="Times New Roman"/>
                <w:sz w:val="24"/>
                <w:szCs w:val="20"/>
              </w:rPr>
              <w:t>Consent Agreement for SARP Participation (</w:t>
            </w:r>
            <w:r w:rsidRPr="00055385">
              <w:rPr>
                <w:rFonts w:ascii="Times New Roman" w:eastAsia="Times New Roman" w:hAnsi="Times New Roman" w:cs="Times New Roman"/>
                <w:sz w:val="24"/>
                <w:szCs w:val="20"/>
              </w:rPr>
              <w:t>CASP</w:t>
            </w:r>
            <w:r w:rsidR="00275D29">
              <w:rPr>
                <w:rFonts w:ascii="Times New Roman" w:eastAsia="Times New Roman" w:hAnsi="Times New Roman" w:cs="Times New Roman"/>
                <w:sz w:val="24"/>
                <w:szCs w:val="20"/>
              </w:rPr>
              <w:t>)</w:t>
            </w:r>
            <w:r w:rsidRPr="00055385">
              <w:rPr>
                <w:rFonts w:ascii="Times New Roman" w:eastAsia="Times New Roman" w:hAnsi="Times New Roman" w:cs="Times New Roman"/>
                <w:sz w:val="24"/>
                <w:szCs w:val="20"/>
              </w:rPr>
              <w:t xml:space="preserve"> extended to a date that corresponds with the SARP requirement that a SARP participant must be in continuous and sustained recovery from all substances</w:t>
            </w:r>
            <w:r w:rsidR="000B4769">
              <w:rPr>
                <w:rFonts w:ascii="Times New Roman" w:eastAsia="Times New Roman" w:hAnsi="Times New Roman" w:cs="Times New Roman"/>
                <w:sz w:val="24"/>
                <w:szCs w:val="20"/>
              </w:rPr>
              <w:t xml:space="preserve"> of</w:t>
            </w:r>
            <w:r w:rsidRPr="00055385">
              <w:rPr>
                <w:rFonts w:ascii="Times New Roman" w:eastAsia="Times New Roman" w:hAnsi="Times New Roman" w:cs="Times New Roman"/>
                <w:sz w:val="24"/>
                <w:szCs w:val="20"/>
              </w:rPr>
              <w:t xml:space="preserve"> </w:t>
            </w:r>
            <w:r w:rsidR="00905D33">
              <w:rPr>
                <w:rFonts w:ascii="Times New Roman" w:eastAsia="Times New Roman" w:hAnsi="Times New Roman" w:cs="Times New Roman"/>
                <w:sz w:val="24"/>
                <w:szCs w:val="20"/>
              </w:rPr>
              <w:t>misuse</w:t>
            </w:r>
            <w:r w:rsidRPr="00055385">
              <w:rPr>
                <w:rFonts w:ascii="Times New Roman" w:eastAsia="Times New Roman" w:hAnsi="Times New Roman" w:cs="Times New Roman"/>
                <w:sz w:val="24"/>
                <w:szCs w:val="20"/>
              </w:rPr>
              <w:t xml:space="preserve"> throughout the three (3) year period immediately preceding a participant’s successful discharge from SARP.</w:t>
            </w:r>
          </w:p>
          <w:p w14:paraId="6CCE1061" w14:textId="77777777" w:rsidR="00055385" w:rsidRPr="00055385" w:rsidRDefault="00055385" w:rsidP="00055385">
            <w:pPr>
              <w:spacing w:after="0" w:line="240" w:lineRule="auto"/>
              <w:rPr>
                <w:rFonts w:ascii="Times New Roman" w:eastAsia="Times New Roman" w:hAnsi="Times New Roman" w:cs="Times New Roman"/>
                <w:bCs/>
                <w:sz w:val="24"/>
                <w:szCs w:val="20"/>
              </w:rPr>
            </w:pPr>
          </w:p>
          <w:p w14:paraId="385738C6" w14:textId="77777777" w:rsidR="00055385" w:rsidRPr="00055385" w:rsidRDefault="00055385" w:rsidP="00055385">
            <w:pPr>
              <w:spacing w:after="0" w:line="240" w:lineRule="auto"/>
              <w:rPr>
                <w:rFonts w:ascii="Times New Roman" w:eastAsia="Times New Roman" w:hAnsi="Times New Roman" w:cs="Times New Roman"/>
                <w:bCs/>
                <w:sz w:val="24"/>
                <w:szCs w:val="20"/>
              </w:rPr>
            </w:pPr>
            <w:r w:rsidRPr="00055385">
              <w:rPr>
                <w:rFonts w:ascii="Times New Roman" w:eastAsia="Times New Roman" w:hAnsi="Times New Roman" w:cs="Times New Roman"/>
                <w:bCs/>
                <w:sz w:val="24"/>
                <w:szCs w:val="20"/>
              </w:rPr>
              <w:t xml:space="preserve">Any SARP participant who fails to comply with terms of the CASP after being extended due to the terms of this Policy will be terminated from SARP and the Board will suspend his/her nursing license pursuant to the CASP. </w:t>
            </w:r>
          </w:p>
          <w:p w14:paraId="0529CE30" w14:textId="77777777" w:rsidR="00055385" w:rsidRPr="00055385" w:rsidRDefault="00055385" w:rsidP="00055385">
            <w:pPr>
              <w:spacing w:after="0" w:line="240" w:lineRule="auto"/>
              <w:ind w:left="360"/>
              <w:contextualSpacing/>
              <w:rPr>
                <w:rFonts w:ascii="Times New Roman" w:eastAsia="Times New Roman" w:hAnsi="Times New Roman" w:cs="Times New Roman"/>
                <w:bCs/>
                <w:sz w:val="24"/>
                <w:szCs w:val="20"/>
                <w:u w:val="single"/>
              </w:rPr>
            </w:pPr>
            <w:r w:rsidRPr="00055385">
              <w:rPr>
                <w:rFonts w:ascii="Times New Roman" w:eastAsia="Times New Roman" w:hAnsi="Times New Roman" w:cs="Times New Roman"/>
                <w:bCs/>
                <w:sz w:val="24"/>
                <w:szCs w:val="20"/>
              </w:rPr>
              <w:t xml:space="preserve">    </w:t>
            </w:r>
          </w:p>
        </w:tc>
      </w:tr>
      <w:tr w:rsidR="00055385" w:rsidRPr="00055385" w14:paraId="602DA2C8" w14:textId="77777777" w:rsidTr="006D4513">
        <w:tc>
          <w:tcPr>
            <w:tcW w:w="2700" w:type="dxa"/>
            <w:tcBorders>
              <w:top w:val="single" w:sz="6" w:space="0" w:color="000000"/>
            </w:tcBorders>
            <w:shd w:val="clear" w:color="auto" w:fill="auto"/>
          </w:tcPr>
          <w:p w14:paraId="0233144C" w14:textId="77777777" w:rsidR="00055385" w:rsidRPr="00055385" w:rsidRDefault="00055385" w:rsidP="00055385">
            <w:pPr>
              <w:spacing w:after="0" w:line="240" w:lineRule="auto"/>
              <w:rPr>
                <w:rFonts w:ascii="Times New Roman" w:eastAsia="Times New Roman" w:hAnsi="Times New Roman" w:cs="Times New Roman"/>
                <w:b/>
                <w:bCs/>
                <w:sz w:val="24"/>
                <w:szCs w:val="20"/>
              </w:rPr>
            </w:pPr>
          </w:p>
        </w:tc>
        <w:tc>
          <w:tcPr>
            <w:tcW w:w="7128" w:type="dxa"/>
            <w:tcBorders>
              <w:top w:val="single" w:sz="6" w:space="0" w:color="000000"/>
            </w:tcBorders>
            <w:shd w:val="clear" w:color="auto" w:fill="auto"/>
          </w:tcPr>
          <w:p w14:paraId="7C9E4E45" w14:textId="77777777" w:rsidR="00055385" w:rsidRPr="00055385" w:rsidRDefault="00055385" w:rsidP="00055385">
            <w:pPr>
              <w:spacing w:after="0" w:line="240" w:lineRule="auto"/>
              <w:rPr>
                <w:rFonts w:ascii="Times New Roman" w:eastAsia="Times New Roman" w:hAnsi="Times New Roman" w:cs="Times New Roman"/>
                <w:bCs/>
                <w:sz w:val="24"/>
                <w:szCs w:val="20"/>
              </w:rPr>
            </w:pPr>
          </w:p>
        </w:tc>
      </w:tr>
    </w:tbl>
    <w:p w14:paraId="51CAAAD9" w14:textId="77777777" w:rsidR="00015F84" w:rsidRDefault="00015F84"/>
    <w:sectPr w:rsidR="00015F84" w:rsidSect="004E56FA">
      <w:footerReference w:type="even" r:id="rId8"/>
      <w:footerReference w:type="default" r:id="rId9"/>
      <w:pgSz w:w="12240" w:h="15840" w:code="1"/>
      <w:pgMar w:top="1440" w:right="1440" w:bottom="1440" w:left="1440"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C1C2" w14:textId="77777777" w:rsidR="0050067F" w:rsidRDefault="0050067F" w:rsidP="00055385">
      <w:pPr>
        <w:spacing w:after="0" w:line="240" w:lineRule="auto"/>
      </w:pPr>
      <w:r>
        <w:separator/>
      </w:r>
    </w:p>
  </w:endnote>
  <w:endnote w:type="continuationSeparator" w:id="0">
    <w:p w14:paraId="58718820" w14:textId="77777777" w:rsidR="0050067F" w:rsidRDefault="0050067F" w:rsidP="0005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FB23" w14:textId="77777777" w:rsidR="00150FB3" w:rsidRDefault="007B7EEB" w:rsidP="007B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85B2F" w14:textId="77777777" w:rsidR="00150FB3" w:rsidRDefault="000B4769" w:rsidP="007B4C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F0B8" w14:textId="77777777" w:rsidR="00150FB3" w:rsidRPr="005B2A05" w:rsidRDefault="007B7EEB" w:rsidP="005B2A05">
    <w:pPr>
      <w:pStyle w:val="Footer"/>
      <w:framePr w:wrap="around" w:vAnchor="text" w:hAnchor="page" w:x="9982" w:y="-79"/>
      <w:rPr>
        <w:rStyle w:val="PageNumber"/>
        <w:sz w:val="20"/>
      </w:rPr>
    </w:pPr>
    <w:r w:rsidRPr="005B2A05">
      <w:rPr>
        <w:rStyle w:val="PageNumber"/>
        <w:sz w:val="20"/>
      </w:rPr>
      <w:t xml:space="preserve">Page </w:t>
    </w:r>
    <w:r w:rsidRPr="005B2A05">
      <w:rPr>
        <w:rStyle w:val="PageNumber"/>
        <w:sz w:val="20"/>
      </w:rPr>
      <w:fldChar w:fldCharType="begin"/>
    </w:r>
    <w:r w:rsidRPr="005B2A05">
      <w:rPr>
        <w:rStyle w:val="PageNumber"/>
        <w:sz w:val="20"/>
      </w:rPr>
      <w:instrText xml:space="preserve"> PAGE </w:instrText>
    </w:r>
    <w:r w:rsidRPr="005B2A05">
      <w:rPr>
        <w:rStyle w:val="PageNumber"/>
        <w:sz w:val="20"/>
      </w:rPr>
      <w:fldChar w:fldCharType="separate"/>
    </w:r>
    <w:r w:rsidR="002A621B">
      <w:rPr>
        <w:rStyle w:val="PageNumber"/>
        <w:noProof/>
        <w:sz w:val="20"/>
      </w:rPr>
      <w:t>1</w:t>
    </w:r>
    <w:r w:rsidRPr="005B2A05">
      <w:rPr>
        <w:rStyle w:val="PageNumber"/>
        <w:sz w:val="20"/>
      </w:rPr>
      <w:fldChar w:fldCharType="end"/>
    </w:r>
    <w:r w:rsidRPr="005B2A05">
      <w:rPr>
        <w:rStyle w:val="PageNumber"/>
        <w:sz w:val="20"/>
      </w:rPr>
      <w:t xml:space="preserve"> of </w:t>
    </w:r>
    <w:r w:rsidRPr="005B2A05">
      <w:rPr>
        <w:rStyle w:val="PageNumber"/>
        <w:sz w:val="20"/>
      </w:rPr>
      <w:fldChar w:fldCharType="begin"/>
    </w:r>
    <w:r w:rsidRPr="005B2A05">
      <w:rPr>
        <w:rStyle w:val="PageNumber"/>
        <w:sz w:val="20"/>
      </w:rPr>
      <w:instrText xml:space="preserve"> NUMPAGES </w:instrText>
    </w:r>
    <w:r w:rsidRPr="005B2A05">
      <w:rPr>
        <w:rStyle w:val="PageNumber"/>
        <w:sz w:val="20"/>
      </w:rPr>
      <w:fldChar w:fldCharType="separate"/>
    </w:r>
    <w:r w:rsidR="002A621B">
      <w:rPr>
        <w:rStyle w:val="PageNumber"/>
        <w:noProof/>
        <w:sz w:val="20"/>
      </w:rPr>
      <w:t>2</w:t>
    </w:r>
    <w:r w:rsidRPr="005B2A05">
      <w:rPr>
        <w:rStyle w:val="PageNumber"/>
        <w:sz w:val="20"/>
      </w:rPr>
      <w:fldChar w:fldCharType="end"/>
    </w:r>
  </w:p>
  <w:p w14:paraId="5271A67F" w14:textId="0C5F9ADA" w:rsidR="00150FB3" w:rsidRPr="00F06F7C" w:rsidRDefault="007B7EEB" w:rsidP="00D519A5">
    <w:pPr>
      <w:outlineLvl w:val="0"/>
      <w:rPr>
        <w:sz w:val="20"/>
      </w:rPr>
    </w:pPr>
    <w:r w:rsidRPr="00F06F7C">
      <w:rPr>
        <w:sz w:val="20"/>
      </w:rPr>
      <w:t>SARP Policy 06-01</w:t>
    </w:r>
    <w:r>
      <w:rPr>
        <w:sz w:val="20"/>
      </w:rPr>
      <w:t>: Management of SARP Participants’ Relapse from Substance Use Disorder Recovery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D918" w14:textId="77777777" w:rsidR="0050067F" w:rsidRDefault="0050067F" w:rsidP="00055385">
      <w:pPr>
        <w:spacing w:after="0" w:line="240" w:lineRule="auto"/>
      </w:pPr>
      <w:r>
        <w:separator/>
      </w:r>
    </w:p>
  </w:footnote>
  <w:footnote w:type="continuationSeparator" w:id="0">
    <w:p w14:paraId="7785F0C1" w14:textId="77777777" w:rsidR="0050067F" w:rsidRDefault="0050067F" w:rsidP="00055385">
      <w:pPr>
        <w:spacing w:after="0" w:line="240" w:lineRule="auto"/>
      </w:pPr>
      <w:r>
        <w:continuationSeparator/>
      </w:r>
    </w:p>
  </w:footnote>
  <w:footnote w:id="1">
    <w:p w14:paraId="742185AF" w14:textId="77777777" w:rsidR="00055385" w:rsidRPr="005B2A05" w:rsidRDefault="00055385" w:rsidP="00055385">
      <w:pPr>
        <w:pStyle w:val="FootnoteText"/>
      </w:pPr>
      <w:r>
        <w:rPr>
          <w:rStyle w:val="FootnoteReference"/>
        </w:rPr>
        <w:footnoteRef/>
      </w:r>
      <w:r>
        <w:t xml:space="preserve"> The policy was corrected to insert the generic term “Drug Testing Management Company (DTMC”) and remove </w:t>
      </w:r>
      <w:r w:rsidRPr="005B2A05">
        <w:t>the name of a particular vendor.</w:t>
      </w:r>
    </w:p>
  </w:footnote>
  <w:footnote w:id="2">
    <w:p w14:paraId="45128E00" w14:textId="77777777" w:rsidR="00055385" w:rsidRPr="005B2A05" w:rsidRDefault="00055385" w:rsidP="00055385">
      <w:pPr>
        <w:pStyle w:val="FootnoteText"/>
        <w:rPr>
          <w:color w:val="000000"/>
        </w:rPr>
      </w:pPr>
      <w:r w:rsidRPr="005B2A05">
        <w:rPr>
          <w:rStyle w:val="FootnoteReference"/>
          <w:color w:val="000000"/>
        </w:rPr>
        <w:footnoteRef/>
      </w:r>
      <w:r w:rsidRPr="005B2A05">
        <w:t xml:space="preserve"> </w:t>
      </w:r>
      <w:r w:rsidRPr="005B2A05">
        <w:rPr>
          <w:color w:val="000000"/>
        </w:rPr>
        <w:t xml:space="preserve">As defined in the State Administrative Procedures Act at Mass. Gen. Laws, </w:t>
      </w:r>
      <w:proofErr w:type="gramStart"/>
      <w:r w:rsidRPr="005B2A05">
        <w:rPr>
          <w:color w:val="000000"/>
        </w:rPr>
        <w:t>c</w:t>
      </w:r>
      <w:r>
        <w:rPr>
          <w:color w:val="000000"/>
        </w:rPr>
        <w:t>.</w:t>
      </w:r>
      <w:r w:rsidRPr="005B2A05">
        <w:rPr>
          <w:color w:val="000000"/>
        </w:rPr>
        <w:t>.</w:t>
      </w:r>
      <w:proofErr w:type="gramEnd"/>
      <w:r w:rsidRPr="005B2A05">
        <w:rPr>
          <w:color w:val="000000"/>
        </w:rPr>
        <w:t xml:space="preserve"> 30A, §1(6), substantial evidence is “such evidence as a reasonable mind might accept as adequate to support a conclusion.”</w:t>
      </w:r>
    </w:p>
    <w:p w14:paraId="73DE608D" w14:textId="77777777" w:rsidR="00055385" w:rsidRPr="005B2A05" w:rsidRDefault="00055385" w:rsidP="00055385">
      <w:pPr>
        <w:pStyle w:val="FootnoteText"/>
        <w:rPr>
          <w:strike/>
        </w:rPr>
      </w:pPr>
    </w:p>
  </w:footnote>
  <w:footnote w:id="3">
    <w:p w14:paraId="352AF729" w14:textId="77777777" w:rsidR="00055385" w:rsidRDefault="00055385" w:rsidP="00055385">
      <w:pPr>
        <w:pStyle w:val="FootnoteText"/>
      </w:pPr>
      <w:r>
        <w:rPr>
          <w:rStyle w:val="FootnoteReference"/>
        </w:rPr>
        <w:footnoteRef/>
      </w:r>
      <w:r>
        <w:t xml:space="preserve"> Unless otherwise authorized by the 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3F01"/>
    <w:multiLevelType w:val="hybridMultilevel"/>
    <w:tmpl w:val="FE10679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EF5EDE"/>
    <w:multiLevelType w:val="singleLevel"/>
    <w:tmpl w:val="0409000F"/>
    <w:lvl w:ilvl="0">
      <w:start w:val="1"/>
      <w:numFmt w:val="decimal"/>
      <w:lvlText w:val="%1."/>
      <w:lvlJc w:val="left"/>
      <w:pPr>
        <w:ind w:left="360" w:hanging="360"/>
      </w:pPr>
    </w:lvl>
  </w:abstractNum>
  <w:abstractNum w:abstractNumId="2" w15:restartNumberingAfterBreak="0">
    <w:nsid w:val="6A5B76C0"/>
    <w:multiLevelType w:val="singleLevel"/>
    <w:tmpl w:val="EA14B9C8"/>
    <w:lvl w:ilvl="0">
      <w:start w:val="1"/>
      <w:numFmt w:val="decimal"/>
      <w:lvlText w:val="%1."/>
      <w:legacy w:legacy="1" w:legacySpace="0" w:legacyIndent="360"/>
      <w:lvlJc w:val="left"/>
      <w:pPr>
        <w:ind w:left="360" w:hanging="360"/>
      </w:pPr>
    </w:lvl>
  </w:abstractNum>
  <w:abstractNum w:abstractNumId="3" w15:restartNumberingAfterBreak="0">
    <w:nsid w:val="7D4D3B2C"/>
    <w:multiLevelType w:val="hybridMultilevel"/>
    <w:tmpl w:val="7D14FD28"/>
    <w:lvl w:ilvl="0" w:tplc="04090019">
      <w:start w:val="1"/>
      <w:numFmt w:val="low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1440" w:hanging="180"/>
      </w:pPr>
    </w:lvl>
    <w:lvl w:ilvl="3" w:tplc="0409000F">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2"/>
    <w:lvlOverride w:ilvl="0">
      <w:lvl w:ilvl="0">
        <w:start w:val="1"/>
        <w:numFmt w:val="decimal"/>
        <w:lvlText w:val="%1."/>
        <w:legacy w:legacy="1" w:legacySpace="0" w:legacyIndent="360"/>
        <w:lvlJc w:val="left"/>
        <w:pPr>
          <w:ind w:left="450" w:hanging="360"/>
        </w:pPr>
      </w:lvl>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85"/>
    <w:rsid w:val="00015F84"/>
    <w:rsid w:val="00055385"/>
    <w:rsid w:val="000B4769"/>
    <w:rsid w:val="000F1108"/>
    <w:rsid w:val="00142724"/>
    <w:rsid w:val="00157C9F"/>
    <w:rsid w:val="00275D29"/>
    <w:rsid w:val="002A571D"/>
    <w:rsid w:val="002A621B"/>
    <w:rsid w:val="00392CC9"/>
    <w:rsid w:val="00400056"/>
    <w:rsid w:val="004501ED"/>
    <w:rsid w:val="00493C7E"/>
    <w:rsid w:val="0050067F"/>
    <w:rsid w:val="00501F3E"/>
    <w:rsid w:val="00602A64"/>
    <w:rsid w:val="00776EA5"/>
    <w:rsid w:val="007B7EEB"/>
    <w:rsid w:val="0084609D"/>
    <w:rsid w:val="00905D33"/>
    <w:rsid w:val="00963C68"/>
    <w:rsid w:val="00A37513"/>
    <w:rsid w:val="00B5551A"/>
    <w:rsid w:val="00B77AA9"/>
    <w:rsid w:val="00BC7E41"/>
    <w:rsid w:val="00BE62AA"/>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E52BB"/>
  <w15:chartTrackingRefBased/>
  <w15:docId w15:val="{98395D5D-AC13-4D78-AB1A-A25353F4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385"/>
  </w:style>
  <w:style w:type="character" w:styleId="PageNumber">
    <w:name w:val="page number"/>
    <w:basedOn w:val="DefaultParagraphFont"/>
    <w:rsid w:val="00055385"/>
  </w:style>
  <w:style w:type="paragraph" w:styleId="FootnoteText">
    <w:name w:val="footnote text"/>
    <w:basedOn w:val="Normal"/>
    <w:link w:val="FootnoteTextChar"/>
    <w:semiHidden/>
    <w:rsid w:val="000553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385"/>
    <w:rPr>
      <w:rFonts w:ascii="Times New Roman" w:eastAsia="Times New Roman" w:hAnsi="Times New Roman" w:cs="Times New Roman"/>
      <w:sz w:val="20"/>
      <w:szCs w:val="20"/>
    </w:rPr>
  </w:style>
  <w:style w:type="character" w:styleId="FootnoteReference">
    <w:name w:val="footnote reference"/>
    <w:semiHidden/>
    <w:rsid w:val="00055385"/>
    <w:rPr>
      <w:vertAlign w:val="superscript"/>
    </w:rPr>
  </w:style>
  <w:style w:type="paragraph" w:styleId="ListParagraph">
    <w:name w:val="List Paragraph"/>
    <w:basedOn w:val="Normal"/>
    <w:uiPriority w:val="34"/>
    <w:qFormat/>
    <w:rsid w:val="00055385"/>
    <w:pPr>
      <w:ind w:left="720"/>
      <w:contextualSpacing/>
    </w:pPr>
  </w:style>
  <w:style w:type="paragraph" w:styleId="BalloonText">
    <w:name w:val="Balloon Text"/>
    <w:basedOn w:val="Normal"/>
    <w:link w:val="BalloonTextChar"/>
    <w:uiPriority w:val="99"/>
    <w:semiHidden/>
    <w:unhideWhenUsed/>
    <w:rsid w:val="00BC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E41"/>
    <w:rPr>
      <w:rFonts w:ascii="Segoe UI" w:hAnsi="Segoe UI" w:cs="Segoe UI"/>
      <w:sz w:val="18"/>
      <w:szCs w:val="18"/>
    </w:rPr>
  </w:style>
  <w:style w:type="paragraph" w:styleId="Header">
    <w:name w:val="header"/>
    <w:basedOn w:val="Normal"/>
    <w:link w:val="HeaderChar"/>
    <w:uiPriority w:val="99"/>
    <w:unhideWhenUsed/>
    <w:rsid w:val="00400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89B87-59C9-4044-9583-ACB4EBFF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Cambra, Heather J (DPH)</dc:creator>
  <cp:keywords/>
  <dc:description/>
  <cp:lastModifiedBy>Waksmonski, Mark (DPH)</cp:lastModifiedBy>
  <cp:revision>4</cp:revision>
  <cp:lastPrinted>2019-01-15T12:06:00Z</cp:lastPrinted>
  <dcterms:created xsi:type="dcterms:W3CDTF">2022-07-14T17:59:00Z</dcterms:created>
  <dcterms:modified xsi:type="dcterms:W3CDTF">2022-10-03T16:03:00Z</dcterms:modified>
</cp:coreProperties>
</file>