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15840" w:h="12240" w:orient="landscape"/>
          <w:pgMar w:top="0" w:bottom="0" w:left="0" w:right="0"/>
        </w:sectPr>
      </w:pPr>
    </w:p>
    <w:p>
      <w:pPr>
        <w:pStyle w:val="Title"/>
        <w:spacing w:before="48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119999pt;margin-top:36.218483pt;width:347.8pt;height:85.95pt;mso-position-horizontal-relative:page;mso-position-vertical-relative:paragraph;z-index:15731712" type="#_x0000_t202" id="docshape1" filled="true" fillcolor="#eac6cf" stroked="true" strokeweight="1pt" strokecolor="#2b145e">
            <v:textbox inset="0,0,0,0">
              <w:txbxContent>
                <w:p>
                  <w:pPr>
                    <w:spacing w:line="247" w:lineRule="auto" w:before="180"/>
                    <w:ind w:left="239" w:right="412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2B145E"/>
                      <w:sz w:val="24"/>
                    </w:rPr>
                    <w:t>Schedule diagnostic evaluation immediately in the event of: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599" w:val="left" w:leader="none"/>
                      <w:tab w:pos="600" w:val="left" w:leader="none"/>
                    </w:tabs>
                    <w:spacing w:line="290" w:lineRule="exact" w:before="78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Bacterial</w:t>
                  </w:r>
                  <w:r>
                    <w:rPr>
                      <w:color w:val="2B145E"/>
                      <w:spacing w:val="4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meningitis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599" w:val="left" w:leader="none"/>
                      <w:tab w:pos="600" w:val="left" w:leader="none"/>
                    </w:tabs>
                    <w:spacing w:line="288" w:lineRule="exact" w:before="0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  <w:spacing w:val="-2"/>
                    </w:rPr>
                    <w:t>C</w:t>
                  </w:r>
                  <w:r>
                    <w:rPr>
                      <w:color w:val="2B145E"/>
                      <w:spacing w:val="-41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ongenital</w:t>
                  </w:r>
                  <w:r>
                    <w:rPr>
                      <w:color w:val="2B145E"/>
                      <w:spacing w:val="-16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cytomegalovirus</w:t>
                  </w:r>
                  <w:r>
                    <w:rPr>
                      <w:color w:val="2B145E"/>
                      <w:spacing w:val="-8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(cCMV)</w:t>
                  </w:r>
                  <w:r>
                    <w:rPr>
                      <w:color w:val="2B145E"/>
                      <w:spacing w:val="-8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infection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599" w:val="left" w:leader="none"/>
                      <w:tab w:pos="600" w:val="left" w:leader="none"/>
                    </w:tabs>
                    <w:spacing w:line="288" w:lineRule="exact" w:before="0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Parental</w:t>
                  </w:r>
                  <w:r>
                    <w:rPr>
                      <w:color w:val="2B145E"/>
                      <w:spacing w:val="15"/>
                    </w:rPr>
                    <w:t> </w:t>
                  </w:r>
                  <w:r>
                    <w:rPr>
                      <w:color w:val="2B145E"/>
                    </w:rPr>
                    <w:t>or</w:t>
                  </w:r>
                  <w:r>
                    <w:rPr>
                      <w:color w:val="2B145E"/>
                      <w:spacing w:val="27"/>
                    </w:rPr>
                    <w:t> </w:t>
                  </w:r>
                  <w:r>
                    <w:rPr>
                      <w:color w:val="2B145E"/>
                    </w:rPr>
                    <w:t>medical</w:t>
                  </w:r>
                  <w:r>
                    <w:rPr>
                      <w:color w:val="2B145E"/>
                      <w:spacing w:val="17"/>
                    </w:rPr>
                    <w:t> </w:t>
                  </w:r>
                  <w:r>
                    <w:rPr>
                      <w:color w:val="2B145E"/>
                    </w:rPr>
                    <w:t>provider</w:t>
                  </w:r>
                  <w:r>
                    <w:rPr>
                      <w:color w:val="2B145E"/>
                      <w:spacing w:val="22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concern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bookmarkStart w:name="Audiologic diagnostic appointments: Risk" w:id="1"/>
      <w:bookmarkEnd w:id="1"/>
      <w:r>
        <w:rPr>
          <w:b w:val="0"/>
        </w:rPr>
      </w:r>
      <w:r>
        <w:rPr>
          <w:color w:val="2B145E"/>
        </w:rPr>
        <w:t>TIER</w:t>
      </w:r>
      <w:r>
        <w:rPr>
          <w:color w:val="2B145E"/>
          <w:spacing w:val="1"/>
        </w:rPr>
        <w:t> </w:t>
      </w:r>
      <w:r>
        <w:rPr>
          <w:color w:val="2B145E"/>
          <w:spacing w:val="-5"/>
        </w:rPr>
        <w:t>1*</w:t>
      </w:r>
    </w:p>
    <w:p>
      <w:pPr>
        <w:pStyle w:val="Title"/>
        <w:ind w:left="3627" w:right="3657"/>
      </w:pPr>
      <w:r>
        <w:rPr>
          <w:b w:val="0"/>
        </w:rPr>
        <w:br w:type="column"/>
      </w:r>
      <w:r>
        <w:rPr>
          <w:color w:val="2B145E"/>
        </w:rPr>
        <w:t>TIER</w:t>
      </w:r>
      <w:r>
        <w:rPr>
          <w:color w:val="2B145E"/>
          <w:spacing w:val="1"/>
        </w:rPr>
        <w:t> </w:t>
      </w:r>
      <w:r>
        <w:rPr>
          <w:color w:val="2B145E"/>
          <w:spacing w:val="-5"/>
        </w:rPr>
        <w:t>2*</w:t>
      </w:r>
    </w:p>
    <w:p>
      <w:pPr>
        <w:spacing w:after="0"/>
        <w:sectPr>
          <w:type w:val="continuous"/>
          <w:pgSz w:w="15840" w:h="12240" w:orient="landscape"/>
          <w:pgMar w:top="0" w:bottom="0" w:left="0" w:right="0"/>
          <w:cols w:num="2" w:equalWidth="0">
            <w:col w:w="4763" w:space="2665"/>
            <w:col w:w="8412"/>
          </w:cols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group style="position:absolute;margin-left:0pt;margin-top:0pt;width:792pt;height:87.6pt;mso-position-horizontal-relative:page;mso-position-vertical-relative:page;z-index:15729664" id="docshapegroup2" coordorigin="0,0" coordsize="15840,1752">
            <v:rect style="position:absolute;left:0;top:0;width:15840;height:1752" id="docshape3" filled="true" fillcolor="#2b145e" stroked="false">
              <v:fill type="solid"/>
            </v:rect>
            <v:shape style="position:absolute;left:0;top:0;width:15840;height:1752" type="#_x0000_t202" id="docshape4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56"/>
                      </w:rPr>
                    </w:pPr>
                  </w:p>
                  <w:p>
                    <w:pPr>
                      <w:spacing w:before="0"/>
                      <w:ind w:left="731" w:right="0" w:firstLine="0"/>
                      <w:jc w:val="left"/>
                      <w:rPr>
                        <w:rFonts w:ascii="Calibri"/>
                        <w:b/>
                        <w:sz w:val="4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6"/>
                        <w:sz w:val="44"/>
                      </w:rPr>
                      <w:t>Audiologic</w:t>
                    </w:r>
                    <w:r>
                      <w:rPr>
                        <w:rFonts w:ascii="Calibri"/>
                        <w:b/>
                        <w:color w:val="FFFFFF"/>
                        <w:spacing w:val="-15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44"/>
                      </w:rPr>
                      <w:t>diagnostic</w:t>
                    </w:r>
                    <w:r>
                      <w:rPr>
                        <w:rFonts w:ascii="Calibri"/>
                        <w:b/>
                        <w:color w:val="FFFFFF"/>
                        <w:spacing w:val="-11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44"/>
                      </w:rPr>
                      <w:t>appointments:</w:t>
                    </w:r>
                    <w:r>
                      <w:rPr>
                        <w:rFonts w:ascii="Calibri"/>
                        <w:b/>
                        <w:color w:val="FFFFFF"/>
                        <w:spacing w:val="-17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44"/>
                      </w:rPr>
                      <w:t>Risk</w:t>
                    </w:r>
                    <w:r>
                      <w:rPr>
                        <w:rFonts w:ascii="Calibri"/>
                        <w:b/>
                        <w:color w:val="FFFFFF"/>
                        <w:spacing w:val="-12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44"/>
                      </w:rPr>
                      <w:t>factor</w:t>
                    </w:r>
                    <w:r>
                      <w:rPr>
                        <w:rFonts w:ascii="Calibri"/>
                        <w:b/>
                        <w:color w:val="FFFFFF"/>
                        <w:spacing w:val="-15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44"/>
                      </w:rPr>
                      <w:t>algorithm</w:t>
                    </w:r>
                    <w:r>
                      <w:rPr>
                        <w:rFonts w:ascii="Calibri"/>
                        <w:b/>
                        <w:color w:val="FFFFFF"/>
                        <w:spacing w:val="-14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44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FFFFFF"/>
                        <w:spacing w:val="-19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44"/>
                      </w:rPr>
                      <w:t>birth</w:t>
                    </w:r>
                    <w:r>
                      <w:rPr>
                        <w:rFonts w:ascii="Calibri"/>
                        <w:b/>
                        <w:color w:val="FFFFFF"/>
                        <w:spacing w:val="-18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44"/>
                      </w:rPr>
                      <w:t>hospitals</w:t>
                    </w:r>
                  </w:p>
                  <w:p>
                    <w:pPr>
                      <w:spacing w:before="24"/>
                      <w:ind w:left="719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For</w:t>
                    </w:r>
                    <w:r>
                      <w:rPr>
                        <w:color w:val="FFFFFF"/>
                        <w:spacing w:val="9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infants</w:t>
                    </w:r>
                    <w:r>
                      <w:rPr>
                        <w:color w:val="FFFFFF"/>
                        <w:spacing w:val="9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12"/>
                        <w:sz w:val="26"/>
                      </w:rPr>
                      <w:t>who</w:t>
                    </w:r>
                    <w:r>
                      <w:rPr>
                        <w:color w:val="FFFFFF"/>
                        <w:spacing w:val="27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12"/>
                        <w:sz w:val="26"/>
                      </w:rPr>
                      <w:t>pass</w:t>
                    </w:r>
                    <w:r>
                      <w:rPr>
                        <w:color w:val="FFFFFF"/>
                        <w:spacing w:val="27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the</w:t>
                    </w:r>
                    <w:r>
                      <w:rPr>
                        <w:color w:val="FFFFFF"/>
                        <w:spacing w:val="9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10"/>
                        <w:sz w:val="26"/>
                      </w:rPr>
                      <w:t>newborn</w:t>
                    </w:r>
                    <w:r>
                      <w:rPr>
                        <w:color w:val="FFFFFF"/>
                        <w:spacing w:val="22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hearing</w:t>
                    </w:r>
                    <w:r>
                      <w:rPr>
                        <w:color w:val="FFFFFF"/>
                        <w:spacing w:val="13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screen,</w:t>
                    </w:r>
                    <w:r>
                      <w:rPr>
                        <w:color w:val="FFFFFF"/>
                        <w:spacing w:val="7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but</w:t>
                    </w:r>
                    <w:r>
                      <w:rPr>
                        <w:color w:val="FFFFFF"/>
                        <w:spacing w:val="11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have</w:t>
                    </w:r>
                    <w:r>
                      <w:rPr>
                        <w:color w:val="FFFFFF"/>
                        <w:spacing w:val="23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any</w:t>
                    </w:r>
                    <w:r>
                      <w:rPr>
                        <w:color w:val="FFFFFF"/>
                        <w:spacing w:val="19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of</w:t>
                    </w:r>
                    <w:r>
                      <w:rPr>
                        <w:color w:val="FFFFFF"/>
                        <w:spacing w:val="6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the</w:t>
                    </w:r>
                    <w:r>
                      <w:rPr>
                        <w:color w:val="FFFFFF"/>
                        <w:spacing w:val="9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following</w:t>
                    </w:r>
                    <w:r>
                      <w:rPr>
                        <w:color w:val="FFFFFF"/>
                        <w:spacing w:val="13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risk</w:t>
                    </w:r>
                    <w:r>
                      <w:rPr>
                        <w:color w:val="FFFFFF"/>
                        <w:spacing w:val="7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factors</w:t>
                    </w:r>
                    <w:r>
                      <w:rPr>
                        <w:color w:val="FFFFFF"/>
                        <w:spacing w:val="7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for</w:t>
                    </w:r>
                    <w:r>
                      <w:rPr>
                        <w:color w:val="FFFFFF"/>
                        <w:spacing w:val="7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reduced</w:t>
                    </w:r>
                    <w:r>
                      <w:rPr>
                        <w:color w:val="FFFFFF"/>
                        <w:spacing w:val="10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6"/>
                      </w:rPr>
                      <w:t>hearing: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spacing w:before="214"/>
        <w:ind w:left="8157" w:right="0" w:firstLine="0"/>
        <w:jc w:val="left"/>
        <w:rPr>
          <w:rFonts w:ascii="Calibri"/>
          <w:b/>
          <w:sz w:val="32"/>
        </w:rPr>
      </w:pPr>
      <w:r>
        <w:rPr/>
        <w:pict>
          <v:shape style="position:absolute;margin-left:36.599998pt;margin-top:-20.986614pt;width:348.4pt;height:300pt;mso-position-horizontal-relative:page;mso-position-vertical-relative:paragraph;z-index:15730176" type="#_x0000_t202" id="docshape5" filled="true" fillcolor="#d2eeec" stroked="true" strokeweight="1pt" strokecolor="#2b145e">
            <v:textbox inset="0,0,0,0">
              <w:txbxContent>
                <w:p>
                  <w:pPr>
                    <w:spacing w:before="180"/>
                    <w:ind w:left="239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2B145E"/>
                      <w:sz w:val="24"/>
                    </w:rPr>
                    <w:t>Schedule</w:t>
                  </w:r>
                  <w:r>
                    <w:rPr>
                      <w:b/>
                      <w:color w:val="2B145E"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evaluation</w:t>
                  </w:r>
                  <w:r>
                    <w:rPr>
                      <w:b/>
                      <w:color w:val="2B145E"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by</w:t>
                  </w:r>
                  <w:r>
                    <w:rPr>
                      <w:b/>
                      <w:color w:val="2B145E"/>
                      <w:spacing w:val="4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3</w:t>
                  </w:r>
                  <w:r>
                    <w:rPr>
                      <w:b/>
                      <w:color w:val="2B145E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months</w:t>
                  </w:r>
                  <w:r>
                    <w:rPr>
                      <w:b/>
                      <w:color w:val="2B145E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of</w:t>
                  </w:r>
                  <w:r>
                    <w:rPr>
                      <w:b/>
                      <w:color w:val="2B145E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age</w:t>
                  </w:r>
                  <w:r>
                    <w:rPr>
                      <w:b/>
                      <w:color w:val="2B145E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in</w:t>
                  </w:r>
                  <w:r>
                    <w:rPr>
                      <w:b/>
                      <w:color w:val="2B145E"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the</w:t>
                  </w:r>
                  <w:r>
                    <w:rPr>
                      <w:b/>
                      <w:color w:val="2B145E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event</w:t>
                  </w:r>
                  <w:r>
                    <w:rPr>
                      <w:b/>
                      <w:color w:val="2B145E"/>
                      <w:spacing w:val="5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pacing w:val="-5"/>
                      <w:sz w:val="24"/>
                    </w:rPr>
                    <w:t>of: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90" w:lineRule="exact" w:before="6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  <w:spacing w:val="10"/>
                    </w:rPr>
                    <w:t>Aminoglycoside</w:t>
                  </w:r>
                  <w:r>
                    <w:rPr>
                      <w:color w:val="2B145E"/>
                      <w:spacing w:val="41"/>
                    </w:rPr>
                    <w:t> </w:t>
                  </w:r>
                  <w:r>
                    <w:rPr>
                      <w:color w:val="2B145E"/>
                    </w:rPr>
                    <w:t>administration</w:t>
                  </w:r>
                  <w:r>
                    <w:rPr>
                      <w:color w:val="2B145E"/>
                      <w:spacing w:val="11"/>
                    </w:rPr>
                    <w:t> </w:t>
                  </w:r>
                  <w:r>
                    <w:rPr>
                      <w:color w:val="2B145E"/>
                    </w:rPr>
                    <w:t>for</w:t>
                  </w:r>
                  <w:r>
                    <w:rPr>
                      <w:color w:val="2B145E"/>
                      <w:spacing w:val="18"/>
                    </w:rPr>
                    <w:t> </w:t>
                  </w:r>
                  <w:r>
                    <w:rPr>
                      <w:color w:val="2B145E"/>
                    </w:rPr>
                    <w:t>more</w:t>
                  </w:r>
                  <w:r>
                    <w:rPr>
                      <w:color w:val="2B145E"/>
                      <w:spacing w:val="27"/>
                    </w:rPr>
                    <w:t> </w:t>
                  </w:r>
                  <w:r>
                    <w:rPr>
                      <w:color w:val="2B145E"/>
                    </w:rPr>
                    <w:t>than</w:t>
                  </w:r>
                  <w:r>
                    <w:rPr>
                      <w:color w:val="2B145E"/>
                      <w:spacing w:val="11"/>
                    </w:rPr>
                    <w:t> </w:t>
                  </w:r>
                  <w:r>
                    <w:rPr>
                      <w:color w:val="2B145E"/>
                    </w:rPr>
                    <w:t>5</w:t>
                  </w:r>
                  <w:r>
                    <w:rPr>
                      <w:color w:val="2B145E"/>
                      <w:spacing w:val="20"/>
                    </w:rPr>
                    <w:t> </w:t>
                  </w:r>
                  <w:r>
                    <w:rPr>
                      <w:color w:val="2B145E"/>
                      <w:spacing w:val="-4"/>
                    </w:rPr>
                    <w:t>days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88" w:lineRule="exact" w:before="0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  <w:spacing w:val="-2"/>
                    </w:rPr>
                    <w:t>Chemotherapy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88" w:lineRule="exact" w:before="0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  <w:spacing w:val="-4"/>
                    </w:rPr>
                    <w:t>Cleft</w:t>
                  </w:r>
                  <w:r>
                    <w:rPr>
                      <w:color w:val="2B145E"/>
                      <w:spacing w:val="-10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lip/palate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88" w:lineRule="exact" w:before="0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Craniofacial</w:t>
                  </w:r>
                  <w:r>
                    <w:rPr>
                      <w:color w:val="2B145E"/>
                      <w:spacing w:val="20"/>
                    </w:rPr>
                    <w:t> </w:t>
                  </w:r>
                  <w:r>
                    <w:rPr>
                      <w:color w:val="2B145E"/>
                    </w:rPr>
                    <w:t>anomalies</w:t>
                  </w:r>
                  <w:r>
                    <w:rPr>
                      <w:color w:val="2B145E"/>
                      <w:spacing w:val="21"/>
                    </w:rPr>
                    <w:t> </w:t>
                  </w:r>
                  <w:r>
                    <w:rPr>
                      <w:color w:val="2B145E"/>
                    </w:rPr>
                    <w:t>(e.g.</w:t>
                  </w:r>
                  <w:r>
                    <w:rPr>
                      <w:color w:val="2B145E"/>
                      <w:spacing w:val="25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microtia/atresia)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88" w:lineRule="exact" w:before="0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  <w:spacing w:val="14"/>
                    </w:rPr>
                    <w:t>Down</w:t>
                  </w:r>
                  <w:r>
                    <w:rPr>
                      <w:color w:val="2B145E"/>
                      <w:spacing w:val="12"/>
                    </w:rPr>
                    <w:t> </w:t>
                  </w:r>
                  <w:r>
                    <w:rPr>
                      <w:color w:val="2B145E"/>
                      <w:spacing w:val="8"/>
                    </w:rPr>
                    <w:t>Syndrome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88" w:lineRule="exact" w:before="0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  <w:spacing w:val="14"/>
                    </w:rPr>
                    <w:t>ECMO 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88" w:lineRule="exact" w:before="0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Hyperbilirubinemia</w:t>
                  </w:r>
                  <w:r>
                    <w:rPr>
                      <w:color w:val="2B145E"/>
                      <w:spacing w:val="47"/>
                    </w:rPr>
                    <w:t> </w:t>
                  </w:r>
                  <w:r>
                    <w:rPr>
                      <w:color w:val="2B145E"/>
                    </w:rPr>
                    <w:t>with</w:t>
                  </w:r>
                  <w:r>
                    <w:rPr>
                      <w:color w:val="2B145E"/>
                      <w:spacing w:val="55"/>
                    </w:rPr>
                    <w:t> </w:t>
                  </w:r>
                  <w:r>
                    <w:rPr>
                      <w:color w:val="2B145E"/>
                    </w:rPr>
                    <w:t>exchange</w:t>
                  </w:r>
                  <w:r>
                    <w:rPr>
                      <w:color w:val="2B145E"/>
                      <w:spacing w:val="50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transfusion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37" w:lineRule="auto" w:before="0" w:after="0"/>
                    <w:ind w:left="599" w:right="2059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Perinatal asphyxia or hypoxic ischemic </w:t>
                  </w:r>
                  <w:r>
                    <w:rPr>
                      <w:color w:val="2B145E"/>
                      <w:spacing w:val="-2"/>
                    </w:rPr>
                    <w:t>encephalopathy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40" w:lineRule="auto" w:before="8" w:after="0"/>
                    <w:ind w:left="599" w:right="1014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Permanent childhood hearing </w:t>
                  </w:r>
                  <w:r>
                    <w:rPr>
                      <w:color w:val="2B145E"/>
                      <w:spacing w:val="10"/>
                    </w:rPr>
                    <w:t>loss</w:t>
                  </w:r>
                  <w:r>
                    <w:rPr>
                      <w:color w:val="2B145E"/>
                      <w:spacing w:val="10"/>
                    </w:rPr>
                    <w:t> </w:t>
                  </w:r>
                  <w:r>
                    <w:rPr>
                      <w:color w:val="2B145E"/>
                    </w:rPr>
                    <w:t>in immediate family (infant’s parents or siblings)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42" w:lineRule="auto" w:before="4" w:after="0"/>
                    <w:ind w:left="599" w:right="1298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Positive diagnosis of infection associated with reduced</w:t>
                  </w:r>
                  <w:r>
                    <w:rPr>
                      <w:color w:val="2B145E"/>
                      <w:spacing w:val="-11"/>
                    </w:rPr>
                    <w:t> </w:t>
                  </w:r>
                  <w:r>
                    <w:rPr>
                      <w:color w:val="2B145E"/>
                    </w:rPr>
                    <w:t>hearing</w:t>
                  </w:r>
                  <w:r>
                    <w:rPr>
                      <w:color w:val="2B145E"/>
                      <w:spacing w:val="-16"/>
                    </w:rPr>
                    <w:t> </w:t>
                  </w:r>
                  <w:r>
                    <w:rPr>
                      <w:color w:val="2B145E"/>
                    </w:rPr>
                    <w:t>(e.g.</w:t>
                  </w:r>
                  <w:r>
                    <w:rPr>
                      <w:color w:val="2B145E"/>
                      <w:spacing w:val="-13"/>
                    </w:rPr>
                    <w:t> </w:t>
                  </w:r>
                  <w:r>
                    <w:rPr>
                      <w:color w:val="2B145E"/>
                    </w:rPr>
                    <w:t>herpes,</w:t>
                  </w:r>
                  <w:r>
                    <w:rPr>
                      <w:color w:val="2B145E"/>
                      <w:spacing w:val="-15"/>
                    </w:rPr>
                    <w:t> </w:t>
                  </w:r>
                  <w:r>
                    <w:rPr>
                      <w:color w:val="2B145E"/>
                    </w:rPr>
                    <w:t>rubella,</w:t>
                  </w:r>
                  <w:r>
                    <w:rPr>
                      <w:color w:val="2B145E"/>
                      <w:spacing w:val="-11"/>
                    </w:rPr>
                    <w:t> </w:t>
                  </w:r>
                  <w:r>
                    <w:rPr>
                      <w:color w:val="2B145E"/>
                    </w:rPr>
                    <w:t>syphilis, toxoplasmosis, viral meningitis, encephalitis)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40" w:lineRule="auto" w:before="5" w:after="0"/>
                    <w:ind w:left="599" w:right="2111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  <w:spacing w:val="-2"/>
                    </w:rPr>
                    <w:t>Significant</w:t>
                  </w:r>
                  <w:r>
                    <w:rPr>
                      <w:color w:val="2B145E"/>
                      <w:spacing w:val="-17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head</w:t>
                  </w:r>
                  <w:r>
                    <w:rPr>
                      <w:color w:val="2B145E"/>
                      <w:spacing w:val="-16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trauma</w:t>
                  </w:r>
                  <w:r>
                    <w:rPr>
                      <w:color w:val="2B145E"/>
                      <w:spacing w:val="-16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especially</w:t>
                  </w:r>
                  <w:r>
                    <w:rPr>
                      <w:color w:val="2B145E"/>
                      <w:spacing w:val="-15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basal </w:t>
                  </w:r>
                  <w:r>
                    <w:rPr>
                      <w:color w:val="2B145E"/>
                    </w:rPr>
                    <w:t>skull/temporal bone fractures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98" w:val="left" w:leader="none"/>
                      <w:tab w:pos="600" w:val="left" w:leader="none"/>
                    </w:tabs>
                    <w:spacing w:line="240" w:lineRule="auto" w:before="5" w:after="0"/>
                    <w:ind w:left="599" w:right="771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  <w:spacing w:val="14"/>
                    </w:rPr>
                    <w:t>Syndromes</w:t>
                  </w:r>
                  <w:r>
                    <w:rPr>
                      <w:color w:val="2B145E"/>
                      <w:spacing w:val="14"/>
                    </w:rPr>
                    <w:t> </w:t>
                  </w:r>
                  <w:r>
                    <w:rPr>
                      <w:color w:val="2B145E"/>
                    </w:rPr>
                    <w:t>associated with reduced hearing (e.g. </w:t>
                  </w:r>
                  <w:r>
                    <w:rPr>
                      <w:color w:val="2B145E"/>
                      <w:spacing w:val="12"/>
                    </w:rPr>
                    <w:t>CHARGE,</w:t>
                  </w:r>
                  <w:r>
                    <w:rPr>
                      <w:color w:val="2B145E"/>
                      <w:spacing w:val="-1"/>
                    </w:rPr>
                    <w:t> </w:t>
                  </w:r>
                  <w:r>
                    <w:rPr>
                      <w:color w:val="2B145E"/>
                    </w:rPr>
                    <w:t>Treacher Collins, Pierre Robin)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36.119999pt;margin-top:-99.826614pt;width:347.8pt;height:67.45pt;mso-position-horizontal-relative:page;mso-position-vertical-relative:paragraph;z-index:15730688" type="#_x0000_t202" id="docshape6" filled="true" fillcolor="#f6d9c9" stroked="true" strokeweight="1pt" strokecolor="#2b145e">
            <v:textbox inset="0,0,0,0">
              <w:txbxContent>
                <w:p>
                  <w:pPr>
                    <w:spacing w:before="181"/>
                    <w:ind w:left="239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2B145E"/>
                      <w:sz w:val="24"/>
                    </w:rPr>
                    <w:t>Schedule evaluation</w:t>
                  </w:r>
                  <w:r>
                    <w:rPr>
                      <w:b/>
                      <w:color w:val="2B145E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by 1</w:t>
                  </w:r>
                  <w:r>
                    <w:rPr>
                      <w:b/>
                      <w:color w:val="2B145E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month</w:t>
                  </w:r>
                  <w:r>
                    <w:rPr>
                      <w:b/>
                      <w:color w:val="2B145E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of</w:t>
                  </w:r>
                  <w:r>
                    <w:rPr>
                      <w:b/>
                      <w:color w:val="2B145E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age</w:t>
                  </w:r>
                  <w:r>
                    <w:rPr>
                      <w:b/>
                      <w:color w:val="2B145E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in</w:t>
                  </w:r>
                  <w:r>
                    <w:rPr>
                      <w:b/>
                      <w:color w:val="2B145E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the</w:t>
                  </w:r>
                  <w:r>
                    <w:rPr>
                      <w:b/>
                      <w:color w:val="2B145E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event</w:t>
                  </w:r>
                  <w:r>
                    <w:rPr>
                      <w:b/>
                      <w:color w:val="2B145E"/>
                      <w:spacing w:val="3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pacing w:val="-5"/>
                      <w:sz w:val="24"/>
                    </w:rPr>
                    <w:t>of: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99" w:val="left" w:leader="none"/>
                      <w:tab w:pos="600" w:val="left" w:leader="none"/>
                    </w:tabs>
                    <w:spacing w:line="242" w:lineRule="auto" w:before="6" w:after="0"/>
                    <w:ind w:left="599" w:right="1314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History</w:t>
                  </w:r>
                  <w:r>
                    <w:rPr>
                      <w:color w:val="2B145E"/>
                      <w:spacing w:val="-5"/>
                    </w:rPr>
                    <w:t> </w:t>
                  </w:r>
                  <w:r>
                    <w:rPr>
                      <w:color w:val="2B145E"/>
                    </w:rPr>
                    <w:t>of</w:t>
                  </w:r>
                  <w:r>
                    <w:rPr>
                      <w:color w:val="2B145E"/>
                      <w:spacing w:val="-4"/>
                    </w:rPr>
                    <w:t> </w:t>
                  </w:r>
                  <w:r>
                    <w:rPr>
                      <w:color w:val="2B145E"/>
                    </w:rPr>
                    <w:t>maternal</w:t>
                  </w:r>
                  <w:r>
                    <w:rPr>
                      <w:color w:val="2B145E"/>
                      <w:spacing w:val="-12"/>
                    </w:rPr>
                    <w:t> </w:t>
                  </w:r>
                  <w:r>
                    <w:rPr>
                      <w:color w:val="2B145E"/>
                    </w:rPr>
                    <w:t>in</w:t>
                  </w:r>
                  <w:r>
                    <w:rPr>
                      <w:color w:val="2B145E"/>
                      <w:spacing w:val="-8"/>
                    </w:rPr>
                    <w:t> </w:t>
                  </w:r>
                  <w:r>
                    <w:rPr>
                      <w:color w:val="2B145E"/>
                    </w:rPr>
                    <w:t>utero</w:t>
                  </w:r>
                  <w:r>
                    <w:rPr>
                      <w:color w:val="2B145E"/>
                      <w:spacing w:val="-8"/>
                    </w:rPr>
                    <w:t> </w:t>
                  </w:r>
                  <w:r>
                    <w:rPr>
                      <w:color w:val="2B145E"/>
                    </w:rPr>
                    <w:t>Zika</w:t>
                  </w:r>
                  <w:r>
                    <w:rPr>
                      <w:color w:val="2B145E"/>
                      <w:spacing w:val="-5"/>
                    </w:rPr>
                    <w:t> </w:t>
                  </w:r>
                  <w:r>
                    <w:rPr>
                      <w:color w:val="2B145E"/>
                    </w:rPr>
                    <w:t>infection</w:t>
                  </w:r>
                  <w:r>
                    <w:rPr>
                      <w:color w:val="2B145E"/>
                      <w:spacing w:val="-13"/>
                    </w:rPr>
                    <w:t> </w:t>
                  </w:r>
                  <w:r>
                    <w:rPr>
                      <w:color w:val="2B145E"/>
                    </w:rPr>
                    <w:t>and screening via otoacoustic emissions methodology only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6.920013pt;margin-top:-195.706619pt;width:349pt;height:197.4pt;mso-position-horizontal-relative:page;mso-position-vertical-relative:paragraph;z-index:15731200" type="#_x0000_t202" id="docshape7" filled="true" fillcolor="#f8eee1" stroked="true" strokeweight="1pt" strokecolor="#2b145e">
            <v:textbox inset="0,0,0,0">
              <w:txbxContent>
                <w:p>
                  <w:pPr>
                    <w:spacing w:line="247" w:lineRule="auto" w:before="180"/>
                    <w:ind w:left="239" w:right="218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2B145E"/>
                      <w:sz w:val="24"/>
                    </w:rPr>
                    <w:t>Recommend behavioral audiologic diagnostic evaluation to</w:t>
                  </w:r>
                  <w:r>
                    <w:rPr>
                      <w:b/>
                      <w:color w:val="2B145E"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occur</w:t>
                  </w:r>
                  <w:r>
                    <w:rPr>
                      <w:b/>
                      <w:color w:val="2B145E"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at</w:t>
                  </w:r>
                  <w:r>
                    <w:rPr>
                      <w:b/>
                      <w:color w:val="2B145E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9</w:t>
                  </w:r>
                  <w:r>
                    <w:rPr>
                      <w:b/>
                      <w:color w:val="2B145E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months</w:t>
                  </w:r>
                  <w:r>
                    <w:rPr>
                      <w:b/>
                      <w:color w:val="2B145E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of</w:t>
                  </w:r>
                  <w:r>
                    <w:rPr>
                      <w:b/>
                      <w:color w:val="2B145E"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age</w:t>
                  </w:r>
                  <w:r>
                    <w:rPr>
                      <w:b/>
                      <w:color w:val="2B145E"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0"/>
                    </w:rPr>
                    <w:t>(corrected</w:t>
                  </w:r>
                  <w:r>
                    <w:rPr>
                      <w:b/>
                      <w:color w:val="2B145E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2B145E"/>
                      <w:sz w:val="20"/>
                    </w:rPr>
                    <w:t>age)</w:t>
                  </w:r>
                  <w:r>
                    <w:rPr>
                      <w:b/>
                      <w:color w:val="2B145E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in</w:t>
                  </w:r>
                  <w:r>
                    <w:rPr>
                      <w:b/>
                      <w:color w:val="2B145E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the</w:t>
                  </w:r>
                  <w:r>
                    <w:rPr>
                      <w:b/>
                      <w:color w:val="2B145E"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event</w:t>
                  </w:r>
                  <w:r>
                    <w:rPr>
                      <w:b/>
                      <w:color w:val="2B145E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color w:val="2B145E"/>
                      <w:sz w:val="24"/>
                    </w:rPr>
                    <w:t>of: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599" w:val="left" w:leader="none"/>
                      <w:tab w:pos="600" w:val="left" w:leader="none"/>
                    </w:tabs>
                    <w:spacing w:line="240" w:lineRule="auto" w:before="78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≥10</w:t>
                  </w:r>
                  <w:r>
                    <w:rPr>
                      <w:color w:val="2B145E"/>
                      <w:spacing w:val="19"/>
                    </w:rPr>
                    <w:t> </w:t>
                  </w:r>
                  <w:r>
                    <w:rPr>
                      <w:color w:val="2B145E"/>
                      <w:spacing w:val="10"/>
                    </w:rPr>
                    <w:t>days</w:t>
                  </w:r>
                  <w:r>
                    <w:rPr>
                      <w:color w:val="2B145E"/>
                      <w:spacing w:val="28"/>
                    </w:rPr>
                    <w:t> </w:t>
                  </w:r>
                  <w:r>
                    <w:rPr>
                      <w:color w:val="2B145E"/>
                    </w:rPr>
                    <w:t>mechanical</w:t>
                  </w:r>
                  <w:r>
                    <w:rPr>
                      <w:color w:val="2B145E"/>
                      <w:spacing w:val="15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ventilation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599" w:val="left" w:leader="none"/>
                      <w:tab w:pos="600" w:val="left" w:leader="none"/>
                    </w:tabs>
                    <w:spacing w:line="240" w:lineRule="auto" w:before="77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≤</w:t>
                  </w:r>
                  <w:r>
                    <w:rPr>
                      <w:color w:val="2B145E"/>
                      <w:spacing w:val="-31"/>
                    </w:rPr>
                    <w:t> </w:t>
                  </w:r>
                  <w:r>
                    <w:rPr>
                      <w:color w:val="2B145E"/>
                    </w:rPr>
                    <w:t>32</w:t>
                  </w:r>
                  <w:r>
                    <w:rPr>
                      <w:color w:val="2B145E"/>
                      <w:spacing w:val="30"/>
                    </w:rPr>
                    <w:t> </w:t>
                  </w:r>
                  <w:r>
                    <w:rPr>
                      <w:color w:val="2B145E"/>
                    </w:rPr>
                    <w:t>weeks</w:t>
                  </w:r>
                  <w:r>
                    <w:rPr>
                      <w:color w:val="2B145E"/>
                      <w:spacing w:val="26"/>
                    </w:rPr>
                    <w:t> </w:t>
                  </w:r>
                  <w:r>
                    <w:rPr>
                      <w:color w:val="2B145E"/>
                    </w:rPr>
                    <w:t>gestational</w:t>
                  </w:r>
                  <w:r>
                    <w:rPr>
                      <w:color w:val="2B145E"/>
                      <w:spacing w:val="21"/>
                    </w:rPr>
                    <w:t> </w:t>
                  </w:r>
                  <w:r>
                    <w:rPr>
                      <w:color w:val="2B145E"/>
                      <w:spacing w:val="-5"/>
                    </w:rPr>
                    <w:t>age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599" w:val="left" w:leader="none"/>
                      <w:tab w:pos="600" w:val="left" w:leader="none"/>
                    </w:tabs>
                    <w:spacing w:line="240" w:lineRule="auto" w:before="74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≤1500</w:t>
                  </w:r>
                  <w:r>
                    <w:rPr>
                      <w:color w:val="2B145E"/>
                      <w:spacing w:val="23"/>
                    </w:rPr>
                    <w:t> </w:t>
                  </w:r>
                  <w:r>
                    <w:rPr>
                      <w:color w:val="2B145E"/>
                      <w:spacing w:val="13"/>
                    </w:rPr>
                    <w:t>grams</w:t>
                  </w:r>
                  <w:r>
                    <w:rPr>
                      <w:color w:val="2B145E"/>
                      <w:spacing w:val="26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birthweight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599" w:val="left" w:leader="none"/>
                      <w:tab w:pos="600" w:val="left" w:leader="none"/>
                    </w:tabs>
                    <w:spacing w:line="240" w:lineRule="auto" w:before="74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Ear</w:t>
                  </w:r>
                  <w:r>
                    <w:rPr>
                      <w:color w:val="2B145E"/>
                      <w:spacing w:val="15"/>
                    </w:rPr>
                    <w:t> </w:t>
                  </w:r>
                  <w:r>
                    <w:rPr>
                      <w:color w:val="2B145E"/>
                    </w:rPr>
                    <w:t>pits</w:t>
                  </w:r>
                  <w:r>
                    <w:rPr>
                      <w:color w:val="2B145E"/>
                      <w:spacing w:val="17"/>
                    </w:rPr>
                    <w:t> </w:t>
                  </w:r>
                  <w:r>
                    <w:rPr>
                      <w:color w:val="2B145E"/>
                      <w:spacing w:val="18"/>
                    </w:rPr>
                    <w:t>and/or</w:t>
                  </w:r>
                  <w:r>
                    <w:rPr>
                      <w:color w:val="2B145E"/>
                      <w:spacing w:val="38"/>
                    </w:rPr>
                    <w:t> </w:t>
                  </w:r>
                  <w:r>
                    <w:rPr>
                      <w:color w:val="2B145E"/>
                    </w:rPr>
                    <w:t>preauricular</w:t>
                  </w:r>
                  <w:r>
                    <w:rPr>
                      <w:color w:val="2B145E"/>
                      <w:spacing w:val="11"/>
                    </w:rPr>
                    <w:t> </w:t>
                  </w:r>
                  <w:r>
                    <w:rPr>
                      <w:color w:val="2B145E"/>
                      <w:spacing w:val="-4"/>
                    </w:rPr>
                    <w:t>tags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599" w:val="left" w:leader="none"/>
                      <w:tab w:pos="600" w:val="left" w:leader="none"/>
                    </w:tabs>
                    <w:spacing w:line="240" w:lineRule="auto" w:before="77" w:after="0"/>
                    <w:ind w:left="599" w:right="855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History</w:t>
                  </w:r>
                  <w:r>
                    <w:rPr>
                      <w:color w:val="2B145E"/>
                      <w:spacing w:val="-5"/>
                    </w:rPr>
                    <w:t> </w:t>
                  </w:r>
                  <w:r>
                    <w:rPr>
                      <w:color w:val="2B145E"/>
                    </w:rPr>
                    <w:t>of</w:t>
                  </w:r>
                  <w:r>
                    <w:rPr>
                      <w:color w:val="2B145E"/>
                      <w:spacing w:val="-4"/>
                    </w:rPr>
                    <w:t> </w:t>
                  </w:r>
                  <w:r>
                    <w:rPr>
                      <w:color w:val="2B145E"/>
                    </w:rPr>
                    <w:t>maternal</w:t>
                  </w:r>
                  <w:r>
                    <w:rPr>
                      <w:color w:val="2B145E"/>
                      <w:spacing w:val="-12"/>
                    </w:rPr>
                    <w:t> </w:t>
                  </w:r>
                  <w:r>
                    <w:rPr>
                      <w:color w:val="2B145E"/>
                    </w:rPr>
                    <w:t>in</w:t>
                  </w:r>
                  <w:r>
                    <w:rPr>
                      <w:color w:val="2B145E"/>
                      <w:spacing w:val="-8"/>
                    </w:rPr>
                    <w:t> </w:t>
                  </w:r>
                  <w:r>
                    <w:rPr>
                      <w:color w:val="2B145E"/>
                    </w:rPr>
                    <w:t>utero</w:t>
                  </w:r>
                  <w:r>
                    <w:rPr>
                      <w:color w:val="2B145E"/>
                      <w:spacing w:val="-8"/>
                    </w:rPr>
                    <w:t> </w:t>
                  </w:r>
                  <w:r>
                    <w:rPr>
                      <w:color w:val="2B145E"/>
                    </w:rPr>
                    <w:t>infection</w:t>
                  </w:r>
                  <w:r>
                    <w:rPr>
                      <w:color w:val="2B145E"/>
                      <w:spacing w:val="-5"/>
                    </w:rPr>
                    <w:t> </w:t>
                  </w:r>
                  <w:r>
                    <w:rPr>
                      <w:color w:val="2B145E"/>
                    </w:rPr>
                    <w:t>(e.g.</w:t>
                  </w:r>
                  <w:r>
                    <w:rPr>
                      <w:color w:val="2B145E"/>
                      <w:spacing w:val="-13"/>
                    </w:rPr>
                    <w:t> </w:t>
                  </w:r>
                  <w:r>
                    <w:rPr>
                      <w:color w:val="2B145E"/>
                    </w:rPr>
                    <w:t>herpes, rubella, syphilis, toxoplasmosis)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599" w:val="left" w:leader="none"/>
                      <w:tab w:pos="600" w:val="left" w:leader="none"/>
                    </w:tabs>
                    <w:spacing w:line="240" w:lineRule="auto" w:before="83" w:after="0"/>
                    <w:ind w:left="599" w:right="19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History</w:t>
                  </w:r>
                  <w:r>
                    <w:rPr>
                      <w:color w:val="2B145E"/>
                      <w:spacing w:val="-1"/>
                    </w:rPr>
                    <w:t> </w:t>
                  </w:r>
                  <w:r>
                    <w:rPr>
                      <w:color w:val="2B145E"/>
                    </w:rPr>
                    <w:t>of maternal</w:t>
                  </w:r>
                  <w:r>
                    <w:rPr>
                      <w:color w:val="2B145E"/>
                      <w:spacing w:val="-8"/>
                    </w:rPr>
                    <w:t> </w:t>
                  </w:r>
                  <w:r>
                    <w:rPr>
                      <w:color w:val="2B145E"/>
                    </w:rPr>
                    <w:t>in</w:t>
                  </w:r>
                  <w:r>
                    <w:rPr>
                      <w:color w:val="2B145E"/>
                      <w:spacing w:val="-4"/>
                    </w:rPr>
                    <w:t> </w:t>
                  </w:r>
                  <w:r>
                    <w:rPr>
                      <w:color w:val="2B145E"/>
                    </w:rPr>
                    <w:t>utero</w:t>
                  </w:r>
                  <w:r>
                    <w:rPr>
                      <w:color w:val="2B145E"/>
                      <w:spacing w:val="-4"/>
                    </w:rPr>
                    <w:t> </w:t>
                  </w:r>
                  <w:r>
                    <w:rPr>
                      <w:color w:val="2B145E"/>
                    </w:rPr>
                    <w:t>Zika </w:t>
                  </w:r>
                  <w:r>
                    <w:rPr>
                      <w:color w:val="2B145E"/>
                      <w:spacing w:val="14"/>
                    </w:rPr>
                    <w:t>infection </w:t>
                  </w:r>
                  <w:r>
                    <w:rPr>
                      <w:color w:val="2B145E"/>
                    </w:rPr>
                    <w:t>and screening via </w:t>
                  </w:r>
                  <w:r>
                    <w:rPr>
                      <w:color w:val="2B145E"/>
                      <w:spacing w:val="16"/>
                    </w:rPr>
                    <w:t>ABR</w:t>
                  </w:r>
                  <w:r>
                    <w:rPr>
                      <w:color w:val="2B145E"/>
                      <w:spacing w:val="16"/>
                    </w:rPr>
                    <w:t> </w:t>
                  </w:r>
                  <w:r>
                    <w:rPr>
                      <w:color w:val="2B145E"/>
                    </w:rPr>
                    <w:t>methodology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599" w:val="left" w:leader="none"/>
                      <w:tab w:pos="600" w:val="left" w:leader="none"/>
                    </w:tabs>
                    <w:spacing w:line="240" w:lineRule="auto" w:before="84" w:after="0"/>
                    <w:ind w:left="599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2B145E"/>
                    </w:rPr>
                    <w:t>Permanent</w:t>
                  </w:r>
                  <w:r>
                    <w:rPr>
                      <w:color w:val="2B145E"/>
                      <w:spacing w:val="27"/>
                    </w:rPr>
                    <w:t> </w:t>
                  </w:r>
                  <w:r>
                    <w:rPr>
                      <w:color w:val="2B145E"/>
                    </w:rPr>
                    <w:t>childhood</w:t>
                  </w:r>
                  <w:r>
                    <w:rPr>
                      <w:color w:val="2B145E"/>
                      <w:spacing w:val="26"/>
                    </w:rPr>
                    <w:t> </w:t>
                  </w:r>
                  <w:r>
                    <w:rPr>
                      <w:color w:val="2B145E"/>
                    </w:rPr>
                    <w:t>hearing</w:t>
                  </w:r>
                  <w:r>
                    <w:rPr>
                      <w:color w:val="2B145E"/>
                      <w:spacing w:val="25"/>
                    </w:rPr>
                    <w:t> </w:t>
                  </w:r>
                  <w:r>
                    <w:rPr>
                      <w:color w:val="2B145E"/>
                      <w:spacing w:val="10"/>
                    </w:rPr>
                    <w:t>loss</w:t>
                  </w:r>
                  <w:r>
                    <w:rPr>
                      <w:color w:val="2B145E"/>
                      <w:spacing w:val="52"/>
                    </w:rPr>
                    <w:t> </w:t>
                  </w:r>
                  <w:r>
                    <w:rPr>
                      <w:color w:val="2B145E"/>
                    </w:rPr>
                    <w:t>in</w:t>
                  </w:r>
                  <w:r>
                    <w:rPr>
                      <w:color w:val="2B145E"/>
                      <w:spacing w:val="31"/>
                    </w:rPr>
                    <w:t> </w:t>
                  </w:r>
                  <w:r>
                    <w:rPr>
                      <w:color w:val="2B145E"/>
                    </w:rPr>
                    <w:t>extended</w:t>
                  </w:r>
                  <w:r>
                    <w:rPr>
                      <w:color w:val="2B145E"/>
                      <w:spacing w:val="27"/>
                    </w:rPr>
                    <w:t> </w:t>
                  </w:r>
                  <w:r>
                    <w:rPr>
                      <w:color w:val="2B145E"/>
                      <w:spacing w:val="-2"/>
                    </w:rPr>
                    <w:t>family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Calibri"/>
          <w:b/>
          <w:color w:val="2B145E"/>
          <w:spacing w:val="-1"/>
          <w:sz w:val="32"/>
        </w:rPr>
        <w:t>*NOTIFY</w:t>
      </w:r>
      <w:r>
        <w:rPr>
          <w:rFonts w:ascii="Calibri"/>
          <w:b/>
          <w:color w:val="2B145E"/>
          <w:spacing w:val="-12"/>
          <w:sz w:val="32"/>
        </w:rPr>
        <w:t> </w:t>
      </w:r>
      <w:r>
        <w:rPr>
          <w:rFonts w:ascii="Calibri"/>
          <w:b/>
          <w:color w:val="2B145E"/>
          <w:spacing w:val="-1"/>
          <w:sz w:val="32"/>
        </w:rPr>
        <w:t>FAMILY</w:t>
      </w:r>
      <w:r>
        <w:rPr>
          <w:rFonts w:ascii="Calibri"/>
          <w:b/>
          <w:color w:val="2B145E"/>
          <w:spacing w:val="-11"/>
          <w:sz w:val="32"/>
        </w:rPr>
        <w:t> </w:t>
      </w:r>
      <w:r>
        <w:rPr>
          <w:rFonts w:ascii="Calibri"/>
          <w:b/>
          <w:color w:val="2B145E"/>
          <w:spacing w:val="-1"/>
          <w:sz w:val="32"/>
        </w:rPr>
        <w:t>AND</w:t>
      </w:r>
      <w:r>
        <w:rPr>
          <w:rFonts w:ascii="Calibri"/>
          <w:b/>
          <w:color w:val="2B145E"/>
          <w:spacing w:val="-15"/>
          <w:sz w:val="32"/>
        </w:rPr>
        <w:t> </w:t>
      </w:r>
      <w:r>
        <w:rPr>
          <w:rFonts w:ascii="Calibri"/>
          <w:b/>
          <w:color w:val="2B145E"/>
          <w:spacing w:val="-1"/>
          <w:sz w:val="32"/>
        </w:rPr>
        <w:t>PEDIATRICIAN</w:t>
      </w:r>
      <w:r>
        <w:rPr>
          <w:rFonts w:ascii="Calibri"/>
          <w:b/>
          <w:color w:val="2B145E"/>
          <w:spacing w:val="-12"/>
          <w:sz w:val="32"/>
        </w:rPr>
        <w:t> </w:t>
      </w:r>
      <w:r>
        <w:rPr>
          <w:rFonts w:ascii="Calibri"/>
          <w:b/>
          <w:color w:val="2B145E"/>
          <w:spacing w:val="-1"/>
          <w:sz w:val="32"/>
        </w:rPr>
        <w:t>IN</w:t>
      </w:r>
      <w:r>
        <w:rPr>
          <w:rFonts w:ascii="Calibri"/>
          <w:b/>
          <w:color w:val="2B145E"/>
          <w:spacing w:val="-16"/>
          <w:sz w:val="32"/>
        </w:rPr>
        <w:t> </w:t>
      </w:r>
      <w:r>
        <w:rPr>
          <w:rFonts w:ascii="Calibri"/>
          <w:b/>
          <w:color w:val="2B145E"/>
          <w:spacing w:val="-1"/>
          <w:sz w:val="32"/>
        </w:rPr>
        <w:t>ALL</w:t>
      </w:r>
      <w:r>
        <w:rPr>
          <w:rFonts w:ascii="Calibri"/>
          <w:b/>
          <w:color w:val="2B145E"/>
          <w:spacing w:val="-16"/>
          <w:sz w:val="32"/>
        </w:rPr>
        <w:t> </w:t>
      </w:r>
      <w:r>
        <w:rPr>
          <w:rFonts w:ascii="Calibri"/>
          <w:b/>
          <w:color w:val="2B145E"/>
          <w:spacing w:val="-1"/>
          <w:sz w:val="32"/>
        </w:rPr>
        <w:t>CASES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6781800</wp:posOffset>
            </wp:positionH>
            <wp:positionV relativeFrom="paragraph">
              <wp:posOffset>264165</wp:posOffset>
            </wp:positionV>
            <wp:extent cx="1271087" cy="13335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87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64.079895pt;margin-top:13.9607pt;width:93.6pt;height:111.95pt;mso-position-horizontal-relative:page;mso-position-vertical-relative:paragraph;z-index:-15728128;mso-wrap-distance-left:0;mso-wrap-distance-right:0" id="docshapegroup8" coordorigin="13282,279" coordsize="1872,2239">
            <v:shape style="position:absolute;left:13310;top:1767;width:152;height:231" type="#_x0000_t75" id="docshape9" stroked="false">
              <v:imagedata r:id="rId6" o:title=""/>
            </v:shape>
            <v:shape style="position:absolute;left:13567;top:1824;width:128;height:168" type="#_x0000_t75" id="docshape10" stroked="false">
              <v:imagedata r:id="rId7" o:title=""/>
            </v:shape>
            <v:shape style="position:absolute;left:13812;top:1757;width:41;height:235" id="docshape11" coordorigin="13812,1758" coordsize="41,235" path="m13846,1825l13818,1829,13818,1992,13846,1992,13846,1825xm13852,1766l13843,1758,13821,1758,13812,1767,13812,1789,13821,1798,13843,1798,13852,1789,13852,1766xe" filled="true" fillcolor="#a90055" stroked="false">
              <v:path arrowok="t"/>
              <v:fill type="solid"/>
            </v:shape>
            <v:shape style="position:absolute;left:13281;top:279;width:1097;height:1411" id="docshape12" coordorigin="13282,279" coordsize="1097,1411" path="m14102,864l14097,866,14096,866,14102,864xm14105,864l14104,864,14102,864,14105,864xm14123,860l14123,860,14109,863,14123,860xm14378,868l14322,854,14285,848,14207,849,14140,857,14136,858,14126,860,14132,859,14125,860,14107,863,14107,864,14096,866,14089,868,14085,868,14062,865,14040,862,13993,862,13957,864,13943,865,13926,841,13936,834,13946,820,13955,807,13958,801,13965,792,13962,781,13956,773,13952,769,13971,773,13974,769,14000,726,14023,720,14028,703,14021,682,14011,659,14007,648,14007,640,14012,631,14023,618,14046,576,14053,528,14049,481,14039,442,14012,393,13961,340,13882,297,13775,279,13677,294,13607,333,13561,387,13535,445,13525,500,13534,567,13559,634,13586,685,13598,706,13559,724,13556,763,13567,801,13573,819,13567,820,13559,829,13552,851,13550,891,13546,950,13527,1013,13499,1079,13463,1151,13420,1229,13378,1307,13336,1392,13331,1402,13326,1412,13322,1422,13319,1431,13314,1443,13288,1529,13282,1594,13297,1650,13388,1684,13455,1687,13542,1689,13639,1689,13740,1689,13834,1686,13914,1681,13971,1673,13963,1656,13920,1618,13899,1590,13887,1550,13880,1498,13877,1451,13875,1422,13882,1415,13889,1406,13895,1396,13924,1358,13943,1325,13955,1297,13961,1277,13967,1264,13970,1256,13984,1249,14000,1239,14015,1229,14021,1225,14049,1251,14072,1225,14088,1206,14115,1208,14151,1220,14170,1208,14171,1206,14177,1190,14178,1180,14188,1168,14189,1159,14186,1152,14187,1145,14195,1135,14189,1119,14172,1089,14151,1080,14147,1079,14124,1079,14114,1080,14114,1066,14097,1054,14120,1045,14129,1023,14129,1001,14127,991,14136,981,14172,929,14173,925,14196,933,14231,940,14291,947,14293,947,14295,947,14304,944,14299,931,14296,925,14292,919,14291,916,14306,904,14324,905,14326,904,14335,898,14339,889,14340,885,14360,883,14374,876,14377,872,14378,868,14378,868xe" filled="true" fillcolor="#2b145e" stroked="false">
              <v:path arrowok="t"/>
              <v:fill type="solid"/>
            </v:shape>
            <v:shape style="position:absolute;left:13948;top:1824;width:147;height:171" type="#_x0000_t75" id="docshape13" stroked="false">
              <v:imagedata r:id="rId8" o:title=""/>
            </v:shape>
            <v:shape style="position:absolute;left:14186;top:1824;width:132;height:173" type="#_x0000_t75" id="docshape14" stroked="false">
              <v:imagedata r:id="rId9" o:title=""/>
            </v:shape>
            <v:shape style="position:absolute;left:14426;top:1822;width:87;height:170" id="docshape15" coordorigin="14426,1822" coordsize="87,170" path="m14513,1824l14508,1822,14504,1822,14491,1824,14479,1830,14467,1838,14458,1850,14458,1837,14456,1832,14452,1823,14426,1830,14431,1841,14432,1848,14432,1992,14458,1992,14458,1875,14460,1870,14475,1855,14485,1851,14498,1851,14499,1851,14502,1852,14502,1851,14503,1850,14513,1824xe" filled="true" fillcolor="#a90055" stroked="false">
              <v:path arrowok="t"/>
              <v:fill type="solid"/>
            </v:shape>
            <v:shape style="position:absolute;left:14589;top:1822;width:123;height:176" type="#_x0000_t75" id="docshape16" stroked="false">
              <v:imagedata r:id="rId10" o:title=""/>
            </v:shape>
            <v:shape style="position:absolute;left:14810;top:1824;width:137;height:176" type="#_x0000_t75" id="docshape17" stroked="false">
              <v:imagedata r:id="rId11" o:title=""/>
            </v:shape>
            <v:shape style="position:absolute;left:15055;top:1752;width:48;height:245" id="docshape18" coordorigin="15055,1753" coordsize="48,245" path="m15103,1994l15098,1977,15098,1977,15095,1977,15087,1977,15085,1974,15085,1788,15085,1776,15084,1763,15081,1753,15055,1758,15058,1767,15059,1776,15060,1788,15060,1979,15062,1985,15072,1995,15079,1997,15093,1997,15096,1997,15103,1994xe" filled="true" fillcolor="#a90055" stroked="false">
              <v:path arrowok="t"/>
              <v:fill type="solid"/>
            </v:shape>
            <v:shape style="position:absolute;left:13320;top:2103;width:1781;height:370" type="#_x0000_t75" id="docshape19" stroked="false">
              <v:imagedata r:id="rId12" o:title=""/>
            </v:shape>
            <v:shape style="position:absolute;left:13312;top:709;width:1842;height:1809" id="docshape20" coordorigin="13312,710" coordsize="1842,1809" path="m15111,2508l13312,2508,13312,2518,15111,2518,15111,2508xm15111,2055l13312,2055,13312,2064,15111,2064,15111,2055xm15153,1279l15152,1189,15145,1102,15132,1029,15110,977,15096,940,15081,914,15054,889,15008,852,14963,813,14937,786,14914,767,14842,733,14819,719,14795,710,14759,710,14710,717,14660,729,14613,751,14572,790,14542,833,14514,862,14476,878,14412,879,14390,884,14385,899,14389,919,14395,938,14364,955,14333,1007,14332,1025,14301,1021,14286,1022,14283,1030,14287,1048,14285,1064,14273,1078,14220,1115,14200,1139,14210,1164,14248,1200,14294,1240,14340,1288,14375,1343,14385,1403,14358,1466,14296,1460,14260,1461,14233,1470,14203,1489,14175,1509,14155,1521,14134,1530,14100,1542,14043,1566,14017,1585,14014,1607,14029,1642,14074,1674,14151,1689,14234,1693,14589,1692,14889,1696,15012,1695,15087,1671,15126,1613,15141,1542,15146,1466,15148,1433,15151,1363,15153,1279xe" filled="true" fillcolor="#2b145e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92"/>
        <w:ind w:right="929"/>
        <w:jc w:val="right"/>
      </w:pPr>
      <w:r>
        <w:rPr>
          <w:color w:val="796E9D"/>
          <w:spacing w:val="-5"/>
        </w:rPr>
        <w:t>February</w:t>
      </w:r>
      <w:r>
        <w:rPr>
          <w:color w:val="796E9D"/>
          <w:spacing w:val="-7"/>
        </w:rPr>
        <w:t> </w:t>
      </w:r>
      <w:r>
        <w:rPr>
          <w:color w:val="796E9D"/>
          <w:spacing w:val="-4"/>
        </w:rPr>
        <w:t>2023</w:t>
      </w:r>
    </w:p>
    <w:sectPr>
      <w:type w:val="continuous"/>
      <w:pgSz w:w="15840" w:h="1224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99" w:hanging="360"/>
      </w:pPr>
      <w:rPr>
        <w:rFonts w:hint="default" w:ascii="Calibri" w:hAnsi="Calibri" w:eastAsia="Calibri" w:cs="Calibri"/>
        <w:b w:val="0"/>
        <w:bCs w:val="0"/>
        <w:i w:val="0"/>
        <w:iCs w:val="0"/>
        <w:color w:val="2B145E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599" w:hanging="360"/>
      </w:pPr>
      <w:rPr>
        <w:rFonts w:hint="default" w:ascii="Calibri" w:hAnsi="Calibri" w:eastAsia="Calibri" w:cs="Calibri"/>
        <w:b w:val="0"/>
        <w:bCs w:val="0"/>
        <w:i w:val="0"/>
        <w:iCs w:val="0"/>
        <w:color w:val="2B145E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99" w:hanging="360"/>
      </w:pPr>
      <w:rPr>
        <w:rFonts w:hint="default" w:ascii="Calibri" w:hAnsi="Calibri" w:eastAsia="Calibri" w:cs="Calibri"/>
        <w:b w:val="0"/>
        <w:bCs w:val="0"/>
        <w:i w:val="0"/>
        <w:iCs w:val="0"/>
        <w:color w:val="2B145E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99" w:hanging="360"/>
      </w:pPr>
      <w:rPr>
        <w:rFonts w:hint="default" w:ascii="Calibri" w:hAnsi="Calibri" w:eastAsia="Calibri" w:cs="Calibri"/>
        <w:b w:val="0"/>
        <w:bCs w:val="0"/>
        <w:i w:val="0"/>
        <w:iCs w:val="0"/>
        <w:color w:val="2B145E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right="38"/>
      <w:jc w:val="center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Stone, Sarah (DPH)</dc:creator>
  <dc:title>Audiologic diagnostic appointments: risk factor algorithm for birth hospitals For infants who pass the newborn hearing screen, but have any of the following risk factors for reduced hearing:</dc:title>
  <dcterms:created xsi:type="dcterms:W3CDTF">2023-04-10T13:22:55Z</dcterms:created>
  <dcterms:modified xsi:type="dcterms:W3CDTF">2023-04-10T13:22:55Z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2023-04-10T00:00:00Z</vt:filetime>
  </property>
  <property fmtid="{D5CDD505-2E9C-101B-9397-08002B2CF9AE}" pid="5" name="Producer">
    <vt:lpwstr>Adobe PDF Library 16.0.3</vt:lpwstr>
  </property>
</Properties>
</file>