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5D" w:rsidRDefault="006D395D">
      <w:pPr>
        <w:rPr>
          <w:sz w:val="28"/>
          <w:szCs w:val="28"/>
        </w:rPr>
      </w:pPr>
      <w:r w:rsidRPr="006D395D">
        <w:rPr>
          <w:noProof/>
          <w:sz w:val="28"/>
          <w:szCs w:val="28"/>
        </w:rPr>
        <w:drawing>
          <wp:inline distT="0" distB="0" distL="0" distR="0">
            <wp:extent cx="40576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95D" w:rsidRDefault="006D395D">
      <w:pPr>
        <w:rPr>
          <w:sz w:val="28"/>
          <w:szCs w:val="28"/>
        </w:rPr>
      </w:pPr>
    </w:p>
    <w:p w:rsidR="006D395D" w:rsidRPr="00AC180E" w:rsidRDefault="006D395D" w:rsidP="006D395D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Small Group, Large Group and School Age Child Care Licensing </w:t>
      </w:r>
    </w:p>
    <w:p w:rsidR="006D395D" w:rsidRDefault="006D395D" w:rsidP="006D395D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6D395D" w:rsidRDefault="006D395D" w:rsidP="006D395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AC180E">
        <w:rPr>
          <w:rFonts w:ascii="Arial" w:hAnsi="Arial" w:cs="Arial"/>
          <w:b/>
          <w:bCs/>
          <w:color w:val="000000"/>
          <w:sz w:val="24"/>
          <w:szCs w:val="24"/>
        </w:rPr>
        <w:t>POLICY STATEMENT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of Portable Sinks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</w:t>
      </w:r>
    </w:p>
    <w:p w:rsidR="001F7CFC" w:rsidRDefault="006D395D" w:rsidP="006D395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</w:t>
      </w:r>
      <w:r w:rsidR="001F5ADE">
        <w:rPr>
          <w:rFonts w:asciiTheme="majorHAnsi" w:hAnsiTheme="majorHAnsi" w:cs="Times New Roman"/>
        </w:rPr>
        <w:pict>
          <v:rect id="_x0000_i1025" style="width:0;height:1.5pt" o:hralign="center" o:hrstd="t" o:hr="t" fillcolor="gray" stroked="f"/>
        </w:pict>
      </w:r>
    </w:p>
    <w:p w:rsidR="006D395D" w:rsidRPr="006D395D" w:rsidRDefault="006D395D" w:rsidP="006D395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45248D" w:rsidRPr="006D395D" w:rsidRDefault="001D017D" w:rsidP="006D3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Care Licensing Standards 606 CMR </w:t>
      </w:r>
      <w:r w:rsidR="001C28F2" w:rsidRPr="006D395D">
        <w:rPr>
          <w:rFonts w:ascii="Times New Roman" w:hAnsi="Times New Roman" w:cs="Times New Roman"/>
          <w:sz w:val="24"/>
          <w:szCs w:val="24"/>
        </w:rPr>
        <w:t>7.07(16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F7CFC" w:rsidRPr="006D39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28F2" w:rsidRPr="006D395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1F7CFC" w:rsidRPr="006D39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Sinks, Toilets and Bathrooms</w:t>
      </w:r>
      <w:r w:rsidR="001C28F2" w:rsidRPr="006D395D">
        <w:rPr>
          <w:rFonts w:ascii="Times New Roman" w:hAnsi="Times New Roman" w:cs="Times New Roman"/>
          <w:sz w:val="24"/>
          <w:szCs w:val="24"/>
        </w:rPr>
        <w:t xml:space="preserve"> requires that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C28F2" w:rsidRPr="001D017D">
        <w:rPr>
          <w:rFonts w:ascii="Times New Roman" w:hAnsi="Times New Roman" w:cs="Times New Roman"/>
          <w:i/>
          <w:sz w:val="24"/>
          <w:szCs w:val="24"/>
        </w:rPr>
        <w:t>any portable sink used to meet any of the requirements of these regulations must be approved by the Board of Health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1C28F2" w:rsidRPr="006D395D">
        <w:rPr>
          <w:rFonts w:ascii="Times New Roman" w:hAnsi="Times New Roman" w:cs="Times New Roman"/>
          <w:sz w:val="24"/>
          <w:szCs w:val="24"/>
        </w:rPr>
        <w:t>.</w:t>
      </w:r>
    </w:p>
    <w:p w:rsidR="00AC7487" w:rsidRPr="006D395D" w:rsidRDefault="00AC7487" w:rsidP="006D395D">
      <w:pPr>
        <w:jc w:val="both"/>
        <w:rPr>
          <w:rFonts w:ascii="Times New Roman" w:hAnsi="Times New Roman" w:cs="Times New Roman"/>
          <w:sz w:val="24"/>
          <w:szCs w:val="24"/>
        </w:rPr>
      </w:pPr>
      <w:r w:rsidRPr="006D395D">
        <w:rPr>
          <w:rFonts w:ascii="Times New Roman" w:hAnsi="Times New Roman" w:cs="Times New Roman"/>
          <w:sz w:val="24"/>
          <w:szCs w:val="24"/>
        </w:rPr>
        <w:t xml:space="preserve">Portable sinks that are purchased with a documented universal safety standard certification (NSF, UL, NEC, CSA) and </w:t>
      </w:r>
      <w:r w:rsidR="00AA3C00">
        <w:rPr>
          <w:rFonts w:ascii="Times New Roman" w:hAnsi="Times New Roman" w:cs="Times New Roman"/>
          <w:sz w:val="24"/>
          <w:szCs w:val="24"/>
        </w:rPr>
        <w:t xml:space="preserve">are </w:t>
      </w:r>
      <w:r w:rsidRPr="006D395D">
        <w:rPr>
          <w:rFonts w:ascii="Times New Roman" w:hAnsi="Times New Roman" w:cs="Times New Roman"/>
          <w:sz w:val="24"/>
          <w:szCs w:val="24"/>
        </w:rPr>
        <w:t xml:space="preserve">being utilized and disinfected in accordance with the manufacturer’s instructions along with EEC infection control procedures </w:t>
      </w:r>
      <w:r w:rsidR="00AA3C00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6D395D">
        <w:rPr>
          <w:rFonts w:ascii="Times New Roman" w:hAnsi="Times New Roman" w:cs="Times New Roman"/>
          <w:sz w:val="24"/>
          <w:szCs w:val="24"/>
        </w:rPr>
        <w:t>regulation 7.11(10)</w:t>
      </w:r>
      <w:r w:rsidR="00AA3C00">
        <w:rPr>
          <w:rFonts w:ascii="Times New Roman" w:hAnsi="Times New Roman" w:cs="Times New Roman"/>
          <w:sz w:val="24"/>
          <w:szCs w:val="24"/>
        </w:rPr>
        <w:t>,</w:t>
      </w:r>
      <w:r w:rsidRPr="006D395D">
        <w:rPr>
          <w:rFonts w:ascii="Times New Roman" w:hAnsi="Times New Roman" w:cs="Times New Roman"/>
          <w:sz w:val="24"/>
          <w:szCs w:val="24"/>
        </w:rPr>
        <w:t xml:space="preserve"> do not necessitate approval from the Board of Health.</w:t>
      </w:r>
    </w:p>
    <w:p w:rsidR="001C28F2" w:rsidRPr="006D395D" w:rsidRDefault="001C28F2" w:rsidP="006D395D">
      <w:pPr>
        <w:jc w:val="both"/>
        <w:rPr>
          <w:rFonts w:ascii="Times New Roman" w:hAnsi="Times New Roman" w:cs="Times New Roman"/>
          <w:sz w:val="24"/>
          <w:szCs w:val="24"/>
        </w:rPr>
      </w:pPr>
      <w:r w:rsidRPr="006D395D">
        <w:rPr>
          <w:rFonts w:ascii="Times New Roman" w:hAnsi="Times New Roman" w:cs="Times New Roman"/>
          <w:sz w:val="24"/>
          <w:szCs w:val="24"/>
        </w:rPr>
        <w:t xml:space="preserve">EEC has determined that approval from the Board of Health is only required when </w:t>
      </w:r>
      <w:r w:rsidR="00EB0761" w:rsidRPr="006D395D">
        <w:rPr>
          <w:rFonts w:ascii="Times New Roman" w:hAnsi="Times New Roman" w:cs="Times New Roman"/>
          <w:sz w:val="24"/>
          <w:szCs w:val="24"/>
        </w:rPr>
        <w:t>a</w:t>
      </w:r>
      <w:r w:rsidRPr="006D395D">
        <w:rPr>
          <w:rFonts w:ascii="Times New Roman" w:hAnsi="Times New Roman" w:cs="Times New Roman"/>
          <w:sz w:val="24"/>
          <w:szCs w:val="24"/>
        </w:rPr>
        <w:t xml:space="preserve"> program </w:t>
      </w:r>
      <w:r w:rsidR="00C7225F" w:rsidRPr="006D395D">
        <w:rPr>
          <w:rFonts w:ascii="Times New Roman" w:hAnsi="Times New Roman" w:cs="Times New Roman"/>
          <w:sz w:val="24"/>
          <w:szCs w:val="24"/>
        </w:rPr>
        <w:t>requests to use</w:t>
      </w:r>
      <w:r w:rsidRPr="006D395D">
        <w:rPr>
          <w:rFonts w:ascii="Times New Roman" w:hAnsi="Times New Roman" w:cs="Times New Roman"/>
          <w:sz w:val="24"/>
          <w:szCs w:val="24"/>
        </w:rPr>
        <w:t xml:space="preserve"> a “homemade” portable sink.</w:t>
      </w:r>
      <w:r w:rsidR="00282EFE" w:rsidRPr="006D395D">
        <w:rPr>
          <w:rFonts w:ascii="Times New Roman" w:hAnsi="Times New Roman" w:cs="Times New Roman"/>
          <w:sz w:val="24"/>
          <w:szCs w:val="24"/>
        </w:rPr>
        <w:t xml:space="preserve">  A “homemade” portable sink is</w:t>
      </w:r>
      <w:r w:rsidR="001F7CFC" w:rsidRPr="006D395D">
        <w:rPr>
          <w:rFonts w:ascii="Times New Roman" w:hAnsi="Times New Roman" w:cs="Times New Roman"/>
          <w:sz w:val="24"/>
          <w:szCs w:val="24"/>
        </w:rPr>
        <w:t xml:space="preserve"> defined as a sink that does not have any documented universal safety standard certification.  </w:t>
      </w:r>
      <w:r w:rsidR="00AC7487" w:rsidRPr="006D395D">
        <w:rPr>
          <w:rFonts w:ascii="Times New Roman" w:hAnsi="Times New Roman" w:cs="Times New Roman"/>
          <w:sz w:val="24"/>
          <w:szCs w:val="24"/>
        </w:rPr>
        <w:t>A</w:t>
      </w:r>
      <w:r w:rsidR="001F642E" w:rsidRPr="006D395D">
        <w:rPr>
          <w:rFonts w:ascii="Times New Roman" w:hAnsi="Times New Roman" w:cs="Times New Roman"/>
          <w:sz w:val="24"/>
          <w:szCs w:val="24"/>
        </w:rPr>
        <w:t xml:space="preserve"> program may submit a variance for the proposed use </w:t>
      </w:r>
      <w:r w:rsidR="00AC7487" w:rsidRPr="006D395D">
        <w:rPr>
          <w:rFonts w:ascii="Times New Roman" w:hAnsi="Times New Roman" w:cs="Times New Roman"/>
          <w:sz w:val="24"/>
          <w:szCs w:val="24"/>
        </w:rPr>
        <w:t xml:space="preserve">of </w:t>
      </w:r>
      <w:r w:rsidR="001F642E" w:rsidRPr="006D395D">
        <w:rPr>
          <w:rFonts w:ascii="Times New Roman" w:hAnsi="Times New Roman" w:cs="Times New Roman"/>
          <w:sz w:val="24"/>
          <w:szCs w:val="24"/>
        </w:rPr>
        <w:t>any “homemade” sink</w:t>
      </w:r>
      <w:r w:rsidR="00AC7487" w:rsidRPr="006D395D">
        <w:rPr>
          <w:rFonts w:ascii="Times New Roman" w:hAnsi="Times New Roman" w:cs="Times New Roman"/>
          <w:sz w:val="24"/>
          <w:szCs w:val="24"/>
        </w:rPr>
        <w:t xml:space="preserve">. </w:t>
      </w:r>
      <w:r w:rsidR="001F642E" w:rsidRPr="006D395D">
        <w:rPr>
          <w:rFonts w:ascii="Times New Roman" w:hAnsi="Times New Roman" w:cs="Times New Roman"/>
          <w:sz w:val="24"/>
          <w:szCs w:val="24"/>
        </w:rPr>
        <w:t xml:space="preserve"> EEC will </w:t>
      </w:r>
      <w:r w:rsidR="00AC7487" w:rsidRPr="006D395D">
        <w:rPr>
          <w:rFonts w:ascii="Times New Roman" w:hAnsi="Times New Roman" w:cs="Times New Roman"/>
          <w:sz w:val="24"/>
          <w:szCs w:val="24"/>
        </w:rPr>
        <w:t>collaborate</w:t>
      </w:r>
      <w:r w:rsidR="001F642E" w:rsidRPr="006D395D">
        <w:rPr>
          <w:rFonts w:ascii="Times New Roman" w:hAnsi="Times New Roman" w:cs="Times New Roman"/>
          <w:sz w:val="24"/>
          <w:szCs w:val="24"/>
        </w:rPr>
        <w:t xml:space="preserve"> with the Board of Health to determine </w:t>
      </w:r>
      <w:r w:rsidR="00AC7487" w:rsidRPr="006D395D">
        <w:rPr>
          <w:rFonts w:ascii="Times New Roman" w:hAnsi="Times New Roman" w:cs="Times New Roman"/>
          <w:sz w:val="24"/>
          <w:szCs w:val="24"/>
        </w:rPr>
        <w:t>any necessary</w:t>
      </w:r>
      <w:r w:rsidR="001F642E" w:rsidRPr="006D395D">
        <w:rPr>
          <w:rFonts w:ascii="Times New Roman" w:hAnsi="Times New Roman" w:cs="Times New Roman"/>
          <w:sz w:val="24"/>
          <w:szCs w:val="24"/>
        </w:rPr>
        <w:t xml:space="preserve"> approvals </w:t>
      </w:r>
      <w:r w:rsidR="00AC7487" w:rsidRPr="006D395D">
        <w:rPr>
          <w:rFonts w:ascii="Times New Roman" w:hAnsi="Times New Roman" w:cs="Times New Roman"/>
          <w:sz w:val="24"/>
          <w:szCs w:val="24"/>
        </w:rPr>
        <w:t>for this type of portable sink.</w:t>
      </w:r>
    </w:p>
    <w:p w:rsidR="00021086" w:rsidRDefault="00021086" w:rsidP="00E86C9E">
      <w:pPr>
        <w:rPr>
          <w:sz w:val="28"/>
          <w:szCs w:val="28"/>
        </w:rPr>
      </w:pPr>
    </w:p>
    <w:p w:rsidR="00E86C9E" w:rsidRPr="006D395D" w:rsidRDefault="00E86C9E" w:rsidP="00E86C9E">
      <w:pPr>
        <w:rPr>
          <w:rFonts w:ascii="Times New Roman" w:hAnsi="Times New Roman" w:cs="Times New Roman"/>
          <w:u w:val="single"/>
        </w:rPr>
      </w:pPr>
      <w:r w:rsidRPr="006D395D">
        <w:rPr>
          <w:rFonts w:ascii="Times New Roman" w:hAnsi="Times New Roman" w:cs="Times New Roman"/>
          <w:u w:val="single"/>
        </w:rPr>
        <w:t>Safety Standard Certification Definitions</w:t>
      </w:r>
    </w:p>
    <w:p w:rsidR="00E86C9E" w:rsidRPr="006D395D" w:rsidRDefault="00E86C9E" w:rsidP="00E86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395D">
        <w:rPr>
          <w:rFonts w:ascii="Times New Roman" w:hAnsi="Times New Roman" w:cs="Times New Roman"/>
        </w:rPr>
        <w:t>NSF – National Sanitation Foundation</w:t>
      </w:r>
    </w:p>
    <w:p w:rsidR="00E86C9E" w:rsidRPr="006D395D" w:rsidRDefault="00E86C9E" w:rsidP="00E86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395D">
        <w:rPr>
          <w:rFonts w:ascii="Times New Roman" w:hAnsi="Times New Roman" w:cs="Times New Roman"/>
        </w:rPr>
        <w:t>UL – Underwriters Laboratories</w:t>
      </w:r>
    </w:p>
    <w:p w:rsidR="00E86C9E" w:rsidRPr="006D395D" w:rsidRDefault="00E86C9E" w:rsidP="00E86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395D">
        <w:rPr>
          <w:rFonts w:ascii="Times New Roman" w:hAnsi="Times New Roman" w:cs="Times New Roman"/>
        </w:rPr>
        <w:t>NEC – National Electric Code</w:t>
      </w:r>
    </w:p>
    <w:p w:rsidR="00E86C9E" w:rsidRPr="006D395D" w:rsidRDefault="00E86C9E" w:rsidP="00E86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395D">
        <w:rPr>
          <w:rFonts w:ascii="Times New Roman" w:hAnsi="Times New Roman" w:cs="Times New Roman"/>
        </w:rPr>
        <w:t>CSA – Canadian Standards Association</w:t>
      </w:r>
    </w:p>
    <w:p w:rsidR="00E86C9E" w:rsidRPr="001F7CFC" w:rsidRDefault="00E86C9E">
      <w:pPr>
        <w:rPr>
          <w:sz w:val="28"/>
          <w:szCs w:val="28"/>
        </w:rPr>
      </w:pPr>
    </w:p>
    <w:sectPr w:rsidR="00E86C9E" w:rsidRPr="001F7CFC" w:rsidSect="004524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DE" w:rsidRDefault="001F5ADE" w:rsidP="00021086">
      <w:pPr>
        <w:spacing w:after="0" w:line="240" w:lineRule="auto"/>
      </w:pPr>
      <w:r>
        <w:separator/>
      </w:r>
    </w:p>
  </w:endnote>
  <w:endnote w:type="continuationSeparator" w:id="0">
    <w:p w:rsidR="001F5ADE" w:rsidRDefault="001F5ADE" w:rsidP="0002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11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21086" w:rsidRPr="00021086" w:rsidRDefault="00021086">
            <w:pPr>
              <w:pStyle w:val="Footer"/>
            </w:pPr>
            <w:r w:rsidRPr="00021086">
              <w:t xml:space="preserve">Page </w:t>
            </w:r>
            <w:r w:rsidR="00A6733A" w:rsidRPr="00021086">
              <w:rPr>
                <w:b/>
              </w:rPr>
              <w:fldChar w:fldCharType="begin"/>
            </w:r>
            <w:r w:rsidRPr="00021086">
              <w:rPr>
                <w:b/>
              </w:rPr>
              <w:instrText xml:space="preserve"> PAGE </w:instrText>
            </w:r>
            <w:r w:rsidR="00A6733A" w:rsidRPr="00021086">
              <w:rPr>
                <w:b/>
              </w:rPr>
              <w:fldChar w:fldCharType="separate"/>
            </w:r>
            <w:r w:rsidR="00C5443F">
              <w:rPr>
                <w:b/>
                <w:noProof/>
              </w:rPr>
              <w:t>1</w:t>
            </w:r>
            <w:r w:rsidR="00A6733A" w:rsidRPr="00021086">
              <w:rPr>
                <w:b/>
              </w:rPr>
              <w:fldChar w:fldCharType="end"/>
            </w:r>
            <w:r w:rsidRPr="00021086">
              <w:t xml:space="preserve"> of </w:t>
            </w:r>
            <w:r w:rsidR="00A6733A" w:rsidRPr="00021086">
              <w:rPr>
                <w:b/>
              </w:rPr>
              <w:fldChar w:fldCharType="begin"/>
            </w:r>
            <w:r w:rsidRPr="00021086">
              <w:rPr>
                <w:b/>
              </w:rPr>
              <w:instrText xml:space="preserve"> NUMPAGES  </w:instrText>
            </w:r>
            <w:r w:rsidR="00A6733A" w:rsidRPr="00021086">
              <w:rPr>
                <w:b/>
              </w:rPr>
              <w:fldChar w:fldCharType="separate"/>
            </w:r>
            <w:r w:rsidR="00C5443F">
              <w:rPr>
                <w:b/>
                <w:noProof/>
              </w:rPr>
              <w:t>1</w:t>
            </w:r>
            <w:r w:rsidR="00A6733A" w:rsidRPr="00021086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SG/LG/SAPortableSinks201101</w:t>
            </w:r>
            <w:r w:rsidR="002E1FCE">
              <w:t>27</w:t>
            </w:r>
          </w:p>
        </w:sdtContent>
      </w:sdt>
    </w:sdtContent>
  </w:sdt>
  <w:p w:rsidR="00021086" w:rsidRDefault="00021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DE" w:rsidRDefault="001F5ADE" w:rsidP="00021086">
      <w:pPr>
        <w:spacing w:after="0" w:line="240" w:lineRule="auto"/>
      </w:pPr>
      <w:r>
        <w:separator/>
      </w:r>
    </w:p>
  </w:footnote>
  <w:footnote w:type="continuationSeparator" w:id="0">
    <w:p w:rsidR="001F5ADE" w:rsidRDefault="001F5ADE" w:rsidP="0002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1F5F"/>
    <w:multiLevelType w:val="hybridMultilevel"/>
    <w:tmpl w:val="C69A7DC4"/>
    <w:lvl w:ilvl="0" w:tplc="46AC858C">
      <w:start w:val="7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8F2"/>
    <w:rsid w:val="00021086"/>
    <w:rsid w:val="001A0BB8"/>
    <w:rsid w:val="001C28F2"/>
    <w:rsid w:val="001D017D"/>
    <w:rsid w:val="001F5ADE"/>
    <w:rsid w:val="001F642E"/>
    <w:rsid w:val="001F7CFC"/>
    <w:rsid w:val="00282EFE"/>
    <w:rsid w:val="002E1FCE"/>
    <w:rsid w:val="0045248D"/>
    <w:rsid w:val="006D395D"/>
    <w:rsid w:val="009C6D44"/>
    <w:rsid w:val="00A6733A"/>
    <w:rsid w:val="00AA3C00"/>
    <w:rsid w:val="00AC7487"/>
    <w:rsid w:val="00C434F3"/>
    <w:rsid w:val="00C5443F"/>
    <w:rsid w:val="00C7225F"/>
    <w:rsid w:val="00E86C9E"/>
    <w:rsid w:val="00EB0761"/>
    <w:rsid w:val="00F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63AFF-9C55-4B76-817D-450C89C6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86"/>
  </w:style>
  <w:style w:type="paragraph" w:styleId="Footer">
    <w:name w:val="footer"/>
    <w:basedOn w:val="Normal"/>
    <w:link w:val="FooterChar"/>
    <w:uiPriority w:val="99"/>
    <w:unhideWhenUsed/>
    <w:rsid w:val="0002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Dillon</dc:creator>
  <cp:keywords/>
  <dc:description/>
  <cp:lastModifiedBy>tsharpe</cp:lastModifiedBy>
  <cp:revision>2</cp:revision>
  <dcterms:created xsi:type="dcterms:W3CDTF">2011-01-27T15:21:00Z</dcterms:created>
  <dcterms:modified xsi:type="dcterms:W3CDTF">2011-01-27T15:21:00Z</dcterms:modified>
</cp:coreProperties>
</file>