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988C" w14:textId="73949879" w:rsidR="00BA4055" w:rsidRDefault="007307E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93E506E" wp14:editId="259F83EB">
            <wp:extent cx="9652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3000"/>
                    </a:xfrm>
                    <a:prstGeom prst="rect">
                      <a:avLst/>
                    </a:prstGeom>
                    <a:noFill/>
                    <a:ln>
                      <a:noFill/>
                    </a:ln>
                  </pic:spPr>
                </pic:pic>
              </a:graphicData>
            </a:graphic>
          </wp:inline>
        </w:drawing>
      </w:r>
    </w:p>
    <w:p w14:paraId="1028307E" w14:textId="77777777" w:rsidR="001131EC" w:rsidRDefault="001131EC" w:rsidP="001131EC">
      <w:pPr>
        <w:framePr w:w="6926" w:hSpace="187" w:wrap="notBeside" w:vAnchor="page" w:hAnchor="page" w:x="2884" w:y="711"/>
        <w:jc w:val="center"/>
        <w:rPr>
          <w:rFonts w:ascii="Arial" w:hAnsi="Arial"/>
          <w:sz w:val="36"/>
        </w:rPr>
      </w:pPr>
      <w:r>
        <w:rPr>
          <w:rFonts w:ascii="Arial" w:hAnsi="Arial"/>
          <w:sz w:val="36"/>
        </w:rPr>
        <w:t>The Commonwealth of Massachusetts</w:t>
      </w:r>
    </w:p>
    <w:p w14:paraId="70D918A7" w14:textId="77777777" w:rsidR="001131EC" w:rsidRDefault="001131EC" w:rsidP="001131EC">
      <w:pPr>
        <w:pStyle w:val="ExecOffice"/>
        <w:framePr w:w="6926" w:wrap="notBeside" w:vAnchor="page" w:x="2884" w:y="711"/>
      </w:pPr>
      <w:r>
        <w:t>Executive Office of Health and Human Services</w:t>
      </w:r>
    </w:p>
    <w:p w14:paraId="5393B86D" w14:textId="77777777" w:rsidR="001131EC" w:rsidRDefault="001131EC" w:rsidP="001131EC">
      <w:pPr>
        <w:pStyle w:val="ExecOffice"/>
        <w:framePr w:w="6926" w:wrap="notBeside" w:vAnchor="page" w:x="2884" w:y="711"/>
      </w:pPr>
      <w:r>
        <w:t>Department of Public Health</w:t>
      </w:r>
    </w:p>
    <w:p w14:paraId="65170DE1" w14:textId="77777777" w:rsidR="001131EC" w:rsidRDefault="001131EC" w:rsidP="001131EC">
      <w:pPr>
        <w:pStyle w:val="ExecOffice"/>
        <w:framePr w:w="6926" w:wrap="notBeside" w:vAnchor="page" w:x="2884" w:y="711"/>
      </w:pPr>
      <w:r>
        <w:t>250 Washington Street, Boston, MA 02108-4619</w:t>
      </w:r>
    </w:p>
    <w:p w14:paraId="66BFF25C" w14:textId="1EEA6FCE" w:rsidR="009908FF" w:rsidRDefault="001131EC" w:rsidP="0072610D">
      <w:r>
        <w:rPr>
          <w:noProof/>
        </w:rPr>
        <mc:AlternateContent>
          <mc:Choice Requires="wps">
            <w:drawing>
              <wp:anchor distT="0" distB="0" distL="114300" distR="114300" simplePos="0" relativeHeight="251657216" behindDoc="0" locked="0" layoutInCell="1" allowOverlap="1" wp14:anchorId="3E830848" wp14:editId="5E44D28C">
                <wp:simplePos x="0" y="0"/>
                <wp:positionH relativeFrom="column">
                  <wp:posOffset>-429260</wp:posOffset>
                </wp:positionH>
                <wp:positionV relativeFrom="paragraph">
                  <wp:posOffset>622300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345BF" w14:textId="77777777" w:rsidR="00FC6B42" w:rsidRDefault="00FC6B42" w:rsidP="00FC6B42">
                            <w:pPr>
                              <w:pStyle w:val="Governor"/>
                              <w:spacing w:after="0"/>
                              <w:rPr>
                                <w:sz w:val="16"/>
                              </w:rPr>
                            </w:pPr>
                          </w:p>
                          <w:p w14:paraId="08C7994A" w14:textId="77777777" w:rsidR="00FC6B42" w:rsidRDefault="00FC6B42" w:rsidP="00FC6B42">
                            <w:pPr>
                              <w:pStyle w:val="Governor"/>
                              <w:spacing w:after="0"/>
                              <w:rPr>
                                <w:sz w:val="16"/>
                              </w:rPr>
                            </w:pPr>
                            <w:r>
                              <w:rPr>
                                <w:sz w:val="16"/>
                              </w:rPr>
                              <w:t>CHARLES D. BAKER</w:t>
                            </w:r>
                          </w:p>
                          <w:p w14:paraId="6C506ABF" w14:textId="77777777" w:rsidR="00FC6B42" w:rsidRDefault="00FC6B42" w:rsidP="00FC6B42">
                            <w:pPr>
                              <w:pStyle w:val="Governor"/>
                            </w:pPr>
                            <w:r>
                              <w:t>Governor</w:t>
                            </w:r>
                          </w:p>
                          <w:p w14:paraId="641C0A6F" w14:textId="77777777" w:rsidR="00FC6B42" w:rsidRDefault="00FC6B42" w:rsidP="00FC6B42">
                            <w:pPr>
                              <w:pStyle w:val="Governor"/>
                              <w:spacing w:after="0"/>
                              <w:rPr>
                                <w:sz w:val="16"/>
                              </w:rPr>
                            </w:pPr>
                            <w:r>
                              <w:rPr>
                                <w:sz w:val="16"/>
                              </w:rPr>
                              <w:t>KARYN E. POLITO</w:t>
                            </w:r>
                          </w:p>
                          <w:p w14:paraId="22C937A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830848" id="_x0000_t202" coordsize="21600,21600" o:spt="202" path="m,l,21600r21600,l21600,xe">
                <v:stroke joinstyle="miter"/>
                <v:path gradientshapeok="t" o:connecttype="rect"/>
              </v:shapetype>
              <v:shape id="Text Box 2" o:spid="_x0000_s1026" type="#_x0000_t202" style="position:absolute;margin-left:-33.8pt;margin-top:49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Mt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o+58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" stroked="f">
                <v:textbox style="mso-fit-shape-to-text:t">
                  <w:txbxContent>
                    <w:p w14:paraId="4DF345BF" w14:textId="77777777" w:rsidR="00FC6B42" w:rsidRDefault="00FC6B42" w:rsidP="00FC6B42">
                      <w:pPr>
                        <w:pStyle w:val="Governor"/>
                        <w:spacing w:after="0"/>
                        <w:rPr>
                          <w:sz w:val="16"/>
                        </w:rPr>
                      </w:pPr>
                    </w:p>
                    <w:p w14:paraId="08C7994A" w14:textId="77777777" w:rsidR="00FC6B42" w:rsidRDefault="00FC6B42" w:rsidP="00FC6B42">
                      <w:pPr>
                        <w:pStyle w:val="Governor"/>
                        <w:spacing w:after="0"/>
                        <w:rPr>
                          <w:sz w:val="16"/>
                        </w:rPr>
                      </w:pPr>
                      <w:r>
                        <w:rPr>
                          <w:sz w:val="16"/>
                        </w:rPr>
                        <w:t>CHARLES D. BAKER</w:t>
                      </w:r>
                    </w:p>
                    <w:p w14:paraId="6C506ABF" w14:textId="77777777" w:rsidR="00FC6B42" w:rsidRDefault="00FC6B42" w:rsidP="00FC6B42">
                      <w:pPr>
                        <w:pStyle w:val="Governor"/>
                      </w:pPr>
                      <w:r>
                        <w:t>Governor</w:t>
                      </w:r>
                    </w:p>
                    <w:p w14:paraId="641C0A6F" w14:textId="77777777" w:rsidR="00FC6B42" w:rsidRDefault="00FC6B42" w:rsidP="00FC6B42">
                      <w:pPr>
                        <w:pStyle w:val="Governor"/>
                        <w:spacing w:after="0"/>
                        <w:rPr>
                          <w:sz w:val="16"/>
                        </w:rPr>
                      </w:pPr>
                      <w:r>
                        <w:rPr>
                          <w:sz w:val="16"/>
                        </w:rPr>
                        <w:t>KARYN E. POLITO</w:t>
                      </w:r>
                    </w:p>
                    <w:p w14:paraId="22C937A4"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6A04BA7" wp14:editId="29B54F2E">
                <wp:simplePos x="0" y="0"/>
                <wp:positionH relativeFrom="column">
                  <wp:posOffset>4974590</wp:posOffset>
                </wp:positionH>
                <wp:positionV relativeFrom="paragraph">
                  <wp:posOffset>522605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17177" w14:textId="77777777" w:rsidR="00FC6B42" w:rsidRDefault="00FC6B42" w:rsidP="00FC6B42">
                            <w:pPr>
                              <w:pStyle w:val="Governor"/>
                              <w:spacing w:after="0"/>
                              <w:rPr>
                                <w:sz w:val="16"/>
                              </w:rPr>
                            </w:pPr>
                          </w:p>
                          <w:p w14:paraId="13AAB7A7" w14:textId="77777777" w:rsidR="00FC6B42" w:rsidRPr="003A7AFC" w:rsidRDefault="00FC6B42" w:rsidP="00FC6B42">
                            <w:pPr>
                              <w:pStyle w:val="Weld"/>
                            </w:pPr>
                            <w:r>
                              <w:t>MARYLOU SUDDERS</w:t>
                            </w:r>
                          </w:p>
                          <w:p w14:paraId="175437D8" w14:textId="77777777" w:rsidR="00FC6B42" w:rsidRDefault="00FC6B42" w:rsidP="00FC6B42">
                            <w:pPr>
                              <w:pStyle w:val="Governor"/>
                            </w:pPr>
                            <w:r>
                              <w:t>Secretary</w:t>
                            </w:r>
                          </w:p>
                          <w:p w14:paraId="14EF197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33B07BFD" w14:textId="77777777" w:rsidR="004813AC" w:rsidRDefault="004813AC" w:rsidP="00FC6B42">
                            <w:pPr>
                              <w:jc w:val="center"/>
                              <w:rPr>
                                <w:rFonts w:ascii="Arial Rounded MT Bold" w:hAnsi="Arial Rounded MT Bold"/>
                                <w:sz w:val="14"/>
                                <w:szCs w:val="14"/>
                              </w:rPr>
                            </w:pPr>
                          </w:p>
                          <w:p w14:paraId="149174A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B33DE3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FDFBCE3"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A04BA7" id="_x0000_s1027" type="#_x0000_t202" style="position:absolute;margin-left:391.7pt;margin-top:41.1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" stroked="f">
                <v:textbox style="mso-fit-shape-to-text:t">
                  <w:txbxContent>
                    <w:p w14:paraId="32417177" w14:textId="77777777" w:rsidR="00FC6B42" w:rsidRDefault="00FC6B42" w:rsidP="00FC6B42">
                      <w:pPr>
                        <w:pStyle w:val="Governor"/>
                        <w:spacing w:after="0"/>
                        <w:rPr>
                          <w:sz w:val="16"/>
                        </w:rPr>
                      </w:pPr>
                    </w:p>
                    <w:p w14:paraId="13AAB7A7" w14:textId="77777777" w:rsidR="00FC6B42" w:rsidRPr="003A7AFC" w:rsidRDefault="00FC6B42" w:rsidP="00FC6B42">
                      <w:pPr>
                        <w:pStyle w:val="Weld"/>
                      </w:pPr>
                      <w:r>
                        <w:t>MARYLOU SUDDERS</w:t>
                      </w:r>
                    </w:p>
                    <w:p w14:paraId="175437D8" w14:textId="77777777" w:rsidR="00FC6B42" w:rsidRDefault="00FC6B42" w:rsidP="00FC6B42">
                      <w:pPr>
                        <w:pStyle w:val="Governor"/>
                      </w:pPr>
                      <w:r>
                        <w:t>Secretary</w:t>
                      </w:r>
                    </w:p>
                    <w:p w14:paraId="14EF1976"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33B07BFD" w14:textId="77777777" w:rsidR="004813AC" w:rsidRDefault="004813AC" w:rsidP="00FC6B42">
                      <w:pPr>
                        <w:jc w:val="center"/>
                        <w:rPr>
                          <w:rFonts w:ascii="Arial Rounded MT Bold" w:hAnsi="Arial Rounded MT Bold"/>
                          <w:sz w:val="14"/>
                          <w:szCs w:val="14"/>
                        </w:rPr>
                      </w:pPr>
                    </w:p>
                    <w:p w14:paraId="149174A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B33DE3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FDFBCE3"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CC19E28" w14:textId="08076641" w:rsidR="00FC6B42" w:rsidRDefault="00FC6B42" w:rsidP="0072610D"/>
    <w:p w14:paraId="5ADD47E3" w14:textId="5194BFFD" w:rsidR="00FC6B42" w:rsidRDefault="00FC6B42" w:rsidP="0072610D"/>
    <w:p w14:paraId="761BA3E8" w14:textId="7ABAE216" w:rsidR="00033154" w:rsidRDefault="00033154" w:rsidP="0072610D"/>
    <w:p w14:paraId="1D6BF052" w14:textId="77777777" w:rsidR="00033154" w:rsidRDefault="00033154" w:rsidP="0072610D"/>
    <w:p w14:paraId="50EF4923" w14:textId="77777777" w:rsidR="00033154" w:rsidRDefault="00033154" w:rsidP="0072610D"/>
    <w:p w14:paraId="06D5AB45" w14:textId="77777777" w:rsidR="00033154" w:rsidRDefault="00033154" w:rsidP="0072610D"/>
    <w:p w14:paraId="4E182A97" w14:textId="77777777" w:rsidR="00945A24" w:rsidRDefault="00A26158" w:rsidP="00BD6FF4">
      <w:r>
        <w:t xml:space="preserve"> </w:t>
      </w:r>
    </w:p>
    <w:p w14:paraId="1026C95C" w14:textId="77777777" w:rsidR="00CE72EC" w:rsidRDefault="00CE72EC" w:rsidP="00CE72EC">
      <w:pPr>
        <w:jc w:val="center"/>
        <w:rPr>
          <w:b/>
          <w:bCs/>
        </w:rPr>
      </w:pPr>
      <w:bookmarkStart w:id="0" w:name="_Hlk90061424"/>
      <w:r w:rsidRPr="00107EA4">
        <w:rPr>
          <w:b/>
          <w:bCs/>
        </w:rPr>
        <w:t xml:space="preserve">Clinical Guidance on Therapeutics for COVID-19 </w:t>
      </w:r>
    </w:p>
    <w:p w14:paraId="3B07947B" w14:textId="54BBC7CC" w:rsidR="00CE72EC" w:rsidRPr="00BC2B4C" w:rsidRDefault="00CE72EC" w:rsidP="00CE72EC">
      <w:pPr>
        <w:jc w:val="center"/>
        <w:rPr>
          <w:b/>
          <w:bCs/>
          <w:i/>
          <w:iCs/>
        </w:rPr>
      </w:pPr>
      <w:r>
        <w:rPr>
          <w:b/>
          <w:bCs/>
          <w:i/>
          <w:iCs/>
        </w:rPr>
        <w:t xml:space="preserve">Issued </w:t>
      </w:r>
      <w:r w:rsidR="00D53820" w:rsidRPr="00205C46">
        <w:rPr>
          <w:b/>
          <w:bCs/>
          <w:i/>
          <w:iCs/>
        </w:rPr>
        <w:t xml:space="preserve">January </w:t>
      </w:r>
      <w:r w:rsidR="001C0FEE">
        <w:rPr>
          <w:b/>
          <w:bCs/>
          <w:i/>
          <w:iCs/>
        </w:rPr>
        <w:t>1</w:t>
      </w:r>
      <w:r w:rsidR="00DB18F7">
        <w:rPr>
          <w:b/>
          <w:bCs/>
          <w:i/>
          <w:iCs/>
        </w:rPr>
        <w:t>2</w:t>
      </w:r>
      <w:r w:rsidRPr="00205C46">
        <w:rPr>
          <w:b/>
          <w:bCs/>
          <w:i/>
          <w:iCs/>
        </w:rPr>
        <w:t>, 202</w:t>
      </w:r>
      <w:r w:rsidR="00D53820" w:rsidRPr="00205C46">
        <w:rPr>
          <w:b/>
          <w:bCs/>
          <w:i/>
          <w:iCs/>
        </w:rPr>
        <w:t>2</w:t>
      </w:r>
    </w:p>
    <w:p w14:paraId="2CD80628" w14:textId="77777777" w:rsidR="00CE72EC" w:rsidRDefault="00CE72EC" w:rsidP="00CE72EC"/>
    <w:bookmarkEnd w:id="0"/>
    <w:p w14:paraId="7670ED57" w14:textId="77777777" w:rsidR="00983EC4" w:rsidRPr="00983EC4" w:rsidRDefault="00983EC4" w:rsidP="00983EC4">
      <w:r w:rsidRPr="00983EC4">
        <w:t xml:space="preserve">The purpose of this document is to provide guidance to health care providers on the use of therapeutics to treat individuals with mild-to-moderate COVID-19 who do not require hospitalization. </w:t>
      </w:r>
    </w:p>
    <w:p w14:paraId="654E2760" w14:textId="77777777" w:rsidR="00983EC4" w:rsidRPr="00983EC4" w:rsidRDefault="00983EC4" w:rsidP="00983EC4">
      <w:pPr>
        <w:rPr>
          <w:b/>
          <w:bCs/>
        </w:rPr>
      </w:pPr>
      <w:r w:rsidRPr="00983EC4">
        <w:rPr>
          <w:b/>
          <w:bCs/>
        </w:rPr>
        <w:t>Providers should ensure that they are reading the most current version of this guidance as recommendations frequently change.</w:t>
      </w:r>
    </w:p>
    <w:p w14:paraId="024988FC" w14:textId="77777777" w:rsidR="00983EC4" w:rsidRDefault="00983EC4" w:rsidP="00983EC4"/>
    <w:p w14:paraId="5A18EFBB" w14:textId="201798F4" w:rsidR="005B160A" w:rsidRPr="00983EC4" w:rsidRDefault="00983EC4" w:rsidP="005B160A">
      <w:pPr>
        <w:rPr>
          <w:b/>
          <w:bCs/>
        </w:rPr>
      </w:pPr>
      <w:r w:rsidRPr="00983EC4">
        <w:t>At present, there are two general classes of treatment for mild-to-moderate COVID-19: monoclonal antibodies (</w:t>
      </w:r>
      <w:proofErr w:type="spellStart"/>
      <w:r w:rsidRPr="00983EC4">
        <w:t>mAb</w:t>
      </w:r>
      <w:proofErr w:type="spellEnd"/>
      <w:r w:rsidRPr="00983EC4">
        <w:t>) and antivirals.</w:t>
      </w:r>
      <w:r w:rsidR="005B160A">
        <w:t xml:space="preserve"> </w:t>
      </w:r>
      <w:r w:rsidR="005B160A">
        <w:rPr>
          <w:b/>
          <w:bCs/>
        </w:rPr>
        <w:t xml:space="preserve">These therapies are allocated to states by the federal government.  Currently, supply of both </w:t>
      </w:r>
      <w:r w:rsidR="00FD542B">
        <w:rPr>
          <w:b/>
          <w:bCs/>
        </w:rPr>
        <w:t>therapy</w:t>
      </w:r>
      <w:r w:rsidR="005B160A">
        <w:rPr>
          <w:b/>
          <w:bCs/>
        </w:rPr>
        <w:t xml:space="preserve"> types is extremely constrained. Additionally, d</w:t>
      </w:r>
      <w:r w:rsidR="005B160A" w:rsidRPr="00983EC4">
        <w:rPr>
          <w:b/>
          <w:bCs/>
        </w:rPr>
        <w:t xml:space="preserve">ue to the presence of the Omicron variant </w:t>
      </w:r>
      <w:r w:rsidR="005B160A">
        <w:rPr>
          <w:b/>
          <w:bCs/>
        </w:rPr>
        <w:t xml:space="preserve">and </w:t>
      </w:r>
      <w:r w:rsidR="005B160A" w:rsidRPr="00983EC4">
        <w:rPr>
          <w:b/>
          <w:bCs/>
        </w:rPr>
        <w:t xml:space="preserve">consistent with federal guidance, </w:t>
      </w:r>
      <w:r w:rsidR="005B160A">
        <w:rPr>
          <w:b/>
          <w:bCs/>
        </w:rPr>
        <w:t xml:space="preserve">two </w:t>
      </w:r>
      <w:proofErr w:type="spellStart"/>
      <w:r w:rsidR="005B160A">
        <w:rPr>
          <w:b/>
          <w:bCs/>
        </w:rPr>
        <w:t>mAb</w:t>
      </w:r>
      <w:proofErr w:type="spellEnd"/>
      <w:r w:rsidR="005B160A">
        <w:rPr>
          <w:b/>
          <w:bCs/>
        </w:rPr>
        <w:t xml:space="preserve"> therapies, </w:t>
      </w:r>
      <w:proofErr w:type="spellStart"/>
      <w:r w:rsidR="005B160A" w:rsidRPr="00983EC4">
        <w:rPr>
          <w:b/>
          <w:bCs/>
        </w:rPr>
        <w:t>bamlanivimab</w:t>
      </w:r>
      <w:proofErr w:type="spellEnd"/>
      <w:r w:rsidR="005B160A" w:rsidRPr="00983EC4">
        <w:rPr>
          <w:b/>
          <w:bCs/>
        </w:rPr>
        <w:t>/</w:t>
      </w:r>
      <w:proofErr w:type="spellStart"/>
      <w:r w:rsidR="005B160A" w:rsidRPr="00983EC4">
        <w:rPr>
          <w:b/>
          <w:bCs/>
        </w:rPr>
        <w:t>etesevimab</w:t>
      </w:r>
      <w:proofErr w:type="spellEnd"/>
      <w:r w:rsidR="005B160A" w:rsidRPr="00983EC4">
        <w:rPr>
          <w:b/>
          <w:bCs/>
        </w:rPr>
        <w:t xml:space="preserve"> and </w:t>
      </w:r>
      <w:proofErr w:type="spellStart"/>
      <w:r w:rsidR="005B160A" w:rsidRPr="00983EC4">
        <w:rPr>
          <w:b/>
          <w:bCs/>
        </w:rPr>
        <w:t>casirivimab</w:t>
      </w:r>
      <w:proofErr w:type="spellEnd"/>
      <w:r w:rsidR="005B160A" w:rsidRPr="00983EC4">
        <w:rPr>
          <w:b/>
          <w:bCs/>
        </w:rPr>
        <w:t>/</w:t>
      </w:r>
      <w:proofErr w:type="spellStart"/>
      <w:r w:rsidR="005B160A" w:rsidRPr="00983EC4">
        <w:rPr>
          <w:b/>
          <w:bCs/>
        </w:rPr>
        <w:t>imdevimab</w:t>
      </w:r>
      <w:proofErr w:type="spellEnd"/>
      <w:r w:rsidR="005B160A">
        <w:rPr>
          <w:b/>
          <w:bCs/>
        </w:rPr>
        <w:t>,</w:t>
      </w:r>
      <w:r w:rsidR="005B160A" w:rsidRPr="00983EC4">
        <w:rPr>
          <w:b/>
          <w:bCs/>
        </w:rPr>
        <w:t xml:space="preserve"> should no longer be used at this time.</w:t>
      </w:r>
    </w:p>
    <w:p w14:paraId="09B1BE05" w14:textId="77777777" w:rsidR="00983EC4" w:rsidRDefault="00983EC4" w:rsidP="00983EC4">
      <w:pPr>
        <w:rPr>
          <w:u w:val="single"/>
        </w:rPr>
      </w:pPr>
    </w:p>
    <w:p w14:paraId="02D36B36" w14:textId="77777777" w:rsidR="00983EC4" w:rsidRPr="00983EC4" w:rsidRDefault="00983EC4" w:rsidP="00983EC4">
      <w:pPr>
        <w:rPr>
          <w:b/>
          <w:bCs/>
          <w:u w:val="single"/>
        </w:rPr>
      </w:pPr>
      <w:r w:rsidRPr="00983EC4">
        <w:rPr>
          <w:b/>
          <w:bCs/>
          <w:u w:val="single"/>
        </w:rPr>
        <w:t>Treatment of COVID-19 with monoclonal antibody therapy</w:t>
      </w:r>
    </w:p>
    <w:p w14:paraId="03C49C3C" w14:textId="77777777" w:rsidR="00983EC4" w:rsidRDefault="00983EC4" w:rsidP="00983EC4"/>
    <w:p w14:paraId="28AA6452" w14:textId="5D9DBC4F" w:rsidR="00983EC4" w:rsidRPr="00983EC4" w:rsidRDefault="00983EC4" w:rsidP="00983EC4">
      <w:r w:rsidRPr="00983EC4">
        <w:t xml:space="preserve">There are currently three anti-SARS-CoV-2 monoclonal therapies with Food and Drug Administration (FDA) Emergency Use Authorization (EUA) for treatment of COVID-19: </w:t>
      </w:r>
      <w:hyperlink r:id="rId9" w:history="1">
        <w:proofErr w:type="spellStart"/>
        <w:r w:rsidRPr="00983EC4">
          <w:rPr>
            <w:rStyle w:val="Hyperlink"/>
          </w:rPr>
          <w:t>sotrovimab</w:t>
        </w:r>
        <w:proofErr w:type="spellEnd"/>
      </w:hyperlink>
      <w:r w:rsidRPr="00983EC4">
        <w:rPr>
          <w:u w:val="single"/>
        </w:rPr>
        <w:t xml:space="preserve">, </w:t>
      </w:r>
      <w:hyperlink r:id="rId10" w:history="1">
        <w:proofErr w:type="spellStart"/>
        <w:r w:rsidRPr="00983EC4">
          <w:rPr>
            <w:rStyle w:val="Hyperlink"/>
          </w:rPr>
          <w:t>casi</w:t>
        </w:r>
        <w:r w:rsidR="002B5A92">
          <w:rPr>
            <w:rStyle w:val="Hyperlink"/>
          </w:rPr>
          <w:t>riv</w:t>
        </w:r>
        <w:r w:rsidRPr="00983EC4">
          <w:rPr>
            <w:rStyle w:val="Hyperlink"/>
          </w:rPr>
          <w:t>imab</w:t>
        </w:r>
        <w:proofErr w:type="spellEnd"/>
        <w:r w:rsidRPr="00983EC4">
          <w:rPr>
            <w:rStyle w:val="Hyperlink"/>
          </w:rPr>
          <w:t>/</w:t>
        </w:r>
        <w:proofErr w:type="spellStart"/>
        <w:r w:rsidRPr="00983EC4">
          <w:rPr>
            <w:rStyle w:val="Hyperlink"/>
          </w:rPr>
          <w:t>imdevimab</w:t>
        </w:r>
        <w:proofErr w:type="spellEnd"/>
        <w:r w:rsidRPr="00983EC4">
          <w:rPr>
            <w:rStyle w:val="Hyperlink"/>
          </w:rPr>
          <w:t xml:space="preserve"> (REGEN-COV)</w:t>
        </w:r>
      </w:hyperlink>
      <w:r w:rsidRPr="00983EC4">
        <w:t xml:space="preserve">, and </w:t>
      </w:r>
      <w:hyperlink r:id="rId11" w:history="1">
        <w:proofErr w:type="spellStart"/>
        <w:r w:rsidRPr="00983EC4">
          <w:rPr>
            <w:rStyle w:val="Hyperlink"/>
          </w:rPr>
          <w:t>bamlanivimab</w:t>
        </w:r>
        <w:proofErr w:type="spellEnd"/>
        <w:r w:rsidRPr="00983EC4">
          <w:rPr>
            <w:rStyle w:val="Hyperlink"/>
          </w:rPr>
          <w:t>/</w:t>
        </w:r>
        <w:proofErr w:type="spellStart"/>
        <w:r w:rsidRPr="00983EC4">
          <w:rPr>
            <w:rStyle w:val="Hyperlink"/>
          </w:rPr>
          <w:t>etes</w:t>
        </w:r>
        <w:r w:rsidR="002B5A92">
          <w:rPr>
            <w:rStyle w:val="Hyperlink"/>
          </w:rPr>
          <w:t>e</w:t>
        </w:r>
        <w:r w:rsidRPr="00983EC4">
          <w:rPr>
            <w:rStyle w:val="Hyperlink"/>
          </w:rPr>
          <w:t>vimab</w:t>
        </w:r>
        <w:proofErr w:type="spellEnd"/>
      </w:hyperlink>
      <w:r w:rsidRPr="00983EC4">
        <w:t xml:space="preserve">. Monoclonal antibody therapy decreases the risk of severe disease from COVID-19 between 70% and 85% in clinical trials. </w:t>
      </w:r>
    </w:p>
    <w:p w14:paraId="2BD762F1" w14:textId="77777777" w:rsidR="00983EC4" w:rsidRDefault="00983EC4" w:rsidP="00983EC4"/>
    <w:p w14:paraId="00FB74E2" w14:textId="77777777" w:rsidR="00983EC4" w:rsidRDefault="00983EC4" w:rsidP="00983EC4">
      <w:r w:rsidRPr="00983EC4">
        <w:t>Monoclonal antibody therapy is indicated for treatment of COVID-19 in adult and pediatric patients (12 years of age and older weighing at least 40 kg) who meet EUA criteria including:</w:t>
      </w:r>
    </w:p>
    <w:p w14:paraId="49BFBC35" w14:textId="77777777" w:rsidR="00983EC4" w:rsidRPr="00983EC4" w:rsidRDefault="00983EC4" w:rsidP="00983EC4"/>
    <w:p w14:paraId="5BA424FE" w14:textId="77777777" w:rsidR="00983EC4" w:rsidRPr="00983EC4" w:rsidRDefault="00983EC4" w:rsidP="00983EC4">
      <w:pPr>
        <w:numPr>
          <w:ilvl w:val="0"/>
          <w:numId w:val="3"/>
        </w:numPr>
      </w:pPr>
      <w:r w:rsidRPr="00983EC4">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432C08E7" w14:textId="77777777" w:rsidR="00983EC4" w:rsidRPr="00983EC4" w:rsidRDefault="00983EC4" w:rsidP="00983EC4">
      <w:pPr>
        <w:numPr>
          <w:ilvl w:val="0"/>
          <w:numId w:val="3"/>
        </w:numPr>
      </w:pPr>
      <w:r w:rsidRPr="00983EC4">
        <w:t>Symptom onset within the past 10 days and received a positive COVID-19 test (antigen or molecular) within the past 10 days</w:t>
      </w:r>
    </w:p>
    <w:p w14:paraId="0B5E5D96" w14:textId="77777777" w:rsidR="00983EC4" w:rsidRPr="00983EC4" w:rsidRDefault="00983EC4" w:rsidP="00983EC4">
      <w:pPr>
        <w:numPr>
          <w:ilvl w:val="0"/>
          <w:numId w:val="3"/>
        </w:numPr>
      </w:pPr>
      <w:r w:rsidRPr="00983EC4">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w:t>
      </w:r>
      <w:r w:rsidRPr="00983EC4">
        <w:lastRenderedPageBreak/>
        <w:t>related technological dependence, obesity BMI &gt; 25 or above 85</w:t>
      </w:r>
      <w:r w:rsidRPr="00983EC4">
        <w:rPr>
          <w:vertAlign w:val="superscript"/>
        </w:rPr>
        <w:t>th</w:t>
      </w:r>
      <w:r w:rsidRPr="00983EC4">
        <w:t xml:space="preserve"> percentile for age/gender), other medical conditions that place one at high risk for severe disease</w:t>
      </w:r>
      <w:r>
        <w:rPr>
          <w:rStyle w:val="FootnoteReference"/>
        </w:rPr>
        <w:footnoteReference w:id="2"/>
      </w:r>
    </w:p>
    <w:p w14:paraId="3E390AE6" w14:textId="77777777" w:rsidR="00983EC4" w:rsidRDefault="00983EC4" w:rsidP="00983EC4"/>
    <w:p w14:paraId="2D63F75E" w14:textId="3C8DDDED" w:rsidR="00983EC4" w:rsidRPr="00983EC4" w:rsidRDefault="00983EC4" w:rsidP="00983EC4">
      <w:r w:rsidRPr="00983EC4">
        <w:t xml:space="preserve">SARS-COV-2 variants may have different susceptibilities to monoclonal antibodies, which may influence choice of agent. </w:t>
      </w:r>
      <w:proofErr w:type="spellStart"/>
      <w:r w:rsidRPr="00983EC4">
        <w:t>Sotrovimab</w:t>
      </w:r>
      <w:proofErr w:type="spellEnd"/>
      <w:r w:rsidRPr="00983EC4">
        <w:t xml:space="preserve"> is the preferred </w:t>
      </w:r>
      <w:proofErr w:type="spellStart"/>
      <w:r w:rsidRPr="00983EC4">
        <w:t>mAb</w:t>
      </w:r>
      <w:proofErr w:type="spellEnd"/>
      <w:r w:rsidRPr="00983EC4">
        <w:t xml:space="preserve"> product for treatment of COVID-19 when Omicron is </w:t>
      </w:r>
      <w:r w:rsidR="007020FF">
        <w:t>dominant</w:t>
      </w:r>
      <w:r w:rsidRPr="00983EC4">
        <w:t xml:space="preserve"> and should be the only product used for patients with a high likelihood of Omicron infection </w:t>
      </w:r>
      <w:r w:rsidR="007020FF">
        <w:t>who have the</w:t>
      </w:r>
      <w:r w:rsidRPr="00983EC4">
        <w:t xml:space="preserve"> highest risk of progression to severe disease.</w:t>
      </w:r>
    </w:p>
    <w:p w14:paraId="6F159482" w14:textId="77777777" w:rsidR="00983EC4" w:rsidRPr="00983EC4" w:rsidRDefault="00983EC4" w:rsidP="00983EC4"/>
    <w:p w14:paraId="29EF2462" w14:textId="03D496A0" w:rsidR="00983EC4" w:rsidRPr="00983EC4" w:rsidRDefault="00FD542B" w:rsidP="00983EC4">
      <w:pPr>
        <w:rPr>
          <w:b/>
          <w:bCs/>
        </w:rPr>
      </w:pPr>
      <w:r w:rsidRPr="00983EC4">
        <w:rPr>
          <w:b/>
          <w:bCs/>
        </w:rPr>
        <w:t>Due to the</w:t>
      </w:r>
      <w:r w:rsidR="00A86EE8">
        <w:rPr>
          <w:b/>
          <w:bCs/>
        </w:rPr>
        <w:t xml:space="preserve"> dominant</w:t>
      </w:r>
      <w:r w:rsidRPr="00983EC4">
        <w:rPr>
          <w:b/>
          <w:bCs/>
        </w:rPr>
        <w:t xml:space="preserve"> presence of the Omicron variant in Massachusetts and consistent with federal guidance, </w:t>
      </w:r>
      <w:proofErr w:type="spellStart"/>
      <w:r w:rsidRPr="00983EC4">
        <w:rPr>
          <w:b/>
          <w:bCs/>
        </w:rPr>
        <w:t>bamlanivimab</w:t>
      </w:r>
      <w:proofErr w:type="spellEnd"/>
      <w:r w:rsidRPr="00983EC4">
        <w:rPr>
          <w:b/>
          <w:bCs/>
        </w:rPr>
        <w:t>/</w:t>
      </w:r>
      <w:proofErr w:type="spellStart"/>
      <w:r w:rsidRPr="00983EC4">
        <w:rPr>
          <w:b/>
          <w:bCs/>
        </w:rPr>
        <w:t>etesevimab</w:t>
      </w:r>
      <w:proofErr w:type="spellEnd"/>
      <w:r w:rsidRPr="00983EC4">
        <w:rPr>
          <w:b/>
          <w:bCs/>
        </w:rPr>
        <w:t xml:space="preserve"> and </w:t>
      </w:r>
      <w:proofErr w:type="spellStart"/>
      <w:r w:rsidRPr="00983EC4">
        <w:rPr>
          <w:b/>
          <w:bCs/>
        </w:rPr>
        <w:t>casirivimab</w:t>
      </w:r>
      <w:proofErr w:type="spellEnd"/>
      <w:r w:rsidRPr="00983EC4">
        <w:rPr>
          <w:b/>
          <w:bCs/>
        </w:rPr>
        <w:t>/</w:t>
      </w:r>
      <w:proofErr w:type="spellStart"/>
      <w:r w:rsidRPr="00983EC4">
        <w:rPr>
          <w:b/>
          <w:bCs/>
        </w:rPr>
        <w:t>imdevimab</w:t>
      </w:r>
      <w:proofErr w:type="spellEnd"/>
      <w:r w:rsidRPr="00983EC4">
        <w:rPr>
          <w:b/>
          <w:bCs/>
        </w:rPr>
        <w:t xml:space="preserve"> should no</w:t>
      </w:r>
      <w:r w:rsidR="007020FF">
        <w:rPr>
          <w:b/>
          <w:bCs/>
        </w:rPr>
        <w:t xml:space="preserve">t </w:t>
      </w:r>
      <w:r w:rsidRPr="00983EC4">
        <w:rPr>
          <w:b/>
          <w:bCs/>
        </w:rPr>
        <w:t>be used at this time.</w:t>
      </w:r>
      <w:r w:rsidR="007020FF">
        <w:rPr>
          <w:b/>
          <w:bCs/>
        </w:rPr>
        <w:t xml:space="preserve"> </w:t>
      </w:r>
      <w:r w:rsidR="007020FF">
        <w:t>These</w:t>
      </w:r>
      <w:r w:rsidR="007020FF" w:rsidRPr="00983EC4">
        <w:t xml:space="preserve"> </w:t>
      </w:r>
      <w:r w:rsidR="00983EC4" w:rsidRPr="00983EC4">
        <w:t>agents (</w:t>
      </w:r>
      <w:proofErr w:type="spellStart"/>
      <w:r w:rsidR="00983EC4" w:rsidRPr="00983EC4">
        <w:t>bamlanivimab</w:t>
      </w:r>
      <w:proofErr w:type="spellEnd"/>
      <w:r w:rsidR="00983EC4" w:rsidRPr="00983EC4">
        <w:t>/</w:t>
      </w:r>
      <w:proofErr w:type="spellStart"/>
      <w:r w:rsidR="00983EC4" w:rsidRPr="00983EC4">
        <w:t>etesevimab</w:t>
      </w:r>
      <w:proofErr w:type="spellEnd"/>
      <w:r w:rsidR="00983EC4" w:rsidRPr="00983EC4">
        <w:t xml:space="preserve"> and </w:t>
      </w:r>
      <w:proofErr w:type="spellStart"/>
      <w:r w:rsidR="00983EC4" w:rsidRPr="00983EC4">
        <w:t>casirivimab</w:t>
      </w:r>
      <w:proofErr w:type="spellEnd"/>
      <w:r w:rsidR="00983EC4" w:rsidRPr="00983EC4">
        <w:t>/</w:t>
      </w:r>
      <w:proofErr w:type="spellStart"/>
      <w:r w:rsidR="00983EC4" w:rsidRPr="00983EC4">
        <w:t>imdevimab</w:t>
      </w:r>
      <w:proofErr w:type="spellEnd"/>
      <w:r w:rsidR="00983EC4" w:rsidRPr="00983EC4">
        <w:t xml:space="preserve">) </w:t>
      </w:r>
      <w:r w:rsidR="00A37B72">
        <w:t>may be recommended for use in the future should the presen</w:t>
      </w:r>
      <w:r w:rsidR="00A86EE8">
        <w:t xml:space="preserve">ce of the Omicron variant subside. </w:t>
      </w:r>
    </w:p>
    <w:p w14:paraId="56537F78" w14:textId="77777777" w:rsidR="00983EC4" w:rsidRDefault="00983EC4" w:rsidP="00983EC4"/>
    <w:p w14:paraId="5C4DFD74" w14:textId="77777777" w:rsidR="00983EC4" w:rsidRPr="00983EC4" w:rsidRDefault="00983EC4" w:rsidP="00983EC4">
      <w:r w:rsidRPr="00983EC4">
        <w:t xml:space="preserve">Monoclonal antibodies are not authorized for individuals who are hospitalized due to COVID-19 or who require supplemental oxygen for COVID-19. If using home oxygen therapy, </w:t>
      </w:r>
      <w:proofErr w:type="spellStart"/>
      <w:r w:rsidRPr="00983EC4">
        <w:t>mAb</w:t>
      </w:r>
      <w:proofErr w:type="spellEnd"/>
      <w:r w:rsidRPr="00983EC4">
        <w:t xml:space="preserve"> therapy is not authorized if the oxygen dose has increased following start of symptoms/positive test for COVID-19. </w:t>
      </w:r>
    </w:p>
    <w:p w14:paraId="37012355" w14:textId="77777777" w:rsidR="00983EC4" w:rsidRPr="00983EC4" w:rsidRDefault="00983EC4" w:rsidP="00983EC4">
      <w:r w:rsidRPr="00983EC4">
        <w:t xml:space="preserve">Individuals who have a history of allergic reaction (hives, facial swelling, difficulty breathing, anaphylaxis) following </w:t>
      </w:r>
      <w:proofErr w:type="spellStart"/>
      <w:r w:rsidRPr="00983EC4">
        <w:t>mAb</w:t>
      </w:r>
      <w:proofErr w:type="spellEnd"/>
      <w:r w:rsidRPr="00983EC4">
        <w:t xml:space="preserve"> therapy should not receive additional </w:t>
      </w:r>
      <w:proofErr w:type="spellStart"/>
      <w:r w:rsidRPr="00983EC4">
        <w:t>mAb</w:t>
      </w:r>
      <w:proofErr w:type="spellEnd"/>
      <w:r w:rsidRPr="00983EC4">
        <w:t xml:space="preserve"> doses.</w:t>
      </w:r>
    </w:p>
    <w:p w14:paraId="41B545B3" w14:textId="77777777" w:rsidR="00983EC4" w:rsidRDefault="00983EC4" w:rsidP="00983EC4"/>
    <w:p w14:paraId="623FCB5A" w14:textId="1E1F6838" w:rsidR="00983EC4" w:rsidRPr="00983EC4" w:rsidRDefault="00983EC4" w:rsidP="00983EC4">
      <w:r w:rsidRPr="00983EC4">
        <w:t xml:space="preserve">For treatment of mild to moderate COVID-19, the authorized dose of </w:t>
      </w:r>
      <w:hyperlink r:id="rId12" w:history="1">
        <w:proofErr w:type="spellStart"/>
        <w:r w:rsidRPr="00983EC4">
          <w:rPr>
            <w:rStyle w:val="Hyperlink"/>
          </w:rPr>
          <w:t>sotrovimab</w:t>
        </w:r>
        <w:proofErr w:type="spellEnd"/>
      </w:hyperlink>
      <w:r w:rsidRPr="00983EC4">
        <w:t xml:space="preserve"> is 500 mg, administered as a single intravenous infusion. The authorized dose of </w:t>
      </w:r>
      <w:hyperlink r:id="rId13" w:history="1">
        <w:proofErr w:type="spellStart"/>
        <w:r w:rsidRPr="00983EC4">
          <w:rPr>
            <w:rStyle w:val="Hyperlink"/>
          </w:rPr>
          <w:t>casirivimab</w:t>
        </w:r>
        <w:proofErr w:type="spellEnd"/>
        <w:r w:rsidRPr="00983EC4">
          <w:rPr>
            <w:rStyle w:val="Hyperlink"/>
          </w:rPr>
          <w:t>/</w:t>
        </w:r>
        <w:proofErr w:type="spellStart"/>
        <w:r w:rsidRPr="00983EC4">
          <w:rPr>
            <w:rStyle w:val="Hyperlink"/>
          </w:rPr>
          <w:t>imdevimab</w:t>
        </w:r>
        <w:proofErr w:type="spellEnd"/>
        <w:r w:rsidRPr="00983EC4">
          <w:rPr>
            <w:rStyle w:val="Hyperlink"/>
          </w:rPr>
          <w:t xml:space="preserve"> (REGEN-COV)</w:t>
        </w:r>
      </w:hyperlink>
      <w:r w:rsidRPr="00983EC4">
        <w:t xml:space="preserve"> is 600 mg of </w:t>
      </w:r>
      <w:proofErr w:type="spellStart"/>
      <w:r w:rsidRPr="00983EC4">
        <w:t>casirivimab</w:t>
      </w:r>
      <w:proofErr w:type="spellEnd"/>
      <w:r w:rsidRPr="00983EC4">
        <w:t xml:space="preserve"> and 600 mg of </w:t>
      </w:r>
      <w:proofErr w:type="spellStart"/>
      <w:r w:rsidRPr="00983EC4">
        <w:t>imdevimab</w:t>
      </w:r>
      <w:proofErr w:type="spellEnd"/>
      <w:r w:rsidRPr="00983EC4">
        <w:t xml:space="preserve">, administered together as a single intravenous infusion. </w:t>
      </w:r>
      <w:hyperlink r:id="rId14" w:history="1">
        <w:proofErr w:type="spellStart"/>
        <w:r w:rsidRPr="00983EC4">
          <w:rPr>
            <w:rStyle w:val="Hyperlink"/>
          </w:rPr>
          <w:t>Casirivimab</w:t>
        </w:r>
        <w:proofErr w:type="spellEnd"/>
        <w:r w:rsidRPr="00983EC4">
          <w:rPr>
            <w:rStyle w:val="Hyperlink"/>
          </w:rPr>
          <w:t>/</w:t>
        </w:r>
        <w:proofErr w:type="spellStart"/>
        <w:r w:rsidRPr="00983EC4">
          <w:rPr>
            <w:rStyle w:val="Hyperlink"/>
          </w:rPr>
          <w:t>imdevimab</w:t>
        </w:r>
        <w:proofErr w:type="spellEnd"/>
        <w:r w:rsidRPr="00983EC4">
          <w:rPr>
            <w:rStyle w:val="Hyperlink"/>
          </w:rPr>
          <w:t xml:space="preserve"> (REGEN-COV)</w:t>
        </w:r>
      </w:hyperlink>
      <w:r w:rsidRPr="00983EC4">
        <w:t xml:space="preserve"> can be given subcutaneously if intravenous infusion is not feasible or if it would delay treatment. The authorized dosage of </w:t>
      </w:r>
      <w:hyperlink r:id="rId15" w:history="1">
        <w:proofErr w:type="spellStart"/>
        <w:r w:rsidRPr="00983EC4">
          <w:rPr>
            <w:rStyle w:val="Hyperlink"/>
          </w:rPr>
          <w:t>bamlanivimab</w:t>
        </w:r>
        <w:proofErr w:type="spellEnd"/>
        <w:r w:rsidRPr="00983EC4">
          <w:rPr>
            <w:rStyle w:val="Hyperlink"/>
          </w:rPr>
          <w:t>/</w:t>
        </w:r>
        <w:proofErr w:type="spellStart"/>
        <w:r w:rsidRPr="00983EC4">
          <w:rPr>
            <w:rStyle w:val="Hyperlink"/>
          </w:rPr>
          <w:t>etes</w:t>
        </w:r>
        <w:r w:rsidR="002B5A92">
          <w:rPr>
            <w:rStyle w:val="Hyperlink"/>
          </w:rPr>
          <w:t>e</w:t>
        </w:r>
        <w:r w:rsidRPr="00983EC4">
          <w:rPr>
            <w:rStyle w:val="Hyperlink"/>
          </w:rPr>
          <w:t>vimab</w:t>
        </w:r>
        <w:proofErr w:type="spellEnd"/>
      </w:hyperlink>
      <w:r w:rsidRPr="00983EC4">
        <w:t xml:space="preserve"> is 700 mg </w:t>
      </w:r>
      <w:proofErr w:type="spellStart"/>
      <w:r w:rsidRPr="00983EC4">
        <w:t>bamlanivimab</w:t>
      </w:r>
      <w:proofErr w:type="spellEnd"/>
      <w:r w:rsidRPr="00983EC4">
        <w:t xml:space="preserve"> and 1,400 mg of </w:t>
      </w:r>
      <w:proofErr w:type="spellStart"/>
      <w:r w:rsidRPr="00983EC4">
        <w:t>etesevimab</w:t>
      </w:r>
      <w:proofErr w:type="spellEnd"/>
      <w:r w:rsidRPr="00983EC4">
        <w:t xml:space="preserve">, administered together as a single intravenous infusion. </w:t>
      </w:r>
    </w:p>
    <w:p w14:paraId="4469280B" w14:textId="77777777" w:rsidR="00983EC4" w:rsidRDefault="00983EC4" w:rsidP="00983EC4"/>
    <w:p w14:paraId="1131FA80" w14:textId="77777777" w:rsidR="00983EC4" w:rsidRPr="00983EC4" w:rsidRDefault="00983EC4" w:rsidP="00983EC4">
      <w:r w:rsidRPr="00983EC4">
        <w:t>Patients should receive monoclonal antibodies in a setting equipped to manage anaphylaxis and should be observed for 1 hour following infusion.</w:t>
      </w:r>
    </w:p>
    <w:p w14:paraId="4563C56F" w14:textId="77777777" w:rsidR="00983EC4" w:rsidRDefault="00983EC4" w:rsidP="00983EC4">
      <w:pPr>
        <w:rPr>
          <w:u w:val="single"/>
        </w:rPr>
      </w:pPr>
    </w:p>
    <w:p w14:paraId="1F9A115D" w14:textId="77777777" w:rsidR="00983EC4" w:rsidRPr="00983EC4" w:rsidRDefault="00983EC4" w:rsidP="00983EC4">
      <w:pPr>
        <w:rPr>
          <w:b/>
          <w:bCs/>
          <w:u w:val="single"/>
        </w:rPr>
      </w:pPr>
      <w:r w:rsidRPr="00983EC4">
        <w:rPr>
          <w:b/>
          <w:bCs/>
          <w:u w:val="single"/>
        </w:rPr>
        <w:t xml:space="preserve">Prophylaxis of COVID-19 with monoclonal antibody therapy </w:t>
      </w:r>
    </w:p>
    <w:p w14:paraId="7498CEAF" w14:textId="77777777" w:rsidR="00983EC4" w:rsidRDefault="00983EC4" w:rsidP="00983EC4"/>
    <w:p w14:paraId="253E0EBB" w14:textId="1FD130EA" w:rsidR="00983EC4" w:rsidRDefault="00983EC4" w:rsidP="00983EC4">
      <w:r w:rsidRPr="00983EC4">
        <w:t xml:space="preserve">The long-acting </w:t>
      </w:r>
      <w:proofErr w:type="spellStart"/>
      <w:r w:rsidRPr="00983EC4">
        <w:t>mAb</w:t>
      </w:r>
      <w:proofErr w:type="spellEnd"/>
      <w:r w:rsidRPr="00983EC4">
        <w:t xml:space="preserve"> </w:t>
      </w:r>
      <w:hyperlink r:id="rId16" w:history="1">
        <w:proofErr w:type="spellStart"/>
        <w:r w:rsidRPr="00983EC4">
          <w:rPr>
            <w:rStyle w:val="Hyperlink"/>
          </w:rPr>
          <w:t>tixagevimab</w:t>
        </w:r>
        <w:proofErr w:type="spellEnd"/>
        <w:r w:rsidRPr="00983EC4">
          <w:rPr>
            <w:rStyle w:val="Hyperlink"/>
          </w:rPr>
          <w:t>/</w:t>
        </w:r>
        <w:proofErr w:type="spellStart"/>
        <w:r w:rsidRPr="00983EC4">
          <w:rPr>
            <w:rStyle w:val="Hyperlink"/>
          </w:rPr>
          <w:t>cilgavima</w:t>
        </w:r>
        <w:r w:rsidR="007020FF">
          <w:rPr>
            <w:rStyle w:val="Hyperlink"/>
          </w:rPr>
          <w:t>b</w:t>
        </w:r>
        <w:proofErr w:type="spellEnd"/>
        <w:r w:rsidR="007020FF">
          <w:rPr>
            <w:rStyle w:val="Hyperlink"/>
          </w:rPr>
          <w:t xml:space="preserve"> EVUSHELD</w:t>
        </w:r>
      </w:hyperlink>
      <w:r w:rsidRPr="00983EC4">
        <w:t xml:space="preserve"> is authorized for pre-exposure prophylaxis of COVID-19 in adults and pediatric individuals (12 years of age and older</w:t>
      </w:r>
      <w:r w:rsidR="001C7AB9">
        <w:t xml:space="preserve"> and </w:t>
      </w:r>
      <w:r w:rsidRPr="00983EC4">
        <w:t>weigh</w:t>
      </w:r>
      <w:r w:rsidR="001C7AB9">
        <w:t>ing</w:t>
      </w:r>
      <w:r w:rsidRPr="00983EC4">
        <w:t xml:space="preserve"> at least 40 kg) who meet EUA criteria including:</w:t>
      </w:r>
    </w:p>
    <w:p w14:paraId="58C7D8D9" w14:textId="77777777" w:rsidR="00983EC4" w:rsidRPr="00983EC4" w:rsidRDefault="00983EC4" w:rsidP="00983EC4"/>
    <w:p w14:paraId="05D6F086" w14:textId="01A4DB0D" w:rsidR="00983EC4" w:rsidRPr="00983EC4" w:rsidRDefault="00983EC4" w:rsidP="00983EC4">
      <w:pPr>
        <w:numPr>
          <w:ilvl w:val="0"/>
          <w:numId w:val="6"/>
        </w:numPr>
      </w:pPr>
      <w:r w:rsidRPr="00983EC4">
        <w:t>Individuals not currently infected with SARS-CoV-2 and who have not had a known recent exposure to an individual infected with SARS-CoV-2 and</w:t>
      </w:r>
    </w:p>
    <w:p w14:paraId="21D6098A" w14:textId="77777777" w:rsidR="00983EC4" w:rsidRPr="00983EC4" w:rsidRDefault="00983EC4" w:rsidP="00983EC4">
      <w:pPr>
        <w:numPr>
          <w:ilvl w:val="0"/>
          <w:numId w:val="6"/>
        </w:numPr>
      </w:pPr>
      <w:r w:rsidRPr="00983EC4">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w:t>
      </w:r>
    </w:p>
    <w:p w14:paraId="2B38CA33" w14:textId="77777777" w:rsidR="00983EC4" w:rsidRPr="00983EC4" w:rsidRDefault="00983EC4" w:rsidP="00983EC4">
      <w:pPr>
        <w:numPr>
          <w:ilvl w:val="0"/>
          <w:numId w:val="6"/>
        </w:numPr>
      </w:pPr>
      <w:r w:rsidRPr="00983EC4">
        <w:lastRenderedPageBreak/>
        <w:t>Individuals for whom vaccination with any available COVID-19 vaccine is not recommended due to a history of severe adverse reaction.</w:t>
      </w:r>
    </w:p>
    <w:p w14:paraId="3CB1E2EA" w14:textId="77777777" w:rsidR="00983EC4" w:rsidRPr="00983EC4" w:rsidRDefault="00983EC4" w:rsidP="00983EC4">
      <w:r w:rsidRPr="00983EC4">
        <w:t xml:space="preserve"> </w:t>
      </w:r>
    </w:p>
    <w:p w14:paraId="0F5B036D" w14:textId="77777777" w:rsidR="00983EC4" w:rsidRPr="00983EC4" w:rsidRDefault="00983EC4" w:rsidP="00983EC4">
      <w:proofErr w:type="spellStart"/>
      <w:r w:rsidRPr="00983EC4">
        <w:t>Tixagevimab</w:t>
      </w:r>
      <w:proofErr w:type="spellEnd"/>
      <w:r w:rsidRPr="00983EC4">
        <w:t>/</w:t>
      </w:r>
      <w:proofErr w:type="spellStart"/>
      <w:r w:rsidRPr="00983EC4">
        <w:t>cilgavimab</w:t>
      </w:r>
      <w:proofErr w:type="spellEnd"/>
      <w:r w:rsidRPr="00983EC4">
        <w:t xml:space="preserve"> confers protection against the Omicron variant and should be used in an environment when Omicron variant is dominant.</w:t>
      </w:r>
    </w:p>
    <w:p w14:paraId="319F2CF6" w14:textId="77777777" w:rsidR="00983EC4" w:rsidRDefault="00983EC4" w:rsidP="00983EC4"/>
    <w:p w14:paraId="428CB455" w14:textId="4D1335CC" w:rsidR="00983EC4" w:rsidRPr="00983EC4" w:rsidRDefault="00983EC4" w:rsidP="00983EC4">
      <w:r w:rsidRPr="00983EC4">
        <w:t xml:space="preserve">For pre-exposure prophylaxis, the authorized dose of </w:t>
      </w:r>
      <w:hyperlink r:id="rId17" w:history="1">
        <w:proofErr w:type="spellStart"/>
        <w:r w:rsidRPr="00983EC4">
          <w:rPr>
            <w:rStyle w:val="Hyperlink"/>
          </w:rPr>
          <w:t>tixagevimab</w:t>
        </w:r>
        <w:proofErr w:type="spellEnd"/>
        <w:r w:rsidRPr="00983EC4">
          <w:rPr>
            <w:rStyle w:val="Hyperlink"/>
          </w:rPr>
          <w:t>/</w:t>
        </w:r>
        <w:proofErr w:type="spellStart"/>
        <w:r w:rsidRPr="00983EC4">
          <w:rPr>
            <w:rStyle w:val="Hyperlink"/>
          </w:rPr>
          <w:t>cilgavima</w:t>
        </w:r>
        <w:r w:rsidR="007020FF">
          <w:rPr>
            <w:rStyle w:val="Hyperlink"/>
          </w:rPr>
          <w:t>b</w:t>
        </w:r>
        <w:proofErr w:type="spellEnd"/>
      </w:hyperlink>
      <w:r w:rsidR="007020FF">
        <w:t xml:space="preserve"> </w:t>
      </w:r>
      <w:r w:rsidRPr="00983EC4">
        <w:t xml:space="preserve">is 150 mg of </w:t>
      </w:r>
      <w:proofErr w:type="spellStart"/>
      <w:r w:rsidRPr="00983EC4">
        <w:t>tixagevimab</w:t>
      </w:r>
      <w:proofErr w:type="spellEnd"/>
      <w:r w:rsidRPr="00983EC4">
        <w:t xml:space="preserve"> and 150 mg of </w:t>
      </w:r>
      <w:proofErr w:type="spellStart"/>
      <w:r w:rsidRPr="00983EC4">
        <w:t>cilgavimab</w:t>
      </w:r>
      <w:proofErr w:type="spellEnd"/>
      <w:r w:rsidRPr="00983EC4">
        <w:t xml:space="preserve"> administered as two separate intramuscular injections, ideally in the gluteal or vastus lateralis muscle.  </w:t>
      </w:r>
    </w:p>
    <w:p w14:paraId="2AEEE7FD" w14:textId="77777777" w:rsidR="00983EC4" w:rsidRDefault="00983EC4" w:rsidP="00983EC4"/>
    <w:p w14:paraId="2A4696D9" w14:textId="218381B1" w:rsidR="00983EC4" w:rsidRPr="00983EC4" w:rsidRDefault="0025775A" w:rsidP="00983EC4">
      <w:hyperlink r:id="rId18" w:history="1">
        <w:proofErr w:type="spellStart"/>
        <w:r w:rsidR="00983EC4" w:rsidRPr="00983EC4">
          <w:rPr>
            <w:rStyle w:val="Hyperlink"/>
          </w:rPr>
          <w:t>Casirivimab</w:t>
        </w:r>
        <w:proofErr w:type="spellEnd"/>
        <w:r w:rsidR="00983EC4" w:rsidRPr="00983EC4">
          <w:rPr>
            <w:rStyle w:val="Hyperlink"/>
          </w:rPr>
          <w:t>/</w:t>
        </w:r>
        <w:proofErr w:type="spellStart"/>
        <w:r w:rsidR="00983EC4" w:rsidRPr="00983EC4">
          <w:rPr>
            <w:rStyle w:val="Hyperlink"/>
          </w:rPr>
          <w:t>imdevimab</w:t>
        </w:r>
        <w:proofErr w:type="spellEnd"/>
      </w:hyperlink>
      <w:r w:rsidR="00983EC4" w:rsidRPr="00983EC4">
        <w:t xml:space="preserve"> and </w:t>
      </w:r>
      <w:hyperlink r:id="rId19" w:history="1">
        <w:proofErr w:type="spellStart"/>
        <w:r w:rsidR="00983EC4" w:rsidRPr="00983EC4">
          <w:rPr>
            <w:rStyle w:val="Hyperlink"/>
          </w:rPr>
          <w:t>bamlanivimab</w:t>
        </w:r>
        <w:proofErr w:type="spellEnd"/>
        <w:r w:rsidR="00983EC4" w:rsidRPr="00983EC4">
          <w:rPr>
            <w:rStyle w:val="Hyperlink"/>
          </w:rPr>
          <w:t>/</w:t>
        </w:r>
        <w:proofErr w:type="spellStart"/>
        <w:r w:rsidR="00983EC4" w:rsidRPr="00983EC4">
          <w:rPr>
            <w:rStyle w:val="Hyperlink"/>
          </w:rPr>
          <w:t>etes</w:t>
        </w:r>
        <w:r w:rsidR="002B5A92">
          <w:rPr>
            <w:rStyle w:val="Hyperlink"/>
          </w:rPr>
          <w:t>e</w:t>
        </w:r>
        <w:r w:rsidR="00983EC4" w:rsidRPr="00983EC4">
          <w:rPr>
            <w:rStyle w:val="Hyperlink"/>
          </w:rPr>
          <w:t>vimab</w:t>
        </w:r>
        <w:proofErr w:type="spellEnd"/>
      </w:hyperlink>
      <w:r w:rsidR="00983EC4" w:rsidRPr="00983EC4">
        <w:t xml:space="preserve"> are authorized for use as postexposure prophylaxis and are to be administered as soon as practicable after an exposure (with no maximum timeframe). </w:t>
      </w:r>
      <w:r w:rsidR="00983EC4" w:rsidRPr="00983EC4">
        <w:rPr>
          <w:b/>
          <w:bCs/>
        </w:rPr>
        <w:t>Given that Omicron is now the dominant variant in Massachusetts, and these agents have reduced activity against Omicron, their use for post-exposure prophylaxis is not recommended at this time.</w:t>
      </w:r>
      <w:r w:rsidR="00983EC4" w:rsidRPr="00983EC4">
        <w:t xml:space="preserve"> </w:t>
      </w:r>
      <w:hyperlink r:id="rId20" w:history="1">
        <w:proofErr w:type="spellStart"/>
        <w:r w:rsidR="00983EC4" w:rsidRPr="00983EC4">
          <w:rPr>
            <w:rStyle w:val="Hyperlink"/>
          </w:rPr>
          <w:t>Sotrovimab</w:t>
        </w:r>
        <w:proofErr w:type="spellEnd"/>
      </w:hyperlink>
      <w:r w:rsidR="00983EC4" w:rsidRPr="00983EC4">
        <w:t xml:space="preserve"> is not authorized for post-exposure prophylaxis.</w:t>
      </w:r>
    </w:p>
    <w:p w14:paraId="7115D6AD" w14:textId="77777777" w:rsidR="00983EC4" w:rsidRDefault="00983EC4" w:rsidP="00983EC4">
      <w:pPr>
        <w:rPr>
          <w:u w:val="single"/>
        </w:rPr>
      </w:pPr>
    </w:p>
    <w:p w14:paraId="6DD98E80" w14:textId="77777777" w:rsidR="00983EC4" w:rsidRDefault="00983EC4" w:rsidP="00983EC4">
      <w:pPr>
        <w:rPr>
          <w:b/>
          <w:bCs/>
          <w:u w:val="single"/>
        </w:rPr>
      </w:pPr>
      <w:r w:rsidRPr="00983EC4">
        <w:rPr>
          <w:b/>
          <w:bCs/>
          <w:u w:val="single"/>
        </w:rPr>
        <w:t>Treatment of COVID-19 with remdesivir</w:t>
      </w:r>
    </w:p>
    <w:p w14:paraId="4E3CB4D1" w14:textId="77777777" w:rsidR="00983EC4" w:rsidRPr="00983EC4" w:rsidRDefault="00983EC4" w:rsidP="00983EC4">
      <w:pPr>
        <w:rPr>
          <w:b/>
          <w:bCs/>
          <w:u w:val="single"/>
        </w:rPr>
      </w:pPr>
    </w:p>
    <w:p w14:paraId="09F19A8F" w14:textId="3747A46D" w:rsidR="00983EC4" w:rsidRPr="00983EC4" w:rsidRDefault="0025775A" w:rsidP="00983EC4">
      <w:hyperlink r:id="rId21" w:history="1">
        <w:r w:rsidR="00983EC4" w:rsidRPr="00983EC4">
          <w:rPr>
            <w:rStyle w:val="Hyperlink"/>
          </w:rPr>
          <w:t>Remdesivir (VEKLURY)</w:t>
        </w:r>
      </w:hyperlink>
      <w:r w:rsidR="00983EC4" w:rsidRPr="00983EC4">
        <w:t xml:space="preserve"> is an FDA-approved antiviral therapy for use in adult and pediatric patients (12 years of age and older and weighing at least 40 kg) for the treatment of COVID-19 requiring hospitalization. There is evidence to support the </w:t>
      </w:r>
      <w:r w:rsidR="001131EC">
        <w:t xml:space="preserve">off-label </w:t>
      </w:r>
      <w:r w:rsidR="00983EC4" w:rsidRPr="00983EC4">
        <w:t xml:space="preserve">use of a series of three daily intravenous infusions of remdesivir (200 mg, 100 mg, 100 mg) for </w:t>
      </w:r>
      <w:r w:rsidR="00983EC4" w:rsidRPr="00983EC4">
        <w:rPr>
          <w:u w:val="single"/>
        </w:rPr>
        <w:t>outpatients</w:t>
      </w:r>
      <w:r w:rsidR="00983EC4" w:rsidRPr="00983EC4">
        <w:t xml:space="preserve"> with mild-to-moderate COVID-19 within seven days of symptom onset in patients at risk of progression to severe disease. Remdesivir is expected to retain activity against the Omicron variant. When </w:t>
      </w:r>
      <w:proofErr w:type="spellStart"/>
      <w:r w:rsidR="00983EC4" w:rsidRPr="00983EC4">
        <w:t>sotrovimab</w:t>
      </w:r>
      <w:proofErr w:type="spellEnd"/>
      <w:r w:rsidR="00983EC4" w:rsidRPr="00983EC4">
        <w:t xml:space="preserve"> is in short supply, providers should consider the use of a three-day course of remdesivir.</w:t>
      </w:r>
    </w:p>
    <w:p w14:paraId="14C31141" w14:textId="77777777" w:rsidR="00983EC4" w:rsidRDefault="00983EC4" w:rsidP="00983EC4">
      <w:pPr>
        <w:rPr>
          <w:u w:val="single"/>
        </w:rPr>
      </w:pPr>
    </w:p>
    <w:p w14:paraId="1A79B206" w14:textId="77777777" w:rsidR="00983EC4" w:rsidRPr="00983EC4" w:rsidRDefault="00983EC4" w:rsidP="00983EC4">
      <w:pPr>
        <w:rPr>
          <w:b/>
          <w:bCs/>
          <w:u w:val="single"/>
        </w:rPr>
      </w:pPr>
      <w:r w:rsidRPr="00983EC4">
        <w:rPr>
          <w:b/>
          <w:bCs/>
          <w:u w:val="single"/>
        </w:rPr>
        <w:t xml:space="preserve">Treatment of COVID-19 with oral antiviral therapy </w:t>
      </w:r>
    </w:p>
    <w:p w14:paraId="49AF47A0" w14:textId="77777777" w:rsidR="00983EC4" w:rsidRDefault="00983EC4" w:rsidP="00983EC4"/>
    <w:p w14:paraId="645BAED9" w14:textId="12ED69DB" w:rsidR="00983EC4" w:rsidRPr="00983EC4" w:rsidRDefault="00983EC4" w:rsidP="00983EC4">
      <w:r w:rsidRPr="00983EC4">
        <w:t xml:space="preserve">The oral antiviral therapy </w:t>
      </w:r>
      <w:hyperlink r:id="rId22" w:history="1">
        <w:proofErr w:type="spellStart"/>
        <w:r w:rsidRPr="00983EC4">
          <w:rPr>
            <w:rStyle w:val="Hyperlink"/>
          </w:rPr>
          <w:t>nirmatrelvir</w:t>
        </w:r>
        <w:proofErr w:type="spellEnd"/>
        <w:r w:rsidRPr="00983EC4">
          <w:rPr>
            <w:rStyle w:val="Hyperlink"/>
          </w:rPr>
          <w:t xml:space="preserve"> co-packaged with ritonavir (PAXLOVID)</w:t>
        </w:r>
      </w:hyperlink>
      <w:r w:rsidRPr="00983EC4">
        <w:t xml:space="preserve"> is available under FDA EUA for the treatment of mild-to-moderate COVID-19 in adult and pediatric patients (12 years of age and older </w:t>
      </w:r>
      <w:r w:rsidR="001C7AB9">
        <w:t xml:space="preserve">and </w:t>
      </w:r>
      <w:r w:rsidRPr="00983EC4">
        <w:t xml:space="preserve">weighing at least 40 kg).  </w:t>
      </w:r>
    </w:p>
    <w:p w14:paraId="2C4F9FFD" w14:textId="77777777" w:rsidR="00983EC4" w:rsidRDefault="00983EC4" w:rsidP="00983EC4"/>
    <w:p w14:paraId="05B968A2" w14:textId="77777777" w:rsidR="00983EC4" w:rsidRPr="00983EC4" w:rsidRDefault="00983EC4" w:rsidP="00983EC4">
      <w:proofErr w:type="spellStart"/>
      <w:r w:rsidRPr="00983EC4">
        <w:t>Nirmatrelvir</w:t>
      </w:r>
      <w:proofErr w:type="spellEnd"/>
      <w:r w:rsidRPr="00983EC4">
        <w:t xml:space="preserve"> is a protease inhibitor antiviral agent with activity against SARS-CoV-2. It is co-packaged with ritonavir, an HIV protease inhibitor used to increase </w:t>
      </w:r>
      <w:proofErr w:type="spellStart"/>
      <w:r w:rsidRPr="00983EC4">
        <w:t>nirmatrelvir</w:t>
      </w:r>
      <w:proofErr w:type="spellEnd"/>
      <w:r w:rsidRPr="00983EC4">
        <w:t xml:space="preserve"> plasma concentrations. Clinical trials have shown </w:t>
      </w:r>
      <w:proofErr w:type="spellStart"/>
      <w:r w:rsidRPr="00983EC4">
        <w:t>nirmatrelvir</w:t>
      </w:r>
      <w:proofErr w:type="spellEnd"/>
      <w:r w:rsidRPr="00983EC4">
        <w:t xml:space="preserve"> boosted with ritonavir (</w:t>
      </w:r>
      <w:proofErr w:type="spellStart"/>
      <w:r w:rsidRPr="00983EC4">
        <w:t>nirmatrelvir</w:t>
      </w:r>
      <w:proofErr w:type="spellEnd"/>
      <w:r w:rsidRPr="00983EC4">
        <w:t>/ritonavir) reduced the risk of COVID-19 related hospitalization or death by 89% compared to placebo in individuals with mild-to-moderate COVID-19 when given within five days of symptom onset.</w:t>
      </w:r>
    </w:p>
    <w:p w14:paraId="34EFB969" w14:textId="77777777" w:rsidR="00983EC4" w:rsidRDefault="00983EC4" w:rsidP="00983EC4"/>
    <w:p w14:paraId="6BA8D193" w14:textId="77777777" w:rsidR="00983EC4" w:rsidRDefault="00983EC4" w:rsidP="00983EC4">
      <w:r w:rsidRPr="00983EC4">
        <w:t xml:space="preserve">Based on FDA approval, </w:t>
      </w:r>
      <w:proofErr w:type="spellStart"/>
      <w:r w:rsidRPr="00983EC4">
        <w:t>nirmatrelvir</w:t>
      </w:r>
      <w:proofErr w:type="spellEnd"/>
      <w:r w:rsidRPr="00983EC4">
        <w:t xml:space="preserve">/ritonavir is indicated for treatment of COVID-19 in individuals who meet the following two criteria: </w:t>
      </w:r>
    </w:p>
    <w:p w14:paraId="467CEBD7" w14:textId="77777777" w:rsidR="00983EC4" w:rsidRPr="00983EC4" w:rsidRDefault="00983EC4" w:rsidP="00983EC4"/>
    <w:p w14:paraId="41705F43" w14:textId="77777777" w:rsidR="00983EC4" w:rsidRPr="00983EC4" w:rsidRDefault="00983EC4" w:rsidP="00983EC4">
      <w:pPr>
        <w:numPr>
          <w:ilvl w:val="0"/>
          <w:numId w:val="4"/>
        </w:numPr>
      </w:pPr>
      <w:r w:rsidRPr="00983EC4">
        <w:t>Individuals who have mild to moderate COVID-19 and a positive viral direct SARS-CoV-2 viral test (molecular or antigen)</w:t>
      </w:r>
    </w:p>
    <w:p w14:paraId="0F03641C" w14:textId="77777777" w:rsidR="00983EC4" w:rsidRPr="00983EC4" w:rsidRDefault="00983EC4" w:rsidP="00983EC4">
      <w:pPr>
        <w:numPr>
          <w:ilvl w:val="0"/>
          <w:numId w:val="4"/>
        </w:numPr>
      </w:pPr>
      <w:r w:rsidRPr="00983EC4">
        <w:t>Individuals who are at high risk for progression to severe COVID-19.</w:t>
      </w:r>
      <w:r w:rsidRPr="00983EC4">
        <w:rPr>
          <w:vertAlign w:val="superscript"/>
        </w:rPr>
        <w:t>1</w:t>
      </w:r>
    </w:p>
    <w:p w14:paraId="102446B0" w14:textId="77777777" w:rsidR="00983EC4" w:rsidRDefault="00983EC4" w:rsidP="00983EC4"/>
    <w:p w14:paraId="5AB89079" w14:textId="77777777" w:rsidR="00983EC4" w:rsidRPr="00983EC4" w:rsidRDefault="00983EC4" w:rsidP="00983EC4">
      <w:proofErr w:type="spellStart"/>
      <w:r w:rsidRPr="00983EC4">
        <w:lastRenderedPageBreak/>
        <w:t>Nirmatrelvir</w:t>
      </w:r>
      <w:proofErr w:type="spellEnd"/>
      <w:r w:rsidRPr="00983EC4">
        <w:t>/ritonavir should be taken as soon as possible after the diagnosis of COVID-19, and within five days of symptom onset.</w:t>
      </w:r>
    </w:p>
    <w:p w14:paraId="758B572F" w14:textId="77777777" w:rsidR="00983EC4" w:rsidRDefault="00983EC4" w:rsidP="00983EC4">
      <w:r>
        <w:br/>
      </w:r>
      <w:proofErr w:type="spellStart"/>
      <w:r w:rsidRPr="00983EC4">
        <w:t>Nirmatrelvir</w:t>
      </w:r>
      <w:proofErr w:type="spellEnd"/>
      <w:r w:rsidRPr="00983EC4">
        <w:t>/ritonavir is not authorized for treatment in patients requiring hospitalization due to COVID-19, pre-</w:t>
      </w:r>
      <w:proofErr w:type="gramStart"/>
      <w:r w:rsidRPr="00983EC4">
        <w:t>exposure</w:t>
      </w:r>
      <w:proofErr w:type="gramEnd"/>
      <w:r w:rsidRPr="00983EC4">
        <w:t xml:space="preserve"> or post-exposure prophylaxis or for use longer than five consecutive days. </w:t>
      </w:r>
    </w:p>
    <w:p w14:paraId="7D9C8F1F" w14:textId="77777777" w:rsidR="00983EC4" w:rsidRPr="00983EC4" w:rsidRDefault="00983EC4" w:rsidP="00983EC4"/>
    <w:p w14:paraId="7A2B8B93" w14:textId="78A0C8D2" w:rsidR="00983EC4" w:rsidRPr="00983EC4" w:rsidRDefault="00983EC4" w:rsidP="00983EC4">
      <w:r w:rsidRPr="00983EC4">
        <w:t xml:space="preserve">The dose of </w:t>
      </w:r>
      <w:proofErr w:type="spellStart"/>
      <w:r w:rsidRPr="00983EC4">
        <w:t>nirmatrelvir</w:t>
      </w:r>
      <w:proofErr w:type="spellEnd"/>
      <w:r w:rsidRPr="00983EC4">
        <w:t xml:space="preserve">/ritonavir is 300 mg of </w:t>
      </w:r>
      <w:proofErr w:type="spellStart"/>
      <w:r w:rsidRPr="00983EC4">
        <w:t>nirmatrelvir</w:t>
      </w:r>
      <w:proofErr w:type="spellEnd"/>
      <w:r w:rsidRPr="00983EC4">
        <w:t xml:space="preserve"> with 100 mg of ritonavir twice daily for five days. A single five-day course will be dispensed at one time in a blister pack.  </w:t>
      </w:r>
      <w:proofErr w:type="spellStart"/>
      <w:r w:rsidRPr="00983EC4">
        <w:t>Nirmatrelvir</w:t>
      </w:r>
      <w:proofErr w:type="spellEnd"/>
      <w:r w:rsidRPr="00983EC4">
        <w:t>/ritonavir should be avoided in individuals on medications not compatible with protease inhibitors or that cannot be temporarily held.</w:t>
      </w:r>
      <w:r w:rsidR="00BA0570">
        <w:t xml:space="preserve"> </w:t>
      </w:r>
      <w:proofErr w:type="spellStart"/>
      <w:r w:rsidR="009D77EC">
        <w:t>Nirmatrelvir</w:t>
      </w:r>
      <w:proofErr w:type="spellEnd"/>
      <w:r w:rsidR="009D77EC">
        <w:t xml:space="preserve">/ritonavir </w:t>
      </w:r>
      <w:r w:rsidR="00BF094A">
        <w:t xml:space="preserve">dose </w:t>
      </w:r>
      <w:r w:rsidR="009D77EC">
        <w:t xml:space="preserve">should be reduced for moderate renal impairment (eGFR ≥30 to &lt; 60 mL/min). </w:t>
      </w:r>
      <w:proofErr w:type="spellStart"/>
      <w:r w:rsidR="009D77EC">
        <w:t>Nirmatrelvir</w:t>
      </w:r>
      <w:proofErr w:type="spellEnd"/>
      <w:r w:rsidR="009D77EC">
        <w:t>/ritonavir is not recommended in patients with severe renal impairment (eGFR &lt; 30 mL/min) or severe hepatic impairment (Child-Pugh Class C).</w:t>
      </w:r>
    </w:p>
    <w:p w14:paraId="73967538" w14:textId="77777777" w:rsidR="00983EC4" w:rsidRDefault="00983EC4" w:rsidP="00983EC4">
      <w:bookmarkStart w:id="1" w:name="_Hlk91074484"/>
    </w:p>
    <w:p w14:paraId="6E1BD80E" w14:textId="28FA98DB" w:rsidR="00983EC4" w:rsidRPr="00983EC4" w:rsidRDefault="00983EC4" w:rsidP="00983EC4">
      <w:r w:rsidRPr="00983EC4">
        <w:t xml:space="preserve">Extremely limited allocations of </w:t>
      </w:r>
      <w:proofErr w:type="spellStart"/>
      <w:r w:rsidRPr="00983EC4">
        <w:t>nirmatrelvir</w:t>
      </w:r>
      <w:proofErr w:type="spellEnd"/>
      <w:r w:rsidRPr="00983EC4">
        <w:t xml:space="preserve">/ritonavir are expected </w:t>
      </w:r>
      <w:r w:rsidR="00FD542B">
        <w:t>through</w:t>
      </w:r>
      <w:r w:rsidRPr="00983EC4">
        <w:t xml:space="preserve"> early 2022. </w:t>
      </w:r>
    </w:p>
    <w:bookmarkEnd w:id="1"/>
    <w:p w14:paraId="3D3C94E3" w14:textId="77777777" w:rsidR="00983EC4" w:rsidRDefault="00983EC4" w:rsidP="00983EC4"/>
    <w:p w14:paraId="58288F6C" w14:textId="77777777" w:rsidR="00983EC4" w:rsidRPr="00983EC4" w:rsidRDefault="00983EC4" w:rsidP="00983EC4">
      <w:r w:rsidRPr="00983EC4">
        <w:t>A second oral antiviral therapy,</w:t>
      </w:r>
      <w:r w:rsidRPr="00983EC4" w:rsidDel="00C11D7A">
        <w:t xml:space="preserve"> </w:t>
      </w:r>
      <w:hyperlink r:id="rId23" w:history="1">
        <w:r w:rsidRPr="00983EC4">
          <w:rPr>
            <w:rStyle w:val="Hyperlink"/>
          </w:rPr>
          <w:t>molnupiravir</w:t>
        </w:r>
      </w:hyperlink>
      <w:r w:rsidRPr="00983EC4">
        <w:t xml:space="preserve">, is available under FDA EUA for the treatment of mild-to-moderate COVID-19 in adult patients.  </w:t>
      </w:r>
    </w:p>
    <w:p w14:paraId="2712FC9A" w14:textId="77777777" w:rsidR="00983EC4" w:rsidRDefault="00983EC4" w:rsidP="00983EC4"/>
    <w:p w14:paraId="1E7155AC" w14:textId="77777777" w:rsidR="00983EC4" w:rsidRPr="00983EC4" w:rsidRDefault="00983EC4" w:rsidP="00983EC4">
      <w:r w:rsidRPr="00983EC4">
        <w:t>Molnupiravir is a nucleoside analog antiviral agent active against SARS-CoV-2. Clinical trials have shown molnupiravir to reduce severe disease by 30% compared to placebo in individuals with mild-to-moderate COVID-19 when given within 5 days of symptom onset.</w:t>
      </w:r>
    </w:p>
    <w:p w14:paraId="7CF06406" w14:textId="77777777" w:rsidR="00983EC4" w:rsidRDefault="00983EC4" w:rsidP="00983EC4"/>
    <w:p w14:paraId="2D3A3164" w14:textId="77777777" w:rsidR="00983EC4" w:rsidRDefault="00983EC4" w:rsidP="00983EC4">
      <w:bookmarkStart w:id="2" w:name="_Hlk91173573"/>
      <w:r w:rsidRPr="00983EC4">
        <w:t xml:space="preserve">Molnupiravir is indicated for treatment of COVID-19 in individuals who meet the following </w:t>
      </w:r>
      <w:r w:rsidR="005B160A">
        <w:t>three</w:t>
      </w:r>
      <w:r w:rsidRPr="00983EC4">
        <w:t xml:space="preserve"> criteria: </w:t>
      </w:r>
    </w:p>
    <w:p w14:paraId="2C85A2DE" w14:textId="77777777" w:rsidR="00983EC4" w:rsidRPr="00983EC4" w:rsidRDefault="00983EC4" w:rsidP="00983EC4"/>
    <w:p w14:paraId="1DC5FAD0" w14:textId="77777777" w:rsidR="00983EC4" w:rsidRPr="00983EC4" w:rsidRDefault="00983EC4" w:rsidP="00983EC4">
      <w:pPr>
        <w:numPr>
          <w:ilvl w:val="0"/>
          <w:numId w:val="7"/>
        </w:numPr>
      </w:pPr>
      <w:r w:rsidRPr="00983EC4">
        <w:t>Individuals who have mild to moderate COVID-19 and a positive viral direct SARS-CoV-2 viral test (molecular or antigen)</w:t>
      </w:r>
    </w:p>
    <w:p w14:paraId="4F33C113" w14:textId="77777777" w:rsidR="00983EC4" w:rsidRPr="00983EC4" w:rsidRDefault="00983EC4" w:rsidP="00983EC4">
      <w:pPr>
        <w:numPr>
          <w:ilvl w:val="0"/>
          <w:numId w:val="7"/>
        </w:numPr>
      </w:pPr>
      <w:r w:rsidRPr="00983EC4">
        <w:t>Individuals who are at high risk for progression to severe COVID-19.</w:t>
      </w:r>
      <w:r w:rsidRPr="00983EC4">
        <w:rPr>
          <w:vertAlign w:val="superscript"/>
        </w:rPr>
        <w:t>1</w:t>
      </w:r>
    </w:p>
    <w:p w14:paraId="0F82C2A2" w14:textId="77777777" w:rsidR="005B160A" w:rsidRDefault="005B160A" w:rsidP="005B160A">
      <w:pPr>
        <w:numPr>
          <w:ilvl w:val="0"/>
          <w:numId w:val="7"/>
        </w:numPr>
      </w:pPr>
      <w:r>
        <w:t xml:space="preserve">Individuals for whom alternative COVID-19 treatment options authorized by FDA are not accessible or clinically appropriate. </w:t>
      </w:r>
    </w:p>
    <w:bookmarkEnd w:id="2"/>
    <w:p w14:paraId="26717454" w14:textId="77777777" w:rsidR="005B160A" w:rsidRDefault="005B160A" w:rsidP="005B160A">
      <w:pPr>
        <w:ind w:left="720"/>
      </w:pPr>
    </w:p>
    <w:p w14:paraId="69888C2F" w14:textId="77777777" w:rsidR="00983EC4" w:rsidRPr="00983EC4" w:rsidRDefault="00983EC4" w:rsidP="00983EC4">
      <w:r w:rsidRPr="00983EC4">
        <w:t>Molnupiravir should be taken as soon as possible following a diagnosis of COVID-19, and within five days of symptom onset.</w:t>
      </w:r>
    </w:p>
    <w:p w14:paraId="3676E6D4" w14:textId="77777777" w:rsidR="00983EC4" w:rsidRDefault="00983EC4" w:rsidP="00983EC4"/>
    <w:p w14:paraId="0A82213F" w14:textId="77777777" w:rsidR="00983EC4" w:rsidRPr="00983EC4" w:rsidRDefault="00983EC4" w:rsidP="00983EC4">
      <w:r w:rsidRPr="00983EC4">
        <w:t xml:space="preserve">Molnupiravir is not authorized for treatment in patients less than 18 year of age, patients requiring hospitalization due to COVID-19, as pre-exposure or post-exposure prophylaxis or for use longer than five consecutive days. </w:t>
      </w:r>
    </w:p>
    <w:p w14:paraId="3D421347" w14:textId="77777777" w:rsidR="00983EC4" w:rsidRPr="00983EC4" w:rsidRDefault="00983EC4" w:rsidP="00983EC4"/>
    <w:p w14:paraId="2AEA56C6" w14:textId="77777777" w:rsidR="00983EC4" w:rsidRPr="00983EC4" w:rsidRDefault="00983EC4" w:rsidP="00983EC4">
      <w:r w:rsidRPr="00983EC4">
        <w:t xml:space="preserve">The dose of molnupiravir is 800 mg (four 200 mg capsules) twice daily for five days. A single course of 40 pills will be dispensed at one time. </w:t>
      </w:r>
    </w:p>
    <w:p w14:paraId="7B0FA472" w14:textId="77777777" w:rsidR="00983EC4" w:rsidRDefault="00983EC4" w:rsidP="00983EC4"/>
    <w:p w14:paraId="2224A44C" w14:textId="5CEA5007" w:rsidR="00983EC4" w:rsidRPr="00983EC4" w:rsidRDefault="00983EC4" w:rsidP="00983EC4">
      <w:r w:rsidRPr="00983EC4">
        <w:t>The use of molnupiravir is not recommended during pregnancy. Individuals of childbearing potential should be advised to use effective contraception correctly and consistently, as applicable, for the duration of treatment and for four days after the last dose of molnupiravir.</w:t>
      </w:r>
      <w:r w:rsidR="00D83C29">
        <w:t xml:space="preserve"> </w:t>
      </w:r>
      <w:r w:rsidRPr="00983EC4">
        <w:t xml:space="preserve">Breastfeeding is not recommended during treatment and for four days after the last dose of molnupiravir. A lactating individual may consider interrupting breastfeeding and pumping and discarding breast milk during </w:t>
      </w:r>
      <w:r w:rsidRPr="00983EC4">
        <w:lastRenderedPageBreak/>
        <w:t>treatment and for four days after the last dose of molnupiravir.</w:t>
      </w:r>
      <w:r w:rsidR="001C0FEE">
        <w:t xml:space="preserve"> Sexually active male individuals with partners of childbearing potential should be advised to use a reliable method of contraception correctly and consistently during treatment and for at least 3 months after the last dose of molnupiravir.</w:t>
      </w:r>
    </w:p>
    <w:p w14:paraId="72BFCD40" w14:textId="77777777" w:rsidR="00983EC4" w:rsidRPr="00983EC4" w:rsidRDefault="00983EC4" w:rsidP="00983EC4"/>
    <w:p w14:paraId="433201B1" w14:textId="42AACC64" w:rsidR="00983EC4" w:rsidRDefault="00983EC4" w:rsidP="00983EC4">
      <w:r w:rsidRPr="00983EC4">
        <w:t xml:space="preserve">Limited allocations of molnupiravir are expected </w:t>
      </w:r>
      <w:r w:rsidR="00FD542B">
        <w:t xml:space="preserve">through early 2022. </w:t>
      </w:r>
    </w:p>
    <w:p w14:paraId="7077BD70" w14:textId="77777777" w:rsidR="00FD542B" w:rsidRPr="00983EC4" w:rsidRDefault="00FD542B" w:rsidP="00983EC4"/>
    <w:p w14:paraId="3CAB5F3C" w14:textId="77777777" w:rsidR="00983EC4" w:rsidRPr="00983EC4" w:rsidRDefault="00983EC4" w:rsidP="00983EC4">
      <w:r w:rsidRPr="00983EC4">
        <w:t xml:space="preserve">Prescribers of </w:t>
      </w:r>
      <w:proofErr w:type="spellStart"/>
      <w:r w:rsidRPr="00983EC4">
        <w:t>nirmatrelvir</w:t>
      </w:r>
      <w:proofErr w:type="spellEnd"/>
      <w:r w:rsidRPr="00983EC4">
        <w:t xml:space="preserve">/ritonavir or </w:t>
      </w:r>
      <w:proofErr w:type="spellStart"/>
      <w:r w:rsidRPr="00983EC4">
        <w:t>molnupiravir</w:t>
      </w:r>
      <w:proofErr w:type="spellEnd"/>
      <w:r w:rsidRPr="00983EC4">
        <w:t xml:space="preserve"> must comply with the conditions of any EUA which is issued, and particularly should discuss potential risks and benefits of oral antiviral therapy with their patients prior to prescribing.</w:t>
      </w:r>
    </w:p>
    <w:p w14:paraId="157149DB" w14:textId="77777777" w:rsidR="00983EC4" w:rsidRDefault="00983EC4" w:rsidP="00983EC4">
      <w:pPr>
        <w:rPr>
          <w:u w:val="single"/>
        </w:rPr>
      </w:pPr>
    </w:p>
    <w:p w14:paraId="362B0DDB" w14:textId="77777777" w:rsidR="00983EC4" w:rsidRPr="00983EC4" w:rsidRDefault="00983EC4" w:rsidP="00983EC4">
      <w:pPr>
        <w:rPr>
          <w:b/>
          <w:bCs/>
          <w:u w:val="single"/>
        </w:rPr>
      </w:pPr>
      <w:r w:rsidRPr="00983EC4">
        <w:rPr>
          <w:b/>
          <w:bCs/>
          <w:u w:val="single"/>
        </w:rPr>
        <w:t>Recommendations</w:t>
      </w:r>
    </w:p>
    <w:p w14:paraId="2CBF6659" w14:textId="77777777" w:rsidR="00983EC4" w:rsidRDefault="00983EC4" w:rsidP="00983EC4"/>
    <w:p w14:paraId="45C62B5D" w14:textId="330295DE" w:rsidR="00983EC4" w:rsidRPr="00983EC4" w:rsidRDefault="00983EC4" w:rsidP="00983EC4">
      <w:r w:rsidRPr="00983EC4">
        <w:t xml:space="preserve">Monoclonal antibody therapy </w:t>
      </w:r>
      <w:r w:rsidR="00D53820">
        <w:t>(</w:t>
      </w:r>
      <w:proofErr w:type="spellStart"/>
      <w:r w:rsidR="00D53820">
        <w:t>sotrovimab</w:t>
      </w:r>
      <w:proofErr w:type="spellEnd"/>
      <w:r w:rsidR="00D53820">
        <w:t xml:space="preserve">) and </w:t>
      </w:r>
      <w:proofErr w:type="spellStart"/>
      <w:r w:rsidR="00D53820">
        <w:t>nirmatrelvir</w:t>
      </w:r>
      <w:proofErr w:type="spellEnd"/>
      <w:r w:rsidR="00D53820">
        <w:t xml:space="preserve">/ritonavir </w:t>
      </w:r>
      <w:r w:rsidRPr="00983EC4">
        <w:t xml:space="preserve">should be prioritized for individuals with </w:t>
      </w:r>
      <w:r w:rsidR="00FD542B">
        <w:t xml:space="preserve">the highest risk </w:t>
      </w:r>
      <w:r w:rsidR="00D53820">
        <w:t xml:space="preserve">(Tier 1) </w:t>
      </w:r>
      <w:r w:rsidR="00FD542B">
        <w:t xml:space="preserve">for severe </w:t>
      </w:r>
      <w:r w:rsidRPr="00983EC4">
        <w:t>COVID-19</w:t>
      </w:r>
      <w:r w:rsidR="0030083D">
        <w:t xml:space="preserve"> based on four elements</w:t>
      </w:r>
      <w:r w:rsidR="00FD542B">
        <w:t>: age, vaccination status,</w:t>
      </w:r>
      <w:r w:rsidRPr="00983EC4">
        <w:t xml:space="preserve"> </w:t>
      </w:r>
      <w:r w:rsidR="00FD542B">
        <w:t>immune status and other clinical risk factors</w:t>
      </w:r>
      <w:r w:rsidR="00D53820">
        <w:t xml:space="preserve">, consistent with </w:t>
      </w:r>
      <w:hyperlink r:id="rId24" w:history="1">
        <w:r w:rsidR="00D53820" w:rsidRPr="00D53820">
          <w:rPr>
            <w:rStyle w:val="Hyperlink"/>
          </w:rPr>
          <w:t xml:space="preserve">National Institutes of Health </w:t>
        </w:r>
        <w:r w:rsidR="00D53820">
          <w:rPr>
            <w:rStyle w:val="Hyperlink"/>
          </w:rPr>
          <w:t xml:space="preserve">COVID-19 treatment </w:t>
        </w:r>
        <w:r w:rsidR="00D53820" w:rsidRPr="00D53820">
          <w:rPr>
            <w:rStyle w:val="Hyperlink"/>
          </w:rPr>
          <w:t>guidelines</w:t>
        </w:r>
      </w:hyperlink>
      <w:r w:rsidR="00FD542B">
        <w:t xml:space="preserve"> </w:t>
      </w:r>
      <w:r w:rsidRPr="00983EC4">
        <w:t xml:space="preserve">(Table). If </w:t>
      </w:r>
      <w:proofErr w:type="spellStart"/>
      <w:r w:rsidRPr="00983EC4">
        <w:t>mAb</w:t>
      </w:r>
      <w:proofErr w:type="spellEnd"/>
      <w:r w:rsidRPr="00983EC4">
        <w:t xml:space="preserve"> therapy</w:t>
      </w:r>
      <w:r w:rsidR="00D53820">
        <w:t xml:space="preserve"> (</w:t>
      </w:r>
      <w:proofErr w:type="spellStart"/>
      <w:r w:rsidR="00D53820">
        <w:t>sotrovimab</w:t>
      </w:r>
      <w:proofErr w:type="spellEnd"/>
      <w:r w:rsidR="00D53820">
        <w:t>)</w:t>
      </w:r>
      <w:r w:rsidR="00C31868">
        <w:t>, remdesivir</w:t>
      </w:r>
      <w:r w:rsidR="00D53820">
        <w:t xml:space="preserve"> or </w:t>
      </w:r>
      <w:proofErr w:type="spellStart"/>
      <w:r w:rsidR="00D53820">
        <w:t>nirmatrelvir</w:t>
      </w:r>
      <w:proofErr w:type="spellEnd"/>
      <w:r w:rsidR="00D53820">
        <w:t>/ritonavir</w:t>
      </w:r>
      <w:r w:rsidRPr="00983EC4">
        <w:t xml:space="preserve"> is indicated </w:t>
      </w:r>
      <w:r w:rsidR="00D53820">
        <w:t xml:space="preserve">for highest risk individuals </w:t>
      </w:r>
      <w:r w:rsidRPr="00983EC4">
        <w:t xml:space="preserve">but not available, treatment with </w:t>
      </w:r>
      <w:r w:rsidR="00D53820">
        <w:t>molnupiravir</w:t>
      </w:r>
      <w:r w:rsidRPr="00983EC4">
        <w:t xml:space="preserve"> should be considered. Individuals with COVID-19 and risk factors for severe disease</w:t>
      </w:r>
      <w:r w:rsidR="00D73875">
        <w:t xml:space="preserve"> who</w:t>
      </w:r>
      <w:r w:rsidRPr="00983EC4">
        <w:t xml:space="preserve"> </w:t>
      </w:r>
      <w:r w:rsidR="00D53820">
        <w:t xml:space="preserve">are not classified as highest risk (Tier 1) and </w:t>
      </w:r>
      <w:r w:rsidRPr="00983EC4">
        <w:t xml:space="preserve">who are within 5 days of the onset of symptoms should be treated with remdesivir or </w:t>
      </w:r>
      <w:proofErr w:type="spellStart"/>
      <w:r w:rsidRPr="00983EC4">
        <w:t>molnupiravir</w:t>
      </w:r>
      <w:proofErr w:type="spellEnd"/>
      <w:r w:rsidR="009D77EC">
        <w:t xml:space="preserve"> if remdesivir is not available</w:t>
      </w:r>
      <w:r w:rsidRPr="00983EC4">
        <w:t xml:space="preserve">.  </w:t>
      </w:r>
    </w:p>
    <w:p w14:paraId="5E7A701E" w14:textId="77777777" w:rsidR="00983EC4" w:rsidRDefault="00983EC4" w:rsidP="00983EC4"/>
    <w:p w14:paraId="1A2C06DE" w14:textId="77777777" w:rsidR="00983EC4" w:rsidRPr="00983EC4" w:rsidRDefault="00983EC4" w:rsidP="00983EC4">
      <w:pPr>
        <w:rPr>
          <w:b/>
          <w:bCs/>
        </w:rPr>
      </w:pPr>
      <w:r w:rsidRPr="00983EC4">
        <w:rPr>
          <w:b/>
          <w:bCs/>
        </w:rPr>
        <w:t xml:space="preserve">Table: Treatment recommendations for mild to moderate COVID-19 when supplies of </w:t>
      </w:r>
      <w:proofErr w:type="spellStart"/>
      <w:r w:rsidRPr="00983EC4">
        <w:rPr>
          <w:b/>
          <w:bCs/>
        </w:rPr>
        <w:t>sotrovimab</w:t>
      </w:r>
      <w:proofErr w:type="spellEnd"/>
      <w:r w:rsidRPr="00983EC4">
        <w:rPr>
          <w:b/>
          <w:bCs/>
        </w:rPr>
        <w:t xml:space="preserve"> and oral antivirals are limited.</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267"/>
        <w:gridCol w:w="2177"/>
        <w:gridCol w:w="2155"/>
      </w:tblGrid>
      <w:tr w:rsidR="00171FEC" w:rsidRPr="00983EC4" w14:paraId="7D303A38" w14:textId="77777777" w:rsidTr="00C739BD">
        <w:trPr>
          <w:trHeight w:val="386"/>
          <w:jc w:val="center"/>
        </w:trPr>
        <w:tc>
          <w:tcPr>
            <w:tcW w:w="5845" w:type="dxa"/>
            <w:gridSpan w:val="2"/>
            <w:tcBorders>
              <w:bottom w:val="single" w:sz="4" w:space="0" w:color="auto"/>
              <w:right w:val="nil"/>
            </w:tcBorders>
          </w:tcPr>
          <w:p w14:paraId="26102F91" w14:textId="77777777" w:rsidR="00171FEC" w:rsidRPr="0021006D" w:rsidRDefault="00171FEC" w:rsidP="00983EC4">
            <w:pPr>
              <w:rPr>
                <w:sz w:val="22"/>
                <w:szCs w:val="22"/>
              </w:rPr>
            </w:pPr>
          </w:p>
        </w:tc>
        <w:tc>
          <w:tcPr>
            <w:tcW w:w="4337" w:type="dxa"/>
            <w:gridSpan w:val="2"/>
            <w:tcBorders>
              <w:left w:val="nil"/>
            </w:tcBorders>
            <w:shd w:val="clear" w:color="auto" w:fill="auto"/>
            <w:vAlign w:val="center"/>
          </w:tcPr>
          <w:p w14:paraId="55FD9B00" w14:textId="77777777" w:rsidR="00171FEC" w:rsidRPr="0021006D" w:rsidRDefault="00171FEC" w:rsidP="00983EC4">
            <w:pPr>
              <w:rPr>
                <w:sz w:val="22"/>
                <w:szCs w:val="22"/>
              </w:rPr>
            </w:pPr>
            <w:r w:rsidRPr="0021006D">
              <w:rPr>
                <w:sz w:val="22"/>
                <w:szCs w:val="22"/>
              </w:rPr>
              <w:t>Recommendation</w:t>
            </w:r>
          </w:p>
        </w:tc>
      </w:tr>
      <w:tr w:rsidR="007307E4" w:rsidRPr="00983EC4" w14:paraId="1D56EAC0" w14:textId="77777777" w:rsidTr="00DE12BA">
        <w:trPr>
          <w:trHeight w:val="588"/>
          <w:jc w:val="center"/>
        </w:trPr>
        <w:tc>
          <w:tcPr>
            <w:tcW w:w="0" w:type="auto"/>
            <w:tcBorders>
              <w:top w:val="single" w:sz="4" w:space="0" w:color="auto"/>
            </w:tcBorders>
          </w:tcPr>
          <w:p w14:paraId="3E3673C6" w14:textId="77777777" w:rsidR="00171FEC" w:rsidRPr="0021006D" w:rsidRDefault="00171FEC" w:rsidP="00983EC4">
            <w:pPr>
              <w:rPr>
                <w:sz w:val="22"/>
                <w:szCs w:val="22"/>
              </w:rPr>
            </w:pPr>
            <w:r w:rsidRPr="0021006D">
              <w:rPr>
                <w:sz w:val="22"/>
                <w:szCs w:val="22"/>
              </w:rPr>
              <w:t>Tier</w:t>
            </w:r>
          </w:p>
        </w:tc>
        <w:tc>
          <w:tcPr>
            <w:tcW w:w="5285" w:type="dxa"/>
            <w:tcBorders>
              <w:top w:val="single" w:sz="4" w:space="0" w:color="auto"/>
            </w:tcBorders>
            <w:shd w:val="clear" w:color="auto" w:fill="auto"/>
            <w:vAlign w:val="center"/>
          </w:tcPr>
          <w:p w14:paraId="4A044F77" w14:textId="77777777" w:rsidR="00171FEC" w:rsidRPr="0021006D" w:rsidRDefault="00171FEC" w:rsidP="00983EC4">
            <w:pPr>
              <w:rPr>
                <w:sz w:val="22"/>
                <w:szCs w:val="22"/>
                <w:vertAlign w:val="superscript"/>
              </w:rPr>
            </w:pPr>
            <w:r w:rsidRPr="0021006D">
              <w:rPr>
                <w:sz w:val="22"/>
                <w:szCs w:val="22"/>
              </w:rPr>
              <w:t>Patient characteristics</w:t>
            </w:r>
            <w:r w:rsidR="009F5E7E" w:rsidRPr="0021006D">
              <w:rPr>
                <w:sz w:val="22"/>
              </w:rPr>
              <w:t>*</w:t>
            </w:r>
          </w:p>
        </w:tc>
        <w:tc>
          <w:tcPr>
            <w:tcW w:w="2177" w:type="dxa"/>
            <w:shd w:val="clear" w:color="auto" w:fill="auto"/>
            <w:vAlign w:val="center"/>
          </w:tcPr>
          <w:p w14:paraId="22696E96" w14:textId="450F32F5" w:rsidR="00171FEC" w:rsidRPr="0021006D" w:rsidRDefault="00171FEC" w:rsidP="00983EC4">
            <w:pPr>
              <w:rPr>
                <w:sz w:val="22"/>
                <w:szCs w:val="22"/>
              </w:rPr>
            </w:pPr>
            <w:r w:rsidRPr="0021006D">
              <w:rPr>
                <w:sz w:val="22"/>
                <w:szCs w:val="22"/>
              </w:rPr>
              <w:t>Within 5 days of symptom onset</w:t>
            </w:r>
            <w:r w:rsidR="001131EC" w:rsidRPr="0021006D">
              <w:rPr>
                <w:sz w:val="22"/>
                <w:szCs w:val="22"/>
              </w:rPr>
              <w:t>***</w:t>
            </w:r>
          </w:p>
        </w:tc>
        <w:tc>
          <w:tcPr>
            <w:tcW w:w="2160" w:type="dxa"/>
            <w:shd w:val="clear" w:color="auto" w:fill="auto"/>
            <w:vAlign w:val="center"/>
          </w:tcPr>
          <w:p w14:paraId="41C4289D" w14:textId="77777777" w:rsidR="00171FEC" w:rsidRPr="0021006D" w:rsidRDefault="00171FEC" w:rsidP="00983EC4">
            <w:pPr>
              <w:rPr>
                <w:sz w:val="22"/>
                <w:szCs w:val="22"/>
              </w:rPr>
            </w:pPr>
            <w:r w:rsidRPr="0021006D">
              <w:rPr>
                <w:sz w:val="22"/>
                <w:szCs w:val="22"/>
              </w:rPr>
              <w:t>Between 5 – 10 days of symptom onset</w:t>
            </w:r>
          </w:p>
        </w:tc>
      </w:tr>
      <w:tr w:rsidR="00EF1364" w:rsidRPr="00983EC4" w14:paraId="141574EA" w14:textId="77777777" w:rsidTr="00DE12BA">
        <w:trPr>
          <w:trHeight w:val="600"/>
          <w:jc w:val="center"/>
        </w:trPr>
        <w:tc>
          <w:tcPr>
            <w:tcW w:w="0" w:type="auto"/>
            <w:vMerge w:val="restart"/>
            <w:vAlign w:val="center"/>
          </w:tcPr>
          <w:p w14:paraId="1E33FBD8" w14:textId="2C742790" w:rsidR="00EF1364" w:rsidRPr="0021006D" w:rsidRDefault="00EF1364">
            <w:pPr>
              <w:jc w:val="center"/>
              <w:rPr>
                <w:sz w:val="22"/>
                <w:szCs w:val="22"/>
              </w:rPr>
            </w:pPr>
            <w:r w:rsidRPr="0021006D">
              <w:rPr>
                <w:sz w:val="22"/>
                <w:szCs w:val="22"/>
              </w:rPr>
              <w:t>1</w:t>
            </w:r>
          </w:p>
          <w:p w14:paraId="4B515CBE" w14:textId="7F1E8EBC" w:rsidR="00EF1364" w:rsidRPr="0021006D" w:rsidRDefault="00EF1364" w:rsidP="00983EC4">
            <w:pPr>
              <w:rPr>
                <w:sz w:val="22"/>
                <w:szCs w:val="22"/>
              </w:rPr>
            </w:pPr>
          </w:p>
          <w:p w14:paraId="2A7887D1" w14:textId="7AF9A7DB" w:rsidR="00EF1364" w:rsidRPr="0021006D" w:rsidRDefault="00EF1364">
            <w:pPr>
              <w:rPr>
                <w:sz w:val="22"/>
                <w:szCs w:val="22"/>
              </w:rPr>
            </w:pPr>
          </w:p>
        </w:tc>
        <w:tc>
          <w:tcPr>
            <w:tcW w:w="5285" w:type="dxa"/>
            <w:shd w:val="clear" w:color="auto" w:fill="auto"/>
            <w:vAlign w:val="center"/>
          </w:tcPr>
          <w:p w14:paraId="6CFF1C03" w14:textId="77777777" w:rsidR="00EF1364" w:rsidRPr="0021006D" w:rsidRDefault="00EF1364" w:rsidP="00A30E69">
            <w:pPr>
              <w:rPr>
                <w:sz w:val="22"/>
                <w:szCs w:val="22"/>
              </w:rPr>
            </w:pPr>
            <w:r w:rsidRPr="0021006D">
              <w:rPr>
                <w:sz w:val="22"/>
                <w:szCs w:val="22"/>
              </w:rPr>
              <w:t>Moderate to severe immunosuppression</w:t>
            </w:r>
          </w:p>
        </w:tc>
        <w:tc>
          <w:tcPr>
            <w:tcW w:w="2177" w:type="dxa"/>
            <w:vMerge w:val="restart"/>
            <w:shd w:val="clear" w:color="auto" w:fill="auto"/>
            <w:vAlign w:val="center"/>
          </w:tcPr>
          <w:p w14:paraId="11E29D0C" w14:textId="77777777" w:rsidR="00EF1364" w:rsidRPr="0021006D" w:rsidRDefault="00EF1364" w:rsidP="00983EC4">
            <w:pPr>
              <w:rPr>
                <w:sz w:val="22"/>
                <w:szCs w:val="22"/>
              </w:rPr>
            </w:pPr>
            <w:r w:rsidRPr="0021006D">
              <w:rPr>
                <w:sz w:val="22"/>
                <w:szCs w:val="22"/>
              </w:rPr>
              <w:t xml:space="preserve">Monoclonal antibody or remdesivir or </w:t>
            </w:r>
            <w:proofErr w:type="spellStart"/>
            <w:r w:rsidRPr="0021006D">
              <w:rPr>
                <w:sz w:val="22"/>
                <w:szCs w:val="22"/>
              </w:rPr>
              <w:t>nirmatrelvir</w:t>
            </w:r>
            <w:proofErr w:type="spellEnd"/>
            <w:r w:rsidRPr="0021006D">
              <w:rPr>
                <w:sz w:val="22"/>
                <w:szCs w:val="22"/>
              </w:rPr>
              <w:t>/ritonavir. If these therapies are not available, molnupiravir may be used.</w:t>
            </w:r>
          </w:p>
        </w:tc>
        <w:tc>
          <w:tcPr>
            <w:tcW w:w="2160" w:type="dxa"/>
            <w:vMerge w:val="restart"/>
            <w:shd w:val="clear" w:color="auto" w:fill="auto"/>
            <w:vAlign w:val="center"/>
          </w:tcPr>
          <w:p w14:paraId="3DAF95E0" w14:textId="77777777" w:rsidR="00EF1364" w:rsidRPr="0021006D" w:rsidRDefault="00EF1364" w:rsidP="00983EC4">
            <w:pPr>
              <w:rPr>
                <w:sz w:val="22"/>
                <w:szCs w:val="22"/>
              </w:rPr>
            </w:pPr>
            <w:r w:rsidRPr="0021006D">
              <w:rPr>
                <w:sz w:val="22"/>
                <w:szCs w:val="22"/>
              </w:rPr>
              <w:t>Monoclonal antibody</w:t>
            </w:r>
          </w:p>
        </w:tc>
      </w:tr>
      <w:tr w:rsidR="00EF1364" w:rsidRPr="00983EC4" w14:paraId="186DE006" w14:textId="77777777" w:rsidTr="00DE12BA">
        <w:trPr>
          <w:trHeight w:val="600"/>
          <w:jc w:val="center"/>
        </w:trPr>
        <w:tc>
          <w:tcPr>
            <w:tcW w:w="0" w:type="auto"/>
            <w:vMerge/>
          </w:tcPr>
          <w:p w14:paraId="1632F3E0" w14:textId="1D714A16" w:rsidR="00EF1364" w:rsidRDefault="00EF1364" w:rsidP="00924791">
            <w:pPr>
              <w:rPr>
                <w:rFonts w:ascii="Calibri" w:hAnsi="Calibri"/>
                <w:sz w:val="22"/>
                <w:szCs w:val="22"/>
              </w:rPr>
            </w:pPr>
          </w:p>
        </w:tc>
        <w:tc>
          <w:tcPr>
            <w:tcW w:w="5285" w:type="dxa"/>
            <w:shd w:val="clear" w:color="auto" w:fill="auto"/>
            <w:vAlign w:val="center"/>
          </w:tcPr>
          <w:p w14:paraId="3BC29B10" w14:textId="2D885A26" w:rsidR="00EF1364" w:rsidRPr="0021006D" w:rsidRDefault="00EF1364" w:rsidP="00A30E69">
            <w:pPr>
              <w:rPr>
                <w:sz w:val="22"/>
                <w:szCs w:val="22"/>
              </w:rPr>
            </w:pPr>
            <w:r w:rsidRPr="0021006D">
              <w:rPr>
                <w:sz w:val="22"/>
                <w:szCs w:val="22"/>
              </w:rPr>
              <w:t>Not fully vaccinated and age ≥ 75 years</w:t>
            </w:r>
          </w:p>
        </w:tc>
        <w:tc>
          <w:tcPr>
            <w:tcW w:w="2177" w:type="dxa"/>
            <w:vMerge/>
            <w:shd w:val="clear" w:color="auto" w:fill="auto"/>
            <w:vAlign w:val="center"/>
          </w:tcPr>
          <w:p w14:paraId="33C3819D" w14:textId="77777777" w:rsidR="00EF1364" w:rsidRPr="00B848D0" w:rsidRDefault="00EF1364" w:rsidP="00983EC4">
            <w:pPr>
              <w:rPr>
                <w:rFonts w:ascii="Calibri" w:hAnsi="Calibri"/>
                <w:sz w:val="22"/>
                <w:szCs w:val="22"/>
              </w:rPr>
            </w:pPr>
          </w:p>
        </w:tc>
        <w:tc>
          <w:tcPr>
            <w:tcW w:w="2160" w:type="dxa"/>
            <w:vMerge/>
            <w:shd w:val="clear" w:color="auto" w:fill="auto"/>
            <w:vAlign w:val="center"/>
          </w:tcPr>
          <w:p w14:paraId="6E5044D7" w14:textId="77777777" w:rsidR="00EF1364" w:rsidRPr="00B848D0" w:rsidRDefault="00EF1364" w:rsidP="00983EC4">
            <w:pPr>
              <w:rPr>
                <w:rFonts w:ascii="Calibri" w:hAnsi="Calibri"/>
                <w:sz w:val="22"/>
                <w:szCs w:val="22"/>
              </w:rPr>
            </w:pPr>
          </w:p>
        </w:tc>
      </w:tr>
      <w:tr w:rsidR="00EF1364" w:rsidRPr="00983EC4" w14:paraId="0679B8DC" w14:textId="77777777" w:rsidTr="00DE12BA">
        <w:trPr>
          <w:trHeight w:val="600"/>
          <w:jc w:val="center"/>
        </w:trPr>
        <w:tc>
          <w:tcPr>
            <w:tcW w:w="0" w:type="auto"/>
            <w:vMerge/>
          </w:tcPr>
          <w:p w14:paraId="4A37F9A8" w14:textId="711172CB" w:rsidR="00EF1364" w:rsidRDefault="00EF1364" w:rsidP="00924791">
            <w:pPr>
              <w:rPr>
                <w:rFonts w:ascii="Calibri" w:hAnsi="Calibri"/>
                <w:sz w:val="22"/>
                <w:szCs w:val="22"/>
              </w:rPr>
            </w:pPr>
          </w:p>
        </w:tc>
        <w:tc>
          <w:tcPr>
            <w:tcW w:w="5285" w:type="dxa"/>
            <w:shd w:val="clear" w:color="auto" w:fill="auto"/>
            <w:vAlign w:val="center"/>
          </w:tcPr>
          <w:p w14:paraId="607173B4" w14:textId="3E22215C" w:rsidR="00EF1364" w:rsidRPr="0021006D" w:rsidRDefault="00EF1364" w:rsidP="00A30E69">
            <w:pPr>
              <w:rPr>
                <w:sz w:val="22"/>
                <w:szCs w:val="22"/>
              </w:rPr>
            </w:pPr>
            <w:r w:rsidRPr="0021006D">
              <w:rPr>
                <w:sz w:val="22"/>
                <w:szCs w:val="22"/>
              </w:rPr>
              <w:t>Not fully vaccinated and age ≥ 65 years plus additional risk factor</w:t>
            </w:r>
          </w:p>
        </w:tc>
        <w:tc>
          <w:tcPr>
            <w:tcW w:w="2177" w:type="dxa"/>
            <w:vMerge/>
            <w:shd w:val="clear" w:color="auto" w:fill="auto"/>
            <w:vAlign w:val="center"/>
          </w:tcPr>
          <w:p w14:paraId="7B7099C7" w14:textId="77777777" w:rsidR="00EF1364" w:rsidRPr="00B848D0" w:rsidRDefault="00EF1364" w:rsidP="00983EC4">
            <w:pPr>
              <w:rPr>
                <w:rFonts w:ascii="Calibri" w:hAnsi="Calibri"/>
                <w:sz w:val="22"/>
                <w:szCs w:val="22"/>
              </w:rPr>
            </w:pPr>
          </w:p>
        </w:tc>
        <w:tc>
          <w:tcPr>
            <w:tcW w:w="2160" w:type="dxa"/>
            <w:vMerge/>
            <w:shd w:val="clear" w:color="auto" w:fill="auto"/>
            <w:vAlign w:val="center"/>
          </w:tcPr>
          <w:p w14:paraId="29C85BE2" w14:textId="77777777" w:rsidR="00EF1364" w:rsidRPr="00B848D0" w:rsidRDefault="00EF1364" w:rsidP="00983EC4">
            <w:pPr>
              <w:rPr>
                <w:rFonts w:ascii="Calibri" w:hAnsi="Calibri"/>
                <w:sz w:val="22"/>
                <w:szCs w:val="22"/>
              </w:rPr>
            </w:pPr>
          </w:p>
        </w:tc>
      </w:tr>
      <w:tr w:rsidR="00EF1364" w:rsidRPr="00983EC4" w14:paraId="07E6FBC9" w14:textId="77777777" w:rsidTr="00DE12BA">
        <w:trPr>
          <w:trHeight w:val="600"/>
          <w:jc w:val="center"/>
        </w:trPr>
        <w:tc>
          <w:tcPr>
            <w:tcW w:w="0" w:type="auto"/>
            <w:vMerge w:val="restart"/>
            <w:vAlign w:val="center"/>
          </w:tcPr>
          <w:p w14:paraId="70780E52" w14:textId="5EA4CE35" w:rsidR="00EF1364" w:rsidRPr="00C739BD" w:rsidRDefault="00EF1364">
            <w:pPr>
              <w:jc w:val="center"/>
              <w:rPr>
                <w:sz w:val="22"/>
                <w:szCs w:val="22"/>
              </w:rPr>
            </w:pPr>
            <w:r w:rsidRPr="00C739BD">
              <w:rPr>
                <w:sz w:val="22"/>
                <w:szCs w:val="22"/>
              </w:rPr>
              <w:t>2</w:t>
            </w:r>
          </w:p>
          <w:p w14:paraId="06B5758A" w14:textId="7387A98F" w:rsidR="00EF1364" w:rsidRPr="00C739BD" w:rsidRDefault="00EF1364">
            <w:pPr>
              <w:rPr>
                <w:sz w:val="22"/>
                <w:szCs w:val="22"/>
              </w:rPr>
            </w:pPr>
          </w:p>
        </w:tc>
        <w:tc>
          <w:tcPr>
            <w:tcW w:w="5285" w:type="dxa"/>
            <w:shd w:val="clear" w:color="auto" w:fill="auto"/>
            <w:vAlign w:val="center"/>
          </w:tcPr>
          <w:p w14:paraId="7A6AE9A6" w14:textId="3E66A641" w:rsidR="00EF1364" w:rsidRPr="0021006D" w:rsidRDefault="00EF1364" w:rsidP="00A30E69">
            <w:pPr>
              <w:rPr>
                <w:sz w:val="22"/>
                <w:szCs w:val="22"/>
              </w:rPr>
            </w:pPr>
            <w:r w:rsidRPr="0021006D">
              <w:rPr>
                <w:sz w:val="22"/>
                <w:szCs w:val="22"/>
              </w:rPr>
              <w:t>Not fully vaccinated and age ≥ 65</w:t>
            </w:r>
          </w:p>
        </w:tc>
        <w:tc>
          <w:tcPr>
            <w:tcW w:w="2177" w:type="dxa"/>
            <w:vMerge w:val="restart"/>
            <w:shd w:val="clear" w:color="auto" w:fill="auto"/>
            <w:vAlign w:val="center"/>
          </w:tcPr>
          <w:p w14:paraId="7292802F" w14:textId="053C3886" w:rsidR="00EF1364" w:rsidRPr="0021006D" w:rsidRDefault="00EF1364" w:rsidP="00983EC4">
            <w:pPr>
              <w:rPr>
                <w:sz w:val="22"/>
                <w:szCs w:val="22"/>
              </w:rPr>
            </w:pPr>
            <w:r w:rsidRPr="0021006D">
              <w:rPr>
                <w:sz w:val="22"/>
                <w:szCs w:val="22"/>
              </w:rPr>
              <w:t>Remdesivir</w:t>
            </w:r>
            <w:r w:rsidR="00C31868" w:rsidRPr="0021006D">
              <w:rPr>
                <w:sz w:val="22"/>
                <w:szCs w:val="22"/>
              </w:rPr>
              <w:t xml:space="preserve">. If remdesivir not available, </w:t>
            </w:r>
            <w:proofErr w:type="spellStart"/>
            <w:r w:rsidRPr="0021006D">
              <w:rPr>
                <w:sz w:val="22"/>
                <w:szCs w:val="22"/>
              </w:rPr>
              <w:t>molnupiravir</w:t>
            </w:r>
            <w:proofErr w:type="spellEnd"/>
            <w:r w:rsidR="00C31868" w:rsidRPr="0021006D">
              <w:rPr>
                <w:sz w:val="22"/>
                <w:szCs w:val="22"/>
              </w:rPr>
              <w:t xml:space="preserve"> may be used</w:t>
            </w:r>
            <w:r w:rsidRPr="0021006D">
              <w:rPr>
                <w:sz w:val="22"/>
                <w:szCs w:val="22"/>
              </w:rPr>
              <w:t>**</w:t>
            </w:r>
            <w:r w:rsidR="00BA0570" w:rsidRPr="0021006D">
              <w:rPr>
                <w:sz w:val="22"/>
                <w:szCs w:val="22"/>
              </w:rPr>
              <w:t>*</w:t>
            </w:r>
            <w:r w:rsidR="001131EC" w:rsidRPr="0021006D">
              <w:rPr>
                <w:sz w:val="22"/>
                <w:szCs w:val="22"/>
              </w:rPr>
              <w:t>*</w:t>
            </w:r>
          </w:p>
        </w:tc>
        <w:tc>
          <w:tcPr>
            <w:tcW w:w="2160" w:type="dxa"/>
            <w:vMerge/>
            <w:shd w:val="clear" w:color="auto" w:fill="auto"/>
          </w:tcPr>
          <w:p w14:paraId="794C8714" w14:textId="77777777" w:rsidR="00EF1364" w:rsidRPr="00B848D0" w:rsidRDefault="00EF1364" w:rsidP="00983EC4">
            <w:pPr>
              <w:rPr>
                <w:rFonts w:ascii="Calibri" w:hAnsi="Calibri"/>
                <w:sz w:val="22"/>
                <w:szCs w:val="22"/>
              </w:rPr>
            </w:pPr>
          </w:p>
        </w:tc>
      </w:tr>
      <w:tr w:rsidR="00EF1364" w:rsidRPr="00983EC4" w14:paraId="07D663CF" w14:textId="77777777" w:rsidTr="00DE12BA">
        <w:trPr>
          <w:trHeight w:val="600"/>
          <w:jc w:val="center"/>
        </w:trPr>
        <w:tc>
          <w:tcPr>
            <w:tcW w:w="0" w:type="auto"/>
            <w:vMerge/>
          </w:tcPr>
          <w:p w14:paraId="435608B0" w14:textId="5BD4095D" w:rsidR="00EF1364" w:rsidRPr="0025775A" w:rsidRDefault="00EF1364" w:rsidP="00983EC4">
            <w:pPr>
              <w:rPr>
                <w:sz w:val="22"/>
                <w:szCs w:val="22"/>
              </w:rPr>
            </w:pPr>
          </w:p>
        </w:tc>
        <w:tc>
          <w:tcPr>
            <w:tcW w:w="5285" w:type="dxa"/>
            <w:shd w:val="clear" w:color="auto" w:fill="auto"/>
            <w:vAlign w:val="center"/>
          </w:tcPr>
          <w:p w14:paraId="56982A64" w14:textId="6FB7EFBB" w:rsidR="00EF1364" w:rsidRPr="0021006D" w:rsidRDefault="00EF1364" w:rsidP="00A30E69">
            <w:pPr>
              <w:rPr>
                <w:sz w:val="22"/>
                <w:szCs w:val="22"/>
              </w:rPr>
            </w:pPr>
            <w:r w:rsidRPr="0021006D">
              <w:rPr>
                <w:sz w:val="22"/>
                <w:szCs w:val="22"/>
              </w:rPr>
              <w:t>Not fully vaccinated and age &lt; 65 plus additional risk factor</w:t>
            </w:r>
          </w:p>
        </w:tc>
        <w:tc>
          <w:tcPr>
            <w:tcW w:w="2177" w:type="dxa"/>
            <w:vMerge/>
            <w:shd w:val="clear" w:color="auto" w:fill="auto"/>
            <w:vAlign w:val="center"/>
          </w:tcPr>
          <w:p w14:paraId="269F3218" w14:textId="77777777" w:rsidR="00EF1364" w:rsidRPr="00B848D0" w:rsidRDefault="00EF1364" w:rsidP="00983EC4">
            <w:pPr>
              <w:rPr>
                <w:rFonts w:ascii="Calibri" w:hAnsi="Calibri"/>
                <w:sz w:val="22"/>
                <w:szCs w:val="22"/>
              </w:rPr>
            </w:pPr>
          </w:p>
        </w:tc>
        <w:tc>
          <w:tcPr>
            <w:tcW w:w="2160" w:type="dxa"/>
            <w:vMerge/>
            <w:shd w:val="clear" w:color="auto" w:fill="auto"/>
          </w:tcPr>
          <w:p w14:paraId="44518E8C" w14:textId="77777777" w:rsidR="00EF1364" w:rsidRPr="00B848D0" w:rsidRDefault="00EF1364" w:rsidP="00983EC4">
            <w:pPr>
              <w:rPr>
                <w:rFonts w:ascii="Calibri" w:hAnsi="Calibri"/>
                <w:sz w:val="22"/>
                <w:szCs w:val="22"/>
              </w:rPr>
            </w:pPr>
          </w:p>
        </w:tc>
      </w:tr>
      <w:tr w:rsidR="00EF1364" w:rsidRPr="00983EC4" w14:paraId="09222555" w14:textId="77777777" w:rsidTr="00DE12BA">
        <w:trPr>
          <w:trHeight w:val="600"/>
          <w:jc w:val="center"/>
        </w:trPr>
        <w:tc>
          <w:tcPr>
            <w:tcW w:w="0" w:type="auto"/>
            <w:vMerge w:val="restart"/>
            <w:vAlign w:val="center"/>
          </w:tcPr>
          <w:p w14:paraId="46BFB299" w14:textId="16727C8D" w:rsidR="00EF1364" w:rsidRPr="00C739BD" w:rsidRDefault="00EF1364" w:rsidP="00A30E69">
            <w:pPr>
              <w:jc w:val="center"/>
              <w:rPr>
                <w:sz w:val="22"/>
                <w:szCs w:val="22"/>
              </w:rPr>
            </w:pPr>
            <w:r w:rsidRPr="00C739BD">
              <w:rPr>
                <w:sz w:val="22"/>
                <w:szCs w:val="22"/>
              </w:rPr>
              <w:t>3</w:t>
            </w:r>
          </w:p>
        </w:tc>
        <w:tc>
          <w:tcPr>
            <w:tcW w:w="5285" w:type="dxa"/>
            <w:shd w:val="clear" w:color="auto" w:fill="auto"/>
            <w:vAlign w:val="center"/>
          </w:tcPr>
          <w:p w14:paraId="43336C7A" w14:textId="6BDF79D8" w:rsidR="00EF1364" w:rsidRPr="0021006D" w:rsidRDefault="00EF1364" w:rsidP="00A30E69">
            <w:pPr>
              <w:rPr>
                <w:sz w:val="22"/>
                <w:szCs w:val="22"/>
              </w:rPr>
            </w:pPr>
            <w:r w:rsidRPr="0021006D">
              <w:rPr>
                <w:sz w:val="22"/>
                <w:szCs w:val="22"/>
              </w:rPr>
              <w:t>Vaccinated</w:t>
            </w:r>
            <w:r w:rsidR="001C0FEE" w:rsidRPr="0021006D">
              <w:rPr>
                <w:sz w:val="22"/>
                <w:szCs w:val="22"/>
              </w:rPr>
              <w:t>**</w:t>
            </w:r>
            <w:r w:rsidRPr="0021006D">
              <w:rPr>
                <w:sz w:val="22"/>
                <w:szCs w:val="22"/>
              </w:rPr>
              <w:t xml:space="preserve"> and age ≥ 75 </w:t>
            </w:r>
          </w:p>
        </w:tc>
        <w:tc>
          <w:tcPr>
            <w:tcW w:w="2177" w:type="dxa"/>
            <w:vMerge/>
            <w:shd w:val="clear" w:color="auto" w:fill="auto"/>
          </w:tcPr>
          <w:p w14:paraId="26D55672" w14:textId="77777777" w:rsidR="00EF1364" w:rsidRPr="00B848D0" w:rsidRDefault="00EF1364" w:rsidP="00983EC4">
            <w:pPr>
              <w:rPr>
                <w:rFonts w:ascii="Calibri" w:hAnsi="Calibri"/>
                <w:sz w:val="22"/>
                <w:szCs w:val="22"/>
              </w:rPr>
            </w:pPr>
          </w:p>
        </w:tc>
        <w:tc>
          <w:tcPr>
            <w:tcW w:w="2160" w:type="dxa"/>
            <w:vMerge/>
            <w:shd w:val="clear" w:color="auto" w:fill="auto"/>
          </w:tcPr>
          <w:p w14:paraId="616209E3" w14:textId="77777777" w:rsidR="00EF1364" w:rsidRPr="00B848D0" w:rsidRDefault="00EF1364" w:rsidP="00983EC4">
            <w:pPr>
              <w:rPr>
                <w:rFonts w:ascii="Calibri" w:hAnsi="Calibri"/>
                <w:sz w:val="22"/>
                <w:szCs w:val="22"/>
              </w:rPr>
            </w:pPr>
          </w:p>
        </w:tc>
      </w:tr>
      <w:tr w:rsidR="00EF1364" w:rsidRPr="00983EC4" w14:paraId="53B0FAB0" w14:textId="77777777" w:rsidTr="00DE12BA">
        <w:trPr>
          <w:trHeight w:val="600"/>
          <w:jc w:val="center"/>
        </w:trPr>
        <w:tc>
          <w:tcPr>
            <w:tcW w:w="0" w:type="auto"/>
            <w:vMerge/>
          </w:tcPr>
          <w:p w14:paraId="7DFED583" w14:textId="56A964B5" w:rsidR="00EF1364" w:rsidRPr="0025775A" w:rsidRDefault="00EF1364" w:rsidP="00A30E69">
            <w:pPr>
              <w:jc w:val="center"/>
              <w:rPr>
                <w:sz w:val="22"/>
                <w:szCs w:val="22"/>
              </w:rPr>
            </w:pPr>
          </w:p>
        </w:tc>
        <w:tc>
          <w:tcPr>
            <w:tcW w:w="5285" w:type="dxa"/>
            <w:shd w:val="clear" w:color="auto" w:fill="auto"/>
            <w:vAlign w:val="center"/>
          </w:tcPr>
          <w:p w14:paraId="3452062A" w14:textId="60BB7EFE" w:rsidR="00EF1364" w:rsidRPr="0021006D" w:rsidRDefault="00EF1364" w:rsidP="00A30E69">
            <w:pPr>
              <w:rPr>
                <w:sz w:val="22"/>
                <w:szCs w:val="22"/>
              </w:rPr>
            </w:pPr>
            <w:r w:rsidRPr="0021006D">
              <w:rPr>
                <w:sz w:val="22"/>
                <w:szCs w:val="22"/>
              </w:rPr>
              <w:t>Vaccinated and age ≥ 65 years plus additional risk factor</w:t>
            </w:r>
          </w:p>
        </w:tc>
        <w:tc>
          <w:tcPr>
            <w:tcW w:w="2177" w:type="dxa"/>
            <w:vMerge/>
            <w:shd w:val="clear" w:color="auto" w:fill="auto"/>
          </w:tcPr>
          <w:p w14:paraId="49C35199" w14:textId="77777777" w:rsidR="00EF1364" w:rsidRPr="00B848D0" w:rsidRDefault="00EF1364" w:rsidP="00924791">
            <w:pPr>
              <w:rPr>
                <w:rFonts w:ascii="Calibri" w:hAnsi="Calibri"/>
                <w:sz w:val="22"/>
                <w:szCs w:val="22"/>
              </w:rPr>
            </w:pPr>
          </w:p>
        </w:tc>
        <w:tc>
          <w:tcPr>
            <w:tcW w:w="2160" w:type="dxa"/>
            <w:vMerge/>
            <w:shd w:val="clear" w:color="auto" w:fill="auto"/>
          </w:tcPr>
          <w:p w14:paraId="651E3A57" w14:textId="77777777" w:rsidR="00EF1364" w:rsidRPr="00B848D0" w:rsidRDefault="00EF1364" w:rsidP="00924791">
            <w:pPr>
              <w:rPr>
                <w:rFonts w:ascii="Calibri" w:hAnsi="Calibri"/>
                <w:sz w:val="22"/>
                <w:szCs w:val="22"/>
              </w:rPr>
            </w:pPr>
          </w:p>
        </w:tc>
      </w:tr>
      <w:tr w:rsidR="00EF1364" w:rsidRPr="00983EC4" w14:paraId="28E92884" w14:textId="77777777" w:rsidTr="00DE12BA">
        <w:trPr>
          <w:trHeight w:val="600"/>
          <w:jc w:val="center"/>
        </w:trPr>
        <w:tc>
          <w:tcPr>
            <w:tcW w:w="0" w:type="auto"/>
            <w:vMerge w:val="restart"/>
            <w:vAlign w:val="center"/>
          </w:tcPr>
          <w:p w14:paraId="469C4FF5" w14:textId="4120F0F5" w:rsidR="00EF1364" w:rsidRPr="00C739BD" w:rsidRDefault="00EF1364" w:rsidP="00674A74">
            <w:pPr>
              <w:jc w:val="center"/>
              <w:rPr>
                <w:sz w:val="22"/>
                <w:szCs w:val="22"/>
              </w:rPr>
            </w:pPr>
            <w:r w:rsidRPr="00C739BD">
              <w:rPr>
                <w:sz w:val="22"/>
                <w:szCs w:val="22"/>
              </w:rPr>
              <w:t>4</w:t>
            </w:r>
          </w:p>
        </w:tc>
        <w:tc>
          <w:tcPr>
            <w:tcW w:w="5285" w:type="dxa"/>
            <w:shd w:val="clear" w:color="auto" w:fill="auto"/>
            <w:vAlign w:val="center"/>
          </w:tcPr>
          <w:p w14:paraId="75B44D6E" w14:textId="6C69C391" w:rsidR="00EF1364" w:rsidRPr="0021006D" w:rsidRDefault="00EF1364" w:rsidP="00A30E69">
            <w:pPr>
              <w:rPr>
                <w:sz w:val="22"/>
                <w:szCs w:val="22"/>
              </w:rPr>
            </w:pPr>
            <w:r w:rsidRPr="0021006D">
              <w:rPr>
                <w:sz w:val="22"/>
                <w:szCs w:val="22"/>
              </w:rPr>
              <w:t xml:space="preserve"> </w:t>
            </w:r>
            <w:r w:rsidR="00C739BD">
              <w:rPr>
                <w:sz w:val="22"/>
                <w:szCs w:val="22"/>
              </w:rPr>
              <w:t xml:space="preserve">Vaccinated </w:t>
            </w:r>
            <w:r w:rsidRPr="0021006D">
              <w:rPr>
                <w:sz w:val="22"/>
                <w:szCs w:val="22"/>
              </w:rPr>
              <w:t>and age ≥ 65 years</w:t>
            </w:r>
          </w:p>
        </w:tc>
        <w:tc>
          <w:tcPr>
            <w:tcW w:w="2177" w:type="dxa"/>
            <w:vMerge/>
            <w:shd w:val="clear" w:color="auto" w:fill="auto"/>
          </w:tcPr>
          <w:p w14:paraId="210B7697" w14:textId="77777777" w:rsidR="00EF1364" w:rsidRPr="00B848D0" w:rsidRDefault="00EF1364" w:rsidP="00924791">
            <w:pPr>
              <w:rPr>
                <w:rFonts w:ascii="Calibri" w:hAnsi="Calibri"/>
                <w:sz w:val="22"/>
                <w:szCs w:val="22"/>
              </w:rPr>
            </w:pPr>
          </w:p>
        </w:tc>
        <w:tc>
          <w:tcPr>
            <w:tcW w:w="2160" w:type="dxa"/>
            <w:vMerge/>
            <w:shd w:val="clear" w:color="auto" w:fill="auto"/>
          </w:tcPr>
          <w:p w14:paraId="4FD13B9F" w14:textId="77777777" w:rsidR="00EF1364" w:rsidRPr="00B848D0" w:rsidRDefault="00EF1364" w:rsidP="00924791">
            <w:pPr>
              <w:rPr>
                <w:rFonts w:ascii="Calibri" w:hAnsi="Calibri"/>
                <w:sz w:val="22"/>
                <w:szCs w:val="22"/>
              </w:rPr>
            </w:pPr>
          </w:p>
        </w:tc>
      </w:tr>
      <w:tr w:rsidR="00EF1364" w:rsidRPr="00983EC4" w14:paraId="6D55BEC1" w14:textId="77777777" w:rsidTr="00DE12BA">
        <w:trPr>
          <w:trHeight w:val="600"/>
          <w:jc w:val="center"/>
        </w:trPr>
        <w:tc>
          <w:tcPr>
            <w:tcW w:w="0" w:type="auto"/>
            <w:vMerge/>
          </w:tcPr>
          <w:p w14:paraId="12046B22" w14:textId="77777777" w:rsidR="00EF1364" w:rsidRDefault="00EF1364" w:rsidP="00A30E69">
            <w:pPr>
              <w:jc w:val="center"/>
              <w:rPr>
                <w:rFonts w:ascii="Calibri" w:hAnsi="Calibri"/>
                <w:sz w:val="22"/>
                <w:szCs w:val="22"/>
              </w:rPr>
            </w:pPr>
          </w:p>
        </w:tc>
        <w:tc>
          <w:tcPr>
            <w:tcW w:w="5285" w:type="dxa"/>
            <w:shd w:val="clear" w:color="auto" w:fill="auto"/>
            <w:vAlign w:val="center"/>
          </w:tcPr>
          <w:p w14:paraId="4E8EBB76" w14:textId="5B4CF217" w:rsidR="00EF1364" w:rsidRPr="00C739BD" w:rsidRDefault="00EF1364" w:rsidP="00A30E69">
            <w:pPr>
              <w:rPr>
                <w:sz w:val="22"/>
                <w:szCs w:val="22"/>
              </w:rPr>
            </w:pPr>
            <w:r w:rsidRPr="00C739BD">
              <w:rPr>
                <w:sz w:val="22"/>
                <w:szCs w:val="22"/>
              </w:rPr>
              <w:t>Vaccinated and age &lt; 65 plus additional risk factor</w:t>
            </w:r>
          </w:p>
        </w:tc>
        <w:tc>
          <w:tcPr>
            <w:tcW w:w="2177" w:type="dxa"/>
            <w:vMerge/>
            <w:shd w:val="clear" w:color="auto" w:fill="auto"/>
          </w:tcPr>
          <w:p w14:paraId="54BA7BFA" w14:textId="77777777" w:rsidR="00EF1364" w:rsidRPr="00B848D0" w:rsidRDefault="00EF1364" w:rsidP="00924791">
            <w:pPr>
              <w:rPr>
                <w:rFonts w:ascii="Calibri" w:hAnsi="Calibri"/>
                <w:sz w:val="22"/>
                <w:szCs w:val="22"/>
              </w:rPr>
            </w:pPr>
          </w:p>
        </w:tc>
        <w:tc>
          <w:tcPr>
            <w:tcW w:w="2160" w:type="dxa"/>
            <w:vMerge/>
            <w:shd w:val="clear" w:color="auto" w:fill="auto"/>
          </w:tcPr>
          <w:p w14:paraId="1133050F" w14:textId="77777777" w:rsidR="00EF1364" w:rsidRPr="00B848D0" w:rsidRDefault="00EF1364" w:rsidP="00924791">
            <w:pPr>
              <w:rPr>
                <w:rFonts w:ascii="Calibri" w:hAnsi="Calibri"/>
                <w:sz w:val="22"/>
                <w:szCs w:val="22"/>
              </w:rPr>
            </w:pPr>
          </w:p>
        </w:tc>
      </w:tr>
    </w:tbl>
    <w:p w14:paraId="478E1F08" w14:textId="77777777" w:rsidR="00983EC4" w:rsidRPr="00983EC4" w:rsidRDefault="00983EC4" w:rsidP="00983EC4"/>
    <w:p w14:paraId="324961BB" w14:textId="72511C1B" w:rsidR="00983EC4" w:rsidRPr="002B5A92" w:rsidRDefault="00D53820" w:rsidP="00983EC4">
      <w:r>
        <w:t>*</w:t>
      </w:r>
      <w:r w:rsidR="00F83C8F" w:rsidRPr="00F83C8F">
        <w:t xml:space="preserve">Clinical risk factors include </w:t>
      </w:r>
      <w:r w:rsidR="00F83C8F" w:rsidRPr="00D53820">
        <w:t>cancer, cardiovascular disease, chronic kidney disease, chronic lung disease, diabetes, immunocompromising conditions or receipt of immunosuppressive medications, obesity (body mass index ≥30), pregnancy, and sickle cell disease.</w:t>
      </w:r>
      <w:r w:rsidR="00983EC4" w:rsidRPr="00F83C8F">
        <w:t xml:space="preserve"> </w:t>
      </w:r>
      <w:r w:rsidR="00F83C8F" w:rsidRPr="00983EC4">
        <w:t>For additional information on medical conditions and other factors that are associated with increased risk for progression to severe COVID-19, see the CDC webpage </w:t>
      </w:r>
      <w:hyperlink r:id="rId25" w:tgtFrame="_blank" w:history="1">
        <w:r w:rsidR="00F83C8F" w:rsidRPr="00983EC4">
          <w:rPr>
            <w:rStyle w:val="Hyperlink"/>
          </w:rPr>
          <w:t>People With Certain Medical Conditions</w:t>
        </w:r>
      </w:hyperlink>
      <w:r w:rsidR="00F83C8F" w:rsidRPr="00983EC4">
        <w:t>.</w:t>
      </w:r>
      <w:r w:rsidR="00983EC4" w:rsidRPr="00983EC4">
        <w:t xml:space="preserve"> </w:t>
      </w:r>
      <w:r w:rsidR="00983EC4" w:rsidRPr="002B5A92">
        <w:rPr>
          <w:b/>
        </w:rPr>
        <w:t xml:space="preserve">The likelihood of developing severe COVID-19 increases when a person has multiple high-risk conditions or comorbidities. Medical conditions or other </w:t>
      </w:r>
      <w:r w:rsidR="00940D56">
        <w:rPr>
          <w:b/>
        </w:rPr>
        <w:t xml:space="preserve">factors (e.g., social determinants of </w:t>
      </w:r>
      <w:proofErr w:type="gramStart"/>
      <w:r w:rsidR="00940D56">
        <w:rPr>
          <w:b/>
        </w:rPr>
        <w:t>health)</w:t>
      </w:r>
      <w:r w:rsidR="00983EC4" w:rsidRPr="002B5A92">
        <w:rPr>
          <w:b/>
        </w:rPr>
        <w:t>not</w:t>
      </w:r>
      <w:proofErr w:type="gramEnd"/>
      <w:r w:rsidR="00983EC4" w:rsidRPr="002B5A92">
        <w:rPr>
          <w:b/>
        </w:rPr>
        <w:t xml:space="preserve"> listed may also be associated with high risk for progression to severe COVID-19. </w:t>
      </w:r>
      <w:proofErr w:type="spellStart"/>
      <w:r w:rsidR="00983EC4" w:rsidRPr="002B5A92">
        <w:rPr>
          <w:b/>
        </w:rPr>
        <w:t>Sotrovimab</w:t>
      </w:r>
      <w:proofErr w:type="spellEnd"/>
      <w:r w:rsidR="00983EC4" w:rsidRPr="002B5A92">
        <w:rPr>
          <w:b/>
        </w:rPr>
        <w:t xml:space="preserve"> and </w:t>
      </w:r>
      <w:proofErr w:type="spellStart"/>
      <w:r w:rsidR="00983EC4" w:rsidRPr="002B5A92">
        <w:rPr>
          <w:b/>
        </w:rPr>
        <w:t>nirmatrelvir</w:t>
      </w:r>
      <w:proofErr w:type="spellEnd"/>
      <w:r w:rsidR="00983EC4" w:rsidRPr="002B5A92">
        <w:rPr>
          <w:b/>
        </w:rPr>
        <w:t xml:space="preserve">/ritonavir may be considered for patients with multiple high-risk conditions or comorbidities and factors that are not listed in the EUAs. </w:t>
      </w:r>
      <w:r w:rsidR="00983EC4" w:rsidRPr="00B43DF7">
        <w:rPr>
          <w:b/>
          <w:bCs/>
        </w:rPr>
        <w:t>The decision to use</w:t>
      </w:r>
      <w:r w:rsidR="00983EC4" w:rsidRPr="002B5A92">
        <w:rPr>
          <w:b/>
        </w:rPr>
        <w:t xml:space="preserve"> </w:t>
      </w:r>
      <w:proofErr w:type="spellStart"/>
      <w:r w:rsidR="00983EC4" w:rsidRPr="002B5A92">
        <w:rPr>
          <w:b/>
        </w:rPr>
        <w:t>mAb</w:t>
      </w:r>
      <w:proofErr w:type="spellEnd"/>
      <w:r w:rsidR="00983EC4" w:rsidRPr="002B5A92">
        <w:rPr>
          <w:b/>
        </w:rPr>
        <w:t xml:space="preserve"> or antivirals for a patient should be based on an individualized assessment of risks and benefits.</w:t>
      </w:r>
      <w:r w:rsidR="00C31868">
        <w:rPr>
          <w:b/>
        </w:rPr>
        <w:t xml:space="preserve"> </w:t>
      </w:r>
      <w:r w:rsidR="00DA062A">
        <w:rPr>
          <w:b/>
        </w:rPr>
        <w:t xml:space="preserve">Use of </w:t>
      </w:r>
      <w:proofErr w:type="spellStart"/>
      <w:r w:rsidR="00DA062A">
        <w:rPr>
          <w:b/>
        </w:rPr>
        <w:t>mAb</w:t>
      </w:r>
      <w:proofErr w:type="spellEnd"/>
      <w:r w:rsidR="00DA062A">
        <w:rPr>
          <w:b/>
        </w:rPr>
        <w:t xml:space="preserve"> or antivirals that departs from tiering recommendations is permissible if based on clinical judgement.</w:t>
      </w:r>
    </w:p>
    <w:p w14:paraId="44370505" w14:textId="77777777" w:rsidR="00B43DF7" w:rsidRDefault="00B43DF7" w:rsidP="00983EC4"/>
    <w:p w14:paraId="0EE32A1A" w14:textId="28DC604E" w:rsidR="00BA0570" w:rsidRDefault="00BA0570" w:rsidP="00983EC4">
      <w:r>
        <w:t>**Vaccinated individuals who have not received a COVID-19 vaccine booster dose are at higher risk for severe disease.</w:t>
      </w:r>
    </w:p>
    <w:p w14:paraId="2D62F732" w14:textId="77777777" w:rsidR="00BA0570" w:rsidRDefault="00BA0570" w:rsidP="00983EC4"/>
    <w:p w14:paraId="4F9B8560" w14:textId="2A76DC39" w:rsidR="001131EC" w:rsidRDefault="001131EC" w:rsidP="00983EC4">
      <w:r>
        <w:t xml:space="preserve">***Remdesivir </w:t>
      </w:r>
      <w:r w:rsidR="00940D56">
        <w:t>may be used</w:t>
      </w:r>
      <w:r>
        <w:t xml:space="preserve"> </w:t>
      </w:r>
      <w:r w:rsidR="00940D56">
        <w:t xml:space="preserve">within </w:t>
      </w:r>
      <w:r>
        <w:t>seven days of symptom onset.</w:t>
      </w:r>
    </w:p>
    <w:p w14:paraId="77A80324" w14:textId="77777777" w:rsidR="001131EC" w:rsidRDefault="001131EC" w:rsidP="00983EC4"/>
    <w:p w14:paraId="0DC8729A" w14:textId="0B1B59B4" w:rsidR="0030083D" w:rsidRDefault="00B43DF7" w:rsidP="00983EC4">
      <w:r>
        <w:t>**</w:t>
      </w:r>
      <w:r w:rsidR="00BA0570">
        <w:t>*</w:t>
      </w:r>
      <w:r w:rsidR="001131EC">
        <w:t>*</w:t>
      </w:r>
      <w:r>
        <w:t xml:space="preserve">While supplies of </w:t>
      </w:r>
      <w:proofErr w:type="spellStart"/>
      <w:r>
        <w:t>sotrovimab</w:t>
      </w:r>
      <w:proofErr w:type="spellEnd"/>
      <w:r>
        <w:t xml:space="preserve"> and </w:t>
      </w:r>
      <w:proofErr w:type="spellStart"/>
      <w:r>
        <w:t>nirmatrelvir</w:t>
      </w:r>
      <w:proofErr w:type="spellEnd"/>
      <w:r>
        <w:t xml:space="preserve">/ritonavir are constrained, pregnant individuals (vaccinated or unvaccinated) should be treated with remdesivir to prevent severe COVID-19. </w:t>
      </w:r>
      <w:r w:rsidR="00C739BD">
        <w:t xml:space="preserve">Use of </w:t>
      </w:r>
      <w:proofErr w:type="spellStart"/>
      <w:r w:rsidR="00C739BD">
        <w:t>m</w:t>
      </w:r>
      <w:r>
        <w:t>olnupiravir</w:t>
      </w:r>
      <w:proofErr w:type="spellEnd"/>
      <w:r>
        <w:t xml:space="preserve"> is </w:t>
      </w:r>
      <w:r w:rsidR="00C739BD">
        <w:t xml:space="preserve">not recommended </w:t>
      </w:r>
      <w:r>
        <w:t xml:space="preserve">during pregnancy. </w:t>
      </w:r>
    </w:p>
    <w:p w14:paraId="5DE132FE" w14:textId="77777777" w:rsidR="00B43DF7" w:rsidRDefault="00B43DF7" w:rsidP="00983EC4"/>
    <w:p w14:paraId="236E2B31" w14:textId="77777777" w:rsidR="00983EC4" w:rsidRPr="00983EC4" w:rsidRDefault="00983EC4" w:rsidP="00983EC4">
      <w:r w:rsidRPr="00983EC4">
        <w:t>Other considerations for provision of oral agents to those who might otherwise receive monoclonal antibodies or remdesivir:</w:t>
      </w:r>
    </w:p>
    <w:p w14:paraId="547BC660" w14:textId="77777777" w:rsidR="00983EC4" w:rsidRPr="00983EC4" w:rsidRDefault="00983EC4" w:rsidP="00983EC4">
      <w:pPr>
        <w:numPr>
          <w:ilvl w:val="0"/>
          <w:numId w:val="5"/>
        </w:numPr>
      </w:pPr>
      <w:r w:rsidRPr="00983EC4">
        <w:t>Monoclonal antibody or remdesivir infusion is not available or subject to inordinate delay</w:t>
      </w:r>
    </w:p>
    <w:p w14:paraId="2B7626F8" w14:textId="77777777" w:rsidR="00983EC4" w:rsidRPr="00983EC4" w:rsidRDefault="00983EC4" w:rsidP="00983EC4">
      <w:pPr>
        <w:numPr>
          <w:ilvl w:val="0"/>
          <w:numId w:val="5"/>
        </w:numPr>
      </w:pPr>
      <w:r w:rsidRPr="00983EC4">
        <w:t xml:space="preserve">Patient unwillingness to receive intravenous </w:t>
      </w:r>
      <w:proofErr w:type="spellStart"/>
      <w:r w:rsidRPr="00983EC4">
        <w:t>mAb</w:t>
      </w:r>
      <w:proofErr w:type="spellEnd"/>
      <w:r w:rsidRPr="00983EC4">
        <w:t xml:space="preserve"> or remdesivir </w:t>
      </w:r>
    </w:p>
    <w:p w14:paraId="6EC1C69E" w14:textId="4E24F5E1" w:rsidR="00983EC4" w:rsidRPr="00983EC4" w:rsidRDefault="00983EC4" w:rsidP="00983EC4">
      <w:pPr>
        <w:numPr>
          <w:ilvl w:val="0"/>
          <w:numId w:val="5"/>
        </w:numPr>
      </w:pPr>
      <w:r w:rsidRPr="00983EC4">
        <w:t>Likelihood of SARS-CoV2 variant not susceptible to available monoclonal antibody</w:t>
      </w:r>
    </w:p>
    <w:p w14:paraId="1AED8307" w14:textId="77777777" w:rsidR="00983EC4" w:rsidRPr="00983EC4" w:rsidRDefault="00983EC4" w:rsidP="00983EC4"/>
    <w:p w14:paraId="24C85F1D" w14:textId="77777777" w:rsidR="00983EC4" w:rsidRPr="00983EC4" w:rsidRDefault="00983EC4" w:rsidP="00983EC4">
      <w:r w:rsidRPr="00983EC4">
        <w:t xml:space="preserve">Decisions about which eligible patients receive the drugs should be based on the clinical judgement of the providers, consistent with the terms of the relevant EUA and with this guidance.  </w:t>
      </w:r>
    </w:p>
    <w:p w14:paraId="35F59E86" w14:textId="77777777" w:rsidR="0030083D" w:rsidRDefault="0030083D" w:rsidP="00983EC4"/>
    <w:p w14:paraId="2ACF3CFE" w14:textId="7F41FE2E" w:rsidR="00983EC4" w:rsidRPr="00983EC4" w:rsidRDefault="00983EC4" w:rsidP="00983EC4">
      <w:pPr>
        <w:rPr>
          <w:u w:val="single"/>
        </w:rPr>
      </w:pPr>
      <w:r w:rsidRPr="00983EC4">
        <w:t xml:space="preserve">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w:t>
      </w:r>
      <w:r w:rsidR="00D83C29">
        <w:t>used as a basis for clinical decisions</w:t>
      </w:r>
      <w:r w:rsidRPr="00983EC4">
        <w:t>.</w:t>
      </w:r>
    </w:p>
    <w:p w14:paraId="6B63AC98" w14:textId="77777777" w:rsidR="00983EC4" w:rsidRDefault="00983EC4" w:rsidP="00983EC4">
      <w:pPr>
        <w:rPr>
          <w:u w:val="single"/>
        </w:rPr>
      </w:pPr>
    </w:p>
    <w:p w14:paraId="69E138A1" w14:textId="77777777" w:rsidR="00983EC4" w:rsidRDefault="00983EC4" w:rsidP="00983EC4">
      <w:pPr>
        <w:rPr>
          <w:b/>
          <w:bCs/>
          <w:u w:val="single"/>
        </w:rPr>
      </w:pPr>
      <w:r w:rsidRPr="00983EC4">
        <w:rPr>
          <w:b/>
          <w:bCs/>
          <w:u w:val="single"/>
        </w:rPr>
        <w:t>Access to medication</w:t>
      </w:r>
    </w:p>
    <w:p w14:paraId="00466A9C" w14:textId="77777777" w:rsidR="00983EC4" w:rsidRPr="00983EC4" w:rsidRDefault="00983EC4" w:rsidP="00983EC4">
      <w:pPr>
        <w:rPr>
          <w:b/>
          <w:bCs/>
          <w:u w:val="single"/>
        </w:rPr>
      </w:pPr>
    </w:p>
    <w:p w14:paraId="2874884A" w14:textId="57061E02" w:rsidR="00983EC4" w:rsidRPr="00983EC4" w:rsidRDefault="00983EC4" w:rsidP="00983EC4">
      <w:r w:rsidRPr="00983EC4">
        <w:t xml:space="preserve">Anti-SARS-CoV2 </w:t>
      </w:r>
      <w:proofErr w:type="spellStart"/>
      <w:r w:rsidRPr="00983EC4">
        <w:t>mAb</w:t>
      </w:r>
      <w:proofErr w:type="spellEnd"/>
      <w:r w:rsidRPr="00983EC4">
        <w:t>, remdesivir and oral antivirals are available through</w:t>
      </w:r>
      <w:r w:rsidR="0068365F">
        <w:t xml:space="preserve"> state-funded</w:t>
      </w:r>
      <w:r w:rsidRPr="00983EC4">
        <w:t xml:space="preserve"> </w:t>
      </w:r>
      <w:proofErr w:type="spellStart"/>
      <w:r w:rsidRPr="00983EC4">
        <w:t>mAb</w:t>
      </w:r>
      <w:proofErr w:type="spellEnd"/>
      <w:r w:rsidRPr="00983EC4">
        <w:t xml:space="preserve"> infusion sites across the Commonwealth.</w:t>
      </w:r>
      <w:r w:rsidR="00A37B72">
        <w:rPr>
          <w:b/>
          <w:bCs/>
        </w:rPr>
        <w:t xml:space="preserve"> </w:t>
      </w:r>
      <w:r w:rsidRPr="00983EC4">
        <w:t>The</w:t>
      </w:r>
      <w:r w:rsidR="00B43DF7">
        <w:t>se</w:t>
      </w:r>
      <w:r w:rsidRPr="00983EC4">
        <w:t xml:space="preserve"> state-funded infusion sites</w:t>
      </w:r>
      <w:r w:rsidR="00B43DF7">
        <w:t xml:space="preserve"> </w:t>
      </w:r>
      <w:r w:rsidR="0069086D">
        <w:t xml:space="preserve">include Athol, </w:t>
      </w:r>
      <w:r w:rsidR="0069086D" w:rsidRPr="00983EC4">
        <w:t>Everett,</w:t>
      </w:r>
      <w:r w:rsidR="0069086D">
        <w:t xml:space="preserve"> </w:t>
      </w:r>
      <w:r w:rsidRPr="00983EC4">
        <w:t>Fall River, Holyoke</w:t>
      </w:r>
      <w:r w:rsidR="00B43DF7">
        <w:t xml:space="preserve">, </w:t>
      </w:r>
      <w:r w:rsidR="00EF1364">
        <w:t xml:space="preserve">Lowell, </w:t>
      </w:r>
      <w:r w:rsidR="0069086D">
        <w:t xml:space="preserve">Pittsfield, Plymouth, as well as </w:t>
      </w:r>
      <w:r w:rsidR="00B43DF7">
        <w:t xml:space="preserve">UMass Memorial Medical Center and Cape Cod </w:t>
      </w:r>
      <w:r w:rsidR="00B43DF7">
        <w:lastRenderedPageBreak/>
        <w:t>Hospital</w:t>
      </w:r>
      <w:r w:rsidRPr="00983EC4">
        <w:t xml:space="preserve">. Any provider can refer patients </w:t>
      </w:r>
      <w:r w:rsidR="00D73875">
        <w:t xml:space="preserve">who meet treatment criteria </w:t>
      </w:r>
      <w:r w:rsidRPr="00983EC4">
        <w:t xml:space="preserve">to these sites by </w:t>
      </w:r>
      <w:r w:rsidR="00A37B72">
        <w:t>submitting</w:t>
      </w:r>
      <w:r w:rsidRPr="00983EC4">
        <w:t xml:space="preserve"> Gotham</w:t>
      </w:r>
      <w:r w:rsidR="0068365F">
        <w:t>’</w:t>
      </w:r>
      <w:r w:rsidRPr="00983EC4">
        <w:t>s</w:t>
      </w:r>
      <w:r w:rsidR="00A37B72">
        <w:t xml:space="preserve"> </w:t>
      </w:r>
      <w:hyperlink r:id="rId26" w:history="1">
        <w:r w:rsidR="00A37B72" w:rsidRPr="00A37B72">
          <w:rPr>
            <w:rStyle w:val="Hyperlink"/>
          </w:rPr>
          <w:t>Provider Referral Form</w:t>
        </w:r>
      </w:hyperlink>
      <w:r w:rsidRPr="00983EC4">
        <w:t>.</w:t>
      </w:r>
      <w:r w:rsidR="0069086D">
        <w:t xml:space="preserve"> </w:t>
      </w:r>
      <w:r w:rsidR="0069086D">
        <w:rPr>
          <w:b/>
          <w:bCs/>
        </w:rPr>
        <w:t>Prior to referring patients, providers</w:t>
      </w:r>
      <w:r w:rsidR="0069086D" w:rsidRPr="002B5A92">
        <w:rPr>
          <w:b/>
        </w:rPr>
        <w:t xml:space="preserve"> are </w:t>
      </w:r>
      <w:r w:rsidR="0069086D">
        <w:rPr>
          <w:b/>
          <w:bCs/>
        </w:rPr>
        <w:t>strongly urged to consider the currently constrained supply of these therapeutics and refer those patients at the highest risk of developing severe COVID-19.</w:t>
      </w:r>
      <w:r w:rsidRPr="00983EC4">
        <w:t xml:space="preserve">  </w:t>
      </w:r>
    </w:p>
    <w:p w14:paraId="199D3968" w14:textId="77777777" w:rsidR="00983EC4" w:rsidRDefault="00983EC4" w:rsidP="00983EC4"/>
    <w:p w14:paraId="3FB00753" w14:textId="403CCBC1" w:rsidR="00983EC4" w:rsidRPr="00983EC4" w:rsidRDefault="00A37B72" w:rsidP="00983EC4">
      <w:r w:rsidRPr="00983EC4">
        <w:t xml:space="preserve">Additionally, hospitals and other healthcare providers throughout Massachusetts serve as </w:t>
      </w:r>
      <w:proofErr w:type="spellStart"/>
      <w:r w:rsidR="00760638" w:rsidRPr="00760638">
        <w:t>mAb</w:t>
      </w:r>
      <w:proofErr w:type="spellEnd"/>
      <w:r w:rsidR="00760638" w:rsidRPr="00760638">
        <w:t xml:space="preserve"> infusion sit</w:t>
      </w:r>
      <w:r w:rsidR="00760638">
        <w:t>es</w:t>
      </w:r>
      <w:r w:rsidRPr="00983EC4">
        <w:t xml:space="preserve"> and will administer monoclonal antibodies, remdesivir and oral antiviral therapy as supplies are available. The </w:t>
      </w:r>
      <w:hyperlink r:id="rId27" w:history="1">
        <w:r w:rsidRPr="00983EC4">
          <w:rPr>
            <w:rStyle w:val="Hyperlink"/>
          </w:rPr>
          <w:t xml:space="preserve">Commonwealth of Massachusetts </w:t>
        </w:r>
        <w:proofErr w:type="spellStart"/>
        <w:r w:rsidRPr="00983EC4">
          <w:rPr>
            <w:rStyle w:val="Hyperlink"/>
          </w:rPr>
          <w:t>mAb</w:t>
        </w:r>
        <w:proofErr w:type="spellEnd"/>
        <w:r w:rsidRPr="00983EC4">
          <w:rPr>
            <w:rStyle w:val="Hyperlink"/>
          </w:rPr>
          <w:t xml:space="preserve"> infusion site map</w:t>
        </w:r>
      </w:hyperlink>
      <w:r w:rsidRPr="00983EC4">
        <w:t xml:space="preserve"> can be used to locate sites offering </w:t>
      </w:r>
      <w:proofErr w:type="spellStart"/>
      <w:r w:rsidRPr="00983EC4">
        <w:t>mAb</w:t>
      </w:r>
      <w:proofErr w:type="spellEnd"/>
      <w:r w:rsidRPr="00983EC4">
        <w:t xml:space="preserve"> and antiviral therapies. </w:t>
      </w:r>
      <w:r w:rsidR="00983EC4" w:rsidRPr="00983EC4">
        <w:t xml:space="preserve">For referrals to hospital infusion sites, providers should use the contact number for the site listed on the infusion site locator map. Sites will confirm availability of a given therapy and reserve a treatment course for the referred patients. Patients or their representative can then proceed to the </w:t>
      </w:r>
      <w:proofErr w:type="spellStart"/>
      <w:r w:rsidR="00983EC4" w:rsidRPr="00983EC4">
        <w:t>mAb</w:t>
      </w:r>
      <w:proofErr w:type="spellEnd"/>
      <w:r w:rsidR="00983EC4" w:rsidRPr="00983EC4">
        <w:t xml:space="preserve"> infusion site to receive the dispensed medication. </w:t>
      </w:r>
    </w:p>
    <w:p w14:paraId="5F15CC00" w14:textId="77777777" w:rsidR="00983EC4" w:rsidRDefault="00983EC4" w:rsidP="00983EC4"/>
    <w:p w14:paraId="623FF576" w14:textId="58CB431C" w:rsidR="00983EC4" w:rsidRPr="00983EC4" w:rsidRDefault="00983EC4" w:rsidP="00983EC4">
      <w:r w:rsidRPr="00983EC4">
        <w:t>Additionally, oral antiviral therapy will</w:t>
      </w:r>
      <w:r w:rsidR="00A37B72">
        <w:t xml:space="preserve"> also</w:t>
      </w:r>
      <w:r w:rsidRPr="00983EC4">
        <w:t xml:space="preserve"> be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AB8AB6C" w14:textId="77777777" w:rsidR="00983EC4" w:rsidRDefault="00983EC4" w:rsidP="00983EC4"/>
    <w:p w14:paraId="29953C3B" w14:textId="77777777" w:rsidR="00983EC4" w:rsidRDefault="00983EC4" w:rsidP="00983EC4">
      <w:r w:rsidRPr="00983EC4">
        <w:t>As oral antiviral therapies become more available, the number of sites dispensing the medication will increase.</w:t>
      </w:r>
    </w:p>
    <w:p w14:paraId="5D346FC9" w14:textId="77777777" w:rsidR="00983EC4" w:rsidRDefault="00983EC4" w:rsidP="00983EC4"/>
    <w:p w14:paraId="3FB14F61" w14:textId="77777777" w:rsidR="00983EC4" w:rsidRDefault="00983EC4" w:rsidP="00983EC4"/>
    <w:p w14:paraId="103F2285" w14:textId="77777777" w:rsidR="00983EC4" w:rsidRDefault="00983EC4" w:rsidP="00983EC4"/>
    <w:p w14:paraId="611BF978" w14:textId="77777777" w:rsidR="00BD6FF4" w:rsidRDefault="00BD6FF4" w:rsidP="00983EC4"/>
    <w:sectPr w:rsidR="00BD6FF4" w:rsidSect="00983EC4">
      <w:headerReference w:type="default" r:id="rId28"/>
      <w:footerReference w:type="default" r:id="rId2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B7DE" w14:textId="77777777" w:rsidR="00DE2A40" w:rsidRDefault="00DE2A40" w:rsidP="005F7885">
      <w:r>
        <w:separator/>
      </w:r>
    </w:p>
  </w:endnote>
  <w:endnote w:type="continuationSeparator" w:id="0">
    <w:p w14:paraId="5CD032A2" w14:textId="77777777" w:rsidR="00DE2A40" w:rsidRDefault="00DE2A40" w:rsidP="005F7885">
      <w:r>
        <w:continuationSeparator/>
      </w:r>
    </w:p>
  </w:endnote>
  <w:endnote w:type="continuationNotice" w:id="1">
    <w:p w14:paraId="6103C916" w14:textId="77777777" w:rsidR="00DE2A40" w:rsidRDefault="00DE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4BC7" w14:textId="77777777" w:rsidR="00027C0D" w:rsidRDefault="00027C0D" w:rsidP="0021006D">
    <w:pPr>
      <w:pStyle w:val="Footer"/>
      <w:jc w:val="center"/>
    </w:pPr>
    <w:r>
      <w:fldChar w:fldCharType="begin"/>
    </w:r>
    <w:r>
      <w:instrText xml:space="preserve"> PAGE   \* MERGEFORMAT </w:instrText>
    </w:r>
    <w:r>
      <w:fldChar w:fldCharType="separate"/>
    </w:r>
    <w:r>
      <w:rPr>
        <w:noProof/>
      </w:rPr>
      <w:t>2</w:t>
    </w:r>
    <w:r>
      <w:rPr>
        <w:noProof/>
      </w:rPr>
      <w:fldChar w:fldCharType="end"/>
    </w:r>
  </w:p>
  <w:p w14:paraId="2255D541" w14:textId="77777777" w:rsidR="00983EC4" w:rsidRPr="00983EC4" w:rsidRDefault="00983EC4" w:rsidP="00983EC4">
    <w:pPr>
      <w:rPr>
        <w:sz w:val="20"/>
      </w:rPr>
    </w:pPr>
  </w:p>
  <w:p w14:paraId="51E2EEC9" w14:textId="29A68BFE" w:rsidR="00983EC4" w:rsidRDefault="0021006D" w:rsidP="00983EC4">
    <w:pPr>
      <w:pStyle w:val="Footer"/>
    </w:pPr>
    <w:r>
      <w:t>Revised 1/11/2022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8FB4" w14:textId="77777777" w:rsidR="00DE2A40" w:rsidRDefault="00DE2A40" w:rsidP="005F7885">
      <w:r>
        <w:separator/>
      </w:r>
    </w:p>
  </w:footnote>
  <w:footnote w:type="continuationSeparator" w:id="0">
    <w:p w14:paraId="7D23282C" w14:textId="77777777" w:rsidR="00DE2A40" w:rsidRDefault="00DE2A40" w:rsidP="005F7885">
      <w:r>
        <w:continuationSeparator/>
      </w:r>
    </w:p>
  </w:footnote>
  <w:footnote w:type="continuationNotice" w:id="1">
    <w:p w14:paraId="67DBD80F" w14:textId="77777777" w:rsidR="00DE2A40" w:rsidRDefault="00DE2A40"/>
  </w:footnote>
  <w:footnote w:id="2">
    <w:p w14:paraId="4FDE4BB5" w14:textId="77777777" w:rsidR="00983EC4" w:rsidRDefault="00983EC4">
      <w:pPr>
        <w:pStyle w:val="FootnoteText"/>
      </w:pPr>
      <w:r>
        <w:rPr>
          <w:rStyle w:val="FootnoteReference"/>
        </w:rPr>
        <w:footnoteRef/>
      </w:r>
      <w:r>
        <w:t xml:space="preserve"> </w:t>
      </w:r>
      <w:r w:rsidRPr="00983EC4">
        <w:t>https://www.cdc.gov/coronavirus/2019-ncov/need-extra-precautions/people-with-medical-conditions.html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2EB1" w14:textId="56DB5CAE" w:rsidR="00424729" w:rsidRDefault="00424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7C0D"/>
    <w:rsid w:val="00033154"/>
    <w:rsid w:val="00042048"/>
    <w:rsid w:val="000537DA"/>
    <w:rsid w:val="00054386"/>
    <w:rsid w:val="000545A8"/>
    <w:rsid w:val="0006532F"/>
    <w:rsid w:val="00076BE1"/>
    <w:rsid w:val="000B069A"/>
    <w:rsid w:val="000C4F4C"/>
    <w:rsid w:val="000C6DE9"/>
    <w:rsid w:val="000E5621"/>
    <w:rsid w:val="000E704D"/>
    <w:rsid w:val="000F1C55"/>
    <w:rsid w:val="000F315B"/>
    <w:rsid w:val="00112B5D"/>
    <w:rsid w:val="001131EC"/>
    <w:rsid w:val="0013100B"/>
    <w:rsid w:val="00134659"/>
    <w:rsid w:val="0015268B"/>
    <w:rsid w:val="001618DD"/>
    <w:rsid w:val="0017047F"/>
    <w:rsid w:val="00171FEC"/>
    <w:rsid w:val="00177C77"/>
    <w:rsid w:val="00182503"/>
    <w:rsid w:val="001C0FEE"/>
    <w:rsid w:val="001C7AB9"/>
    <w:rsid w:val="00205C46"/>
    <w:rsid w:val="0021006D"/>
    <w:rsid w:val="002215BA"/>
    <w:rsid w:val="002324A2"/>
    <w:rsid w:val="0025775A"/>
    <w:rsid w:val="00276957"/>
    <w:rsid w:val="00276DCC"/>
    <w:rsid w:val="00297749"/>
    <w:rsid w:val="002B5A92"/>
    <w:rsid w:val="002D0E1D"/>
    <w:rsid w:val="002E045F"/>
    <w:rsid w:val="002F68E6"/>
    <w:rsid w:val="0030083D"/>
    <w:rsid w:val="00312616"/>
    <w:rsid w:val="00333578"/>
    <w:rsid w:val="00335C41"/>
    <w:rsid w:val="00374CC4"/>
    <w:rsid w:val="00383E87"/>
    <w:rsid w:val="00385812"/>
    <w:rsid w:val="003875BC"/>
    <w:rsid w:val="00392D0B"/>
    <w:rsid w:val="00394678"/>
    <w:rsid w:val="003A67F6"/>
    <w:rsid w:val="003A7AFC"/>
    <w:rsid w:val="003B1CF2"/>
    <w:rsid w:val="003C60EF"/>
    <w:rsid w:val="003D6720"/>
    <w:rsid w:val="003F03AD"/>
    <w:rsid w:val="003F4BEA"/>
    <w:rsid w:val="00402F69"/>
    <w:rsid w:val="004122E6"/>
    <w:rsid w:val="00424729"/>
    <w:rsid w:val="004248DF"/>
    <w:rsid w:val="00427497"/>
    <w:rsid w:val="00465F89"/>
    <w:rsid w:val="004715A0"/>
    <w:rsid w:val="0048097B"/>
    <w:rsid w:val="004813AC"/>
    <w:rsid w:val="004A13D1"/>
    <w:rsid w:val="004B1897"/>
    <w:rsid w:val="004B37A0"/>
    <w:rsid w:val="004B6932"/>
    <w:rsid w:val="004B763E"/>
    <w:rsid w:val="004D6B39"/>
    <w:rsid w:val="004F7670"/>
    <w:rsid w:val="005448AA"/>
    <w:rsid w:val="00585417"/>
    <w:rsid w:val="005B160A"/>
    <w:rsid w:val="005D07EB"/>
    <w:rsid w:val="005E0A2D"/>
    <w:rsid w:val="005F2445"/>
    <w:rsid w:val="005F7885"/>
    <w:rsid w:val="006269CC"/>
    <w:rsid w:val="00632200"/>
    <w:rsid w:val="00674A74"/>
    <w:rsid w:val="0068365F"/>
    <w:rsid w:val="0069086D"/>
    <w:rsid w:val="006D06D9"/>
    <w:rsid w:val="006D77A6"/>
    <w:rsid w:val="006E25D7"/>
    <w:rsid w:val="007020FF"/>
    <w:rsid w:val="00702109"/>
    <w:rsid w:val="0072610D"/>
    <w:rsid w:val="007307E4"/>
    <w:rsid w:val="00760638"/>
    <w:rsid w:val="007A0CDD"/>
    <w:rsid w:val="007A29D0"/>
    <w:rsid w:val="007B3F4B"/>
    <w:rsid w:val="007B7347"/>
    <w:rsid w:val="007C49C4"/>
    <w:rsid w:val="007D10F3"/>
    <w:rsid w:val="00825FDD"/>
    <w:rsid w:val="00880062"/>
    <w:rsid w:val="008831EF"/>
    <w:rsid w:val="0088634F"/>
    <w:rsid w:val="00891107"/>
    <w:rsid w:val="008A20E5"/>
    <w:rsid w:val="008A5565"/>
    <w:rsid w:val="008B2328"/>
    <w:rsid w:val="00924791"/>
    <w:rsid w:val="00940D56"/>
    <w:rsid w:val="00945A24"/>
    <w:rsid w:val="00983EC4"/>
    <w:rsid w:val="009908FF"/>
    <w:rsid w:val="00995505"/>
    <w:rsid w:val="009A22AD"/>
    <w:rsid w:val="009A7DBB"/>
    <w:rsid w:val="009D77EC"/>
    <w:rsid w:val="009E01E0"/>
    <w:rsid w:val="009F5E7E"/>
    <w:rsid w:val="00A1330D"/>
    <w:rsid w:val="00A26158"/>
    <w:rsid w:val="00A30E69"/>
    <w:rsid w:val="00A3737E"/>
    <w:rsid w:val="00A37B72"/>
    <w:rsid w:val="00A40913"/>
    <w:rsid w:val="00A65101"/>
    <w:rsid w:val="00A673A0"/>
    <w:rsid w:val="00A86EE8"/>
    <w:rsid w:val="00AC2540"/>
    <w:rsid w:val="00AD1039"/>
    <w:rsid w:val="00AE46E5"/>
    <w:rsid w:val="00B17C42"/>
    <w:rsid w:val="00B2495A"/>
    <w:rsid w:val="00B25BB2"/>
    <w:rsid w:val="00B3522B"/>
    <w:rsid w:val="00B403BF"/>
    <w:rsid w:val="00B429F1"/>
    <w:rsid w:val="00B43DF7"/>
    <w:rsid w:val="00B608D9"/>
    <w:rsid w:val="00B66332"/>
    <w:rsid w:val="00B848D0"/>
    <w:rsid w:val="00B869E4"/>
    <w:rsid w:val="00B8731A"/>
    <w:rsid w:val="00BA0570"/>
    <w:rsid w:val="00BA1AD3"/>
    <w:rsid w:val="00BA4055"/>
    <w:rsid w:val="00BA7057"/>
    <w:rsid w:val="00BA7FB6"/>
    <w:rsid w:val="00BC5D26"/>
    <w:rsid w:val="00BD6FF4"/>
    <w:rsid w:val="00BF094A"/>
    <w:rsid w:val="00C20BFE"/>
    <w:rsid w:val="00C24EE2"/>
    <w:rsid w:val="00C31868"/>
    <w:rsid w:val="00C5736D"/>
    <w:rsid w:val="00C739BD"/>
    <w:rsid w:val="00C832EB"/>
    <w:rsid w:val="00CB6E20"/>
    <w:rsid w:val="00CC0D24"/>
    <w:rsid w:val="00CC1778"/>
    <w:rsid w:val="00CC536F"/>
    <w:rsid w:val="00CE575B"/>
    <w:rsid w:val="00CE72EC"/>
    <w:rsid w:val="00CF3DE8"/>
    <w:rsid w:val="00D0493F"/>
    <w:rsid w:val="00D53820"/>
    <w:rsid w:val="00D55979"/>
    <w:rsid w:val="00D56F91"/>
    <w:rsid w:val="00D642F2"/>
    <w:rsid w:val="00D73875"/>
    <w:rsid w:val="00D83C29"/>
    <w:rsid w:val="00D858DF"/>
    <w:rsid w:val="00D8671C"/>
    <w:rsid w:val="00DA062A"/>
    <w:rsid w:val="00DA57C3"/>
    <w:rsid w:val="00DB18F7"/>
    <w:rsid w:val="00DC3855"/>
    <w:rsid w:val="00DC6636"/>
    <w:rsid w:val="00DD13CF"/>
    <w:rsid w:val="00DE105A"/>
    <w:rsid w:val="00DE12BA"/>
    <w:rsid w:val="00DE2A40"/>
    <w:rsid w:val="00E0406F"/>
    <w:rsid w:val="00E242A8"/>
    <w:rsid w:val="00E2739A"/>
    <w:rsid w:val="00E274B8"/>
    <w:rsid w:val="00E42380"/>
    <w:rsid w:val="00E62E95"/>
    <w:rsid w:val="00E72707"/>
    <w:rsid w:val="00E80C3C"/>
    <w:rsid w:val="00EB62A0"/>
    <w:rsid w:val="00EE4354"/>
    <w:rsid w:val="00EF1364"/>
    <w:rsid w:val="00F0586E"/>
    <w:rsid w:val="00F15603"/>
    <w:rsid w:val="00F43932"/>
    <w:rsid w:val="00F83C8F"/>
    <w:rsid w:val="00F95A05"/>
    <w:rsid w:val="00FB1C25"/>
    <w:rsid w:val="00FC6B42"/>
    <w:rsid w:val="00FD542B"/>
    <w:rsid w:val="00FE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86DE73"/>
  <w15:chartTrackingRefBased/>
  <w15:docId w15:val="{EDA29E0B-68D3-4691-B735-CC3F2E68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Revision">
    <w:name w:val="Revision"/>
    <w:hidden/>
    <w:uiPriority w:val="99"/>
    <w:semiHidden/>
    <w:rsid w:val="003F03AD"/>
    <w:rPr>
      <w:sz w:val="24"/>
    </w:rPr>
  </w:style>
  <w:style w:type="paragraph" w:styleId="Header">
    <w:name w:val="header"/>
    <w:basedOn w:val="Normal"/>
    <w:link w:val="HeaderChar"/>
    <w:rsid w:val="005F7885"/>
    <w:pPr>
      <w:tabs>
        <w:tab w:val="center" w:pos="4680"/>
        <w:tab w:val="right" w:pos="9360"/>
      </w:tabs>
    </w:pPr>
  </w:style>
  <w:style w:type="character" w:customStyle="1" w:styleId="HeaderChar">
    <w:name w:val="Header Char"/>
    <w:link w:val="Header"/>
    <w:rsid w:val="005F7885"/>
    <w:rPr>
      <w:sz w:val="24"/>
    </w:rPr>
  </w:style>
  <w:style w:type="paragraph" w:styleId="Footer">
    <w:name w:val="footer"/>
    <w:basedOn w:val="Normal"/>
    <w:link w:val="FooterChar"/>
    <w:uiPriority w:val="99"/>
    <w:rsid w:val="005F7885"/>
    <w:pPr>
      <w:tabs>
        <w:tab w:val="center" w:pos="4680"/>
        <w:tab w:val="right" w:pos="9360"/>
      </w:tabs>
    </w:pPr>
  </w:style>
  <w:style w:type="character" w:customStyle="1" w:styleId="FooterChar">
    <w:name w:val="Footer Char"/>
    <w:link w:val="Footer"/>
    <w:uiPriority w:val="99"/>
    <w:rsid w:val="005F7885"/>
    <w:rPr>
      <w:sz w:val="24"/>
    </w:rPr>
  </w:style>
  <w:style w:type="character" w:styleId="CommentReference">
    <w:name w:val="annotation reference"/>
    <w:rsid w:val="00D858DF"/>
    <w:rPr>
      <w:sz w:val="16"/>
      <w:szCs w:val="16"/>
    </w:rPr>
  </w:style>
  <w:style w:type="paragraph" w:styleId="CommentText">
    <w:name w:val="annotation text"/>
    <w:basedOn w:val="Normal"/>
    <w:link w:val="CommentTextChar"/>
    <w:rsid w:val="00D858DF"/>
    <w:rPr>
      <w:sz w:val="20"/>
    </w:rPr>
  </w:style>
  <w:style w:type="character" w:customStyle="1" w:styleId="CommentTextChar">
    <w:name w:val="Comment Text Char"/>
    <w:basedOn w:val="DefaultParagraphFont"/>
    <w:link w:val="CommentText"/>
    <w:rsid w:val="00D858DF"/>
  </w:style>
  <w:style w:type="paragraph" w:styleId="CommentSubject">
    <w:name w:val="annotation subject"/>
    <w:basedOn w:val="CommentText"/>
    <w:next w:val="CommentText"/>
    <w:link w:val="CommentSubjectChar"/>
    <w:rsid w:val="00D858DF"/>
    <w:rPr>
      <w:b/>
      <w:bCs/>
    </w:rPr>
  </w:style>
  <w:style w:type="character" w:customStyle="1" w:styleId="CommentSubjectChar">
    <w:name w:val="Comment Subject Char"/>
    <w:link w:val="CommentSubject"/>
    <w:rsid w:val="00D858DF"/>
    <w:rPr>
      <w:b/>
      <w:bCs/>
    </w:rPr>
  </w:style>
  <w:style w:type="character" w:styleId="UnresolvedMention">
    <w:name w:val="Unresolved Mention"/>
    <w:uiPriority w:val="99"/>
    <w:semiHidden/>
    <w:unhideWhenUsed/>
    <w:rsid w:val="000C6DE9"/>
    <w:rPr>
      <w:color w:val="605E5C"/>
      <w:shd w:val="clear" w:color="auto" w:fill="E1DFDD"/>
    </w:rPr>
  </w:style>
  <w:style w:type="character" w:styleId="FollowedHyperlink">
    <w:name w:val="FollowedHyperlink"/>
    <w:rsid w:val="004B1897"/>
    <w:rPr>
      <w:color w:val="954F72"/>
      <w:u w:val="single"/>
    </w:rPr>
  </w:style>
  <w:style w:type="paragraph" w:styleId="ListParagraph">
    <w:name w:val="List Paragraph"/>
    <w:basedOn w:val="Normal"/>
    <w:uiPriority w:val="34"/>
    <w:qFormat/>
    <w:rsid w:val="00CE72EC"/>
    <w:pPr>
      <w:ind w:left="720"/>
      <w:contextualSpacing/>
    </w:pPr>
    <w:rPr>
      <w:rFonts w:ascii="Calibri" w:eastAsia="Calibri" w:hAnsi="Calibri"/>
      <w:szCs w:val="24"/>
    </w:rPr>
  </w:style>
  <w:style w:type="table" w:styleId="TableGrid">
    <w:name w:val="Table Grid"/>
    <w:basedOn w:val="TableNormal"/>
    <w:uiPriority w:val="39"/>
    <w:rsid w:val="00CE72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83EC4"/>
    <w:rPr>
      <w:sz w:val="20"/>
    </w:rPr>
  </w:style>
  <w:style w:type="character" w:customStyle="1" w:styleId="FootnoteTextChar">
    <w:name w:val="Footnote Text Char"/>
    <w:basedOn w:val="DefaultParagraphFont"/>
    <w:link w:val="FootnoteText"/>
    <w:rsid w:val="00983EC4"/>
  </w:style>
  <w:style w:type="character" w:styleId="FootnoteReference">
    <w:name w:val="footnote reference"/>
    <w:rsid w:val="00983E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da.gov/media/145611/download" TargetMode="External"/><Relationship Id="rId18" Type="http://schemas.openxmlformats.org/officeDocument/2006/relationships/hyperlink" Target="https://www.fda.gov/media/145611/download" TargetMode="External"/><Relationship Id="rId26" Type="http://schemas.openxmlformats.org/officeDocument/2006/relationships/hyperlink" Target="https://www.mass.gov/info-details/information-for-providers-about-monoclonal-antibody-mab-therapy-treatment-for-covid-19" TargetMode="External"/><Relationship Id="rId3" Type="http://schemas.openxmlformats.org/officeDocument/2006/relationships/styles" Target="styles.xml"/><Relationship Id="rId21" Type="http://schemas.openxmlformats.org/officeDocument/2006/relationships/hyperlink" Target="https://www.accessdata.fda.gov/drugsatfda_docs/label/2020/214787Orig1s000lbl.pdf" TargetMode="External"/><Relationship Id="rId7" Type="http://schemas.openxmlformats.org/officeDocument/2006/relationships/endnotes" Target="endnotes.xml"/><Relationship Id="rId12" Type="http://schemas.openxmlformats.org/officeDocument/2006/relationships/hyperlink" Target="https://www.fda.gov/media/149534/download" TargetMode="External"/><Relationship Id="rId17" Type="http://schemas.openxmlformats.org/officeDocument/2006/relationships/hyperlink" Target="https://www.fda.gov/media/154701/download" TargetMode="External"/><Relationship Id="rId25" Type="http://schemas.openxmlformats.org/officeDocument/2006/relationships/hyperlink" Target="https://www.cdc.gov/coronavirus/2019-ncov/need-extra-precautions/people-with-medical-conditions.html" TargetMode="External"/><Relationship Id="rId2" Type="http://schemas.openxmlformats.org/officeDocument/2006/relationships/numbering" Target="numbering.xml"/><Relationship Id="rId16" Type="http://schemas.openxmlformats.org/officeDocument/2006/relationships/hyperlink" Target="https://www.fda.gov/media/154701/download" TargetMode="External"/><Relationship Id="rId20" Type="http://schemas.openxmlformats.org/officeDocument/2006/relationships/hyperlink" Target="https://www.fda.gov/media/149534/downloa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5802/download" TargetMode="External"/><Relationship Id="rId24" Type="http://schemas.openxmlformats.org/officeDocument/2006/relationships/hyperlink" Target="https://www.covid19treatmentguidelines.nih.gov/therapies/statement-on-patient-prioritization-for-outpatient-therapies/" TargetMode="External"/><Relationship Id="rId5" Type="http://schemas.openxmlformats.org/officeDocument/2006/relationships/webSettings" Target="webSettings.xml"/><Relationship Id="rId15" Type="http://schemas.openxmlformats.org/officeDocument/2006/relationships/hyperlink" Target="https://www.fda.gov/media/145802/download" TargetMode="External"/><Relationship Id="rId23" Type="http://schemas.openxmlformats.org/officeDocument/2006/relationships/hyperlink" Target="https://www.fda.gov/media/155054/download" TargetMode="External"/><Relationship Id="rId28" Type="http://schemas.openxmlformats.org/officeDocument/2006/relationships/header" Target="header1.xml"/><Relationship Id="rId10" Type="http://schemas.openxmlformats.org/officeDocument/2006/relationships/hyperlink" Target="https://www.fda.gov/media/145611/download" TargetMode="External"/><Relationship Id="rId19" Type="http://schemas.openxmlformats.org/officeDocument/2006/relationships/hyperlink" Target="https://www.fda.gov/media/145802/downloa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media/149534/download" TargetMode="External"/><Relationship Id="rId14" Type="http://schemas.openxmlformats.org/officeDocument/2006/relationships/hyperlink" Target="https://www.fda.gov/media/145611/download" TargetMode="External"/><Relationship Id="rId22" Type="http://schemas.openxmlformats.org/officeDocument/2006/relationships/hyperlink" Target="https://www.fda.gov/media/155049/download" TargetMode="External"/><Relationship Id="rId27" Type="http://schemas.openxmlformats.org/officeDocument/2006/relationships/hyperlink" Target="https://mdphgis.maps.arcgis.com/apps/instant/nearby/index.html?appid=82983fa9f6d44e2aaf1d5bd420aa57ff&amp;sliderDistance=2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1036-9B52-4410-A7DF-2460989D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9</TotalTime>
  <Pages>7</Pages>
  <Words>2574</Words>
  <Characters>16866</Characters>
  <Application>Microsoft Office Word</Application>
  <DocSecurity>4</DocSecurity>
  <Lines>285</Lines>
  <Paragraphs>124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19316</CharactersWithSpaces>
  <SharedDoc>false</SharedDoc>
  <HLinks>
    <vt:vector size="126" baseType="variant">
      <vt:variant>
        <vt:i4>6619170</vt:i4>
      </vt:variant>
      <vt:variant>
        <vt:i4>60</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57</vt:i4>
      </vt:variant>
      <vt:variant>
        <vt:i4>0</vt:i4>
      </vt:variant>
      <vt:variant>
        <vt:i4>5</vt:i4>
      </vt:variant>
      <vt:variant>
        <vt:lpwstr>https://mdphgis.maps.arcgis.com/apps/instant/nearby/index.html?appid=82983fa9f6d44e2aaf1d5bd420aa57ff&amp;sliderDistance=24</vt:lpwstr>
      </vt:variant>
      <vt:variant>
        <vt:lpwstr/>
      </vt:variant>
      <vt:variant>
        <vt:i4>327770</vt:i4>
      </vt:variant>
      <vt:variant>
        <vt:i4>54</vt:i4>
      </vt:variant>
      <vt:variant>
        <vt:i4>0</vt:i4>
      </vt:variant>
      <vt:variant>
        <vt:i4>5</vt:i4>
      </vt:variant>
      <vt:variant>
        <vt:lpwstr>https://www.mass.gov/info-details/information-for-providers-about-monoclonal-antibody-mab-therapy-treatment-for-covid-19</vt:lpwstr>
      </vt:variant>
      <vt:variant>
        <vt:lpwstr/>
      </vt:variant>
      <vt:variant>
        <vt:i4>327770</vt:i4>
      </vt:variant>
      <vt:variant>
        <vt:i4>51</vt:i4>
      </vt:variant>
      <vt:variant>
        <vt:i4>0</vt:i4>
      </vt:variant>
      <vt:variant>
        <vt:i4>5</vt:i4>
      </vt:variant>
      <vt:variant>
        <vt:lpwstr>https://www.mass.gov/info-details/information-for-providers-about-monoclonal-antibody-mab-therapy-treatment-for-covid-19</vt:lpwstr>
      </vt:variant>
      <vt:variant>
        <vt:lpwstr/>
      </vt:variant>
      <vt:variant>
        <vt:i4>5636183</vt:i4>
      </vt:variant>
      <vt:variant>
        <vt:i4>48</vt:i4>
      </vt:variant>
      <vt:variant>
        <vt:i4>0</vt:i4>
      </vt:variant>
      <vt:variant>
        <vt:i4>5</vt:i4>
      </vt:variant>
      <vt:variant>
        <vt:lpwstr>https://www.cdc.gov/coronavirus/2019-ncov/need-extra-precautions/people-with-medical-conditions.html</vt:lpwstr>
      </vt:variant>
      <vt:variant>
        <vt:lpwstr/>
      </vt:variant>
      <vt:variant>
        <vt:i4>6684728</vt:i4>
      </vt:variant>
      <vt:variant>
        <vt:i4>45</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42</vt:i4>
      </vt:variant>
      <vt:variant>
        <vt:i4>0</vt:i4>
      </vt:variant>
      <vt:variant>
        <vt:i4>5</vt:i4>
      </vt:variant>
      <vt:variant>
        <vt:lpwstr>https://www.fda.gov/media/155054/download</vt:lpwstr>
      </vt:variant>
      <vt:variant>
        <vt:lpwstr/>
      </vt:variant>
      <vt:variant>
        <vt:i4>4390991</vt:i4>
      </vt:variant>
      <vt:variant>
        <vt:i4>39</vt:i4>
      </vt:variant>
      <vt:variant>
        <vt:i4>0</vt:i4>
      </vt:variant>
      <vt:variant>
        <vt:i4>5</vt:i4>
      </vt:variant>
      <vt:variant>
        <vt:lpwstr>https://www.fda.gov/media/155049/download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4849732</vt:i4>
      </vt:variant>
      <vt:variant>
        <vt:i4>33</vt:i4>
      </vt:variant>
      <vt:variant>
        <vt:i4>0</vt:i4>
      </vt:variant>
      <vt:variant>
        <vt:i4>5</vt:i4>
      </vt:variant>
      <vt:variant>
        <vt:lpwstr>https://www.fda.gov/media/149534/download</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24</vt:i4>
      </vt:variant>
      <vt:variant>
        <vt:i4>0</vt:i4>
      </vt:variant>
      <vt:variant>
        <vt:i4>5</vt:i4>
      </vt:variant>
      <vt:variant>
        <vt:lpwstr>https://www.fda.gov/media/154701/download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18</vt:i4>
      </vt:variant>
      <vt:variant>
        <vt:i4>0</vt:i4>
      </vt:variant>
      <vt:variant>
        <vt:i4>5</vt:i4>
      </vt:variant>
      <vt:variant>
        <vt:lpwstr>https://www.fda.gov/media/145802/download</vt:lpwstr>
      </vt:variant>
      <vt:variant>
        <vt:lpwstr/>
      </vt:variant>
      <vt:variant>
        <vt:i4>4980810</vt:i4>
      </vt:variant>
      <vt:variant>
        <vt:i4>15</vt:i4>
      </vt:variant>
      <vt:variant>
        <vt:i4>0</vt:i4>
      </vt:variant>
      <vt:variant>
        <vt:i4>5</vt:i4>
      </vt:variant>
      <vt:variant>
        <vt:lpwstr>https://www.fda.gov/media/145611/download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4849732</vt:i4>
      </vt:variant>
      <vt:variant>
        <vt:i4>9</vt:i4>
      </vt:variant>
      <vt:variant>
        <vt:i4>0</vt:i4>
      </vt:variant>
      <vt:variant>
        <vt:i4>5</vt:i4>
      </vt:variant>
      <vt:variant>
        <vt:lpwstr>https://www.fda.gov/media/149534/download</vt:lpwstr>
      </vt:variant>
      <vt:variant>
        <vt:lpwstr/>
      </vt:variant>
      <vt:variant>
        <vt:i4>4259915</vt:i4>
      </vt:variant>
      <vt:variant>
        <vt:i4>6</vt:i4>
      </vt:variant>
      <vt:variant>
        <vt:i4>0</vt:i4>
      </vt:variant>
      <vt:variant>
        <vt:i4>5</vt:i4>
      </vt:variant>
      <vt:variant>
        <vt:lpwstr>https://www.fda.gov/media/145802/download</vt:lpwstr>
      </vt:variant>
      <vt:variant>
        <vt:lpwstr/>
      </vt:variant>
      <vt:variant>
        <vt:i4>4980810</vt:i4>
      </vt:variant>
      <vt:variant>
        <vt:i4>3</vt:i4>
      </vt:variant>
      <vt:variant>
        <vt:i4>0</vt:i4>
      </vt:variant>
      <vt:variant>
        <vt:i4>5</vt:i4>
      </vt:variant>
      <vt:variant>
        <vt:lpwstr>https://www.fda.gov/media/145611/download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cp:lastModifiedBy>McNamara, Torey (DPH)</cp:lastModifiedBy>
  <cp:revision>2</cp:revision>
  <cp:lastPrinted>2020-08-12T21:19:00Z</cp:lastPrinted>
  <dcterms:created xsi:type="dcterms:W3CDTF">2022-01-13T14:39:00Z</dcterms:created>
  <dcterms:modified xsi:type="dcterms:W3CDTF">2022-01-13T14:39:00Z</dcterms:modified>
</cp:coreProperties>
</file>