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1EC1D" w14:textId="77777777" w:rsidR="00E52620" w:rsidRDefault="00E52620" w:rsidP="00834B2A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BA03CE" wp14:editId="7530BD04">
            <wp:simplePos x="0" y="0"/>
            <wp:positionH relativeFrom="column">
              <wp:posOffset>-27940</wp:posOffset>
            </wp:positionH>
            <wp:positionV relativeFrom="paragraph">
              <wp:posOffset>-266700</wp:posOffset>
            </wp:positionV>
            <wp:extent cx="847725" cy="1209675"/>
            <wp:effectExtent l="0" t="0" r="9525" b="9525"/>
            <wp:wrapNone/>
            <wp:docPr id="3" name="Picture 3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al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" w:hAnsi="Bookman"/>
          <w:iCs/>
          <w:color w:val="333399"/>
          <w:sz w:val="28"/>
        </w:rPr>
        <w:t>The Commonwealth of Massachusetts</w:t>
      </w:r>
    </w:p>
    <w:p w14:paraId="30FBEEAD" w14:textId="77777777" w:rsidR="00E52620" w:rsidRDefault="00E52620" w:rsidP="00834B2A">
      <w:pPr>
        <w:jc w:val="center"/>
        <w:rPr>
          <w:rFonts w:ascii="Bookman" w:hAnsi="Bookman"/>
          <w:iCs/>
          <w:color w:val="333399"/>
          <w:sz w:val="28"/>
        </w:rPr>
      </w:pPr>
      <w:r>
        <w:rPr>
          <w:rFonts w:ascii="Bookman" w:hAnsi="Bookman"/>
          <w:iCs/>
          <w:color w:val="333399"/>
          <w:sz w:val="28"/>
        </w:rPr>
        <w:t>Executive Office of Elder Affairs</w:t>
      </w:r>
    </w:p>
    <w:p w14:paraId="4C002A07" w14:textId="77777777" w:rsidR="00E52620" w:rsidRDefault="00E52620" w:rsidP="00834B2A">
      <w:pPr>
        <w:pStyle w:val="Heading2"/>
        <w:rPr>
          <w:i w:val="0"/>
        </w:rPr>
      </w:pPr>
      <w:r>
        <w:rPr>
          <w:i w:val="0"/>
        </w:rPr>
        <w:t>One Ashburton Place, 5th Floor</w:t>
      </w:r>
    </w:p>
    <w:p w14:paraId="3D593DD0" w14:textId="51312316" w:rsidR="00E52620" w:rsidRDefault="00E52620" w:rsidP="00834B2A">
      <w:pPr>
        <w:pStyle w:val="Heading2"/>
        <w:rPr>
          <w:i w:val="0"/>
        </w:rPr>
      </w:pPr>
      <w:r>
        <w:rPr>
          <w:i w:val="0"/>
        </w:rPr>
        <w:t xml:space="preserve">Boston, </w:t>
      </w:r>
      <w:r w:rsidR="00A5770C">
        <w:rPr>
          <w:i w:val="0"/>
        </w:rPr>
        <w:t>Massachusetts 02108</w:t>
      </w:r>
    </w:p>
    <w:p w14:paraId="23A5244A" w14:textId="77777777" w:rsidR="00E52620" w:rsidRDefault="00E52620" w:rsidP="00E52620">
      <w:pPr>
        <w:pStyle w:val="Heading1"/>
        <w:rPr>
          <w:i w:val="0"/>
          <w:color w:val="4451C8"/>
          <w:sz w:val="24"/>
          <w:szCs w:val="24"/>
        </w:rPr>
      </w:pPr>
    </w:p>
    <w:p w14:paraId="116DE88D" w14:textId="77777777" w:rsidR="00E52620" w:rsidRDefault="0085583A" w:rsidP="00E52620">
      <w:pPr>
        <w:ind w:left="-360"/>
        <w:rPr>
          <w:b/>
          <w:color w:val="303BA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D031B8" wp14:editId="73105601">
                <wp:simplePos x="0" y="0"/>
                <wp:positionH relativeFrom="column">
                  <wp:posOffset>-209550</wp:posOffset>
                </wp:positionH>
                <wp:positionV relativeFrom="paragraph">
                  <wp:posOffset>91440</wp:posOffset>
                </wp:positionV>
                <wp:extent cx="2247900" cy="1657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73F1D" w14:textId="77777777" w:rsidR="00E52620" w:rsidRDefault="00E52620" w:rsidP="00E52620">
                            <w:pPr>
                              <w:rPr>
                                <w:b/>
                                <w:color w:val="333399"/>
                                <w:sz w:val="16"/>
                              </w:rPr>
                            </w:pPr>
                          </w:p>
                          <w:p w14:paraId="634D1DFD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208466AD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263C6AE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8C9ADCC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0C1D2183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549B4D1F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4EA7062" w14:textId="77777777" w:rsidR="00F918B9" w:rsidRDefault="00F918B9" w:rsidP="00E52620">
                            <w:pPr>
                              <w:shd w:val="solid" w:color="FFFFFF" w:fill="FFFFFF"/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10E63C71" w14:textId="77777777" w:rsidR="00E52620" w:rsidRPr="00242ECF" w:rsidRDefault="00F918B9" w:rsidP="00E52620">
                            <w:pPr>
                              <w:shd w:val="solid" w:color="FFFFFF" w:fill="FFFFFF"/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F918B9"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t>S</w:t>
                            </w:r>
                            <w:r w:rsidRPr="00F918B9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</w:rPr>
                              <w:t>ecretary</w:t>
                            </w:r>
                            <w:r w:rsidR="00866CC1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</w:rPr>
                              <w:t>, Executive Office of Health and</w:t>
                            </w:r>
                            <w:r w:rsidR="0015388B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</w:rPr>
                              <w:t xml:space="preserve"> Human Services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br/>
                            </w:r>
                            <w:r w:rsidR="00E52620" w:rsidRPr="00242ECF"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t xml:space="preserve">ELIZABETH C. CHEN, </w:t>
                            </w:r>
                            <w:r w:rsidR="00E52620"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>PhD</w:t>
                            </w:r>
                            <w:r w:rsidR="00E52620" w:rsidRPr="00242ECF">
                              <w:rPr>
                                <w:rFonts w:ascii="Bookman Old Style" w:hAnsi="Bookman Old Style" w:cs="Arial"/>
                                <w:b/>
                                <w:caps/>
                                <w:color w:val="333399"/>
                                <w:sz w:val="16"/>
                                <w:szCs w:val="16"/>
                              </w:rPr>
                              <w:t>, mba, mph</w:t>
                            </w:r>
                          </w:p>
                          <w:p w14:paraId="6BA9708C" w14:textId="77777777" w:rsidR="00E52620" w:rsidRPr="00242ECF" w:rsidRDefault="00E52620" w:rsidP="00E52620">
                            <w:pPr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 w:cs="Arial"/>
                                <w:b/>
                                <w:color w:val="333399"/>
                                <w:sz w:val="16"/>
                                <w:szCs w:val="16"/>
                              </w:rPr>
                              <w:t xml:space="preserve">Secretary </w:t>
                            </w:r>
                          </w:p>
                          <w:p w14:paraId="5E4F9F39" w14:textId="77777777" w:rsidR="00E52620" w:rsidRDefault="00E52620" w:rsidP="00E52620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0"/>
                                <w:lang w:val="en"/>
                              </w:rPr>
                            </w:pPr>
                          </w:p>
                          <w:p w14:paraId="2F9C2AFE" w14:textId="77777777" w:rsidR="00E52620" w:rsidRDefault="00E52620" w:rsidP="00E52620">
                            <w:pPr>
                              <w:widowControl w:val="0"/>
                              <w:jc w:val="center"/>
                              <w:rPr>
                                <w:color w:val="000000"/>
                                <w:sz w:val="20"/>
                                <w:lang w:val="en"/>
                              </w:rPr>
                            </w:pPr>
                          </w:p>
                          <w:p w14:paraId="152A3196" w14:textId="77777777" w:rsidR="00E52620" w:rsidRDefault="00E52620" w:rsidP="00E5262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31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6.5pt;margin-top:7.2pt;width:177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t58wEAAMcDAAAOAAAAZHJzL2Uyb0RvYy54bWysU9tu2zAMfR+wfxD0vtjJkqY14hRdiw4D&#10;ugvQ7gMYWY6F2aJGKbGzrx8lp1m6vg17EcSLDg8PqdX10LVir8kbtKWcTnIptFVYGbst5fen+3eX&#10;UvgAtoIWrS7lQXt5vX77ZtW7Qs+wwbbSJBjE+qJ3pWxCcEWWedXoDvwEnbYcrJE6CGzSNqsIekbv&#10;2myW5xdZj1Q5QqW9Z+/dGJTrhF/XWoWvde11EG0pmVtIJ6VzE89svYJiS+Aao4404B9YdGAsFz1B&#10;3UEAsSPzCqozitBjHSYKuwzr2iideuBupvlf3Tw24HTqhcXx7iST/3+w6sv+GwlTlZIHZaHjET3p&#10;IYgPOIjLqE7vfMFJj47TwsBunnLq1LsHVD+8sHjbgN3qGyLsGw0Vs5vGl9nZ0xHHR5BN/xkrLgO7&#10;gAloqKmL0rEYgtF5SofTZCIVxc7ZbL68yjmkODa9WCzfL9LsMiienzvy4aPGTsRLKYlHn+Bh/+BD&#10;pAPFc0qsZvHetG0af2tfODgxehL9yHjkHobNcJRjg9WBGyEct4m3ny8N0i8pet6kUvqfOyAtRfvJ&#10;shhX0/k8rl4y5ovljA06j2zOI2AVQ5UySDFeb8O4rjtHZttwpVF+izcsYG1Sa1HpkdWRN29L6vi4&#10;2XEdz+2U9ef/rX8DAAD//wMAUEsDBBQABgAIAAAAIQCK8VRX3wAAAAoBAAAPAAAAZHJzL2Rvd25y&#10;ZXYueG1sTI/NTsMwEITvSLyDtZW4tXaTFGgap0IgrqCWH6k3N94mEfE6it0mvD3LCY47M5r9pthO&#10;rhMXHELrScNyoUAgVd62VGt4f3ue34MI0ZA1nSfU8I0BtuX1VWFy60fa4WUfa8ElFHKjoYmxz6UM&#10;VYPOhIXvkdg7+cGZyOdQSzuYkctdJxOlbqUzLfGHxvT42GD1tT87DR8vp8Nnpl7rJ7fqRz8pSW4t&#10;tb6ZTQ8bEBGn+BeGX3xGh5KZjv5MNohOwzxNeUtkI8tAcCBNliwcNSR3qwxkWcj/E8ofAAAA//8D&#10;AFBLAQItABQABgAIAAAAIQC2gziS/gAAAOEBAAATAAAAAAAAAAAAAAAAAAAAAABbQ29udGVudF9U&#10;eXBlc10ueG1sUEsBAi0AFAAGAAgAAAAhADj9If/WAAAAlAEAAAsAAAAAAAAAAAAAAAAALwEAAF9y&#10;ZWxzLy5yZWxzUEsBAi0AFAAGAAgAAAAhAK4XC3nzAQAAxwMAAA4AAAAAAAAAAAAAAAAALgIAAGRy&#10;cy9lMm9Eb2MueG1sUEsBAi0AFAAGAAgAAAAhAIrxVFffAAAACgEAAA8AAAAAAAAAAAAAAAAATQQA&#10;AGRycy9kb3ducmV2LnhtbFBLBQYAAAAABAAEAPMAAABZBQAAAAA=&#10;" filled="f" stroked="f">
                <v:textbox>
                  <w:txbxContent>
                    <w:p w14:paraId="57473F1D" w14:textId="77777777" w:rsidR="00E52620" w:rsidRDefault="00E52620" w:rsidP="00E52620">
                      <w:pPr>
                        <w:rPr>
                          <w:b/>
                          <w:color w:val="333399"/>
                          <w:sz w:val="16"/>
                        </w:rPr>
                      </w:pPr>
                    </w:p>
                    <w:p w14:paraId="634D1DFD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208466AD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263C6AE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</w:p>
                    <w:p w14:paraId="18C9ADCC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0C1D2183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549B4D1F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</w:p>
                    <w:p w14:paraId="64EA7062" w14:textId="77777777" w:rsidR="00F918B9" w:rsidRDefault="00F918B9" w:rsidP="00E52620">
                      <w:pPr>
                        <w:shd w:val="solid" w:color="FFFFFF" w:fill="FFFFFF"/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10E63C71" w14:textId="77777777" w:rsidR="00E52620" w:rsidRPr="00242ECF" w:rsidRDefault="00F918B9" w:rsidP="00E52620">
                      <w:pPr>
                        <w:shd w:val="solid" w:color="FFFFFF" w:fill="FFFFFF"/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</w:pPr>
                      <w:r w:rsidRPr="00F918B9"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t>S</w:t>
                      </w:r>
                      <w:r w:rsidRPr="00F918B9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</w:rPr>
                        <w:t>ecretary</w:t>
                      </w:r>
                      <w:r w:rsidR="00866CC1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</w:rPr>
                        <w:t>, Executive Office of Health and</w:t>
                      </w:r>
                      <w:r w:rsidR="0015388B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</w:rPr>
                        <w:t xml:space="preserve"> Human Services</w:t>
                      </w:r>
                      <w:r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br/>
                      </w:r>
                      <w:r w:rsidR="00E52620" w:rsidRPr="00242ECF"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t xml:space="preserve">ELIZABETH C. CHEN, </w:t>
                      </w:r>
                      <w:r w:rsidR="00E52620"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>PhD</w:t>
                      </w:r>
                      <w:r w:rsidR="00E52620" w:rsidRPr="00242ECF">
                        <w:rPr>
                          <w:rFonts w:ascii="Bookman Old Style" w:hAnsi="Bookman Old Style" w:cs="Arial"/>
                          <w:b/>
                          <w:caps/>
                          <w:color w:val="333399"/>
                          <w:sz w:val="16"/>
                          <w:szCs w:val="16"/>
                        </w:rPr>
                        <w:t>, mba, mph</w:t>
                      </w:r>
                    </w:p>
                    <w:p w14:paraId="6BA9708C" w14:textId="77777777" w:rsidR="00E52620" w:rsidRPr="00242ECF" w:rsidRDefault="00E52620" w:rsidP="00E52620">
                      <w:pPr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 w:cs="Arial"/>
                          <w:b/>
                          <w:color w:val="333399"/>
                          <w:sz w:val="16"/>
                          <w:szCs w:val="16"/>
                        </w:rPr>
                        <w:t xml:space="preserve">Secretary </w:t>
                      </w:r>
                    </w:p>
                    <w:p w14:paraId="5E4F9F39" w14:textId="77777777" w:rsidR="00E52620" w:rsidRDefault="00E52620" w:rsidP="00E52620">
                      <w:pPr>
                        <w:widowControl w:val="0"/>
                        <w:jc w:val="center"/>
                        <w:rPr>
                          <w:color w:val="000000"/>
                          <w:sz w:val="20"/>
                          <w:lang w:val="en"/>
                        </w:rPr>
                      </w:pPr>
                    </w:p>
                    <w:p w14:paraId="2F9C2AFE" w14:textId="77777777" w:rsidR="00E52620" w:rsidRDefault="00E52620" w:rsidP="00E52620">
                      <w:pPr>
                        <w:widowControl w:val="0"/>
                        <w:jc w:val="center"/>
                        <w:rPr>
                          <w:color w:val="000000"/>
                          <w:sz w:val="20"/>
                          <w:lang w:val="en"/>
                        </w:rPr>
                      </w:pPr>
                    </w:p>
                    <w:p w14:paraId="152A3196" w14:textId="77777777" w:rsidR="00E52620" w:rsidRDefault="00E52620" w:rsidP="00E52620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F2F81" w14:textId="77777777" w:rsidR="00E52620" w:rsidRDefault="0085583A" w:rsidP="00E52620">
      <w:pPr>
        <w:ind w:left="-360"/>
        <w:rPr>
          <w:b/>
          <w:color w:val="333399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C04F5C" wp14:editId="70B164F2">
                <wp:simplePos x="0" y="0"/>
                <wp:positionH relativeFrom="margin">
                  <wp:posOffset>4395470</wp:posOffset>
                </wp:positionH>
                <wp:positionV relativeFrom="margin">
                  <wp:posOffset>1200150</wp:posOffset>
                </wp:positionV>
                <wp:extent cx="1664970" cy="861060"/>
                <wp:effectExtent l="0" t="0" r="0" b="0"/>
                <wp:wrapSquare wrapText="bothSides"/>
                <wp:docPr id="7" name="Double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86106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39CAAA" w14:textId="77777777" w:rsidR="00E52620" w:rsidRPr="00242ECF" w:rsidRDefault="00E52620" w:rsidP="00E52620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  <w:t>Tel: (617) 727-7750</w:t>
                            </w:r>
                          </w:p>
                          <w:p w14:paraId="5B209EF8" w14:textId="77777777" w:rsidR="00E52620" w:rsidRPr="00242ECF" w:rsidRDefault="00E52620" w:rsidP="00E52620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42ECF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  <w:t>Fax: (617) 727-9368</w:t>
                            </w:r>
                          </w:p>
                          <w:p w14:paraId="0D7F6751" w14:textId="77777777" w:rsidR="00E52620" w:rsidRPr="00242ECF" w:rsidRDefault="0085583A" w:rsidP="00E52620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  <w:t xml:space="preserve">TTY/TTD: </w:t>
                            </w:r>
                            <w:r w:rsidR="00E52620" w:rsidRPr="00242ECF">
                              <w:rPr>
                                <w:rFonts w:ascii="Bookman Old Style" w:hAnsi="Bookman Old Style"/>
                                <w:b/>
                                <w:color w:val="333399"/>
                                <w:sz w:val="16"/>
                                <w:szCs w:val="16"/>
                              </w:rPr>
                              <w:t>1-800-872-0166</w:t>
                            </w:r>
                          </w:p>
                          <w:p w14:paraId="6BAB4306" w14:textId="77777777" w:rsidR="00E52620" w:rsidRPr="00834B2A" w:rsidRDefault="00EE02F5" w:rsidP="00E52620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0E39A0" w:rsidRPr="0060552A">
                                <w:rPr>
                                  <w:rStyle w:val="Hyperlink"/>
                                  <w:rFonts w:ascii="Bookman Old Style" w:hAnsi="Bookman Old Style"/>
                                  <w:b/>
                                  <w:sz w:val="16"/>
                                  <w:szCs w:val="16"/>
                                </w:rPr>
                                <w:t>www.mass.gov/elders</w:t>
                              </w:r>
                            </w:hyperlink>
                            <w:r w:rsidR="000E39A0">
                              <w:rPr>
                                <w:rFonts w:ascii="Bookman Old Style" w:hAnsi="Bookman Old Style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4B2A">
                              <w:rPr>
                                <w:rFonts w:ascii="Bookman Old Style" w:hAnsi="Bookman Old Style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372AA7" w14:textId="77777777" w:rsidR="00E52620" w:rsidRDefault="00E52620" w:rsidP="00E52620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04F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7" type="#_x0000_t185" style="position:absolute;left:0;text-align:left;margin-left:346.1pt;margin-top:94.5pt;width:131.1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kzDAIAAAkEAAAOAAAAZHJzL2Uyb0RvYy54bWysU8Fu2zAMvQ/YPwi6L7aDNsmMOkXXIMOA&#10;bg3Q7QNoWY61ypJGKbGzrx8tJ1my3YZdBJKiHsn3qLv7vtVsL9ErawqeTVLOpBG2UmZb8G9f1+8W&#10;nPkApgJtjSz4QXp+v3z75q5zuZzaxupKIiMQ4/POFbwJweVJ4kUjW/AT66Shy9piC4Fc3CYVQkfo&#10;rU6maTpLOouVQyuk9xRdjZd8GfHrWorwXNdeBqYLTr2FeGI8y+FMlneQbxFco8SxDfiHLlpQhoqe&#10;oVYQgO1Q/QXVKoHW2zpMhG0TW9dKyDgDTZOlf0zz0oCTcRYix7szTf7/wYov+w0yVRV8zpmBliRa&#10;2V2pJfuAIF6JuPnAUed8TqkvboPDlN49WfHqmbGPDZitfEC0XSOhos6yIT+5ejA4np6ysvtsKyoB&#10;u2AjXX2N7QBIRLA+qnI4qyL7wAQFs9ns5v2cxBN0t5hl6SzKlkB+eu3Qh4/StmwwCl6OnW9AYSwC&#10;+ycfojjVcUSovnNWt5qk3oNmi/R27BryYy6Bn0CHh8auldZxV7S5ClDiGJFx2ajQafph4JG40Jd9&#10;pDgWGcgobXUgOtCO+0j/h4zG4k/OOtrFgvsfO0DJmf5kiNKb2/l0WN5LBy+d8tIBIwiq4IGz0XwM&#10;48LvHKptQ5WySIt3DyTDWp07Hrs6ikf7RtbVQl/6Mev3D17+AgAA//8DAFBLAwQUAAYACAAAACEA&#10;4dw4UOAAAAALAQAADwAAAGRycy9kb3ducmV2LnhtbEyPwU7DMBBE70j8g7VI3KhDCFET4lQIqceC&#10;WlCBmxMvcUS8jmK3DXw9ywmOq3mafVOtZjeII06h96TgepGAQGq96alT8PK8vlqCCFGT0YMnVPCF&#10;AVb1+VmlS+NPtMXjLnaCSyiUWoGNcSylDK1Fp8PCj0icffjJ6cjn1Ekz6ROXu0GmSZJLp3viD1aP&#10;+GCx/dwdnIJN8z1m+3Vswvbpzb4/bvxevmZKXV7M93cgIs7xD4ZffVaHmp0afyATxKAgL9KUUQ6W&#10;BY9iorjNMhCNgps0y0HWlfy/of4BAAD//wMAUEsBAi0AFAAGAAgAAAAhALaDOJL+AAAA4QEAABMA&#10;AAAAAAAAAAAAAAAAAAAAAFtDb250ZW50X1R5cGVzXS54bWxQSwECLQAUAAYACAAAACEAOP0h/9YA&#10;AACUAQAACwAAAAAAAAAAAAAAAAAvAQAAX3JlbHMvLnJlbHNQSwECLQAUAAYACAAAACEAnb8ZMwwC&#10;AAAJBAAADgAAAAAAAAAAAAAAAAAuAgAAZHJzL2Uyb0RvYy54bWxQSwECLQAUAAYACAAAACEA4dw4&#10;UOAAAAALAQAADwAAAAAAAAAAAAAAAABmBAAAZHJzL2Rvd25yZXYueG1sUEsFBgAAAAAEAAQA8wAA&#10;AHMFAAAAAA==&#10;" o:allowincell="f" adj="1739" fillcolor="#943634" stroked="f" strokecolor="#9bbb59" strokeweight="3pt">
                <v:textbox style="mso-fit-shape-to-text:t" inset="3.6pt,,3.6pt">
                  <w:txbxContent>
                    <w:p w14:paraId="0339CAAA" w14:textId="77777777" w:rsidR="00E52620" w:rsidRPr="00242ECF" w:rsidRDefault="00E52620" w:rsidP="00E52620">
                      <w:pPr>
                        <w:jc w:val="right"/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  <w:t>Tel: (617) 727-7750</w:t>
                      </w:r>
                    </w:p>
                    <w:p w14:paraId="5B209EF8" w14:textId="77777777" w:rsidR="00E52620" w:rsidRPr="00242ECF" w:rsidRDefault="00E52620" w:rsidP="00E52620">
                      <w:pPr>
                        <w:jc w:val="right"/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</w:pPr>
                      <w:r w:rsidRPr="00242ECF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  <w:t>Fax: (617) 727-9368</w:t>
                      </w:r>
                    </w:p>
                    <w:p w14:paraId="0D7F6751" w14:textId="77777777" w:rsidR="00E52620" w:rsidRPr="00242ECF" w:rsidRDefault="0085583A" w:rsidP="00E52620">
                      <w:pPr>
                        <w:jc w:val="right"/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  <w:t xml:space="preserve">TTY/TTD: </w:t>
                      </w:r>
                      <w:r w:rsidR="00E52620" w:rsidRPr="00242ECF">
                        <w:rPr>
                          <w:rFonts w:ascii="Bookman Old Style" w:hAnsi="Bookman Old Style"/>
                          <w:b/>
                          <w:color w:val="333399"/>
                          <w:sz w:val="16"/>
                          <w:szCs w:val="16"/>
                        </w:rPr>
                        <w:t>1-800-872-0166</w:t>
                      </w:r>
                    </w:p>
                    <w:p w14:paraId="6BAB4306" w14:textId="77777777" w:rsidR="00E52620" w:rsidRPr="00834B2A" w:rsidRDefault="00EE02F5" w:rsidP="00E52620">
                      <w:pPr>
                        <w:jc w:val="right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hyperlink r:id="rId9" w:history="1">
                        <w:r w:rsidR="000E39A0" w:rsidRPr="0060552A">
                          <w:rPr>
                            <w:rStyle w:val="Hyperlink"/>
                            <w:rFonts w:ascii="Bookman Old Style" w:hAnsi="Bookman Old Style"/>
                            <w:b/>
                            <w:sz w:val="16"/>
                            <w:szCs w:val="16"/>
                          </w:rPr>
                          <w:t>www.mass.gov/elders</w:t>
                        </w:r>
                      </w:hyperlink>
                      <w:r w:rsidR="000E39A0">
                        <w:rPr>
                          <w:rFonts w:ascii="Bookman Old Style" w:hAnsi="Bookman Old Style"/>
                          <w:b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 w:rsidR="00834B2A">
                        <w:rPr>
                          <w:rFonts w:ascii="Bookman Old Style" w:hAnsi="Bookman Old Style"/>
                          <w:b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372AA7" w14:textId="77777777" w:rsidR="00E52620" w:rsidRDefault="00E52620" w:rsidP="00E52620">
                      <w:pPr>
                        <w:jc w:val="center"/>
                        <w:rPr>
                          <w:i/>
                          <w:iCs/>
                          <w:color w:val="7F7F7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A4E503C" w14:textId="77777777" w:rsidR="00E52620" w:rsidRDefault="00E52620" w:rsidP="00E52620">
      <w:pPr>
        <w:ind w:left="-360"/>
        <w:rPr>
          <w:b/>
          <w:color w:val="333399"/>
          <w:szCs w:val="22"/>
        </w:rPr>
      </w:pPr>
    </w:p>
    <w:p w14:paraId="59690EF9" w14:textId="77777777" w:rsidR="00E52620" w:rsidRDefault="00E52620" w:rsidP="00E52620">
      <w:pPr>
        <w:ind w:left="-360"/>
        <w:rPr>
          <w:b/>
          <w:color w:val="333399"/>
          <w:szCs w:val="22"/>
        </w:rPr>
      </w:pPr>
    </w:p>
    <w:p w14:paraId="2E7045FE" w14:textId="77777777" w:rsidR="00E52620" w:rsidRDefault="00E52620" w:rsidP="00E52620">
      <w:pPr>
        <w:ind w:left="-360"/>
        <w:rPr>
          <w:b/>
          <w:color w:val="333399"/>
          <w:szCs w:val="22"/>
        </w:rPr>
      </w:pPr>
    </w:p>
    <w:p w14:paraId="2439EB74" w14:textId="77777777" w:rsidR="00E52620" w:rsidRDefault="00E52620" w:rsidP="00E52620">
      <w:pPr>
        <w:ind w:left="-360"/>
        <w:rPr>
          <w:b/>
          <w:color w:val="333399"/>
          <w:szCs w:val="22"/>
        </w:rPr>
      </w:pPr>
    </w:p>
    <w:p w14:paraId="5D0A943C" w14:textId="77777777" w:rsidR="00E52620" w:rsidRDefault="00E52620" w:rsidP="00E52620"/>
    <w:p w14:paraId="79E5AC7E" w14:textId="77777777" w:rsidR="000D79C8" w:rsidRDefault="000D79C8"/>
    <w:p w14:paraId="7B1750C9" w14:textId="77777777" w:rsidR="006868C4" w:rsidRDefault="006868C4"/>
    <w:p w14:paraId="48832854" w14:textId="77777777" w:rsidR="00580ABD" w:rsidRPr="00A85245" w:rsidRDefault="00580ABD" w:rsidP="00580ABD"/>
    <w:p w14:paraId="6AAEFB59" w14:textId="77777777" w:rsidR="00580ABD" w:rsidRPr="00A85245" w:rsidRDefault="00580ABD" w:rsidP="00580ABD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A85245">
        <w:rPr>
          <w:rFonts w:eastAsia="Calibri"/>
          <w:b/>
          <w:bCs/>
          <w:color w:val="000000"/>
        </w:rPr>
        <w:t>Memorandum</w:t>
      </w:r>
    </w:p>
    <w:p w14:paraId="55ED878E" w14:textId="77777777" w:rsidR="00580ABD" w:rsidRPr="00A85245" w:rsidRDefault="00580ABD" w:rsidP="00580ABD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147646F4" w14:textId="77777777" w:rsidR="00580ABD" w:rsidRPr="00A25B9B" w:rsidRDefault="00580ABD" w:rsidP="00580ABD">
      <w:pPr>
        <w:tabs>
          <w:tab w:val="left" w:pos="1440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A25B9B">
        <w:rPr>
          <w:rFonts w:eastAsia="Calibri"/>
          <w:b/>
          <w:bCs/>
          <w:color w:val="000000"/>
          <w:sz w:val="22"/>
          <w:szCs w:val="22"/>
        </w:rPr>
        <w:t xml:space="preserve">TO: </w:t>
      </w:r>
      <w:r w:rsidRPr="00A25B9B">
        <w:rPr>
          <w:rFonts w:eastAsia="Calibri"/>
          <w:b/>
          <w:bCs/>
          <w:color w:val="000000"/>
          <w:sz w:val="22"/>
          <w:szCs w:val="22"/>
        </w:rPr>
        <w:tab/>
      </w:r>
      <w:r w:rsidRPr="00A25B9B">
        <w:rPr>
          <w:rFonts w:eastAsia="Calibri"/>
          <w:color w:val="000000"/>
          <w:sz w:val="22"/>
          <w:szCs w:val="22"/>
        </w:rPr>
        <w:t xml:space="preserve">Assisted Living Residences Executive Directors </w:t>
      </w:r>
    </w:p>
    <w:p w14:paraId="188CB57E" w14:textId="77777777" w:rsidR="009A0D7B" w:rsidRPr="00A25B9B" w:rsidRDefault="009A0D7B" w:rsidP="00580ABD">
      <w:pPr>
        <w:tabs>
          <w:tab w:val="left" w:pos="1440"/>
        </w:tabs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</w:rPr>
      </w:pPr>
    </w:p>
    <w:p w14:paraId="691B54C0" w14:textId="05FE5703" w:rsidR="00580ABD" w:rsidRPr="00A25B9B" w:rsidRDefault="00580ABD" w:rsidP="00580ABD">
      <w:pPr>
        <w:tabs>
          <w:tab w:val="left" w:pos="1440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A25B9B">
        <w:rPr>
          <w:rFonts w:eastAsia="Calibri"/>
          <w:b/>
          <w:bCs/>
          <w:color w:val="000000"/>
          <w:sz w:val="22"/>
          <w:szCs w:val="22"/>
        </w:rPr>
        <w:t xml:space="preserve">FROM: </w:t>
      </w:r>
      <w:r w:rsidRPr="00A25B9B">
        <w:rPr>
          <w:rFonts w:eastAsia="Calibri"/>
          <w:b/>
          <w:bCs/>
          <w:color w:val="000000"/>
          <w:sz w:val="22"/>
          <w:szCs w:val="22"/>
        </w:rPr>
        <w:tab/>
      </w:r>
      <w:r w:rsidRPr="00A25B9B">
        <w:rPr>
          <w:rFonts w:eastAsia="Calibri"/>
          <w:color w:val="000000"/>
          <w:sz w:val="22"/>
          <w:szCs w:val="22"/>
        </w:rPr>
        <w:t xml:space="preserve">Secretary Elizabeth Chen </w:t>
      </w:r>
    </w:p>
    <w:p w14:paraId="588F2982" w14:textId="77777777" w:rsidR="009A0D7B" w:rsidRPr="00A25B9B" w:rsidRDefault="009A0D7B" w:rsidP="00580ABD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eastAsia="Calibri"/>
          <w:b/>
          <w:bCs/>
          <w:color w:val="000000"/>
          <w:sz w:val="22"/>
          <w:szCs w:val="22"/>
        </w:rPr>
      </w:pPr>
    </w:p>
    <w:p w14:paraId="07383F50" w14:textId="7DF6A011" w:rsidR="00580ABD" w:rsidRPr="00A25B9B" w:rsidRDefault="00580ABD" w:rsidP="00580ABD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eastAsia="Calibri"/>
          <w:color w:val="000000"/>
          <w:sz w:val="22"/>
          <w:szCs w:val="22"/>
        </w:rPr>
      </w:pPr>
      <w:r w:rsidRPr="00A25B9B">
        <w:rPr>
          <w:rFonts w:eastAsia="Calibri"/>
          <w:b/>
          <w:bCs/>
          <w:color w:val="000000"/>
          <w:sz w:val="22"/>
          <w:szCs w:val="22"/>
        </w:rPr>
        <w:t xml:space="preserve">SUBJECT: </w:t>
      </w:r>
      <w:r w:rsidR="009A0D7B" w:rsidRPr="00A25B9B">
        <w:rPr>
          <w:rFonts w:eastAsia="Calibri"/>
          <w:b/>
          <w:bCs/>
          <w:color w:val="000000"/>
          <w:sz w:val="22"/>
          <w:szCs w:val="22"/>
        </w:rPr>
        <w:tab/>
      </w:r>
      <w:r w:rsidR="009A0D7B" w:rsidRPr="00A25B9B">
        <w:rPr>
          <w:rFonts w:eastAsia="@Batang"/>
          <w:sz w:val="22"/>
          <w:szCs w:val="22"/>
        </w:rPr>
        <w:t xml:space="preserve">Vaccination Options for Assisted Living </w:t>
      </w:r>
      <w:r w:rsidR="00C25169">
        <w:rPr>
          <w:rFonts w:eastAsia="@Batang"/>
          <w:sz w:val="22"/>
          <w:szCs w:val="22"/>
        </w:rPr>
        <w:t>Residences</w:t>
      </w:r>
      <w:r w:rsidR="009A0D7B" w:rsidRPr="00A25B9B">
        <w:rPr>
          <w:rFonts w:eastAsia="@Batang"/>
          <w:sz w:val="22"/>
          <w:szCs w:val="22"/>
        </w:rPr>
        <w:t xml:space="preserve"> </w:t>
      </w:r>
    </w:p>
    <w:p w14:paraId="13E1A6CC" w14:textId="77777777" w:rsidR="009A0D7B" w:rsidRPr="00A25B9B" w:rsidRDefault="009A0D7B" w:rsidP="00580ABD">
      <w:pPr>
        <w:tabs>
          <w:tab w:val="left" w:pos="1440"/>
        </w:tabs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2"/>
        </w:rPr>
      </w:pPr>
    </w:p>
    <w:p w14:paraId="52C8A591" w14:textId="63E34ED4" w:rsidR="00580ABD" w:rsidRPr="00A25B9B" w:rsidRDefault="00580ABD" w:rsidP="00580ABD">
      <w:pPr>
        <w:tabs>
          <w:tab w:val="left" w:pos="1440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A25B9B">
        <w:rPr>
          <w:rFonts w:eastAsia="Calibri"/>
          <w:b/>
          <w:bCs/>
          <w:color w:val="000000"/>
          <w:sz w:val="22"/>
          <w:szCs w:val="22"/>
        </w:rPr>
        <w:t xml:space="preserve">DATE: </w:t>
      </w:r>
      <w:r w:rsidRPr="00A25B9B">
        <w:rPr>
          <w:rFonts w:eastAsia="Calibri"/>
          <w:b/>
          <w:bCs/>
          <w:color w:val="000000"/>
          <w:sz w:val="22"/>
          <w:szCs w:val="22"/>
        </w:rPr>
        <w:tab/>
      </w:r>
      <w:r w:rsidR="00C25169">
        <w:rPr>
          <w:rFonts w:eastAsia="Calibri"/>
          <w:color w:val="000000"/>
          <w:sz w:val="22"/>
          <w:szCs w:val="22"/>
        </w:rPr>
        <w:t xml:space="preserve">June </w:t>
      </w:r>
      <w:r w:rsidR="00CB3C5C">
        <w:rPr>
          <w:rFonts w:eastAsia="Calibri"/>
          <w:color w:val="000000"/>
          <w:sz w:val="22"/>
          <w:szCs w:val="22"/>
        </w:rPr>
        <w:t>22</w:t>
      </w:r>
      <w:r w:rsidR="009A0D7B" w:rsidRPr="00E819A5">
        <w:rPr>
          <w:rFonts w:eastAsia="Calibri"/>
          <w:color w:val="000000"/>
          <w:sz w:val="22"/>
          <w:szCs w:val="22"/>
        </w:rPr>
        <w:t>,</w:t>
      </w:r>
      <w:r w:rsidRPr="00E819A5">
        <w:rPr>
          <w:rFonts w:eastAsia="Calibri"/>
          <w:color w:val="000000"/>
          <w:sz w:val="22"/>
          <w:szCs w:val="22"/>
        </w:rPr>
        <w:t xml:space="preserve"> 2021</w:t>
      </w:r>
      <w:r w:rsidRPr="00A25B9B">
        <w:rPr>
          <w:rFonts w:eastAsia="Calibri"/>
          <w:color w:val="000000"/>
          <w:sz w:val="22"/>
          <w:szCs w:val="22"/>
        </w:rPr>
        <w:t xml:space="preserve"> </w:t>
      </w:r>
    </w:p>
    <w:p w14:paraId="0187E250" w14:textId="7BB66C1C" w:rsidR="00F81BCF" w:rsidRDefault="00F81BCF" w:rsidP="00516C8C">
      <w:pPr>
        <w:jc w:val="both"/>
        <w:rPr>
          <w:sz w:val="22"/>
          <w:szCs w:val="22"/>
        </w:rPr>
      </w:pPr>
    </w:p>
    <w:p w14:paraId="551F9492" w14:textId="77777777" w:rsidR="00FD6AA9" w:rsidRDefault="00FD6AA9" w:rsidP="00FD6AA9">
      <w:pPr>
        <w:autoSpaceDE w:val="0"/>
        <w:autoSpaceDN w:val="0"/>
        <w:adjustRightInd w:val="0"/>
        <w:rPr>
          <w:sz w:val="22"/>
          <w:szCs w:val="22"/>
        </w:rPr>
      </w:pPr>
    </w:p>
    <w:p w14:paraId="0C4A67F8" w14:textId="0CFB824E" w:rsidR="003B511A" w:rsidRDefault="00B147F6" w:rsidP="00FD6AA9">
      <w:pPr>
        <w:rPr>
          <w:sz w:val="22"/>
          <w:szCs w:val="22"/>
        </w:rPr>
      </w:pPr>
      <w:r>
        <w:rPr>
          <w:sz w:val="22"/>
          <w:szCs w:val="22"/>
        </w:rPr>
        <w:t>Thank you for your work</w:t>
      </w:r>
      <w:r w:rsidR="00EE6EE1">
        <w:rPr>
          <w:sz w:val="22"/>
          <w:szCs w:val="22"/>
        </w:rPr>
        <w:t xml:space="preserve"> </w:t>
      </w:r>
      <w:r w:rsidR="009A666A">
        <w:rPr>
          <w:sz w:val="22"/>
          <w:szCs w:val="22"/>
        </w:rPr>
        <w:t xml:space="preserve">over the past six months to help residents and </w:t>
      </w:r>
      <w:r>
        <w:rPr>
          <w:sz w:val="22"/>
          <w:szCs w:val="22"/>
        </w:rPr>
        <w:t>staff</w:t>
      </w:r>
      <w:r w:rsidR="009A666A">
        <w:rPr>
          <w:sz w:val="22"/>
          <w:szCs w:val="22"/>
        </w:rPr>
        <w:t xml:space="preserve"> gain access to a COVID vaccine</w:t>
      </w:r>
      <w:r>
        <w:rPr>
          <w:sz w:val="22"/>
          <w:szCs w:val="22"/>
        </w:rPr>
        <w:t xml:space="preserve">. </w:t>
      </w:r>
      <w:r w:rsidR="00EE6EE1">
        <w:rPr>
          <w:sz w:val="22"/>
          <w:szCs w:val="22"/>
        </w:rPr>
        <w:t>A</w:t>
      </w:r>
      <w:r>
        <w:rPr>
          <w:sz w:val="22"/>
          <w:szCs w:val="22"/>
        </w:rPr>
        <w:t>t this time, one in five adults in the Commonwealth</w:t>
      </w:r>
      <w:r w:rsidR="009A666A">
        <w:rPr>
          <w:sz w:val="22"/>
          <w:szCs w:val="22"/>
        </w:rPr>
        <w:t xml:space="preserve"> </w:t>
      </w:r>
      <w:r>
        <w:rPr>
          <w:sz w:val="22"/>
          <w:szCs w:val="22"/>
        </w:rPr>
        <w:t>remain</w:t>
      </w:r>
      <w:r w:rsidR="009A666A">
        <w:rPr>
          <w:sz w:val="22"/>
          <w:szCs w:val="22"/>
        </w:rPr>
        <w:t>s</w:t>
      </w:r>
      <w:r>
        <w:rPr>
          <w:sz w:val="22"/>
          <w:szCs w:val="22"/>
        </w:rPr>
        <w:t xml:space="preserve"> unvaccinated</w:t>
      </w:r>
      <w:r w:rsidR="00EE6EE1">
        <w:rPr>
          <w:sz w:val="22"/>
          <w:szCs w:val="22"/>
        </w:rPr>
        <w:t xml:space="preserve"> against COVID</w:t>
      </w:r>
      <w:r w:rsidR="009A666A">
        <w:rPr>
          <w:sz w:val="22"/>
          <w:szCs w:val="22"/>
        </w:rPr>
        <w:t>;</w:t>
      </w:r>
      <w:r>
        <w:rPr>
          <w:sz w:val="22"/>
          <w:szCs w:val="22"/>
        </w:rPr>
        <w:t xml:space="preserve"> and </w:t>
      </w:r>
      <w:r w:rsidR="003B511A">
        <w:rPr>
          <w:sz w:val="22"/>
          <w:szCs w:val="22"/>
        </w:rPr>
        <w:t>we ask for your help to reach any in your commun</w:t>
      </w:r>
      <w:r w:rsidR="009A666A">
        <w:rPr>
          <w:sz w:val="22"/>
          <w:szCs w:val="22"/>
        </w:rPr>
        <w:t>ities who are still unvaccinated</w:t>
      </w:r>
      <w:r w:rsidR="003B511A">
        <w:rPr>
          <w:sz w:val="22"/>
          <w:szCs w:val="22"/>
        </w:rPr>
        <w:t>.</w:t>
      </w:r>
    </w:p>
    <w:p w14:paraId="51726FFA" w14:textId="77777777" w:rsidR="003B511A" w:rsidRDefault="003B511A" w:rsidP="00FD6AA9">
      <w:pPr>
        <w:rPr>
          <w:sz w:val="22"/>
          <w:szCs w:val="22"/>
        </w:rPr>
      </w:pPr>
    </w:p>
    <w:p w14:paraId="4884A5CD" w14:textId="4A617F9B" w:rsidR="00C25169" w:rsidRPr="00C25169" w:rsidRDefault="003B511A" w:rsidP="00FD6AA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F570B" w:rsidRPr="00C25169">
        <w:rPr>
          <w:sz w:val="22"/>
          <w:szCs w:val="22"/>
        </w:rPr>
        <w:t xml:space="preserve">he Executive Office of Elder Affairs (EOEA) </w:t>
      </w:r>
      <w:r w:rsidR="00B147F6">
        <w:rPr>
          <w:sz w:val="22"/>
          <w:szCs w:val="22"/>
        </w:rPr>
        <w:t xml:space="preserve">is offering the following options to ALRs to assist </w:t>
      </w:r>
      <w:r w:rsidR="00EE6EE1">
        <w:rPr>
          <w:sz w:val="22"/>
          <w:szCs w:val="22"/>
        </w:rPr>
        <w:t>you</w:t>
      </w:r>
      <w:r>
        <w:rPr>
          <w:sz w:val="22"/>
          <w:szCs w:val="22"/>
        </w:rPr>
        <w:t xml:space="preserve"> in vaccinating residents, </w:t>
      </w:r>
      <w:r w:rsidR="00EE6EE1">
        <w:rPr>
          <w:sz w:val="22"/>
          <w:szCs w:val="22"/>
        </w:rPr>
        <w:t>staff</w:t>
      </w:r>
      <w:r>
        <w:rPr>
          <w:sz w:val="22"/>
          <w:szCs w:val="22"/>
        </w:rPr>
        <w:t xml:space="preserve">, </w:t>
      </w:r>
      <w:r w:rsidR="00B0459A">
        <w:rPr>
          <w:sz w:val="22"/>
          <w:szCs w:val="22"/>
        </w:rPr>
        <w:t xml:space="preserve">private aides, </w:t>
      </w:r>
      <w:r>
        <w:rPr>
          <w:sz w:val="22"/>
          <w:szCs w:val="22"/>
        </w:rPr>
        <w:t>and visitors</w:t>
      </w:r>
      <w:r w:rsidR="00EE6EE1">
        <w:rPr>
          <w:sz w:val="22"/>
          <w:szCs w:val="22"/>
        </w:rPr>
        <w:t xml:space="preserve"> in the most expedient manner possible</w:t>
      </w:r>
      <w:r w:rsidR="00014180" w:rsidRPr="00C25169">
        <w:rPr>
          <w:sz w:val="22"/>
          <w:szCs w:val="22"/>
        </w:rPr>
        <w:t xml:space="preserve">. </w:t>
      </w:r>
      <w:r w:rsidR="009A666A">
        <w:rPr>
          <w:sz w:val="22"/>
          <w:szCs w:val="22"/>
        </w:rPr>
        <w:t xml:space="preserve">The Commonwealth continues to offer COVID vaccines free of charge. </w:t>
      </w:r>
    </w:p>
    <w:p w14:paraId="6BBD3827" w14:textId="77777777" w:rsidR="00C25169" w:rsidRDefault="00C25169" w:rsidP="00FD6AA9">
      <w:pPr>
        <w:rPr>
          <w:sz w:val="22"/>
          <w:szCs w:val="22"/>
        </w:rPr>
      </w:pPr>
    </w:p>
    <w:p w14:paraId="599B4444" w14:textId="5F836C6B" w:rsidR="00014180" w:rsidRPr="001F570B" w:rsidRDefault="00EE6EE1" w:rsidP="00FD6AA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1F570B" w:rsidRPr="001F570B">
        <w:rPr>
          <w:sz w:val="22"/>
          <w:szCs w:val="22"/>
        </w:rPr>
        <w:t xml:space="preserve">his memorandum </w:t>
      </w:r>
      <w:r w:rsidR="001F570B">
        <w:rPr>
          <w:sz w:val="22"/>
          <w:szCs w:val="22"/>
        </w:rPr>
        <w:t>replace</w:t>
      </w:r>
      <w:r>
        <w:rPr>
          <w:sz w:val="22"/>
          <w:szCs w:val="22"/>
        </w:rPr>
        <w:t>s</w:t>
      </w:r>
      <w:r w:rsidR="001F570B">
        <w:rPr>
          <w:sz w:val="22"/>
          <w:szCs w:val="22"/>
        </w:rPr>
        <w:t xml:space="preserve"> the </w:t>
      </w:r>
      <w:r w:rsidR="001F570B" w:rsidRPr="001F570B">
        <w:rPr>
          <w:sz w:val="22"/>
          <w:szCs w:val="22"/>
        </w:rPr>
        <w:t>memorandum issued on March 17</w:t>
      </w:r>
      <w:r w:rsidR="001F570B" w:rsidRPr="001F570B">
        <w:rPr>
          <w:sz w:val="22"/>
          <w:szCs w:val="22"/>
          <w:vertAlign w:val="superscript"/>
        </w:rPr>
        <w:t>th</w:t>
      </w:r>
      <w:r w:rsidR="001F570B" w:rsidRPr="001F570B">
        <w:rPr>
          <w:sz w:val="22"/>
          <w:szCs w:val="22"/>
        </w:rPr>
        <w:t xml:space="preserve">, </w:t>
      </w:r>
      <w:hyperlink r:id="rId10" w:history="1">
        <w:r w:rsidR="001F570B" w:rsidRPr="001F570B">
          <w:rPr>
            <w:rStyle w:val="Hyperlink"/>
            <w:sz w:val="22"/>
            <w:szCs w:val="22"/>
          </w:rPr>
          <w:t>Vaccination Opportunities for Assisted Living Residents and Staff following the Federal Pharmacy Partnership Program</w:t>
        </w:r>
      </w:hyperlink>
      <w:r w:rsidR="001F570B">
        <w:rPr>
          <w:sz w:val="22"/>
          <w:szCs w:val="22"/>
        </w:rPr>
        <w:t xml:space="preserve">, </w:t>
      </w:r>
      <w:r>
        <w:rPr>
          <w:sz w:val="22"/>
          <w:szCs w:val="22"/>
        </w:rPr>
        <w:t>and re</w:t>
      </w:r>
      <w:r w:rsidR="003B511A">
        <w:rPr>
          <w:sz w:val="22"/>
          <w:szCs w:val="22"/>
        </w:rPr>
        <w:t>flects flexibilities</w:t>
      </w:r>
      <w:r w:rsidR="00795B79">
        <w:rPr>
          <w:sz w:val="22"/>
          <w:szCs w:val="22"/>
        </w:rPr>
        <w:t xml:space="preserve"> </w:t>
      </w:r>
      <w:r w:rsidR="003B511A">
        <w:rPr>
          <w:sz w:val="22"/>
          <w:szCs w:val="22"/>
        </w:rPr>
        <w:t xml:space="preserve">congruent with increased </w:t>
      </w:r>
      <w:r w:rsidR="00795B79">
        <w:rPr>
          <w:sz w:val="22"/>
          <w:szCs w:val="22"/>
        </w:rPr>
        <w:t>vaccine supply.</w:t>
      </w:r>
    </w:p>
    <w:p w14:paraId="3C277A7B" w14:textId="253957CB" w:rsidR="001F570B" w:rsidRPr="00DA41FF" w:rsidRDefault="001F570B" w:rsidP="001701C9"/>
    <w:p w14:paraId="5A7F1B49" w14:textId="023BC4A8" w:rsidR="00A00BA3" w:rsidRDefault="009A666A" w:rsidP="00A00BA3">
      <w:pPr>
        <w:pStyle w:val="ListParagraph"/>
        <w:numPr>
          <w:ilvl w:val="0"/>
          <w:numId w:val="9"/>
        </w:numPr>
        <w:rPr>
          <w:sz w:val="22"/>
        </w:rPr>
      </w:pPr>
      <w:r>
        <w:rPr>
          <w:b/>
          <w:sz w:val="22"/>
        </w:rPr>
        <w:t xml:space="preserve">Vaccination </w:t>
      </w:r>
      <w:r w:rsidR="00A00BA3">
        <w:rPr>
          <w:b/>
          <w:sz w:val="22"/>
        </w:rPr>
        <w:t xml:space="preserve">On-Site at the ALR </w:t>
      </w:r>
    </w:p>
    <w:p w14:paraId="5946A81E" w14:textId="01EEDB27" w:rsidR="00A00BA3" w:rsidRPr="00FF561B" w:rsidRDefault="00A00BA3" w:rsidP="00A00BA3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t xml:space="preserve">ALRs may </w:t>
      </w:r>
      <w:r w:rsidRPr="00A1531A">
        <w:rPr>
          <w:sz w:val="22"/>
        </w:rPr>
        <w:t>request a mobile, on-site, vaccination clinic</w:t>
      </w:r>
      <w:r>
        <w:rPr>
          <w:sz w:val="22"/>
        </w:rPr>
        <w:t>.</w:t>
      </w:r>
      <w:r w:rsidRPr="00A1531A">
        <w:rPr>
          <w:sz w:val="22"/>
        </w:rPr>
        <w:t xml:space="preserve"> A vaccination provider will </w:t>
      </w:r>
      <w:r>
        <w:rPr>
          <w:sz w:val="22"/>
        </w:rPr>
        <w:t xml:space="preserve">come to the organization's host </w:t>
      </w:r>
      <w:r w:rsidRPr="00A1531A">
        <w:rPr>
          <w:sz w:val="22"/>
        </w:rPr>
        <w:t xml:space="preserve">property to vaccinate </w:t>
      </w:r>
      <w:r>
        <w:rPr>
          <w:sz w:val="22"/>
        </w:rPr>
        <w:t xml:space="preserve">a group of </w:t>
      </w:r>
      <w:r w:rsidRPr="00A1531A">
        <w:rPr>
          <w:sz w:val="22"/>
        </w:rPr>
        <w:t>individuals. If Moderna or Pfizer is administered, the vaccination provider will return 3-4 weeks later to deliver 2nd doses. Organizations are encouraged to survey individuals and confirm participati</w:t>
      </w:r>
      <w:r>
        <w:rPr>
          <w:sz w:val="22"/>
        </w:rPr>
        <w:t xml:space="preserve">on prior to requesting a clinic to minimize vaccine waste. </w:t>
      </w:r>
      <w:r w:rsidRPr="00DA41FF">
        <w:rPr>
          <w:sz w:val="22"/>
        </w:rPr>
        <w:t xml:space="preserve">ALRs interested in mobile vaccination services may use this form, </w:t>
      </w:r>
      <w:hyperlink r:id="rId11" w:history="1">
        <w:r w:rsidRPr="00DA41FF">
          <w:rPr>
            <w:rStyle w:val="Hyperlink"/>
            <w:sz w:val="22"/>
          </w:rPr>
          <w:t>mass.gov/</w:t>
        </w:r>
        <w:proofErr w:type="spellStart"/>
        <w:r w:rsidRPr="00DA41FF">
          <w:rPr>
            <w:rStyle w:val="Hyperlink"/>
            <w:sz w:val="22"/>
          </w:rPr>
          <w:t>mobilevaccineform</w:t>
        </w:r>
        <w:proofErr w:type="spellEnd"/>
      </w:hyperlink>
      <w:r w:rsidRPr="00DA41FF">
        <w:rPr>
          <w:sz w:val="22"/>
        </w:rPr>
        <w:t xml:space="preserve">, to submit a request. </w:t>
      </w:r>
    </w:p>
    <w:p w14:paraId="679215F1" w14:textId="60A6EEF1" w:rsidR="004C3BFF" w:rsidRPr="001701C9" w:rsidRDefault="004C3BF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 xml:space="preserve">Other authorized vaccinators, such as your </w:t>
      </w:r>
      <w:r w:rsidR="00A00BA3" w:rsidRPr="001F570B">
        <w:rPr>
          <w:sz w:val="22"/>
        </w:rPr>
        <w:t xml:space="preserve">pharmacy </w:t>
      </w:r>
      <w:r>
        <w:rPr>
          <w:sz w:val="22"/>
        </w:rPr>
        <w:t>provider, affiliated nursing homes, or health care providers may</w:t>
      </w:r>
      <w:r w:rsidR="00A00BA3">
        <w:rPr>
          <w:sz w:val="22"/>
        </w:rPr>
        <w:t xml:space="preserve"> be able to provide on-site vaccinations.</w:t>
      </w:r>
    </w:p>
    <w:p w14:paraId="5768001E" w14:textId="3583FCBA" w:rsidR="004C3BFF" w:rsidRDefault="00A00BA3" w:rsidP="001701C9">
      <w:pPr>
        <w:pStyle w:val="ListParagraph"/>
        <w:numPr>
          <w:ilvl w:val="1"/>
          <w:numId w:val="9"/>
        </w:numPr>
        <w:rPr>
          <w:sz w:val="22"/>
        </w:rPr>
      </w:pPr>
      <w:r>
        <w:rPr>
          <w:sz w:val="22"/>
        </w:rPr>
        <w:lastRenderedPageBreak/>
        <w:t xml:space="preserve">The Commonwealth’s  </w:t>
      </w:r>
      <w:hyperlink r:id="rId12" w:history="1">
        <w:r>
          <w:rPr>
            <w:rStyle w:val="Hyperlink"/>
            <w:sz w:val="22"/>
          </w:rPr>
          <w:t>COVID-19 In-Home</w:t>
        </w:r>
        <w:r w:rsidRPr="00A1531A">
          <w:rPr>
            <w:rStyle w:val="Hyperlink"/>
            <w:sz w:val="22"/>
          </w:rPr>
          <w:t xml:space="preserve"> Vaccination Program</w:t>
        </w:r>
      </w:hyperlink>
      <w:r>
        <w:rPr>
          <w:sz w:val="22"/>
        </w:rPr>
        <w:t xml:space="preserve"> is </w:t>
      </w:r>
      <w:r w:rsidR="009A666A">
        <w:rPr>
          <w:sz w:val="22"/>
        </w:rPr>
        <w:t xml:space="preserve">available </w:t>
      </w:r>
      <w:r>
        <w:rPr>
          <w:sz w:val="22"/>
        </w:rPr>
        <w:t xml:space="preserve">for </w:t>
      </w:r>
      <w:r w:rsidRPr="00FF561B">
        <w:rPr>
          <w:i/>
          <w:sz w:val="22"/>
        </w:rPr>
        <w:t>residents</w:t>
      </w:r>
      <w:r>
        <w:rPr>
          <w:sz w:val="22"/>
        </w:rPr>
        <w:t xml:space="preserve"> who are unable to be transported to a vaccine location.</w:t>
      </w:r>
    </w:p>
    <w:p w14:paraId="6BBB2181" w14:textId="2DCEE317" w:rsidR="004C3BFF" w:rsidRDefault="004C3BFF" w:rsidP="001701C9">
      <w:pPr>
        <w:pStyle w:val="ListParagraph"/>
        <w:numPr>
          <w:ilvl w:val="1"/>
          <w:numId w:val="9"/>
        </w:numPr>
        <w:rPr>
          <w:sz w:val="22"/>
        </w:rPr>
      </w:pPr>
      <w:r w:rsidRPr="001701C9">
        <w:rPr>
          <w:sz w:val="22"/>
        </w:rPr>
        <w:t xml:space="preserve">If an ALR is interested in becoming an authorized vaccinator, </w:t>
      </w:r>
      <w:r w:rsidR="009A666A">
        <w:rPr>
          <w:sz w:val="22"/>
        </w:rPr>
        <w:t>the following steps should</w:t>
      </w:r>
      <w:r>
        <w:rPr>
          <w:sz w:val="22"/>
        </w:rPr>
        <w:t xml:space="preserve"> be taken to initiate authorization:</w:t>
      </w:r>
    </w:p>
    <w:p w14:paraId="3E45DC09" w14:textId="1B1D8B0D" w:rsidR="004C3BFF" w:rsidRPr="001701C9" w:rsidRDefault="004C3BFF" w:rsidP="001701C9">
      <w:pPr>
        <w:pStyle w:val="ListParagraph"/>
        <w:numPr>
          <w:ilvl w:val="2"/>
          <w:numId w:val="9"/>
        </w:numPr>
        <w:rPr>
          <w:rStyle w:val="Hyperlink"/>
          <w:color w:val="auto"/>
          <w:sz w:val="22"/>
          <w:u w:val="none"/>
        </w:rPr>
      </w:pPr>
      <w:r w:rsidRPr="001701C9">
        <w:rPr>
          <w:sz w:val="22"/>
        </w:rPr>
        <w:t xml:space="preserve">Sign up for the Massachusetts Immunization Information System (MIIS) at: </w:t>
      </w:r>
      <w:hyperlink r:id="rId13" w:history="1">
        <w:r w:rsidRPr="004C3BFF">
          <w:rPr>
            <w:rStyle w:val="Hyperlink"/>
            <w:sz w:val="22"/>
          </w:rPr>
          <w:t>https://www.miisresourcecenter.com/</w:t>
        </w:r>
      </w:hyperlink>
    </w:p>
    <w:p w14:paraId="16749E64" w14:textId="77777777" w:rsidR="004C3BFF" w:rsidRPr="001701C9" w:rsidRDefault="004C3BFF" w:rsidP="001701C9">
      <w:pPr>
        <w:pStyle w:val="ListParagraph"/>
        <w:numPr>
          <w:ilvl w:val="2"/>
          <w:numId w:val="9"/>
        </w:numPr>
        <w:autoSpaceDE w:val="0"/>
        <w:autoSpaceDN w:val="0"/>
        <w:adjustRightInd w:val="0"/>
        <w:jc w:val="both"/>
        <w:rPr>
          <w:rStyle w:val="Hyperlink"/>
          <w:color w:val="auto"/>
          <w:sz w:val="22"/>
          <w:u w:val="none"/>
        </w:rPr>
      </w:pPr>
      <w:r w:rsidRPr="001701C9">
        <w:rPr>
          <w:sz w:val="22"/>
        </w:rPr>
        <w:t xml:space="preserve">Enroll in the Massachusetts COVID-19 Vaccination Program (MCVP) at: </w:t>
      </w:r>
      <w:hyperlink r:id="rId14" w:history="1">
        <w:r w:rsidRPr="004C3BFF">
          <w:rPr>
            <w:rStyle w:val="Hyperlink"/>
            <w:sz w:val="22"/>
          </w:rPr>
          <w:t>https://www.mass.gov/info-details/massachusetts-covid-19-vaccine-program-mcvp-overview</w:t>
        </w:r>
      </w:hyperlink>
    </w:p>
    <w:p w14:paraId="7F299074" w14:textId="1559EC7F" w:rsidR="004C3BFF" w:rsidRPr="001701C9" w:rsidRDefault="004C3BFF" w:rsidP="001701C9">
      <w:pPr>
        <w:pStyle w:val="ListParagraph"/>
        <w:numPr>
          <w:ilvl w:val="2"/>
          <w:numId w:val="9"/>
        </w:numPr>
        <w:autoSpaceDE w:val="0"/>
        <w:autoSpaceDN w:val="0"/>
        <w:adjustRightInd w:val="0"/>
        <w:jc w:val="both"/>
        <w:rPr>
          <w:sz w:val="22"/>
        </w:rPr>
      </w:pPr>
      <w:r w:rsidRPr="001701C9">
        <w:rPr>
          <w:sz w:val="22"/>
        </w:rPr>
        <w:t xml:space="preserve">Review instructions on storage and handling, and administering the vaccine: </w:t>
      </w:r>
      <w:hyperlink r:id="rId15" w:history="1">
        <w:r w:rsidRPr="004C3BFF">
          <w:rPr>
            <w:rStyle w:val="Hyperlink"/>
            <w:sz w:val="22"/>
          </w:rPr>
          <w:t>https://www.mass.gov/doc/guidance-for-healthcare-providers-and-organizations-0/download</w:t>
        </w:r>
      </w:hyperlink>
    </w:p>
    <w:p w14:paraId="7CEBD257" w14:textId="77777777" w:rsidR="00A00BA3" w:rsidRPr="00FF561B" w:rsidRDefault="00A00BA3" w:rsidP="001701C9">
      <w:pPr>
        <w:pStyle w:val="ListParagraph"/>
        <w:ind w:left="1440"/>
        <w:rPr>
          <w:sz w:val="22"/>
        </w:rPr>
      </w:pPr>
    </w:p>
    <w:p w14:paraId="259336DE" w14:textId="3322594B" w:rsidR="00795B79" w:rsidRDefault="00795B79" w:rsidP="00FD6AA9">
      <w:pPr>
        <w:pStyle w:val="ListParagraph"/>
        <w:numPr>
          <w:ilvl w:val="0"/>
          <w:numId w:val="9"/>
        </w:numPr>
        <w:rPr>
          <w:sz w:val="22"/>
        </w:rPr>
      </w:pPr>
      <w:r>
        <w:rPr>
          <w:b/>
          <w:sz w:val="22"/>
        </w:rPr>
        <w:t xml:space="preserve">By Appointment or Walk-in to </w:t>
      </w:r>
      <w:r w:rsidR="009A666A">
        <w:rPr>
          <w:b/>
          <w:sz w:val="22"/>
        </w:rPr>
        <w:t xml:space="preserve">a </w:t>
      </w:r>
      <w:r>
        <w:rPr>
          <w:b/>
          <w:sz w:val="22"/>
        </w:rPr>
        <w:t>Local Vaccinator</w:t>
      </w:r>
    </w:p>
    <w:p w14:paraId="435A280E" w14:textId="77777777" w:rsidR="00A00BA3" w:rsidRDefault="00795B79" w:rsidP="001701C9">
      <w:pPr>
        <w:pStyle w:val="ListParagraph"/>
        <w:rPr>
          <w:sz w:val="22"/>
        </w:rPr>
      </w:pPr>
      <w:r>
        <w:rPr>
          <w:sz w:val="22"/>
        </w:rPr>
        <w:t xml:space="preserve">Over 900 </w:t>
      </w:r>
      <w:r w:rsidR="00B0459A">
        <w:rPr>
          <w:sz w:val="22"/>
        </w:rPr>
        <w:t xml:space="preserve">retail </w:t>
      </w:r>
      <w:r>
        <w:rPr>
          <w:sz w:val="22"/>
        </w:rPr>
        <w:t>pharmacies across the Commonwealth now offer vaccinations</w:t>
      </w:r>
      <w:r w:rsidR="000E25E2">
        <w:rPr>
          <w:sz w:val="22"/>
        </w:rPr>
        <w:t xml:space="preserve">, in addition to community-based opportunities hosted by Local Boards of Health, and appointments via health care providers. Many locations </w:t>
      </w:r>
      <w:r>
        <w:rPr>
          <w:sz w:val="22"/>
        </w:rPr>
        <w:t xml:space="preserve">offer walk-in </w:t>
      </w:r>
      <w:r w:rsidR="00B0459A">
        <w:rPr>
          <w:sz w:val="22"/>
        </w:rPr>
        <w:t>“</w:t>
      </w:r>
      <w:r>
        <w:rPr>
          <w:sz w:val="22"/>
        </w:rPr>
        <w:t>no appointment necessary</w:t>
      </w:r>
      <w:r w:rsidR="00B0459A">
        <w:rPr>
          <w:sz w:val="22"/>
        </w:rPr>
        <w:t>”</w:t>
      </w:r>
      <w:r>
        <w:rPr>
          <w:sz w:val="22"/>
        </w:rPr>
        <w:t xml:space="preserve"> times. </w:t>
      </w:r>
    </w:p>
    <w:p w14:paraId="72966ADB" w14:textId="77777777" w:rsidR="00A00BA3" w:rsidRDefault="00A00BA3" w:rsidP="001701C9">
      <w:pPr>
        <w:pStyle w:val="ListParagraph"/>
        <w:rPr>
          <w:sz w:val="22"/>
        </w:rPr>
      </w:pPr>
    </w:p>
    <w:p w14:paraId="58F1D049" w14:textId="40ABD635" w:rsidR="004C3BFF" w:rsidRDefault="00EE02F5">
      <w:pPr>
        <w:pStyle w:val="ListParagraph"/>
        <w:rPr>
          <w:sz w:val="22"/>
        </w:rPr>
      </w:pPr>
      <w:hyperlink r:id="rId16" w:history="1">
        <w:r w:rsidR="001F570B" w:rsidRPr="00A1531A">
          <w:rPr>
            <w:rStyle w:val="Hyperlink"/>
            <w:sz w:val="22"/>
          </w:rPr>
          <w:t>VaxFinder.mass.gov</w:t>
        </w:r>
      </w:hyperlink>
      <w:r w:rsidR="001F570B" w:rsidRPr="00A1531A">
        <w:rPr>
          <w:sz w:val="22"/>
        </w:rPr>
        <w:t xml:space="preserve"> </w:t>
      </w:r>
      <w:r w:rsidR="00A00BA3">
        <w:rPr>
          <w:sz w:val="22"/>
        </w:rPr>
        <w:t>enables</w:t>
      </w:r>
      <w:r w:rsidR="000E25E2">
        <w:rPr>
          <w:sz w:val="22"/>
        </w:rPr>
        <w:t xml:space="preserve"> you</w:t>
      </w:r>
      <w:r w:rsidR="00A00BA3">
        <w:rPr>
          <w:sz w:val="22"/>
        </w:rPr>
        <w:t xml:space="preserve"> to</w:t>
      </w:r>
      <w:r w:rsidR="000E25E2">
        <w:rPr>
          <w:sz w:val="22"/>
        </w:rPr>
        <w:t xml:space="preserve"> </w:t>
      </w:r>
      <w:r w:rsidR="00B0459A">
        <w:rPr>
          <w:sz w:val="22"/>
        </w:rPr>
        <w:t>search by zip code or town name;</w:t>
      </w:r>
      <w:r w:rsidR="000E25E2">
        <w:rPr>
          <w:sz w:val="22"/>
        </w:rPr>
        <w:t xml:space="preserve"> in addition</w:t>
      </w:r>
      <w:r w:rsidR="00B0459A">
        <w:rPr>
          <w:sz w:val="22"/>
        </w:rPr>
        <w:t xml:space="preserve">, you can specify </w:t>
      </w:r>
      <w:r w:rsidR="000E25E2">
        <w:rPr>
          <w:sz w:val="22"/>
        </w:rPr>
        <w:t>other pre</w:t>
      </w:r>
      <w:r w:rsidR="00B0459A">
        <w:rPr>
          <w:sz w:val="22"/>
        </w:rPr>
        <w:t>ferences, such as vaccine type or location type (</w:t>
      </w:r>
      <w:r w:rsidR="000E25E2">
        <w:rPr>
          <w:sz w:val="22"/>
        </w:rPr>
        <w:t>retail pharmacy, health care location, or local board of health</w:t>
      </w:r>
      <w:r w:rsidR="00B0459A">
        <w:rPr>
          <w:sz w:val="22"/>
        </w:rPr>
        <w:t>)</w:t>
      </w:r>
      <w:r w:rsidR="000E25E2">
        <w:rPr>
          <w:sz w:val="22"/>
        </w:rPr>
        <w:t xml:space="preserve">. </w:t>
      </w:r>
      <w:r w:rsidR="001F570B" w:rsidRPr="00A1531A">
        <w:rPr>
          <w:sz w:val="22"/>
        </w:rPr>
        <w:t>Individuals without access to the internet or who are unable to schedule their appointment online can call toll free 2-1-1 or (877) 211-6277 for assistance.</w:t>
      </w:r>
    </w:p>
    <w:p w14:paraId="0B463DA2" w14:textId="3011D9D0" w:rsidR="004C3BFF" w:rsidRPr="001701C9" w:rsidRDefault="004C3BFF" w:rsidP="001701C9">
      <w:pPr>
        <w:rPr>
          <w:sz w:val="22"/>
        </w:rPr>
      </w:pPr>
    </w:p>
    <w:p w14:paraId="3153A948" w14:textId="77777777" w:rsidR="00A00BA3" w:rsidRPr="001701C9" w:rsidRDefault="00A00BA3" w:rsidP="001701C9">
      <w:pPr>
        <w:rPr>
          <w:sz w:val="22"/>
        </w:rPr>
      </w:pPr>
    </w:p>
    <w:p w14:paraId="35D27524" w14:textId="77777777" w:rsidR="004C3BFF" w:rsidRPr="001F570B" w:rsidRDefault="004C3BFF" w:rsidP="004C3BFF">
      <w:pPr>
        <w:autoSpaceDE w:val="0"/>
        <w:autoSpaceDN w:val="0"/>
        <w:adjustRightInd w:val="0"/>
        <w:rPr>
          <w:sz w:val="22"/>
          <w:szCs w:val="22"/>
        </w:rPr>
      </w:pPr>
      <w:r w:rsidRPr="001F570B">
        <w:rPr>
          <w:sz w:val="22"/>
          <w:szCs w:val="22"/>
        </w:rPr>
        <w:t xml:space="preserve">As a reminder, it is the responsibility of the vaccinator to report vaccine side effects to FDA/CDC Vaccine Adverse Event Reporting System (VAERS).  </w:t>
      </w:r>
    </w:p>
    <w:p w14:paraId="65E4B7F9" w14:textId="77777777" w:rsidR="004C3BFF" w:rsidRPr="001F570B" w:rsidRDefault="004C3BFF" w:rsidP="004C3BFF">
      <w:pPr>
        <w:autoSpaceDE w:val="0"/>
        <w:autoSpaceDN w:val="0"/>
        <w:adjustRightInd w:val="0"/>
        <w:rPr>
          <w:sz w:val="22"/>
          <w:szCs w:val="22"/>
        </w:rPr>
      </w:pPr>
    </w:p>
    <w:p w14:paraId="1272B9C1" w14:textId="77777777" w:rsidR="004C3BFF" w:rsidRPr="001F570B" w:rsidRDefault="004C3BFF" w:rsidP="004C3BFF">
      <w:pPr>
        <w:autoSpaceDE w:val="0"/>
        <w:autoSpaceDN w:val="0"/>
        <w:adjustRightInd w:val="0"/>
        <w:rPr>
          <w:sz w:val="22"/>
          <w:szCs w:val="22"/>
        </w:rPr>
      </w:pPr>
      <w:r w:rsidRPr="001F570B">
        <w:rPr>
          <w:sz w:val="22"/>
          <w:szCs w:val="22"/>
        </w:rPr>
        <w:t>The VAERS toll-free number is 1-800-822-7967 or report online to</w:t>
      </w:r>
    </w:p>
    <w:p w14:paraId="564CE2F9" w14:textId="77777777" w:rsidR="004C3BFF" w:rsidRPr="001F570B" w:rsidRDefault="00EE02F5" w:rsidP="004C3BFF">
      <w:pPr>
        <w:autoSpaceDE w:val="0"/>
        <w:autoSpaceDN w:val="0"/>
        <w:adjustRightInd w:val="0"/>
        <w:rPr>
          <w:sz w:val="22"/>
          <w:szCs w:val="22"/>
        </w:rPr>
      </w:pPr>
      <w:hyperlink r:id="rId17" w:history="1">
        <w:r w:rsidR="004C3BFF" w:rsidRPr="001F570B">
          <w:rPr>
            <w:rStyle w:val="Hyperlink"/>
            <w:sz w:val="22"/>
            <w:szCs w:val="22"/>
          </w:rPr>
          <w:t>https://vaers.hhs.gov/reportevent.html</w:t>
        </w:r>
      </w:hyperlink>
      <w:r w:rsidR="004C3BFF" w:rsidRPr="001F570B">
        <w:rPr>
          <w:sz w:val="22"/>
          <w:szCs w:val="22"/>
        </w:rPr>
        <w:t xml:space="preserve">. </w:t>
      </w:r>
    </w:p>
    <w:p w14:paraId="5EAC5DB2" w14:textId="77777777" w:rsidR="004C3BFF" w:rsidRDefault="004C3BFF" w:rsidP="004C3BFF">
      <w:pPr>
        <w:autoSpaceDE w:val="0"/>
        <w:autoSpaceDN w:val="0"/>
        <w:adjustRightInd w:val="0"/>
        <w:rPr>
          <w:szCs w:val="20"/>
        </w:rPr>
      </w:pPr>
    </w:p>
    <w:p w14:paraId="5174817B" w14:textId="77777777" w:rsidR="004C3BFF" w:rsidRPr="00A25B9B" w:rsidRDefault="004C3BFF" w:rsidP="004C3BFF">
      <w:pPr>
        <w:autoSpaceDE w:val="0"/>
        <w:autoSpaceDN w:val="0"/>
        <w:adjustRightInd w:val="0"/>
        <w:rPr>
          <w:rStyle w:val="Hyperlink"/>
          <w:sz w:val="22"/>
          <w:szCs w:val="22"/>
        </w:rPr>
      </w:pPr>
      <w:r w:rsidRPr="00DA41FF">
        <w:rPr>
          <w:rFonts w:eastAsiaTheme="minorHAnsi" w:cstheme="minorBidi"/>
          <w:sz w:val="22"/>
          <w:szCs w:val="22"/>
        </w:rPr>
        <w:t>Please visit the Department of Public Health’s website that provides up-to-date information on COVID-19 and</w:t>
      </w:r>
      <w:r>
        <w:rPr>
          <w:rFonts w:eastAsiaTheme="minorHAnsi" w:cstheme="minorBidi"/>
          <w:sz w:val="22"/>
          <w:szCs w:val="22"/>
        </w:rPr>
        <w:t xml:space="preserve"> </w:t>
      </w:r>
      <w:r w:rsidRPr="00DA41FF">
        <w:rPr>
          <w:rFonts w:eastAsiaTheme="minorHAnsi" w:cstheme="minorBidi"/>
          <w:sz w:val="22"/>
          <w:szCs w:val="22"/>
        </w:rPr>
        <w:t>vaccine efforts in Massachusetts: </w:t>
      </w:r>
      <w:r>
        <w:rPr>
          <w:rFonts w:eastAsiaTheme="minorHAnsi" w:cstheme="minorBidi"/>
          <w:sz w:val="22"/>
          <w:szCs w:val="22"/>
        </w:rPr>
        <w:t xml:space="preserve"> </w:t>
      </w:r>
      <w:hyperlink r:id="rId18" w:history="1">
        <w:r w:rsidRPr="00C119C7">
          <w:rPr>
            <w:rStyle w:val="Hyperlink"/>
            <w:sz w:val="22"/>
            <w:szCs w:val="22"/>
          </w:rPr>
          <w:t>https://www.mass.gov/2019coronavirus</w:t>
        </w:r>
      </w:hyperlink>
      <w:r w:rsidRPr="00A25B9B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hyperlink r:id="rId19" w:history="1">
        <w:r w:rsidRPr="00C119C7">
          <w:rPr>
            <w:rStyle w:val="Hyperlink"/>
            <w:sz w:val="22"/>
            <w:szCs w:val="22"/>
          </w:rPr>
          <w:t>https://www.mass.gov/vaccine</w:t>
        </w:r>
      </w:hyperlink>
    </w:p>
    <w:p w14:paraId="7C93A717" w14:textId="77777777" w:rsidR="00A1531A" w:rsidRPr="001701C9" w:rsidRDefault="00A1531A">
      <w:pPr>
        <w:pStyle w:val="ListParagraph"/>
        <w:rPr>
          <w:sz w:val="22"/>
        </w:rPr>
      </w:pPr>
    </w:p>
    <w:p w14:paraId="321AA1B2" w14:textId="77777777" w:rsidR="00D93416" w:rsidRPr="00A25B9B" w:rsidRDefault="00D93416" w:rsidP="001701C9">
      <w:pPr>
        <w:pStyle w:val="ListParagraph"/>
        <w:autoSpaceDE w:val="0"/>
        <w:autoSpaceDN w:val="0"/>
        <w:adjustRightInd w:val="0"/>
        <w:ind w:left="1440"/>
        <w:rPr>
          <w:sz w:val="22"/>
        </w:rPr>
      </w:pPr>
    </w:p>
    <w:sectPr w:rsidR="00D93416" w:rsidRPr="00A25B9B" w:rsidSect="00897F08">
      <w:footerReference w:type="defaul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51C05" w14:textId="77777777" w:rsidR="00EE02F5" w:rsidRDefault="00EE02F5" w:rsidP="00897F08">
      <w:r>
        <w:separator/>
      </w:r>
    </w:p>
  </w:endnote>
  <w:endnote w:type="continuationSeparator" w:id="0">
    <w:p w14:paraId="7BA723FD" w14:textId="77777777" w:rsidR="00EE02F5" w:rsidRDefault="00EE02F5" w:rsidP="0089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43B9F" w14:textId="77777777" w:rsidR="00897F08" w:rsidRDefault="00E52620" w:rsidP="00E52620">
    <w:pPr>
      <w:pStyle w:val="Footer"/>
      <w:tabs>
        <w:tab w:val="clear" w:pos="4680"/>
        <w:tab w:val="clear" w:pos="9360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A189F" w14:textId="77777777" w:rsidR="00EE02F5" w:rsidRDefault="00EE02F5" w:rsidP="00897F08">
      <w:r>
        <w:separator/>
      </w:r>
    </w:p>
  </w:footnote>
  <w:footnote w:type="continuationSeparator" w:id="0">
    <w:p w14:paraId="61C3312F" w14:textId="77777777" w:rsidR="00EE02F5" w:rsidRDefault="00EE02F5" w:rsidP="0089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90E"/>
    <w:multiLevelType w:val="hybridMultilevel"/>
    <w:tmpl w:val="5AD0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738"/>
    <w:multiLevelType w:val="hybridMultilevel"/>
    <w:tmpl w:val="AFD89D74"/>
    <w:lvl w:ilvl="0" w:tplc="ECD8C3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6E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A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273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766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89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F84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04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648A"/>
    <w:multiLevelType w:val="hybridMultilevel"/>
    <w:tmpl w:val="03F2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76D"/>
    <w:multiLevelType w:val="hybridMultilevel"/>
    <w:tmpl w:val="10CE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5D65"/>
    <w:multiLevelType w:val="hybridMultilevel"/>
    <w:tmpl w:val="F1BEA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8C6"/>
    <w:multiLevelType w:val="hybridMultilevel"/>
    <w:tmpl w:val="3C7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50EB4"/>
    <w:multiLevelType w:val="hybridMultilevel"/>
    <w:tmpl w:val="6B60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2388E"/>
    <w:multiLevelType w:val="hybridMultilevel"/>
    <w:tmpl w:val="9B06B468"/>
    <w:lvl w:ilvl="0" w:tplc="A95A7C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08B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4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E71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3C1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D6C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679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49C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0A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F4F"/>
    <w:multiLevelType w:val="hybridMultilevel"/>
    <w:tmpl w:val="55AAB30E"/>
    <w:lvl w:ilvl="0" w:tplc="19622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41249"/>
    <w:multiLevelType w:val="hybridMultilevel"/>
    <w:tmpl w:val="4AB447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883243"/>
    <w:multiLevelType w:val="hybridMultilevel"/>
    <w:tmpl w:val="798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E5A"/>
    <w:rsid w:val="00014180"/>
    <w:rsid w:val="00040936"/>
    <w:rsid w:val="00054546"/>
    <w:rsid w:val="000649C0"/>
    <w:rsid w:val="0007717F"/>
    <w:rsid w:val="0008448E"/>
    <w:rsid w:val="000C02A5"/>
    <w:rsid w:val="000D79C8"/>
    <w:rsid w:val="000E25E2"/>
    <w:rsid w:val="000E39A0"/>
    <w:rsid w:val="001511E3"/>
    <w:rsid w:val="0015388B"/>
    <w:rsid w:val="001701C9"/>
    <w:rsid w:val="00187431"/>
    <w:rsid w:val="001A1580"/>
    <w:rsid w:val="001E0B00"/>
    <w:rsid w:val="001E5300"/>
    <w:rsid w:val="001E7334"/>
    <w:rsid w:val="001F397F"/>
    <w:rsid w:val="001F570B"/>
    <w:rsid w:val="00206863"/>
    <w:rsid w:val="00207193"/>
    <w:rsid w:val="00214316"/>
    <w:rsid w:val="00242ECF"/>
    <w:rsid w:val="002615A2"/>
    <w:rsid w:val="00281FEB"/>
    <w:rsid w:val="002E590D"/>
    <w:rsid w:val="00313034"/>
    <w:rsid w:val="00347C6C"/>
    <w:rsid w:val="003879B3"/>
    <w:rsid w:val="003B08DA"/>
    <w:rsid w:val="003B511A"/>
    <w:rsid w:val="003C74E5"/>
    <w:rsid w:val="00405DD4"/>
    <w:rsid w:val="00420D2D"/>
    <w:rsid w:val="004370AD"/>
    <w:rsid w:val="0046331A"/>
    <w:rsid w:val="004863F3"/>
    <w:rsid w:val="004C3BFF"/>
    <w:rsid w:val="004D6ECD"/>
    <w:rsid w:val="00516C8C"/>
    <w:rsid w:val="005518EC"/>
    <w:rsid w:val="00561EF6"/>
    <w:rsid w:val="0056670F"/>
    <w:rsid w:val="00580ABD"/>
    <w:rsid w:val="005D2E60"/>
    <w:rsid w:val="005D5CB9"/>
    <w:rsid w:val="005E102B"/>
    <w:rsid w:val="005F7DF5"/>
    <w:rsid w:val="00617FA0"/>
    <w:rsid w:val="00620178"/>
    <w:rsid w:val="00650E5A"/>
    <w:rsid w:val="00655E39"/>
    <w:rsid w:val="006868C4"/>
    <w:rsid w:val="00700991"/>
    <w:rsid w:val="007266FC"/>
    <w:rsid w:val="00741E8C"/>
    <w:rsid w:val="00753BBF"/>
    <w:rsid w:val="00762353"/>
    <w:rsid w:val="00777D07"/>
    <w:rsid w:val="00795B79"/>
    <w:rsid w:val="007C01AD"/>
    <w:rsid w:val="00834B2A"/>
    <w:rsid w:val="0085583A"/>
    <w:rsid w:val="00866CC1"/>
    <w:rsid w:val="00897F08"/>
    <w:rsid w:val="00901C59"/>
    <w:rsid w:val="00902ECE"/>
    <w:rsid w:val="009623CB"/>
    <w:rsid w:val="00974D4E"/>
    <w:rsid w:val="009A0D7B"/>
    <w:rsid w:val="009A666A"/>
    <w:rsid w:val="009D6EDA"/>
    <w:rsid w:val="009D7572"/>
    <w:rsid w:val="009E4E2D"/>
    <w:rsid w:val="009E71C0"/>
    <w:rsid w:val="009E73F0"/>
    <w:rsid w:val="009F2E8E"/>
    <w:rsid w:val="00A00BA3"/>
    <w:rsid w:val="00A04A20"/>
    <w:rsid w:val="00A1531A"/>
    <w:rsid w:val="00A25B9B"/>
    <w:rsid w:val="00A5770C"/>
    <w:rsid w:val="00AB6F13"/>
    <w:rsid w:val="00AC2F4C"/>
    <w:rsid w:val="00AF7BC3"/>
    <w:rsid w:val="00B0459A"/>
    <w:rsid w:val="00B147F6"/>
    <w:rsid w:val="00B51DB0"/>
    <w:rsid w:val="00B522A7"/>
    <w:rsid w:val="00B71916"/>
    <w:rsid w:val="00B918AF"/>
    <w:rsid w:val="00BA780A"/>
    <w:rsid w:val="00BD20A5"/>
    <w:rsid w:val="00C24BE3"/>
    <w:rsid w:val="00C25169"/>
    <w:rsid w:val="00C34FE4"/>
    <w:rsid w:val="00C51330"/>
    <w:rsid w:val="00C71CA2"/>
    <w:rsid w:val="00CB3C5C"/>
    <w:rsid w:val="00CF3353"/>
    <w:rsid w:val="00D20248"/>
    <w:rsid w:val="00D3536D"/>
    <w:rsid w:val="00D702F9"/>
    <w:rsid w:val="00D93416"/>
    <w:rsid w:val="00DA41FF"/>
    <w:rsid w:val="00DC352B"/>
    <w:rsid w:val="00DD2AFD"/>
    <w:rsid w:val="00DE490A"/>
    <w:rsid w:val="00DE5552"/>
    <w:rsid w:val="00DF072E"/>
    <w:rsid w:val="00E1224E"/>
    <w:rsid w:val="00E46CF8"/>
    <w:rsid w:val="00E52620"/>
    <w:rsid w:val="00E819A5"/>
    <w:rsid w:val="00E94EE3"/>
    <w:rsid w:val="00EA00F7"/>
    <w:rsid w:val="00EB123D"/>
    <w:rsid w:val="00ED1022"/>
    <w:rsid w:val="00EE02F5"/>
    <w:rsid w:val="00EE38FE"/>
    <w:rsid w:val="00EE5434"/>
    <w:rsid w:val="00EE6EE1"/>
    <w:rsid w:val="00F04E9E"/>
    <w:rsid w:val="00F07923"/>
    <w:rsid w:val="00F10CEF"/>
    <w:rsid w:val="00F265D0"/>
    <w:rsid w:val="00F76E3A"/>
    <w:rsid w:val="00F81BCF"/>
    <w:rsid w:val="00F918B9"/>
    <w:rsid w:val="00F959BD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9D7AA"/>
  <w15:docId w15:val="{A3DC2BB4-8A3C-481D-858D-DB07D7F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E5A"/>
    <w:pPr>
      <w:keepNext/>
      <w:jc w:val="center"/>
      <w:outlineLvl w:val="0"/>
    </w:pPr>
    <w:rPr>
      <w:rFonts w:ascii="Bookman" w:hAnsi="Bookman" w:cs="Arial"/>
      <w:i/>
      <w:i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0E5A"/>
    <w:pPr>
      <w:keepNext/>
      <w:jc w:val="center"/>
      <w:outlineLvl w:val="1"/>
    </w:pPr>
    <w:rPr>
      <w:rFonts w:ascii="Book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43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650E5A"/>
    <w:rPr>
      <w:rFonts w:ascii="Bookman" w:eastAsia="Times New Roman" w:hAnsi="Bookman" w:cs="Arial"/>
      <w:i/>
      <w:iCs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50E5A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81FEB"/>
    <w:pPr>
      <w:ind w:firstLine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81FE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4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9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4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E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9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D2E60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E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63F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lders" TargetMode="External"/><Relationship Id="rId13" Type="http://schemas.openxmlformats.org/officeDocument/2006/relationships/hyperlink" Target="https://www.miisresourcecenter.com/" TargetMode="External"/><Relationship Id="rId18" Type="http://schemas.openxmlformats.org/officeDocument/2006/relationships/hyperlink" Target="https://www.mass.gov/2019coronaviru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mass.gov/info-details/covid-19-homebound-vaccination-program" TargetMode="External"/><Relationship Id="rId17" Type="http://schemas.openxmlformats.org/officeDocument/2006/relationships/hyperlink" Target="https://vaers.hhs.gov/reportev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xfinder.mass.gov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ciuNk2mC_9WouKpobwLnb8eLJNRW9dZBw3l3t7lnCYoDaAFA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guidance-for-healthcare-providers-and-organizations-0/download" TargetMode="External"/><Relationship Id="rId10" Type="http://schemas.openxmlformats.org/officeDocument/2006/relationships/hyperlink" Target="https://www.mass.gov/doc/vaccination-opportunities-for-alrs-post-federal-pharmacy-partnership-program/download" TargetMode="External"/><Relationship Id="rId19" Type="http://schemas.openxmlformats.org/officeDocument/2006/relationships/hyperlink" Target="https://www.mass.gov/vacc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elders" TargetMode="External"/><Relationship Id="rId14" Type="http://schemas.openxmlformats.org/officeDocument/2006/relationships/hyperlink" Target="https://www.mass.gov/info-details/massachusetts-covid-19-vaccine-program-mcvp-over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Bianco, Amy (EHS)</cp:lastModifiedBy>
  <cp:revision>3</cp:revision>
  <cp:lastPrinted>2019-12-20T15:41:00Z</cp:lastPrinted>
  <dcterms:created xsi:type="dcterms:W3CDTF">2021-06-22T15:39:00Z</dcterms:created>
  <dcterms:modified xsi:type="dcterms:W3CDTF">2021-06-22T15:39:00Z</dcterms:modified>
</cp:coreProperties>
</file>