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93D82" w14:textId="77777777" w:rsidR="00A64C74" w:rsidRPr="000C099D" w:rsidRDefault="00A64C74" w:rsidP="000C099D">
      <w:pPr>
        <w:jc w:val="center"/>
        <w:rPr>
          <w:rFonts w:asciiTheme="minorHAnsi" w:hAnsiTheme="minorHAnsi" w:cstheme="minorHAnsi"/>
          <w:bCs/>
          <w:sz w:val="28"/>
          <w:szCs w:val="28"/>
        </w:rPr>
      </w:pPr>
      <w:r w:rsidRPr="000C099D">
        <w:rPr>
          <w:rFonts w:asciiTheme="minorHAnsi" w:hAnsiTheme="minorHAnsi" w:cstheme="minorHAnsi"/>
          <w:b/>
          <w:bCs/>
          <w:sz w:val="28"/>
          <w:szCs w:val="28"/>
          <w:u w:val="single"/>
        </w:rPr>
        <w:t>Immunization Exemptions and</w:t>
      </w:r>
    </w:p>
    <w:p w14:paraId="01E96D36" w14:textId="77777777" w:rsidR="00A64C74" w:rsidRPr="000C099D" w:rsidRDefault="00A64C74" w:rsidP="000C099D">
      <w:pPr>
        <w:jc w:val="center"/>
        <w:rPr>
          <w:rFonts w:asciiTheme="minorHAnsi" w:hAnsiTheme="minorHAnsi" w:cstheme="minorHAnsi"/>
          <w:bCs/>
          <w:sz w:val="28"/>
          <w:szCs w:val="28"/>
        </w:rPr>
      </w:pPr>
      <w:r w:rsidRPr="000C099D">
        <w:rPr>
          <w:rFonts w:asciiTheme="minorHAnsi" w:hAnsiTheme="minorHAnsi" w:cstheme="minorHAnsi"/>
          <w:b/>
          <w:bCs/>
          <w:sz w:val="28"/>
          <w:szCs w:val="28"/>
          <w:u w:val="single"/>
        </w:rPr>
        <w:t>Vaccine</w:t>
      </w:r>
      <w:r w:rsidR="00864470" w:rsidRPr="000C099D">
        <w:rPr>
          <w:rFonts w:asciiTheme="minorHAnsi" w:hAnsiTheme="minorHAnsi" w:cstheme="minorHAnsi"/>
          <w:b/>
          <w:bCs/>
          <w:sz w:val="28"/>
          <w:szCs w:val="28"/>
          <w:u w:val="single"/>
        </w:rPr>
        <w:t>-</w:t>
      </w:r>
      <w:r w:rsidRPr="000C099D">
        <w:rPr>
          <w:rFonts w:asciiTheme="minorHAnsi" w:hAnsiTheme="minorHAnsi" w:cstheme="minorHAnsi"/>
          <w:b/>
          <w:bCs/>
          <w:sz w:val="28"/>
          <w:szCs w:val="28"/>
          <w:u w:val="single"/>
        </w:rPr>
        <w:t>Preventable Disease Exclusion in School Settings</w:t>
      </w:r>
      <w:r w:rsidR="000F3253" w:rsidRPr="000C099D">
        <w:rPr>
          <w:rFonts w:asciiTheme="minorHAnsi" w:hAnsiTheme="minorHAnsi" w:cstheme="minorHAnsi"/>
          <w:b/>
          <w:bCs/>
          <w:sz w:val="28"/>
          <w:szCs w:val="28"/>
          <w:u w:val="single"/>
          <w:vertAlign w:val="superscript"/>
        </w:rPr>
        <w:t>*</w:t>
      </w:r>
    </w:p>
    <w:p w14:paraId="730F60F1" w14:textId="77777777" w:rsidR="008F7D8C" w:rsidRPr="000C099D" w:rsidRDefault="008F7D8C" w:rsidP="000C099D">
      <w:pPr>
        <w:pStyle w:val="BodyText2"/>
        <w:jc w:val="center"/>
        <w:rPr>
          <w:rFonts w:asciiTheme="minorHAnsi" w:hAnsiTheme="minorHAnsi" w:cstheme="minorHAnsi"/>
          <w:bCs/>
          <w:sz w:val="20"/>
        </w:rPr>
      </w:pPr>
    </w:p>
    <w:p w14:paraId="182A9364" w14:textId="7754566B" w:rsidR="00A64C74" w:rsidRPr="000C099D" w:rsidRDefault="00A64C74" w:rsidP="000C099D">
      <w:pPr>
        <w:pStyle w:val="BodyText2"/>
        <w:rPr>
          <w:rFonts w:asciiTheme="minorHAnsi" w:hAnsiTheme="minorHAnsi" w:cstheme="minorHAnsi"/>
          <w:b/>
          <w:sz w:val="20"/>
        </w:rPr>
      </w:pPr>
      <w:r w:rsidRPr="000C099D">
        <w:rPr>
          <w:rFonts w:asciiTheme="minorHAnsi" w:hAnsiTheme="minorHAnsi" w:cstheme="minorHAnsi"/>
          <w:b/>
          <w:sz w:val="20"/>
        </w:rPr>
        <w:t>Definition of Allowable Exemptions</w:t>
      </w:r>
      <w:r w:rsidR="005C161A" w:rsidRPr="000C099D">
        <w:rPr>
          <w:rFonts w:asciiTheme="minorHAnsi" w:hAnsiTheme="minorHAnsi" w:cstheme="minorHAnsi"/>
          <w:b/>
          <w:sz w:val="20"/>
        </w:rPr>
        <w:t xml:space="preserve"> (</w:t>
      </w:r>
      <w:r w:rsidR="00740FC6" w:rsidRPr="000C099D">
        <w:rPr>
          <w:rFonts w:asciiTheme="minorHAnsi" w:hAnsiTheme="minorHAnsi" w:cstheme="minorHAnsi"/>
          <w:b/>
          <w:sz w:val="20"/>
        </w:rPr>
        <w:t xml:space="preserve">see </w:t>
      </w:r>
      <w:hyperlink r:id="rId7" w:history="1">
        <w:r w:rsidR="005C161A" w:rsidRPr="000C099D">
          <w:rPr>
            <w:rStyle w:val="Hyperlink"/>
            <w:rFonts w:asciiTheme="minorHAnsi" w:hAnsiTheme="minorHAnsi" w:cstheme="minorHAnsi"/>
            <w:b/>
            <w:sz w:val="20"/>
          </w:rPr>
          <w:t>MGL c. 76</w:t>
        </w:r>
      </w:hyperlink>
      <w:r w:rsidR="00D71974" w:rsidRPr="000C099D">
        <w:rPr>
          <w:rFonts w:asciiTheme="minorHAnsi" w:hAnsiTheme="minorHAnsi" w:cstheme="minorHAnsi"/>
          <w:b/>
          <w:sz w:val="20"/>
        </w:rPr>
        <w:t xml:space="preserve"> §§15, 15C, 15D; 105 CMR 220)</w:t>
      </w:r>
      <w:r w:rsidR="00C43C58" w:rsidRPr="000C099D">
        <w:rPr>
          <w:rFonts w:asciiTheme="minorHAnsi" w:hAnsiTheme="minorHAnsi" w:cstheme="minorHAnsi"/>
          <w:b/>
          <w:sz w:val="20"/>
        </w:rPr>
        <w:t>.</w:t>
      </w:r>
    </w:p>
    <w:p w14:paraId="267EBF1F" w14:textId="61AE46C8" w:rsidR="00A64C74" w:rsidRPr="000C099D" w:rsidRDefault="00230FDE" w:rsidP="000C099D">
      <w:pPr>
        <w:pStyle w:val="BodyText2"/>
        <w:rPr>
          <w:rFonts w:asciiTheme="minorHAnsi" w:hAnsiTheme="minorHAnsi" w:cstheme="minorHAnsi"/>
          <w:sz w:val="20"/>
        </w:rPr>
      </w:pPr>
      <w:r w:rsidRPr="000C099D">
        <w:rPr>
          <w:rFonts w:asciiTheme="minorHAnsi" w:hAnsiTheme="minorHAnsi" w:cstheme="minorHAnsi"/>
          <w:sz w:val="20"/>
        </w:rPr>
        <w:t>There are</w:t>
      </w:r>
      <w:r w:rsidR="0076741A" w:rsidRPr="000C099D">
        <w:rPr>
          <w:rFonts w:asciiTheme="minorHAnsi" w:hAnsiTheme="minorHAnsi" w:cstheme="minorHAnsi"/>
          <w:sz w:val="20"/>
        </w:rPr>
        <w:t xml:space="preserve"> three </w:t>
      </w:r>
      <w:r w:rsidRPr="000C099D">
        <w:rPr>
          <w:rFonts w:asciiTheme="minorHAnsi" w:hAnsiTheme="minorHAnsi" w:cstheme="minorHAnsi"/>
          <w:sz w:val="20"/>
        </w:rPr>
        <w:t>situations in which children</w:t>
      </w:r>
      <w:r w:rsidR="00A64C74" w:rsidRPr="000C099D">
        <w:rPr>
          <w:rFonts w:asciiTheme="minorHAnsi" w:hAnsiTheme="minorHAnsi" w:cstheme="minorHAnsi"/>
          <w:sz w:val="20"/>
        </w:rPr>
        <w:t xml:space="preserve"> not appropriately immunized may be admitted to school:</w:t>
      </w:r>
    </w:p>
    <w:p w14:paraId="6776C39A" w14:textId="77777777" w:rsidR="00A64C74" w:rsidRPr="000C099D" w:rsidRDefault="00A64C74" w:rsidP="000C099D">
      <w:pPr>
        <w:pStyle w:val="BodyText2"/>
        <w:rPr>
          <w:rFonts w:asciiTheme="minorHAnsi" w:hAnsiTheme="minorHAnsi" w:cstheme="minorHAnsi"/>
          <w:sz w:val="20"/>
        </w:rPr>
      </w:pPr>
    </w:p>
    <w:p w14:paraId="523AE5C1" w14:textId="77777777" w:rsidR="00A64C74" w:rsidRPr="000C099D" w:rsidRDefault="00230FDE" w:rsidP="000C099D">
      <w:pPr>
        <w:numPr>
          <w:ilvl w:val="0"/>
          <w:numId w:val="1"/>
        </w:numPr>
        <w:tabs>
          <w:tab w:val="clear" w:pos="1080"/>
        </w:tabs>
        <w:ind w:left="360"/>
        <w:rPr>
          <w:rFonts w:asciiTheme="minorHAnsi" w:hAnsiTheme="minorHAnsi" w:cstheme="minorHAnsi"/>
        </w:rPr>
      </w:pPr>
      <w:r w:rsidRPr="000C099D">
        <w:rPr>
          <w:rFonts w:asciiTheme="minorHAnsi" w:hAnsiTheme="minorHAnsi" w:cstheme="minorHAnsi"/>
          <w:bCs/>
        </w:rPr>
        <w:t>A</w:t>
      </w:r>
      <w:r w:rsidRPr="000C099D">
        <w:rPr>
          <w:rFonts w:asciiTheme="minorHAnsi" w:hAnsiTheme="minorHAnsi" w:cstheme="minorHAnsi"/>
          <w:b/>
        </w:rPr>
        <w:t xml:space="preserve"> </w:t>
      </w:r>
      <w:r w:rsidR="0076741A" w:rsidRPr="000C099D">
        <w:rPr>
          <w:rFonts w:asciiTheme="minorHAnsi" w:hAnsiTheme="minorHAnsi" w:cstheme="minorHAnsi"/>
          <w:b/>
        </w:rPr>
        <w:t>m</w:t>
      </w:r>
      <w:r w:rsidR="00A64C74" w:rsidRPr="000C099D">
        <w:rPr>
          <w:rFonts w:asciiTheme="minorHAnsi" w:hAnsiTheme="minorHAnsi" w:cstheme="minorHAnsi"/>
          <w:b/>
        </w:rPr>
        <w:t>edical exemption</w:t>
      </w:r>
      <w:r w:rsidR="00A64C74" w:rsidRPr="000C099D">
        <w:rPr>
          <w:rFonts w:asciiTheme="minorHAnsi" w:hAnsiTheme="minorHAnsi" w:cstheme="minorHAnsi"/>
        </w:rPr>
        <w:t xml:space="preserve"> is allowed if a physician </w:t>
      </w:r>
      <w:r w:rsidR="00A13083" w:rsidRPr="000C099D">
        <w:rPr>
          <w:rFonts w:asciiTheme="minorHAnsi" w:hAnsiTheme="minorHAnsi" w:cstheme="minorHAnsi"/>
        </w:rPr>
        <w:t>certifies</w:t>
      </w:r>
      <w:r w:rsidR="00CB1E24" w:rsidRPr="000C099D">
        <w:rPr>
          <w:rFonts w:asciiTheme="minorHAnsi" w:hAnsiTheme="minorHAnsi" w:cstheme="minorHAnsi"/>
        </w:rPr>
        <w:t xml:space="preserve"> </w:t>
      </w:r>
      <w:r w:rsidRPr="000C099D">
        <w:rPr>
          <w:rFonts w:asciiTheme="minorHAnsi" w:hAnsiTheme="minorHAnsi" w:cstheme="minorHAnsi"/>
        </w:rPr>
        <w:t xml:space="preserve">that immunization </w:t>
      </w:r>
      <w:r w:rsidR="00A13083" w:rsidRPr="000C099D">
        <w:rPr>
          <w:rFonts w:asciiTheme="minorHAnsi" w:hAnsiTheme="minorHAnsi" w:cstheme="minorHAnsi"/>
        </w:rPr>
        <w:t xml:space="preserve">is </w:t>
      </w:r>
      <w:r w:rsidR="00A64C74" w:rsidRPr="000C099D">
        <w:rPr>
          <w:rFonts w:asciiTheme="minorHAnsi" w:hAnsiTheme="minorHAnsi" w:cstheme="minorHAnsi"/>
        </w:rPr>
        <w:t>medically contraindicated</w:t>
      </w:r>
      <w:r w:rsidR="00490A77" w:rsidRPr="000C099D">
        <w:rPr>
          <w:rFonts w:asciiTheme="minorHAnsi" w:hAnsiTheme="minorHAnsi" w:cstheme="minorHAnsi"/>
        </w:rPr>
        <w:t>. This must be renewed annually at the start of the school year.</w:t>
      </w:r>
    </w:p>
    <w:p w14:paraId="388CEBCA" w14:textId="51982C9B" w:rsidR="00A64C74" w:rsidRPr="000C099D" w:rsidRDefault="0076741A" w:rsidP="000C099D">
      <w:pPr>
        <w:numPr>
          <w:ilvl w:val="0"/>
          <w:numId w:val="1"/>
        </w:numPr>
        <w:tabs>
          <w:tab w:val="clear" w:pos="1080"/>
        </w:tabs>
        <w:ind w:left="360"/>
        <w:rPr>
          <w:rFonts w:asciiTheme="minorHAnsi" w:hAnsiTheme="minorHAnsi" w:cstheme="minorHAnsi"/>
        </w:rPr>
      </w:pPr>
      <w:r w:rsidRPr="000C099D">
        <w:rPr>
          <w:rFonts w:asciiTheme="minorHAnsi" w:hAnsiTheme="minorHAnsi" w:cstheme="minorHAnsi"/>
        </w:rPr>
        <w:t xml:space="preserve">A </w:t>
      </w:r>
      <w:r w:rsidRPr="000C099D">
        <w:rPr>
          <w:rFonts w:asciiTheme="minorHAnsi" w:hAnsiTheme="minorHAnsi" w:cstheme="minorHAnsi"/>
          <w:b/>
        </w:rPr>
        <w:t>r</w:t>
      </w:r>
      <w:r w:rsidR="00A64C74" w:rsidRPr="000C099D">
        <w:rPr>
          <w:rFonts w:asciiTheme="minorHAnsi" w:hAnsiTheme="minorHAnsi" w:cstheme="minorHAnsi"/>
          <w:b/>
        </w:rPr>
        <w:t>eligious exemption</w:t>
      </w:r>
      <w:r w:rsidR="00A64C74" w:rsidRPr="000C099D">
        <w:rPr>
          <w:rFonts w:asciiTheme="minorHAnsi" w:hAnsiTheme="minorHAnsi" w:cstheme="minorHAnsi"/>
        </w:rPr>
        <w:t xml:space="preserve"> is allowed if a parent or guardian </w:t>
      </w:r>
      <w:r w:rsidR="002A4AC1" w:rsidRPr="000C099D">
        <w:rPr>
          <w:rFonts w:asciiTheme="minorHAnsi" w:hAnsiTheme="minorHAnsi" w:cstheme="minorHAnsi"/>
        </w:rPr>
        <w:t>provide</w:t>
      </w:r>
      <w:r w:rsidR="00A64C74" w:rsidRPr="000C099D">
        <w:rPr>
          <w:rFonts w:asciiTheme="minorHAnsi" w:hAnsiTheme="minorHAnsi" w:cstheme="minorHAnsi"/>
        </w:rPr>
        <w:t>s a written statement that immunization conflict</w:t>
      </w:r>
      <w:r w:rsidR="00577DEA" w:rsidRPr="000C099D">
        <w:rPr>
          <w:rFonts w:asciiTheme="minorHAnsi" w:hAnsiTheme="minorHAnsi" w:cstheme="minorHAnsi"/>
        </w:rPr>
        <w:t>s</w:t>
      </w:r>
      <w:r w:rsidR="00A64C74" w:rsidRPr="000C099D">
        <w:rPr>
          <w:rFonts w:asciiTheme="minorHAnsi" w:hAnsiTheme="minorHAnsi" w:cstheme="minorHAnsi"/>
        </w:rPr>
        <w:t xml:space="preserve"> with their sincere religious beliefs.</w:t>
      </w:r>
      <w:r w:rsidR="00490A77" w:rsidRPr="000C099D">
        <w:rPr>
          <w:rFonts w:asciiTheme="minorHAnsi" w:hAnsiTheme="minorHAnsi" w:cstheme="minorHAnsi"/>
        </w:rPr>
        <w:t xml:space="preserve"> This should be renewed annually at the start of the school year.</w:t>
      </w:r>
    </w:p>
    <w:p w14:paraId="113E7396" w14:textId="6F8614E0" w:rsidR="0076741A" w:rsidRPr="000C099D" w:rsidRDefault="00AF3798" w:rsidP="000C099D">
      <w:pPr>
        <w:numPr>
          <w:ilvl w:val="0"/>
          <w:numId w:val="1"/>
        </w:numPr>
        <w:tabs>
          <w:tab w:val="clear" w:pos="1080"/>
        </w:tabs>
        <w:ind w:left="360"/>
        <w:rPr>
          <w:rFonts w:asciiTheme="minorHAnsi" w:hAnsiTheme="minorHAnsi" w:cstheme="minorHAnsi"/>
        </w:rPr>
      </w:pPr>
      <w:proofErr w:type="gramStart"/>
      <w:r w:rsidRPr="000C099D">
        <w:rPr>
          <w:rFonts w:asciiTheme="minorHAnsi" w:hAnsiTheme="minorHAnsi" w:cstheme="minorHAnsi"/>
        </w:rPr>
        <w:t xml:space="preserve">The </w:t>
      </w:r>
      <w:r w:rsidRPr="000C099D">
        <w:rPr>
          <w:rFonts w:asciiTheme="minorHAnsi" w:hAnsiTheme="minorHAnsi" w:cstheme="minorHAnsi"/>
          <w:b/>
          <w:bCs/>
        </w:rPr>
        <w:t>Every</w:t>
      </w:r>
      <w:proofErr w:type="gramEnd"/>
      <w:r w:rsidRPr="000C099D">
        <w:rPr>
          <w:rFonts w:asciiTheme="minorHAnsi" w:hAnsiTheme="minorHAnsi" w:cstheme="minorHAnsi"/>
          <w:b/>
          <w:bCs/>
        </w:rPr>
        <w:t xml:space="preserve"> Student Succeeds Act</w:t>
      </w:r>
      <w:r w:rsidRPr="000C099D">
        <w:rPr>
          <w:rFonts w:asciiTheme="minorHAnsi" w:hAnsiTheme="minorHAnsi" w:cstheme="minorHAnsi"/>
        </w:rPr>
        <w:t xml:space="preserve"> (</w:t>
      </w:r>
      <w:r w:rsidR="00FE4D73" w:rsidRPr="000C099D">
        <w:rPr>
          <w:rFonts w:asciiTheme="minorHAnsi" w:hAnsiTheme="minorHAnsi" w:cstheme="minorHAnsi"/>
        </w:rPr>
        <w:t xml:space="preserve">which reauthorizes the </w:t>
      </w:r>
      <w:r w:rsidRPr="000C099D">
        <w:rPr>
          <w:rFonts w:asciiTheme="minorHAnsi" w:hAnsiTheme="minorHAnsi" w:cstheme="minorHAnsi"/>
        </w:rPr>
        <w:t xml:space="preserve">McKinney-Vento Act) </w:t>
      </w:r>
      <w:r w:rsidR="00FE4D73" w:rsidRPr="000C099D">
        <w:rPr>
          <w:rFonts w:asciiTheme="minorHAnsi" w:hAnsiTheme="minorHAnsi" w:cstheme="minorHAnsi"/>
        </w:rPr>
        <w:t xml:space="preserve">protects unimmunized or partially immunized homeless children and children in foster care from being denied entry to public schools if they do not have immunization records. These children are </w:t>
      </w:r>
      <w:r w:rsidR="00FE4D73" w:rsidRPr="000C099D">
        <w:rPr>
          <w:rFonts w:asciiTheme="minorHAnsi" w:hAnsiTheme="minorHAnsi" w:cstheme="minorHAnsi"/>
          <w:b/>
          <w:bCs/>
        </w:rPr>
        <w:t>not protected</w:t>
      </w:r>
      <w:r w:rsidR="00FE4D73" w:rsidRPr="000C099D">
        <w:rPr>
          <w:rFonts w:asciiTheme="minorHAnsi" w:hAnsiTheme="minorHAnsi" w:cstheme="minorHAnsi"/>
        </w:rPr>
        <w:t xml:space="preserve"> from exclusion in the case of an outbreak.</w:t>
      </w:r>
    </w:p>
    <w:p w14:paraId="23E4F4BF" w14:textId="77777777" w:rsidR="00A64C74" w:rsidRPr="000C099D" w:rsidRDefault="00A64C74" w:rsidP="000C099D">
      <w:pPr>
        <w:rPr>
          <w:rFonts w:asciiTheme="minorHAnsi" w:hAnsiTheme="minorHAnsi" w:cstheme="minorHAnsi"/>
        </w:rPr>
      </w:pPr>
    </w:p>
    <w:p w14:paraId="218E0028" w14:textId="77777777" w:rsidR="00A64C74" w:rsidRPr="000C099D" w:rsidRDefault="00A64C74" w:rsidP="000C099D">
      <w:pPr>
        <w:rPr>
          <w:rFonts w:asciiTheme="minorHAnsi" w:hAnsiTheme="minorHAnsi" w:cstheme="minorHAnsi"/>
        </w:rPr>
      </w:pPr>
      <w:r w:rsidRPr="000C099D">
        <w:rPr>
          <w:rFonts w:asciiTheme="minorHAnsi" w:hAnsiTheme="minorHAnsi" w:cstheme="minorHAnsi"/>
          <w:b/>
          <w:bCs/>
        </w:rPr>
        <w:t>Policies for Exclusion at School Entry</w:t>
      </w:r>
    </w:p>
    <w:p w14:paraId="678AD3D5" w14:textId="1BB59CFE" w:rsidR="00A64C74" w:rsidRPr="000C099D" w:rsidRDefault="00A64C74" w:rsidP="000C099D">
      <w:pPr>
        <w:rPr>
          <w:rFonts w:asciiTheme="minorHAnsi" w:hAnsiTheme="minorHAnsi" w:cstheme="minorHAnsi"/>
        </w:rPr>
      </w:pPr>
      <w:r w:rsidRPr="000C099D">
        <w:rPr>
          <w:rFonts w:asciiTheme="minorHAnsi" w:hAnsiTheme="minorHAnsi" w:cstheme="minorHAnsi"/>
        </w:rPr>
        <w:t xml:space="preserve">While the </w:t>
      </w:r>
      <w:r w:rsidR="00D71974" w:rsidRPr="000C099D">
        <w:rPr>
          <w:rFonts w:asciiTheme="minorHAnsi" w:hAnsiTheme="minorHAnsi" w:cstheme="minorHAnsi"/>
        </w:rPr>
        <w:t xml:space="preserve">statutes </w:t>
      </w:r>
      <w:r w:rsidRPr="000C099D">
        <w:rPr>
          <w:rFonts w:asciiTheme="minorHAnsi" w:hAnsiTheme="minorHAnsi" w:cstheme="minorHAnsi"/>
        </w:rPr>
        <w:t xml:space="preserve">and regulations state that </w:t>
      </w:r>
      <w:r w:rsidRPr="000C099D">
        <w:rPr>
          <w:rFonts w:asciiTheme="minorHAnsi" w:hAnsiTheme="minorHAnsi" w:cstheme="minorHAnsi"/>
          <w:b/>
        </w:rPr>
        <w:t>unimmunized</w:t>
      </w:r>
      <w:r w:rsidRPr="000C099D">
        <w:rPr>
          <w:rFonts w:asciiTheme="minorHAnsi" w:hAnsiTheme="minorHAnsi" w:cstheme="minorHAnsi"/>
        </w:rPr>
        <w:t xml:space="preserve"> </w:t>
      </w:r>
      <w:r w:rsidR="00E53E3C" w:rsidRPr="000C099D">
        <w:rPr>
          <w:rFonts w:asciiTheme="minorHAnsi" w:hAnsiTheme="minorHAnsi" w:cstheme="minorHAnsi"/>
        </w:rPr>
        <w:t xml:space="preserve">students </w:t>
      </w:r>
      <w:r w:rsidRPr="000C099D">
        <w:rPr>
          <w:rFonts w:asciiTheme="minorHAnsi" w:hAnsiTheme="minorHAnsi" w:cstheme="minorHAnsi"/>
        </w:rPr>
        <w:t xml:space="preserve">who do not meet criteria for medical or religious </w:t>
      </w:r>
      <w:proofErr w:type="gramStart"/>
      <w:r w:rsidRPr="000C099D">
        <w:rPr>
          <w:rFonts w:asciiTheme="minorHAnsi" w:hAnsiTheme="minorHAnsi" w:cstheme="minorHAnsi"/>
        </w:rPr>
        <w:t xml:space="preserve">exemption </w:t>
      </w:r>
      <w:r w:rsidR="00AC5124" w:rsidRPr="000C099D">
        <w:rPr>
          <w:rFonts w:asciiTheme="minorHAnsi" w:hAnsiTheme="minorHAnsi" w:cstheme="minorHAnsi"/>
        </w:rPr>
        <w:t>“</w:t>
      </w:r>
      <w:r w:rsidRPr="000C099D">
        <w:rPr>
          <w:rFonts w:asciiTheme="minorHAnsi" w:hAnsiTheme="minorHAnsi" w:cstheme="minorHAnsi"/>
        </w:rPr>
        <w:t>shall</w:t>
      </w:r>
      <w:proofErr w:type="gramEnd"/>
      <w:r w:rsidRPr="000C099D">
        <w:rPr>
          <w:rFonts w:asciiTheme="minorHAnsi" w:hAnsiTheme="minorHAnsi" w:cstheme="minorHAnsi"/>
        </w:rPr>
        <w:t xml:space="preserve"> </w:t>
      </w:r>
      <w:r w:rsidRPr="000C099D">
        <w:rPr>
          <w:rFonts w:asciiTheme="minorHAnsi" w:hAnsiTheme="minorHAnsi" w:cstheme="minorHAnsi"/>
          <w:b/>
        </w:rPr>
        <w:t>not</w:t>
      </w:r>
      <w:r w:rsidRPr="000C099D">
        <w:rPr>
          <w:rFonts w:asciiTheme="minorHAnsi" w:hAnsiTheme="minorHAnsi" w:cstheme="minorHAnsi"/>
        </w:rPr>
        <w:t xml:space="preserve"> be admitted to </w:t>
      </w:r>
      <w:r w:rsidR="00864470" w:rsidRPr="000C099D">
        <w:rPr>
          <w:rFonts w:asciiTheme="minorHAnsi" w:hAnsiTheme="minorHAnsi" w:cstheme="minorHAnsi"/>
        </w:rPr>
        <w:t xml:space="preserve">a </w:t>
      </w:r>
      <w:proofErr w:type="gramStart"/>
      <w:r w:rsidRPr="000C099D">
        <w:rPr>
          <w:rFonts w:asciiTheme="minorHAnsi" w:hAnsiTheme="minorHAnsi" w:cstheme="minorHAnsi"/>
        </w:rPr>
        <w:t>school,</w:t>
      </w:r>
      <w:r w:rsidR="00AC5124" w:rsidRPr="000C099D">
        <w:rPr>
          <w:rFonts w:asciiTheme="minorHAnsi" w:hAnsiTheme="minorHAnsi" w:cstheme="minorHAnsi"/>
        </w:rPr>
        <w:t>”</w:t>
      </w:r>
      <w:proofErr w:type="gramEnd"/>
      <w:r w:rsidRPr="000C099D">
        <w:rPr>
          <w:rFonts w:asciiTheme="minorHAnsi" w:hAnsiTheme="minorHAnsi" w:cstheme="minorHAnsi"/>
        </w:rPr>
        <w:t xml:space="preserve"> </w:t>
      </w:r>
      <w:r w:rsidR="00A13083" w:rsidRPr="000C099D">
        <w:rPr>
          <w:rFonts w:asciiTheme="minorHAnsi" w:hAnsiTheme="minorHAnsi" w:cstheme="minorHAnsi"/>
        </w:rPr>
        <w:t>the</w:t>
      </w:r>
      <w:r w:rsidRPr="000C099D">
        <w:rPr>
          <w:rFonts w:asciiTheme="minorHAnsi" w:hAnsiTheme="minorHAnsi" w:cstheme="minorHAnsi"/>
        </w:rPr>
        <w:t xml:space="preserve"> enforcement of exclusion for unimmunized or partially </w:t>
      </w:r>
      <w:r w:rsidR="002A4AC1" w:rsidRPr="000C099D">
        <w:rPr>
          <w:rFonts w:asciiTheme="minorHAnsi" w:hAnsiTheme="minorHAnsi" w:cstheme="minorHAnsi"/>
        </w:rPr>
        <w:t xml:space="preserve">immunized children </w:t>
      </w:r>
      <w:r w:rsidR="00A13083" w:rsidRPr="000C099D">
        <w:rPr>
          <w:rFonts w:asciiTheme="minorHAnsi" w:hAnsiTheme="minorHAnsi" w:cstheme="minorHAnsi"/>
        </w:rPr>
        <w:t>is</w:t>
      </w:r>
      <w:r w:rsidR="002A4AC1" w:rsidRPr="000C099D">
        <w:rPr>
          <w:rFonts w:asciiTheme="minorHAnsi" w:hAnsiTheme="minorHAnsi" w:cstheme="minorHAnsi"/>
        </w:rPr>
        <w:t xml:space="preserve"> discharged</w:t>
      </w:r>
      <w:r w:rsidRPr="000C099D">
        <w:rPr>
          <w:rFonts w:asciiTheme="minorHAnsi" w:hAnsiTheme="minorHAnsi" w:cstheme="minorHAnsi"/>
        </w:rPr>
        <w:t xml:space="preserve"> by individual schools</w:t>
      </w:r>
      <w:r w:rsidR="00490A77" w:rsidRPr="000C099D">
        <w:rPr>
          <w:rFonts w:asciiTheme="minorHAnsi" w:hAnsiTheme="minorHAnsi" w:cstheme="minorHAnsi"/>
        </w:rPr>
        <w:t xml:space="preserve"> and </w:t>
      </w:r>
      <w:r w:rsidRPr="000C099D">
        <w:rPr>
          <w:rFonts w:asciiTheme="minorHAnsi" w:hAnsiTheme="minorHAnsi" w:cstheme="minorHAnsi"/>
        </w:rPr>
        <w:t>school districts.</w:t>
      </w:r>
    </w:p>
    <w:p w14:paraId="53ED8F0F" w14:textId="77777777" w:rsidR="000041DE" w:rsidRPr="000C099D" w:rsidRDefault="000041DE" w:rsidP="000C099D">
      <w:pPr>
        <w:rPr>
          <w:rFonts w:asciiTheme="minorHAnsi" w:hAnsiTheme="minorHAnsi" w:cstheme="minorHAnsi"/>
        </w:rPr>
      </w:pPr>
    </w:p>
    <w:p w14:paraId="5B9615E1" w14:textId="12A5AABD" w:rsidR="005B03C5" w:rsidRPr="000C099D" w:rsidRDefault="005B03C5" w:rsidP="000C099D">
      <w:pPr>
        <w:rPr>
          <w:rFonts w:asciiTheme="minorHAnsi" w:hAnsiTheme="minorHAnsi" w:cstheme="minorHAnsi"/>
        </w:rPr>
      </w:pPr>
      <w:r w:rsidRPr="000C099D">
        <w:rPr>
          <w:rFonts w:asciiTheme="minorHAnsi" w:hAnsiTheme="minorHAnsi" w:cstheme="minorHAnsi"/>
        </w:rPr>
        <w:t xml:space="preserve">Please note that unimmunized or partially immunized homeless children and children in foster care cannot be denied entry to public school if they do not have immunization records. The federal Every Student Succeeds Act states that if a homeless or foster care child or youth arrives lacking immunizations or medical records, the parent/guardian should be referred to the district's Homeless Education Liaison/foster care point of contact, who has the responsibility to obtain relevant academic records and immunizations or medical records and to ensure that homeless/foster care students are attending school while the records are obtained. The student must be enrolled and permitted to attend public school in the interim. If you have any questions about </w:t>
      </w:r>
      <w:proofErr w:type="gramStart"/>
      <w:r w:rsidRPr="000C099D">
        <w:rPr>
          <w:rFonts w:asciiTheme="minorHAnsi" w:hAnsiTheme="minorHAnsi" w:cstheme="minorHAnsi"/>
        </w:rPr>
        <w:t>the Every</w:t>
      </w:r>
      <w:proofErr w:type="gramEnd"/>
      <w:r w:rsidRPr="000C099D">
        <w:rPr>
          <w:rFonts w:asciiTheme="minorHAnsi" w:hAnsiTheme="minorHAnsi" w:cstheme="minorHAnsi"/>
        </w:rPr>
        <w:t xml:space="preserve"> Student Succeeds Act, please contact the </w:t>
      </w:r>
      <w:r w:rsidRPr="000C099D">
        <w:rPr>
          <w:rFonts w:asciiTheme="minorHAnsi" w:hAnsiTheme="minorHAnsi" w:cstheme="minorHAnsi"/>
          <w:b/>
          <w:bCs/>
        </w:rPr>
        <w:t xml:space="preserve">Department of Elementary and Secondary Education (DESE) </w:t>
      </w:r>
      <w:r w:rsidRPr="000C099D">
        <w:rPr>
          <w:rFonts w:asciiTheme="minorHAnsi" w:hAnsiTheme="minorHAnsi" w:cstheme="minorHAnsi"/>
        </w:rPr>
        <w:t>at</w:t>
      </w:r>
      <w:r w:rsidRPr="000C099D">
        <w:rPr>
          <w:rFonts w:asciiTheme="minorHAnsi" w:hAnsiTheme="minorHAnsi" w:cstheme="minorHAnsi"/>
          <w:b/>
          <w:bCs/>
        </w:rPr>
        <w:t xml:space="preserve"> (781) 338-3700 </w:t>
      </w:r>
      <w:r w:rsidRPr="000C099D">
        <w:rPr>
          <w:rFonts w:asciiTheme="minorHAnsi" w:hAnsiTheme="minorHAnsi" w:cstheme="minorHAnsi"/>
        </w:rPr>
        <w:t>or</w:t>
      </w:r>
      <w:r w:rsidRPr="000C099D">
        <w:rPr>
          <w:rFonts w:asciiTheme="minorHAnsi" w:hAnsiTheme="minorHAnsi" w:cstheme="minorHAnsi"/>
          <w:b/>
          <w:bCs/>
        </w:rPr>
        <w:t xml:space="preserve"> compliance@doe.mass.edu</w:t>
      </w:r>
      <w:r w:rsidRPr="000C099D">
        <w:rPr>
          <w:rFonts w:asciiTheme="minorHAnsi" w:hAnsiTheme="minorHAnsi" w:cstheme="minorHAnsi"/>
        </w:rPr>
        <w:t>.</w:t>
      </w:r>
    </w:p>
    <w:p w14:paraId="27D23401" w14:textId="77777777" w:rsidR="005B03C5" w:rsidRPr="000C099D" w:rsidRDefault="005B03C5" w:rsidP="000C099D">
      <w:pPr>
        <w:rPr>
          <w:rFonts w:asciiTheme="minorHAnsi" w:hAnsiTheme="minorHAnsi" w:cstheme="minorHAnsi"/>
        </w:rPr>
      </w:pPr>
    </w:p>
    <w:p w14:paraId="4621C6FB" w14:textId="0EAF1865" w:rsidR="00A64C74" w:rsidRPr="000C099D" w:rsidRDefault="000F3253" w:rsidP="000C099D">
      <w:pPr>
        <w:rPr>
          <w:rFonts w:asciiTheme="minorHAnsi" w:hAnsiTheme="minorHAnsi" w:cstheme="minorHAnsi"/>
        </w:rPr>
      </w:pPr>
      <w:r w:rsidRPr="000C099D">
        <w:rPr>
          <w:rFonts w:asciiTheme="minorHAnsi" w:hAnsiTheme="minorHAnsi" w:cstheme="minorHAnsi"/>
        </w:rPr>
        <w:t>Schools enrolling homeless children</w:t>
      </w:r>
      <w:r w:rsidR="0099793F" w:rsidRPr="000C099D">
        <w:rPr>
          <w:rFonts w:asciiTheme="minorHAnsi" w:hAnsiTheme="minorHAnsi" w:cstheme="minorHAnsi"/>
        </w:rPr>
        <w:t xml:space="preserve"> and children in foster care</w:t>
      </w:r>
      <w:r w:rsidRPr="000C099D">
        <w:rPr>
          <w:rFonts w:asciiTheme="minorHAnsi" w:hAnsiTheme="minorHAnsi" w:cstheme="minorHAnsi"/>
        </w:rPr>
        <w:t xml:space="preserve"> may wish to review their obligations under the</w:t>
      </w:r>
      <w:r w:rsidR="00A64C74" w:rsidRPr="000C099D">
        <w:rPr>
          <w:rFonts w:asciiTheme="minorHAnsi" w:hAnsiTheme="minorHAnsi" w:cstheme="minorHAnsi"/>
        </w:rPr>
        <w:t xml:space="preserve"> federal </w:t>
      </w:r>
      <w:r w:rsidR="005B03C5" w:rsidRPr="000C099D">
        <w:rPr>
          <w:rFonts w:asciiTheme="minorHAnsi" w:hAnsiTheme="minorHAnsi" w:cstheme="minorHAnsi"/>
        </w:rPr>
        <w:t>Every Student Succeeds Act of 2015 (ESSA)</w:t>
      </w:r>
      <w:r w:rsidRPr="000C099D">
        <w:rPr>
          <w:rFonts w:asciiTheme="minorHAnsi" w:hAnsiTheme="minorHAnsi" w:cstheme="minorHAnsi"/>
        </w:rPr>
        <w:t>.</w:t>
      </w:r>
      <w:r w:rsidR="000C41E0" w:rsidRPr="000C099D">
        <w:rPr>
          <w:rFonts w:asciiTheme="minorHAnsi" w:hAnsiTheme="minorHAnsi" w:cstheme="minorHAnsi"/>
        </w:rPr>
        <w:t xml:space="preserve"> </w:t>
      </w:r>
      <w:r w:rsidRPr="000C099D">
        <w:rPr>
          <w:rFonts w:asciiTheme="minorHAnsi" w:hAnsiTheme="minorHAnsi" w:cstheme="minorHAnsi"/>
        </w:rPr>
        <w:t xml:space="preserve">The </w:t>
      </w:r>
      <w:r w:rsidR="00A13083" w:rsidRPr="000C099D">
        <w:rPr>
          <w:rFonts w:asciiTheme="minorHAnsi" w:hAnsiTheme="minorHAnsi" w:cstheme="minorHAnsi"/>
        </w:rPr>
        <w:t xml:space="preserve">National Center for Homeless Education provides information on the </w:t>
      </w:r>
      <w:hyperlink r:id="rId8" w:history="1">
        <w:r w:rsidR="005B03C5" w:rsidRPr="00C669C6">
          <w:rPr>
            <w:rStyle w:val="Hyperlink"/>
            <w:rFonts w:asciiTheme="minorHAnsi" w:hAnsiTheme="minorHAnsi" w:cstheme="minorHAnsi"/>
          </w:rPr>
          <w:t xml:space="preserve">Every Student </w:t>
        </w:r>
        <w:r w:rsidR="004B2D0E" w:rsidRPr="00C669C6">
          <w:rPr>
            <w:rStyle w:val="Hyperlink"/>
            <w:rFonts w:asciiTheme="minorHAnsi" w:hAnsiTheme="minorHAnsi" w:cstheme="minorHAnsi"/>
          </w:rPr>
          <w:t>Succeeds</w:t>
        </w:r>
        <w:r w:rsidR="005B03C5" w:rsidRPr="00C669C6">
          <w:rPr>
            <w:rStyle w:val="Hyperlink"/>
            <w:rFonts w:asciiTheme="minorHAnsi" w:hAnsiTheme="minorHAnsi" w:cstheme="minorHAnsi"/>
          </w:rPr>
          <w:t xml:space="preserve"> Act</w:t>
        </w:r>
      </w:hyperlink>
      <w:r w:rsidR="000C099D">
        <w:rPr>
          <w:rFonts w:asciiTheme="minorHAnsi" w:hAnsiTheme="minorHAnsi" w:cstheme="minorHAnsi"/>
        </w:rPr>
        <w:t>.</w:t>
      </w:r>
    </w:p>
    <w:p w14:paraId="18DB6301" w14:textId="77777777" w:rsidR="00A64C74" w:rsidRPr="000C099D" w:rsidRDefault="00A64C74" w:rsidP="000C099D">
      <w:pPr>
        <w:rPr>
          <w:rFonts w:asciiTheme="minorHAnsi" w:hAnsiTheme="minorHAnsi" w:cstheme="minorHAnsi"/>
        </w:rPr>
      </w:pPr>
    </w:p>
    <w:p w14:paraId="2FB9218A" w14:textId="77777777" w:rsidR="00A64C74" w:rsidRPr="000C099D" w:rsidRDefault="00A64C74" w:rsidP="000C099D">
      <w:pPr>
        <w:rPr>
          <w:rFonts w:asciiTheme="minorHAnsi" w:hAnsiTheme="minorHAnsi" w:cstheme="minorHAnsi"/>
        </w:rPr>
      </w:pPr>
      <w:r w:rsidRPr="000C099D">
        <w:rPr>
          <w:rFonts w:asciiTheme="minorHAnsi" w:hAnsiTheme="minorHAnsi" w:cstheme="minorHAnsi"/>
          <w:b/>
          <w:bCs/>
        </w:rPr>
        <w:t>Exclusion During Disease Outbreaks</w:t>
      </w:r>
    </w:p>
    <w:p w14:paraId="31E07BA2" w14:textId="1C316F76" w:rsidR="00A64C74" w:rsidRPr="000C099D" w:rsidRDefault="00A64C74" w:rsidP="000C099D">
      <w:pPr>
        <w:rPr>
          <w:rFonts w:asciiTheme="minorHAnsi" w:hAnsiTheme="minorHAnsi" w:cstheme="minorHAnsi"/>
        </w:rPr>
      </w:pPr>
      <w:r w:rsidRPr="000C099D">
        <w:rPr>
          <w:rFonts w:asciiTheme="minorHAnsi" w:hAnsiTheme="minorHAnsi" w:cstheme="minorHAnsi"/>
        </w:rPr>
        <w:t xml:space="preserve">In situations when one or more cases of </w:t>
      </w:r>
      <w:r w:rsidR="00CB1E24" w:rsidRPr="000C099D">
        <w:rPr>
          <w:rFonts w:asciiTheme="minorHAnsi" w:hAnsiTheme="minorHAnsi" w:cstheme="minorHAnsi"/>
        </w:rPr>
        <w:t>a vaccine-preventable or any other communicable d</w:t>
      </w:r>
      <w:r w:rsidRPr="000C099D">
        <w:rPr>
          <w:rFonts w:asciiTheme="minorHAnsi" w:hAnsiTheme="minorHAnsi" w:cstheme="minorHAnsi"/>
        </w:rPr>
        <w:t xml:space="preserve">isease are present in a school, all </w:t>
      </w:r>
      <w:r w:rsidR="00B07E13" w:rsidRPr="000C099D">
        <w:rPr>
          <w:rFonts w:asciiTheme="minorHAnsi" w:hAnsiTheme="minorHAnsi" w:cstheme="minorHAnsi"/>
        </w:rPr>
        <w:t>susceptible</w:t>
      </w:r>
      <w:r w:rsidR="00F814EC" w:rsidRPr="000C099D">
        <w:rPr>
          <w:rFonts w:asciiTheme="minorHAnsi" w:hAnsiTheme="minorHAnsi" w:cstheme="minorHAnsi"/>
        </w:rPr>
        <w:t xml:space="preserve"> </w:t>
      </w:r>
      <w:r w:rsidR="00D927EA" w:rsidRPr="000C099D">
        <w:rPr>
          <w:rFonts w:asciiTheme="minorHAnsi" w:hAnsiTheme="minorHAnsi" w:cstheme="minorHAnsi"/>
        </w:rPr>
        <w:t>persons</w:t>
      </w:r>
      <w:r w:rsidRPr="000C099D">
        <w:rPr>
          <w:rFonts w:asciiTheme="minorHAnsi" w:hAnsiTheme="minorHAnsi" w:cstheme="minorHAnsi"/>
        </w:rPr>
        <w:t xml:space="preserve">, </w:t>
      </w:r>
      <w:r w:rsidRPr="000C099D">
        <w:rPr>
          <w:rFonts w:asciiTheme="minorHAnsi" w:hAnsiTheme="minorHAnsi" w:cstheme="minorHAnsi"/>
          <w:b/>
        </w:rPr>
        <w:t>including those with medical or religious exemptions</w:t>
      </w:r>
      <w:r w:rsidRPr="000C099D">
        <w:rPr>
          <w:rFonts w:asciiTheme="minorHAnsi" w:hAnsiTheme="minorHAnsi" w:cstheme="minorHAnsi"/>
        </w:rPr>
        <w:t>, are subject to exclusion as described in the</w:t>
      </w:r>
      <w:r w:rsidR="00A13083" w:rsidRPr="000C099D">
        <w:rPr>
          <w:rFonts w:asciiTheme="minorHAnsi" w:hAnsiTheme="minorHAnsi" w:cstheme="minorHAnsi"/>
        </w:rPr>
        <w:t xml:space="preserve"> Department of Public Health’s</w:t>
      </w:r>
      <w:r w:rsidRPr="000C099D">
        <w:rPr>
          <w:rFonts w:asciiTheme="minorHAnsi" w:hAnsiTheme="minorHAnsi" w:cstheme="minorHAnsi"/>
        </w:rPr>
        <w:t xml:space="preserve"> Reportable Diseases and Isolation and Quarantine Requirements (</w:t>
      </w:r>
      <w:hyperlink r:id="rId9" w:history="1">
        <w:r w:rsidRPr="00C669C6">
          <w:rPr>
            <w:rStyle w:val="Hyperlink"/>
            <w:rFonts w:asciiTheme="minorHAnsi" w:hAnsiTheme="minorHAnsi" w:cstheme="minorHAnsi"/>
          </w:rPr>
          <w:t>105 CMR 300.000</w:t>
        </w:r>
      </w:hyperlink>
      <w:r w:rsidRPr="000C099D">
        <w:rPr>
          <w:rFonts w:asciiTheme="minorHAnsi" w:hAnsiTheme="minorHAnsi" w:cstheme="minorHAnsi"/>
        </w:rPr>
        <w:t>).</w:t>
      </w:r>
    </w:p>
    <w:p w14:paraId="0BF3D517" w14:textId="77777777" w:rsidR="00A64C74" w:rsidRPr="000C099D" w:rsidRDefault="00A64C74" w:rsidP="000C099D">
      <w:pPr>
        <w:rPr>
          <w:rFonts w:asciiTheme="minorHAnsi" w:hAnsiTheme="minorHAnsi" w:cstheme="minorHAnsi"/>
        </w:rPr>
      </w:pPr>
    </w:p>
    <w:p w14:paraId="244281AA" w14:textId="03C20ECF" w:rsidR="00A64C74" w:rsidRPr="000C099D" w:rsidRDefault="00A64C74" w:rsidP="000C099D">
      <w:pPr>
        <w:rPr>
          <w:rFonts w:asciiTheme="minorHAnsi" w:hAnsiTheme="minorHAnsi" w:cstheme="minorHAnsi"/>
        </w:rPr>
      </w:pPr>
      <w:r w:rsidRPr="000C099D">
        <w:rPr>
          <w:rFonts w:asciiTheme="minorHAnsi" w:hAnsiTheme="minorHAnsi" w:cstheme="minorHAnsi"/>
        </w:rPr>
        <w:t xml:space="preserve">The Isolation and Quarantine Requirements </w:t>
      </w:r>
      <w:r w:rsidR="000F3253" w:rsidRPr="000C099D">
        <w:rPr>
          <w:rFonts w:asciiTheme="minorHAnsi" w:hAnsiTheme="minorHAnsi" w:cstheme="minorHAnsi"/>
        </w:rPr>
        <w:t>at 105 CMR 300</w:t>
      </w:r>
      <w:r w:rsidR="000B5E03" w:rsidRPr="000C099D">
        <w:rPr>
          <w:rFonts w:asciiTheme="minorHAnsi" w:hAnsiTheme="minorHAnsi" w:cstheme="minorHAnsi"/>
        </w:rPr>
        <w:t>.</w:t>
      </w:r>
      <w:r w:rsidR="00187D94" w:rsidRPr="000C099D">
        <w:rPr>
          <w:rFonts w:asciiTheme="minorHAnsi" w:hAnsiTheme="minorHAnsi" w:cstheme="minorHAnsi"/>
        </w:rPr>
        <w:t>000</w:t>
      </w:r>
      <w:r w:rsidR="000F3253" w:rsidRPr="000C099D">
        <w:rPr>
          <w:rFonts w:asciiTheme="minorHAnsi" w:hAnsiTheme="minorHAnsi" w:cstheme="minorHAnsi"/>
        </w:rPr>
        <w:t xml:space="preserve"> </w:t>
      </w:r>
      <w:r w:rsidRPr="000C099D">
        <w:rPr>
          <w:rFonts w:asciiTheme="minorHAnsi" w:hAnsiTheme="minorHAnsi" w:cstheme="minorHAnsi"/>
        </w:rPr>
        <w:t>establish isolation and quarantine requirements for cases of certain diseases and their contacts in certain high-risk situations, including the school setting.</w:t>
      </w:r>
      <w:r w:rsidR="000C41E0" w:rsidRPr="000C099D">
        <w:rPr>
          <w:rFonts w:asciiTheme="minorHAnsi" w:hAnsiTheme="minorHAnsi" w:cstheme="minorHAnsi"/>
        </w:rPr>
        <w:t xml:space="preserve"> </w:t>
      </w:r>
      <w:r w:rsidRPr="000C099D">
        <w:rPr>
          <w:rFonts w:asciiTheme="minorHAnsi" w:hAnsiTheme="minorHAnsi" w:cstheme="minorHAnsi"/>
        </w:rPr>
        <w:t xml:space="preserve">The following table </w:t>
      </w:r>
      <w:r w:rsidR="000F3253" w:rsidRPr="000C099D">
        <w:rPr>
          <w:rFonts w:asciiTheme="minorHAnsi" w:hAnsiTheme="minorHAnsi" w:cstheme="minorHAnsi"/>
        </w:rPr>
        <w:t>excerpted from 105 CMR 300</w:t>
      </w:r>
      <w:r w:rsidR="00187D94" w:rsidRPr="000C099D">
        <w:rPr>
          <w:rFonts w:asciiTheme="minorHAnsi" w:hAnsiTheme="minorHAnsi" w:cstheme="minorHAnsi"/>
        </w:rPr>
        <w:t>.000</w:t>
      </w:r>
      <w:r w:rsidR="000F3253" w:rsidRPr="000C099D">
        <w:rPr>
          <w:rFonts w:asciiTheme="minorHAnsi" w:hAnsiTheme="minorHAnsi" w:cstheme="minorHAnsi"/>
        </w:rPr>
        <w:t xml:space="preserve">, </w:t>
      </w:r>
      <w:r w:rsidRPr="000C099D">
        <w:rPr>
          <w:rFonts w:asciiTheme="minorHAnsi" w:hAnsiTheme="minorHAnsi" w:cstheme="minorHAnsi"/>
        </w:rPr>
        <w:t>outlines several of the more common childhood vaccine-preventable diseases identified in the requirements that may occur in schools and the corresponding exclusion requirements.</w:t>
      </w:r>
    </w:p>
    <w:p w14:paraId="3ECDA7C5" w14:textId="77777777" w:rsidR="001C6F7F" w:rsidRPr="000C099D" w:rsidRDefault="001C6F7F" w:rsidP="000C099D">
      <w:pPr>
        <w:rPr>
          <w:rFonts w:asciiTheme="minorHAnsi" w:hAnsiTheme="minorHAnsi" w:cstheme="minorHAnsi"/>
        </w:rPr>
      </w:pPr>
    </w:p>
    <w:p w14:paraId="5144FAE3" w14:textId="55936FC3" w:rsidR="00A64C74" w:rsidRDefault="001C6F7F" w:rsidP="00FE4CE7">
      <w:pPr>
        <w:rPr>
          <w:rFonts w:asciiTheme="minorHAnsi" w:hAnsiTheme="minorHAnsi" w:cstheme="minorHAnsi"/>
        </w:rPr>
      </w:pPr>
      <w:r w:rsidRPr="000C099D">
        <w:rPr>
          <w:rFonts w:asciiTheme="minorHAnsi" w:hAnsiTheme="minorHAnsi" w:cstheme="minorHAnsi"/>
          <w:vertAlign w:val="superscript"/>
        </w:rPr>
        <w:t>*</w:t>
      </w:r>
      <w:r w:rsidRPr="000C099D">
        <w:rPr>
          <w:rFonts w:asciiTheme="minorHAnsi" w:hAnsiTheme="minorHAnsi" w:cstheme="minorHAnsi"/>
        </w:rPr>
        <w:t>This document does not serve as legal or medical advice.</w:t>
      </w:r>
      <w:r w:rsidR="000C41E0" w:rsidRPr="000C099D">
        <w:rPr>
          <w:rFonts w:asciiTheme="minorHAnsi" w:hAnsiTheme="minorHAnsi" w:cstheme="minorHAnsi"/>
        </w:rPr>
        <w:t xml:space="preserve"> </w:t>
      </w:r>
      <w:r w:rsidRPr="000C099D">
        <w:rPr>
          <w:rFonts w:asciiTheme="minorHAnsi" w:hAnsiTheme="minorHAnsi" w:cstheme="minorHAnsi"/>
        </w:rPr>
        <w:t>To the extent this document conflicts with statutory or regulatory requirements</w:t>
      </w:r>
      <w:r w:rsidR="00D56A4F" w:rsidRPr="000C099D">
        <w:rPr>
          <w:rFonts w:asciiTheme="minorHAnsi" w:hAnsiTheme="minorHAnsi" w:cstheme="minorHAnsi"/>
        </w:rPr>
        <w:t>,</w:t>
      </w:r>
      <w:r w:rsidRPr="000C099D">
        <w:rPr>
          <w:rFonts w:asciiTheme="minorHAnsi" w:hAnsiTheme="minorHAnsi" w:cstheme="minorHAnsi"/>
        </w:rPr>
        <w:t xml:space="preserve"> those requirements shall </w:t>
      </w:r>
      <w:proofErr w:type="gramStart"/>
      <w:r w:rsidRPr="000C099D">
        <w:rPr>
          <w:rFonts w:asciiTheme="minorHAnsi" w:hAnsiTheme="minorHAnsi" w:cstheme="minorHAnsi"/>
        </w:rPr>
        <w:t>control</w:t>
      </w:r>
      <w:proofErr w:type="gramEnd"/>
      <w:r w:rsidRPr="000C099D">
        <w:rPr>
          <w:rFonts w:asciiTheme="minorHAnsi" w:hAnsiTheme="minorHAnsi" w:cstheme="minorHAnsi"/>
        </w:rPr>
        <w:t>. Nothing in this document shall be interpreted to alter or modify requirements set out in the law. Questions about a school’s legal obligations or interpretation of applicable statutes and regulations must be directed to the school’s legal counsel.</w:t>
      </w:r>
    </w:p>
    <w:p w14:paraId="2A1A7F54" w14:textId="77777777" w:rsidR="00FE4CE7" w:rsidRDefault="00FE4CE7">
      <w:pPr>
        <w:rPr>
          <w:rFonts w:asciiTheme="minorHAnsi" w:hAnsiTheme="minorHAnsi" w:cstheme="minorHAnsi"/>
          <w:b/>
          <w:bCs/>
        </w:rPr>
      </w:pPr>
      <w:r>
        <w:rPr>
          <w:rFonts w:asciiTheme="minorHAnsi" w:hAnsiTheme="minorHAnsi" w:cstheme="minorHAnsi"/>
          <w:b/>
          <w:bCs/>
        </w:rPr>
        <w:br w:type="page"/>
      </w:r>
    </w:p>
    <w:p w14:paraId="4E36E26E" w14:textId="63D2D3F6" w:rsidR="00A64C74" w:rsidRPr="000C099D" w:rsidRDefault="00740FC6" w:rsidP="000C099D">
      <w:pPr>
        <w:jc w:val="center"/>
        <w:rPr>
          <w:rFonts w:asciiTheme="minorHAnsi" w:hAnsiTheme="minorHAnsi" w:cstheme="minorHAnsi"/>
          <w:bCs/>
        </w:rPr>
      </w:pPr>
      <w:r w:rsidRPr="000C099D">
        <w:rPr>
          <w:rFonts w:asciiTheme="minorHAnsi" w:hAnsiTheme="minorHAnsi" w:cstheme="minorHAnsi"/>
          <w:b/>
          <w:bCs/>
        </w:rPr>
        <w:lastRenderedPageBreak/>
        <w:t xml:space="preserve">Partial </w:t>
      </w:r>
      <w:r w:rsidR="00CB1E24" w:rsidRPr="000C099D">
        <w:rPr>
          <w:rFonts w:asciiTheme="minorHAnsi" w:hAnsiTheme="minorHAnsi" w:cstheme="minorHAnsi"/>
          <w:b/>
          <w:bCs/>
        </w:rPr>
        <w:t xml:space="preserve">Exclusion </w:t>
      </w:r>
      <w:r w:rsidR="00A64C74" w:rsidRPr="000C099D">
        <w:rPr>
          <w:rFonts w:asciiTheme="minorHAnsi" w:hAnsiTheme="minorHAnsi" w:cstheme="minorHAnsi"/>
          <w:b/>
          <w:bCs/>
        </w:rPr>
        <w:t>Guide for Select Vaccine</w:t>
      </w:r>
      <w:r w:rsidR="00CB1E24" w:rsidRPr="000C099D">
        <w:rPr>
          <w:rFonts w:asciiTheme="minorHAnsi" w:hAnsiTheme="minorHAnsi" w:cstheme="minorHAnsi"/>
          <w:b/>
          <w:bCs/>
        </w:rPr>
        <w:t>-</w:t>
      </w:r>
      <w:r w:rsidR="00A64C74" w:rsidRPr="000C099D">
        <w:rPr>
          <w:rFonts w:asciiTheme="minorHAnsi" w:hAnsiTheme="minorHAnsi" w:cstheme="minorHAnsi"/>
          <w:b/>
          <w:bCs/>
        </w:rPr>
        <w:t>Preventable Diseases in a School Setting</w:t>
      </w:r>
    </w:p>
    <w:p w14:paraId="15BBF443" w14:textId="77777777" w:rsidR="00FE4CE7" w:rsidRDefault="00FE4CE7" w:rsidP="000C099D">
      <w:pPr>
        <w:ind w:left="-180"/>
        <w:jc w:val="center"/>
        <w:rPr>
          <w:rFonts w:asciiTheme="minorHAnsi" w:hAnsiTheme="minorHAnsi" w:cstheme="minorHAnsi"/>
        </w:rPr>
      </w:pPr>
    </w:p>
    <w:p w14:paraId="5AD611DE" w14:textId="1433792A" w:rsidR="00435412" w:rsidRPr="000C099D" w:rsidRDefault="00435412" w:rsidP="000C099D">
      <w:pPr>
        <w:ind w:left="-180"/>
        <w:jc w:val="center"/>
        <w:rPr>
          <w:rFonts w:asciiTheme="minorHAnsi" w:hAnsiTheme="minorHAnsi" w:cstheme="minorHAnsi"/>
        </w:rPr>
      </w:pPr>
      <w:r w:rsidRPr="000C099D">
        <w:rPr>
          <w:rFonts w:asciiTheme="minorHAnsi" w:hAnsiTheme="minorHAnsi" w:cstheme="minorHAnsi"/>
        </w:rPr>
        <w:t>Depending on the specific circumstances related to the exposure, case</w:t>
      </w:r>
      <w:r w:rsidR="00791CF4" w:rsidRPr="000C099D">
        <w:rPr>
          <w:rFonts w:asciiTheme="minorHAnsi" w:hAnsiTheme="minorHAnsi" w:cstheme="minorHAnsi"/>
        </w:rPr>
        <w:t>,</w:t>
      </w:r>
      <w:r w:rsidRPr="000C099D">
        <w:rPr>
          <w:rFonts w:asciiTheme="minorHAnsi" w:hAnsiTheme="minorHAnsi" w:cstheme="minorHAnsi"/>
        </w:rPr>
        <w:t xml:space="preserve"> and contact </w:t>
      </w:r>
      <w:r w:rsidR="00EF05E6" w:rsidRPr="000C099D">
        <w:rPr>
          <w:rFonts w:asciiTheme="minorHAnsi" w:hAnsiTheme="minorHAnsi" w:cstheme="minorHAnsi"/>
        </w:rPr>
        <w:t xml:space="preserve">with </w:t>
      </w:r>
      <w:r w:rsidRPr="000C099D">
        <w:rPr>
          <w:rFonts w:asciiTheme="minorHAnsi" w:hAnsiTheme="minorHAnsi" w:cstheme="minorHAnsi"/>
        </w:rPr>
        <w:t>any disease or condition listed in 105 CMR 300.200 (A) or (B), additional control measures may be required.</w:t>
      </w:r>
    </w:p>
    <w:p w14:paraId="6178505B" w14:textId="77777777" w:rsidR="00435412" w:rsidRPr="000C099D" w:rsidRDefault="00435412" w:rsidP="000C099D">
      <w:pPr>
        <w:ind w:left="-144" w:right="144"/>
        <w:jc w:val="center"/>
        <w:rPr>
          <w:rFonts w:asciiTheme="minorHAnsi" w:hAnsiTheme="minorHAnsi" w:cstheme="minorHAnsi"/>
          <w:i/>
        </w:rPr>
      </w:pPr>
    </w:p>
    <w:p w14:paraId="5FAFA3AD" w14:textId="2656CB93" w:rsidR="00A64C74" w:rsidRPr="000C099D" w:rsidRDefault="000F3253" w:rsidP="000C099D">
      <w:pPr>
        <w:ind w:left="-144" w:right="144"/>
        <w:jc w:val="center"/>
        <w:rPr>
          <w:rFonts w:asciiTheme="minorHAnsi" w:hAnsiTheme="minorHAnsi" w:cstheme="minorHAnsi"/>
          <w:i/>
        </w:rPr>
      </w:pPr>
      <w:r w:rsidRPr="000C099D">
        <w:rPr>
          <w:rFonts w:asciiTheme="minorHAnsi" w:hAnsiTheme="minorHAnsi" w:cstheme="minorHAnsi"/>
          <w:i/>
        </w:rPr>
        <w:t xml:space="preserve">This list is not exhaustive. </w:t>
      </w:r>
      <w:r w:rsidR="004E7A25" w:rsidRPr="000C099D">
        <w:rPr>
          <w:rFonts w:asciiTheme="minorHAnsi" w:hAnsiTheme="minorHAnsi" w:cstheme="minorHAnsi"/>
          <w:i/>
        </w:rPr>
        <w:t xml:space="preserve">See </w:t>
      </w:r>
      <w:hyperlink r:id="rId10" w:history="1">
        <w:r w:rsidR="004E7A25" w:rsidRPr="000C099D">
          <w:rPr>
            <w:rStyle w:val="Hyperlink"/>
            <w:rFonts w:asciiTheme="minorHAnsi" w:hAnsiTheme="minorHAnsi" w:cstheme="minorHAnsi"/>
            <w:i/>
          </w:rPr>
          <w:t>105 CMR 300.00</w:t>
        </w:r>
        <w:r w:rsidR="00941086" w:rsidRPr="000C099D">
          <w:rPr>
            <w:rStyle w:val="Hyperlink"/>
            <w:rFonts w:asciiTheme="minorHAnsi" w:hAnsiTheme="minorHAnsi" w:cstheme="minorHAnsi"/>
            <w:i/>
          </w:rPr>
          <w:t>0</w:t>
        </w:r>
      </w:hyperlink>
      <w:r w:rsidR="004E7A25" w:rsidRPr="000C099D">
        <w:rPr>
          <w:rFonts w:asciiTheme="minorHAnsi" w:hAnsiTheme="minorHAnsi" w:cstheme="minorHAnsi"/>
          <w:i/>
        </w:rPr>
        <w:t xml:space="preserve"> for the complete Isolation and Quarantine Requirements</w:t>
      </w:r>
      <w:r w:rsidR="00EE5020" w:rsidRPr="000C099D">
        <w:rPr>
          <w:rFonts w:asciiTheme="minorHAnsi" w:hAnsiTheme="minorHAnsi" w:cstheme="minorHAnsi"/>
          <w:i/>
        </w:rPr>
        <w:t>.</w:t>
      </w:r>
    </w:p>
    <w:p w14:paraId="7026FDE9" w14:textId="77777777" w:rsidR="00AC0A94" w:rsidRPr="000C099D" w:rsidRDefault="00AC0A94" w:rsidP="000C099D">
      <w:pPr>
        <w:ind w:left="-144" w:right="144"/>
        <w:jc w:val="center"/>
        <w:rPr>
          <w:rFonts w:asciiTheme="minorHAnsi" w:hAnsiTheme="minorHAnsi" w:cstheme="minorHAnsi"/>
          <w:i/>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81"/>
        <w:gridCol w:w="4345"/>
        <w:gridCol w:w="4791"/>
      </w:tblGrid>
      <w:tr w:rsidR="00EF1405" w:rsidRPr="000C099D" w14:paraId="70642B61" w14:textId="77777777" w:rsidTr="002461BA">
        <w:trPr>
          <w:cantSplit/>
          <w:tblHeader/>
          <w:jc w:val="center"/>
        </w:trPr>
        <w:tc>
          <w:tcPr>
            <w:tcW w:w="1181" w:type="dxa"/>
          </w:tcPr>
          <w:p w14:paraId="22E7BA39" w14:textId="77777777" w:rsidR="00EF1405" w:rsidRPr="000C099D" w:rsidRDefault="00EF1405" w:rsidP="000C099D">
            <w:pPr>
              <w:rPr>
                <w:rFonts w:asciiTheme="minorHAnsi" w:hAnsiTheme="minorHAnsi" w:cstheme="minorHAnsi"/>
                <w:b/>
              </w:rPr>
            </w:pPr>
            <w:r w:rsidRPr="000C099D">
              <w:rPr>
                <w:rFonts w:asciiTheme="minorHAnsi" w:hAnsiTheme="minorHAnsi" w:cstheme="minorHAnsi"/>
                <w:b/>
              </w:rPr>
              <w:t>Disease</w:t>
            </w:r>
          </w:p>
        </w:tc>
        <w:tc>
          <w:tcPr>
            <w:tcW w:w="4345" w:type="dxa"/>
          </w:tcPr>
          <w:p w14:paraId="2EDFE9CF" w14:textId="77777777" w:rsidR="00EF1405" w:rsidRPr="000C099D" w:rsidRDefault="00EF1405" w:rsidP="000C099D">
            <w:pPr>
              <w:rPr>
                <w:rFonts w:asciiTheme="minorHAnsi" w:hAnsiTheme="minorHAnsi" w:cstheme="minorHAnsi"/>
                <w:b/>
              </w:rPr>
            </w:pPr>
            <w:r w:rsidRPr="000C099D">
              <w:rPr>
                <w:rFonts w:asciiTheme="minorHAnsi" w:hAnsiTheme="minorHAnsi" w:cstheme="minorHAnsi"/>
                <w:b/>
              </w:rPr>
              <w:t>Case</w:t>
            </w:r>
            <w:r w:rsidR="003650DA" w:rsidRPr="000C099D">
              <w:rPr>
                <w:rFonts w:asciiTheme="minorHAnsi" w:hAnsiTheme="minorHAnsi" w:cstheme="minorHAnsi"/>
                <w:b/>
              </w:rPr>
              <w:t xml:space="preserve"> and S</w:t>
            </w:r>
            <w:r w:rsidRPr="000C099D">
              <w:rPr>
                <w:rFonts w:asciiTheme="minorHAnsi" w:hAnsiTheme="minorHAnsi" w:cstheme="minorHAnsi"/>
                <w:b/>
              </w:rPr>
              <w:t xml:space="preserve">ymptomatic </w:t>
            </w:r>
            <w:r w:rsidR="003650DA" w:rsidRPr="000C099D">
              <w:rPr>
                <w:rFonts w:asciiTheme="minorHAnsi" w:hAnsiTheme="minorHAnsi" w:cstheme="minorHAnsi"/>
                <w:b/>
              </w:rPr>
              <w:t>C</w:t>
            </w:r>
            <w:r w:rsidRPr="000C099D">
              <w:rPr>
                <w:rFonts w:asciiTheme="minorHAnsi" w:hAnsiTheme="minorHAnsi" w:cstheme="minorHAnsi"/>
                <w:b/>
              </w:rPr>
              <w:t>ontacts</w:t>
            </w:r>
          </w:p>
        </w:tc>
        <w:tc>
          <w:tcPr>
            <w:tcW w:w="4791" w:type="dxa"/>
          </w:tcPr>
          <w:p w14:paraId="5F198084" w14:textId="77777777" w:rsidR="00EF1405" w:rsidRPr="000C099D" w:rsidRDefault="00EF1405" w:rsidP="000C099D">
            <w:pPr>
              <w:rPr>
                <w:rFonts w:asciiTheme="minorHAnsi" w:hAnsiTheme="minorHAnsi" w:cstheme="minorHAnsi"/>
                <w:b/>
              </w:rPr>
            </w:pPr>
            <w:r w:rsidRPr="000C099D">
              <w:rPr>
                <w:rFonts w:asciiTheme="minorHAnsi" w:hAnsiTheme="minorHAnsi" w:cstheme="minorHAnsi"/>
                <w:b/>
              </w:rPr>
              <w:t>Asymptomatic Contact</w:t>
            </w:r>
            <w:r w:rsidR="00D72571" w:rsidRPr="000C099D">
              <w:rPr>
                <w:rFonts w:asciiTheme="minorHAnsi" w:hAnsiTheme="minorHAnsi" w:cstheme="minorHAnsi"/>
                <w:b/>
              </w:rPr>
              <w:t>s</w:t>
            </w:r>
          </w:p>
        </w:tc>
      </w:tr>
      <w:tr w:rsidR="00EF1405" w:rsidRPr="000C099D" w14:paraId="12B6B3AD" w14:textId="77777777" w:rsidTr="002461BA">
        <w:trPr>
          <w:cantSplit/>
          <w:jc w:val="center"/>
        </w:trPr>
        <w:tc>
          <w:tcPr>
            <w:tcW w:w="1181" w:type="dxa"/>
          </w:tcPr>
          <w:p w14:paraId="4DE129DD" w14:textId="77777777" w:rsidR="00EF1405" w:rsidRPr="000C099D" w:rsidRDefault="00EF1405" w:rsidP="000C099D">
            <w:pPr>
              <w:rPr>
                <w:rFonts w:asciiTheme="minorHAnsi" w:hAnsiTheme="minorHAnsi" w:cstheme="minorHAnsi"/>
                <w:b/>
              </w:rPr>
            </w:pPr>
            <w:r w:rsidRPr="000C099D">
              <w:rPr>
                <w:rFonts w:asciiTheme="minorHAnsi" w:hAnsiTheme="minorHAnsi" w:cstheme="minorHAnsi"/>
                <w:b/>
              </w:rPr>
              <w:t xml:space="preserve">Measles </w:t>
            </w:r>
          </w:p>
        </w:tc>
        <w:tc>
          <w:tcPr>
            <w:tcW w:w="4345" w:type="dxa"/>
          </w:tcPr>
          <w:p w14:paraId="520FE66A" w14:textId="3E4B4477" w:rsidR="00EF1405" w:rsidRPr="000C099D" w:rsidRDefault="00EF1405" w:rsidP="000C099D">
            <w:pPr>
              <w:rPr>
                <w:rFonts w:asciiTheme="minorHAnsi" w:hAnsiTheme="minorHAnsi" w:cstheme="minorHAnsi"/>
              </w:rPr>
            </w:pPr>
            <w:r w:rsidRPr="000C099D">
              <w:rPr>
                <w:rFonts w:asciiTheme="minorHAnsi" w:hAnsiTheme="minorHAnsi" w:cstheme="minorHAnsi"/>
              </w:rPr>
              <w:t>Exclude student/staff through 4 days after onset of rash. (Count the day of rash onset as day zero</w:t>
            </w:r>
            <w:r w:rsidR="00DE4C13">
              <w:rPr>
                <w:rFonts w:asciiTheme="minorHAnsi" w:hAnsiTheme="minorHAnsi" w:cstheme="minorHAnsi"/>
              </w:rPr>
              <w:t>).</w:t>
            </w:r>
          </w:p>
        </w:tc>
        <w:tc>
          <w:tcPr>
            <w:tcW w:w="4791" w:type="dxa"/>
          </w:tcPr>
          <w:p w14:paraId="47075643" w14:textId="2F437E29" w:rsidR="00EF1405" w:rsidRPr="000C099D" w:rsidRDefault="00EF1405" w:rsidP="000C099D">
            <w:pPr>
              <w:rPr>
                <w:rFonts w:asciiTheme="minorHAnsi" w:hAnsiTheme="minorHAnsi" w:cstheme="minorHAnsi"/>
              </w:rPr>
            </w:pPr>
            <w:r w:rsidRPr="000C099D">
              <w:rPr>
                <w:rFonts w:asciiTheme="minorHAnsi" w:hAnsiTheme="minorHAnsi" w:cstheme="minorHAnsi"/>
              </w:rPr>
              <w:t>If one case:</w:t>
            </w:r>
            <w:r w:rsidR="000C41E0" w:rsidRPr="000C099D">
              <w:rPr>
                <w:rFonts w:asciiTheme="minorHAnsi" w:hAnsiTheme="minorHAnsi" w:cstheme="minorHAnsi"/>
              </w:rPr>
              <w:t xml:space="preserve"> </w:t>
            </w:r>
            <w:r w:rsidRPr="000C099D">
              <w:rPr>
                <w:rFonts w:asciiTheme="minorHAnsi" w:hAnsiTheme="minorHAnsi" w:cstheme="minorHAnsi"/>
              </w:rPr>
              <w:t>exclude susceptibles</w:t>
            </w:r>
            <w:r w:rsidRPr="000C099D">
              <w:rPr>
                <w:rFonts w:asciiTheme="minorHAnsi" w:hAnsiTheme="minorHAnsi" w:cstheme="minorHAnsi"/>
                <w:vertAlign w:val="superscript"/>
              </w:rPr>
              <w:t xml:space="preserve">1 </w:t>
            </w:r>
            <w:r w:rsidRPr="000C099D">
              <w:rPr>
                <w:rFonts w:asciiTheme="minorHAnsi" w:hAnsiTheme="minorHAnsi" w:cstheme="minorHAnsi"/>
              </w:rPr>
              <w:t>from work or classes from the 5</w:t>
            </w:r>
            <w:r w:rsidRPr="000C099D">
              <w:rPr>
                <w:rFonts w:asciiTheme="minorHAnsi" w:hAnsiTheme="minorHAnsi" w:cstheme="minorHAnsi"/>
                <w:vertAlign w:val="superscript"/>
              </w:rPr>
              <w:t>th</w:t>
            </w:r>
            <w:r w:rsidRPr="000C099D">
              <w:rPr>
                <w:rFonts w:asciiTheme="minorHAnsi" w:hAnsiTheme="minorHAnsi" w:cstheme="minorHAnsi"/>
              </w:rPr>
              <w:t xml:space="preserve"> through the 21</w:t>
            </w:r>
            <w:r w:rsidRPr="000C099D">
              <w:rPr>
                <w:rFonts w:asciiTheme="minorHAnsi" w:hAnsiTheme="minorHAnsi" w:cstheme="minorHAnsi"/>
                <w:vertAlign w:val="superscript"/>
              </w:rPr>
              <w:t>st</w:t>
            </w:r>
            <w:r w:rsidRPr="000C099D">
              <w:rPr>
                <w:rFonts w:asciiTheme="minorHAnsi" w:hAnsiTheme="minorHAnsi" w:cstheme="minorHAnsi"/>
              </w:rPr>
              <w:t xml:space="preserve"> day after their exposure.</w:t>
            </w:r>
            <w:r w:rsidR="000C41E0" w:rsidRPr="000C099D">
              <w:rPr>
                <w:rFonts w:asciiTheme="minorHAnsi" w:hAnsiTheme="minorHAnsi" w:cstheme="minorHAnsi"/>
              </w:rPr>
              <w:t xml:space="preserve"> </w:t>
            </w:r>
          </w:p>
          <w:p w14:paraId="7F851570" w14:textId="77777777" w:rsidR="00EF1405" w:rsidRPr="000C099D" w:rsidRDefault="00EF1405" w:rsidP="000C099D">
            <w:pPr>
              <w:rPr>
                <w:rFonts w:asciiTheme="minorHAnsi" w:hAnsiTheme="minorHAnsi" w:cstheme="minorHAnsi"/>
              </w:rPr>
            </w:pPr>
          </w:p>
          <w:p w14:paraId="2F94665F" w14:textId="307D235F" w:rsidR="00EF1405" w:rsidRPr="000C099D" w:rsidRDefault="00EF1405" w:rsidP="000C099D">
            <w:pPr>
              <w:rPr>
                <w:rFonts w:asciiTheme="minorHAnsi" w:hAnsiTheme="minorHAnsi" w:cstheme="minorHAnsi"/>
              </w:rPr>
            </w:pPr>
            <w:r w:rsidRPr="000C099D">
              <w:rPr>
                <w:rFonts w:asciiTheme="minorHAnsi" w:hAnsiTheme="minorHAnsi" w:cstheme="minorHAnsi"/>
              </w:rPr>
              <w:t xml:space="preserve">If multiple cases or continuous </w:t>
            </w:r>
            <w:r w:rsidR="00623C56" w:rsidRPr="000C099D">
              <w:rPr>
                <w:rFonts w:asciiTheme="minorHAnsi" w:hAnsiTheme="minorHAnsi" w:cstheme="minorHAnsi"/>
              </w:rPr>
              <w:t xml:space="preserve">(two or more days) </w:t>
            </w:r>
            <w:r w:rsidRPr="000C099D">
              <w:rPr>
                <w:rFonts w:asciiTheme="minorHAnsi" w:hAnsiTheme="minorHAnsi" w:cstheme="minorHAnsi"/>
              </w:rPr>
              <w:t>exposure:</w:t>
            </w:r>
            <w:r w:rsidR="000C41E0" w:rsidRPr="000C099D">
              <w:rPr>
                <w:rFonts w:asciiTheme="minorHAnsi" w:hAnsiTheme="minorHAnsi" w:cstheme="minorHAnsi"/>
              </w:rPr>
              <w:t xml:space="preserve"> </w:t>
            </w:r>
            <w:r w:rsidRPr="000C099D">
              <w:rPr>
                <w:rFonts w:asciiTheme="minorHAnsi" w:hAnsiTheme="minorHAnsi" w:cstheme="minorHAnsi"/>
              </w:rPr>
              <w:t>exclude susceptibles</w:t>
            </w:r>
            <w:r w:rsidRPr="000C099D">
              <w:rPr>
                <w:rFonts w:asciiTheme="minorHAnsi" w:hAnsiTheme="minorHAnsi" w:cstheme="minorHAnsi"/>
                <w:vertAlign w:val="superscript"/>
              </w:rPr>
              <w:t>1</w:t>
            </w:r>
            <w:r w:rsidRPr="000C099D">
              <w:rPr>
                <w:rFonts w:asciiTheme="minorHAnsi" w:hAnsiTheme="minorHAnsi" w:cstheme="minorHAnsi"/>
              </w:rPr>
              <w:t xml:space="preserve"> through the 21</w:t>
            </w:r>
            <w:r w:rsidRPr="000C099D">
              <w:rPr>
                <w:rFonts w:asciiTheme="minorHAnsi" w:hAnsiTheme="minorHAnsi" w:cstheme="minorHAnsi"/>
                <w:vertAlign w:val="superscript"/>
              </w:rPr>
              <w:t>st</w:t>
            </w:r>
            <w:r w:rsidRPr="000C099D">
              <w:rPr>
                <w:rFonts w:asciiTheme="minorHAnsi" w:hAnsiTheme="minorHAnsi" w:cstheme="minorHAnsi"/>
              </w:rPr>
              <w:t xml:space="preserve"> day after rash onset in the last case. </w:t>
            </w:r>
          </w:p>
          <w:p w14:paraId="6B280793" w14:textId="77777777" w:rsidR="00EF1405" w:rsidRPr="000C099D" w:rsidRDefault="00EF1405" w:rsidP="000C099D">
            <w:pPr>
              <w:rPr>
                <w:rFonts w:asciiTheme="minorHAnsi" w:hAnsiTheme="minorHAnsi" w:cstheme="minorHAnsi"/>
              </w:rPr>
            </w:pPr>
          </w:p>
          <w:p w14:paraId="79B79406" w14:textId="77777777" w:rsidR="00EF1405" w:rsidRPr="000C099D" w:rsidRDefault="00EF1405" w:rsidP="000C099D">
            <w:pPr>
              <w:rPr>
                <w:rFonts w:asciiTheme="minorHAnsi" w:hAnsiTheme="minorHAnsi" w:cstheme="minorHAnsi"/>
                <w:b/>
              </w:rPr>
            </w:pPr>
            <w:r w:rsidRPr="000C099D">
              <w:rPr>
                <w:rFonts w:asciiTheme="minorHAnsi" w:hAnsiTheme="minorHAnsi" w:cstheme="minorHAnsi"/>
              </w:rPr>
              <w:t xml:space="preserve">These restrictions remain even if the contact received immune globulin (IG). </w:t>
            </w:r>
          </w:p>
        </w:tc>
      </w:tr>
      <w:tr w:rsidR="00EF1405" w:rsidRPr="000C099D" w14:paraId="6D76A1DF" w14:textId="77777777" w:rsidTr="002461BA">
        <w:trPr>
          <w:cantSplit/>
          <w:jc w:val="center"/>
        </w:trPr>
        <w:tc>
          <w:tcPr>
            <w:tcW w:w="1181" w:type="dxa"/>
          </w:tcPr>
          <w:p w14:paraId="0617B351" w14:textId="77777777" w:rsidR="00EF1405" w:rsidRPr="000C099D" w:rsidRDefault="00EF1405" w:rsidP="000C099D">
            <w:pPr>
              <w:rPr>
                <w:rFonts w:asciiTheme="minorHAnsi" w:hAnsiTheme="minorHAnsi" w:cstheme="minorHAnsi"/>
                <w:b/>
              </w:rPr>
            </w:pPr>
            <w:r w:rsidRPr="000C099D">
              <w:rPr>
                <w:rFonts w:asciiTheme="minorHAnsi" w:hAnsiTheme="minorHAnsi" w:cstheme="minorHAnsi"/>
                <w:b/>
              </w:rPr>
              <w:t xml:space="preserve">Mumps </w:t>
            </w:r>
          </w:p>
        </w:tc>
        <w:tc>
          <w:tcPr>
            <w:tcW w:w="4345" w:type="dxa"/>
          </w:tcPr>
          <w:p w14:paraId="5646D822" w14:textId="688E611F" w:rsidR="00EF1405" w:rsidRPr="000C099D" w:rsidRDefault="00EF1405" w:rsidP="000C099D">
            <w:pPr>
              <w:rPr>
                <w:rFonts w:asciiTheme="minorHAnsi" w:hAnsiTheme="minorHAnsi" w:cstheme="minorHAnsi"/>
              </w:rPr>
            </w:pPr>
            <w:r w:rsidRPr="000C099D">
              <w:rPr>
                <w:rFonts w:asciiTheme="minorHAnsi" w:hAnsiTheme="minorHAnsi" w:cstheme="minorHAnsi"/>
              </w:rPr>
              <w:t>Exclude student/staff through 5 days after onset of gland swelling. (Count the initial day of gland swelling as day zero</w:t>
            </w:r>
            <w:r w:rsidR="00DE4C13">
              <w:rPr>
                <w:rFonts w:asciiTheme="minorHAnsi" w:hAnsiTheme="minorHAnsi" w:cstheme="minorHAnsi"/>
              </w:rPr>
              <w:t>).</w:t>
            </w:r>
          </w:p>
        </w:tc>
        <w:tc>
          <w:tcPr>
            <w:tcW w:w="4791" w:type="dxa"/>
          </w:tcPr>
          <w:p w14:paraId="76DE628B" w14:textId="0B6F45D2" w:rsidR="00EF1405" w:rsidRPr="000C099D" w:rsidRDefault="00EF1405" w:rsidP="000C099D">
            <w:pPr>
              <w:rPr>
                <w:rFonts w:asciiTheme="minorHAnsi" w:hAnsiTheme="minorHAnsi" w:cstheme="minorHAnsi"/>
              </w:rPr>
            </w:pPr>
            <w:r w:rsidRPr="000C099D">
              <w:rPr>
                <w:rFonts w:asciiTheme="minorHAnsi" w:hAnsiTheme="minorHAnsi" w:cstheme="minorHAnsi"/>
              </w:rPr>
              <w:t>If one case:</w:t>
            </w:r>
            <w:r w:rsidR="000C41E0" w:rsidRPr="000C099D">
              <w:rPr>
                <w:rFonts w:asciiTheme="minorHAnsi" w:hAnsiTheme="minorHAnsi" w:cstheme="minorHAnsi"/>
              </w:rPr>
              <w:t xml:space="preserve"> </w:t>
            </w:r>
            <w:r w:rsidRPr="000C099D">
              <w:rPr>
                <w:rFonts w:asciiTheme="minorHAnsi" w:hAnsiTheme="minorHAnsi" w:cstheme="minorHAnsi"/>
              </w:rPr>
              <w:t>exclude susceptibles</w:t>
            </w:r>
            <w:r w:rsidRPr="000C099D">
              <w:rPr>
                <w:rFonts w:asciiTheme="minorHAnsi" w:hAnsiTheme="minorHAnsi" w:cstheme="minorHAnsi"/>
                <w:vertAlign w:val="superscript"/>
              </w:rPr>
              <w:t>2</w:t>
            </w:r>
            <w:r w:rsidRPr="000C099D">
              <w:rPr>
                <w:rFonts w:asciiTheme="minorHAnsi" w:hAnsiTheme="minorHAnsi" w:cstheme="minorHAnsi"/>
              </w:rPr>
              <w:t xml:space="preserve"> from work or classes from the 12</w:t>
            </w:r>
            <w:r w:rsidRPr="000C099D">
              <w:rPr>
                <w:rFonts w:asciiTheme="minorHAnsi" w:hAnsiTheme="minorHAnsi" w:cstheme="minorHAnsi"/>
                <w:vertAlign w:val="superscript"/>
              </w:rPr>
              <w:t>th</w:t>
            </w:r>
            <w:r w:rsidRPr="000C099D">
              <w:rPr>
                <w:rFonts w:asciiTheme="minorHAnsi" w:hAnsiTheme="minorHAnsi" w:cstheme="minorHAnsi"/>
              </w:rPr>
              <w:t xml:space="preserve"> through the 25</w:t>
            </w:r>
            <w:r w:rsidRPr="000C099D">
              <w:rPr>
                <w:rFonts w:asciiTheme="minorHAnsi" w:hAnsiTheme="minorHAnsi" w:cstheme="minorHAnsi"/>
                <w:vertAlign w:val="superscript"/>
              </w:rPr>
              <w:t>th</w:t>
            </w:r>
            <w:r w:rsidRPr="000C099D">
              <w:rPr>
                <w:rFonts w:asciiTheme="minorHAnsi" w:hAnsiTheme="minorHAnsi" w:cstheme="minorHAnsi"/>
              </w:rPr>
              <w:t xml:space="preserve"> day after their exposure. </w:t>
            </w:r>
          </w:p>
          <w:p w14:paraId="4C7778AA" w14:textId="77777777" w:rsidR="00EF1405" w:rsidRPr="000C099D" w:rsidRDefault="00EF1405" w:rsidP="000C099D">
            <w:pPr>
              <w:rPr>
                <w:rFonts w:asciiTheme="minorHAnsi" w:hAnsiTheme="minorHAnsi" w:cstheme="minorHAnsi"/>
              </w:rPr>
            </w:pPr>
          </w:p>
          <w:p w14:paraId="1E5CE980" w14:textId="222B50CB" w:rsidR="00EF1405" w:rsidRPr="000C099D" w:rsidRDefault="00EF1405" w:rsidP="000C099D">
            <w:pPr>
              <w:rPr>
                <w:rFonts w:asciiTheme="minorHAnsi" w:hAnsiTheme="minorHAnsi" w:cstheme="minorHAnsi"/>
                <w:b/>
              </w:rPr>
            </w:pPr>
            <w:r w:rsidRPr="000C099D">
              <w:rPr>
                <w:rFonts w:asciiTheme="minorHAnsi" w:hAnsiTheme="minorHAnsi" w:cstheme="minorHAnsi"/>
              </w:rPr>
              <w:t>If multiple cases:</w:t>
            </w:r>
            <w:r w:rsidR="000C41E0" w:rsidRPr="000C099D">
              <w:rPr>
                <w:rFonts w:asciiTheme="minorHAnsi" w:hAnsiTheme="minorHAnsi" w:cstheme="minorHAnsi"/>
              </w:rPr>
              <w:t xml:space="preserve"> </w:t>
            </w:r>
            <w:r w:rsidRPr="000C099D">
              <w:rPr>
                <w:rFonts w:asciiTheme="minorHAnsi" w:hAnsiTheme="minorHAnsi" w:cstheme="minorHAnsi"/>
              </w:rPr>
              <w:t>exclude susceptibles</w:t>
            </w:r>
            <w:r w:rsidRPr="000C099D">
              <w:rPr>
                <w:rStyle w:val="FootnoteReference"/>
                <w:rFonts w:asciiTheme="minorHAnsi" w:hAnsiTheme="minorHAnsi" w:cstheme="minorHAnsi"/>
              </w:rPr>
              <w:t>2</w:t>
            </w:r>
            <w:r w:rsidRPr="000C099D">
              <w:rPr>
                <w:rFonts w:asciiTheme="minorHAnsi" w:hAnsiTheme="minorHAnsi" w:cstheme="minorHAnsi"/>
              </w:rPr>
              <w:t xml:space="preserve"> through </w:t>
            </w:r>
            <w:r w:rsidR="00623C56" w:rsidRPr="000C099D">
              <w:rPr>
                <w:rFonts w:asciiTheme="minorHAnsi" w:hAnsiTheme="minorHAnsi" w:cstheme="minorHAnsi"/>
              </w:rPr>
              <w:t xml:space="preserve">the </w:t>
            </w:r>
            <w:r w:rsidRPr="000C099D">
              <w:rPr>
                <w:rFonts w:asciiTheme="minorHAnsi" w:hAnsiTheme="minorHAnsi" w:cstheme="minorHAnsi"/>
              </w:rPr>
              <w:t>25</w:t>
            </w:r>
            <w:r w:rsidR="00623C56" w:rsidRPr="000C099D">
              <w:rPr>
                <w:rFonts w:asciiTheme="minorHAnsi" w:hAnsiTheme="minorHAnsi" w:cstheme="minorHAnsi"/>
              </w:rPr>
              <w:t>th</w:t>
            </w:r>
            <w:r w:rsidRPr="000C099D">
              <w:rPr>
                <w:rFonts w:asciiTheme="minorHAnsi" w:hAnsiTheme="minorHAnsi" w:cstheme="minorHAnsi"/>
              </w:rPr>
              <w:t xml:space="preserve"> day after the onset of the last case at the school or workplace.</w:t>
            </w:r>
          </w:p>
        </w:tc>
      </w:tr>
      <w:tr w:rsidR="00EF1405" w:rsidRPr="000C099D" w14:paraId="25F9F5AF" w14:textId="77777777" w:rsidTr="002461BA">
        <w:trPr>
          <w:cantSplit/>
          <w:jc w:val="center"/>
        </w:trPr>
        <w:tc>
          <w:tcPr>
            <w:tcW w:w="1181" w:type="dxa"/>
          </w:tcPr>
          <w:p w14:paraId="7B2CE810" w14:textId="77777777" w:rsidR="00EF1405" w:rsidRPr="000C099D" w:rsidRDefault="00EF1405" w:rsidP="000C099D">
            <w:pPr>
              <w:pStyle w:val="FootnoteText"/>
              <w:rPr>
                <w:rFonts w:asciiTheme="minorHAnsi" w:hAnsiTheme="minorHAnsi" w:cstheme="minorHAnsi"/>
                <w:b/>
              </w:rPr>
            </w:pPr>
            <w:r w:rsidRPr="000C099D">
              <w:rPr>
                <w:rFonts w:asciiTheme="minorHAnsi" w:hAnsiTheme="minorHAnsi" w:cstheme="minorHAnsi"/>
                <w:b/>
              </w:rPr>
              <w:t xml:space="preserve">Rubella </w:t>
            </w:r>
          </w:p>
        </w:tc>
        <w:tc>
          <w:tcPr>
            <w:tcW w:w="4345" w:type="dxa"/>
          </w:tcPr>
          <w:p w14:paraId="04CF97FD" w14:textId="3930BE93" w:rsidR="00EF1405" w:rsidRPr="000C099D" w:rsidRDefault="00EF1405" w:rsidP="000C099D">
            <w:pPr>
              <w:rPr>
                <w:rFonts w:asciiTheme="minorHAnsi" w:hAnsiTheme="minorHAnsi" w:cstheme="minorHAnsi"/>
              </w:rPr>
            </w:pPr>
            <w:r w:rsidRPr="000C099D">
              <w:rPr>
                <w:rFonts w:asciiTheme="minorHAnsi" w:hAnsiTheme="minorHAnsi" w:cstheme="minorHAnsi"/>
              </w:rPr>
              <w:t>Exclude student/staff through 7 days after rash onset. (Count the day of rash onset as day zero</w:t>
            </w:r>
            <w:r w:rsidR="00DE4C13">
              <w:rPr>
                <w:rFonts w:asciiTheme="minorHAnsi" w:hAnsiTheme="minorHAnsi" w:cstheme="minorHAnsi"/>
              </w:rPr>
              <w:t>).</w:t>
            </w:r>
          </w:p>
        </w:tc>
        <w:tc>
          <w:tcPr>
            <w:tcW w:w="4791" w:type="dxa"/>
          </w:tcPr>
          <w:p w14:paraId="2B068739" w14:textId="61794C33" w:rsidR="00EF1405" w:rsidRPr="000C099D" w:rsidRDefault="00EF1405" w:rsidP="000C099D">
            <w:pPr>
              <w:rPr>
                <w:rFonts w:asciiTheme="minorHAnsi" w:hAnsiTheme="minorHAnsi" w:cstheme="minorHAnsi"/>
              </w:rPr>
            </w:pPr>
            <w:r w:rsidRPr="000C099D">
              <w:rPr>
                <w:rFonts w:asciiTheme="minorHAnsi" w:hAnsiTheme="minorHAnsi" w:cstheme="minorHAnsi"/>
              </w:rPr>
              <w:t>If one case:</w:t>
            </w:r>
            <w:r w:rsidR="000C41E0" w:rsidRPr="000C099D">
              <w:rPr>
                <w:rFonts w:asciiTheme="minorHAnsi" w:hAnsiTheme="minorHAnsi" w:cstheme="minorHAnsi"/>
              </w:rPr>
              <w:t xml:space="preserve"> </w:t>
            </w:r>
            <w:r w:rsidRPr="000C099D">
              <w:rPr>
                <w:rFonts w:asciiTheme="minorHAnsi" w:hAnsiTheme="minorHAnsi" w:cstheme="minorHAnsi"/>
              </w:rPr>
              <w:t>exclude susceptibles</w:t>
            </w:r>
            <w:r w:rsidRPr="000C099D">
              <w:rPr>
                <w:rFonts w:asciiTheme="minorHAnsi" w:hAnsiTheme="minorHAnsi" w:cstheme="minorHAnsi"/>
                <w:vertAlign w:val="superscript"/>
              </w:rPr>
              <w:t>3</w:t>
            </w:r>
            <w:r w:rsidRPr="000C099D">
              <w:rPr>
                <w:rFonts w:asciiTheme="minorHAnsi" w:hAnsiTheme="minorHAnsi" w:cstheme="minorHAnsi"/>
                <w:b/>
              </w:rPr>
              <w:t xml:space="preserve"> </w:t>
            </w:r>
            <w:r w:rsidRPr="000C099D">
              <w:rPr>
                <w:rFonts w:asciiTheme="minorHAnsi" w:hAnsiTheme="minorHAnsi" w:cstheme="minorHAnsi"/>
              </w:rPr>
              <w:t>from work or classes from the 7</w:t>
            </w:r>
            <w:r w:rsidRPr="000C099D">
              <w:rPr>
                <w:rFonts w:asciiTheme="minorHAnsi" w:hAnsiTheme="minorHAnsi" w:cstheme="minorHAnsi"/>
                <w:vertAlign w:val="superscript"/>
              </w:rPr>
              <w:t>th</w:t>
            </w:r>
            <w:r w:rsidRPr="000C099D">
              <w:rPr>
                <w:rFonts w:asciiTheme="minorHAnsi" w:hAnsiTheme="minorHAnsi" w:cstheme="minorHAnsi"/>
              </w:rPr>
              <w:t xml:space="preserve"> through the 23rd day after last exposure.</w:t>
            </w:r>
          </w:p>
          <w:p w14:paraId="347E6608" w14:textId="77777777" w:rsidR="00EF1405" w:rsidRPr="000C099D" w:rsidRDefault="00EF1405" w:rsidP="000C099D">
            <w:pPr>
              <w:rPr>
                <w:rFonts w:asciiTheme="minorHAnsi" w:hAnsiTheme="minorHAnsi" w:cstheme="minorHAnsi"/>
              </w:rPr>
            </w:pPr>
          </w:p>
          <w:p w14:paraId="701D0FF4" w14:textId="4A0BA69B" w:rsidR="00EF1405" w:rsidRPr="000C099D" w:rsidRDefault="00EF1405" w:rsidP="000C099D">
            <w:pPr>
              <w:rPr>
                <w:rFonts w:asciiTheme="minorHAnsi" w:hAnsiTheme="minorHAnsi" w:cstheme="minorHAnsi"/>
                <w:b/>
              </w:rPr>
            </w:pPr>
            <w:r w:rsidRPr="000C099D">
              <w:rPr>
                <w:rFonts w:asciiTheme="minorHAnsi" w:hAnsiTheme="minorHAnsi" w:cstheme="minorHAnsi"/>
              </w:rPr>
              <w:t>If multiple cases:</w:t>
            </w:r>
            <w:r w:rsidR="000C41E0" w:rsidRPr="000C099D">
              <w:rPr>
                <w:rFonts w:asciiTheme="minorHAnsi" w:hAnsiTheme="minorHAnsi" w:cstheme="minorHAnsi"/>
              </w:rPr>
              <w:t xml:space="preserve"> </w:t>
            </w:r>
            <w:r w:rsidRPr="000C099D">
              <w:rPr>
                <w:rFonts w:asciiTheme="minorHAnsi" w:hAnsiTheme="minorHAnsi" w:cstheme="minorHAnsi"/>
              </w:rPr>
              <w:t>exclude susceptibles</w:t>
            </w:r>
            <w:r w:rsidRPr="000C099D">
              <w:rPr>
                <w:rStyle w:val="FootnoteReference"/>
                <w:rFonts w:asciiTheme="minorHAnsi" w:hAnsiTheme="minorHAnsi" w:cstheme="minorHAnsi"/>
              </w:rPr>
              <w:t>3</w:t>
            </w:r>
            <w:r w:rsidRPr="000C099D">
              <w:rPr>
                <w:rFonts w:asciiTheme="minorHAnsi" w:hAnsiTheme="minorHAnsi" w:cstheme="minorHAnsi"/>
              </w:rPr>
              <w:t xml:space="preserve"> </w:t>
            </w:r>
            <w:r w:rsidR="00623C56" w:rsidRPr="000C099D">
              <w:rPr>
                <w:rFonts w:asciiTheme="minorHAnsi" w:hAnsiTheme="minorHAnsi" w:cstheme="minorHAnsi"/>
              </w:rPr>
              <w:t>through the</w:t>
            </w:r>
            <w:r w:rsidRPr="000C099D">
              <w:rPr>
                <w:rFonts w:asciiTheme="minorHAnsi" w:hAnsiTheme="minorHAnsi" w:cstheme="minorHAnsi"/>
              </w:rPr>
              <w:t xml:space="preserve"> 23</w:t>
            </w:r>
            <w:r w:rsidR="00623C56" w:rsidRPr="000C099D">
              <w:rPr>
                <w:rFonts w:asciiTheme="minorHAnsi" w:hAnsiTheme="minorHAnsi" w:cstheme="minorHAnsi"/>
              </w:rPr>
              <w:t>rd</w:t>
            </w:r>
            <w:r w:rsidRPr="000C099D">
              <w:rPr>
                <w:rFonts w:asciiTheme="minorHAnsi" w:hAnsiTheme="minorHAnsi" w:cstheme="minorHAnsi"/>
              </w:rPr>
              <w:t xml:space="preserve"> day after the onset of the last case at the school or workplace.</w:t>
            </w:r>
          </w:p>
        </w:tc>
      </w:tr>
      <w:tr w:rsidR="00EF1405" w:rsidRPr="000C099D" w14:paraId="3E24DA3C" w14:textId="77777777" w:rsidTr="002461BA">
        <w:trPr>
          <w:cantSplit/>
          <w:trHeight w:val="2136"/>
          <w:jc w:val="center"/>
        </w:trPr>
        <w:tc>
          <w:tcPr>
            <w:tcW w:w="1181" w:type="dxa"/>
          </w:tcPr>
          <w:p w14:paraId="0152FFBD" w14:textId="77777777" w:rsidR="00EF1405" w:rsidRPr="000C099D" w:rsidRDefault="00EF1405" w:rsidP="000C099D">
            <w:pPr>
              <w:rPr>
                <w:rFonts w:asciiTheme="minorHAnsi" w:hAnsiTheme="minorHAnsi" w:cstheme="minorHAnsi"/>
                <w:b/>
              </w:rPr>
            </w:pPr>
            <w:r w:rsidRPr="000C099D">
              <w:rPr>
                <w:rFonts w:asciiTheme="minorHAnsi" w:hAnsiTheme="minorHAnsi" w:cstheme="minorHAnsi"/>
                <w:b/>
              </w:rPr>
              <w:t xml:space="preserve">Pertussis </w:t>
            </w:r>
          </w:p>
        </w:tc>
        <w:tc>
          <w:tcPr>
            <w:tcW w:w="4345" w:type="dxa"/>
          </w:tcPr>
          <w:p w14:paraId="68299BDF" w14:textId="77777777" w:rsidR="00EF1405" w:rsidRPr="000C099D" w:rsidRDefault="00EF1405" w:rsidP="000C099D">
            <w:pPr>
              <w:rPr>
                <w:rFonts w:asciiTheme="minorHAnsi" w:hAnsiTheme="minorHAnsi" w:cstheme="minorHAnsi"/>
              </w:rPr>
            </w:pPr>
            <w:r w:rsidRPr="000C099D">
              <w:rPr>
                <w:rFonts w:asciiTheme="minorHAnsi" w:hAnsiTheme="minorHAnsi" w:cstheme="minorHAnsi"/>
              </w:rPr>
              <w:t xml:space="preserve">Exclude student/staff until 21 days from onset of cough or 5 days after initiation of appropriate antibiotic therapy. </w:t>
            </w:r>
          </w:p>
        </w:tc>
        <w:tc>
          <w:tcPr>
            <w:tcW w:w="4791" w:type="dxa"/>
          </w:tcPr>
          <w:p w14:paraId="1F4DAC48" w14:textId="6B6E3FBB" w:rsidR="00EF1405" w:rsidRPr="00EC5675" w:rsidRDefault="00EF1405" w:rsidP="000C099D">
            <w:pPr>
              <w:rPr>
                <w:rFonts w:asciiTheme="minorHAnsi" w:hAnsiTheme="minorHAnsi" w:cstheme="minorHAnsi"/>
              </w:rPr>
            </w:pPr>
            <w:r w:rsidRPr="00EC5675">
              <w:rPr>
                <w:rFonts w:asciiTheme="minorHAnsi" w:hAnsiTheme="minorHAnsi" w:cstheme="minorHAnsi"/>
              </w:rPr>
              <w:t>If a susceptible</w:t>
            </w:r>
            <w:r w:rsidRPr="00EC5675">
              <w:rPr>
                <w:rStyle w:val="FootnoteReference"/>
                <w:rFonts w:asciiTheme="minorHAnsi" w:hAnsiTheme="minorHAnsi" w:cstheme="minorHAnsi"/>
              </w:rPr>
              <w:t>4</w:t>
            </w:r>
            <w:r w:rsidRPr="00EC5675">
              <w:rPr>
                <w:rFonts w:asciiTheme="minorHAnsi" w:hAnsiTheme="minorHAnsi" w:cstheme="minorHAnsi"/>
              </w:rPr>
              <w:t xml:space="preserve"> expose</w:t>
            </w:r>
            <w:r w:rsidR="00230FDE" w:rsidRPr="00EC5675">
              <w:rPr>
                <w:rFonts w:asciiTheme="minorHAnsi" w:hAnsiTheme="minorHAnsi" w:cstheme="minorHAnsi"/>
              </w:rPr>
              <w:t xml:space="preserve">d within the last 21 </w:t>
            </w:r>
            <w:proofErr w:type="gramStart"/>
            <w:r w:rsidR="00230FDE" w:rsidRPr="00EC5675">
              <w:rPr>
                <w:rFonts w:asciiTheme="minorHAnsi" w:hAnsiTheme="minorHAnsi" w:cstheme="minorHAnsi"/>
              </w:rPr>
              <w:t>days,</w:t>
            </w:r>
            <w:proofErr w:type="gramEnd"/>
            <w:r w:rsidRPr="00EC5675">
              <w:rPr>
                <w:rFonts w:asciiTheme="minorHAnsi" w:hAnsiTheme="minorHAnsi" w:cstheme="minorHAnsi"/>
              </w:rPr>
              <w:t xml:space="preserve"> receive</w:t>
            </w:r>
            <w:r w:rsidR="00230FDE" w:rsidRPr="00EC5675">
              <w:rPr>
                <w:rFonts w:asciiTheme="minorHAnsi" w:hAnsiTheme="minorHAnsi" w:cstheme="minorHAnsi"/>
              </w:rPr>
              <w:t>s</w:t>
            </w:r>
            <w:r w:rsidRPr="00EC5675">
              <w:rPr>
                <w:rFonts w:asciiTheme="minorHAnsi" w:hAnsiTheme="minorHAnsi" w:cstheme="minorHAnsi"/>
              </w:rPr>
              <w:t xml:space="preserve"> antibiotic prophylaxis</w:t>
            </w:r>
            <w:r w:rsidR="00230FDE" w:rsidRPr="00EC5675">
              <w:rPr>
                <w:rFonts w:asciiTheme="minorHAnsi" w:hAnsiTheme="minorHAnsi" w:cstheme="minorHAnsi"/>
              </w:rPr>
              <w:t xml:space="preserve">, then no exclusion is </w:t>
            </w:r>
            <w:r w:rsidRPr="00EC5675">
              <w:rPr>
                <w:rFonts w:asciiTheme="minorHAnsi" w:hAnsiTheme="minorHAnsi" w:cstheme="minorHAnsi"/>
              </w:rPr>
              <w:t>required in the school setting.</w:t>
            </w:r>
            <w:r w:rsidR="000C41E0" w:rsidRPr="00EC5675">
              <w:rPr>
                <w:rFonts w:asciiTheme="minorHAnsi" w:hAnsiTheme="minorHAnsi" w:cstheme="minorHAnsi"/>
              </w:rPr>
              <w:t xml:space="preserve"> </w:t>
            </w:r>
          </w:p>
          <w:p w14:paraId="01D7052D" w14:textId="77777777" w:rsidR="00EF1405" w:rsidRPr="00EC5675" w:rsidRDefault="00EF1405" w:rsidP="000C099D">
            <w:pPr>
              <w:rPr>
                <w:rFonts w:asciiTheme="minorHAnsi" w:hAnsiTheme="minorHAnsi" w:cstheme="minorHAnsi"/>
              </w:rPr>
            </w:pPr>
          </w:p>
          <w:p w14:paraId="30EE399C" w14:textId="579BC298" w:rsidR="00CE7254" w:rsidRPr="00EC5675" w:rsidRDefault="00EF1405" w:rsidP="00CE7254">
            <w:pPr>
              <w:rPr>
                <w:rFonts w:asciiTheme="minorHAnsi" w:hAnsiTheme="minorHAnsi" w:cstheme="minorHAnsi"/>
              </w:rPr>
            </w:pPr>
            <w:r w:rsidRPr="00EC5675">
              <w:rPr>
                <w:rFonts w:asciiTheme="minorHAnsi" w:hAnsiTheme="minorHAnsi" w:cstheme="minorHAnsi"/>
              </w:rPr>
              <w:t xml:space="preserve">In certain </w:t>
            </w:r>
            <w:proofErr w:type="gramStart"/>
            <w:r w:rsidRPr="00EC5675">
              <w:rPr>
                <w:rFonts w:asciiTheme="minorHAnsi" w:hAnsiTheme="minorHAnsi" w:cstheme="minorHAnsi"/>
              </w:rPr>
              <w:t>situations</w:t>
            </w:r>
            <w:proofErr w:type="gramEnd"/>
            <w:r w:rsidRPr="00EC5675">
              <w:rPr>
                <w:rFonts w:asciiTheme="minorHAnsi" w:hAnsiTheme="minorHAnsi" w:cstheme="minorHAnsi"/>
              </w:rPr>
              <w:t xml:space="preserve"> deemed to be high risk, the MDPH may require exclusion of asymptomatic contacts not receivin</w:t>
            </w:r>
            <w:r w:rsidR="00230FDE" w:rsidRPr="00EC5675">
              <w:rPr>
                <w:rFonts w:asciiTheme="minorHAnsi" w:hAnsiTheme="minorHAnsi" w:cstheme="minorHAnsi"/>
              </w:rPr>
              <w:t xml:space="preserve">g antibiotic prophylaxis and </w:t>
            </w:r>
            <w:r w:rsidRPr="00EC5675">
              <w:rPr>
                <w:rFonts w:asciiTheme="minorHAnsi" w:hAnsiTheme="minorHAnsi" w:cstheme="minorHAnsi"/>
              </w:rPr>
              <w:t>may extend the exclusion period beyond 21 days up to a maximum of 42 days.</w:t>
            </w:r>
            <w:r w:rsidR="001A5195" w:rsidRPr="00EC5675">
              <w:rPr>
                <w:rFonts w:asciiTheme="minorHAnsi" w:hAnsiTheme="minorHAnsi" w:cstheme="minorHAnsi"/>
              </w:rPr>
              <w:t xml:space="preserve"> </w:t>
            </w:r>
            <w:r w:rsidR="00EC5675" w:rsidRPr="00EC5675">
              <w:rPr>
                <w:rFonts w:asciiTheme="minorHAnsi" w:hAnsiTheme="minorHAnsi" w:cstheme="minorHAnsi"/>
              </w:rPr>
              <w:t xml:space="preserve">Call </w:t>
            </w:r>
            <w:r w:rsidR="00B275CA">
              <w:rPr>
                <w:rFonts w:asciiTheme="minorHAnsi" w:hAnsiTheme="minorHAnsi" w:cstheme="minorHAnsi"/>
              </w:rPr>
              <w:t>(</w:t>
            </w:r>
            <w:r w:rsidR="00EC5675" w:rsidRPr="00EC5675">
              <w:rPr>
                <w:rFonts w:asciiTheme="minorHAnsi" w:hAnsiTheme="minorHAnsi" w:cstheme="minorHAnsi"/>
              </w:rPr>
              <w:t>617</w:t>
            </w:r>
            <w:r w:rsidR="00B275CA">
              <w:rPr>
                <w:rFonts w:asciiTheme="minorHAnsi" w:hAnsiTheme="minorHAnsi" w:cstheme="minorHAnsi"/>
              </w:rPr>
              <w:t xml:space="preserve">) </w:t>
            </w:r>
            <w:r w:rsidR="00EC5675" w:rsidRPr="00EC5675">
              <w:rPr>
                <w:rFonts w:asciiTheme="minorHAnsi" w:hAnsiTheme="minorHAnsi" w:cstheme="minorHAnsi"/>
              </w:rPr>
              <w:t>983-6800 for guidance.</w:t>
            </w:r>
          </w:p>
        </w:tc>
      </w:tr>
      <w:tr w:rsidR="00EF1405" w:rsidRPr="000C099D" w14:paraId="478A58C6" w14:textId="77777777" w:rsidTr="002461BA">
        <w:trPr>
          <w:cantSplit/>
          <w:jc w:val="center"/>
        </w:trPr>
        <w:tc>
          <w:tcPr>
            <w:tcW w:w="1181" w:type="dxa"/>
          </w:tcPr>
          <w:p w14:paraId="26D501FF" w14:textId="77777777" w:rsidR="00EF1405" w:rsidRPr="000C099D" w:rsidRDefault="00EF1405" w:rsidP="000C099D">
            <w:pPr>
              <w:rPr>
                <w:rFonts w:asciiTheme="minorHAnsi" w:hAnsiTheme="minorHAnsi" w:cstheme="minorHAnsi"/>
                <w:b/>
              </w:rPr>
            </w:pPr>
            <w:r w:rsidRPr="000C099D">
              <w:rPr>
                <w:rFonts w:asciiTheme="minorHAnsi" w:hAnsiTheme="minorHAnsi" w:cstheme="minorHAnsi"/>
                <w:b/>
              </w:rPr>
              <w:t>Varicella</w:t>
            </w:r>
          </w:p>
        </w:tc>
        <w:tc>
          <w:tcPr>
            <w:tcW w:w="4345" w:type="dxa"/>
          </w:tcPr>
          <w:p w14:paraId="54BA5114" w14:textId="1E0BDEDA" w:rsidR="007C37FB" w:rsidRPr="000C099D" w:rsidRDefault="00EF1405" w:rsidP="000C099D">
            <w:pPr>
              <w:rPr>
                <w:rFonts w:asciiTheme="minorHAnsi" w:hAnsiTheme="minorHAnsi" w:cstheme="minorHAnsi"/>
              </w:rPr>
            </w:pPr>
            <w:r w:rsidRPr="000C099D">
              <w:rPr>
                <w:rFonts w:asciiTheme="minorHAnsi" w:hAnsiTheme="minorHAnsi" w:cstheme="minorHAnsi"/>
              </w:rPr>
              <w:t>If vesicles are present, exclude until all lesions have dried and crusted over, or until no new lesions appear, usually by the 5</w:t>
            </w:r>
            <w:r w:rsidRPr="000C099D">
              <w:rPr>
                <w:rFonts w:asciiTheme="minorHAnsi" w:hAnsiTheme="minorHAnsi" w:cstheme="minorHAnsi"/>
                <w:vertAlign w:val="superscript"/>
              </w:rPr>
              <w:t>th</w:t>
            </w:r>
            <w:r w:rsidRPr="000C099D">
              <w:rPr>
                <w:rFonts w:asciiTheme="minorHAnsi" w:hAnsiTheme="minorHAnsi" w:cstheme="minorHAnsi"/>
              </w:rPr>
              <w:t xml:space="preserve"> day after rash onset. (Count the day of rash onset as day zero</w:t>
            </w:r>
            <w:r w:rsidR="00DE4C13">
              <w:rPr>
                <w:rFonts w:asciiTheme="minorHAnsi" w:hAnsiTheme="minorHAnsi" w:cstheme="minorHAnsi"/>
              </w:rPr>
              <w:t>).</w:t>
            </w:r>
            <w:r w:rsidR="000C41E0" w:rsidRPr="000C099D">
              <w:rPr>
                <w:rFonts w:asciiTheme="minorHAnsi" w:hAnsiTheme="minorHAnsi" w:cstheme="minorHAnsi"/>
              </w:rPr>
              <w:t xml:space="preserve"> </w:t>
            </w:r>
          </w:p>
          <w:p w14:paraId="0AC54403" w14:textId="77777777" w:rsidR="007C37FB" w:rsidRPr="000C099D" w:rsidRDefault="007C37FB" w:rsidP="000C099D">
            <w:pPr>
              <w:rPr>
                <w:rFonts w:asciiTheme="minorHAnsi" w:hAnsiTheme="minorHAnsi" w:cstheme="minorHAnsi"/>
              </w:rPr>
            </w:pPr>
          </w:p>
          <w:p w14:paraId="4CCECF1A" w14:textId="77777777" w:rsidR="00EF1405" w:rsidRPr="000C099D" w:rsidRDefault="00EF1405" w:rsidP="000C099D">
            <w:pPr>
              <w:rPr>
                <w:rFonts w:asciiTheme="minorHAnsi" w:hAnsiTheme="minorHAnsi" w:cstheme="minorHAnsi"/>
              </w:rPr>
            </w:pPr>
            <w:r w:rsidRPr="000C099D">
              <w:rPr>
                <w:rFonts w:asciiTheme="minorHAnsi" w:hAnsiTheme="minorHAnsi" w:cstheme="minorHAnsi"/>
              </w:rPr>
              <w:t xml:space="preserve">If no </w:t>
            </w:r>
            <w:proofErr w:type="gramStart"/>
            <w:r w:rsidRPr="000C099D">
              <w:rPr>
                <w:rFonts w:asciiTheme="minorHAnsi" w:hAnsiTheme="minorHAnsi" w:cstheme="minorHAnsi"/>
              </w:rPr>
              <w:t>vesicles</w:t>
            </w:r>
            <w:proofErr w:type="gramEnd"/>
            <w:r w:rsidRPr="000C099D">
              <w:rPr>
                <w:rFonts w:asciiTheme="minorHAnsi" w:hAnsiTheme="minorHAnsi" w:cstheme="minorHAnsi"/>
              </w:rPr>
              <w:t xml:space="preserve"> are present, exclude until the lesions have faded (i.e.</w:t>
            </w:r>
            <w:r w:rsidR="00230FDE" w:rsidRPr="000C099D">
              <w:rPr>
                <w:rFonts w:asciiTheme="minorHAnsi" w:hAnsiTheme="minorHAnsi" w:cstheme="minorHAnsi"/>
              </w:rPr>
              <w:t>,</w:t>
            </w:r>
            <w:r w:rsidRPr="000C099D">
              <w:rPr>
                <w:rFonts w:asciiTheme="minorHAnsi" w:hAnsiTheme="minorHAnsi" w:cstheme="minorHAnsi"/>
              </w:rPr>
              <w:t xml:space="preserve"> the skin lesions are in the process of resolving; lesions do not need to be completely resolved) or no new lesions appear within a 24-hour period, whichever is later.</w:t>
            </w:r>
          </w:p>
        </w:tc>
        <w:tc>
          <w:tcPr>
            <w:tcW w:w="4791" w:type="dxa"/>
          </w:tcPr>
          <w:p w14:paraId="34EBF223" w14:textId="77777777" w:rsidR="00EF1405" w:rsidRPr="000C099D" w:rsidRDefault="00EF1405" w:rsidP="000C099D">
            <w:pPr>
              <w:rPr>
                <w:rFonts w:asciiTheme="minorHAnsi" w:hAnsiTheme="minorHAnsi" w:cstheme="minorHAnsi"/>
              </w:rPr>
            </w:pPr>
            <w:r w:rsidRPr="000C099D">
              <w:rPr>
                <w:rFonts w:asciiTheme="minorHAnsi" w:hAnsiTheme="minorHAnsi" w:cstheme="minorHAnsi"/>
              </w:rPr>
              <w:t>Susceptibles</w:t>
            </w:r>
            <w:r w:rsidRPr="000C099D">
              <w:rPr>
                <w:rFonts w:asciiTheme="minorHAnsi" w:hAnsiTheme="minorHAnsi" w:cstheme="minorHAnsi"/>
                <w:vertAlign w:val="superscript"/>
              </w:rPr>
              <w:t xml:space="preserve">5 </w:t>
            </w:r>
            <w:r w:rsidRPr="000C099D">
              <w:rPr>
                <w:rFonts w:asciiTheme="minorHAnsi" w:hAnsiTheme="minorHAnsi" w:cstheme="minorHAnsi"/>
              </w:rPr>
              <w:t>shall be excluded from work or classes from the 8</w:t>
            </w:r>
            <w:r w:rsidRPr="000C099D">
              <w:rPr>
                <w:rFonts w:asciiTheme="minorHAnsi" w:hAnsiTheme="minorHAnsi" w:cstheme="minorHAnsi"/>
                <w:vertAlign w:val="superscript"/>
              </w:rPr>
              <w:t>th</w:t>
            </w:r>
            <w:r w:rsidRPr="000C099D">
              <w:rPr>
                <w:rFonts w:asciiTheme="minorHAnsi" w:hAnsiTheme="minorHAnsi" w:cstheme="minorHAnsi"/>
              </w:rPr>
              <w:t xml:space="preserve"> through the 21</w:t>
            </w:r>
            <w:r w:rsidRPr="000C099D">
              <w:rPr>
                <w:rFonts w:asciiTheme="minorHAnsi" w:hAnsiTheme="minorHAnsi" w:cstheme="minorHAnsi"/>
                <w:vertAlign w:val="superscript"/>
              </w:rPr>
              <w:t>st</w:t>
            </w:r>
            <w:r w:rsidR="00261E0A" w:rsidRPr="000C099D">
              <w:rPr>
                <w:rFonts w:asciiTheme="minorHAnsi" w:hAnsiTheme="minorHAnsi" w:cstheme="minorHAnsi"/>
              </w:rPr>
              <w:t xml:space="preserve"> day</w:t>
            </w:r>
            <w:r w:rsidRPr="000C099D">
              <w:rPr>
                <w:rFonts w:asciiTheme="minorHAnsi" w:hAnsiTheme="minorHAnsi" w:cstheme="minorHAnsi"/>
              </w:rPr>
              <w:t xml:space="preserve"> after their exposure to the case while infectious. </w:t>
            </w:r>
          </w:p>
          <w:p w14:paraId="5AB4EC73" w14:textId="77777777" w:rsidR="00EF1405" w:rsidRPr="000C099D" w:rsidRDefault="00EF1405" w:rsidP="000C099D">
            <w:pPr>
              <w:rPr>
                <w:rFonts w:asciiTheme="minorHAnsi" w:hAnsiTheme="minorHAnsi" w:cstheme="minorHAnsi"/>
              </w:rPr>
            </w:pPr>
          </w:p>
          <w:p w14:paraId="69DFD968" w14:textId="77777777" w:rsidR="00EF1405" w:rsidRPr="000C099D" w:rsidRDefault="00EF1405" w:rsidP="000C099D">
            <w:pPr>
              <w:rPr>
                <w:rFonts w:asciiTheme="minorHAnsi" w:hAnsiTheme="minorHAnsi" w:cstheme="minorHAnsi"/>
              </w:rPr>
            </w:pPr>
            <w:r w:rsidRPr="000C099D">
              <w:rPr>
                <w:rFonts w:asciiTheme="minorHAnsi" w:hAnsiTheme="minorHAnsi" w:cstheme="minorHAnsi"/>
              </w:rPr>
              <w:t>If the exposure was continuous, susceptibles shall be excluded from the 8</w:t>
            </w:r>
            <w:r w:rsidRPr="000C099D">
              <w:rPr>
                <w:rFonts w:asciiTheme="minorHAnsi" w:hAnsiTheme="minorHAnsi" w:cstheme="minorHAnsi"/>
                <w:vertAlign w:val="superscript"/>
              </w:rPr>
              <w:t>th</w:t>
            </w:r>
            <w:r w:rsidRPr="000C099D">
              <w:rPr>
                <w:rFonts w:asciiTheme="minorHAnsi" w:hAnsiTheme="minorHAnsi" w:cstheme="minorHAnsi"/>
              </w:rPr>
              <w:t xml:space="preserve"> through the 21</w:t>
            </w:r>
            <w:r w:rsidRPr="000C099D">
              <w:rPr>
                <w:rFonts w:asciiTheme="minorHAnsi" w:hAnsiTheme="minorHAnsi" w:cstheme="minorHAnsi"/>
                <w:vertAlign w:val="superscript"/>
              </w:rPr>
              <w:t>st</w:t>
            </w:r>
            <w:r w:rsidR="008D7DA4" w:rsidRPr="000C099D">
              <w:rPr>
                <w:rFonts w:asciiTheme="minorHAnsi" w:hAnsiTheme="minorHAnsi" w:cstheme="minorHAnsi"/>
              </w:rPr>
              <w:t xml:space="preserve"> day</w:t>
            </w:r>
            <w:r w:rsidRPr="000C099D">
              <w:rPr>
                <w:rFonts w:asciiTheme="minorHAnsi" w:hAnsiTheme="minorHAnsi" w:cstheme="minorHAnsi"/>
              </w:rPr>
              <w:t xml:space="preserve"> after the case’s rash onset. </w:t>
            </w:r>
          </w:p>
          <w:p w14:paraId="4BA45E9F" w14:textId="77777777" w:rsidR="00EF1405" w:rsidRPr="000C099D" w:rsidRDefault="00EF1405" w:rsidP="000C099D">
            <w:pPr>
              <w:rPr>
                <w:rFonts w:asciiTheme="minorHAnsi" w:hAnsiTheme="minorHAnsi" w:cstheme="minorHAnsi"/>
              </w:rPr>
            </w:pPr>
          </w:p>
          <w:p w14:paraId="7BCECC8E" w14:textId="3E8F206D" w:rsidR="00EF1405" w:rsidRPr="000C099D" w:rsidRDefault="00EF1405" w:rsidP="000C099D">
            <w:pPr>
              <w:rPr>
                <w:rFonts w:asciiTheme="minorHAnsi" w:hAnsiTheme="minorHAnsi" w:cstheme="minorHAnsi"/>
              </w:rPr>
            </w:pPr>
            <w:r w:rsidRPr="000C099D">
              <w:rPr>
                <w:rFonts w:asciiTheme="minorHAnsi" w:hAnsiTheme="minorHAnsi" w:cstheme="minorHAnsi"/>
              </w:rPr>
              <w:t>Anyone receiving varicella zoster immune globulin (V</w:t>
            </w:r>
            <w:r w:rsidR="00526EA4" w:rsidRPr="000C099D">
              <w:rPr>
                <w:rFonts w:asciiTheme="minorHAnsi" w:hAnsiTheme="minorHAnsi" w:cstheme="minorHAnsi"/>
              </w:rPr>
              <w:t>ARI</w:t>
            </w:r>
            <w:r w:rsidRPr="000C099D">
              <w:rPr>
                <w:rFonts w:asciiTheme="minorHAnsi" w:hAnsiTheme="minorHAnsi" w:cstheme="minorHAnsi"/>
              </w:rPr>
              <w:t>ZIG</w:t>
            </w:r>
            <w:r w:rsidR="00526EA4" w:rsidRPr="000C099D">
              <w:rPr>
                <w:rFonts w:asciiTheme="minorHAnsi" w:hAnsiTheme="minorHAnsi" w:cstheme="minorHAnsi"/>
                <w:vertAlign w:val="superscript"/>
              </w:rPr>
              <w:t>®</w:t>
            </w:r>
            <w:r w:rsidRPr="000C099D">
              <w:rPr>
                <w:rFonts w:asciiTheme="minorHAnsi" w:hAnsiTheme="minorHAnsi" w:cstheme="minorHAnsi"/>
              </w:rPr>
              <w:t>) or intravenous immune globulin (IVIG) shall extend their exclusion to 28 days post exposure.</w:t>
            </w:r>
            <w:r w:rsidR="000C41E0" w:rsidRPr="000C099D">
              <w:rPr>
                <w:rFonts w:asciiTheme="minorHAnsi" w:hAnsiTheme="minorHAnsi" w:cstheme="minorHAnsi"/>
              </w:rPr>
              <w:t xml:space="preserve"> </w:t>
            </w:r>
          </w:p>
        </w:tc>
      </w:tr>
    </w:tbl>
    <w:p w14:paraId="217C8111" w14:textId="77777777" w:rsidR="00972FAC" w:rsidRPr="000C099D" w:rsidRDefault="00972FAC" w:rsidP="000C099D">
      <w:pPr>
        <w:rPr>
          <w:rFonts w:asciiTheme="minorHAnsi" w:hAnsiTheme="minorHAnsi" w:cstheme="minorHAnsi"/>
        </w:rPr>
      </w:pPr>
    </w:p>
    <w:p w14:paraId="40703A8C" w14:textId="77777777" w:rsidR="00FE2A8C" w:rsidRPr="000C099D" w:rsidRDefault="000A189C" w:rsidP="000C099D">
      <w:pPr>
        <w:jc w:val="center"/>
        <w:rPr>
          <w:rFonts w:asciiTheme="minorHAnsi" w:hAnsiTheme="minorHAnsi" w:cstheme="minorHAnsi"/>
          <w:b/>
        </w:rPr>
      </w:pPr>
      <w:r w:rsidRPr="000C099D">
        <w:rPr>
          <w:rFonts w:asciiTheme="minorHAnsi" w:hAnsiTheme="minorHAnsi" w:cstheme="minorHAnsi"/>
          <w:b/>
        </w:rPr>
        <w:br w:type="page"/>
      </w:r>
      <w:r w:rsidR="00FE2A8C" w:rsidRPr="000C099D">
        <w:rPr>
          <w:rFonts w:asciiTheme="minorHAnsi" w:hAnsiTheme="minorHAnsi" w:cstheme="minorHAnsi"/>
          <w:b/>
        </w:rPr>
        <w:lastRenderedPageBreak/>
        <w:t>Definition of Susceptibles</w:t>
      </w:r>
    </w:p>
    <w:p w14:paraId="7F706F3E" w14:textId="77777777" w:rsidR="00FD050E" w:rsidRPr="000C099D" w:rsidRDefault="00FD050E" w:rsidP="000C099D">
      <w:pPr>
        <w:jc w:val="center"/>
        <w:rPr>
          <w:rFonts w:asciiTheme="minorHAnsi" w:hAnsiTheme="minorHAnsi" w:cstheme="minorHAnsi"/>
          <w:b/>
        </w:rPr>
      </w:pPr>
    </w:p>
    <w:p w14:paraId="365A615F" w14:textId="68A95FE0" w:rsidR="00563E9C" w:rsidRPr="000C099D" w:rsidRDefault="00AB2B6D" w:rsidP="000C099D">
      <w:pPr>
        <w:pStyle w:val="FootnoteText"/>
        <w:keepNext/>
        <w:pBdr>
          <w:top w:val="single" w:sz="12" w:space="1" w:color="auto"/>
          <w:left w:val="single" w:sz="12" w:space="9" w:color="auto"/>
          <w:bottom w:val="single" w:sz="12" w:space="1" w:color="auto"/>
          <w:right w:val="single" w:sz="12" w:space="4" w:color="auto"/>
        </w:pBdr>
        <w:rPr>
          <w:rFonts w:asciiTheme="minorHAnsi" w:hAnsiTheme="minorHAnsi" w:cstheme="minorHAnsi"/>
        </w:rPr>
      </w:pPr>
      <w:r w:rsidRPr="000C099D">
        <w:rPr>
          <w:rFonts w:asciiTheme="minorHAnsi" w:hAnsiTheme="minorHAnsi" w:cstheme="minorHAnsi"/>
          <w:b/>
          <w:vertAlign w:val="superscript"/>
        </w:rPr>
        <w:t>1</w:t>
      </w:r>
      <w:r w:rsidR="00FE2A8C" w:rsidRPr="000C099D">
        <w:rPr>
          <w:rFonts w:asciiTheme="minorHAnsi" w:hAnsiTheme="minorHAnsi" w:cstheme="minorHAnsi"/>
          <w:b/>
        </w:rPr>
        <w:t>Measles</w:t>
      </w:r>
      <w:r w:rsidR="00FE2A8C" w:rsidRPr="000C099D">
        <w:rPr>
          <w:rFonts w:asciiTheme="minorHAnsi" w:hAnsiTheme="minorHAnsi" w:cstheme="minorHAnsi"/>
        </w:rPr>
        <w:t xml:space="preserve"> - Susceptibles </w:t>
      </w:r>
      <w:r w:rsidR="000319C4" w:rsidRPr="000C099D">
        <w:rPr>
          <w:rFonts w:asciiTheme="minorHAnsi" w:hAnsiTheme="minorHAnsi" w:cstheme="minorHAnsi"/>
        </w:rPr>
        <w:t xml:space="preserve">include </w:t>
      </w:r>
      <w:r w:rsidR="00FE2A8C" w:rsidRPr="000C099D">
        <w:rPr>
          <w:rFonts w:asciiTheme="minorHAnsi" w:hAnsiTheme="minorHAnsi" w:cstheme="minorHAnsi"/>
        </w:rPr>
        <w:t xml:space="preserve">all those born </w:t>
      </w:r>
      <w:r w:rsidR="00A61AA4" w:rsidRPr="000C099D">
        <w:rPr>
          <w:rFonts w:asciiTheme="minorHAnsi" w:hAnsiTheme="minorHAnsi" w:cstheme="minorHAnsi"/>
        </w:rPr>
        <w:t xml:space="preserve">in </w:t>
      </w:r>
      <w:r w:rsidR="00FE2A8C" w:rsidRPr="000C099D">
        <w:rPr>
          <w:rFonts w:asciiTheme="minorHAnsi" w:hAnsiTheme="minorHAnsi" w:cstheme="minorHAnsi"/>
        </w:rPr>
        <w:t xml:space="preserve">or </w:t>
      </w:r>
      <w:r w:rsidR="00FE2A8C" w:rsidRPr="000C099D">
        <w:rPr>
          <w:rFonts w:asciiTheme="minorHAnsi" w:hAnsiTheme="minorHAnsi" w:cstheme="minorHAnsi"/>
          <w:u w:val="single"/>
        </w:rPr>
        <w:t>after</w:t>
      </w:r>
      <w:r w:rsidR="00FE2A8C" w:rsidRPr="000C099D">
        <w:rPr>
          <w:rFonts w:asciiTheme="minorHAnsi" w:hAnsiTheme="minorHAnsi" w:cstheme="minorHAnsi"/>
        </w:rPr>
        <w:t xml:space="preserve"> 1957 without</w:t>
      </w:r>
      <w:r w:rsidR="00B10F39" w:rsidRPr="000C099D">
        <w:rPr>
          <w:rFonts w:asciiTheme="minorHAnsi" w:hAnsiTheme="minorHAnsi" w:cstheme="minorHAnsi"/>
        </w:rPr>
        <w:t xml:space="preserve"> </w:t>
      </w:r>
      <w:r w:rsidR="000319C4" w:rsidRPr="000C099D">
        <w:rPr>
          <w:rFonts w:asciiTheme="minorHAnsi" w:hAnsiTheme="minorHAnsi" w:cstheme="minorHAnsi"/>
        </w:rPr>
        <w:t xml:space="preserve">1) </w:t>
      </w:r>
      <w:r w:rsidR="00B10F39" w:rsidRPr="000C099D">
        <w:rPr>
          <w:rFonts w:asciiTheme="minorHAnsi" w:hAnsiTheme="minorHAnsi" w:cstheme="minorHAnsi"/>
        </w:rPr>
        <w:t xml:space="preserve">written </w:t>
      </w:r>
      <w:r w:rsidR="00FE2A8C" w:rsidRPr="000C099D">
        <w:rPr>
          <w:rFonts w:asciiTheme="minorHAnsi" w:hAnsiTheme="minorHAnsi" w:cstheme="minorHAnsi"/>
        </w:rPr>
        <w:t xml:space="preserve">documentation of 2 doses of measles-containing </w:t>
      </w:r>
      <w:proofErr w:type="gramStart"/>
      <w:r w:rsidR="00FE2A8C" w:rsidRPr="000C099D">
        <w:rPr>
          <w:rFonts w:asciiTheme="minorHAnsi" w:hAnsiTheme="minorHAnsi" w:cstheme="minorHAnsi"/>
        </w:rPr>
        <w:t>vaccine</w:t>
      </w:r>
      <w:r w:rsidR="00B10F39" w:rsidRPr="000C099D">
        <w:rPr>
          <w:rFonts w:asciiTheme="minorHAnsi" w:hAnsiTheme="minorHAnsi" w:cstheme="minorHAnsi"/>
        </w:rPr>
        <w:t>;</w:t>
      </w:r>
      <w:proofErr w:type="gramEnd"/>
      <w:r w:rsidR="00FE2A8C" w:rsidRPr="000C099D">
        <w:rPr>
          <w:rFonts w:asciiTheme="minorHAnsi" w:hAnsiTheme="minorHAnsi" w:cstheme="minorHAnsi"/>
        </w:rPr>
        <w:t xml:space="preserve"> or </w:t>
      </w:r>
      <w:r w:rsidR="00B10F39" w:rsidRPr="000C099D">
        <w:rPr>
          <w:rFonts w:asciiTheme="minorHAnsi" w:hAnsiTheme="minorHAnsi" w:cstheme="minorHAnsi"/>
        </w:rPr>
        <w:t>2) laboratory</w:t>
      </w:r>
      <w:r w:rsidR="00FE2A8C" w:rsidRPr="000C099D">
        <w:rPr>
          <w:rFonts w:asciiTheme="minorHAnsi" w:hAnsiTheme="minorHAnsi" w:cstheme="minorHAnsi"/>
        </w:rPr>
        <w:t xml:space="preserve"> evidence of immunity</w:t>
      </w:r>
      <w:r w:rsidR="00026A7B" w:rsidRPr="000C099D">
        <w:rPr>
          <w:rFonts w:asciiTheme="minorHAnsi" w:hAnsiTheme="minorHAnsi" w:cstheme="minorHAnsi"/>
        </w:rPr>
        <w:t xml:space="preserve"> or laboratory confirmation of disease</w:t>
      </w:r>
      <w:r w:rsidR="00FE2A8C" w:rsidRPr="000C099D">
        <w:rPr>
          <w:rFonts w:asciiTheme="minorHAnsi" w:hAnsiTheme="minorHAnsi" w:cstheme="minorHAnsi"/>
        </w:rPr>
        <w:t xml:space="preserve">. In an outbreak setting, all those with 0 or 1 dose </w:t>
      </w:r>
      <w:r w:rsidR="00FE2A8C" w:rsidRPr="000C099D">
        <w:rPr>
          <w:rFonts w:asciiTheme="minorHAnsi" w:hAnsiTheme="minorHAnsi" w:cstheme="minorHAnsi"/>
          <w:b/>
        </w:rPr>
        <w:t>may</w:t>
      </w:r>
      <w:r w:rsidR="00FE2A8C" w:rsidRPr="000C099D">
        <w:rPr>
          <w:rFonts w:asciiTheme="minorHAnsi" w:hAnsiTheme="minorHAnsi" w:cstheme="minorHAnsi"/>
        </w:rPr>
        <w:t xml:space="preserve"> avoid exclusion if they promptly receive a dose. Those born in the United States </w:t>
      </w:r>
      <w:r w:rsidR="00FE2A8C" w:rsidRPr="000C099D">
        <w:rPr>
          <w:rFonts w:asciiTheme="minorHAnsi" w:hAnsiTheme="minorHAnsi" w:cstheme="minorHAnsi"/>
          <w:u w:val="single"/>
        </w:rPr>
        <w:t>before</w:t>
      </w:r>
      <w:r w:rsidR="00FE2A8C" w:rsidRPr="000C099D">
        <w:rPr>
          <w:rFonts w:asciiTheme="minorHAnsi" w:hAnsiTheme="minorHAnsi" w:cstheme="minorHAnsi"/>
        </w:rPr>
        <w:t xml:space="preserve"> 1957 are considered immune</w:t>
      </w:r>
      <w:r w:rsidR="00214D0E" w:rsidRPr="000C099D">
        <w:rPr>
          <w:rFonts w:asciiTheme="minorHAnsi" w:hAnsiTheme="minorHAnsi" w:cstheme="minorHAnsi"/>
        </w:rPr>
        <w:t>;</w:t>
      </w:r>
      <w:r w:rsidR="00FE2A8C" w:rsidRPr="000C099D">
        <w:rPr>
          <w:rFonts w:asciiTheme="minorHAnsi" w:hAnsiTheme="minorHAnsi" w:cstheme="minorHAnsi"/>
        </w:rPr>
        <w:t xml:space="preserve"> </w:t>
      </w:r>
      <w:r w:rsidR="006426A4" w:rsidRPr="000C099D">
        <w:rPr>
          <w:rFonts w:asciiTheme="minorHAnsi" w:hAnsiTheme="minorHAnsi" w:cstheme="minorHAnsi"/>
        </w:rPr>
        <w:t>h</w:t>
      </w:r>
      <w:r w:rsidR="00FE2A8C" w:rsidRPr="000C099D">
        <w:rPr>
          <w:rFonts w:asciiTheme="minorHAnsi" w:hAnsiTheme="minorHAnsi" w:cstheme="minorHAnsi"/>
        </w:rPr>
        <w:t xml:space="preserve">owever, this should </w:t>
      </w:r>
      <w:r w:rsidR="00FE2A8C" w:rsidRPr="000C099D">
        <w:rPr>
          <w:rFonts w:asciiTheme="minorHAnsi" w:hAnsiTheme="minorHAnsi" w:cstheme="minorHAnsi"/>
          <w:b/>
        </w:rPr>
        <w:t>not</w:t>
      </w:r>
      <w:r w:rsidR="00FE2A8C" w:rsidRPr="000C099D">
        <w:rPr>
          <w:rFonts w:asciiTheme="minorHAnsi" w:hAnsiTheme="minorHAnsi" w:cstheme="minorHAnsi"/>
        </w:rPr>
        <w:t xml:space="preserve"> be considered </w:t>
      </w:r>
      <w:r w:rsidR="003650DA" w:rsidRPr="000C099D">
        <w:rPr>
          <w:rFonts w:asciiTheme="minorHAnsi" w:hAnsiTheme="minorHAnsi" w:cstheme="minorHAnsi"/>
        </w:rPr>
        <w:t>evidence</w:t>
      </w:r>
      <w:r w:rsidR="00FE2A8C" w:rsidRPr="000C099D">
        <w:rPr>
          <w:rFonts w:asciiTheme="minorHAnsi" w:hAnsiTheme="minorHAnsi" w:cstheme="minorHAnsi"/>
        </w:rPr>
        <w:t xml:space="preserve"> of immunity for </w:t>
      </w:r>
      <w:r w:rsidR="00EF1405" w:rsidRPr="000C099D">
        <w:rPr>
          <w:rFonts w:asciiTheme="minorHAnsi" w:hAnsiTheme="minorHAnsi" w:cstheme="minorHAnsi"/>
        </w:rPr>
        <w:t xml:space="preserve">health sciences </w:t>
      </w:r>
      <w:r w:rsidR="00FE2A8C" w:rsidRPr="000C099D">
        <w:rPr>
          <w:rFonts w:asciiTheme="minorHAnsi" w:hAnsiTheme="minorHAnsi" w:cstheme="minorHAnsi"/>
        </w:rPr>
        <w:t>students</w:t>
      </w:r>
      <w:r w:rsidR="004150DF" w:rsidRPr="000C099D">
        <w:rPr>
          <w:rFonts w:asciiTheme="minorHAnsi" w:hAnsiTheme="minorHAnsi" w:cstheme="minorHAnsi"/>
        </w:rPr>
        <w:t xml:space="preserve"> and </w:t>
      </w:r>
      <w:r w:rsidR="00D75A5C" w:rsidRPr="000C099D">
        <w:rPr>
          <w:rFonts w:asciiTheme="minorHAnsi" w:hAnsiTheme="minorHAnsi" w:cstheme="minorHAnsi"/>
        </w:rPr>
        <w:t>healthcare</w:t>
      </w:r>
      <w:r w:rsidR="00FE2A8C" w:rsidRPr="000C099D">
        <w:rPr>
          <w:rFonts w:asciiTheme="minorHAnsi" w:hAnsiTheme="minorHAnsi" w:cstheme="minorHAnsi"/>
        </w:rPr>
        <w:t xml:space="preserve"> </w:t>
      </w:r>
      <w:proofErr w:type="gramStart"/>
      <w:r w:rsidR="00CF02AF" w:rsidRPr="000C099D">
        <w:rPr>
          <w:rFonts w:asciiTheme="minorHAnsi" w:hAnsiTheme="minorHAnsi" w:cstheme="minorHAnsi"/>
        </w:rPr>
        <w:t>workers.</w:t>
      </w:r>
      <w:r w:rsidR="00CF02AF" w:rsidRPr="000C099D">
        <w:rPr>
          <w:rFonts w:asciiTheme="minorHAnsi" w:hAnsiTheme="minorHAnsi" w:cstheme="minorHAnsi"/>
          <w:vertAlign w:val="superscript"/>
        </w:rPr>
        <w:t>*</w:t>
      </w:r>
      <w:proofErr w:type="gramEnd"/>
      <w:r w:rsidR="00E903D5" w:rsidRPr="000C099D">
        <w:rPr>
          <w:rFonts w:asciiTheme="minorHAnsi" w:hAnsiTheme="minorHAnsi" w:cstheme="minorHAnsi"/>
          <w:vertAlign w:val="superscript"/>
        </w:rPr>
        <w:t>*</w:t>
      </w:r>
    </w:p>
    <w:p w14:paraId="445643C4" w14:textId="77777777" w:rsidR="0069672B" w:rsidRPr="000C099D" w:rsidRDefault="0069672B" w:rsidP="000C099D">
      <w:pPr>
        <w:pStyle w:val="FootnoteText"/>
        <w:keepNext/>
        <w:pBdr>
          <w:top w:val="single" w:sz="12" w:space="1" w:color="auto"/>
          <w:left w:val="single" w:sz="12" w:space="9" w:color="auto"/>
          <w:bottom w:val="single" w:sz="12" w:space="1" w:color="auto"/>
          <w:right w:val="single" w:sz="12" w:space="4" w:color="auto"/>
        </w:pBdr>
        <w:rPr>
          <w:rFonts w:asciiTheme="minorHAnsi" w:hAnsiTheme="minorHAnsi" w:cstheme="minorHAnsi"/>
          <w:b/>
        </w:rPr>
      </w:pPr>
    </w:p>
    <w:p w14:paraId="3C729044" w14:textId="1CC0F377" w:rsidR="00C01F9C" w:rsidRPr="000C099D" w:rsidRDefault="00AB2B6D" w:rsidP="000C099D">
      <w:pPr>
        <w:pStyle w:val="FootnoteText"/>
        <w:keepNext/>
        <w:pBdr>
          <w:top w:val="single" w:sz="12" w:space="1" w:color="auto"/>
          <w:left w:val="single" w:sz="12" w:space="9" w:color="auto"/>
          <w:bottom w:val="single" w:sz="12" w:space="1" w:color="auto"/>
          <w:right w:val="single" w:sz="12" w:space="4" w:color="auto"/>
        </w:pBdr>
        <w:rPr>
          <w:rFonts w:asciiTheme="minorHAnsi" w:hAnsiTheme="minorHAnsi" w:cstheme="minorHAnsi"/>
          <w:b/>
        </w:rPr>
      </w:pPr>
      <w:r w:rsidRPr="000C099D">
        <w:rPr>
          <w:rFonts w:asciiTheme="minorHAnsi" w:hAnsiTheme="minorHAnsi" w:cstheme="minorHAnsi"/>
          <w:b/>
          <w:vertAlign w:val="superscript"/>
        </w:rPr>
        <w:t>2</w:t>
      </w:r>
      <w:r w:rsidR="00FE2A8C" w:rsidRPr="000C099D">
        <w:rPr>
          <w:rFonts w:asciiTheme="minorHAnsi" w:hAnsiTheme="minorHAnsi" w:cstheme="minorHAnsi"/>
          <w:b/>
        </w:rPr>
        <w:t>Mumps</w:t>
      </w:r>
      <w:r w:rsidR="00FE2A8C" w:rsidRPr="000C099D">
        <w:rPr>
          <w:rFonts w:asciiTheme="minorHAnsi" w:hAnsiTheme="minorHAnsi" w:cstheme="minorHAnsi"/>
        </w:rPr>
        <w:t xml:space="preserve"> - Susceptibles </w:t>
      </w:r>
      <w:r w:rsidR="000319C4" w:rsidRPr="000C099D">
        <w:rPr>
          <w:rFonts w:asciiTheme="minorHAnsi" w:hAnsiTheme="minorHAnsi" w:cstheme="minorHAnsi"/>
        </w:rPr>
        <w:t xml:space="preserve">include </w:t>
      </w:r>
      <w:r w:rsidR="00FE2A8C" w:rsidRPr="000C099D">
        <w:rPr>
          <w:rFonts w:asciiTheme="minorHAnsi" w:hAnsiTheme="minorHAnsi" w:cstheme="minorHAnsi"/>
        </w:rPr>
        <w:t xml:space="preserve">all those born </w:t>
      </w:r>
      <w:r w:rsidR="00A61AA4" w:rsidRPr="000C099D">
        <w:rPr>
          <w:rFonts w:asciiTheme="minorHAnsi" w:hAnsiTheme="minorHAnsi" w:cstheme="minorHAnsi"/>
        </w:rPr>
        <w:t xml:space="preserve">in </w:t>
      </w:r>
      <w:r w:rsidR="00FE2A8C" w:rsidRPr="000C099D">
        <w:rPr>
          <w:rFonts w:asciiTheme="minorHAnsi" w:hAnsiTheme="minorHAnsi" w:cstheme="minorHAnsi"/>
        </w:rPr>
        <w:t xml:space="preserve">or after 1957 without </w:t>
      </w:r>
      <w:r w:rsidR="000319C4" w:rsidRPr="000C099D">
        <w:rPr>
          <w:rFonts w:asciiTheme="minorHAnsi" w:hAnsiTheme="minorHAnsi" w:cstheme="minorHAnsi"/>
        </w:rPr>
        <w:t xml:space="preserve">1) </w:t>
      </w:r>
      <w:r w:rsidR="00FE2A8C" w:rsidRPr="000C099D">
        <w:rPr>
          <w:rFonts w:asciiTheme="minorHAnsi" w:hAnsiTheme="minorHAnsi" w:cstheme="minorHAnsi"/>
        </w:rPr>
        <w:t xml:space="preserve">written documentation of </w:t>
      </w:r>
      <w:r w:rsidR="00EA3F05" w:rsidRPr="000C099D">
        <w:rPr>
          <w:rFonts w:asciiTheme="minorHAnsi" w:hAnsiTheme="minorHAnsi" w:cstheme="minorHAnsi"/>
        </w:rPr>
        <w:t>2 doses</w:t>
      </w:r>
      <w:r w:rsidR="00FE2A8C" w:rsidRPr="000C099D">
        <w:rPr>
          <w:rFonts w:asciiTheme="minorHAnsi" w:hAnsiTheme="minorHAnsi" w:cstheme="minorHAnsi"/>
        </w:rPr>
        <w:t xml:space="preserve"> of mumps-containing </w:t>
      </w:r>
      <w:proofErr w:type="gramStart"/>
      <w:r w:rsidR="00FE2A8C" w:rsidRPr="000C099D">
        <w:rPr>
          <w:rFonts w:asciiTheme="minorHAnsi" w:hAnsiTheme="minorHAnsi" w:cstheme="minorHAnsi"/>
        </w:rPr>
        <w:t>vaccine;</w:t>
      </w:r>
      <w:proofErr w:type="gramEnd"/>
      <w:r w:rsidR="00FE2A8C" w:rsidRPr="000C099D">
        <w:rPr>
          <w:rFonts w:asciiTheme="minorHAnsi" w:hAnsiTheme="minorHAnsi" w:cstheme="minorHAnsi"/>
        </w:rPr>
        <w:t xml:space="preserve"> or 2) laboratory evidence of immunity</w:t>
      </w:r>
      <w:r w:rsidR="00026A7B" w:rsidRPr="000C099D">
        <w:rPr>
          <w:rFonts w:asciiTheme="minorHAnsi" w:hAnsiTheme="minorHAnsi" w:cstheme="minorHAnsi"/>
        </w:rPr>
        <w:t xml:space="preserve"> or laboratory confirmation of disease</w:t>
      </w:r>
      <w:r w:rsidR="00FE2A8C" w:rsidRPr="000C099D">
        <w:rPr>
          <w:rFonts w:asciiTheme="minorHAnsi" w:hAnsiTheme="minorHAnsi" w:cstheme="minorHAnsi"/>
        </w:rPr>
        <w:t xml:space="preserve">. In an outbreak setting, those with 0 or 1 dose </w:t>
      </w:r>
      <w:r w:rsidR="00FE2A8C" w:rsidRPr="000C099D">
        <w:rPr>
          <w:rFonts w:asciiTheme="minorHAnsi" w:hAnsiTheme="minorHAnsi" w:cstheme="minorHAnsi"/>
          <w:b/>
        </w:rPr>
        <w:t>may</w:t>
      </w:r>
      <w:r w:rsidR="00FE2A8C" w:rsidRPr="000C099D">
        <w:rPr>
          <w:rFonts w:asciiTheme="minorHAnsi" w:hAnsiTheme="minorHAnsi" w:cstheme="minorHAnsi"/>
        </w:rPr>
        <w:t xml:space="preserve"> avoid exclusion if they promptly receive a dose. </w:t>
      </w:r>
      <w:r w:rsidR="008F3611" w:rsidRPr="000C099D">
        <w:rPr>
          <w:rFonts w:asciiTheme="minorHAnsi" w:hAnsiTheme="minorHAnsi" w:cstheme="minorHAnsi"/>
        </w:rPr>
        <w:t>T</w:t>
      </w:r>
      <w:r w:rsidR="00FE2A8C" w:rsidRPr="000C099D">
        <w:rPr>
          <w:rFonts w:asciiTheme="minorHAnsi" w:hAnsiTheme="minorHAnsi" w:cstheme="minorHAnsi"/>
        </w:rPr>
        <w:t xml:space="preserve">hose born in the United States </w:t>
      </w:r>
      <w:r w:rsidR="00FE2A8C" w:rsidRPr="000C099D">
        <w:rPr>
          <w:rFonts w:asciiTheme="minorHAnsi" w:hAnsiTheme="minorHAnsi" w:cstheme="minorHAnsi"/>
          <w:u w:val="single"/>
        </w:rPr>
        <w:t>before</w:t>
      </w:r>
      <w:r w:rsidR="00FE2A8C" w:rsidRPr="000C099D">
        <w:rPr>
          <w:rFonts w:asciiTheme="minorHAnsi" w:hAnsiTheme="minorHAnsi" w:cstheme="minorHAnsi"/>
        </w:rPr>
        <w:t xml:space="preserve"> 1957 are considered immune</w:t>
      </w:r>
      <w:r w:rsidR="00214D0E" w:rsidRPr="000C099D">
        <w:rPr>
          <w:rFonts w:asciiTheme="minorHAnsi" w:hAnsiTheme="minorHAnsi" w:cstheme="minorHAnsi"/>
        </w:rPr>
        <w:t>;</w:t>
      </w:r>
      <w:r w:rsidR="00A8369E" w:rsidRPr="000C099D">
        <w:rPr>
          <w:rFonts w:asciiTheme="minorHAnsi" w:hAnsiTheme="minorHAnsi" w:cstheme="minorHAnsi"/>
        </w:rPr>
        <w:t xml:space="preserve"> h</w:t>
      </w:r>
      <w:r w:rsidR="00FE2A8C" w:rsidRPr="000C099D">
        <w:rPr>
          <w:rFonts w:asciiTheme="minorHAnsi" w:hAnsiTheme="minorHAnsi" w:cstheme="minorHAnsi"/>
        </w:rPr>
        <w:t xml:space="preserve">owever, this should </w:t>
      </w:r>
      <w:r w:rsidR="00FE2A8C" w:rsidRPr="000C099D">
        <w:rPr>
          <w:rFonts w:asciiTheme="minorHAnsi" w:hAnsiTheme="minorHAnsi" w:cstheme="minorHAnsi"/>
          <w:b/>
        </w:rPr>
        <w:t>not</w:t>
      </w:r>
      <w:r w:rsidR="00FE2A8C" w:rsidRPr="000C099D">
        <w:rPr>
          <w:rFonts w:asciiTheme="minorHAnsi" w:hAnsiTheme="minorHAnsi" w:cstheme="minorHAnsi"/>
        </w:rPr>
        <w:t xml:space="preserve"> be considered </w:t>
      </w:r>
      <w:r w:rsidR="003650DA" w:rsidRPr="000C099D">
        <w:rPr>
          <w:rFonts w:asciiTheme="minorHAnsi" w:hAnsiTheme="minorHAnsi" w:cstheme="minorHAnsi"/>
        </w:rPr>
        <w:t>evidence</w:t>
      </w:r>
      <w:r w:rsidR="00FE2A8C" w:rsidRPr="000C099D">
        <w:rPr>
          <w:rFonts w:asciiTheme="minorHAnsi" w:hAnsiTheme="minorHAnsi" w:cstheme="minorHAnsi"/>
        </w:rPr>
        <w:t xml:space="preserve"> of immunity for </w:t>
      </w:r>
      <w:r w:rsidR="00EF1405" w:rsidRPr="000C099D">
        <w:rPr>
          <w:rFonts w:asciiTheme="minorHAnsi" w:hAnsiTheme="minorHAnsi" w:cstheme="minorHAnsi"/>
        </w:rPr>
        <w:t xml:space="preserve">health sciences </w:t>
      </w:r>
      <w:r w:rsidR="00FE2A8C" w:rsidRPr="000C099D">
        <w:rPr>
          <w:rFonts w:asciiTheme="minorHAnsi" w:hAnsiTheme="minorHAnsi" w:cstheme="minorHAnsi"/>
        </w:rPr>
        <w:t>students</w:t>
      </w:r>
      <w:r w:rsidR="004150DF" w:rsidRPr="000C099D">
        <w:rPr>
          <w:rFonts w:asciiTheme="minorHAnsi" w:hAnsiTheme="minorHAnsi" w:cstheme="minorHAnsi"/>
        </w:rPr>
        <w:t xml:space="preserve"> and</w:t>
      </w:r>
      <w:r w:rsidR="00FE2A8C" w:rsidRPr="000C099D">
        <w:rPr>
          <w:rFonts w:asciiTheme="minorHAnsi" w:hAnsiTheme="minorHAnsi" w:cstheme="minorHAnsi"/>
        </w:rPr>
        <w:t xml:space="preserve"> </w:t>
      </w:r>
      <w:r w:rsidR="00D75A5C" w:rsidRPr="000C099D">
        <w:rPr>
          <w:rFonts w:asciiTheme="minorHAnsi" w:hAnsiTheme="minorHAnsi" w:cstheme="minorHAnsi"/>
        </w:rPr>
        <w:t>healthcare</w:t>
      </w:r>
      <w:r w:rsidR="00FE2A8C" w:rsidRPr="000C099D">
        <w:rPr>
          <w:rFonts w:asciiTheme="minorHAnsi" w:hAnsiTheme="minorHAnsi" w:cstheme="minorHAnsi"/>
        </w:rPr>
        <w:t xml:space="preserve"> </w:t>
      </w:r>
      <w:proofErr w:type="gramStart"/>
      <w:r w:rsidR="00CF02AF" w:rsidRPr="000C099D">
        <w:rPr>
          <w:rFonts w:asciiTheme="minorHAnsi" w:hAnsiTheme="minorHAnsi" w:cstheme="minorHAnsi"/>
        </w:rPr>
        <w:t>workers.</w:t>
      </w:r>
      <w:r w:rsidR="00CF02AF" w:rsidRPr="000C099D">
        <w:rPr>
          <w:rFonts w:asciiTheme="minorHAnsi" w:hAnsiTheme="minorHAnsi" w:cstheme="minorHAnsi"/>
          <w:vertAlign w:val="superscript"/>
        </w:rPr>
        <w:t>*</w:t>
      </w:r>
      <w:proofErr w:type="gramEnd"/>
      <w:r w:rsidR="00E903D5" w:rsidRPr="000C099D">
        <w:rPr>
          <w:rFonts w:asciiTheme="minorHAnsi" w:hAnsiTheme="minorHAnsi" w:cstheme="minorHAnsi"/>
          <w:vertAlign w:val="superscript"/>
        </w:rPr>
        <w:t>*</w:t>
      </w:r>
    </w:p>
    <w:p w14:paraId="12156748" w14:textId="77777777" w:rsidR="0069672B" w:rsidRPr="000C099D" w:rsidRDefault="0069672B" w:rsidP="000C099D">
      <w:pPr>
        <w:pStyle w:val="FootnoteText"/>
        <w:keepNext/>
        <w:pBdr>
          <w:top w:val="single" w:sz="12" w:space="1" w:color="auto"/>
          <w:left w:val="single" w:sz="12" w:space="9" w:color="auto"/>
          <w:bottom w:val="single" w:sz="12" w:space="1" w:color="auto"/>
          <w:right w:val="single" w:sz="12" w:space="4" w:color="auto"/>
        </w:pBdr>
        <w:rPr>
          <w:rFonts w:asciiTheme="minorHAnsi" w:hAnsiTheme="minorHAnsi" w:cstheme="minorHAnsi"/>
          <w:b/>
        </w:rPr>
      </w:pPr>
    </w:p>
    <w:p w14:paraId="5A28022E" w14:textId="215F6D63" w:rsidR="00FE2A8C" w:rsidRPr="000C099D" w:rsidRDefault="00AB2B6D" w:rsidP="000C099D">
      <w:pPr>
        <w:pStyle w:val="FootnoteText"/>
        <w:keepNext/>
        <w:pBdr>
          <w:top w:val="single" w:sz="12" w:space="1" w:color="auto"/>
          <w:left w:val="single" w:sz="12" w:space="9" w:color="auto"/>
          <w:bottom w:val="single" w:sz="12" w:space="1" w:color="auto"/>
          <w:right w:val="single" w:sz="12" w:space="4" w:color="auto"/>
        </w:pBdr>
        <w:rPr>
          <w:rFonts w:asciiTheme="minorHAnsi" w:hAnsiTheme="minorHAnsi" w:cstheme="minorHAnsi"/>
        </w:rPr>
      </w:pPr>
      <w:r w:rsidRPr="000C099D">
        <w:rPr>
          <w:rFonts w:asciiTheme="minorHAnsi" w:hAnsiTheme="minorHAnsi" w:cstheme="minorHAnsi"/>
          <w:b/>
          <w:vertAlign w:val="superscript"/>
        </w:rPr>
        <w:t>3</w:t>
      </w:r>
      <w:r w:rsidR="00FE2A8C" w:rsidRPr="000C099D">
        <w:rPr>
          <w:rFonts w:asciiTheme="minorHAnsi" w:hAnsiTheme="minorHAnsi" w:cstheme="minorHAnsi"/>
          <w:b/>
        </w:rPr>
        <w:t>Rubella</w:t>
      </w:r>
      <w:r w:rsidR="00FE2A8C" w:rsidRPr="000C099D">
        <w:rPr>
          <w:rFonts w:asciiTheme="minorHAnsi" w:hAnsiTheme="minorHAnsi" w:cstheme="minorHAnsi"/>
        </w:rPr>
        <w:t xml:space="preserve"> - Susceptibles </w:t>
      </w:r>
      <w:r w:rsidR="000319C4" w:rsidRPr="000C099D">
        <w:rPr>
          <w:rFonts w:asciiTheme="minorHAnsi" w:hAnsiTheme="minorHAnsi" w:cstheme="minorHAnsi"/>
        </w:rPr>
        <w:t xml:space="preserve">include </w:t>
      </w:r>
      <w:r w:rsidR="00FE2A8C" w:rsidRPr="000C099D">
        <w:rPr>
          <w:rFonts w:asciiTheme="minorHAnsi" w:hAnsiTheme="minorHAnsi" w:cstheme="minorHAnsi"/>
        </w:rPr>
        <w:t xml:space="preserve">all those born </w:t>
      </w:r>
      <w:r w:rsidR="00456DF6" w:rsidRPr="000C099D">
        <w:rPr>
          <w:rFonts w:asciiTheme="minorHAnsi" w:hAnsiTheme="minorHAnsi" w:cstheme="minorHAnsi"/>
        </w:rPr>
        <w:t xml:space="preserve">in </w:t>
      </w:r>
      <w:r w:rsidR="00FE2A8C" w:rsidRPr="000C099D">
        <w:rPr>
          <w:rFonts w:asciiTheme="minorHAnsi" w:hAnsiTheme="minorHAnsi" w:cstheme="minorHAnsi"/>
        </w:rPr>
        <w:t>or after 1957 without</w:t>
      </w:r>
      <w:r w:rsidR="00B10F39" w:rsidRPr="000C099D">
        <w:rPr>
          <w:rFonts w:asciiTheme="minorHAnsi" w:hAnsiTheme="minorHAnsi" w:cstheme="minorHAnsi"/>
        </w:rPr>
        <w:t xml:space="preserve">) </w:t>
      </w:r>
      <w:r w:rsidR="00FE2A8C" w:rsidRPr="000C099D">
        <w:rPr>
          <w:rFonts w:asciiTheme="minorHAnsi" w:hAnsiTheme="minorHAnsi" w:cstheme="minorHAnsi"/>
        </w:rPr>
        <w:t xml:space="preserve">written documentation of </w:t>
      </w:r>
      <w:r w:rsidR="00EA3F05" w:rsidRPr="000C099D">
        <w:rPr>
          <w:rFonts w:asciiTheme="minorHAnsi" w:hAnsiTheme="minorHAnsi" w:cstheme="minorHAnsi"/>
        </w:rPr>
        <w:t xml:space="preserve">2 </w:t>
      </w:r>
      <w:r w:rsidR="00FE2A8C" w:rsidRPr="000C099D">
        <w:rPr>
          <w:rFonts w:asciiTheme="minorHAnsi" w:hAnsiTheme="minorHAnsi" w:cstheme="minorHAnsi"/>
        </w:rPr>
        <w:t>dose</w:t>
      </w:r>
      <w:r w:rsidR="00EA3F05" w:rsidRPr="000C099D">
        <w:rPr>
          <w:rFonts w:asciiTheme="minorHAnsi" w:hAnsiTheme="minorHAnsi" w:cstheme="minorHAnsi"/>
        </w:rPr>
        <w:t>s</w:t>
      </w:r>
      <w:r w:rsidR="00FE2A8C" w:rsidRPr="000C099D">
        <w:rPr>
          <w:rFonts w:asciiTheme="minorHAnsi" w:hAnsiTheme="minorHAnsi" w:cstheme="minorHAnsi"/>
        </w:rPr>
        <w:t xml:space="preserve"> of rubella-containing </w:t>
      </w:r>
      <w:proofErr w:type="gramStart"/>
      <w:r w:rsidR="00FE2A8C" w:rsidRPr="000C099D">
        <w:rPr>
          <w:rFonts w:asciiTheme="minorHAnsi" w:hAnsiTheme="minorHAnsi" w:cstheme="minorHAnsi"/>
        </w:rPr>
        <w:t>vaccine</w:t>
      </w:r>
      <w:r w:rsidR="00B10F39" w:rsidRPr="000C099D">
        <w:rPr>
          <w:rFonts w:asciiTheme="minorHAnsi" w:hAnsiTheme="minorHAnsi" w:cstheme="minorHAnsi"/>
        </w:rPr>
        <w:t>;</w:t>
      </w:r>
      <w:proofErr w:type="gramEnd"/>
      <w:r w:rsidR="00FE2A8C" w:rsidRPr="000C099D">
        <w:rPr>
          <w:rFonts w:asciiTheme="minorHAnsi" w:hAnsiTheme="minorHAnsi" w:cstheme="minorHAnsi"/>
        </w:rPr>
        <w:t xml:space="preserve"> or </w:t>
      </w:r>
      <w:r w:rsidR="00B10F39" w:rsidRPr="000C099D">
        <w:rPr>
          <w:rFonts w:asciiTheme="minorHAnsi" w:hAnsiTheme="minorHAnsi" w:cstheme="minorHAnsi"/>
        </w:rPr>
        <w:t>2) laboratory</w:t>
      </w:r>
      <w:r w:rsidR="00FE2A8C" w:rsidRPr="000C099D">
        <w:rPr>
          <w:rFonts w:asciiTheme="minorHAnsi" w:hAnsiTheme="minorHAnsi" w:cstheme="minorHAnsi"/>
        </w:rPr>
        <w:t xml:space="preserve"> evidence of immunity</w:t>
      </w:r>
      <w:r w:rsidR="00026A7B" w:rsidRPr="000C099D">
        <w:rPr>
          <w:rFonts w:asciiTheme="minorHAnsi" w:hAnsiTheme="minorHAnsi" w:cstheme="minorHAnsi"/>
        </w:rPr>
        <w:t xml:space="preserve"> or laboratory confirmation of disease</w:t>
      </w:r>
      <w:r w:rsidR="00FE2A8C" w:rsidRPr="000C099D">
        <w:rPr>
          <w:rFonts w:asciiTheme="minorHAnsi" w:hAnsiTheme="minorHAnsi" w:cstheme="minorHAnsi"/>
        </w:rPr>
        <w:t xml:space="preserve">. In an outbreak, those with </w:t>
      </w:r>
      <w:r w:rsidR="00EA3F05" w:rsidRPr="000C099D">
        <w:rPr>
          <w:rFonts w:asciiTheme="minorHAnsi" w:hAnsiTheme="minorHAnsi" w:cstheme="minorHAnsi"/>
        </w:rPr>
        <w:t xml:space="preserve">0 or 1 </w:t>
      </w:r>
      <w:r w:rsidR="00FE2A8C" w:rsidRPr="000C099D">
        <w:rPr>
          <w:rFonts w:asciiTheme="minorHAnsi" w:hAnsiTheme="minorHAnsi" w:cstheme="minorHAnsi"/>
        </w:rPr>
        <w:t xml:space="preserve">doses </w:t>
      </w:r>
      <w:r w:rsidR="00FE2A8C" w:rsidRPr="000C099D">
        <w:rPr>
          <w:rFonts w:asciiTheme="minorHAnsi" w:hAnsiTheme="minorHAnsi" w:cstheme="minorHAnsi"/>
          <w:b/>
        </w:rPr>
        <w:t>may</w:t>
      </w:r>
      <w:r w:rsidR="00FE2A8C" w:rsidRPr="000C099D">
        <w:rPr>
          <w:rFonts w:asciiTheme="minorHAnsi" w:hAnsiTheme="minorHAnsi" w:cstheme="minorHAnsi"/>
        </w:rPr>
        <w:t xml:space="preserve"> avoid exclusion if they promptly receive a dose. Those born in the United States </w:t>
      </w:r>
      <w:r w:rsidR="00FE2A8C" w:rsidRPr="000C099D">
        <w:rPr>
          <w:rFonts w:asciiTheme="minorHAnsi" w:hAnsiTheme="minorHAnsi" w:cstheme="minorHAnsi"/>
          <w:u w:val="single"/>
        </w:rPr>
        <w:t>before</w:t>
      </w:r>
      <w:r w:rsidR="00FE2A8C" w:rsidRPr="000C099D">
        <w:rPr>
          <w:rFonts w:asciiTheme="minorHAnsi" w:hAnsiTheme="minorHAnsi" w:cstheme="minorHAnsi"/>
        </w:rPr>
        <w:t xml:space="preserve"> 1957 are considered immune</w:t>
      </w:r>
      <w:r w:rsidR="00214D0E" w:rsidRPr="000C099D">
        <w:rPr>
          <w:rFonts w:asciiTheme="minorHAnsi" w:hAnsiTheme="minorHAnsi" w:cstheme="minorHAnsi"/>
        </w:rPr>
        <w:t>;</w:t>
      </w:r>
      <w:r w:rsidR="00FE2A8C" w:rsidRPr="000C099D">
        <w:rPr>
          <w:rFonts w:asciiTheme="minorHAnsi" w:hAnsiTheme="minorHAnsi" w:cstheme="minorHAnsi"/>
        </w:rPr>
        <w:t xml:space="preserve"> </w:t>
      </w:r>
      <w:r w:rsidR="00A8369E" w:rsidRPr="000C099D">
        <w:rPr>
          <w:rFonts w:asciiTheme="minorHAnsi" w:hAnsiTheme="minorHAnsi" w:cstheme="minorHAnsi"/>
        </w:rPr>
        <w:t>h</w:t>
      </w:r>
      <w:r w:rsidR="00FE2A8C" w:rsidRPr="000C099D">
        <w:rPr>
          <w:rFonts w:asciiTheme="minorHAnsi" w:hAnsiTheme="minorHAnsi" w:cstheme="minorHAnsi"/>
        </w:rPr>
        <w:t xml:space="preserve">owever, this should </w:t>
      </w:r>
      <w:r w:rsidR="00FE2A8C" w:rsidRPr="000C099D">
        <w:rPr>
          <w:rFonts w:asciiTheme="minorHAnsi" w:hAnsiTheme="minorHAnsi" w:cstheme="minorHAnsi"/>
          <w:b/>
        </w:rPr>
        <w:t>not</w:t>
      </w:r>
      <w:r w:rsidR="00FE2A8C" w:rsidRPr="000C099D">
        <w:rPr>
          <w:rFonts w:asciiTheme="minorHAnsi" w:hAnsiTheme="minorHAnsi" w:cstheme="minorHAnsi"/>
        </w:rPr>
        <w:t xml:space="preserve"> be considered </w:t>
      </w:r>
      <w:r w:rsidR="003650DA" w:rsidRPr="000C099D">
        <w:rPr>
          <w:rFonts w:asciiTheme="minorHAnsi" w:hAnsiTheme="minorHAnsi" w:cstheme="minorHAnsi"/>
        </w:rPr>
        <w:t>evidence</w:t>
      </w:r>
      <w:r w:rsidR="00FE2A8C" w:rsidRPr="000C099D">
        <w:rPr>
          <w:rFonts w:asciiTheme="minorHAnsi" w:hAnsiTheme="minorHAnsi" w:cstheme="minorHAnsi"/>
        </w:rPr>
        <w:t xml:space="preserve"> of immunity for </w:t>
      </w:r>
      <w:r w:rsidR="005C466D" w:rsidRPr="000C099D">
        <w:rPr>
          <w:rFonts w:asciiTheme="minorHAnsi" w:hAnsiTheme="minorHAnsi" w:cstheme="minorHAnsi"/>
        </w:rPr>
        <w:t xml:space="preserve">health sciences </w:t>
      </w:r>
      <w:r w:rsidR="00FE2A8C" w:rsidRPr="000C099D">
        <w:rPr>
          <w:rFonts w:asciiTheme="minorHAnsi" w:hAnsiTheme="minorHAnsi" w:cstheme="minorHAnsi"/>
        </w:rPr>
        <w:t>students</w:t>
      </w:r>
      <w:r w:rsidR="004150DF" w:rsidRPr="000C099D">
        <w:rPr>
          <w:rFonts w:asciiTheme="minorHAnsi" w:hAnsiTheme="minorHAnsi" w:cstheme="minorHAnsi"/>
        </w:rPr>
        <w:t xml:space="preserve"> and</w:t>
      </w:r>
      <w:r w:rsidR="00FE2A8C" w:rsidRPr="000C099D">
        <w:rPr>
          <w:rFonts w:asciiTheme="minorHAnsi" w:hAnsiTheme="minorHAnsi" w:cstheme="minorHAnsi"/>
        </w:rPr>
        <w:t xml:space="preserve"> </w:t>
      </w:r>
      <w:r w:rsidR="009D1E82" w:rsidRPr="000C099D">
        <w:rPr>
          <w:rFonts w:asciiTheme="minorHAnsi" w:hAnsiTheme="minorHAnsi" w:cstheme="minorHAnsi"/>
        </w:rPr>
        <w:t>healthcare</w:t>
      </w:r>
      <w:r w:rsidR="00FE2A8C" w:rsidRPr="000C099D">
        <w:rPr>
          <w:rFonts w:asciiTheme="minorHAnsi" w:hAnsiTheme="minorHAnsi" w:cstheme="minorHAnsi"/>
        </w:rPr>
        <w:t xml:space="preserve"> </w:t>
      </w:r>
      <w:proofErr w:type="gramStart"/>
      <w:r w:rsidR="00CF02AF" w:rsidRPr="000C099D">
        <w:rPr>
          <w:rFonts w:asciiTheme="minorHAnsi" w:hAnsiTheme="minorHAnsi" w:cstheme="minorHAnsi"/>
        </w:rPr>
        <w:t>workers.</w:t>
      </w:r>
      <w:r w:rsidR="00CF02AF" w:rsidRPr="000C099D">
        <w:rPr>
          <w:rFonts w:asciiTheme="minorHAnsi" w:hAnsiTheme="minorHAnsi" w:cstheme="minorHAnsi"/>
          <w:vertAlign w:val="superscript"/>
        </w:rPr>
        <w:t>*</w:t>
      </w:r>
      <w:proofErr w:type="gramEnd"/>
      <w:r w:rsidR="00E903D5" w:rsidRPr="000C099D">
        <w:rPr>
          <w:rFonts w:asciiTheme="minorHAnsi" w:hAnsiTheme="minorHAnsi" w:cstheme="minorHAnsi"/>
          <w:vertAlign w:val="superscript"/>
        </w:rPr>
        <w:t>*</w:t>
      </w:r>
    </w:p>
    <w:p w14:paraId="4BE8946C" w14:textId="77777777" w:rsidR="0069672B" w:rsidRPr="000C099D" w:rsidRDefault="0069672B" w:rsidP="000C099D">
      <w:pPr>
        <w:pStyle w:val="FootnoteText"/>
        <w:keepNext/>
        <w:pBdr>
          <w:top w:val="single" w:sz="12" w:space="1" w:color="auto"/>
          <w:left w:val="single" w:sz="12" w:space="9" w:color="auto"/>
          <w:bottom w:val="single" w:sz="12" w:space="1" w:color="auto"/>
          <w:right w:val="single" w:sz="12" w:space="4" w:color="auto"/>
        </w:pBdr>
        <w:rPr>
          <w:rFonts w:asciiTheme="minorHAnsi" w:hAnsiTheme="minorHAnsi" w:cstheme="minorHAnsi"/>
          <w:b/>
        </w:rPr>
      </w:pPr>
    </w:p>
    <w:p w14:paraId="3492DAC9" w14:textId="6E04F846" w:rsidR="00FE2A8C" w:rsidRPr="000C099D" w:rsidRDefault="00AB2B6D" w:rsidP="000C099D">
      <w:pPr>
        <w:pStyle w:val="FootnoteText"/>
        <w:keepNext/>
        <w:pBdr>
          <w:top w:val="single" w:sz="12" w:space="1" w:color="auto"/>
          <w:left w:val="single" w:sz="12" w:space="9" w:color="auto"/>
          <w:bottom w:val="single" w:sz="12" w:space="1" w:color="auto"/>
          <w:right w:val="single" w:sz="12" w:space="4" w:color="auto"/>
        </w:pBdr>
        <w:rPr>
          <w:rFonts w:asciiTheme="minorHAnsi" w:hAnsiTheme="minorHAnsi" w:cstheme="minorHAnsi"/>
        </w:rPr>
      </w:pPr>
      <w:r w:rsidRPr="000C099D">
        <w:rPr>
          <w:rFonts w:asciiTheme="minorHAnsi" w:hAnsiTheme="minorHAnsi" w:cstheme="minorHAnsi"/>
          <w:b/>
          <w:vertAlign w:val="superscript"/>
        </w:rPr>
        <w:t>4</w:t>
      </w:r>
      <w:r w:rsidR="00FE2A8C" w:rsidRPr="000C099D">
        <w:rPr>
          <w:rFonts w:asciiTheme="minorHAnsi" w:hAnsiTheme="minorHAnsi" w:cstheme="minorHAnsi"/>
          <w:b/>
        </w:rPr>
        <w:t>Pertussis</w:t>
      </w:r>
      <w:r w:rsidR="00FE2A8C" w:rsidRPr="000C099D">
        <w:rPr>
          <w:rFonts w:asciiTheme="minorHAnsi" w:hAnsiTheme="minorHAnsi" w:cstheme="minorHAnsi"/>
        </w:rPr>
        <w:t xml:space="preserve"> - Susceptibles include all those exposed, regardless of their age, immunization status, or </w:t>
      </w:r>
      <w:proofErr w:type="gramStart"/>
      <w:r w:rsidR="00FE2A8C" w:rsidRPr="000C099D">
        <w:rPr>
          <w:rFonts w:asciiTheme="minorHAnsi" w:hAnsiTheme="minorHAnsi" w:cstheme="minorHAnsi"/>
        </w:rPr>
        <w:t>past history</w:t>
      </w:r>
      <w:proofErr w:type="gramEnd"/>
      <w:r w:rsidR="00FE2A8C" w:rsidRPr="000C099D">
        <w:rPr>
          <w:rFonts w:asciiTheme="minorHAnsi" w:hAnsiTheme="minorHAnsi" w:cstheme="minorHAnsi"/>
        </w:rPr>
        <w:t xml:space="preserve"> of </w:t>
      </w:r>
      <w:r w:rsidR="00864470" w:rsidRPr="000C099D">
        <w:rPr>
          <w:rFonts w:asciiTheme="minorHAnsi" w:hAnsiTheme="minorHAnsi" w:cstheme="minorHAnsi"/>
        </w:rPr>
        <w:t xml:space="preserve">the </w:t>
      </w:r>
      <w:r w:rsidR="00FE2A8C" w:rsidRPr="000C099D">
        <w:rPr>
          <w:rFonts w:asciiTheme="minorHAnsi" w:hAnsiTheme="minorHAnsi" w:cstheme="minorHAnsi"/>
        </w:rPr>
        <w:t xml:space="preserve">disease. </w:t>
      </w:r>
    </w:p>
    <w:p w14:paraId="00E02BE9" w14:textId="77777777" w:rsidR="0069672B" w:rsidRPr="000C099D" w:rsidRDefault="0069672B" w:rsidP="000C099D">
      <w:pPr>
        <w:pStyle w:val="FootnoteText"/>
        <w:keepNext/>
        <w:pBdr>
          <w:top w:val="single" w:sz="12" w:space="1" w:color="auto"/>
          <w:left w:val="single" w:sz="12" w:space="9" w:color="auto"/>
          <w:bottom w:val="single" w:sz="12" w:space="1" w:color="auto"/>
          <w:right w:val="single" w:sz="12" w:space="4" w:color="auto"/>
        </w:pBdr>
        <w:rPr>
          <w:rFonts w:asciiTheme="minorHAnsi" w:hAnsiTheme="minorHAnsi" w:cstheme="minorHAnsi"/>
          <w:b/>
        </w:rPr>
      </w:pPr>
    </w:p>
    <w:p w14:paraId="330149C9" w14:textId="3BA99A17" w:rsidR="00FE2A8C" w:rsidRPr="000C099D" w:rsidRDefault="00AB2B6D" w:rsidP="000C099D">
      <w:pPr>
        <w:pStyle w:val="FootnoteText"/>
        <w:keepNext/>
        <w:pBdr>
          <w:top w:val="single" w:sz="12" w:space="1" w:color="auto"/>
          <w:left w:val="single" w:sz="12" w:space="9" w:color="auto"/>
          <w:bottom w:val="single" w:sz="12" w:space="1" w:color="auto"/>
          <w:right w:val="single" w:sz="12" w:space="4" w:color="auto"/>
        </w:pBdr>
        <w:rPr>
          <w:rFonts w:asciiTheme="minorHAnsi" w:hAnsiTheme="minorHAnsi" w:cstheme="minorHAnsi"/>
        </w:rPr>
      </w:pPr>
      <w:r w:rsidRPr="000C099D">
        <w:rPr>
          <w:rFonts w:asciiTheme="minorHAnsi" w:hAnsiTheme="minorHAnsi" w:cstheme="minorHAnsi"/>
          <w:b/>
          <w:vertAlign w:val="superscript"/>
        </w:rPr>
        <w:t>5</w:t>
      </w:r>
      <w:r w:rsidR="00FE2A8C" w:rsidRPr="000C099D">
        <w:rPr>
          <w:rFonts w:asciiTheme="minorHAnsi" w:hAnsiTheme="minorHAnsi" w:cstheme="minorHAnsi"/>
          <w:b/>
        </w:rPr>
        <w:t>Varicella</w:t>
      </w:r>
      <w:r w:rsidR="00FE2A8C" w:rsidRPr="000C099D">
        <w:rPr>
          <w:rFonts w:asciiTheme="minorHAnsi" w:hAnsiTheme="minorHAnsi" w:cstheme="minorHAnsi"/>
        </w:rPr>
        <w:t xml:space="preserve"> - Susceptibles </w:t>
      </w:r>
      <w:r w:rsidR="009D1E82" w:rsidRPr="000C099D">
        <w:rPr>
          <w:rFonts w:asciiTheme="minorHAnsi" w:hAnsiTheme="minorHAnsi" w:cstheme="minorHAnsi"/>
        </w:rPr>
        <w:t xml:space="preserve">include </w:t>
      </w:r>
      <w:r w:rsidR="00FE2A8C" w:rsidRPr="000C099D">
        <w:rPr>
          <w:rFonts w:asciiTheme="minorHAnsi" w:hAnsiTheme="minorHAnsi" w:cstheme="minorHAnsi"/>
        </w:rPr>
        <w:t xml:space="preserve">all those born in the United States in or after 1980 </w:t>
      </w:r>
      <w:r w:rsidR="00FE2A8C" w:rsidRPr="000C099D">
        <w:rPr>
          <w:rFonts w:asciiTheme="minorHAnsi" w:hAnsiTheme="minorHAnsi" w:cstheme="minorHAnsi"/>
          <w:u w:val="single"/>
        </w:rPr>
        <w:t>without</w:t>
      </w:r>
      <w:r w:rsidR="00EF05E6" w:rsidRPr="000C099D">
        <w:rPr>
          <w:rFonts w:asciiTheme="minorHAnsi" w:hAnsiTheme="minorHAnsi" w:cstheme="minorHAnsi"/>
          <w:u w:val="single"/>
        </w:rPr>
        <w:t xml:space="preserve"> </w:t>
      </w:r>
      <w:r w:rsidR="00EF0E1E" w:rsidRPr="000C099D">
        <w:rPr>
          <w:rFonts w:asciiTheme="minorHAnsi" w:hAnsiTheme="minorHAnsi" w:cstheme="minorHAnsi"/>
        </w:rPr>
        <w:t>1)</w:t>
      </w:r>
      <w:r w:rsidR="00FE2A8C" w:rsidRPr="000C099D">
        <w:rPr>
          <w:rFonts w:asciiTheme="minorHAnsi" w:hAnsiTheme="minorHAnsi" w:cstheme="minorHAnsi"/>
        </w:rPr>
        <w:t xml:space="preserve"> </w:t>
      </w:r>
      <w:r w:rsidR="00EA3F05" w:rsidRPr="000C099D">
        <w:rPr>
          <w:rFonts w:asciiTheme="minorHAnsi" w:hAnsiTheme="minorHAnsi" w:cstheme="minorHAnsi"/>
        </w:rPr>
        <w:t xml:space="preserve">written </w:t>
      </w:r>
      <w:r w:rsidR="00FE2A8C" w:rsidRPr="000C099D">
        <w:rPr>
          <w:rFonts w:asciiTheme="minorHAnsi" w:hAnsiTheme="minorHAnsi" w:cstheme="minorHAnsi"/>
        </w:rPr>
        <w:t xml:space="preserve">documentation of </w:t>
      </w:r>
      <w:r w:rsidR="00EA3F05" w:rsidRPr="000C099D">
        <w:rPr>
          <w:rFonts w:asciiTheme="minorHAnsi" w:hAnsiTheme="minorHAnsi" w:cstheme="minorHAnsi"/>
        </w:rPr>
        <w:t>2 doses of varicella vaccine</w:t>
      </w:r>
      <w:r w:rsidR="00FE2A8C" w:rsidRPr="000C099D">
        <w:rPr>
          <w:rFonts w:asciiTheme="minorHAnsi" w:hAnsiTheme="minorHAnsi" w:cstheme="minorHAnsi"/>
        </w:rPr>
        <w:t xml:space="preserve">; or 2) laboratory evidence of immunity or laboratory confirmation of disease; or 3) a healthcare provider diagnosis of varicella or healthcare provider verification of history of varicella disease; or 4) history of herpes zoster based on healthcare provider diagnosis. </w:t>
      </w:r>
      <w:r w:rsidR="00EA3F05" w:rsidRPr="000C099D">
        <w:rPr>
          <w:rFonts w:asciiTheme="minorHAnsi" w:hAnsiTheme="minorHAnsi" w:cstheme="minorHAnsi"/>
        </w:rPr>
        <w:t xml:space="preserve">In an outbreak situation, those with 0 or 1 </w:t>
      </w:r>
      <w:proofErr w:type="gramStart"/>
      <w:r w:rsidR="00EA3F05" w:rsidRPr="000C099D">
        <w:rPr>
          <w:rFonts w:asciiTheme="minorHAnsi" w:hAnsiTheme="minorHAnsi" w:cstheme="minorHAnsi"/>
        </w:rPr>
        <w:t>doses</w:t>
      </w:r>
      <w:proofErr w:type="gramEnd"/>
      <w:r w:rsidR="00EA3F05" w:rsidRPr="000C099D">
        <w:rPr>
          <w:rFonts w:asciiTheme="minorHAnsi" w:hAnsiTheme="minorHAnsi" w:cstheme="minorHAnsi"/>
        </w:rPr>
        <w:t xml:space="preserve"> </w:t>
      </w:r>
      <w:r w:rsidR="00EA3F05" w:rsidRPr="000C099D">
        <w:rPr>
          <w:rFonts w:asciiTheme="minorHAnsi" w:hAnsiTheme="minorHAnsi" w:cstheme="minorHAnsi"/>
          <w:b/>
        </w:rPr>
        <w:t>may</w:t>
      </w:r>
      <w:r w:rsidR="00EA3F05" w:rsidRPr="000C099D">
        <w:rPr>
          <w:rFonts w:asciiTheme="minorHAnsi" w:hAnsiTheme="minorHAnsi" w:cstheme="minorHAnsi"/>
        </w:rPr>
        <w:t xml:space="preserve"> avoid exclusion if they promptly receive a dose</w:t>
      </w:r>
      <w:r w:rsidR="00FE2A8C" w:rsidRPr="000C099D">
        <w:rPr>
          <w:rFonts w:asciiTheme="minorHAnsi" w:hAnsiTheme="minorHAnsi" w:cstheme="minorHAnsi"/>
        </w:rPr>
        <w:t xml:space="preserve">. </w:t>
      </w:r>
      <w:r w:rsidR="00B107D8" w:rsidRPr="000C099D">
        <w:rPr>
          <w:rFonts w:asciiTheme="minorHAnsi" w:hAnsiTheme="minorHAnsi" w:cstheme="minorHAnsi"/>
        </w:rPr>
        <w:t>T</w:t>
      </w:r>
      <w:r w:rsidR="00FE2A8C" w:rsidRPr="000C099D">
        <w:rPr>
          <w:rFonts w:asciiTheme="minorHAnsi" w:hAnsiTheme="minorHAnsi" w:cstheme="minorHAnsi"/>
        </w:rPr>
        <w:t xml:space="preserve">hose born in the United States </w:t>
      </w:r>
      <w:r w:rsidR="00FE2A8C" w:rsidRPr="000C099D">
        <w:rPr>
          <w:rFonts w:asciiTheme="minorHAnsi" w:hAnsiTheme="minorHAnsi" w:cstheme="minorHAnsi"/>
          <w:u w:val="single"/>
        </w:rPr>
        <w:t>before</w:t>
      </w:r>
      <w:r w:rsidR="00FE2A8C" w:rsidRPr="000C099D">
        <w:rPr>
          <w:rFonts w:asciiTheme="minorHAnsi" w:hAnsiTheme="minorHAnsi" w:cstheme="minorHAnsi"/>
        </w:rPr>
        <w:t xml:space="preserve"> 1980 are considered immune</w:t>
      </w:r>
      <w:r w:rsidR="00214D0E" w:rsidRPr="000C099D">
        <w:rPr>
          <w:rFonts w:asciiTheme="minorHAnsi" w:hAnsiTheme="minorHAnsi" w:cstheme="minorHAnsi"/>
        </w:rPr>
        <w:t>;</w:t>
      </w:r>
      <w:r w:rsidR="00FE2A8C" w:rsidRPr="000C099D">
        <w:rPr>
          <w:rFonts w:asciiTheme="minorHAnsi" w:hAnsiTheme="minorHAnsi" w:cstheme="minorHAnsi"/>
        </w:rPr>
        <w:t xml:space="preserve"> </w:t>
      </w:r>
      <w:r w:rsidR="00214D0E" w:rsidRPr="000C099D">
        <w:rPr>
          <w:rFonts w:asciiTheme="minorHAnsi" w:hAnsiTheme="minorHAnsi" w:cstheme="minorHAnsi"/>
        </w:rPr>
        <w:t>h</w:t>
      </w:r>
      <w:r w:rsidR="00FE2A8C" w:rsidRPr="000C099D">
        <w:rPr>
          <w:rFonts w:asciiTheme="minorHAnsi" w:hAnsiTheme="minorHAnsi" w:cstheme="minorHAnsi"/>
        </w:rPr>
        <w:t xml:space="preserve">owever, this should </w:t>
      </w:r>
      <w:r w:rsidR="00FE2A8C" w:rsidRPr="000C099D">
        <w:rPr>
          <w:rFonts w:asciiTheme="minorHAnsi" w:hAnsiTheme="minorHAnsi" w:cstheme="minorHAnsi"/>
          <w:b/>
        </w:rPr>
        <w:t>not</w:t>
      </w:r>
      <w:r w:rsidR="00FE2A8C" w:rsidRPr="000C099D">
        <w:rPr>
          <w:rFonts w:asciiTheme="minorHAnsi" w:hAnsiTheme="minorHAnsi" w:cstheme="minorHAnsi"/>
        </w:rPr>
        <w:t xml:space="preserve"> be considered </w:t>
      </w:r>
      <w:r w:rsidR="003650DA" w:rsidRPr="000C099D">
        <w:rPr>
          <w:rFonts w:asciiTheme="minorHAnsi" w:hAnsiTheme="minorHAnsi" w:cstheme="minorHAnsi"/>
        </w:rPr>
        <w:t>evidence</w:t>
      </w:r>
      <w:r w:rsidR="00FE2A8C" w:rsidRPr="000C099D">
        <w:rPr>
          <w:rFonts w:asciiTheme="minorHAnsi" w:hAnsiTheme="minorHAnsi" w:cstheme="minorHAnsi"/>
        </w:rPr>
        <w:t xml:space="preserve"> of immunity for </w:t>
      </w:r>
      <w:r w:rsidR="00EF1405" w:rsidRPr="000C099D">
        <w:rPr>
          <w:rFonts w:asciiTheme="minorHAnsi" w:hAnsiTheme="minorHAnsi" w:cstheme="minorHAnsi"/>
        </w:rPr>
        <w:t xml:space="preserve">health sciences students or </w:t>
      </w:r>
      <w:r w:rsidR="00FE2A8C" w:rsidRPr="000C099D">
        <w:rPr>
          <w:rFonts w:asciiTheme="minorHAnsi" w:hAnsiTheme="minorHAnsi" w:cstheme="minorHAnsi"/>
        </w:rPr>
        <w:t xml:space="preserve">healthcare </w:t>
      </w:r>
      <w:proofErr w:type="gramStart"/>
      <w:r w:rsidR="00FE2A8C" w:rsidRPr="000C099D">
        <w:rPr>
          <w:rFonts w:asciiTheme="minorHAnsi" w:hAnsiTheme="minorHAnsi" w:cstheme="minorHAnsi"/>
        </w:rPr>
        <w:t>workers</w:t>
      </w:r>
      <w:r w:rsidR="00C01F9C" w:rsidRPr="000C099D">
        <w:rPr>
          <w:rFonts w:asciiTheme="minorHAnsi" w:hAnsiTheme="minorHAnsi" w:cstheme="minorHAnsi"/>
        </w:rPr>
        <w:t>.</w:t>
      </w:r>
      <w:r w:rsidR="00FE2A8C" w:rsidRPr="000C099D">
        <w:rPr>
          <w:rFonts w:asciiTheme="minorHAnsi" w:hAnsiTheme="minorHAnsi" w:cstheme="minorHAnsi"/>
          <w:vertAlign w:val="superscript"/>
        </w:rPr>
        <w:t>*</w:t>
      </w:r>
      <w:proofErr w:type="gramEnd"/>
      <w:r w:rsidR="00E903D5" w:rsidRPr="000C099D">
        <w:rPr>
          <w:rFonts w:asciiTheme="minorHAnsi" w:hAnsiTheme="minorHAnsi" w:cstheme="minorHAnsi"/>
          <w:vertAlign w:val="superscript"/>
        </w:rPr>
        <w:t>*</w:t>
      </w:r>
    </w:p>
    <w:p w14:paraId="53786A14" w14:textId="77777777" w:rsidR="00AA4553" w:rsidRPr="000C099D" w:rsidRDefault="00AA4553" w:rsidP="000C099D">
      <w:pPr>
        <w:pStyle w:val="FootnoteText"/>
        <w:keepNext/>
        <w:pBdr>
          <w:top w:val="single" w:sz="12" w:space="1" w:color="auto"/>
          <w:left w:val="single" w:sz="12" w:space="9" w:color="auto"/>
          <w:bottom w:val="single" w:sz="12" w:space="1" w:color="auto"/>
          <w:right w:val="single" w:sz="12" w:space="4" w:color="auto"/>
        </w:pBdr>
        <w:rPr>
          <w:rFonts w:asciiTheme="minorHAnsi" w:hAnsiTheme="minorHAnsi" w:cstheme="minorHAnsi"/>
        </w:rPr>
      </w:pPr>
    </w:p>
    <w:p w14:paraId="4D8A603D" w14:textId="06DF69C7" w:rsidR="00085A87" w:rsidRPr="000C099D" w:rsidRDefault="00AA4553" w:rsidP="000C099D">
      <w:pPr>
        <w:pStyle w:val="FootnoteText"/>
        <w:keepNext/>
        <w:pBdr>
          <w:top w:val="single" w:sz="12" w:space="1" w:color="auto"/>
          <w:left w:val="single" w:sz="12" w:space="9" w:color="auto"/>
          <w:bottom w:val="single" w:sz="12" w:space="1" w:color="auto"/>
          <w:right w:val="single" w:sz="12" w:space="4" w:color="auto"/>
        </w:pBdr>
        <w:rPr>
          <w:rFonts w:asciiTheme="minorHAnsi" w:hAnsiTheme="minorHAnsi" w:cstheme="minorHAnsi"/>
          <w:color w:val="FF0000"/>
        </w:rPr>
      </w:pPr>
      <w:r w:rsidRPr="000C099D">
        <w:rPr>
          <w:rFonts w:asciiTheme="minorHAnsi" w:hAnsiTheme="minorHAnsi" w:cstheme="minorHAnsi"/>
          <w:vertAlign w:val="superscript"/>
        </w:rPr>
        <w:t>*</w:t>
      </w:r>
      <w:r w:rsidR="00E903D5" w:rsidRPr="000C099D">
        <w:rPr>
          <w:rFonts w:asciiTheme="minorHAnsi" w:hAnsiTheme="minorHAnsi" w:cstheme="minorHAnsi"/>
          <w:vertAlign w:val="superscript"/>
        </w:rPr>
        <w:t>*</w:t>
      </w:r>
      <w:r w:rsidR="00F82EE0" w:rsidRPr="000C099D">
        <w:rPr>
          <w:rFonts w:asciiTheme="minorHAnsi" w:hAnsiTheme="minorHAnsi" w:cstheme="minorHAnsi"/>
        </w:rPr>
        <w:t xml:space="preserve">Healthcare workers </w:t>
      </w:r>
      <w:r w:rsidR="00EF1405" w:rsidRPr="000C099D">
        <w:rPr>
          <w:rFonts w:asciiTheme="minorHAnsi" w:hAnsiTheme="minorHAnsi" w:cstheme="minorHAnsi"/>
        </w:rPr>
        <w:t xml:space="preserve">and health sciences students </w:t>
      </w:r>
      <w:r w:rsidR="00F82EE0" w:rsidRPr="000C099D">
        <w:rPr>
          <w:rFonts w:asciiTheme="minorHAnsi" w:hAnsiTheme="minorHAnsi" w:cstheme="minorHAnsi"/>
        </w:rPr>
        <w:t>should have 2 doses of MMR</w:t>
      </w:r>
      <w:r w:rsidR="002201DE" w:rsidRPr="000C099D">
        <w:rPr>
          <w:rFonts w:asciiTheme="minorHAnsi" w:hAnsiTheme="minorHAnsi" w:cstheme="minorHAnsi"/>
        </w:rPr>
        <w:t xml:space="preserve"> and varicella</w:t>
      </w:r>
      <w:r w:rsidR="00EF1405" w:rsidRPr="000C099D">
        <w:rPr>
          <w:rFonts w:asciiTheme="minorHAnsi" w:hAnsiTheme="minorHAnsi" w:cstheme="minorHAnsi"/>
        </w:rPr>
        <w:t>, laboratory evidence of immunity</w:t>
      </w:r>
      <w:r w:rsidR="00EF05E6" w:rsidRPr="000C099D">
        <w:rPr>
          <w:rFonts w:asciiTheme="minorHAnsi" w:hAnsiTheme="minorHAnsi" w:cstheme="minorHAnsi"/>
        </w:rPr>
        <w:t>,</w:t>
      </w:r>
      <w:r w:rsidR="00EF1405" w:rsidRPr="000C099D">
        <w:rPr>
          <w:rFonts w:asciiTheme="minorHAnsi" w:hAnsiTheme="minorHAnsi" w:cstheme="minorHAnsi"/>
        </w:rPr>
        <w:t xml:space="preserve"> or laboratory confirmation of disease</w:t>
      </w:r>
      <w:r w:rsidR="00563E9C" w:rsidRPr="000C099D">
        <w:rPr>
          <w:rFonts w:asciiTheme="minorHAnsi" w:hAnsiTheme="minorHAnsi" w:cstheme="minorHAnsi"/>
        </w:rPr>
        <w:t>.</w:t>
      </w:r>
    </w:p>
    <w:p w14:paraId="509AD395" w14:textId="472CA0B8" w:rsidR="00085A87" w:rsidRPr="000C099D" w:rsidRDefault="00085A87" w:rsidP="000C099D">
      <w:pPr>
        <w:pStyle w:val="FootnoteText"/>
        <w:keepNext/>
        <w:pBdr>
          <w:top w:val="single" w:sz="12" w:space="1" w:color="auto"/>
          <w:left w:val="single" w:sz="12" w:space="9" w:color="auto"/>
          <w:bottom w:val="single" w:sz="12" w:space="1" w:color="auto"/>
          <w:right w:val="single" w:sz="12" w:space="4" w:color="auto"/>
        </w:pBdr>
        <w:ind w:left="180" w:hanging="180"/>
        <w:rPr>
          <w:rFonts w:asciiTheme="minorHAnsi" w:hAnsiTheme="minorHAnsi" w:cstheme="minorHAnsi"/>
        </w:rPr>
      </w:pPr>
    </w:p>
    <w:p w14:paraId="5EB3E9A6" w14:textId="4B164092" w:rsidR="00AA4553" w:rsidRPr="000C099D" w:rsidRDefault="00085A87" w:rsidP="000C099D">
      <w:pPr>
        <w:pStyle w:val="FootnoteText"/>
        <w:keepNext/>
        <w:pBdr>
          <w:top w:val="single" w:sz="12" w:space="1" w:color="auto"/>
          <w:left w:val="single" w:sz="12" w:space="9" w:color="auto"/>
          <w:bottom w:val="single" w:sz="12" w:space="1" w:color="auto"/>
          <w:right w:val="single" w:sz="12" w:space="4" w:color="auto"/>
        </w:pBdr>
        <w:rPr>
          <w:rFonts w:asciiTheme="minorHAnsi" w:hAnsiTheme="minorHAnsi" w:cstheme="minorHAnsi"/>
        </w:rPr>
      </w:pPr>
      <w:r w:rsidRPr="000C099D">
        <w:rPr>
          <w:rFonts w:asciiTheme="minorHAnsi" w:hAnsiTheme="minorHAnsi" w:cstheme="minorHAnsi"/>
          <w:u w:val="single"/>
        </w:rPr>
        <w:t>Pregnant and immunocompromised persons</w:t>
      </w:r>
      <w:r w:rsidRPr="000C099D">
        <w:rPr>
          <w:rFonts w:asciiTheme="minorHAnsi" w:hAnsiTheme="minorHAnsi" w:cstheme="minorHAnsi"/>
        </w:rPr>
        <w:t>:</w:t>
      </w:r>
      <w:r w:rsidR="000C41E0" w:rsidRPr="000C099D">
        <w:rPr>
          <w:rFonts w:asciiTheme="minorHAnsi" w:hAnsiTheme="minorHAnsi" w:cstheme="minorHAnsi"/>
        </w:rPr>
        <w:t xml:space="preserve"> </w:t>
      </w:r>
      <w:r w:rsidRPr="000C099D">
        <w:rPr>
          <w:rFonts w:asciiTheme="minorHAnsi" w:hAnsiTheme="minorHAnsi" w:cstheme="minorHAnsi"/>
        </w:rPr>
        <w:t>I</w:t>
      </w:r>
      <w:r w:rsidR="00640FE7" w:rsidRPr="000C099D">
        <w:rPr>
          <w:rFonts w:asciiTheme="minorHAnsi" w:hAnsiTheme="minorHAnsi" w:cstheme="minorHAnsi"/>
        </w:rPr>
        <w:t xml:space="preserve">t is </w:t>
      </w:r>
      <w:r w:rsidR="00640FE7" w:rsidRPr="000C099D">
        <w:rPr>
          <w:rFonts w:asciiTheme="minorHAnsi" w:hAnsiTheme="minorHAnsi" w:cstheme="minorHAnsi"/>
          <w:b/>
          <w:bCs/>
        </w:rPr>
        <w:t>not</w:t>
      </w:r>
      <w:r w:rsidR="00640FE7" w:rsidRPr="000C099D">
        <w:rPr>
          <w:rFonts w:asciiTheme="minorHAnsi" w:hAnsiTheme="minorHAnsi" w:cstheme="minorHAnsi"/>
        </w:rPr>
        <w:t xml:space="preserve"> recommended to use </w:t>
      </w:r>
      <w:r w:rsidR="00864470" w:rsidRPr="000C099D">
        <w:rPr>
          <w:rFonts w:asciiTheme="minorHAnsi" w:hAnsiTheme="minorHAnsi" w:cstheme="minorHAnsi"/>
        </w:rPr>
        <w:t xml:space="preserve">the </w:t>
      </w:r>
      <w:r w:rsidR="00640FE7" w:rsidRPr="000C099D">
        <w:rPr>
          <w:rFonts w:asciiTheme="minorHAnsi" w:hAnsiTheme="minorHAnsi" w:cstheme="minorHAnsi"/>
        </w:rPr>
        <w:t xml:space="preserve">year of birth </w:t>
      </w:r>
      <w:r w:rsidR="003650DA" w:rsidRPr="000C099D">
        <w:rPr>
          <w:rFonts w:asciiTheme="minorHAnsi" w:hAnsiTheme="minorHAnsi" w:cstheme="minorHAnsi"/>
        </w:rPr>
        <w:t xml:space="preserve">as evidence of immunity </w:t>
      </w:r>
      <w:r w:rsidR="00640FE7" w:rsidRPr="000C099D">
        <w:rPr>
          <w:rFonts w:asciiTheme="minorHAnsi" w:hAnsiTheme="minorHAnsi" w:cstheme="minorHAnsi"/>
        </w:rPr>
        <w:t xml:space="preserve">for pregnant women and immunocompromised </w:t>
      </w:r>
      <w:r w:rsidR="00491836" w:rsidRPr="000C099D">
        <w:rPr>
          <w:rFonts w:asciiTheme="minorHAnsi" w:hAnsiTheme="minorHAnsi" w:cstheme="minorHAnsi"/>
        </w:rPr>
        <w:t>persons.</w:t>
      </w:r>
      <w:r w:rsidR="000C41E0" w:rsidRPr="000C099D">
        <w:rPr>
          <w:rFonts w:asciiTheme="minorHAnsi" w:hAnsiTheme="minorHAnsi" w:cstheme="minorHAnsi"/>
        </w:rPr>
        <w:t xml:space="preserve"> </w:t>
      </w:r>
      <w:r w:rsidR="00640FE7" w:rsidRPr="000C099D">
        <w:rPr>
          <w:rFonts w:asciiTheme="minorHAnsi" w:hAnsiTheme="minorHAnsi" w:cstheme="minorHAnsi"/>
        </w:rPr>
        <w:t>For their protection, these individuals – regardless of their year of birth or other documentation of immunity – should be referred to their healthcare providers for evaluation.</w:t>
      </w:r>
      <w:r w:rsidR="00563E9C" w:rsidRPr="000C099D">
        <w:rPr>
          <w:rFonts w:asciiTheme="minorHAnsi" w:hAnsiTheme="minorHAnsi" w:cstheme="minorHAnsi"/>
        </w:rPr>
        <w:t xml:space="preserve"> </w:t>
      </w:r>
    </w:p>
    <w:p w14:paraId="79FA13B0" w14:textId="77777777" w:rsidR="00C669C6" w:rsidRDefault="00C669C6" w:rsidP="000C099D">
      <w:pPr>
        <w:rPr>
          <w:rFonts w:asciiTheme="minorHAnsi" w:hAnsiTheme="minorHAnsi" w:cstheme="minorHAnsi"/>
        </w:rPr>
      </w:pPr>
    </w:p>
    <w:p w14:paraId="37175C13" w14:textId="6FBB27FD" w:rsidR="00FE2A8C" w:rsidRPr="000C099D" w:rsidRDefault="00EF1405" w:rsidP="000C099D">
      <w:pPr>
        <w:rPr>
          <w:rFonts w:asciiTheme="minorHAnsi" w:hAnsiTheme="minorHAnsi" w:cstheme="minorHAnsi"/>
        </w:rPr>
      </w:pPr>
      <w:r w:rsidRPr="000C099D">
        <w:rPr>
          <w:rFonts w:asciiTheme="minorHAnsi" w:hAnsiTheme="minorHAnsi" w:cstheme="minorHAnsi"/>
        </w:rPr>
        <w:t>T</w:t>
      </w:r>
      <w:r w:rsidR="00FE2A8C" w:rsidRPr="000C099D">
        <w:rPr>
          <w:rFonts w:asciiTheme="minorHAnsi" w:hAnsiTheme="minorHAnsi" w:cstheme="minorHAnsi"/>
        </w:rPr>
        <w:t xml:space="preserve">hese are exclusion guidelines for </w:t>
      </w:r>
      <w:r w:rsidR="00CB587A" w:rsidRPr="000C099D">
        <w:rPr>
          <w:rFonts w:asciiTheme="minorHAnsi" w:hAnsiTheme="minorHAnsi" w:cstheme="minorHAnsi"/>
        </w:rPr>
        <w:t xml:space="preserve">typical </w:t>
      </w:r>
      <w:r w:rsidR="00FE2A8C" w:rsidRPr="000C099D">
        <w:rPr>
          <w:rFonts w:asciiTheme="minorHAnsi" w:hAnsiTheme="minorHAnsi" w:cstheme="minorHAnsi"/>
        </w:rPr>
        <w:t>school settings only</w:t>
      </w:r>
      <w:r w:rsidR="006550F6" w:rsidRPr="000C099D">
        <w:rPr>
          <w:rFonts w:asciiTheme="minorHAnsi" w:hAnsiTheme="minorHAnsi" w:cstheme="minorHAnsi"/>
        </w:rPr>
        <w:t>.</w:t>
      </w:r>
      <w:r w:rsidR="00CB587A" w:rsidRPr="000C099D">
        <w:rPr>
          <w:rFonts w:asciiTheme="minorHAnsi" w:hAnsiTheme="minorHAnsi" w:cstheme="minorHAnsi"/>
        </w:rPr>
        <w:t xml:space="preserve"> </w:t>
      </w:r>
      <w:r w:rsidR="006550F6" w:rsidRPr="000C099D">
        <w:rPr>
          <w:rFonts w:asciiTheme="minorHAnsi" w:hAnsiTheme="minorHAnsi" w:cstheme="minorHAnsi"/>
        </w:rPr>
        <w:t>T</w:t>
      </w:r>
      <w:r w:rsidR="00CB587A" w:rsidRPr="000C099D">
        <w:rPr>
          <w:rFonts w:asciiTheme="minorHAnsi" w:hAnsiTheme="minorHAnsi" w:cstheme="minorHAnsi"/>
        </w:rPr>
        <w:t xml:space="preserve">here </w:t>
      </w:r>
      <w:r w:rsidR="00B7415D" w:rsidRPr="000C099D">
        <w:rPr>
          <w:rFonts w:asciiTheme="minorHAnsi" w:hAnsiTheme="minorHAnsi" w:cstheme="minorHAnsi"/>
        </w:rPr>
        <w:t xml:space="preserve">may be </w:t>
      </w:r>
      <w:r w:rsidR="006550F6" w:rsidRPr="000C099D">
        <w:rPr>
          <w:rFonts w:asciiTheme="minorHAnsi" w:hAnsiTheme="minorHAnsi" w:cstheme="minorHAnsi"/>
        </w:rPr>
        <w:t>other</w:t>
      </w:r>
      <w:r w:rsidR="00CB587A" w:rsidRPr="000C099D">
        <w:rPr>
          <w:rFonts w:asciiTheme="minorHAnsi" w:hAnsiTheme="minorHAnsi" w:cstheme="minorHAnsi"/>
        </w:rPr>
        <w:t xml:space="preserve"> guidelines for non-school settings</w:t>
      </w:r>
      <w:r w:rsidR="00FE2A8C" w:rsidRPr="000C099D">
        <w:rPr>
          <w:rFonts w:asciiTheme="minorHAnsi" w:hAnsiTheme="minorHAnsi" w:cstheme="minorHAnsi"/>
        </w:rPr>
        <w:t xml:space="preserve">. </w:t>
      </w:r>
      <w:r w:rsidR="00CB587A" w:rsidRPr="000C099D">
        <w:rPr>
          <w:rFonts w:asciiTheme="minorHAnsi" w:hAnsiTheme="minorHAnsi" w:cstheme="minorHAnsi"/>
        </w:rPr>
        <w:t>In addition, MDPH may need to implement more rigorous criteria for immunity and other control measures depending on the situation and the individuals exposed</w:t>
      </w:r>
      <w:r w:rsidR="00EF05E6" w:rsidRPr="000C099D">
        <w:rPr>
          <w:rFonts w:asciiTheme="minorHAnsi" w:hAnsiTheme="minorHAnsi" w:cstheme="minorHAnsi"/>
        </w:rPr>
        <w:t>,</w:t>
      </w:r>
      <w:r w:rsidR="00CB587A" w:rsidRPr="000C099D">
        <w:rPr>
          <w:rFonts w:asciiTheme="minorHAnsi" w:hAnsiTheme="minorHAnsi" w:cstheme="minorHAnsi"/>
        </w:rPr>
        <w:t xml:space="preserve"> and these recommendations </w:t>
      </w:r>
      <w:r w:rsidR="00FE2A8C" w:rsidRPr="000C099D">
        <w:rPr>
          <w:rFonts w:asciiTheme="minorHAnsi" w:hAnsiTheme="minorHAnsi" w:cstheme="minorHAnsi"/>
        </w:rPr>
        <w:t>are outlined in other MDPH documents.</w:t>
      </w:r>
    </w:p>
    <w:p w14:paraId="1634056B" w14:textId="77777777" w:rsidR="00FE2A8C" w:rsidRPr="000C099D" w:rsidRDefault="00FE2A8C" w:rsidP="000C099D">
      <w:pPr>
        <w:rPr>
          <w:rFonts w:asciiTheme="minorHAnsi" w:hAnsiTheme="minorHAnsi" w:cstheme="minorHAnsi"/>
        </w:rPr>
      </w:pPr>
    </w:p>
    <w:p w14:paraId="64C09C68" w14:textId="0D8A3372" w:rsidR="00085A87" w:rsidRPr="000C099D" w:rsidRDefault="00875AC3" w:rsidP="000C099D">
      <w:pPr>
        <w:rPr>
          <w:rFonts w:asciiTheme="minorHAnsi" w:hAnsiTheme="minorHAnsi" w:cstheme="minorHAnsi"/>
        </w:rPr>
      </w:pPr>
      <w:r w:rsidRPr="000C099D">
        <w:rPr>
          <w:rFonts w:asciiTheme="minorHAnsi" w:hAnsiTheme="minorHAnsi" w:cstheme="minorHAnsi"/>
        </w:rPr>
        <w:t>Additional Resources/References</w:t>
      </w:r>
      <w:r w:rsidR="00FE2A8C" w:rsidRPr="000C099D">
        <w:rPr>
          <w:rFonts w:asciiTheme="minorHAnsi" w:hAnsiTheme="minorHAnsi" w:cstheme="minorHAnsi"/>
        </w:rPr>
        <w:t>:</w:t>
      </w:r>
    </w:p>
    <w:p w14:paraId="4C3D2702" w14:textId="44F007CA" w:rsidR="00085A87" w:rsidRPr="000C099D" w:rsidRDefault="00FE2A8C" w:rsidP="000C099D">
      <w:pPr>
        <w:pStyle w:val="ListParagraph"/>
        <w:numPr>
          <w:ilvl w:val="0"/>
          <w:numId w:val="8"/>
        </w:numPr>
        <w:ind w:left="360"/>
        <w:rPr>
          <w:rFonts w:asciiTheme="minorHAnsi" w:hAnsiTheme="minorHAnsi" w:cstheme="minorHAnsi"/>
        </w:rPr>
      </w:pPr>
      <w:hyperlink r:id="rId11" w:history="1">
        <w:r w:rsidRPr="000C099D">
          <w:rPr>
            <w:rStyle w:val="Hyperlink"/>
            <w:rFonts w:asciiTheme="minorHAnsi" w:hAnsiTheme="minorHAnsi" w:cstheme="minorHAnsi"/>
            <w:i/>
          </w:rPr>
          <w:t>Guide to Surveillance and Reporting</w:t>
        </w:r>
      </w:hyperlink>
    </w:p>
    <w:p w14:paraId="7FA37F17" w14:textId="6477097D" w:rsidR="00740FC6" w:rsidRPr="000C099D" w:rsidRDefault="00FE2A8C" w:rsidP="000C099D">
      <w:pPr>
        <w:pStyle w:val="ListParagraph"/>
        <w:numPr>
          <w:ilvl w:val="0"/>
          <w:numId w:val="8"/>
        </w:numPr>
        <w:ind w:left="360"/>
        <w:rPr>
          <w:rFonts w:asciiTheme="minorHAnsi" w:hAnsiTheme="minorHAnsi" w:cstheme="minorHAnsi"/>
        </w:rPr>
      </w:pPr>
      <w:hyperlink r:id="rId12" w:history="1">
        <w:r w:rsidRPr="000C099D">
          <w:rPr>
            <w:rStyle w:val="Hyperlink"/>
            <w:rFonts w:asciiTheme="minorHAnsi" w:hAnsiTheme="minorHAnsi" w:cstheme="minorHAnsi"/>
            <w:i/>
          </w:rPr>
          <w:t>Comprehensive School Health Manual</w:t>
        </w:r>
      </w:hyperlink>
    </w:p>
    <w:sectPr w:rsidR="00740FC6" w:rsidRPr="000C099D" w:rsidSect="004150DF">
      <w:footerReference w:type="default" r:id="rId13"/>
      <w:pgSz w:w="12240" w:h="15840"/>
      <w:pgMar w:top="864" w:right="1152" w:bottom="72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1CC0E" w14:textId="77777777" w:rsidR="00F504DF" w:rsidRDefault="00F504DF">
      <w:r>
        <w:separator/>
      </w:r>
    </w:p>
  </w:endnote>
  <w:endnote w:type="continuationSeparator" w:id="0">
    <w:p w14:paraId="337287B4" w14:textId="77777777" w:rsidR="00F504DF" w:rsidRDefault="00F5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926361"/>
      <w:docPartObj>
        <w:docPartGallery w:val="Page Numbers (Bottom of Page)"/>
        <w:docPartUnique/>
      </w:docPartObj>
    </w:sdtPr>
    <w:sdtEndPr>
      <w:rPr>
        <w:noProof/>
      </w:rPr>
    </w:sdtEndPr>
    <w:sdtContent>
      <w:p w14:paraId="4B86BC58" w14:textId="5E69BB4A" w:rsidR="0010241A" w:rsidRDefault="00440450" w:rsidP="00B843FC">
        <w:pPr>
          <w:pStyle w:val="Footer"/>
          <w:tabs>
            <w:tab w:val="clear" w:pos="8640"/>
            <w:tab w:val="right" w:pos="9900"/>
          </w:tabs>
        </w:pPr>
        <w:r>
          <w:t>Massachusetts Department of Public Health – Immunization Division</w:t>
        </w:r>
        <w:r>
          <w:tab/>
          <w:t xml:space="preserve">September </w:t>
        </w:r>
        <w:r w:rsidR="00FE4CE7">
          <w:t>2025</w:t>
        </w:r>
      </w:p>
      <w:p w14:paraId="7407BB14" w14:textId="12655EFF" w:rsidR="00400E0A" w:rsidRPr="00B843FC" w:rsidRDefault="00440450" w:rsidP="00B843FC">
        <w:pPr>
          <w:pStyle w:val="Footer"/>
          <w:jc w:val="right"/>
        </w:pPr>
        <w:r>
          <w:t xml:space="preserve">Page </w:t>
        </w:r>
        <w:r w:rsidR="0010241A">
          <w:fldChar w:fldCharType="begin"/>
        </w:r>
        <w:r w:rsidR="0010241A">
          <w:instrText xml:space="preserve"> PAGE   \* MERGEFORMAT </w:instrText>
        </w:r>
        <w:r w:rsidR="0010241A">
          <w:fldChar w:fldCharType="separate"/>
        </w:r>
        <w:r w:rsidR="0010241A">
          <w:rPr>
            <w:noProof/>
          </w:rPr>
          <w:t>2</w:t>
        </w:r>
        <w:r w:rsidR="0010241A">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35294" w14:textId="77777777" w:rsidR="00F504DF" w:rsidRDefault="00F504DF">
      <w:r>
        <w:separator/>
      </w:r>
    </w:p>
  </w:footnote>
  <w:footnote w:type="continuationSeparator" w:id="0">
    <w:p w14:paraId="782D203C" w14:textId="77777777" w:rsidR="00F504DF" w:rsidRDefault="00F50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071F"/>
    <w:multiLevelType w:val="hybridMultilevel"/>
    <w:tmpl w:val="E38C0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B4F37"/>
    <w:multiLevelType w:val="hybridMultilevel"/>
    <w:tmpl w:val="9F620FB8"/>
    <w:lvl w:ilvl="0" w:tplc="924294CE">
      <w:start w:val="170"/>
      <w:numFmt w:val="bullet"/>
      <w:lvlText w:val=""/>
      <w:lvlJc w:val="left"/>
      <w:pPr>
        <w:tabs>
          <w:tab w:val="num" w:pos="360"/>
        </w:tabs>
        <w:ind w:left="360" w:hanging="360"/>
      </w:pPr>
      <w:rPr>
        <w:rFonts w:ascii="Symbol" w:hAnsi="Symbol" w:hint="default"/>
        <w:color w:val="auto"/>
        <w:sz w:val="14"/>
      </w:rPr>
    </w:lvl>
    <w:lvl w:ilvl="1" w:tplc="EC5E90A4">
      <w:start w:val="1"/>
      <w:numFmt w:val="bullet"/>
      <w:lvlText w:val="o"/>
      <w:lvlJc w:val="left"/>
      <w:pPr>
        <w:tabs>
          <w:tab w:val="num" w:pos="720"/>
        </w:tabs>
        <w:ind w:left="720" w:hanging="360"/>
      </w:pPr>
      <w:rPr>
        <w:rFonts w:ascii="Courier New" w:hAnsi="Courier New" w:hint="default"/>
        <w:color w:val="auto"/>
        <w:sz w:val="14"/>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D0C67FA"/>
    <w:multiLevelType w:val="hybridMultilevel"/>
    <w:tmpl w:val="6D34DFB6"/>
    <w:lvl w:ilvl="0" w:tplc="296C6AD6">
      <w:start w:val="1"/>
      <w:numFmt w:val="bullet"/>
      <w:lvlText w:val=""/>
      <w:lvlJc w:val="left"/>
      <w:pPr>
        <w:tabs>
          <w:tab w:val="num" w:pos="576"/>
        </w:tabs>
        <w:ind w:left="576" w:hanging="36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D371F6"/>
    <w:multiLevelType w:val="hybridMultilevel"/>
    <w:tmpl w:val="7862AB8A"/>
    <w:lvl w:ilvl="0" w:tplc="296C6AD6">
      <w:start w:val="1"/>
      <w:numFmt w:val="bullet"/>
      <w:lvlText w:val=""/>
      <w:lvlJc w:val="left"/>
      <w:pPr>
        <w:tabs>
          <w:tab w:val="num" w:pos="576"/>
        </w:tabs>
        <w:ind w:left="576" w:hanging="36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DE2843"/>
    <w:multiLevelType w:val="hybridMultilevel"/>
    <w:tmpl w:val="A298212E"/>
    <w:lvl w:ilvl="0" w:tplc="924294CE">
      <w:start w:val="170"/>
      <w:numFmt w:val="bullet"/>
      <w:lvlText w:val=""/>
      <w:lvlJc w:val="left"/>
      <w:pPr>
        <w:tabs>
          <w:tab w:val="num" w:pos="360"/>
        </w:tabs>
        <w:ind w:left="360" w:hanging="360"/>
      </w:pPr>
      <w:rPr>
        <w:rFonts w:ascii="Symbol" w:hAnsi="Symbol" w:hint="default"/>
        <w:color w:val="auto"/>
        <w:sz w:val="14"/>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5" w15:restartNumberingAfterBreak="0">
    <w:nsid w:val="5306455D"/>
    <w:multiLevelType w:val="hybridMultilevel"/>
    <w:tmpl w:val="CD667C64"/>
    <w:lvl w:ilvl="0" w:tplc="296C6AD6">
      <w:start w:val="1"/>
      <w:numFmt w:val="bullet"/>
      <w:lvlText w:val=""/>
      <w:lvlJc w:val="left"/>
      <w:pPr>
        <w:tabs>
          <w:tab w:val="num" w:pos="756"/>
        </w:tabs>
        <w:ind w:left="756" w:hanging="360"/>
      </w:pPr>
      <w:rPr>
        <w:rFonts w:ascii="Symbol" w:hAnsi="Symbol" w:hint="default"/>
        <w:b w:val="0"/>
        <w:i w:val="0"/>
        <w:sz w:val="16"/>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568A3F77"/>
    <w:multiLevelType w:val="hybridMultilevel"/>
    <w:tmpl w:val="948411A0"/>
    <w:lvl w:ilvl="0" w:tplc="7F14B8BE">
      <w:start w:val="1"/>
      <w:numFmt w:val="bullet"/>
      <w:lvlText w:val=""/>
      <w:lvlJc w:val="left"/>
      <w:pPr>
        <w:tabs>
          <w:tab w:val="num" w:pos="720"/>
        </w:tabs>
        <w:ind w:left="720" w:hanging="360"/>
      </w:pPr>
      <w:rPr>
        <w:rFonts w:ascii="Wingdings" w:hAnsi="Wingdings" w:hint="default"/>
        <w:sz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ADF3C79"/>
    <w:multiLevelType w:val="singleLevel"/>
    <w:tmpl w:val="517EB8B8"/>
    <w:lvl w:ilvl="0">
      <w:start w:val="1"/>
      <w:numFmt w:val="decimal"/>
      <w:lvlText w:val="%1)"/>
      <w:lvlJc w:val="left"/>
      <w:pPr>
        <w:tabs>
          <w:tab w:val="num" w:pos="1080"/>
        </w:tabs>
        <w:ind w:left="1080" w:hanging="360"/>
      </w:pPr>
      <w:rPr>
        <w:rFonts w:cs="Times New Roman" w:hint="default"/>
      </w:rPr>
    </w:lvl>
  </w:abstractNum>
  <w:num w:numId="1" w16cid:durableId="434055657">
    <w:abstractNumId w:val="7"/>
  </w:num>
  <w:num w:numId="2" w16cid:durableId="219831646">
    <w:abstractNumId w:val="2"/>
  </w:num>
  <w:num w:numId="3" w16cid:durableId="1613130700">
    <w:abstractNumId w:val="3"/>
  </w:num>
  <w:num w:numId="4" w16cid:durableId="783304421">
    <w:abstractNumId w:val="5"/>
  </w:num>
  <w:num w:numId="5" w16cid:durableId="1781607535">
    <w:abstractNumId w:val="4"/>
  </w:num>
  <w:num w:numId="6" w16cid:durableId="1973630317">
    <w:abstractNumId w:val="1"/>
  </w:num>
  <w:num w:numId="7" w16cid:durableId="661617472">
    <w:abstractNumId w:val="6"/>
  </w:num>
  <w:num w:numId="8" w16cid:durableId="96797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w1L8BmobP6XddbgKBZknaM3Qlzign5HAIsaQqwP65w3oi5z1VqYPc2BfAC4t6MJXZWhjxzuYRWWynNS+WR24w==" w:salt="XRjGRtyD072rbB154shx5w=="/>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wNzMzMLcwszQ2MjNW0lEKTi0uzszPAykwrQUAVXo0UywAAAA="/>
  </w:docVars>
  <w:rsids>
    <w:rsidRoot w:val="003F217D"/>
    <w:rsid w:val="00002CD1"/>
    <w:rsid w:val="000041DE"/>
    <w:rsid w:val="000052B7"/>
    <w:rsid w:val="0002575C"/>
    <w:rsid w:val="00026A7B"/>
    <w:rsid w:val="000319C4"/>
    <w:rsid w:val="00031D38"/>
    <w:rsid w:val="000342B9"/>
    <w:rsid w:val="00041033"/>
    <w:rsid w:val="00061B1E"/>
    <w:rsid w:val="000630DD"/>
    <w:rsid w:val="0007707D"/>
    <w:rsid w:val="00085A87"/>
    <w:rsid w:val="000942FA"/>
    <w:rsid w:val="0009443F"/>
    <w:rsid w:val="000A189C"/>
    <w:rsid w:val="000A1F05"/>
    <w:rsid w:val="000B5E03"/>
    <w:rsid w:val="000C099D"/>
    <w:rsid w:val="000C2A42"/>
    <w:rsid w:val="000C2B56"/>
    <w:rsid w:val="000C41E0"/>
    <w:rsid w:val="000D1542"/>
    <w:rsid w:val="000E0EFF"/>
    <w:rsid w:val="000F1F80"/>
    <w:rsid w:val="000F3253"/>
    <w:rsid w:val="0010241A"/>
    <w:rsid w:val="001043C2"/>
    <w:rsid w:val="0010582A"/>
    <w:rsid w:val="00106963"/>
    <w:rsid w:val="00126A71"/>
    <w:rsid w:val="00136AB3"/>
    <w:rsid w:val="0014318B"/>
    <w:rsid w:val="001472EC"/>
    <w:rsid w:val="0015283F"/>
    <w:rsid w:val="00164607"/>
    <w:rsid w:val="00164F68"/>
    <w:rsid w:val="0016547C"/>
    <w:rsid w:val="00165895"/>
    <w:rsid w:val="001666E6"/>
    <w:rsid w:val="001726F2"/>
    <w:rsid w:val="00184981"/>
    <w:rsid w:val="00186901"/>
    <w:rsid w:val="00186F87"/>
    <w:rsid w:val="00187D94"/>
    <w:rsid w:val="00193100"/>
    <w:rsid w:val="00195572"/>
    <w:rsid w:val="001A26D4"/>
    <w:rsid w:val="001A5195"/>
    <w:rsid w:val="001B3C9F"/>
    <w:rsid w:val="001B4511"/>
    <w:rsid w:val="001B793D"/>
    <w:rsid w:val="001C1006"/>
    <w:rsid w:val="001C1772"/>
    <w:rsid w:val="001C6F7F"/>
    <w:rsid w:val="001D0397"/>
    <w:rsid w:val="001D16F8"/>
    <w:rsid w:val="001D2B99"/>
    <w:rsid w:val="001D4B87"/>
    <w:rsid w:val="001E1068"/>
    <w:rsid w:val="001E4555"/>
    <w:rsid w:val="001E664B"/>
    <w:rsid w:val="00201715"/>
    <w:rsid w:val="002035BF"/>
    <w:rsid w:val="00212D31"/>
    <w:rsid w:val="00213485"/>
    <w:rsid w:val="00214D0E"/>
    <w:rsid w:val="00217697"/>
    <w:rsid w:val="002201DE"/>
    <w:rsid w:val="00226B16"/>
    <w:rsid w:val="00230FDE"/>
    <w:rsid w:val="00233C18"/>
    <w:rsid w:val="00235F5F"/>
    <w:rsid w:val="0024606C"/>
    <w:rsid w:val="002461BA"/>
    <w:rsid w:val="00247E72"/>
    <w:rsid w:val="00250BB6"/>
    <w:rsid w:val="00254C6F"/>
    <w:rsid w:val="00261E0A"/>
    <w:rsid w:val="00263AF4"/>
    <w:rsid w:val="00264685"/>
    <w:rsid w:val="00274E30"/>
    <w:rsid w:val="00285F21"/>
    <w:rsid w:val="002A1494"/>
    <w:rsid w:val="002A2168"/>
    <w:rsid w:val="002A4AC1"/>
    <w:rsid w:val="002B2A24"/>
    <w:rsid w:val="002B44A9"/>
    <w:rsid w:val="002C2AD7"/>
    <w:rsid w:val="002C2C6C"/>
    <w:rsid w:val="002C3B55"/>
    <w:rsid w:val="002D04ED"/>
    <w:rsid w:val="002D38C5"/>
    <w:rsid w:val="002D7CAD"/>
    <w:rsid w:val="002E0E9D"/>
    <w:rsid w:val="002F43B3"/>
    <w:rsid w:val="003016B2"/>
    <w:rsid w:val="00312CED"/>
    <w:rsid w:val="0031341D"/>
    <w:rsid w:val="00327557"/>
    <w:rsid w:val="00342872"/>
    <w:rsid w:val="00361CB4"/>
    <w:rsid w:val="003650DA"/>
    <w:rsid w:val="00371501"/>
    <w:rsid w:val="0037350C"/>
    <w:rsid w:val="00381118"/>
    <w:rsid w:val="00381A9E"/>
    <w:rsid w:val="00384A8C"/>
    <w:rsid w:val="003C4F41"/>
    <w:rsid w:val="003D517C"/>
    <w:rsid w:val="003D6571"/>
    <w:rsid w:val="003E7671"/>
    <w:rsid w:val="003F217D"/>
    <w:rsid w:val="00400E0A"/>
    <w:rsid w:val="00403D0E"/>
    <w:rsid w:val="00406C58"/>
    <w:rsid w:val="00411987"/>
    <w:rsid w:val="004150DF"/>
    <w:rsid w:val="004179D4"/>
    <w:rsid w:val="00420A2F"/>
    <w:rsid w:val="00421D08"/>
    <w:rsid w:val="00423C25"/>
    <w:rsid w:val="004276F4"/>
    <w:rsid w:val="00435412"/>
    <w:rsid w:val="00440450"/>
    <w:rsid w:val="00447A5B"/>
    <w:rsid w:val="004529CF"/>
    <w:rsid w:val="00456DF6"/>
    <w:rsid w:val="0045733E"/>
    <w:rsid w:val="004726B3"/>
    <w:rsid w:val="004726BF"/>
    <w:rsid w:val="00476F45"/>
    <w:rsid w:val="004879D4"/>
    <w:rsid w:val="00490A77"/>
    <w:rsid w:val="00491836"/>
    <w:rsid w:val="00491F7B"/>
    <w:rsid w:val="004A2C1B"/>
    <w:rsid w:val="004A550F"/>
    <w:rsid w:val="004B2D0E"/>
    <w:rsid w:val="004D19DF"/>
    <w:rsid w:val="004E1CDB"/>
    <w:rsid w:val="004E3540"/>
    <w:rsid w:val="004E3DA7"/>
    <w:rsid w:val="004E7A25"/>
    <w:rsid w:val="004F66C4"/>
    <w:rsid w:val="005068B6"/>
    <w:rsid w:val="005233F1"/>
    <w:rsid w:val="00523F62"/>
    <w:rsid w:val="00526EA4"/>
    <w:rsid w:val="00546024"/>
    <w:rsid w:val="00547E0D"/>
    <w:rsid w:val="00554FB0"/>
    <w:rsid w:val="00560A8B"/>
    <w:rsid w:val="00563E9C"/>
    <w:rsid w:val="00573243"/>
    <w:rsid w:val="005746E9"/>
    <w:rsid w:val="00577DEA"/>
    <w:rsid w:val="00594451"/>
    <w:rsid w:val="00595619"/>
    <w:rsid w:val="00596A62"/>
    <w:rsid w:val="005A0606"/>
    <w:rsid w:val="005A0AA3"/>
    <w:rsid w:val="005B03C5"/>
    <w:rsid w:val="005B1199"/>
    <w:rsid w:val="005B1B4A"/>
    <w:rsid w:val="005B24BA"/>
    <w:rsid w:val="005B25DE"/>
    <w:rsid w:val="005B444F"/>
    <w:rsid w:val="005C11C6"/>
    <w:rsid w:val="005C161A"/>
    <w:rsid w:val="005C466D"/>
    <w:rsid w:val="005D1ABA"/>
    <w:rsid w:val="005D6E1B"/>
    <w:rsid w:val="005F169F"/>
    <w:rsid w:val="005F1D3C"/>
    <w:rsid w:val="005F7264"/>
    <w:rsid w:val="00623C56"/>
    <w:rsid w:val="00636EF9"/>
    <w:rsid w:val="00640D8C"/>
    <w:rsid w:val="00640FE7"/>
    <w:rsid w:val="006426A4"/>
    <w:rsid w:val="0064415F"/>
    <w:rsid w:val="00650CF9"/>
    <w:rsid w:val="006550F6"/>
    <w:rsid w:val="00667258"/>
    <w:rsid w:val="0066758A"/>
    <w:rsid w:val="00670C20"/>
    <w:rsid w:val="00673F49"/>
    <w:rsid w:val="006774CF"/>
    <w:rsid w:val="00682FD6"/>
    <w:rsid w:val="0069672B"/>
    <w:rsid w:val="006A1F8A"/>
    <w:rsid w:val="006A2AA0"/>
    <w:rsid w:val="006B0AE1"/>
    <w:rsid w:val="006B4A55"/>
    <w:rsid w:val="006B5586"/>
    <w:rsid w:val="006B796D"/>
    <w:rsid w:val="006C150C"/>
    <w:rsid w:val="006D0340"/>
    <w:rsid w:val="006D2F33"/>
    <w:rsid w:val="006E14B1"/>
    <w:rsid w:val="006F2919"/>
    <w:rsid w:val="0070104F"/>
    <w:rsid w:val="00701FEB"/>
    <w:rsid w:val="007327F7"/>
    <w:rsid w:val="00734A76"/>
    <w:rsid w:val="007358D1"/>
    <w:rsid w:val="00740FC6"/>
    <w:rsid w:val="00746306"/>
    <w:rsid w:val="007571C6"/>
    <w:rsid w:val="00765755"/>
    <w:rsid w:val="0076741A"/>
    <w:rsid w:val="00770415"/>
    <w:rsid w:val="007806F8"/>
    <w:rsid w:val="00791CF4"/>
    <w:rsid w:val="007926CE"/>
    <w:rsid w:val="007B2ACB"/>
    <w:rsid w:val="007C3293"/>
    <w:rsid w:val="007C37FB"/>
    <w:rsid w:val="007E29EC"/>
    <w:rsid w:val="007E3903"/>
    <w:rsid w:val="007F2AB6"/>
    <w:rsid w:val="008146A0"/>
    <w:rsid w:val="00815449"/>
    <w:rsid w:val="00824C3D"/>
    <w:rsid w:val="008353BC"/>
    <w:rsid w:val="00835BFB"/>
    <w:rsid w:val="0084711E"/>
    <w:rsid w:val="008479EB"/>
    <w:rsid w:val="008576E8"/>
    <w:rsid w:val="00864470"/>
    <w:rsid w:val="0087346B"/>
    <w:rsid w:val="00873660"/>
    <w:rsid w:val="008748CE"/>
    <w:rsid w:val="00875AC3"/>
    <w:rsid w:val="0088531B"/>
    <w:rsid w:val="00885827"/>
    <w:rsid w:val="00891879"/>
    <w:rsid w:val="008A2165"/>
    <w:rsid w:val="008B3685"/>
    <w:rsid w:val="008B526A"/>
    <w:rsid w:val="008C59D1"/>
    <w:rsid w:val="008C5C9A"/>
    <w:rsid w:val="008C7C5E"/>
    <w:rsid w:val="008D4B12"/>
    <w:rsid w:val="008D7DA4"/>
    <w:rsid w:val="008E02D2"/>
    <w:rsid w:val="008E517F"/>
    <w:rsid w:val="008F12B2"/>
    <w:rsid w:val="008F25F9"/>
    <w:rsid w:val="008F3611"/>
    <w:rsid w:val="008F5BCE"/>
    <w:rsid w:val="008F7D8C"/>
    <w:rsid w:val="009009B9"/>
    <w:rsid w:val="00911082"/>
    <w:rsid w:val="00912DE5"/>
    <w:rsid w:val="009371C4"/>
    <w:rsid w:val="00937C35"/>
    <w:rsid w:val="00941086"/>
    <w:rsid w:val="00955CF0"/>
    <w:rsid w:val="00956B56"/>
    <w:rsid w:val="00971FA6"/>
    <w:rsid w:val="00972FAC"/>
    <w:rsid w:val="00975EBA"/>
    <w:rsid w:val="00982B7C"/>
    <w:rsid w:val="00992927"/>
    <w:rsid w:val="0099793F"/>
    <w:rsid w:val="00997F1F"/>
    <w:rsid w:val="009B4616"/>
    <w:rsid w:val="009B5885"/>
    <w:rsid w:val="009C291C"/>
    <w:rsid w:val="009C2B73"/>
    <w:rsid w:val="009C5C87"/>
    <w:rsid w:val="009D124C"/>
    <w:rsid w:val="009D1840"/>
    <w:rsid w:val="009D1E82"/>
    <w:rsid w:val="009D36FB"/>
    <w:rsid w:val="009D6493"/>
    <w:rsid w:val="009F1229"/>
    <w:rsid w:val="009F6DE9"/>
    <w:rsid w:val="00A000BE"/>
    <w:rsid w:val="00A1293E"/>
    <w:rsid w:val="00A13083"/>
    <w:rsid w:val="00A26BA1"/>
    <w:rsid w:val="00A34B5A"/>
    <w:rsid w:val="00A40218"/>
    <w:rsid w:val="00A442C8"/>
    <w:rsid w:val="00A45600"/>
    <w:rsid w:val="00A52B46"/>
    <w:rsid w:val="00A53C11"/>
    <w:rsid w:val="00A567E5"/>
    <w:rsid w:val="00A61AA4"/>
    <w:rsid w:val="00A63660"/>
    <w:rsid w:val="00A64C74"/>
    <w:rsid w:val="00A71088"/>
    <w:rsid w:val="00A80310"/>
    <w:rsid w:val="00A8369E"/>
    <w:rsid w:val="00A86628"/>
    <w:rsid w:val="00A92048"/>
    <w:rsid w:val="00A930F8"/>
    <w:rsid w:val="00A97E75"/>
    <w:rsid w:val="00AA4553"/>
    <w:rsid w:val="00AA4867"/>
    <w:rsid w:val="00AA666D"/>
    <w:rsid w:val="00AB2B6D"/>
    <w:rsid w:val="00AB3F83"/>
    <w:rsid w:val="00AC0A94"/>
    <w:rsid w:val="00AC0FE5"/>
    <w:rsid w:val="00AC3CE1"/>
    <w:rsid w:val="00AC4F5D"/>
    <w:rsid w:val="00AC5124"/>
    <w:rsid w:val="00AD2B0D"/>
    <w:rsid w:val="00AF0E73"/>
    <w:rsid w:val="00AF3798"/>
    <w:rsid w:val="00B00310"/>
    <w:rsid w:val="00B07812"/>
    <w:rsid w:val="00B07882"/>
    <w:rsid w:val="00B07E13"/>
    <w:rsid w:val="00B107D8"/>
    <w:rsid w:val="00B10F39"/>
    <w:rsid w:val="00B1106B"/>
    <w:rsid w:val="00B201E9"/>
    <w:rsid w:val="00B275CA"/>
    <w:rsid w:val="00B314EB"/>
    <w:rsid w:val="00B31F7D"/>
    <w:rsid w:val="00B35449"/>
    <w:rsid w:val="00B36B39"/>
    <w:rsid w:val="00B40F41"/>
    <w:rsid w:val="00B42E81"/>
    <w:rsid w:val="00B453F8"/>
    <w:rsid w:val="00B45A96"/>
    <w:rsid w:val="00B52504"/>
    <w:rsid w:val="00B533BA"/>
    <w:rsid w:val="00B5654F"/>
    <w:rsid w:val="00B70B93"/>
    <w:rsid w:val="00B7415D"/>
    <w:rsid w:val="00B76CA3"/>
    <w:rsid w:val="00B77CE4"/>
    <w:rsid w:val="00B81A9D"/>
    <w:rsid w:val="00B82E11"/>
    <w:rsid w:val="00B843FC"/>
    <w:rsid w:val="00B95BFB"/>
    <w:rsid w:val="00B95BFF"/>
    <w:rsid w:val="00BA7C2D"/>
    <w:rsid w:val="00BB722A"/>
    <w:rsid w:val="00BD4403"/>
    <w:rsid w:val="00BD4460"/>
    <w:rsid w:val="00BD4B28"/>
    <w:rsid w:val="00BD6ABD"/>
    <w:rsid w:val="00BE0B22"/>
    <w:rsid w:val="00BE390E"/>
    <w:rsid w:val="00BF2ABD"/>
    <w:rsid w:val="00C01F9C"/>
    <w:rsid w:val="00C02F9D"/>
    <w:rsid w:val="00C1489B"/>
    <w:rsid w:val="00C1505E"/>
    <w:rsid w:val="00C206D2"/>
    <w:rsid w:val="00C2431A"/>
    <w:rsid w:val="00C2741F"/>
    <w:rsid w:val="00C359AD"/>
    <w:rsid w:val="00C43C58"/>
    <w:rsid w:val="00C57152"/>
    <w:rsid w:val="00C64BB0"/>
    <w:rsid w:val="00C669C6"/>
    <w:rsid w:val="00C67E28"/>
    <w:rsid w:val="00C760CB"/>
    <w:rsid w:val="00C81489"/>
    <w:rsid w:val="00C85F94"/>
    <w:rsid w:val="00C86900"/>
    <w:rsid w:val="00C92DA4"/>
    <w:rsid w:val="00C92E5C"/>
    <w:rsid w:val="00CA498F"/>
    <w:rsid w:val="00CA7FBF"/>
    <w:rsid w:val="00CB1E24"/>
    <w:rsid w:val="00CB2E8E"/>
    <w:rsid w:val="00CB4ED9"/>
    <w:rsid w:val="00CB587A"/>
    <w:rsid w:val="00CB7AFF"/>
    <w:rsid w:val="00CC1EF3"/>
    <w:rsid w:val="00CC3392"/>
    <w:rsid w:val="00CC39C2"/>
    <w:rsid w:val="00CC5511"/>
    <w:rsid w:val="00CD3544"/>
    <w:rsid w:val="00CE2F10"/>
    <w:rsid w:val="00CE4D32"/>
    <w:rsid w:val="00CE7254"/>
    <w:rsid w:val="00CF02AF"/>
    <w:rsid w:val="00D107D5"/>
    <w:rsid w:val="00D10F87"/>
    <w:rsid w:val="00D13698"/>
    <w:rsid w:val="00D21007"/>
    <w:rsid w:val="00D368EB"/>
    <w:rsid w:val="00D37E04"/>
    <w:rsid w:val="00D4298E"/>
    <w:rsid w:val="00D44223"/>
    <w:rsid w:val="00D44642"/>
    <w:rsid w:val="00D56A4F"/>
    <w:rsid w:val="00D60DC5"/>
    <w:rsid w:val="00D60F93"/>
    <w:rsid w:val="00D62B44"/>
    <w:rsid w:val="00D657FB"/>
    <w:rsid w:val="00D666E6"/>
    <w:rsid w:val="00D71974"/>
    <w:rsid w:val="00D72571"/>
    <w:rsid w:val="00D7362C"/>
    <w:rsid w:val="00D742A1"/>
    <w:rsid w:val="00D75A5C"/>
    <w:rsid w:val="00D76088"/>
    <w:rsid w:val="00D85D3D"/>
    <w:rsid w:val="00D927EA"/>
    <w:rsid w:val="00DB36A3"/>
    <w:rsid w:val="00DB7016"/>
    <w:rsid w:val="00DC448B"/>
    <w:rsid w:val="00DE3189"/>
    <w:rsid w:val="00DE425A"/>
    <w:rsid w:val="00DE4C13"/>
    <w:rsid w:val="00DE5B59"/>
    <w:rsid w:val="00DE5D6E"/>
    <w:rsid w:val="00E019F0"/>
    <w:rsid w:val="00E01CE1"/>
    <w:rsid w:val="00E03156"/>
    <w:rsid w:val="00E12E2A"/>
    <w:rsid w:val="00E232B1"/>
    <w:rsid w:val="00E25F17"/>
    <w:rsid w:val="00E30C79"/>
    <w:rsid w:val="00E43AD2"/>
    <w:rsid w:val="00E44733"/>
    <w:rsid w:val="00E53E3C"/>
    <w:rsid w:val="00E55338"/>
    <w:rsid w:val="00E605F4"/>
    <w:rsid w:val="00E608EB"/>
    <w:rsid w:val="00E72A12"/>
    <w:rsid w:val="00E72B9A"/>
    <w:rsid w:val="00E74139"/>
    <w:rsid w:val="00E778D4"/>
    <w:rsid w:val="00E903D5"/>
    <w:rsid w:val="00E948C3"/>
    <w:rsid w:val="00E961B2"/>
    <w:rsid w:val="00EA3CE1"/>
    <w:rsid w:val="00EA3F05"/>
    <w:rsid w:val="00EB41A9"/>
    <w:rsid w:val="00EC5675"/>
    <w:rsid w:val="00ED4425"/>
    <w:rsid w:val="00EE375F"/>
    <w:rsid w:val="00EE5020"/>
    <w:rsid w:val="00EF03E5"/>
    <w:rsid w:val="00EF05E6"/>
    <w:rsid w:val="00EF0E1E"/>
    <w:rsid w:val="00EF1405"/>
    <w:rsid w:val="00EF1506"/>
    <w:rsid w:val="00EF16CB"/>
    <w:rsid w:val="00EF1D5D"/>
    <w:rsid w:val="00EF29FD"/>
    <w:rsid w:val="00EF7CEB"/>
    <w:rsid w:val="00F15690"/>
    <w:rsid w:val="00F33E6E"/>
    <w:rsid w:val="00F35E40"/>
    <w:rsid w:val="00F371EA"/>
    <w:rsid w:val="00F377DF"/>
    <w:rsid w:val="00F4093E"/>
    <w:rsid w:val="00F42600"/>
    <w:rsid w:val="00F4283A"/>
    <w:rsid w:val="00F42A6E"/>
    <w:rsid w:val="00F44A76"/>
    <w:rsid w:val="00F46673"/>
    <w:rsid w:val="00F46948"/>
    <w:rsid w:val="00F46CA5"/>
    <w:rsid w:val="00F504DF"/>
    <w:rsid w:val="00F578F0"/>
    <w:rsid w:val="00F74C81"/>
    <w:rsid w:val="00F814EC"/>
    <w:rsid w:val="00F82EE0"/>
    <w:rsid w:val="00F8355C"/>
    <w:rsid w:val="00F90882"/>
    <w:rsid w:val="00F93C07"/>
    <w:rsid w:val="00F969AF"/>
    <w:rsid w:val="00F97F2C"/>
    <w:rsid w:val="00FA03D2"/>
    <w:rsid w:val="00FA2BF0"/>
    <w:rsid w:val="00FA2C27"/>
    <w:rsid w:val="00FA42AC"/>
    <w:rsid w:val="00FB2CBD"/>
    <w:rsid w:val="00FB36D0"/>
    <w:rsid w:val="00FC1A6B"/>
    <w:rsid w:val="00FC4637"/>
    <w:rsid w:val="00FD050E"/>
    <w:rsid w:val="00FD1A51"/>
    <w:rsid w:val="00FE04CB"/>
    <w:rsid w:val="00FE149E"/>
    <w:rsid w:val="00FE2A8C"/>
    <w:rsid w:val="00FE4CE7"/>
    <w:rsid w:val="00FE4D73"/>
    <w:rsid w:val="00FF2847"/>
    <w:rsid w:val="00FF3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996F76"/>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outlineLvl w:val="0"/>
    </w:pPr>
    <w:rPr>
      <w:b/>
      <w:sz w:val="24"/>
    </w:rPr>
  </w:style>
  <w:style w:type="paragraph" w:styleId="Heading2">
    <w:name w:val="heading 2"/>
    <w:basedOn w:val="Normal"/>
    <w:next w:val="Normal"/>
    <w:link w:val="Heading2Char"/>
    <w:uiPriority w:val="99"/>
    <w:qFormat/>
    <w:pPr>
      <w:keepNext/>
      <w:jc w:val="center"/>
      <w:outlineLvl w:val="1"/>
    </w:pPr>
    <w:rPr>
      <w:b/>
      <w:sz w:val="22"/>
    </w:rPr>
  </w:style>
  <w:style w:type="paragraph" w:styleId="Heading3">
    <w:name w:val="heading 3"/>
    <w:basedOn w:val="Normal"/>
    <w:next w:val="Normal"/>
    <w:link w:val="Heading3Char"/>
    <w:uiPriority w:val="99"/>
    <w:qFormat/>
    <w:pPr>
      <w:keepNext/>
      <w:jc w:val="center"/>
      <w:outlineLvl w:val="2"/>
    </w:pPr>
    <w:rPr>
      <w:b/>
      <w:sz w:val="24"/>
      <w:u w:val="single"/>
    </w:rPr>
  </w:style>
  <w:style w:type="paragraph" w:styleId="Heading4">
    <w:name w:val="heading 4"/>
    <w:basedOn w:val="Normal"/>
    <w:next w:val="Normal"/>
    <w:link w:val="Heading4Char"/>
    <w:uiPriority w:val="99"/>
    <w:qFormat/>
    <w:pPr>
      <w:keepNext/>
      <w:outlineLvl w:val="3"/>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paragraph" w:styleId="Title">
    <w:name w:val="Title"/>
    <w:basedOn w:val="Normal"/>
    <w:link w:val="TitleChar"/>
    <w:uiPriority w:val="99"/>
    <w:qFormat/>
    <w:pPr>
      <w:jc w:val="center"/>
    </w:pPr>
    <w:rPr>
      <w:b/>
      <w:sz w:val="24"/>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BodyText">
    <w:name w:val="Body Text"/>
    <w:basedOn w:val="Normal"/>
    <w:link w:val="BodyTextChar"/>
    <w:uiPriority w:val="99"/>
    <w:rPr>
      <w:sz w:val="22"/>
    </w:rPr>
  </w:style>
  <w:style w:type="character" w:customStyle="1" w:styleId="BodyTextChar">
    <w:name w:val="Body Text Char"/>
    <w:link w:val="BodyText"/>
    <w:uiPriority w:val="99"/>
    <w:semiHidden/>
    <w:locked/>
    <w:rPr>
      <w:rFonts w:cs="Times New Roman"/>
      <w:sz w:val="20"/>
      <w:szCs w:val="20"/>
    </w:rPr>
  </w:style>
  <w:style w:type="paragraph" w:styleId="BlockText">
    <w:name w:val="Block Text"/>
    <w:basedOn w:val="Normal"/>
    <w:uiPriority w:val="99"/>
    <w:pPr>
      <w:ind w:left="-288" w:right="288"/>
    </w:pPr>
    <w:rPr>
      <w:sz w:val="22"/>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szCs w:val="20"/>
    </w:rPr>
  </w:style>
  <w:style w:type="character" w:styleId="FootnoteReference">
    <w:name w:val="footnote reference"/>
    <w:uiPriority w:val="99"/>
    <w:semiHidden/>
    <w:rPr>
      <w:rFonts w:cs="Times New Roman"/>
      <w:vertAlign w:val="superscript"/>
    </w:rPr>
  </w:style>
  <w:style w:type="paragraph" w:styleId="BodyText2">
    <w:name w:val="Body Text 2"/>
    <w:basedOn w:val="Normal"/>
    <w:link w:val="BodyText2Char"/>
    <w:uiPriority w:val="99"/>
    <w:rPr>
      <w:sz w:val="24"/>
    </w:rPr>
  </w:style>
  <w:style w:type="character" w:customStyle="1" w:styleId="BodyText2Char">
    <w:name w:val="Body Text 2 Char"/>
    <w:link w:val="BodyText2"/>
    <w:uiPriority w:val="99"/>
    <w:semiHidden/>
    <w:locked/>
    <w:rPr>
      <w:rFonts w:cs="Times New Roman"/>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0"/>
      <w:szCs w:val="20"/>
    </w:rPr>
  </w:style>
  <w:style w:type="paragraph" w:styleId="BodyText3">
    <w:name w:val="Body Text 3"/>
    <w:basedOn w:val="Normal"/>
    <w:link w:val="BodyText3Char"/>
    <w:uiPriority w:val="99"/>
    <w:rPr>
      <w:b/>
      <w:bCs/>
      <w:sz w:val="24"/>
    </w:rPr>
  </w:style>
  <w:style w:type="character" w:customStyle="1" w:styleId="BodyText3Char">
    <w:name w:val="Body Text 3 Char"/>
    <w:link w:val="BodyText3"/>
    <w:uiPriority w:val="99"/>
    <w:semiHidden/>
    <w:locked/>
    <w:rPr>
      <w:rFonts w:cs="Times New Roman"/>
      <w:sz w:val="16"/>
      <w:szCs w:val="16"/>
    </w:rPr>
  </w:style>
  <w:style w:type="character" w:styleId="Strong">
    <w:name w:val="Strong"/>
    <w:uiPriority w:val="99"/>
    <w:qFormat/>
    <w:rPr>
      <w:rFonts w:cs="Times New Roman"/>
      <w:b/>
      <w:bCs/>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link w:val="DocumentMap"/>
    <w:uiPriority w:val="99"/>
    <w:semiHidden/>
    <w:locked/>
    <w:rPr>
      <w:rFonts w:ascii="Tahoma" w:hAnsi="Tahoma" w:cs="Tahoma"/>
      <w:sz w:val="16"/>
      <w:szCs w:val="16"/>
    </w:rPr>
  </w:style>
  <w:style w:type="paragraph" w:styleId="BalloonText">
    <w:name w:val="Balloon Text"/>
    <w:basedOn w:val="Normal"/>
    <w:link w:val="BalloonTextChar"/>
    <w:uiPriority w:val="99"/>
    <w:semiHidden/>
    <w:rsid w:val="00AB3F83"/>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character" w:styleId="PageNumber">
    <w:name w:val="page number"/>
    <w:uiPriority w:val="99"/>
    <w:rsid w:val="00F90882"/>
    <w:rPr>
      <w:rFonts w:cs="Times New Roman"/>
    </w:rPr>
  </w:style>
  <w:style w:type="character" w:styleId="FollowedHyperlink">
    <w:name w:val="FollowedHyperlink"/>
    <w:uiPriority w:val="99"/>
    <w:rsid w:val="008576E8"/>
    <w:rPr>
      <w:rFonts w:cs="Times New Roman"/>
      <w:color w:val="800080"/>
      <w:u w:val="single"/>
    </w:rPr>
  </w:style>
  <w:style w:type="character" w:styleId="Hyperlink">
    <w:name w:val="Hyperlink"/>
    <w:uiPriority w:val="99"/>
    <w:rsid w:val="00026A7B"/>
    <w:rPr>
      <w:rFonts w:cs="Times New Roman"/>
      <w:color w:val="0000FF"/>
      <w:u w:val="single"/>
    </w:rPr>
  </w:style>
  <w:style w:type="character" w:styleId="CommentReference">
    <w:name w:val="annotation reference"/>
    <w:uiPriority w:val="99"/>
    <w:semiHidden/>
    <w:rsid w:val="006D0340"/>
    <w:rPr>
      <w:rFonts w:cs="Times New Roman"/>
      <w:sz w:val="16"/>
      <w:szCs w:val="16"/>
    </w:rPr>
  </w:style>
  <w:style w:type="paragraph" w:styleId="CommentText">
    <w:name w:val="annotation text"/>
    <w:basedOn w:val="Normal"/>
    <w:link w:val="CommentTextChar"/>
    <w:uiPriority w:val="99"/>
    <w:semiHidden/>
    <w:rsid w:val="006D0340"/>
  </w:style>
  <w:style w:type="character" w:customStyle="1" w:styleId="CommentTextChar">
    <w:name w:val="Comment Text Char"/>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6D0340"/>
    <w:rPr>
      <w:b/>
      <w:bCs/>
    </w:rPr>
  </w:style>
  <w:style w:type="character" w:customStyle="1" w:styleId="CommentSubjectChar">
    <w:name w:val="Comment Subject Char"/>
    <w:link w:val="CommentSubject"/>
    <w:uiPriority w:val="99"/>
    <w:semiHidden/>
    <w:locked/>
    <w:rPr>
      <w:rFonts w:cs="Times New Roman"/>
      <w:b/>
      <w:bCs/>
      <w:sz w:val="20"/>
      <w:szCs w:val="20"/>
    </w:rPr>
  </w:style>
  <w:style w:type="character" w:styleId="UnresolvedMention">
    <w:name w:val="Unresolved Mention"/>
    <w:uiPriority w:val="99"/>
    <w:semiHidden/>
    <w:unhideWhenUsed/>
    <w:rsid w:val="00A13083"/>
    <w:rPr>
      <w:color w:val="605E5C"/>
      <w:shd w:val="clear" w:color="auto" w:fill="E1DFDD"/>
    </w:rPr>
  </w:style>
  <w:style w:type="paragraph" w:styleId="Revision">
    <w:name w:val="Revision"/>
    <w:hidden/>
    <w:uiPriority w:val="99"/>
    <w:semiHidden/>
    <w:rsid w:val="000A189C"/>
  </w:style>
  <w:style w:type="paragraph" w:styleId="ListParagraph">
    <w:name w:val="List Paragraph"/>
    <w:basedOn w:val="Normal"/>
    <w:uiPriority w:val="34"/>
    <w:qFormat/>
    <w:rsid w:val="002176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he.ed.gov/legislation/every-student-succeeds-ac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legislature.gov/Laws/GeneralLaws/PartI/TitleXII/Chapter76" TargetMode="External"/><Relationship Id="rId12" Type="http://schemas.openxmlformats.org/officeDocument/2006/relationships/hyperlink" Target="https://massclearinghouse.ehs.state.ma.us/PROG-SCH/SH300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handbook/guide-to-surveillance-reporting-and-contro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ass.gov/regulations/105-CMR-30000-reportable-diseases-surveillance-and-isolation-and-quarantine" TargetMode="External"/><Relationship Id="rId4" Type="http://schemas.openxmlformats.org/officeDocument/2006/relationships/webSettings" Target="webSettings.xml"/><Relationship Id="rId9" Type="http://schemas.openxmlformats.org/officeDocument/2006/relationships/hyperlink" Target="https://www.mass.gov/regulations/105-CMR-30000-reportable-diseases-surveillance-and-isolation-and-quarantine-requirem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1589</Words>
  <Characters>9062</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10630</CharactersWithSpaces>
  <SharedDoc>false</SharedDoc>
  <HLinks>
    <vt:vector size="18" baseType="variant">
      <vt:variant>
        <vt:i4>2687103</vt:i4>
      </vt:variant>
      <vt:variant>
        <vt:i4>9</vt:i4>
      </vt:variant>
      <vt:variant>
        <vt:i4>0</vt:i4>
      </vt:variant>
      <vt:variant>
        <vt:i4>5</vt:i4>
      </vt:variant>
      <vt:variant>
        <vt:lpwstr>https://massclearinghouse.ehs.state.ma.us/PROG-SCH/SH3001.html</vt:lpwstr>
      </vt:variant>
      <vt:variant>
        <vt:lpwstr/>
      </vt:variant>
      <vt:variant>
        <vt:i4>1114122</vt:i4>
      </vt:variant>
      <vt:variant>
        <vt:i4>6</vt:i4>
      </vt:variant>
      <vt:variant>
        <vt:i4>0</vt:i4>
      </vt:variant>
      <vt:variant>
        <vt:i4>5</vt:i4>
      </vt:variant>
      <vt:variant>
        <vt:lpwstr>https://www.mass.gov/handbook/guide-to-surveillance-reporting-and-control</vt:lpwstr>
      </vt:variant>
      <vt:variant>
        <vt:lpwstr/>
      </vt:variant>
      <vt:variant>
        <vt:i4>4915288</vt:i4>
      </vt:variant>
      <vt:variant>
        <vt:i4>3</vt:i4>
      </vt:variant>
      <vt:variant>
        <vt:i4>0</vt:i4>
      </vt:variant>
      <vt:variant>
        <vt:i4>5</vt:i4>
      </vt:variant>
      <vt:variant>
        <vt:lpwstr>https://www.mass.gov/regulations/105-CMR-30000-reportable-diseases-surveillance-and-isolation-and-quarantine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2025-09-03T16:49:00Z</dcterms:created>
  <dcterms:modified xsi:type="dcterms:W3CDTF">2025-09-03T17:07:00Z</dcterms:modified>
</cp:coreProperties>
</file>