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E715D" w14:textId="77777777" w:rsidR="003E447E" w:rsidRDefault="003E447E" w:rsidP="003E447E">
      <w:pPr>
        <w:pStyle w:val="Title"/>
      </w:pPr>
      <w:bookmarkStart w:id="0" w:name="_GoBack"/>
      <w:bookmarkEnd w:id="0"/>
      <w:r>
        <w:t>COMMONWEALTH OF MASSACHUSETTS</w:t>
      </w:r>
    </w:p>
    <w:p w14:paraId="797FFF3B" w14:textId="77777777" w:rsidR="003E447E" w:rsidRDefault="003E447E" w:rsidP="003E447E">
      <w:pPr>
        <w:jc w:val="center"/>
        <w:rPr>
          <w:rFonts w:ascii="Courier New" w:hAnsi="Courier New" w:cs="Courier New"/>
          <w:b/>
          <w:bCs/>
        </w:rPr>
      </w:pPr>
    </w:p>
    <w:p w14:paraId="3E6F83C7" w14:textId="77777777" w:rsidR="003E447E" w:rsidRDefault="003E447E" w:rsidP="003E447E">
      <w:pPr>
        <w:jc w:val="center"/>
        <w:rPr>
          <w:rFonts w:ascii="Courier New" w:hAnsi="Courier New" w:cs="Courier New"/>
          <w:b/>
          <w:bCs/>
        </w:rPr>
      </w:pPr>
      <w:r>
        <w:rPr>
          <w:rFonts w:ascii="Courier New" w:hAnsi="Courier New" w:cs="Courier New"/>
          <w:b/>
          <w:bCs/>
        </w:rPr>
        <w:t>APPELLATE TAX BOARD</w:t>
      </w:r>
    </w:p>
    <w:p w14:paraId="571F412F" w14:textId="77777777" w:rsidR="003E447E" w:rsidRDefault="003E447E" w:rsidP="003E447E">
      <w:pPr>
        <w:jc w:val="center"/>
        <w:rPr>
          <w:rFonts w:ascii="Courier New" w:hAnsi="Courier New" w:cs="Courier New"/>
          <w:b/>
          <w:bCs/>
        </w:rPr>
      </w:pPr>
    </w:p>
    <w:p w14:paraId="65148462" w14:textId="77777777" w:rsidR="003E447E" w:rsidRDefault="003E447E" w:rsidP="003E447E">
      <w:pPr>
        <w:jc w:val="center"/>
        <w:rPr>
          <w:rFonts w:ascii="Courier New" w:hAnsi="Courier New" w:cs="Courier New"/>
          <w:b/>
          <w:bCs/>
        </w:rPr>
      </w:pPr>
    </w:p>
    <w:p w14:paraId="5F279B69" w14:textId="77777777" w:rsidR="003E447E" w:rsidRDefault="003E447E" w:rsidP="003E447E">
      <w:pPr>
        <w:jc w:val="center"/>
        <w:rPr>
          <w:rFonts w:ascii="Courier New" w:hAnsi="Courier New" w:cs="Courier New"/>
          <w:b/>
          <w:bCs/>
        </w:rPr>
      </w:pPr>
    </w:p>
    <w:p w14:paraId="0D81F5FF" w14:textId="4343CA4C" w:rsidR="003E447E" w:rsidRDefault="00D41A66" w:rsidP="003E447E">
      <w:pPr>
        <w:pStyle w:val="Heading1"/>
      </w:pPr>
      <w:r>
        <w:t>VEOLIA ENERGY BOSTON, INC.</w:t>
      </w:r>
      <w:r w:rsidR="003E447E">
        <w:t xml:space="preserve">   </w:t>
      </w:r>
      <w:r w:rsidR="009918AC">
        <w:t> </w:t>
      </w:r>
      <w:r w:rsidR="003E447E">
        <w:t xml:space="preserve">v. </w:t>
      </w:r>
      <w:r w:rsidR="003E447E">
        <w:tab/>
      </w:r>
      <w:r w:rsidR="009918AC">
        <w:t>  </w:t>
      </w:r>
      <w:r w:rsidR="003E447E">
        <w:t>BOARD OF ASSESSORS</w:t>
      </w:r>
      <w:r w:rsidR="009918AC">
        <w:t xml:space="preserve"> OF</w:t>
      </w:r>
    </w:p>
    <w:p w14:paraId="4DC6EBDC" w14:textId="37E38F56" w:rsidR="003E447E" w:rsidRDefault="00D41A66" w:rsidP="003E447E">
      <w:pPr>
        <w:ind w:right="-540"/>
        <w:jc w:val="both"/>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003E447E">
        <w:rPr>
          <w:rFonts w:ascii="Courier New" w:hAnsi="Courier New" w:cs="Courier New"/>
          <w:b/>
          <w:bCs/>
        </w:rPr>
        <w:tab/>
      </w:r>
      <w:r w:rsidR="003E447E">
        <w:rPr>
          <w:rFonts w:ascii="Courier New" w:hAnsi="Courier New" w:cs="Courier New"/>
          <w:b/>
          <w:bCs/>
        </w:rPr>
        <w:tab/>
      </w:r>
      <w:r w:rsidR="003E447E">
        <w:rPr>
          <w:rFonts w:ascii="Courier New" w:hAnsi="Courier New" w:cs="Courier New"/>
          <w:b/>
          <w:bCs/>
        </w:rPr>
        <w:tab/>
      </w:r>
      <w:r w:rsidR="009918AC">
        <w:rPr>
          <w:rFonts w:ascii="Courier New" w:hAnsi="Courier New" w:cs="Courier New"/>
          <w:b/>
          <w:bCs/>
        </w:rPr>
        <w:t>  </w:t>
      </w:r>
      <w:r w:rsidR="003E447E">
        <w:rPr>
          <w:rFonts w:ascii="Courier New" w:hAnsi="Courier New" w:cs="Courier New"/>
          <w:b/>
          <w:bCs/>
        </w:rPr>
        <w:t>THE CITY OF BOSTON</w:t>
      </w:r>
    </w:p>
    <w:p w14:paraId="635347E9" w14:textId="77777777" w:rsidR="003E447E" w:rsidRDefault="003E447E" w:rsidP="003E447E">
      <w:pPr>
        <w:jc w:val="both"/>
        <w:rPr>
          <w:rFonts w:ascii="Courier New" w:hAnsi="Courier New" w:cs="Courier New"/>
          <w:b/>
          <w:bCs/>
        </w:rPr>
      </w:pPr>
    </w:p>
    <w:p w14:paraId="0CFAB28E" w14:textId="77777777" w:rsidR="003E447E" w:rsidRDefault="003E447E" w:rsidP="003E447E">
      <w:pPr>
        <w:jc w:val="both"/>
        <w:rPr>
          <w:rFonts w:ascii="Courier New" w:hAnsi="Courier New" w:cs="Courier New"/>
          <w:b/>
          <w:bCs/>
        </w:rPr>
      </w:pPr>
    </w:p>
    <w:p w14:paraId="08A09D33" w14:textId="590F034A" w:rsidR="003E447E" w:rsidRDefault="003E447E" w:rsidP="003E447E">
      <w:pPr>
        <w:jc w:val="both"/>
        <w:rPr>
          <w:rFonts w:ascii="Courier New" w:hAnsi="Courier New" w:cs="Courier New"/>
        </w:rPr>
      </w:pPr>
      <w:r>
        <w:rPr>
          <w:rFonts w:ascii="Courier New" w:hAnsi="Courier New" w:cs="Courier New"/>
        </w:rPr>
        <w:t>Docket No.</w:t>
      </w:r>
      <w:r w:rsidR="00D41A66">
        <w:rPr>
          <w:rFonts w:ascii="Courier New" w:hAnsi="Courier New" w:cs="Courier New"/>
        </w:rPr>
        <w:t xml:space="preserve"> F325148</w:t>
      </w:r>
      <w:r>
        <w:rPr>
          <w:rFonts w:ascii="Courier New" w:hAnsi="Courier New" w:cs="Courier New"/>
        </w:rPr>
        <w:tab/>
      </w:r>
      <w:r>
        <w:rPr>
          <w:rFonts w:ascii="Courier New" w:hAnsi="Courier New" w:cs="Courier New"/>
        </w:rPr>
        <w:tab/>
        <w:t xml:space="preserve">  </w:t>
      </w:r>
      <w:r>
        <w:rPr>
          <w:rFonts w:ascii="Courier New" w:hAnsi="Courier New" w:cs="Courier New"/>
        </w:rPr>
        <w:tab/>
      </w:r>
      <w:r>
        <w:rPr>
          <w:rFonts w:ascii="Courier New" w:hAnsi="Courier New" w:cs="Courier New"/>
        </w:rPr>
        <w:tab/>
      </w:r>
      <w:r w:rsidR="009918AC">
        <w:rPr>
          <w:rFonts w:ascii="Courier New" w:hAnsi="Courier New" w:cs="Courier New"/>
        </w:rPr>
        <w:t>  </w:t>
      </w:r>
      <w:r>
        <w:rPr>
          <w:rFonts w:ascii="Courier New" w:hAnsi="Courier New" w:cs="Courier New"/>
        </w:rPr>
        <w:t>Promulgated:</w:t>
      </w:r>
    </w:p>
    <w:p w14:paraId="14BB5611" w14:textId="5F1E7832" w:rsidR="003E447E" w:rsidRDefault="009918AC" w:rsidP="003E447E">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w:t>
      </w:r>
      <w:r w:rsidR="00DB7E46">
        <w:rPr>
          <w:rFonts w:ascii="Courier New" w:hAnsi="Courier New" w:cs="Courier New"/>
        </w:rPr>
        <w:t>June 5, 2018</w:t>
      </w:r>
    </w:p>
    <w:p w14:paraId="71E187EA" w14:textId="77777777" w:rsidR="003E447E" w:rsidRDefault="003E447E" w:rsidP="003E447E">
      <w:pPr>
        <w:jc w:val="both"/>
        <w:rPr>
          <w:rFonts w:ascii="Courier New" w:hAnsi="Courier New" w:cs="Courier New"/>
        </w:rPr>
      </w:pPr>
    </w:p>
    <w:p w14:paraId="74280F9F" w14:textId="77777777" w:rsidR="00374FFF" w:rsidRDefault="00374FFF" w:rsidP="003E447E">
      <w:pPr>
        <w:jc w:val="both"/>
        <w:rPr>
          <w:rFonts w:ascii="Courier New" w:hAnsi="Courier New" w:cs="Courier New"/>
        </w:rPr>
      </w:pPr>
    </w:p>
    <w:p w14:paraId="3FEC2B17" w14:textId="77777777" w:rsidR="003E447E" w:rsidRDefault="003E447E" w:rsidP="003E447E">
      <w:pPr>
        <w:pStyle w:val="BodyText"/>
      </w:pPr>
      <w:r>
        <w:tab/>
        <w:t>Th</w:t>
      </w:r>
      <w:r w:rsidR="00D41A66">
        <w:t>is is an</w:t>
      </w:r>
      <w:r>
        <w:t xml:space="preserve"> appeal under the formal procedure, pursuant to G.L. c. 58A, § 7 and G.L. c. 59, §§ 64 and 65, from the refusal of the </w:t>
      </w:r>
      <w:r w:rsidR="00741243">
        <w:t>Board of Assessors of the City of Boston (“appellee” or “assessors”)</w:t>
      </w:r>
      <w:r>
        <w:t xml:space="preserve"> to abate taxes on certain personal property in the City of Boston owned by and assessed to </w:t>
      </w:r>
      <w:r w:rsidR="00741243">
        <w:t>Veolia Energy Boston, Inc. (“</w:t>
      </w:r>
      <w:r>
        <w:t>appellant</w:t>
      </w:r>
      <w:r w:rsidR="00741243">
        <w:t>”)</w:t>
      </w:r>
      <w:r>
        <w:t xml:space="preserve"> under G.L. c. 59, §§ </w:t>
      </w:r>
      <w:r w:rsidR="00B1174F">
        <w:t>18</w:t>
      </w:r>
      <w:r>
        <w:t xml:space="preserve"> and 38 for fiscal year 20</w:t>
      </w:r>
      <w:r w:rsidR="00D41A66">
        <w:t>1</w:t>
      </w:r>
      <w:r>
        <w:t>4</w:t>
      </w:r>
      <w:r w:rsidR="00741243">
        <w:t xml:space="preserve"> (“fiscal  year at issue”)</w:t>
      </w:r>
      <w:r>
        <w:t xml:space="preserve">.  </w:t>
      </w:r>
    </w:p>
    <w:p w14:paraId="623DF396" w14:textId="65BA8450" w:rsidR="003E447E" w:rsidRPr="00374FFF" w:rsidRDefault="003E447E" w:rsidP="00374FFF">
      <w:pPr>
        <w:pStyle w:val="BodyTextIndent"/>
        <w:spacing w:line="480" w:lineRule="auto"/>
        <w:ind w:left="0"/>
        <w:jc w:val="both"/>
        <w:rPr>
          <w:rFonts w:ascii="Courier New" w:hAnsi="Courier New" w:cs="Courier New"/>
        </w:rPr>
      </w:pPr>
      <w:r w:rsidRPr="00D2007B">
        <w:tab/>
      </w:r>
      <w:r w:rsidRPr="00374FFF">
        <w:rPr>
          <w:rFonts w:ascii="Courier New" w:hAnsi="Courier New" w:cs="Courier New"/>
        </w:rPr>
        <w:t>Chairman Hammond heard th</w:t>
      </w:r>
      <w:r w:rsidR="00D41A66">
        <w:rPr>
          <w:rFonts w:ascii="Courier New" w:hAnsi="Courier New" w:cs="Courier New"/>
        </w:rPr>
        <w:t>is</w:t>
      </w:r>
      <w:r w:rsidRPr="00374FFF">
        <w:rPr>
          <w:rFonts w:ascii="Courier New" w:hAnsi="Courier New" w:cs="Courier New"/>
        </w:rPr>
        <w:t xml:space="preserve"> appeal. </w:t>
      </w:r>
      <w:r w:rsidR="00753621" w:rsidRPr="00753621">
        <w:rPr>
          <w:rFonts w:ascii="Courier New" w:hAnsi="Courier New" w:cs="Courier New"/>
        </w:rPr>
        <w:t>Commissioners Scharaffa, Rose, Chmielinski</w:t>
      </w:r>
      <w:r w:rsidR="0079783B">
        <w:rPr>
          <w:rFonts w:ascii="Courier New" w:hAnsi="Courier New" w:cs="Courier New"/>
        </w:rPr>
        <w:t>,</w:t>
      </w:r>
      <w:r w:rsidR="00753621" w:rsidRPr="00753621">
        <w:rPr>
          <w:rFonts w:ascii="Courier New" w:hAnsi="Courier New" w:cs="Courier New"/>
        </w:rPr>
        <w:t xml:space="preserve"> and Good joined him in the decision for the </w:t>
      </w:r>
      <w:r w:rsidR="00753621">
        <w:rPr>
          <w:rFonts w:ascii="Courier New" w:hAnsi="Courier New" w:cs="Courier New"/>
        </w:rPr>
        <w:t>appellant</w:t>
      </w:r>
      <w:r w:rsidRPr="00374FFF">
        <w:rPr>
          <w:rFonts w:ascii="Courier New" w:hAnsi="Courier New" w:cs="Courier New"/>
        </w:rPr>
        <w:t>.</w:t>
      </w:r>
      <w:r w:rsidRPr="00374FFF">
        <w:rPr>
          <w:rFonts w:ascii="Courier New" w:hAnsi="Courier New" w:cs="Courier New"/>
        </w:rPr>
        <w:tab/>
        <w:t xml:space="preserve">These findings of fact and report are </w:t>
      </w:r>
      <w:r w:rsidR="007E4D14">
        <w:rPr>
          <w:rFonts w:ascii="Courier New" w:hAnsi="Courier New" w:cs="Courier New"/>
        </w:rPr>
        <w:t xml:space="preserve">made </w:t>
      </w:r>
      <w:r w:rsidR="00753621" w:rsidRPr="00753621">
        <w:rPr>
          <w:rFonts w:ascii="Courier New" w:hAnsi="Courier New" w:cs="Courier New"/>
        </w:rPr>
        <w:t>pursuant to a request by the appell</w:t>
      </w:r>
      <w:r w:rsidR="00753621">
        <w:rPr>
          <w:rFonts w:ascii="Courier New" w:hAnsi="Courier New" w:cs="Courier New"/>
        </w:rPr>
        <w:t>ee</w:t>
      </w:r>
      <w:r w:rsidR="00753621" w:rsidRPr="00753621">
        <w:rPr>
          <w:rFonts w:ascii="Courier New" w:hAnsi="Courier New" w:cs="Courier New"/>
        </w:rPr>
        <w:t xml:space="preserve"> under G.L. c. 58A, § 13 and 831 CMR 1.32. </w:t>
      </w:r>
    </w:p>
    <w:p w14:paraId="7DB6A059" w14:textId="77777777" w:rsidR="003E447E" w:rsidRDefault="003E447E" w:rsidP="003E447E">
      <w:pPr>
        <w:spacing w:line="480" w:lineRule="auto"/>
        <w:jc w:val="both"/>
        <w:rPr>
          <w:rFonts w:ascii="Courier New" w:hAnsi="Courier New" w:cs="Courier New"/>
          <w:i/>
          <w:iCs/>
        </w:rPr>
      </w:pPr>
      <w:r>
        <w:rPr>
          <w:rFonts w:ascii="Courier New" w:hAnsi="Courier New" w:cs="Courier New"/>
        </w:rPr>
        <w:t xml:space="preserve">  </w:t>
      </w:r>
    </w:p>
    <w:p w14:paraId="623274E2" w14:textId="77777777" w:rsidR="003E447E" w:rsidRPr="000972BC" w:rsidRDefault="00753621" w:rsidP="009918AC">
      <w:pPr>
        <w:pStyle w:val="Title"/>
        <w:ind w:firstLine="720"/>
        <w:jc w:val="both"/>
        <w:rPr>
          <w:b w:val="0"/>
        </w:rPr>
      </w:pPr>
      <w:r>
        <w:rPr>
          <w:b w:val="0"/>
          <w:i/>
        </w:rPr>
        <w:t xml:space="preserve">Kathleen S. Gregor, </w:t>
      </w:r>
      <w:r w:rsidRPr="00753621">
        <w:rPr>
          <w:b w:val="0"/>
        </w:rPr>
        <w:t>Esq.</w:t>
      </w:r>
      <w:r>
        <w:rPr>
          <w:b w:val="0"/>
        </w:rPr>
        <w:t>,</w:t>
      </w:r>
      <w:r>
        <w:rPr>
          <w:b w:val="0"/>
          <w:i/>
        </w:rPr>
        <w:t xml:space="preserve"> Elizabeth J. Smith, </w:t>
      </w:r>
      <w:r w:rsidRPr="00753621">
        <w:rPr>
          <w:b w:val="0"/>
        </w:rPr>
        <w:t>Esq</w:t>
      </w:r>
      <w:r>
        <w:rPr>
          <w:b w:val="0"/>
        </w:rPr>
        <w:t>.</w:t>
      </w:r>
      <w:r>
        <w:rPr>
          <w:b w:val="0"/>
          <w:i/>
        </w:rPr>
        <w:t>, and Erin R. Macgowan</w:t>
      </w:r>
      <w:r w:rsidR="003E447E" w:rsidRPr="000972BC">
        <w:rPr>
          <w:b w:val="0"/>
          <w:i/>
        </w:rPr>
        <w:t xml:space="preserve">, </w:t>
      </w:r>
      <w:r w:rsidR="003E447E" w:rsidRPr="000972BC">
        <w:rPr>
          <w:b w:val="0"/>
        </w:rPr>
        <w:t>Esq. for the appellant.</w:t>
      </w:r>
    </w:p>
    <w:p w14:paraId="44BAFA5D" w14:textId="77777777" w:rsidR="003E447E" w:rsidRDefault="003E447E" w:rsidP="003E447E">
      <w:pPr>
        <w:jc w:val="both"/>
        <w:rPr>
          <w:rFonts w:ascii="Courier New" w:hAnsi="Courier New" w:cs="Courier New"/>
        </w:rPr>
      </w:pPr>
      <w:r>
        <w:rPr>
          <w:rFonts w:ascii="Courier New" w:hAnsi="Courier New" w:cs="Courier New"/>
        </w:rPr>
        <w:tab/>
      </w:r>
    </w:p>
    <w:p w14:paraId="542389B7" w14:textId="77777777" w:rsidR="003E447E" w:rsidRDefault="003E447E" w:rsidP="003E447E">
      <w:pPr>
        <w:jc w:val="both"/>
        <w:rPr>
          <w:rFonts w:ascii="Courier New" w:hAnsi="Courier New" w:cs="Courier New"/>
        </w:rPr>
      </w:pPr>
      <w:r>
        <w:rPr>
          <w:rFonts w:ascii="Courier New" w:hAnsi="Courier New" w:cs="Courier New"/>
        </w:rPr>
        <w:tab/>
      </w:r>
      <w:r w:rsidR="00D41A66" w:rsidRPr="00D41A66">
        <w:rPr>
          <w:rFonts w:ascii="Courier New" w:hAnsi="Courier New" w:cs="Courier New"/>
          <w:i/>
        </w:rPr>
        <w:t>Anthony M. Ambriano</w:t>
      </w:r>
      <w:r>
        <w:rPr>
          <w:rFonts w:ascii="Courier New" w:hAnsi="Courier New" w:cs="Courier New"/>
        </w:rPr>
        <w:t xml:space="preserve">, Esq. for the appellee. </w:t>
      </w:r>
    </w:p>
    <w:p w14:paraId="726719B4" w14:textId="77777777" w:rsidR="003E447E" w:rsidRDefault="003E447E" w:rsidP="003E447E">
      <w:pPr>
        <w:jc w:val="both"/>
        <w:rPr>
          <w:rFonts w:ascii="Courier New" w:hAnsi="Courier New" w:cs="Courier New"/>
        </w:rPr>
      </w:pPr>
    </w:p>
    <w:p w14:paraId="785201A1" w14:textId="77777777" w:rsidR="003E447E" w:rsidRDefault="003E447E" w:rsidP="003E447E">
      <w:pPr>
        <w:pStyle w:val="Heading2"/>
      </w:pPr>
      <w:r>
        <w:lastRenderedPageBreak/>
        <w:t>FINDINGS OF FACT AND REPORT</w:t>
      </w:r>
    </w:p>
    <w:p w14:paraId="7D156569" w14:textId="77777777" w:rsidR="007E4D14" w:rsidRDefault="007E4D14" w:rsidP="00DD2697">
      <w:pPr>
        <w:spacing w:line="480" w:lineRule="auto"/>
        <w:ind w:firstLine="720"/>
        <w:jc w:val="both"/>
        <w:rPr>
          <w:rFonts w:ascii="Courier New" w:hAnsi="Courier New" w:cs="Courier New"/>
        </w:rPr>
      </w:pPr>
    </w:p>
    <w:p w14:paraId="38E06AF3" w14:textId="6A7E2BEA" w:rsidR="00DD2697" w:rsidRDefault="00E5257B" w:rsidP="00DD2697">
      <w:pPr>
        <w:spacing w:line="480" w:lineRule="auto"/>
        <w:ind w:firstLine="720"/>
        <w:jc w:val="both"/>
        <w:rPr>
          <w:rFonts w:ascii="Courier New" w:hAnsi="Courier New" w:cs="Courier New"/>
        </w:rPr>
      </w:pPr>
      <w:r w:rsidRPr="000C670E">
        <w:rPr>
          <w:rFonts w:ascii="Courier New" w:hAnsi="Courier New" w:cs="Courier New"/>
        </w:rPr>
        <w:t>The appellant presented it</w:t>
      </w:r>
      <w:r w:rsidR="00094BA1">
        <w:rPr>
          <w:rFonts w:ascii="Courier New" w:hAnsi="Courier New" w:cs="Courier New"/>
        </w:rPr>
        <w:t>s</w:t>
      </w:r>
      <w:r w:rsidRPr="000C670E">
        <w:rPr>
          <w:rFonts w:ascii="Courier New" w:hAnsi="Courier New" w:cs="Courier New"/>
        </w:rPr>
        <w:t xml:space="preserve"> case primarily through the testimony of </w:t>
      </w:r>
      <w:r w:rsidR="00013D38">
        <w:rPr>
          <w:rFonts w:ascii="Courier New" w:hAnsi="Courier New" w:cs="Courier New"/>
        </w:rPr>
        <w:t>four</w:t>
      </w:r>
      <w:r w:rsidRPr="000C670E">
        <w:rPr>
          <w:rFonts w:ascii="Courier New" w:hAnsi="Courier New" w:cs="Courier New"/>
        </w:rPr>
        <w:t xml:space="preserve"> witnesses: Mr. Donald Silvia, director of system operations for Veolia North America, an affiliate of the appellant</w:t>
      </w:r>
      <w:r w:rsidR="00017C7C">
        <w:rPr>
          <w:rFonts w:ascii="Courier New" w:hAnsi="Courier New" w:cs="Courier New"/>
        </w:rPr>
        <w:t>, testified about the appellant’s operations</w:t>
      </w:r>
      <w:r w:rsidR="000C670E" w:rsidRPr="000C670E">
        <w:rPr>
          <w:rFonts w:ascii="Courier New" w:hAnsi="Courier New" w:cs="Courier New"/>
        </w:rPr>
        <w:t xml:space="preserve">; </w:t>
      </w:r>
      <w:r w:rsidR="003C2D6B">
        <w:rPr>
          <w:rFonts w:ascii="Courier New" w:hAnsi="Courier New" w:cs="Courier New"/>
        </w:rPr>
        <w:t xml:space="preserve">Mr. </w:t>
      </w:r>
      <w:r w:rsidR="000C670E" w:rsidRPr="000C670E">
        <w:rPr>
          <w:rFonts w:ascii="Courier New" w:hAnsi="Courier New" w:cs="Courier New"/>
        </w:rPr>
        <w:t>David Walls, managing director of the energy practice at Navigant Consulting</w:t>
      </w:r>
      <w:r w:rsidR="00017C7C">
        <w:rPr>
          <w:rFonts w:ascii="Courier New" w:hAnsi="Courier New" w:cs="Courier New"/>
        </w:rPr>
        <w:t xml:space="preserve">, gave expert testimony regarding the </w:t>
      </w:r>
      <w:r w:rsidR="008C2A22">
        <w:rPr>
          <w:rFonts w:ascii="Courier New" w:hAnsi="Courier New" w:cs="Courier New"/>
        </w:rPr>
        <w:t>appellant’s operating systems</w:t>
      </w:r>
      <w:r w:rsidR="00013D38">
        <w:rPr>
          <w:rFonts w:ascii="Courier New" w:hAnsi="Courier New" w:cs="Courier New"/>
        </w:rPr>
        <w:t xml:space="preserve">; </w:t>
      </w:r>
      <w:r w:rsidR="003C2D6B">
        <w:rPr>
          <w:rFonts w:ascii="Courier New" w:hAnsi="Courier New" w:cs="Courier New"/>
        </w:rPr>
        <w:t xml:space="preserve">Mr. </w:t>
      </w:r>
      <w:r w:rsidR="00013D38">
        <w:rPr>
          <w:rFonts w:ascii="Courier New" w:hAnsi="Courier New" w:cs="Courier New"/>
        </w:rPr>
        <w:t>Steven Weafer</w:t>
      </w:r>
      <w:r w:rsidR="003C2D6B">
        <w:rPr>
          <w:rFonts w:ascii="Courier New" w:hAnsi="Courier New" w:cs="Courier New"/>
        </w:rPr>
        <w:t>, vice</w:t>
      </w:r>
      <w:r w:rsidR="003014CA">
        <w:rPr>
          <w:rFonts w:ascii="Courier New" w:hAnsi="Courier New" w:cs="Courier New"/>
        </w:rPr>
        <w:t xml:space="preserve"> </w:t>
      </w:r>
      <w:r w:rsidR="003C2D6B">
        <w:rPr>
          <w:rFonts w:ascii="Courier New" w:hAnsi="Courier New" w:cs="Courier New"/>
        </w:rPr>
        <w:t>president and head of finance for Veolia North America</w:t>
      </w:r>
      <w:r w:rsidR="008C2A22">
        <w:rPr>
          <w:rFonts w:ascii="Courier New" w:hAnsi="Courier New" w:cs="Courier New"/>
        </w:rPr>
        <w:t xml:space="preserve">, </w:t>
      </w:r>
      <w:r w:rsidR="005D4491">
        <w:rPr>
          <w:rFonts w:ascii="Courier New" w:hAnsi="Courier New" w:cs="Courier New"/>
        </w:rPr>
        <w:t>discussed</w:t>
      </w:r>
      <w:r w:rsidR="003014CA">
        <w:rPr>
          <w:rFonts w:ascii="Courier New" w:hAnsi="Courier New" w:cs="Courier New"/>
        </w:rPr>
        <w:t xml:space="preserve"> the appellant’s financial reporting</w:t>
      </w:r>
      <w:r w:rsidR="003C2D6B">
        <w:rPr>
          <w:rFonts w:ascii="Courier New" w:hAnsi="Courier New" w:cs="Courier New"/>
        </w:rPr>
        <w:t>; and Mr.</w:t>
      </w:r>
      <w:r w:rsidR="009918AC">
        <w:rPr>
          <w:rFonts w:ascii="Courier New" w:hAnsi="Courier New" w:cs="Courier New"/>
        </w:rPr>
        <w:t> </w:t>
      </w:r>
      <w:r w:rsidR="003C2D6B">
        <w:rPr>
          <w:rFonts w:ascii="Courier New" w:hAnsi="Courier New" w:cs="Courier New"/>
        </w:rPr>
        <w:t>Charles Clabaugh, director of personal property for the City of Boston Assessing Department</w:t>
      </w:r>
      <w:r w:rsidR="00017C7C">
        <w:rPr>
          <w:rFonts w:ascii="Courier New" w:hAnsi="Courier New" w:cs="Courier New"/>
        </w:rPr>
        <w:t>, testified about the contested assessment</w:t>
      </w:r>
      <w:r w:rsidR="000C670E" w:rsidRPr="000C670E">
        <w:rPr>
          <w:rFonts w:ascii="Courier New" w:hAnsi="Courier New" w:cs="Courier New"/>
        </w:rPr>
        <w:t>.</w:t>
      </w:r>
      <w:r w:rsidRPr="000C670E">
        <w:rPr>
          <w:rFonts w:ascii="Courier New" w:hAnsi="Courier New" w:cs="Courier New"/>
        </w:rPr>
        <w:t xml:space="preserve"> </w:t>
      </w:r>
      <w:r w:rsidR="003C2D6B">
        <w:rPr>
          <w:rFonts w:ascii="Courier New" w:hAnsi="Courier New" w:cs="Courier New"/>
        </w:rPr>
        <w:t xml:space="preserve">The assessors did not offer any witnesses. </w:t>
      </w:r>
      <w:r w:rsidR="00DD2697" w:rsidRPr="00AE28E1">
        <w:rPr>
          <w:rFonts w:ascii="Courier New" w:hAnsi="Courier New" w:cs="Courier New"/>
        </w:rPr>
        <w:t>Based</w:t>
      </w:r>
      <w:r w:rsidR="00DD2697">
        <w:rPr>
          <w:rFonts w:ascii="Courier New" w:hAnsi="Courier New" w:cs="Courier New"/>
        </w:rPr>
        <w:t xml:space="preserve"> on th</w:t>
      </w:r>
      <w:r w:rsidR="003C2D6B">
        <w:rPr>
          <w:rFonts w:ascii="Courier New" w:hAnsi="Courier New" w:cs="Courier New"/>
        </w:rPr>
        <w:t>e</w:t>
      </w:r>
      <w:r w:rsidR="00DD2697">
        <w:rPr>
          <w:rFonts w:ascii="Courier New" w:hAnsi="Courier New" w:cs="Courier New"/>
        </w:rPr>
        <w:t xml:space="preserve"> testimony and exhibits entered into evidence at the hearing of this appeal, as well as a Statement of Agreed Facts with attached exhibits, the Appellate Tax Board (“Board”) made the following findings of fact. </w:t>
      </w:r>
    </w:p>
    <w:p w14:paraId="1473C538" w14:textId="77777777" w:rsidR="007E4D14" w:rsidRPr="000C5016" w:rsidRDefault="007E4D14" w:rsidP="007E4D14">
      <w:pPr>
        <w:spacing w:line="480" w:lineRule="auto"/>
        <w:jc w:val="both"/>
        <w:rPr>
          <w:rFonts w:ascii="Courier New" w:hAnsi="Courier New" w:cs="Courier New"/>
          <w:b/>
          <w:u w:val="single"/>
        </w:rPr>
      </w:pPr>
      <w:r w:rsidRPr="000C5016">
        <w:rPr>
          <w:rFonts w:ascii="Courier New" w:hAnsi="Courier New" w:cs="Courier New"/>
          <w:b/>
          <w:u w:val="single"/>
        </w:rPr>
        <w:t>Introduction</w:t>
      </w:r>
      <w:r>
        <w:rPr>
          <w:rFonts w:ascii="Courier New" w:hAnsi="Courier New" w:cs="Courier New"/>
          <w:b/>
          <w:u w:val="single"/>
        </w:rPr>
        <w:t xml:space="preserve"> and Jurisdiction</w:t>
      </w:r>
    </w:p>
    <w:p w14:paraId="3861C01F" w14:textId="5330D888" w:rsidR="00452BC5" w:rsidRDefault="00577F55" w:rsidP="007E4D14">
      <w:pPr>
        <w:pStyle w:val="BodyText2"/>
        <w:ind w:firstLine="720"/>
        <w:jc w:val="both"/>
        <w:rPr>
          <w:rFonts w:ascii="Courier New" w:hAnsi="Courier New" w:cs="Courier New"/>
        </w:rPr>
      </w:pPr>
      <w:r w:rsidRPr="00741243">
        <w:rPr>
          <w:rFonts w:ascii="Courier New" w:hAnsi="Courier New" w:cs="Courier New"/>
        </w:rPr>
        <w:t>The appellant is a privately</w:t>
      </w:r>
      <w:r w:rsidR="0050708D">
        <w:rPr>
          <w:rFonts w:ascii="Courier New" w:hAnsi="Courier New" w:cs="Courier New"/>
        </w:rPr>
        <w:t>-</w:t>
      </w:r>
      <w:r w:rsidRPr="00741243">
        <w:rPr>
          <w:rFonts w:ascii="Courier New" w:hAnsi="Courier New" w:cs="Courier New"/>
        </w:rPr>
        <w:t>held corporation organized under the laws of Delaware. Its parent, Veolia Environment S.A., is a publicly</w:t>
      </w:r>
      <w:r w:rsidR="0050708D">
        <w:rPr>
          <w:rFonts w:ascii="Courier New" w:hAnsi="Courier New" w:cs="Courier New"/>
        </w:rPr>
        <w:t>-</w:t>
      </w:r>
      <w:r w:rsidRPr="00741243">
        <w:rPr>
          <w:rFonts w:ascii="Courier New" w:hAnsi="Courier New" w:cs="Courier New"/>
        </w:rPr>
        <w:t xml:space="preserve">traded company. </w:t>
      </w:r>
      <w:r w:rsidR="009346EF">
        <w:rPr>
          <w:rFonts w:ascii="Courier New" w:hAnsi="Courier New" w:cs="Courier New"/>
        </w:rPr>
        <w:t>At all times relevant to the</w:t>
      </w:r>
      <w:r w:rsidR="00452BC5">
        <w:rPr>
          <w:rFonts w:ascii="Courier New" w:hAnsi="Courier New" w:cs="Courier New"/>
        </w:rPr>
        <w:t xml:space="preserve"> fiscal year at issue, </w:t>
      </w:r>
      <w:r w:rsidR="00094BA1">
        <w:rPr>
          <w:rFonts w:ascii="Courier New" w:hAnsi="Courier New" w:cs="Courier New"/>
        </w:rPr>
        <w:t xml:space="preserve">the </w:t>
      </w:r>
      <w:r w:rsidR="00094BA1">
        <w:rPr>
          <w:rFonts w:ascii="Courier New" w:hAnsi="Courier New" w:cs="Courier New"/>
        </w:rPr>
        <w:lastRenderedPageBreak/>
        <w:t>Commissioner of Revenue</w:t>
      </w:r>
      <w:r w:rsidR="00887608">
        <w:rPr>
          <w:rFonts w:ascii="Courier New" w:hAnsi="Courier New" w:cs="Courier New"/>
        </w:rPr>
        <w:t xml:space="preserve"> (“commissioner”)</w:t>
      </w:r>
      <w:r w:rsidR="00094BA1">
        <w:rPr>
          <w:rFonts w:ascii="Courier New" w:hAnsi="Courier New" w:cs="Courier New"/>
        </w:rPr>
        <w:t xml:space="preserve"> classified </w:t>
      </w:r>
      <w:r w:rsidR="00452BC5">
        <w:rPr>
          <w:rFonts w:ascii="Courier New" w:hAnsi="Courier New" w:cs="Courier New"/>
        </w:rPr>
        <w:t xml:space="preserve">the appellant as a manufacturing corporation within the meaning of G.L. c. 63, §§ 39 and 42B and </w:t>
      </w:r>
      <w:r w:rsidR="009C3013">
        <w:rPr>
          <w:rFonts w:ascii="Courier New" w:hAnsi="Courier New" w:cs="Courier New"/>
        </w:rPr>
        <w:t xml:space="preserve">830 </w:t>
      </w:r>
      <w:r w:rsidR="00452BC5">
        <w:rPr>
          <w:rFonts w:ascii="Courier New" w:hAnsi="Courier New" w:cs="Courier New"/>
        </w:rPr>
        <w:t>CMR 58.2</w:t>
      </w:r>
      <w:r w:rsidR="007E4D14">
        <w:rPr>
          <w:rFonts w:ascii="Courier New" w:hAnsi="Courier New" w:cs="Courier New"/>
        </w:rPr>
        <w:t>.</w:t>
      </w:r>
      <w:r w:rsidR="00452BC5">
        <w:rPr>
          <w:rFonts w:ascii="Courier New" w:hAnsi="Courier New" w:cs="Courier New"/>
        </w:rPr>
        <w:t>1.</w:t>
      </w:r>
    </w:p>
    <w:p w14:paraId="191449BE" w14:textId="007233AC" w:rsidR="00452BC5" w:rsidRDefault="00452BC5" w:rsidP="00D01D66">
      <w:pPr>
        <w:pStyle w:val="BodyText2"/>
        <w:ind w:firstLine="720"/>
        <w:jc w:val="both"/>
        <w:rPr>
          <w:rFonts w:ascii="Courier New" w:hAnsi="Courier New" w:cs="Courier New"/>
        </w:rPr>
      </w:pPr>
      <w:r w:rsidRPr="00577F55">
        <w:rPr>
          <w:rFonts w:ascii="Courier New" w:hAnsi="Courier New" w:cs="Courier New"/>
        </w:rPr>
        <w:t xml:space="preserve">The </w:t>
      </w:r>
      <w:r>
        <w:rPr>
          <w:rFonts w:ascii="Courier New" w:hAnsi="Courier New" w:cs="Courier New"/>
        </w:rPr>
        <w:t>a</w:t>
      </w:r>
      <w:r w:rsidRPr="00577F55">
        <w:rPr>
          <w:rFonts w:ascii="Courier New" w:hAnsi="Courier New" w:cs="Courier New"/>
        </w:rPr>
        <w:t xml:space="preserve">ssessors valued </w:t>
      </w:r>
      <w:r w:rsidR="009C3013">
        <w:rPr>
          <w:rFonts w:ascii="Courier New" w:hAnsi="Courier New" w:cs="Courier New"/>
        </w:rPr>
        <w:t>certain</w:t>
      </w:r>
      <w:r w:rsidRPr="009121FE">
        <w:rPr>
          <w:rFonts w:ascii="Courier New" w:hAnsi="Courier New" w:cs="Courier New"/>
        </w:rPr>
        <w:t xml:space="preserve"> </w:t>
      </w:r>
      <w:r w:rsidR="001F16FA">
        <w:rPr>
          <w:rFonts w:ascii="Courier New" w:hAnsi="Courier New" w:cs="Courier New"/>
        </w:rPr>
        <w:t xml:space="preserve">of the appellant’s </w:t>
      </w:r>
      <w:r w:rsidRPr="009121FE">
        <w:rPr>
          <w:rFonts w:ascii="Courier New" w:hAnsi="Courier New" w:cs="Courier New"/>
        </w:rPr>
        <w:t>personal property</w:t>
      </w:r>
      <w:r w:rsidR="001F16FA">
        <w:rPr>
          <w:rFonts w:ascii="Courier New" w:hAnsi="Courier New" w:cs="Courier New"/>
        </w:rPr>
        <w:t>,</w:t>
      </w:r>
      <w:r w:rsidRPr="009121FE">
        <w:rPr>
          <w:rFonts w:ascii="Courier New" w:hAnsi="Courier New" w:cs="Courier New"/>
        </w:rPr>
        <w:t xml:space="preserve"> </w:t>
      </w:r>
      <w:r w:rsidR="009C3013">
        <w:rPr>
          <w:rFonts w:ascii="Courier New" w:hAnsi="Courier New" w:cs="Courier New"/>
        </w:rPr>
        <w:t>consisting principally of pipes</w:t>
      </w:r>
      <w:r w:rsidR="009C3013" w:rsidRPr="009121FE">
        <w:rPr>
          <w:rFonts w:ascii="Courier New" w:hAnsi="Courier New" w:cs="Courier New"/>
        </w:rPr>
        <w:t xml:space="preserve"> </w:t>
      </w:r>
      <w:r>
        <w:rPr>
          <w:rFonts w:ascii="Courier New" w:hAnsi="Courier New" w:cs="Courier New"/>
        </w:rPr>
        <w:t>locat</w:t>
      </w:r>
      <w:r w:rsidRPr="009121FE">
        <w:rPr>
          <w:rFonts w:ascii="Courier New" w:hAnsi="Courier New" w:cs="Courier New"/>
        </w:rPr>
        <w:t>ed within the city of Boston</w:t>
      </w:r>
      <w:r>
        <w:rPr>
          <w:rFonts w:ascii="Courier New" w:hAnsi="Courier New" w:cs="Courier New"/>
        </w:rPr>
        <w:t xml:space="preserve"> </w:t>
      </w:r>
      <w:r w:rsidRPr="009121FE">
        <w:rPr>
          <w:rFonts w:ascii="Courier New" w:hAnsi="Courier New" w:cs="Courier New"/>
        </w:rPr>
        <w:t xml:space="preserve">as of </w:t>
      </w:r>
      <w:r>
        <w:rPr>
          <w:rFonts w:ascii="Courier New" w:hAnsi="Courier New" w:cs="Courier New"/>
        </w:rPr>
        <w:t>January 1, 2013</w:t>
      </w:r>
      <w:r w:rsidR="003D76A6">
        <w:rPr>
          <w:rFonts w:ascii="Courier New" w:hAnsi="Courier New" w:cs="Courier New"/>
        </w:rPr>
        <w:t xml:space="preserve">, </w:t>
      </w:r>
      <w:r>
        <w:rPr>
          <w:rFonts w:ascii="Courier New" w:hAnsi="Courier New" w:cs="Courier New"/>
        </w:rPr>
        <w:t>(“subject</w:t>
      </w:r>
      <w:r w:rsidRPr="00577F55">
        <w:rPr>
          <w:rFonts w:ascii="Courier New" w:hAnsi="Courier New" w:cs="Courier New"/>
        </w:rPr>
        <w:t xml:space="preserve"> property</w:t>
      </w:r>
      <w:r>
        <w:rPr>
          <w:rFonts w:ascii="Courier New" w:hAnsi="Courier New" w:cs="Courier New"/>
        </w:rPr>
        <w:t>”)</w:t>
      </w:r>
      <w:r w:rsidRPr="00577F55">
        <w:rPr>
          <w:rFonts w:ascii="Courier New" w:hAnsi="Courier New" w:cs="Courier New"/>
        </w:rPr>
        <w:t xml:space="preserve"> at $62,910,630 </w:t>
      </w:r>
      <w:r>
        <w:rPr>
          <w:rFonts w:ascii="Courier New" w:hAnsi="Courier New" w:cs="Courier New"/>
        </w:rPr>
        <w:t>and assessed a</w:t>
      </w:r>
      <w:r w:rsidRPr="00577F55">
        <w:rPr>
          <w:rFonts w:ascii="Courier New" w:hAnsi="Courier New" w:cs="Courier New"/>
        </w:rPr>
        <w:t xml:space="preserve"> tax </w:t>
      </w:r>
      <w:r>
        <w:rPr>
          <w:rFonts w:ascii="Courier New" w:hAnsi="Courier New" w:cs="Courier New"/>
        </w:rPr>
        <w:t>thereon</w:t>
      </w:r>
      <w:r w:rsidR="00D15DD8">
        <w:rPr>
          <w:rFonts w:ascii="Courier New" w:hAnsi="Courier New" w:cs="Courier New"/>
        </w:rPr>
        <w:t>, at the rate of $31.18 per $1</w:t>
      </w:r>
      <w:r w:rsidR="003014CA">
        <w:rPr>
          <w:rFonts w:ascii="Courier New" w:hAnsi="Courier New" w:cs="Courier New"/>
        </w:rPr>
        <w:t>,</w:t>
      </w:r>
      <w:r w:rsidR="00D15DD8">
        <w:rPr>
          <w:rFonts w:ascii="Courier New" w:hAnsi="Courier New" w:cs="Courier New"/>
        </w:rPr>
        <w:t>000 of assessed value,</w:t>
      </w:r>
      <w:r w:rsidRPr="00577F55">
        <w:rPr>
          <w:rFonts w:ascii="Courier New" w:hAnsi="Courier New" w:cs="Courier New"/>
        </w:rPr>
        <w:t xml:space="preserve"> </w:t>
      </w:r>
      <w:r w:rsidR="00236B67">
        <w:rPr>
          <w:rFonts w:ascii="Courier New" w:hAnsi="Courier New" w:cs="Courier New"/>
        </w:rPr>
        <w:t>in the amount of</w:t>
      </w:r>
      <w:r w:rsidRPr="00577F55">
        <w:rPr>
          <w:rFonts w:ascii="Courier New" w:hAnsi="Courier New" w:cs="Courier New"/>
        </w:rPr>
        <w:t xml:space="preserve"> $1,961,553.44. The appellant </w:t>
      </w:r>
      <w:r>
        <w:rPr>
          <w:rFonts w:ascii="Courier New" w:hAnsi="Courier New" w:cs="Courier New"/>
        </w:rPr>
        <w:t xml:space="preserve">timely </w:t>
      </w:r>
      <w:r w:rsidRPr="00577F55">
        <w:rPr>
          <w:rFonts w:ascii="Courier New" w:hAnsi="Courier New" w:cs="Courier New"/>
        </w:rPr>
        <w:t xml:space="preserve">paid </w:t>
      </w:r>
      <w:r>
        <w:rPr>
          <w:rFonts w:ascii="Courier New" w:hAnsi="Courier New" w:cs="Courier New"/>
        </w:rPr>
        <w:t xml:space="preserve">the tax due </w:t>
      </w:r>
      <w:r w:rsidRPr="00577F55">
        <w:rPr>
          <w:rFonts w:ascii="Courier New" w:hAnsi="Courier New" w:cs="Courier New"/>
        </w:rPr>
        <w:t>in three installments</w:t>
      </w:r>
      <w:r>
        <w:rPr>
          <w:rFonts w:ascii="Courier New" w:hAnsi="Courier New" w:cs="Courier New"/>
        </w:rPr>
        <w:t xml:space="preserve"> and </w:t>
      </w:r>
      <w:r w:rsidRPr="00577F55">
        <w:rPr>
          <w:rFonts w:ascii="Courier New" w:hAnsi="Courier New" w:cs="Courier New"/>
        </w:rPr>
        <w:t xml:space="preserve">filed an Application for Abatement of Personal Property Tax </w:t>
      </w:r>
      <w:r w:rsidR="00DD2697">
        <w:rPr>
          <w:rFonts w:ascii="Courier New" w:hAnsi="Courier New" w:cs="Courier New"/>
        </w:rPr>
        <w:t xml:space="preserve">with respect to the subject property </w:t>
      </w:r>
      <w:r w:rsidRPr="00577F55">
        <w:rPr>
          <w:rFonts w:ascii="Courier New" w:hAnsi="Courier New" w:cs="Courier New"/>
        </w:rPr>
        <w:t xml:space="preserve">on </w:t>
      </w:r>
      <w:r w:rsidR="00C2285A">
        <w:rPr>
          <w:rFonts w:ascii="Courier New" w:hAnsi="Courier New" w:cs="Courier New"/>
        </w:rPr>
        <w:t xml:space="preserve">Monday, </w:t>
      </w:r>
      <w:r w:rsidRPr="00577F55">
        <w:rPr>
          <w:rFonts w:ascii="Courier New" w:hAnsi="Courier New" w:cs="Courier New"/>
        </w:rPr>
        <w:t xml:space="preserve">February 3, 2014. The </w:t>
      </w:r>
      <w:r w:rsidR="00DD2697">
        <w:rPr>
          <w:rFonts w:ascii="Courier New" w:hAnsi="Courier New" w:cs="Courier New"/>
        </w:rPr>
        <w:t>assessors</w:t>
      </w:r>
      <w:r w:rsidRPr="00577F55">
        <w:rPr>
          <w:rFonts w:ascii="Courier New" w:hAnsi="Courier New" w:cs="Courier New"/>
        </w:rPr>
        <w:t xml:space="preserve"> denied the </w:t>
      </w:r>
      <w:r w:rsidR="00236B67">
        <w:rPr>
          <w:rFonts w:ascii="Courier New" w:hAnsi="Courier New" w:cs="Courier New"/>
        </w:rPr>
        <w:t xml:space="preserve">appellant’s </w:t>
      </w:r>
      <w:r w:rsidR="001F16FA">
        <w:rPr>
          <w:rFonts w:ascii="Courier New" w:hAnsi="Courier New" w:cs="Courier New"/>
        </w:rPr>
        <w:t>Application for Abatement</w:t>
      </w:r>
      <w:r w:rsidRPr="00577F55">
        <w:rPr>
          <w:rFonts w:ascii="Courier New" w:hAnsi="Courier New" w:cs="Courier New"/>
        </w:rPr>
        <w:t xml:space="preserve"> on April 25, 2014, </w:t>
      </w:r>
      <w:r w:rsidR="00236B67">
        <w:rPr>
          <w:rFonts w:ascii="Courier New" w:hAnsi="Courier New" w:cs="Courier New"/>
        </w:rPr>
        <w:t xml:space="preserve">and gave </w:t>
      </w:r>
      <w:r w:rsidR="009346EF">
        <w:rPr>
          <w:rFonts w:ascii="Courier New" w:hAnsi="Courier New" w:cs="Courier New"/>
        </w:rPr>
        <w:t xml:space="preserve">the appellant </w:t>
      </w:r>
      <w:r w:rsidR="00236B67">
        <w:rPr>
          <w:rFonts w:ascii="Courier New" w:hAnsi="Courier New" w:cs="Courier New"/>
        </w:rPr>
        <w:t xml:space="preserve">written notice of the denial </w:t>
      </w:r>
      <w:r w:rsidRPr="00577F55">
        <w:rPr>
          <w:rFonts w:ascii="Courier New" w:hAnsi="Courier New" w:cs="Courier New"/>
        </w:rPr>
        <w:t xml:space="preserve">dated May 2, 2014. The appellant </w:t>
      </w:r>
      <w:r w:rsidR="00DD2697">
        <w:rPr>
          <w:rFonts w:ascii="Courier New" w:hAnsi="Courier New" w:cs="Courier New"/>
        </w:rPr>
        <w:t xml:space="preserve">seasonably </w:t>
      </w:r>
      <w:r w:rsidRPr="00577F55">
        <w:rPr>
          <w:rFonts w:ascii="Courier New" w:hAnsi="Courier New" w:cs="Courier New"/>
        </w:rPr>
        <w:t xml:space="preserve">filed a Petition Under Formal Procedure with the Board on July 24, 2014. </w:t>
      </w:r>
      <w:r w:rsidR="00DD2697" w:rsidRPr="00DD2697">
        <w:rPr>
          <w:rFonts w:ascii="Courier New" w:hAnsi="Courier New" w:cs="Courier New"/>
        </w:rPr>
        <w:t>On th</w:t>
      </w:r>
      <w:r w:rsidR="00F173B5">
        <w:rPr>
          <w:rFonts w:ascii="Courier New" w:hAnsi="Courier New" w:cs="Courier New"/>
        </w:rPr>
        <w:t>e basis of the foregoing,</w:t>
      </w:r>
      <w:r w:rsidR="00DD2697" w:rsidRPr="00DD2697">
        <w:rPr>
          <w:rFonts w:ascii="Courier New" w:hAnsi="Courier New" w:cs="Courier New"/>
        </w:rPr>
        <w:t xml:space="preserve"> the Board found and ruled that it had jurisdiction to hear and decide this appeal.</w:t>
      </w:r>
      <w:r w:rsidR="00DD2697">
        <w:rPr>
          <w:rStyle w:val="FootnoteReference"/>
          <w:rFonts w:ascii="Courier New" w:hAnsi="Courier New"/>
        </w:rPr>
        <w:footnoteReference w:id="1"/>
      </w:r>
    </w:p>
    <w:p w14:paraId="13D12C3C" w14:textId="77777777" w:rsidR="003014CA" w:rsidRPr="00DD2697" w:rsidRDefault="003014CA" w:rsidP="00D01D66">
      <w:pPr>
        <w:pStyle w:val="BodyText2"/>
        <w:ind w:firstLine="720"/>
        <w:jc w:val="both"/>
        <w:rPr>
          <w:rFonts w:ascii="Courier New" w:hAnsi="Courier New" w:cs="Courier New"/>
        </w:rPr>
      </w:pPr>
    </w:p>
    <w:p w14:paraId="1F135864" w14:textId="77777777" w:rsidR="009918AC" w:rsidRDefault="009918AC" w:rsidP="000C5016">
      <w:pPr>
        <w:jc w:val="both"/>
        <w:rPr>
          <w:rFonts w:ascii="Courier New" w:hAnsi="Courier New" w:cs="Courier New"/>
          <w:b/>
          <w:u w:val="single"/>
        </w:rPr>
      </w:pPr>
    </w:p>
    <w:p w14:paraId="3A5DC7C1" w14:textId="77777777" w:rsidR="00452BC5" w:rsidRPr="000C5016" w:rsidRDefault="000C5016" w:rsidP="000C5016">
      <w:pPr>
        <w:jc w:val="both"/>
        <w:rPr>
          <w:rFonts w:ascii="Courier New" w:hAnsi="Courier New" w:cs="Courier New"/>
          <w:b/>
          <w:u w:val="single"/>
        </w:rPr>
      </w:pPr>
      <w:r w:rsidRPr="000C5016">
        <w:rPr>
          <w:rFonts w:ascii="Courier New" w:hAnsi="Courier New" w:cs="Courier New"/>
          <w:b/>
          <w:u w:val="single"/>
        </w:rPr>
        <w:lastRenderedPageBreak/>
        <w:t>Appellant’s Business</w:t>
      </w:r>
      <w:r w:rsidR="00F173B5">
        <w:rPr>
          <w:rFonts w:ascii="Courier New" w:hAnsi="Courier New" w:cs="Courier New"/>
          <w:b/>
          <w:u w:val="single"/>
        </w:rPr>
        <w:t xml:space="preserve"> in Massachusetts</w:t>
      </w:r>
      <w:r w:rsidRPr="000C5016">
        <w:rPr>
          <w:rFonts w:ascii="Courier New" w:hAnsi="Courier New" w:cs="Courier New"/>
          <w:b/>
          <w:u w:val="single"/>
        </w:rPr>
        <w:t xml:space="preserve"> </w:t>
      </w:r>
    </w:p>
    <w:p w14:paraId="3AC506C3" w14:textId="77777777" w:rsidR="00EA387E" w:rsidRPr="00BA05FD" w:rsidRDefault="00627ACE" w:rsidP="003B3B35">
      <w:pPr>
        <w:pStyle w:val="BodyText"/>
        <w:rPr>
          <w:b/>
        </w:rPr>
      </w:pPr>
      <w:r w:rsidRPr="00BA05FD">
        <w:rPr>
          <w:b/>
        </w:rPr>
        <w:t xml:space="preserve"> </w:t>
      </w:r>
      <w:r w:rsidR="00EA387E" w:rsidRPr="00BA05FD">
        <w:rPr>
          <w:b/>
        </w:rPr>
        <w:t xml:space="preserve"> </w:t>
      </w:r>
    </w:p>
    <w:p w14:paraId="33C66D7E" w14:textId="283618E2" w:rsidR="009346EF" w:rsidRDefault="00A0040E" w:rsidP="009346EF">
      <w:pPr>
        <w:spacing w:line="480" w:lineRule="auto"/>
        <w:ind w:firstLine="720"/>
        <w:jc w:val="both"/>
        <w:rPr>
          <w:rFonts w:ascii="Courier New" w:hAnsi="Courier New" w:cs="Courier New"/>
        </w:rPr>
      </w:pPr>
      <w:r w:rsidRPr="000C5016">
        <w:rPr>
          <w:rFonts w:ascii="Courier New" w:hAnsi="Courier New" w:cs="Courier New"/>
        </w:rPr>
        <w:t xml:space="preserve">The appellant owns and operates a </w:t>
      </w:r>
      <w:r w:rsidR="007E4D14">
        <w:rPr>
          <w:rFonts w:ascii="Courier New" w:hAnsi="Courier New" w:cs="Courier New"/>
        </w:rPr>
        <w:t>“</w:t>
      </w:r>
      <w:r w:rsidRPr="000C5016">
        <w:rPr>
          <w:rFonts w:ascii="Courier New" w:hAnsi="Courier New" w:cs="Courier New"/>
        </w:rPr>
        <w:t>district energy network</w:t>
      </w:r>
      <w:r w:rsidR="007E4D14">
        <w:rPr>
          <w:rFonts w:ascii="Courier New" w:hAnsi="Courier New" w:cs="Courier New"/>
        </w:rPr>
        <w:t>”</w:t>
      </w:r>
      <w:r w:rsidRPr="000C5016">
        <w:rPr>
          <w:rFonts w:ascii="Courier New" w:hAnsi="Courier New" w:cs="Courier New"/>
        </w:rPr>
        <w:t xml:space="preserve"> in Boston and assists in the operation of a </w:t>
      </w:r>
      <w:r w:rsidR="009C3013">
        <w:rPr>
          <w:rFonts w:ascii="Courier New" w:hAnsi="Courier New" w:cs="Courier New"/>
        </w:rPr>
        <w:t>similar network</w:t>
      </w:r>
      <w:r w:rsidRPr="000C5016">
        <w:rPr>
          <w:rFonts w:ascii="Courier New" w:hAnsi="Courier New" w:cs="Courier New"/>
        </w:rPr>
        <w:t xml:space="preserve"> in Cambridge</w:t>
      </w:r>
      <w:r w:rsidR="009C3013">
        <w:rPr>
          <w:rFonts w:ascii="Courier New" w:hAnsi="Courier New" w:cs="Courier New"/>
        </w:rPr>
        <w:t>, which</w:t>
      </w:r>
      <w:r w:rsidR="000C5016">
        <w:rPr>
          <w:rFonts w:ascii="Courier New" w:hAnsi="Courier New" w:cs="Courier New"/>
        </w:rPr>
        <w:t xml:space="preserve"> includes a co-generation facility</w:t>
      </w:r>
      <w:r w:rsidR="00B57640" w:rsidRPr="000C5016">
        <w:rPr>
          <w:rStyle w:val="FootnoteReference"/>
          <w:rFonts w:ascii="Courier New" w:hAnsi="Courier New" w:cs="Courier New"/>
        </w:rPr>
        <w:footnoteReference w:id="2"/>
      </w:r>
      <w:r w:rsidR="00B57640" w:rsidRPr="00B57640">
        <w:rPr>
          <w:rFonts w:ascii="Courier New" w:hAnsi="Courier New" w:cs="Courier New"/>
        </w:rPr>
        <w:t xml:space="preserve"> </w:t>
      </w:r>
      <w:r w:rsidR="00F173B5">
        <w:rPr>
          <w:rFonts w:ascii="Courier New" w:hAnsi="Courier New" w:cs="Courier New"/>
        </w:rPr>
        <w:t>(the “Boston Network” and the “Cambridge Network,” respectively</w:t>
      </w:r>
      <w:r w:rsidR="003D76A6">
        <w:rPr>
          <w:rFonts w:ascii="Courier New" w:hAnsi="Courier New" w:cs="Courier New"/>
        </w:rPr>
        <w:t>,</w:t>
      </w:r>
      <w:r w:rsidR="00F173B5">
        <w:rPr>
          <w:rFonts w:ascii="Courier New" w:hAnsi="Courier New" w:cs="Courier New"/>
        </w:rPr>
        <w:t xml:space="preserve"> and collectively, the “Networks”).</w:t>
      </w:r>
      <w:r w:rsidR="00A25C96">
        <w:rPr>
          <w:rStyle w:val="FootnoteReference"/>
          <w:rFonts w:ascii="Courier New" w:hAnsi="Courier New"/>
        </w:rPr>
        <w:footnoteReference w:id="3"/>
      </w:r>
      <w:r w:rsidR="00F173B5">
        <w:rPr>
          <w:rFonts w:ascii="Courier New" w:hAnsi="Courier New" w:cs="Courier New"/>
        </w:rPr>
        <w:t xml:space="preserve"> </w:t>
      </w:r>
      <w:r w:rsidR="009346EF" w:rsidRPr="000C5016">
        <w:rPr>
          <w:rFonts w:ascii="Courier New" w:hAnsi="Courier New" w:cs="Courier New"/>
        </w:rPr>
        <w:t xml:space="preserve">The </w:t>
      </w:r>
      <w:r w:rsidR="009346EF">
        <w:rPr>
          <w:rFonts w:ascii="Courier New" w:hAnsi="Courier New" w:cs="Courier New"/>
        </w:rPr>
        <w:t>Boston Network is a steam system that converts chemical energy from natural gas and fuel oil into high</w:t>
      </w:r>
      <w:r w:rsidR="009C3013">
        <w:rPr>
          <w:rFonts w:ascii="Courier New" w:hAnsi="Courier New" w:cs="Courier New"/>
        </w:rPr>
        <w:t>-</w:t>
      </w:r>
      <w:r w:rsidR="009346EF">
        <w:rPr>
          <w:rFonts w:ascii="Courier New" w:hAnsi="Courier New" w:cs="Courier New"/>
        </w:rPr>
        <w:t>pressure steam and then distributes the high</w:t>
      </w:r>
      <w:r w:rsidR="009C3013">
        <w:rPr>
          <w:rFonts w:ascii="Courier New" w:hAnsi="Courier New" w:cs="Courier New"/>
        </w:rPr>
        <w:t>-</w:t>
      </w:r>
      <w:r w:rsidR="009346EF">
        <w:rPr>
          <w:rFonts w:ascii="Courier New" w:hAnsi="Courier New" w:cs="Courier New"/>
        </w:rPr>
        <w:t xml:space="preserve">pressure steam. The Cambridge Network also converts chemical energy into steam and electrical energy. </w:t>
      </w:r>
    </w:p>
    <w:p w14:paraId="33A143E7" w14:textId="51E27CE6" w:rsidR="00E5257B" w:rsidRPr="00B3264F" w:rsidRDefault="00E5257B" w:rsidP="00E5257B">
      <w:pPr>
        <w:spacing w:line="480" w:lineRule="auto"/>
        <w:ind w:firstLine="720"/>
        <w:jc w:val="both"/>
        <w:rPr>
          <w:rFonts w:ascii="Courier New" w:hAnsi="Courier New" w:cs="Courier New"/>
        </w:rPr>
      </w:pPr>
      <w:r w:rsidRPr="00B3264F">
        <w:rPr>
          <w:rFonts w:ascii="Courier New" w:hAnsi="Courier New" w:cs="Courier New"/>
        </w:rPr>
        <w:t xml:space="preserve">The </w:t>
      </w:r>
      <w:r>
        <w:rPr>
          <w:rFonts w:ascii="Courier New" w:hAnsi="Courier New" w:cs="Courier New"/>
        </w:rPr>
        <w:t>Boston N</w:t>
      </w:r>
      <w:r w:rsidRPr="00B3264F">
        <w:rPr>
          <w:rFonts w:ascii="Courier New" w:hAnsi="Courier New" w:cs="Courier New"/>
        </w:rPr>
        <w:t xml:space="preserve">etwork </w:t>
      </w:r>
      <w:r>
        <w:rPr>
          <w:rFonts w:ascii="Courier New" w:hAnsi="Courier New" w:cs="Courier New"/>
        </w:rPr>
        <w:t>serves</w:t>
      </w:r>
      <w:r w:rsidRPr="00B3264F">
        <w:rPr>
          <w:rFonts w:ascii="Courier New" w:hAnsi="Courier New" w:cs="Courier New"/>
        </w:rPr>
        <w:t xml:space="preserve"> approximately 250 commercial, health care, government, institutional, and hospitality customers, who use the steam </w:t>
      </w:r>
      <w:r>
        <w:rPr>
          <w:rFonts w:ascii="Courier New" w:hAnsi="Courier New" w:cs="Courier New"/>
        </w:rPr>
        <w:t xml:space="preserve">(and in at least one instance, hot water) </w:t>
      </w:r>
      <w:r w:rsidRPr="00B3264F">
        <w:rPr>
          <w:rFonts w:ascii="Courier New" w:hAnsi="Courier New" w:cs="Courier New"/>
        </w:rPr>
        <w:t>for</w:t>
      </w:r>
      <w:r>
        <w:rPr>
          <w:rFonts w:ascii="Courier New" w:hAnsi="Courier New" w:cs="Courier New"/>
        </w:rPr>
        <w:t xml:space="preserve"> various</w:t>
      </w:r>
      <w:r w:rsidRPr="00B3264F">
        <w:rPr>
          <w:rFonts w:ascii="Courier New" w:hAnsi="Courier New" w:cs="Courier New"/>
        </w:rPr>
        <w:t xml:space="preserve"> purposes</w:t>
      </w:r>
      <w:r>
        <w:rPr>
          <w:rFonts w:ascii="Courier New" w:hAnsi="Courier New" w:cs="Courier New"/>
        </w:rPr>
        <w:t>, including power generation,</w:t>
      </w:r>
      <w:r w:rsidRPr="00B3264F">
        <w:rPr>
          <w:rFonts w:ascii="Courier New" w:hAnsi="Courier New" w:cs="Courier New"/>
        </w:rPr>
        <w:t xml:space="preserve"> sterilization, heating, and cooling. </w:t>
      </w:r>
      <w:r>
        <w:rPr>
          <w:rFonts w:ascii="Courier New" w:hAnsi="Courier New" w:cs="Courier New"/>
        </w:rPr>
        <w:t>T</w:t>
      </w:r>
      <w:r w:rsidRPr="00B3264F">
        <w:rPr>
          <w:rFonts w:ascii="Courier New" w:hAnsi="Courier New" w:cs="Courier New"/>
        </w:rPr>
        <w:t xml:space="preserve">he appellant </w:t>
      </w:r>
      <w:r>
        <w:rPr>
          <w:rFonts w:ascii="Courier New" w:hAnsi="Courier New" w:cs="Courier New"/>
        </w:rPr>
        <w:t xml:space="preserve">also </w:t>
      </w:r>
      <w:r w:rsidRPr="00B3264F">
        <w:rPr>
          <w:rFonts w:ascii="Courier New" w:hAnsi="Courier New" w:cs="Courier New"/>
        </w:rPr>
        <w:t xml:space="preserve">provides maintenance and operation services to some of its customers. Customers are typically billed </w:t>
      </w:r>
      <w:r>
        <w:rPr>
          <w:rFonts w:ascii="Courier New" w:hAnsi="Courier New" w:cs="Courier New"/>
        </w:rPr>
        <w:t xml:space="preserve">based </w:t>
      </w:r>
      <w:r w:rsidRPr="00B3264F">
        <w:rPr>
          <w:rFonts w:ascii="Courier New" w:hAnsi="Courier New" w:cs="Courier New"/>
        </w:rPr>
        <w:t xml:space="preserve">on </w:t>
      </w:r>
      <w:r>
        <w:rPr>
          <w:rFonts w:ascii="Courier New" w:hAnsi="Courier New" w:cs="Courier New"/>
        </w:rPr>
        <w:t xml:space="preserve">their </w:t>
      </w:r>
      <w:r w:rsidRPr="00B3264F">
        <w:rPr>
          <w:rFonts w:ascii="Courier New" w:hAnsi="Courier New" w:cs="Courier New"/>
        </w:rPr>
        <w:t>steam consumption.</w:t>
      </w:r>
    </w:p>
    <w:p w14:paraId="5816E7B7" w14:textId="48DD9ABA" w:rsidR="00A0040E" w:rsidRPr="005328BC" w:rsidRDefault="00A0040E" w:rsidP="005328BC">
      <w:pPr>
        <w:spacing w:line="480" w:lineRule="auto"/>
        <w:ind w:firstLine="720"/>
        <w:jc w:val="both"/>
        <w:rPr>
          <w:rFonts w:ascii="Courier New" w:hAnsi="Courier New" w:cs="Courier New"/>
        </w:rPr>
      </w:pPr>
      <w:r w:rsidRPr="005328BC">
        <w:rPr>
          <w:rFonts w:ascii="Courier New" w:hAnsi="Courier New" w:cs="Courier New"/>
        </w:rPr>
        <w:lastRenderedPageBreak/>
        <w:t xml:space="preserve">The Boston </w:t>
      </w:r>
      <w:r w:rsidR="005328BC" w:rsidRPr="005328BC">
        <w:rPr>
          <w:rFonts w:ascii="Courier New" w:hAnsi="Courier New" w:cs="Courier New"/>
        </w:rPr>
        <w:t>N</w:t>
      </w:r>
      <w:r w:rsidRPr="005328BC">
        <w:rPr>
          <w:rFonts w:ascii="Courier New" w:hAnsi="Courier New" w:cs="Courier New"/>
        </w:rPr>
        <w:t xml:space="preserve">etwork and the Cambridge </w:t>
      </w:r>
      <w:r w:rsidR="005328BC" w:rsidRPr="005328BC">
        <w:rPr>
          <w:rFonts w:ascii="Courier New" w:hAnsi="Courier New" w:cs="Courier New"/>
        </w:rPr>
        <w:t>N</w:t>
      </w:r>
      <w:r w:rsidRPr="005328BC">
        <w:rPr>
          <w:rFonts w:ascii="Courier New" w:hAnsi="Courier New" w:cs="Courier New"/>
        </w:rPr>
        <w:t xml:space="preserve">etwork are </w:t>
      </w:r>
      <w:r w:rsidR="005328BC" w:rsidRPr="005328BC">
        <w:rPr>
          <w:rFonts w:ascii="Courier New" w:hAnsi="Courier New" w:cs="Courier New"/>
        </w:rPr>
        <w:t>interdependent, and the</w:t>
      </w:r>
      <w:r w:rsidR="003D76A6">
        <w:rPr>
          <w:rFonts w:ascii="Courier New" w:hAnsi="Courier New" w:cs="Courier New"/>
        </w:rPr>
        <w:t xml:space="preserve"> high-pressure</w:t>
      </w:r>
      <w:r w:rsidR="005328BC" w:rsidRPr="005328BC">
        <w:rPr>
          <w:rFonts w:ascii="Courier New" w:hAnsi="Courier New" w:cs="Courier New"/>
        </w:rPr>
        <w:t xml:space="preserve"> steam generated by </w:t>
      </w:r>
      <w:r w:rsidR="003D76A6">
        <w:rPr>
          <w:rFonts w:ascii="Courier New" w:hAnsi="Courier New" w:cs="Courier New"/>
        </w:rPr>
        <w:t>each Network is distributed between the Networks as well as within a given Network.</w:t>
      </w:r>
      <w:r w:rsidR="005328BC" w:rsidRPr="005328BC">
        <w:rPr>
          <w:rFonts w:ascii="Courier New" w:hAnsi="Courier New" w:cs="Courier New"/>
        </w:rPr>
        <w:t xml:space="preserve"> The Networks are physically </w:t>
      </w:r>
      <w:r w:rsidRPr="005328BC">
        <w:rPr>
          <w:rFonts w:ascii="Courier New" w:hAnsi="Courier New" w:cs="Courier New"/>
        </w:rPr>
        <w:t>connected by two sets of pipes and</w:t>
      </w:r>
      <w:r w:rsidR="005328BC" w:rsidRPr="005328BC">
        <w:rPr>
          <w:rFonts w:ascii="Courier New" w:hAnsi="Courier New" w:cs="Courier New"/>
        </w:rPr>
        <w:t xml:space="preserve"> </w:t>
      </w:r>
      <w:r w:rsidR="001C15CF">
        <w:rPr>
          <w:rFonts w:ascii="Courier New" w:hAnsi="Courier New" w:cs="Courier New"/>
        </w:rPr>
        <w:t>a variety of</w:t>
      </w:r>
      <w:r w:rsidR="005328BC" w:rsidRPr="005328BC">
        <w:rPr>
          <w:rFonts w:ascii="Courier New" w:hAnsi="Courier New" w:cs="Courier New"/>
        </w:rPr>
        <w:t xml:space="preserve"> </w:t>
      </w:r>
      <w:r w:rsidRPr="005328BC">
        <w:rPr>
          <w:rFonts w:ascii="Courier New" w:hAnsi="Courier New" w:cs="Courier New"/>
        </w:rPr>
        <w:t xml:space="preserve">equipment. One set of pipes follows the Charles River Dam Road </w:t>
      </w:r>
      <w:r w:rsidR="005328BC" w:rsidRPr="005328BC">
        <w:rPr>
          <w:rFonts w:ascii="Courier New" w:hAnsi="Courier New" w:cs="Courier New"/>
        </w:rPr>
        <w:t xml:space="preserve">near the </w:t>
      </w:r>
      <w:r w:rsidRPr="005328BC">
        <w:rPr>
          <w:rFonts w:ascii="Courier New" w:hAnsi="Courier New" w:cs="Courier New"/>
        </w:rPr>
        <w:t>Museum of Science</w:t>
      </w:r>
      <w:r w:rsidR="005328BC" w:rsidRPr="005328BC">
        <w:rPr>
          <w:rFonts w:ascii="Courier New" w:hAnsi="Courier New" w:cs="Courier New"/>
        </w:rPr>
        <w:t xml:space="preserve"> and t</w:t>
      </w:r>
      <w:r w:rsidRPr="005328BC">
        <w:rPr>
          <w:rFonts w:ascii="Courier New" w:hAnsi="Courier New" w:cs="Courier New"/>
        </w:rPr>
        <w:t xml:space="preserve">he other set crosses the Charles River, attached to the Longfellow Bridge.  </w:t>
      </w:r>
    </w:p>
    <w:p w14:paraId="01C44BA0" w14:textId="4E6AF793" w:rsidR="00A0040E" w:rsidRPr="001C15CF" w:rsidRDefault="005328BC" w:rsidP="001C15CF">
      <w:pPr>
        <w:spacing w:line="480" w:lineRule="auto"/>
        <w:ind w:firstLine="720"/>
        <w:jc w:val="both"/>
        <w:rPr>
          <w:rFonts w:ascii="Courier New" w:hAnsi="Courier New" w:cs="Courier New"/>
        </w:rPr>
      </w:pPr>
      <w:r w:rsidRPr="001C15CF">
        <w:rPr>
          <w:rFonts w:ascii="Courier New" w:hAnsi="Courier New" w:cs="Courier New"/>
        </w:rPr>
        <w:t>The</w:t>
      </w:r>
      <w:r w:rsidR="00A0040E" w:rsidRPr="001C15CF">
        <w:rPr>
          <w:rFonts w:ascii="Courier New" w:hAnsi="Courier New" w:cs="Courier New"/>
        </w:rPr>
        <w:t xml:space="preserve"> high-pressure steam </w:t>
      </w:r>
      <w:r w:rsidRPr="001C15CF">
        <w:rPr>
          <w:rFonts w:ascii="Courier New" w:hAnsi="Courier New" w:cs="Courier New"/>
        </w:rPr>
        <w:t xml:space="preserve">is initially generated </w:t>
      </w:r>
      <w:r w:rsidR="00A0040E" w:rsidRPr="001C15CF">
        <w:rPr>
          <w:rFonts w:ascii="Courier New" w:hAnsi="Courier New" w:cs="Courier New"/>
        </w:rPr>
        <w:t>at three generation facilities</w:t>
      </w:r>
      <w:r w:rsidRPr="001C15CF">
        <w:rPr>
          <w:rFonts w:ascii="Courier New" w:hAnsi="Courier New" w:cs="Courier New"/>
        </w:rPr>
        <w:t xml:space="preserve"> (“Generation Facilities”)</w:t>
      </w:r>
      <w:r w:rsidR="00A0040E" w:rsidRPr="001C15CF">
        <w:rPr>
          <w:rFonts w:ascii="Courier New" w:hAnsi="Courier New" w:cs="Courier New"/>
        </w:rPr>
        <w:t xml:space="preserve">: the Kneeland Facility, located on Kneeland Street in Boston; the Scotia Facility, located on Scotia Street in Boston; and Kendall Station, located in Cambridge. </w:t>
      </w:r>
      <w:r w:rsidR="001C15CF" w:rsidRPr="001C15CF">
        <w:rPr>
          <w:rFonts w:ascii="Courier New" w:hAnsi="Courier New" w:cs="Courier New"/>
        </w:rPr>
        <w:t>T</w:t>
      </w:r>
      <w:r w:rsidR="00A0040E" w:rsidRPr="001C15CF">
        <w:rPr>
          <w:rFonts w:ascii="Courier New" w:hAnsi="Courier New" w:cs="Courier New"/>
        </w:rPr>
        <w:t>he Scotia Facility also generates hot water</w:t>
      </w:r>
      <w:r w:rsidR="001C15CF" w:rsidRPr="001C15CF">
        <w:rPr>
          <w:rFonts w:ascii="Courier New" w:hAnsi="Courier New" w:cs="Courier New"/>
        </w:rPr>
        <w:t xml:space="preserve"> and </w:t>
      </w:r>
      <w:r w:rsidR="00A0040E" w:rsidRPr="001C15CF">
        <w:rPr>
          <w:rFonts w:ascii="Courier New" w:hAnsi="Courier New" w:cs="Courier New"/>
        </w:rPr>
        <w:t>Kendall Station generates electricity</w:t>
      </w:r>
      <w:r w:rsidR="001C15CF" w:rsidRPr="001C15CF">
        <w:rPr>
          <w:rFonts w:ascii="Courier New" w:hAnsi="Courier New" w:cs="Courier New"/>
        </w:rPr>
        <w:t xml:space="preserve"> that is</w:t>
      </w:r>
      <w:r w:rsidR="00A0040E" w:rsidRPr="001C15CF">
        <w:rPr>
          <w:rFonts w:ascii="Courier New" w:hAnsi="Courier New" w:cs="Courier New"/>
        </w:rPr>
        <w:t xml:space="preserve"> fed through a substation and sold on the Independent System Operator New England wholesale market. </w:t>
      </w:r>
    </w:p>
    <w:p w14:paraId="6295DB11" w14:textId="0B93B03A" w:rsidR="00E64531" w:rsidRDefault="00A0040E" w:rsidP="00814B2C">
      <w:pPr>
        <w:spacing w:line="480" w:lineRule="auto"/>
        <w:ind w:firstLine="720"/>
        <w:jc w:val="both"/>
        <w:rPr>
          <w:rFonts w:ascii="Courier New" w:hAnsi="Courier New" w:cs="Courier New"/>
        </w:rPr>
      </w:pPr>
      <w:r w:rsidRPr="00814B2C">
        <w:rPr>
          <w:rFonts w:ascii="Courier New" w:hAnsi="Courier New" w:cs="Courier New"/>
        </w:rPr>
        <w:t xml:space="preserve">The </w:t>
      </w:r>
      <w:r w:rsidR="001C15CF" w:rsidRPr="00814B2C">
        <w:rPr>
          <w:rFonts w:ascii="Courier New" w:hAnsi="Courier New" w:cs="Courier New"/>
        </w:rPr>
        <w:t>G</w:t>
      </w:r>
      <w:r w:rsidRPr="00814B2C">
        <w:rPr>
          <w:rFonts w:ascii="Courier New" w:hAnsi="Courier New" w:cs="Courier New"/>
        </w:rPr>
        <w:t xml:space="preserve">eneration </w:t>
      </w:r>
      <w:r w:rsidR="001C15CF" w:rsidRPr="00814B2C">
        <w:rPr>
          <w:rFonts w:ascii="Courier New" w:hAnsi="Courier New" w:cs="Courier New"/>
        </w:rPr>
        <w:t>F</w:t>
      </w:r>
      <w:r w:rsidRPr="00814B2C">
        <w:rPr>
          <w:rFonts w:ascii="Courier New" w:hAnsi="Courier New" w:cs="Courier New"/>
        </w:rPr>
        <w:t xml:space="preserve">acilities perform </w:t>
      </w:r>
      <w:r w:rsidR="001C15CF" w:rsidRPr="00814B2C">
        <w:rPr>
          <w:rFonts w:ascii="Courier New" w:hAnsi="Courier New" w:cs="Courier New"/>
        </w:rPr>
        <w:t>a number of functions</w:t>
      </w:r>
      <w:r w:rsidRPr="00814B2C">
        <w:rPr>
          <w:rFonts w:ascii="Courier New" w:hAnsi="Courier New" w:cs="Courier New"/>
        </w:rPr>
        <w:t>, including water treatment, fuel treatment</w:t>
      </w:r>
      <w:r w:rsidR="001C15CF" w:rsidRPr="00814B2C">
        <w:rPr>
          <w:rFonts w:ascii="Courier New" w:hAnsi="Courier New" w:cs="Courier New"/>
        </w:rPr>
        <w:t xml:space="preserve"> and storage</w:t>
      </w:r>
      <w:r w:rsidRPr="00814B2C">
        <w:rPr>
          <w:rFonts w:ascii="Courier New" w:hAnsi="Courier New" w:cs="Courier New"/>
        </w:rPr>
        <w:t xml:space="preserve">, and </w:t>
      </w:r>
      <w:r w:rsidR="001C15CF" w:rsidRPr="00814B2C">
        <w:rPr>
          <w:rFonts w:ascii="Courier New" w:hAnsi="Courier New" w:cs="Courier New"/>
        </w:rPr>
        <w:t>high</w:t>
      </w:r>
      <w:r w:rsidR="009C3013">
        <w:rPr>
          <w:rFonts w:ascii="Courier New" w:hAnsi="Courier New" w:cs="Courier New"/>
        </w:rPr>
        <w:t>-</w:t>
      </w:r>
      <w:r w:rsidR="001C15CF" w:rsidRPr="00814B2C">
        <w:rPr>
          <w:rFonts w:ascii="Courier New" w:hAnsi="Courier New" w:cs="Courier New"/>
        </w:rPr>
        <w:t>pressure steam</w:t>
      </w:r>
      <w:r w:rsidRPr="00814B2C">
        <w:rPr>
          <w:rFonts w:ascii="Courier New" w:hAnsi="Courier New" w:cs="Courier New"/>
        </w:rPr>
        <w:t xml:space="preserve"> generation. </w:t>
      </w:r>
      <w:r w:rsidR="001C15CF" w:rsidRPr="00814B2C">
        <w:rPr>
          <w:rFonts w:ascii="Courier New" w:hAnsi="Courier New" w:cs="Courier New"/>
        </w:rPr>
        <w:t>With respect to w</w:t>
      </w:r>
      <w:r w:rsidRPr="00814B2C">
        <w:rPr>
          <w:rFonts w:ascii="Courier New" w:hAnsi="Courier New" w:cs="Courier New"/>
        </w:rPr>
        <w:t>ater treatment</w:t>
      </w:r>
      <w:r w:rsidR="001C15CF" w:rsidRPr="00814B2C">
        <w:rPr>
          <w:rFonts w:ascii="Courier New" w:hAnsi="Courier New" w:cs="Courier New"/>
        </w:rPr>
        <w:t xml:space="preserve">, </w:t>
      </w:r>
      <w:r w:rsidRPr="00814B2C">
        <w:rPr>
          <w:rFonts w:ascii="Courier New" w:hAnsi="Courier New" w:cs="Courier New"/>
        </w:rPr>
        <w:t>boiler feed water</w:t>
      </w:r>
      <w:r w:rsidR="001C15CF" w:rsidRPr="00814B2C">
        <w:rPr>
          <w:rFonts w:ascii="Courier New" w:hAnsi="Courier New" w:cs="Courier New"/>
        </w:rPr>
        <w:t>,</w:t>
      </w:r>
      <w:r w:rsidRPr="00814B2C">
        <w:rPr>
          <w:rFonts w:ascii="Courier New" w:hAnsi="Courier New" w:cs="Courier New"/>
        </w:rPr>
        <w:t xml:space="preserve"> which </w:t>
      </w:r>
      <w:r w:rsidR="001C15CF" w:rsidRPr="00814B2C">
        <w:rPr>
          <w:rFonts w:ascii="Courier New" w:hAnsi="Courier New" w:cs="Courier New"/>
        </w:rPr>
        <w:t>is used to generate steam,</w:t>
      </w:r>
      <w:r w:rsidRPr="00814B2C">
        <w:rPr>
          <w:rFonts w:ascii="Courier New" w:hAnsi="Courier New" w:cs="Courier New"/>
        </w:rPr>
        <w:t xml:space="preserve"> is treated to remove contaminants. </w:t>
      </w:r>
      <w:r w:rsidR="001C15CF" w:rsidRPr="00814B2C">
        <w:rPr>
          <w:rFonts w:ascii="Courier New" w:hAnsi="Courier New" w:cs="Courier New"/>
        </w:rPr>
        <w:t xml:space="preserve">The decontamination process </w:t>
      </w:r>
      <w:r w:rsidRPr="00814B2C">
        <w:rPr>
          <w:rFonts w:ascii="Courier New" w:hAnsi="Courier New" w:cs="Courier New"/>
        </w:rPr>
        <w:t xml:space="preserve">prevents scaling, corrosion, foaming, and other </w:t>
      </w:r>
      <w:r w:rsidR="001C15CF" w:rsidRPr="00814B2C">
        <w:rPr>
          <w:rFonts w:ascii="Courier New" w:hAnsi="Courier New" w:cs="Courier New"/>
        </w:rPr>
        <w:t xml:space="preserve">adverse </w:t>
      </w:r>
      <w:r w:rsidRPr="00814B2C">
        <w:rPr>
          <w:rFonts w:ascii="Courier New" w:hAnsi="Courier New" w:cs="Courier New"/>
        </w:rPr>
        <w:t>impact</w:t>
      </w:r>
      <w:r w:rsidR="001C15CF" w:rsidRPr="00814B2C">
        <w:rPr>
          <w:rFonts w:ascii="Courier New" w:hAnsi="Courier New" w:cs="Courier New"/>
        </w:rPr>
        <w:t>s</w:t>
      </w:r>
      <w:r w:rsidRPr="00814B2C">
        <w:rPr>
          <w:rFonts w:ascii="Courier New" w:hAnsi="Courier New" w:cs="Courier New"/>
        </w:rPr>
        <w:t xml:space="preserve"> on boiler</w:t>
      </w:r>
      <w:r w:rsidR="001C15CF" w:rsidRPr="00814B2C">
        <w:rPr>
          <w:rFonts w:ascii="Courier New" w:hAnsi="Courier New" w:cs="Courier New"/>
        </w:rPr>
        <w:t xml:space="preserve"> operation</w:t>
      </w:r>
      <w:r w:rsidRPr="00814B2C">
        <w:rPr>
          <w:rFonts w:ascii="Courier New" w:hAnsi="Courier New" w:cs="Courier New"/>
        </w:rPr>
        <w:t xml:space="preserve">. </w:t>
      </w:r>
      <w:r w:rsidR="00814B2C" w:rsidRPr="00814B2C">
        <w:rPr>
          <w:rFonts w:ascii="Courier New" w:hAnsi="Courier New" w:cs="Courier New"/>
        </w:rPr>
        <w:lastRenderedPageBreak/>
        <w:t>Each Generation Facility stores fuel oil and is supplied with natural gas, which are burned by the steam generation equipment</w:t>
      </w:r>
      <w:r w:rsidRPr="00814B2C">
        <w:rPr>
          <w:rFonts w:ascii="Courier New" w:hAnsi="Courier New" w:cs="Courier New"/>
        </w:rPr>
        <w:t xml:space="preserve">. </w:t>
      </w:r>
      <w:r w:rsidR="00814B2C" w:rsidRPr="00814B2C">
        <w:rPr>
          <w:rFonts w:ascii="Courier New" w:hAnsi="Courier New" w:cs="Courier New"/>
        </w:rPr>
        <w:t>T</w:t>
      </w:r>
      <w:r w:rsidRPr="00814B2C">
        <w:rPr>
          <w:rFonts w:ascii="Courier New" w:hAnsi="Courier New" w:cs="Courier New"/>
        </w:rPr>
        <w:t xml:space="preserve">he </w:t>
      </w:r>
      <w:r w:rsidR="00814B2C" w:rsidRPr="00814B2C">
        <w:rPr>
          <w:rFonts w:ascii="Courier New" w:hAnsi="Courier New" w:cs="Courier New"/>
        </w:rPr>
        <w:t>G</w:t>
      </w:r>
      <w:r w:rsidRPr="00814B2C">
        <w:rPr>
          <w:rFonts w:ascii="Courier New" w:hAnsi="Courier New" w:cs="Courier New"/>
        </w:rPr>
        <w:t xml:space="preserve">eneration </w:t>
      </w:r>
      <w:r w:rsidR="00814B2C" w:rsidRPr="00814B2C">
        <w:rPr>
          <w:rFonts w:ascii="Courier New" w:hAnsi="Courier New" w:cs="Courier New"/>
        </w:rPr>
        <w:t>F</w:t>
      </w:r>
      <w:r w:rsidRPr="00814B2C">
        <w:rPr>
          <w:rFonts w:ascii="Courier New" w:hAnsi="Courier New" w:cs="Courier New"/>
        </w:rPr>
        <w:t xml:space="preserve">acilities use boilers to generate </w:t>
      </w:r>
      <w:r w:rsidR="00814B2C" w:rsidRPr="00814B2C">
        <w:rPr>
          <w:rFonts w:ascii="Courier New" w:hAnsi="Courier New" w:cs="Courier New"/>
        </w:rPr>
        <w:t>the high</w:t>
      </w:r>
      <w:r w:rsidR="009C3013">
        <w:rPr>
          <w:rFonts w:ascii="Courier New" w:hAnsi="Courier New" w:cs="Courier New"/>
        </w:rPr>
        <w:t>-</w:t>
      </w:r>
      <w:r w:rsidR="00814B2C" w:rsidRPr="00814B2C">
        <w:rPr>
          <w:rFonts w:ascii="Courier New" w:hAnsi="Courier New" w:cs="Courier New"/>
        </w:rPr>
        <w:t>pressure steam.</w:t>
      </w:r>
      <w:r w:rsidRPr="00814B2C">
        <w:rPr>
          <w:rFonts w:ascii="Courier New" w:hAnsi="Courier New" w:cs="Courier New"/>
        </w:rPr>
        <w:t xml:space="preserve"> </w:t>
      </w:r>
    </w:p>
    <w:p w14:paraId="2A01FFE2" w14:textId="76E422EC" w:rsidR="00A0040E" w:rsidRPr="00814B2C" w:rsidRDefault="00A0040E" w:rsidP="00814B2C">
      <w:pPr>
        <w:spacing w:line="480" w:lineRule="auto"/>
        <w:ind w:firstLine="720"/>
        <w:jc w:val="both"/>
        <w:rPr>
          <w:rFonts w:ascii="Courier New" w:hAnsi="Courier New" w:cs="Courier New"/>
        </w:rPr>
      </w:pPr>
      <w:r w:rsidRPr="00814B2C">
        <w:rPr>
          <w:rFonts w:ascii="Courier New" w:hAnsi="Courier New" w:cs="Courier New"/>
        </w:rPr>
        <w:t xml:space="preserve">Equipment </w:t>
      </w:r>
      <w:r w:rsidR="00814B2C" w:rsidRPr="00814B2C">
        <w:rPr>
          <w:rFonts w:ascii="Courier New" w:hAnsi="Courier New" w:cs="Courier New"/>
        </w:rPr>
        <w:t>varies somewhat among the Generation Facilities</w:t>
      </w:r>
      <w:r w:rsidRPr="00814B2C">
        <w:rPr>
          <w:rFonts w:ascii="Courier New" w:hAnsi="Courier New" w:cs="Courier New"/>
        </w:rPr>
        <w:t xml:space="preserve">. </w:t>
      </w:r>
      <w:r w:rsidR="00E64531">
        <w:rPr>
          <w:rFonts w:ascii="Courier New" w:hAnsi="Courier New" w:cs="Courier New"/>
        </w:rPr>
        <w:t xml:space="preserve">For example, in the Scotia and Kneeland Facilities, the boilers </w:t>
      </w:r>
      <w:r w:rsidR="009C3013">
        <w:rPr>
          <w:rFonts w:ascii="Courier New" w:hAnsi="Courier New" w:cs="Courier New"/>
        </w:rPr>
        <w:t xml:space="preserve">employ </w:t>
      </w:r>
      <w:r w:rsidR="00E64531">
        <w:rPr>
          <w:rFonts w:ascii="Courier New" w:hAnsi="Courier New" w:cs="Courier New"/>
        </w:rPr>
        <w:t xml:space="preserve">a burner for combustion. Air used in combustion is pumped into the system by a forced-draft fan and the exhaust gas is pulled out by induced-draft fans. The exhaust gases exit via an exhaust stack, while the treated water is heated and becomes steam in the boiler. At </w:t>
      </w:r>
      <w:r w:rsidR="001610A0">
        <w:rPr>
          <w:rFonts w:ascii="Courier New" w:hAnsi="Courier New" w:cs="Courier New"/>
        </w:rPr>
        <w:t xml:space="preserve">Kendall Station, steam is generated both in boilers and by using a heat recovery steam generator </w:t>
      </w:r>
      <w:r w:rsidR="009C3013">
        <w:rPr>
          <w:rFonts w:ascii="Courier New" w:hAnsi="Courier New" w:cs="Courier New"/>
        </w:rPr>
        <w:t xml:space="preserve">that </w:t>
      </w:r>
      <w:r w:rsidR="001610A0">
        <w:rPr>
          <w:rFonts w:ascii="Courier New" w:hAnsi="Courier New" w:cs="Courier New"/>
        </w:rPr>
        <w:t>creates steam using heat from exhaust gases in a combustion turbine.</w:t>
      </w:r>
    </w:p>
    <w:p w14:paraId="29C25061" w14:textId="17F2A2AD" w:rsidR="00C4708D" w:rsidRDefault="00A0040E" w:rsidP="00AD22B4">
      <w:pPr>
        <w:spacing w:line="480" w:lineRule="auto"/>
        <w:ind w:firstLine="720"/>
        <w:jc w:val="both"/>
        <w:rPr>
          <w:rFonts w:ascii="Courier New" w:hAnsi="Courier New" w:cs="Courier New"/>
        </w:rPr>
      </w:pPr>
      <w:r w:rsidRPr="00AD22B4">
        <w:rPr>
          <w:rFonts w:ascii="Courier New" w:hAnsi="Courier New" w:cs="Courier New"/>
        </w:rPr>
        <w:t>The pressure</w:t>
      </w:r>
      <w:r w:rsidR="00814B2C" w:rsidRPr="00AD22B4">
        <w:rPr>
          <w:rFonts w:ascii="Courier New" w:hAnsi="Courier New" w:cs="Courier New"/>
        </w:rPr>
        <w:t xml:space="preserve"> of the steam</w:t>
      </w:r>
      <w:r w:rsidRPr="00AD22B4">
        <w:rPr>
          <w:rFonts w:ascii="Courier New" w:hAnsi="Courier New" w:cs="Courier New"/>
        </w:rPr>
        <w:t xml:space="preserve"> is </w:t>
      </w:r>
      <w:r w:rsidR="000E7248" w:rsidRPr="00AD22B4">
        <w:rPr>
          <w:rFonts w:ascii="Courier New" w:hAnsi="Courier New" w:cs="Courier New"/>
        </w:rPr>
        <w:t xml:space="preserve">highest </w:t>
      </w:r>
      <w:r w:rsidR="000C1501">
        <w:rPr>
          <w:rFonts w:ascii="Courier New" w:hAnsi="Courier New" w:cs="Courier New"/>
        </w:rPr>
        <w:t>at the point of generation, ranging from</w:t>
      </w:r>
      <w:r w:rsidRPr="00AD22B4">
        <w:rPr>
          <w:rFonts w:ascii="Courier New" w:hAnsi="Courier New" w:cs="Courier New"/>
        </w:rPr>
        <w:t xml:space="preserve"> 150 </w:t>
      </w:r>
      <w:r w:rsidR="000C1501">
        <w:rPr>
          <w:rFonts w:ascii="Courier New" w:hAnsi="Courier New" w:cs="Courier New"/>
        </w:rPr>
        <w:t>to</w:t>
      </w:r>
      <w:r w:rsidRPr="00AD22B4">
        <w:rPr>
          <w:rFonts w:ascii="Courier New" w:hAnsi="Courier New" w:cs="Courier New"/>
        </w:rPr>
        <w:t xml:space="preserve"> 220 pounds per square inch. After </w:t>
      </w:r>
      <w:r w:rsidR="000E7248" w:rsidRPr="00AD22B4">
        <w:rPr>
          <w:rFonts w:ascii="Courier New" w:hAnsi="Courier New" w:cs="Courier New"/>
        </w:rPr>
        <w:t>the steam is generated</w:t>
      </w:r>
      <w:r w:rsidRPr="00AD22B4">
        <w:rPr>
          <w:rFonts w:ascii="Courier New" w:hAnsi="Courier New" w:cs="Courier New"/>
        </w:rPr>
        <w:t xml:space="preserve">, </w:t>
      </w:r>
      <w:r w:rsidR="000E7248" w:rsidRPr="00AD22B4">
        <w:rPr>
          <w:rFonts w:ascii="Courier New" w:hAnsi="Courier New" w:cs="Courier New"/>
        </w:rPr>
        <w:t>it</w:t>
      </w:r>
      <w:r w:rsidRPr="00AD22B4">
        <w:rPr>
          <w:rFonts w:ascii="Courier New" w:hAnsi="Courier New" w:cs="Courier New"/>
        </w:rPr>
        <w:t xml:space="preserve"> enters a pressure-regulated network of distribution mains and </w:t>
      </w:r>
      <w:r w:rsidR="000E7248" w:rsidRPr="00AD22B4">
        <w:rPr>
          <w:rFonts w:ascii="Courier New" w:hAnsi="Courier New" w:cs="Courier New"/>
        </w:rPr>
        <w:t>appurtenant</w:t>
      </w:r>
      <w:r w:rsidRPr="00AD22B4">
        <w:rPr>
          <w:rFonts w:ascii="Courier New" w:hAnsi="Courier New" w:cs="Courier New"/>
        </w:rPr>
        <w:t xml:space="preserve"> equipment. </w:t>
      </w:r>
      <w:r w:rsidR="000E7248" w:rsidRPr="00AD22B4">
        <w:rPr>
          <w:rFonts w:ascii="Courier New" w:hAnsi="Courier New" w:cs="Courier New"/>
        </w:rPr>
        <w:t xml:space="preserve">Because steam can move </w:t>
      </w:r>
      <w:r w:rsidR="001917E6" w:rsidRPr="00AD22B4">
        <w:rPr>
          <w:rFonts w:ascii="Courier New" w:hAnsi="Courier New" w:cs="Courier New"/>
        </w:rPr>
        <w:t>t</w:t>
      </w:r>
      <w:r w:rsidR="000E7248" w:rsidRPr="00AD22B4">
        <w:rPr>
          <w:rFonts w:ascii="Courier New" w:hAnsi="Courier New" w:cs="Courier New"/>
        </w:rPr>
        <w:t>hrough</w:t>
      </w:r>
      <w:r w:rsidR="001917E6" w:rsidRPr="00AD22B4">
        <w:rPr>
          <w:rFonts w:ascii="Courier New" w:hAnsi="Courier New" w:cs="Courier New"/>
        </w:rPr>
        <w:t>out</w:t>
      </w:r>
      <w:r w:rsidR="000E7248" w:rsidRPr="00AD22B4">
        <w:rPr>
          <w:rFonts w:ascii="Courier New" w:hAnsi="Courier New" w:cs="Courier New"/>
        </w:rPr>
        <w:t xml:space="preserve"> the Networks, </w:t>
      </w:r>
      <w:r w:rsidR="003014CA">
        <w:rPr>
          <w:rFonts w:ascii="Courier New" w:hAnsi="Courier New" w:cs="Courier New"/>
        </w:rPr>
        <w:t>one or more of the</w:t>
      </w:r>
      <w:r w:rsidR="000E7248" w:rsidRPr="00AD22B4">
        <w:rPr>
          <w:rFonts w:ascii="Courier New" w:hAnsi="Courier New" w:cs="Courier New"/>
        </w:rPr>
        <w:t xml:space="preserve"> Generation Facilities can </w:t>
      </w:r>
      <w:r w:rsidR="001917E6" w:rsidRPr="00AD22B4">
        <w:rPr>
          <w:rFonts w:ascii="Courier New" w:hAnsi="Courier New" w:cs="Courier New"/>
        </w:rPr>
        <w:t xml:space="preserve">be </w:t>
      </w:r>
      <w:r w:rsidR="000E7248" w:rsidRPr="00AD22B4">
        <w:rPr>
          <w:rFonts w:ascii="Courier New" w:hAnsi="Courier New" w:cs="Courier New"/>
        </w:rPr>
        <w:t>used</w:t>
      </w:r>
      <w:r w:rsidR="001917E6" w:rsidRPr="00AD22B4">
        <w:rPr>
          <w:rFonts w:ascii="Courier New" w:hAnsi="Courier New" w:cs="Courier New"/>
        </w:rPr>
        <w:t>, as needed,</w:t>
      </w:r>
      <w:r w:rsidR="000E7248" w:rsidRPr="00AD22B4">
        <w:rPr>
          <w:rFonts w:ascii="Courier New" w:hAnsi="Courier New" w:cs="Courier New"/>
        </w:rPr>
        <w:t xml:space="preserve"> to </w:t>
      </w:r>
      <w:r w:rsidRPr="00AD22B4">
        <w:rPr>
          <w:rFonts w:ascii="Courier New" w:hAnsi="Courier New" w:cs="Courier New"/>
        </w:rPr>
        <w:t xml:space="preserve">maintain a steady </w:t>
      </w:r>
      <w:r w:rsidR="00AD22B4" w:rsidRPr="00AD22B4">
        <w:rPr>
          <w:rFonts w:ascii="Courier New" w:hAnsi="Courier New" w:cs="Courier New"/>
        </w:rPr>
        <w:t xml:space="preserve">and stable </w:t>
      </w:r>
      <w:r w:rsidRPr="00AD22B4">
        <w:rPr>
          <w:rFonts w:ascii="Courier New" w:hAnsi="Courier New" w:cs="Courier New"/>
        </w:rPr>
        <w:t>supply</w:t>
      </w:r>
      <w:r w:rsidR="000E7248" w:rsidRPr="00AD22B4">
        <w:rPr>
          <w:rFonts w:ascii="Courier New" w:hAnsi="Courier New" w:cs="Courier New"/>
        </w:rPr>
        <w:t xml:space="preserve"> of steam</w:t>
      </w:r>
      <w:r w:rsidR="00ED5703">
        <w:rPr>
          <w:rFonts w:ascii="Courier New" w:hAnsi="Courier New" w:cs="Courier New"/>
        </w:rPr>
        <w:t xml:space="preserve"> for the entire system</w:t>
      </w:r>
      <w:r w:rsidR="00AD22B4" w:rsidRPr="00AD22B4">
        <w:rPr>
          <w:rFonts w:ascii="Courier New" w:hAnsi="Courier New" w:cs="Courier New"/>
        </w:rPr>
        <w:t>.</w:t>
      </w:r>
      <w:r w:rsidRPr="00AD22B4">
        <w:rPr>
          <w:rFonts w:ascii="Courier New" w:hAnsi="Courier New" w:cs="Courier New"/>
        </w:rPr>
        <w:t xml:space="preserve"> </w:t>
      </w:r>
      <w:r w:rsidR="00C4708D" w:rsidRPr="00AD22B4">
        <w:rPr>
          <w:rFonts w:ascii="Courier New" w:hAnsi="Courier New" w:cs="Courier New"/>
        </w:rPr>
        <w:t xml:space="preserve">The </w:t>
      </w:r>
      <w:r w:rsidR="00AD22B4" w:rsidRPr="00AD22B4">
        <w:rPr>
          <w:rFonts w:ascii="Courier New" w:hAnsi="Courier New" w:cs="Courier New"/>
        </w:rPr>
        <w:t>N</w:t>
      </w:r>
      <w:r w:rsidR="00C4708D" w:rsidRPr="00AD22B4">
        <w:rPr>
          <w:rFonts w:ascii="Courier New" w:hAnsi="Courier New" w:cs="Courier New"/>
        </w:rPr>
        <w:t>etworks</w:t>
      </w:r>
      <w:r w:rsidR="00AD22B4" w:rsidRPr="00AD22B4">
        <w:rPr>
          <w:rFonts w:ascii="Courier New" w:hAnsi="Courier New" w:cs="Courier New"/>
        </w:rPr>
        <w:t xml:space="preserve"> operate together to</w:t>
      </w:r>
      <w:r w:rsidR="00C4708D" w:rsidRPr="00AD22B4">
        <w:rPr>
          <w:rFonts w:ascii="Courier New" w:hAnsi="Courier New" w:cs="Courier New"/>
        </w:rPr>
        <w:t xml:space="preserve"> balance customer load and steam generation across the </w:t>
      </w:r>
      <w:r w:rsidR="00AD22B4" w:rsidRPr="00AD22B4">
        <w:rPr>
          <w:rFonts w:ascii="Courier New" w:hAnsi="Courier New" w:cs="Courier New"/>
        </w:rPr>
        <w:t>G</w:t>
      </w:r>
      <w:r w:rsidR="00C4708D" w:rsidRPr="00AD22B4">
        <w:rPr>
          <w:rFonts w:ascii="Courier New" w:hAnsi="Courier New" w:cs="Courier New"/>
        </w:rPr>
        <w:t xml:space="preserve">eneration </w:t>
      </w:r>
      <w:r w:rsidR="00AD22B4" w:rsidRPr="00AD22B4">
        <w:rPr>
          <w:rFonts w:ascii="Courier New" w:hAnsi="Courier New" w:cs="Courier New"/>
        </w:rPr>
        <w:lastRenderedPageBreak/>
        <w:t>F</w:t>
      </w:r>
      <w:r w:rsidR="00C4708D" w:rsidRPr="00AD22B4">
        <w:rPr>
          <w:rFonts w:ascii="Courier New" w:hAnsi="Courier New" w:cs="Courier New"/>
        </w:rPr>
        <w:t xml:space="preserve">acilities to ensure equivalent rates of production and consumption. </w:t>
      </w:r>
      <w:r w:rsidR="00AD22B4" w:rsidRPr="00AD22B4">
        <w:rPr>
          <w:rFonts w:ascii="Courier New" w:hAnsi="Courier New" w:cs="Courier New"/>
        </w:rPr>
        <w:t>The c</w:t>
      </w:r>
      <w:r w:rsidR="00C4708D" w:rsidRPr="00AD22B4">
        <w:rPr>
          <w:rFonts w:ascii="Courier New" w:hAnsi="Courier New" w:cs="Courier New"/>
        </w:rPr>
        <w:t xml:space="preserve">ustomer load </w:t>
      </w:r>
      <w:r w:rsidR="00AD22B4" w:rsidRPr="00AD22B4">
        <w:rPr>
          <w:rFonts w:ascii="Courier New" w:hAnsi="Courier New" w:cs="Courier New"/>
        </w:rPr>
        <w:t xml:space="preserve">is dynamic and </w:t>
      </w:r>
      <w:r w:rsidR="00C4708D" w:rsidRPr="00AD22B4">
        <w:rPr>
          <w:rFonts w:ascii="Courier New" w:hAnsi="Courier New" w:cs="Courier New"/>
        </w:rPr>
        <w:t xml:space="preserve">varies based upon </w:t>
      </w:r>
      <w:r w:rsidR="00AD22B4" w:rsidRPr="00AD22B4">
        <w:rPr>
          <w:rFonts w:ascii="Courier New" w:hAnsi="Courier New" w:cs="Courier New"/>
        </w:rPr>
        <w:t xml:space="preserve">the </w:t>
      </w:r>
      <w:r w:rsidR="00C4708D" w:rsidRPr="00AD22B4">
        <w:rPr>
          <w:rFonts w:ascii="Courier New" w:hAnsi="Courier New" w:cs="Courier New"/>
        </w:rPr>
        <w:t>time</w:t>
      </w:r>
      <w:r w:rsidR="00AD22B4" w:rsidRPr="00AD22B4">
        <w:rPr>
          <w:rFonts w:ascii="Courier New" w:hAnsi="Courier New" w:cs="Courier New"/>
        </w:rPr>
        <w:t xml:space="preserve"> of</w:t>
      </w:r>
      <w:r w:rsidR="00C4708D" w:rsidRPr="00AD22B4">
        <w:rPr>
          <w:rFonts w:ascii="Courier New" w:hAnsi="Courier New" w:cs="Courier New"/>
        </w:rPr>
        <w:t xml:space="preserve"> day,</w:t>
      </w:r>
      <w:r w:rsidR="00AD22B4" w:rsidRPr="00AD22B4">
        <w:rPr>
          <w:rFonts w:ascii="Courier New" w:hAnsi="Courier New" w:cs="Courier New"/>
        </w:rPr>
        <w:t xml:space="preserve"> the day of the week, and ambient </w:t>
      </w:r>
      <w:r w:rsidR="00C4708D" w:rsidRPr="00AD22B4">
        <w:rPr>
          <w:rFonts w:ascii="Courier New" w:hAnsi="Courier New" w:cs="Courier New"/>
        </w:rPr>
        <w:t xml:space="preserve">temperature. </w:t>
      </w:r>
      <w:r w:rsidR="00AD22B4" w:rsidRPr="00AD22B4">
        <w:rPr>
          <w:rFonts w:ascii="Courier New" w:hAnsi="Courier New" w:cs="Courier New"/>
        </w:rPr>
        <w:t xml:space="preserve">These </w:t>
      </w:r>
      <w:r w:rsidR="00ED5703">
        <w:rPr>
          <w:rFonts w:ascii="Courier New" w:hAnsi="Courier New" w:cs="Courier New"/>
        </w:rPr>
        <w:t>variables</w:t>
      </w:r>
      <w:r w:rsidR="00AD22B4" w:rsidRPr="00AD22B4">
        <w:rPr>
          <w:rFonts w:ascii="Courier New" w:hAnsi="Courier New" w:cs="Courier New"/>
        </w:rPr>
        <w:t xml:space="preserve"> are used to create</w:t>
      </w:r>
      <w:r w:rsidR="00C4708D" w:rsidRPr="00AD22B4">
        <w:rPr>
          <w:rFonts w:ascii="Courier New" w:hAnsi="Courier New" w:cs="Courier New"/>
        </w:rPr>
        <w:t xml:space="preserve"> load predictions</w:t>
      </w:r>
      <w:r w:rsidR="00AD22B4" w:rsidRPr="00AD22B4">
        <w:rPr>
          <w:rFonts w:ascii="Courier New" w:hAnsi="Courier New" w:cs="Courier New"/>
        </w:rPr>
        <w:t>, which impact the amount of steam generated and delivered on a given day.</w:t>
      </w:r>
      <w:r w:rsidR="00C4708D" w:rsidRPr="00AD22B4">
        <w:rPr>
          <w:rFonts w:ascii="Courier New" w:hAnsi="Courier New" w:cs="Courier New"/>
        </w:rPr>
        <w:t xml:space="preserve"> </w:t>
      </w:r>
    </w:p>
    <w:p w14:paraId="18C22DC4" w14:textId="3F72D431" w:rsidR="00A0040E" w:rsidRPr="00F94C04" w:rsidRDefault="00AD22B4" w:rsidP="00F94C04">
      <w:pPr>
        <w:spacing w:line="480" w:lineRule="auto"/>
        <w:ind w:firstLine="720"/>
        <w:jc w:val="both"/>
        <w:rPr>
          <w:rFonts w:ascii="Courier New" w:hAnsi="Courier New" w:cs="Courier New"/>
        </w:rPr>
      </w:pPr>
      <w:r w:rsidRPr="00F94C04">
        <w:rPr>
          <w:rFonts w:ascii="Courier New" w:hAnsi="Courier New" w:cs="Courier New"/>
        </w:rPr>
        <w:t>Generally, o</w:t>
      </w:r>
      <w:r w:rsidR="00A0040E" w:rsidRPr="00F94C04">
        <w:rPr>
          <w:rFonts w:ascii="Courier New" w:hAnsi="Courier New" w:cs="Courier New"/>
        </w:rPr>
        <w:t>nce the steam reaches a customer</w:t>
      </w:r>
      <w:r w:rsidR="003D76A6">
        <w:rPr>
          <w:rFonts w:ascii="Courier New" w:hAnsi="Courier New" w:cs="Courier New"/>
        </w:rPr>
        <w:t>’s</w:t>
      </w:r>
      <w:r w:rsidR="00A0040E" w:rsidRPr="00F94C04">
        <w:rPr>
          <w:rFonts w:ascii="Courier New" w:hAnsi="Courier New" w:cs="Courier New"/>
        </w:rPr>
        <w:t xml:space="preserve"> site, its pressure is reduced </w:t>
      </w:r>
      <w:r w:rsidRPr="00F94C04">
        <w:rPr>
          <w:rFonts w:ascii="Courier New" w:hAnsi="Courier New" w:cs="Courier New"/>
        </w:rPr>
        <w:t xml:space="preserve">by </w:t>
      </w:r>
      <w:r w:rsidR="00A0040E" w:rsidRPr="00F94C04">
        <w:rPr>
          <w:rFonts w:ascii="Courier New" w:hAnsi="Courier New" w:cs="Courier New"/>
        </w:rPr>
        <w:t xml:space="preserve">a pressure reduction valve. </w:t>
      </w:r>
      <w:r w:rsidRPr="00F94C04">
        <w:rPr>
          <w:rFonts w:ascii="Courier New" w:hAnsi="Courier New" w:cs="Courier New"/>
        </w:rPr>
        <w:t xml:space="preserve">Pressure reduction is necessary </w:t>
      </w:r>
      <w:r w:rsidR="003D76A6">
        <w:rPr>
          <w:rFonts w:ascii="Courier New" w:hAnsi="Courier New" w:cs="Courier New"/>
        </w:rPr>
        <w:t>to</w:t>
      </w:r>
      <w:r w:rsidRPr="00F94C04">
        <w:rPr>
          <w:rFonts w:ascii="Courier New" w:hAnsi="Courier New" w:cs="Courier New"/>
        </w:rPr>
        <w:t xml:space="preserve"> assur</w:t>
      </w:r>
      <w:r w:rsidR="00761CE3">
        <w:rPr>
          <w:rFonts w:ascii="Courier New" w:hAnsi="Courier New" w:cs="Courier New"/>
        </w:rPr>
        <w:t>e safety</w:t>
      </w:r>
      <w:r w:rsidRPr="00F94C04">
        <w:rPr>
          <w:rFonts w:ascii="Courier New" w:hAnsi="Courier New" w:cs="Courier New"/>
        </w:rPr>
        <w:t xml:space="preserve">, </w:t>
      </w:r>
      <w:r w:rsidR="00761CE3">
        <w:rPr>
          <w:rFonts w:ascii="Courier New" w:hAnsi="Courier New" w:cs="Courier New"/>
        </w:rPr>
        <w:t xml:space="preserve">to comply with </w:t>
      </w:r>
      <w:r w:rsidRPr="00F94C04">
        <w:rPr>
          <w:rFonts w:ascii="Courier New" w:hAnsi="Courier New" w:cs="Courier New"/>
        </w:rPr>
        <w:t>regulatory requirements</w:t>
      </w:r>
      <w:r w:rsidR="0079783B">
        <w:rPr>
          <w:rFonts w:ascii="Courier New" w:hAnsi="Courier New" w:cs="Courier New"/>
        </w:rPr>
        <w:t>,</w:t>
      </w:r>
      <w:r w:rsidRPr="00F94C04">
        <w:rPr>
          <w:rFonts w:ascii="Courier New" w:hAnsi="Courier New" w:cs="Courier New"/>
        </w:rPr>
        <w:t xml:space="preserve"> and to conform </w:t>
      </w:r>
      <w:r w:rsidR="000863AE" w:rsidRPr="00F94C04">
        <w:rPr>
          <w:rFonts w:ascii="Courier New" w:hAnsi="Courier New" w:cs="Courier New"/>
        </w:rPr>
        <w:t>to</w:t>
      </w:r>
      <w:r w:rsidRPr="00F94C04">
        <w:rPr>
          <w:rFonts w:ascii="Courier New" w:hAnsi="Courier New" w:cs="Courier New"/>
        </w:rPr>
        <w:t xml:space="preserve"> customer equipment compatibility and use requirements. C</w:t>
      </w:r>
      <w:r w:rsidR="00A0040E" w:rsidRPr="00F94C04">
        <w:rPr>
          <w:rFonts w:ascii="Courier New" w:hAnsi="Courier New" w:cs="Courier New"/>
        </w:rPr>
        <w:t xml:space="preserve">ustomers’ </w:t>
      </w:r>
      <w:r w:rsidR="00F94C04" w:rsidRPr="00F94C04">
        <w:rPr>
          <w:rFonts w:ascii="Courier New" w:hAnsi="Courier New" w:cs="Courier New"/>
        </w:rPr>
        <w:t>pressure requirements vary. For example, a</w:t>
      </w:r>
      <w:r w:rsidR="00A0040E" w:rsidRPr="00F94C04">
        <w:rPr>
          <w:rFonts w:ascii="Courier New" w:hAnsi="Courier New" w:cs="Courier New"/>
        </w:rPr>
        <w:t xml:space="preserve"> hospital may need </w:t>
      </w:r>
      <w:r w:rsidR="00F94C04" w:rsidRPr="00F94C04">
        <w:rPr>
          <w:rFonts w:ascii="Courier New" w:hAnsi="Courier New" w:cs="Courier New"/>
        </w:rPr>
        <w:t xml:space="preserve">relatively </w:t>
      </w:r>
      <w:r w:rsidR="00A0040E" w:rsidRPr="00F94C04">
        <w:rPr>
          <w:rFonts w:ascii="Courier New" w:hAnsi="Courier New" w:cs="Courier New"/>
        </w:rPr>
        <w:t>high pressure for sterilization purposes</w:t>
      </w:r>
      <w:r w:rsidR="00F94C04" w:rsidRPr="00F94C04">
        <w:rPr>
          <w:rFonts w:ascii="Courier New" w:hAnsi="Courier New" w:cs="Courier New"/>
        </w:rPr>
        <w:t>,</w:t>
      </w:r>
      <w:r w:rsidR="00A0040E" w:rsidRPr="00F94C04">
        <w:rPr>
          <w:rFonts w:ascii="Courier New" w:hAnsi="Courier New" w:cs="Courier New"/>
        </w:rPr>
        <w:t xml:space="preserve"> whereas a mixed-use building on Newbury Street </w:t>
      </w:r>
      <w:r w:rsidR="00F94C04" w:rsidRPr="00F94C04">
        <w:rPr>
          <w:rFonts w:ascii="Courier New" w:hAnsi="Courier New" w:cs="Courier New"/>
        </w:rPr>
        <w:t xml:space="preserve">uses </w:t>
      </w:r>
      <w:r w:rsidR="00A0040E" w:rsidRPr="00F94C04">
        <w:rPr>
          <w:rFonts w:ascii="Courier New" w:hAnsi="Courier New" w:cs="Courier New"/>
        </w:rPr>
        <w:t xml:space="preserve">a </w:t>
      </w:r>
      <w:r w:rsidR="00F94C04" w:rsidRPr="00F94C04">
        <w:rPr>
          <w:rFonts w:ascii="Courier New" w:hAnsi="Courier New" w:cs="Courier New"/>
        </w:rPr>
        <w:t xml:space="preserve">much </w:t>
      </w:r>
      <w:r w:rsidR="00A0040E" w:rsidRPr="00F94C04">
        <w:rPr>
          <w:rFonts w:ascii="Courier New" w:hAnsi="Courier New" w:cs="Courier New"/>
        </w:rPr>
        <w:t xml:space="preserve">lower pressure </w:t>
      </w:r>
      <w:r w:rsidR="003D76A6">
        <w:rPr>
          <w:rFonts w:ascii="Courier New" w:hAnsi="Courier New" w:cs="Courier New"/>
        </w:rPr>
        <w:t xml:space="preserve">for </w:t>
      </w:r>
      <w:r w:rsidR="00F94C04" w:rsidRPr="00F94C04">
        <w:rPr>
          <w:rFonts w:ascii="Courier New" w:hAnsi="Courier New" w:cs="Courier New"/>
        </w:rPr>
        <w:t>heating purposes.</w:t>
      </w:r>
    </w:p>
    <w:p w14:paraId="081541AC" w14:textId="49E1D089" w:rsidR="00F26C2B" w:rsidRPr="00F26C2B" w:rsidRDefault="00F94C04" w:rsidP="00F26C2B">
      <w:pPr>
        <w:spacing w:line="480" w:lineRule="auto"/>
        <w:ind w:firstLine="720"/>
        <w:jc w:val="both"/>
        <w:rPr>
          <w:rFonts w:ascii="Courier New" w:hAnsi="Courier New" w:cs="Courier New"/>
        </w:rPr>
      </w:pPr>
      <w:r w:rsidRPr="00F26C2B">
        <w:rPr>
          <w:rFonts w:ascii="Courier New" w:hAnsi="Courier New" w:cs="Courier New"/>
        </w:rPr>
        <w:t xml:space="preserve">The Networks consist of various components, some of which are located </w:t>
      </w:r>
      <w:r w:rsidR="00A0040E" w:rsidRPr="00F26C2B">
        <w:rPr>
          <w:rFonts w:ascii="Courier New" w:hAnsi="Courier New" w:cs="Courier New"/>
        </w:rPr>
        <w:t xml:space="preserve">above ground </w:t>
      </w:r>
      <w:r w:rsidR="003D76A6">
        <w:rPr>
          <w:rFonts w:ascii="Courier New" w:hAnsi="Courier New" w:cs="Courier New"/>
        </w:rPr>
        <w:t xml:space="preserve">and </w:t>
      </w:r>
      <w:r w:rsidRPr="00F26C2B">
        <w:rPr>
          <w:rFonts w:ascii="Courier New" w:hAnsi="Courier New" w:cs="Courier New"/>
        </w:rPr>
        <w:t>some</w:t>
      </w:r>
      <w:r w:rsidR="00A0040E" w:rsidRPr="00F26C2B">
        <w:rPr>
          <w:rFonts w:ascii="Courier New" w:hAnsi="Courier New" w:cs="Courier New"/>
        </w:rPr>
        <w:t xml:space="preserve"> underground. Pipes are </w:t>
      </w:r>
      <w:r w:rsidRPr="00F26C2B">
        <w:rPr>
          <w:rFonts w:ascii="Courier New" w:hAnsi="Courier New" w:cs="Courier New"/>
        </w:rPr>
        <w:t xml:space="preserve">used to </w:t>
      </w:r>
      <w:r w:rsidR="00A0040E" w:rsidRPr="00F26C2B">
        <w:rPr>
          <w:rFonts w:ascii="Courier New" w:hAnsi="Courier New" w:cs="Courier New"/>
        </w:rPr>
        <w:t xml:space="preserve">deliver the high-pressure steam </w:t>
      </w:r>
      <w:r w:rsidRPr="00F26C2B">
        <w:rPr>
          <w:rFonts w:ascii="Courier New" w:hAnsi="Courier New" w:cs="Courier New"/>
        </w:rPr>
        <w:t xml:space="preserve">within and </w:t>
      </w:r>
      <w:r w:rsidR="00A0040E" w:rsidRPr="00F26C2B">
        <w:rPr>
          <w:rFonts w:ascii="Courier New" w:hAnsi="Courier New" w:cs="Courier New"/>
        </w:rPr>
        <w:t xml:space="preserve">from the </w:t>
      </w:r>
      <w:r w:rsidRPr="00F26C2B">
        <w:rPr>
          <w:rFonts w:ascii="Courier New" w:hAnsi="Courier New" w:cs="Courier New"/>
        </w:rPr>
        <w:t>G</w:t>
      </w:r>
      <w:r w:rsidR="00A0040E" w:rsidRPr="00F26C2B">
        <w:rPr>
          <w:rFonts w:ascii="Courier New" w:hAnsi="Courier New" w:cs="Courier New"/>
        </w:rPr>
        <w:t xml:space="preserve">eneration </w:t>
      </w:r>
      <w:r w:rsidRPr="00F26C2B">
        <w:rPr>
          <w:rFonts w:ascii="Courier New" w:hAnsi="Courier New" w:cs="Courier New"/>
        </w:rPr>
        <w:t>F</w:t>
      </w:r>
      <w:r w:rsidR="00A0040E" w:rsidRPr="00F26C2B">
        <w:rPr>
          <w:rFonts w:ascii="Courier New" w:hAnsi="Courier New" w:cs="Courier New"/>
        </w:rPr>
        <w:t xml:space="preserve">acilities to customer sites. </w:t>
      </w:r>
      <w:r w:rsidR="00F26C2B" w:rsidRPr="00F26C2B">
        <w:rPr>
          <w:rFonts w:ascii="Courier New" w:hAnsi="Courier New" w:cs="Courier New"/>
        </w:rPr>
        <w:t>As Mr. Silvia noted, the pipes, which store energy, are crucial to maintain the quality of the steam</w:t>
      </w:r>
      <w:r w:rsidR="003D76A6">
        <w:rPr>
          <w:rFonts w:ascii="Courier New" w:hAnsi="Courier New" w:cs="Courier New"/>
        </w:rPr>
        <w:t xml:space="preserve"> until</w:t>
      </w:r>
      <w:r w:rsidR="00F26C2B" w:rsidRPr="00F26C2B">
        <w:rPr>
          <w:rFonts w:ascii="Courier New" w:hAnsi="Courier New" w:cs="Courier New"/>
        </w:rPr>
        <w:t xml:space="preserve"> its delivery to customers. </w:t>
      </w:r>
    </w:p>
    <w:p w14:paraId="3E938102" w14:textId="3D8197B4" w:rsidR="00761CE3" w:rsidRPr="00761CE3" w:rsidRDefault="00F94C04" w:rsidP="00761CE3">
      <w:pPr>
        <w:spacing w:line="480" w:lineRule="auto"/>
        <w:ind w:firstLine="720"/>
        <w:jc w:val="both"/>
        <w:rPr>
          <w:rFonts w:ascii="Courier New" w:hAnsi="Courier New" w:cs="Courier New"/>
        </w:rPr>
      </w:pPr>
      <w:r w:rsidRPr="00761CE3">
        <w:rPr>
          <w:rFonts w:ascii="Courier New" w:hAnsi="Courier New" w:cs="Courier New"/>
        </w:rPr>
        <w:t xml:space="preserve">Steam valves, which may be manual or automatic, help to </w:t>
      </w:r>
      <w:r w:rsidR="00A0040E" w:rsidRPr="00761CE3">
        <w:rPr>
          <w:rFonts w:ascii="Courier New" w:hAnsi="Courier New" w:cs="Courier New"/>
        </w:rPr>
        <w:t>restrict</w:t>
      </w:r>
      <w:r w:rsidRPr="00761CE3">
        <w:rPr>
          <w:rFonts w:ascii="Courier New" w:hAnsi="Courier New" w:cs="Courier New"/>
        </w:rPr>
        <w:t xml:space="preserve"> the flow of steam </w:t>
      </w:r>
      <w:r w:rsidR="00A0040E" w:rsidRPr="00761CE3">
        <w:rPr>
          <w:rFonts w:ascii="Courier New" w:hAnsi="Courier New" w:cs="Courier New"/>
        </w:rPr>
        <w:t>and condensate</w:t>
      </w:r>
      <w:r w:rsidRPr="00761CE3">
        <w:rPr>
          <w:rFonts w:ascii="Courier New" w:hAnsi="Courier New" w:cs="Courier New"/>
        </w:rPr>
        <w:t xml:space="preserve"> (steam that </w:t>
      </w:r>
      <w:r w:rsidRPr="00761CE3">
        <w:rPr>
          <w:rFonts w:ascii="Courier New" w:hAnsi="Courier New" w:cs="Courier New"/>
        </w:rPr>
        <w:lastRenderedPageBreak/>
        <w:t>has returned to an aqueous state)</w:t>
      </w:r>
      <w:r w:rsidR="00A0040E" w:rsidRPr="00761CE3">
        <w:rPr>
          <w:rFonts w:ascii="Courier New" w:hAnsi="Courier New" w:cs="Courier New"/>
        </w:rPr>
        <w:t xml:space="preserve"> through</w:t>
      </w:r>
      <w:r w:rsidRPr="00761CE3">
        <w:rPr>
          <w:rFonts w:ascii="Courier New" w:hAnsi="Courier New" w:cs="Courier New"/>
        </w:rPr>
        <w:t>out</w:t>
      </w:r>
      <w:r w:rsidR="00A0040E" w:rsidRPr="00761CE3">
        <w:rPr>
          <w:rFonts w:ascii="Courier New" w:hAnsi="Courier New" w:cs="Courier New"/>
        </w:rPr>
        <w:t xml:space="preserve"> the </w:t>
      </w:r>
      <w:r w:rsidRPr="00761CE3">
        <w:rPr>
          <w:rFonts w:ascii="Courier New" w:hAnsi="Courier New" w:cs="Courier New"/>
        </w:rPr>
        <w:t>N</w:t>
      </w:r>
      <w:r w:rsidR="00A0040E" w:rsidRPr="00761CE3">
        <w:rPr>
          <w:rFonts w:ascii="Courier New" w:hAnsi="Courier New" w:cs="Courier New"/>
        </w:rPr>
        <w:t xml:space="preserve">etworks. </w:t>
      </w:r>
      <w:r w:rsidRPr="00761CE3">
        <w:rPr>
          <w:rFonts w:ascii="Courier New" w:hAnsi="Courier New" w:cs="Courier New"/>
        </w:rPr>
        <w:t xml:space="preserve">Flow restriction allows portions of the Networks to be shut off </w:t>
      </w:r>
      <w:r w:rsidR="00A0040E" w:rsidRPr="00761CE3">
        <w:rPr>
          <w:rFonts w:ascii="Courier New" w:hAnsi="Courier New" w:cs="Courier New"/>
        </w:rPr>
        <w:t xml:space="preserve">for maintenance or to disconnect a customer. </w:t>
      </w:r>
      <w:r w:rsidR="000C1501">
        <w:rPr>
          <w:rFonts w:ascii="Courier New" w:hAnsi="Courier New" w:cs="Courier New"/>
        </w:rPr>
        <w:t>Flow r</w:t>
      </w:r>
      <w:r w:rsidRPr="00761CE3">
        <w:rPr>
          <w:rFonts w:ascii="Courier New" w:hAnsi="Courier New" w:cs="Courier New"/>
        </w:rPr>
        <w:t xml:space="preserve">estriction </w:t>
      </w:r>
      <w:r w:rsidR="00A0040E" w:rsidRPr="00761CE3">
        <w:rPr>
          <w:rFonts w:ascii="Courier New" w:hAnsi="Courier New" w:cs="Courier New"/>
        </w:rPr>
        <w:t>also chang</w:t>
      </w:r>
      <w:r w:rsidRPr="00761CE3">
        <w:rPr>
          <w:rFonts w:ascii="Courier New" w:hAnsi="Courier New" w:cs="Courier New"/>
        </w:rPr>
        <w:t xml:space="preserve">es </w:t>
      </w:r>
      <w:r w:rsidR="00A0040E" w:rsidRPr="00761CE3">
        <w:rPr>
          <w:rFonts w:ascii="Courier New" w:hAnsi="Courier New" w:cs="Courier New"/>
        </w:rPr>
        <w:t>steam flow patterns and</w:t>
      </w:r>
      <w:r w:rsidRPr="00761CE3">
        <w:rPr>
          <w:rFonts w:ascii="Courier New" w:hAnsi="Courier New" w:cs="Courier New"/>
        </w:rPr>
        <w:t xml:space="preserve"> permits </w:t>
      </w:r>
      <w:r w:rsidR="00A0040E" w:rsidRPr="00761CE3">
        <w:rPr>
          <w:rFonts w:ascii="Courier New" w:hAnsi="Courier New" w:cs="Courier New"/>
        </w:rPr>
        <w:t xml:space="preserve">rerouting of steam </w:t>
      </w:r>
      <w:r w:rsidRPr="00761CE3">
        <w:rPr>
          <w:rFonts w:ascii="Courier New" w:hAnsi="Courier New" w:cs="Courier New"/>
        </w:rPr>
        <w:t xml:space="preserve">to </w:t>
      </w:r>
      <w:r w:rsidR="00A0040E" w:rsidRPr="00761CE3">
        <w:rPr>
          <w:rFonts w:ascii="Courier New" w:hAnsi="Courier New" w:cs="Courier New"/>
        </w:rPr>
        <w:t>optimize</w:t>
      </w:r>
      <w:r w:rsidRPr="00761CE3">
        <w:rPr>
          <w:rFonts w:ascii="Courier New" w:hAnsi="Courier New" w:cs="Courier New"/>
        </w:rPr>
        <w:t xml:space="preserve"> its</w:t>
      </w:r>
      <w:r w:rsidR="00A0040E" w:rsidRPr="00761CE3">
        <w:rPr>
          <w:rFonts w:ascii="Courier New" w:hAnsi="Courier New" w:cs="Courier New"/>
        </w:rPr>
        <w:t xml:space="preserve"> flow from </w:t>
      </w:r>
      <w:r w:rsidR="00761CE3" w:rsidRPr="00761CE3">
        <w:rPr>
          <w:rFonts w:ascii="Courier New" w:hAnsi="Courier New" w:cs="Courier New"/>
        </w:rPr>
        <w:t>the G</w:t>
      </w:r>
      <w:r w:rsidR="00A0040E" w:rsidRPr="00761CE3">
        <w:rPr>
          <w:rFonts w:ascii="Courier New" w:hAnsi="Courier New" w:cs="Courier New"/>
        </w:rPr>
        <w:t xml:space="preserve">eneration </w:t>
      </w:r>
      <w:r w:rsidR="00761CE3" w:rsidRPr="00761CE3">
        <w:rPr>
          <w:rFonts w:ascii="Courier New" w:hAnsi="Courier New" w:cs="Courier New"/>
        </w:rPr>
        <w:t>F</w:t>
      </w:r>
      <w:r w:rsidR="00A0040E" w:rsidRPr="00761CE3">
        <w:rPr>
          <w:rFonts w:ascii="Courier New" w:hAnsi="Courier New" w:cs="Courier New"/>
        </w:rPr>
        <w:t xml:space="preserve">acilities to customers. </w:t>
      </w:r>
    </w:p>
    <w:p w14:paraId="4D164F98" w14:textId="6B632F42" w:rsidR="00A0040E" w:rsidRPr="00761CE3" w:rsidRDefault="00761CE3" w:rsidP="00761CE3">
      <w:pPr>
        <w:spacing w:line="480" w:lineRule="auto"/>
        <w:ind w:firstLine="720"/>
        <w:jc w:val="both"/>
        <w:rPr>
          <w:rFonts w:ascii="Courier New" w:hAnsi="Courier New" w:cs="Courier New"/>
        </w:rPr>
      </w:pPr>
      <w:r w:rsidRPr="00761CE3">
        <w:rPr>
          <w:rFonts w:ascii="Courier New" w:hAnsi="Courier New" w:cs="Courier New"/>
        </w:rPr>
        <w:t>P</w:t>
      </w:r>
      <w:r w:rsidR="00A0040E" w:rsidRPr="00761CE3">
        <w:rPr>
          <w:rFonts w:ascii="Courier New" w:hAnsi="Courier New" w:cs="Courier New"/>
        </w:rPr>
        <w:t xml:space="preserve">ipe temperatures </w:t>
      </w:r>
      <w:r w:rsidRPr="00761CE3">
        <w:rPr>
          <w:rFonts w:ascii="Courier New" w:hAnsi="Courier New" w:cs="Courier New"/>
        </w:rPr>
        <w:t xml:space="preserve">fluctuate throughout the Networks, so expansion </w:t>
      </w:r>
      <w:r w:rsidR="00A0040E" w:rsidRPr="00761CE3">
        <w:rPr>
          <w:rFonts w:ascii="Courier New" w:hAnsi="Courier New" w:cs="Courier New"/>
        </w:rPr>
        <w:t>joints</w:t>
      </w:r>
      <w:r w:rsidRPr="00761CE3">
        <w:rPr>
          <w:rFonts w:ascii="Courier New" w:hAnsi="Courier New" w:cs="Courier New"/>
        </w:rPr>
        <w:t xml:space="preserve"> are employed to allow the pipes to </w:t>
      </w:r>
      <w:r w:rsidR="00ED5703">
        <w:rPr>
          <w:rFonts w:ascii="Courier New" w:hAnsi="Courier New" w:cs="Courier New"/>
        </w:rPr>
        <w:t>expand</w:t>
      </w:r>
      <w:r w:rsidRPr="00761CE3">
        <w:rPr>
          <w:rFonts w:ascii="Courier New" w:hAnsi="Courier New" w:cs="Courier New"/>
        </w:rPr>
        <w:t xml:space="preserve"> and contract in a controlled manner without incurring cyclic fatigue failures such as cracks, buckles or leaks. Expansion joints are held in place by f</w:t>
      </w:r>
      <w:r w:rsidR="00A0040E" w:rsidRPr="00761CE3">
        <w:rPr>
          <w:rFonts w:ascii="Courier New" w:hAnsi="Courier New" w:cs="Courier New"/>
        </w:rPr>
        <w:t>ixed anchors</w:t>
      </w:r>
      <w:r w:rsidRPr="00761CE3">
        <w:rPr>
          <w:rFonts w:ascii="Courier New" w:hAnsi="Courier New" w:cs="Courier New"/>
        </w:rPr>
        <w:t xml:space="preserve">, and </w:t>
      </w:r>
      <w:r w:rsidR="00A0040E" w:rsidRPr="00761CE3">
        <w:rPr>
          <w:rFonts w:ascii="Courier New" w:hAnsi="Courier New" w:cs="Courier New"/>
        </w:rPr>
        <w:t>pipe</w:t>
      </w:r>
      <w:r w:rsidRPr="00761CE3">
        <w:rPr>
          <w:rFonts w:ascii="Courier New" w:hAnsi="Courier New" w:cs="Courier New"/>
        </w:rPr>
        <w:t xml:space="preserve"> movement </w:t>
      </w:r>
      <w:r w:rsidR="00A0040E" w:rsidRPr="00761CE3">
        <w:rPr>
          <w:rFonts w:ascii="Courier New" w:hAnsi="Courier New" w:cs="Courier New"/>
        </w:rPr>
        <w:t xml:space="preserve">is </w:t>
      </w:r>
      <w:r w:rsidRPr="00761CE3">
        <w:rPr>
          <w:rFonts w:ascii="Courier New" w:hAnsi="Courier New" w:cs="Courier New"/>
        </w:rPr>
        <w:t>controlled</w:t>
      </w:r>
      <w:r w:rsidR="00A0040E" w:rsidRPr="00761CE3">
        <w:rPr>
          <w:rFonts w:ascii="Courier New" w:hAnsi="Courier New" w:cs="Courier New"/>
        </w:rPr>
        <w:t xml:space="preserve"> by guides, </w:t>
      </w:r>
      <w:r w:rsidRPr="00761CE3">
        <w:rPr>
          <w:rFonts w:ascii="Courier New" w:hAnsi="Courier New" w:cs="Courier New"/>
        </w:rPr>
        <w:t xml:space="preserve">which </w:t>
      </w:r>
      <w:r w:rsidR="00A0040E" w:rsidRPr="00761CE3">
        <w:rPr>
          <w:rFonts w:ascii="Courier New" w:hAnsi="Courier New" w:cs="Courier New"/>
        </w:rPr>
        <w:t xml:space="preserve">permit movement only in </w:t>
      </w:r>
      <w:r w:rsidRPr="00761CE3">
        <w:rPr>
          <w:rFonts w:ascii="Courier New" w:hAnsi="Courier New" w:cs="Courier New"/>
        </w:rPr>
        <w:t>p</w:t>
      </w:r>
      <w:r w:rsidR="00A0040E" w:rsidRPr="00761CE3">
        <w:rPr>
          <w:rFonts w:ascii="Courier New" w:hAnsi="Courier New" w:cs="Courier New"/>
        </w:rPr>
        <w:t>redetermined direction</w:t>
      </w:r>
      <w:r w:rsidRPr="00761CE3">
        <w:rPr>
          <w:rFonts w:ascii="Courier New" w:hAnsi="Courier New" w:cs="Courier New"/>
        </w:rPr>
        <w:t>s</w:t>
      </w:r>
      <w:r w:rsidR="00A0040E" w:rsidRPr="00761CE3">
        <w:rPr>
          <w:rFonts w:ascii="Courier New" w:hAnsi="Courier New" w:cs="Courier New"/>
        </w:rPr>
        <w:t xml:space="preserve">. </w:t>
      </w:r>
    </w:p>
    <w:p w14:paraId="1846721C" w14:textId="23BACD20" w:rsidR="00A0040E" w:rsidRPr="00E068D1" w:rsidRDefault="00761CE3" w:rsidP="00E068D1">
      <w:pPr>
        <w:spacing w:line="480" w:lineRule="auto"/>
        <w:ind w:firstLine="720"/>
        <w:jc w:val="both"/>
        <w:rPr>
          <w:rFonts w:ascii="Courier New" w:hAnsi="Courier New" w:cs="Courier New"/>
        </w:rPr>
      </w:pPr>
      <w:r w:rsidRPr="00E068D1">
        <w:rPr>
          <w:rFonts w:ascii="Courier New" w:hAnsi="Courier New" w:cs="Courier New"/>
        </w:rPr>
        <w:t>M</w:t>
      </w:r>
      <w:r w:rsidR="00A0040E" w:rsidRPr="00E068D1">
        <w:rPr>
          <w:rFonts w:ascii="Courier New" w:hAnsi="Courier New" w:cs="Courier New"/>
        </w:rPr>
        <w:t>anholes and vaults</w:t>
      </w:r>
      <w:r w:rsidRPr="00E068D1">
        <w:rPr>
          <w:rFonts w:ascii="Courier New" w:hAnsi="Courier New" w:cs="Courier New"/>
        </w:rPr>
        <w:t xml:space="preserve"> provide access to </w:t>
      </w:r>
      <w:r w:rsidR="003D76A6">
        <w:rPr>
          <w:rFonts w:ascii="Courier New" w:hAnsi="Courier New" w:cs="Courier New"/>
        </w:rPr>
        <w:t xml:space="preserve">various </w:t>
      </w:r>
      <w:r w:rsidRPr="00E068D1">
        <w:rPr>
          <w:rFonts w:ascii="Courier New" w:hAnsi="Courier New" w:cs="Courier New"/>
        </w:rPr>
        <w:t>components</w:t>
      </w:r>
      <w:r w:rsidR="00FE7482" w:rsidRPr="00E068D1">
        <w:rPr>
          <w:rFonts w:ascii="Courier New" w:hAnsi="Courier New" w:cs="Courier New"/>
        </w:rPr>
        <w:t xml:space="preserve"> of the Networks for inspection and manual operation. </w:t>
      </w:r>
      <w:r w:rsidR="00A0040E" w:rsidRPr="00E068D1">
        <w:rPr>
          <w:rFonts w:ascii="Courier New" w:hAnsi="Courier New" w:cs="Courier New"/>
        </w:rPr>
        <w:t xml:space="preserve">Steam traps remove condensate </w:t>
      </w:r>
      <w:r w:rsidR="00FE7482" w:rsidRPr="00E068D1">
        <w:rPr>
          <w:rFonts w:ascii="Courier New" w:hAnsi="Courier New" w:cs="Courier New"/>
        </w:rPr>
        <w:t>that accumulates in the Networks</w:t>
      </w:r>
      <w:r w:rsidR="00A0040E" w:rsidRPr="00E068D1">
        <w:rPr>
          <w:rFonts w:ascii="Courier New" w:hAnsi="Courier New" w:cs="Courier New"/>
        </w:rPr>
        <w:t xml:space="preserve">. </w:t>
      </w:r>
      <w:r w:rsidR="00354089" w:rsidRPr="00E068D1">
        <w:rPr>
          <w:rFonts w:ascii="Courier New" w:hAnsi="Courier New" w:cs="Courier New"/>
        </w:rPr>
        <w:t>Failure to remove accumulated condensate</w:t>
      </w:r>
      <w:r w:rsidR="003D76A6">
        <w:rPr>
          <w:rFonts w:ascii="Courier New" w:hAnsi="Courier New" w:cs="Courier New"/>
        </w:rPr>
        <w:t xml:space="preserve"> would reduce the quality of the steam and </w:t>
      </w:r>
      <w:r w:rsidR="00354089" w:rsidRPr="00E068D1">
        <w:rPr>
          <w:rFonts w:ascii="Courier New" w:hAnsi="Courier New" w:cs="Courier New"/>
        </w:rPr>
        <w:t xml:space="preserve">could result in portions of the Networks filling with water, thereby inhibiting the flow of steam </w:t>
      </w:r>
      <w:r w:rsidR="00A0040E" w:rsidRPr="00E068D1">
        <w:rPr>
          <w:rFonts w:ascii="Courier New" w:hAnsi="Courier New" w:cs="Courier New"/>
        </w:rPr>
        <w:t xml:space="preserve">and </w:t>
      </w:r>
      <w:r w:rsidR="00354089" w:rsidRPr="00E068D1">
        <w:rPr>
          <w:rFonts w:ascii="Courier New" w:hAnsi="Courier New" w:cs="Courier New"/>
        </w:rPr>
        <w:t xml:space="preserve">at times causing </w:t>
      </w:r>
      <w:r w:rsidR="00A0040E" w:rsidRPr="00E068D1">
        <w:rPr>
          <w:rFonts w:ascii="Courier New" w:hAnsi="Courier New" w:cs="Courier New"/>
        </w:rPr>
        <w:t xml:space="preserve">“water hammer,” </w:t>
      </w:r>
      <w:r w:rsidR="00354089" w:rsidRPr="00E068D1">
        <w:rPr>
          <w:rFonts w:ascii="Courier New" w:hAnsi="Courier New" w:cs="Courier New"/>
        </w:rPr>
        <w:t xml:space="preserve">which occurs when </w:t>
      </w:r>
      <w:r w:rsidR="00A0040E" w:rsidRPr="00E068D1">
        <w:rPr>
          <w:rFonts w:ascii="Courier New" w:hAnsi="Courier New" w:cs="Courier New"/>
        </w:rPr>
        <w:t xml:space="preserve">water forced through the </w:t>
      </w:r>
      <w:r w:rsidR="00354089" w:rsidRPr="00E068D1">
        <w:rPr>
          <w:rFonts w:ascii="Courier New" w:hAnsi="Courier New" w:cs="Courier New"/>
        </w:rPr>
        <w:t>N</w:t>
      </w:r>
      <w:r w:rsidR="00A0040E" w:rsidRPr="00E068D1">
        <w:rPr>
          <w:rFonts w:ascii="Courier New" w:hAnsi="Courier New" w:cs="Courier New"/>
        </w:rPr>
        <w:t>etworks at high pressure caus</w:t>
      </w:r>
      <w:r w:rsidR="003D76A6">
        <w:rPr>
          <w:rFonts w:ascii="Courier New" w:hAnsi="Courier New" w:cs="Courier New"/>
        </w:rPr>
        <w:t>es</w:t>
      </w:r>
      <w:r w:rsidR="00354089" w:rsidRPr="00E068D1">
        <w:rPr>
          <w:rFonts w:ascii="Courier New" w:hAnsi="Courier New" w:cs="Courier New"/>
        </w:rPr>
        <w:t xml:space="preserve"> </w:t>
      </w:r>
      <w:r w:rsidR="00A0040E" w:rsidRPr="00E068D1">
        <w:rPr>
          <w:rFonts w:ascii="Courier New" w:hAnsi="Courier New" w:cs="Courier New"/>
        </w:rPr>
        <w:t xml:space="preserve">damage to the </w:t>
      </w:r>
      <w:r w:rsidR="00354089" w:rsidRPr="00E068D1">
        <w:rPr>
          <w:rFonts w:ascii="Courier New" w:hAnsi="Courier New" w:cs="Courier New"/>
        </w:rPr>
        <w:t>N</w:t>
      </w:r>
      <w:r w:rsidR="00A0040E" w:rsidRPr="00E068D1">
        <w:rPr>
          <w:rFonts w:ascii="Courier New" w:hAnsi="Courier New" w:cs="Courier New"/>
        </w:rPr>
        <w:t xml:space="preserve">etworks and </w:t>
      </w:r>
      <w:r w:rsidR="00ED5703">
        <w:rPr>
          <w:rFonts w:ascii="Courier New" w:hAnsi="Courier New" w:cs="Courier New"/>
        </w:rPr>
        <w:t>may create</w:t>
      </w:r>
      <w:r w:rsidR="00A0040E" w:rsidRPr="00E068D1">
        <w:rPr>
          <w:rFonts w:ascii="Courier New" w:hAnsi="Courier New" w:cs="Courier New"/>
        </w:rPr>
        <w:t xml:space="preserve"> safety hazards. </w:t>
      </w:r>
      <w:r w:rsidR="00354089" w:rsidRPr="00E068D1">
        <w:rPr>
          <w:rFonts w:ascii="Courier New" w:hAnsi="Courier New" w:cs="Courier New"/>
        </w:rPr>
        <w:t>Sump pumps remove w</w:t>
      </w:r>
      <w:r w:rsidR="00A0040E" w:rsidRPr="00E068D1">
        <w:rPr>
          <w:rFonts w:ascii="Courier New" w:hAnsi="Courier New" w:cs="Courier New"/>
        </w:rPr>
        <w:t xml:space="preserve">ater that accumulates in manholes and vaults due to condensate or </w:t>
      </w:r>
      <w:r w:rsidR="00A0040E" w:rsidRPr="00E068D1">
        <w:rPr>
          <w:rFonts w:ascii="Courier New" w:hAnsi="Courier New" w:cs="Courier New"/>
        </w:rPr>
        <w:lastRenderedPageBreak/>
        <w:t>groundwater seepage</w:t>
      </w:r>
      <w:r w:rsidR="00354089" w:rsidRPr="00E068D1">
        <w:rPr>
          <w:rFonts w:ascii="Courier New" w:hAnsi="Courier New" w:cs="Courier New"/>
        </w:rPr>
        <w:t>. Accumulated water</w:t>
      </w:r>
      <w:r w:rsidR="00A0040E" w:rsidRPr="00E068D1">
        <w:rPr>
          <w:rFonts w:ascii="Courier New" w:hAnsi="Courier New" w:cs="Courier New"/>
        </w:rPr>
        <w:t>,</w:t>
      </w:r>
      <w:r w:rsidR="00354089" w:rsidRPr="00E068D1">
        <w:rPr>
          <w:rFonts w:ascii="Courier New" w:hAnsi="Courier New" w:cs="Courier New"/>
        </w:rPr>
        <w:t xml:space="preserve"> if not removed, may </w:t>
      </w:r>
      <w:r w:rsidR="00ED5703">
        <w:rPr>
          <w:rFonts w:ascii="Courier New" w:hAnsi="Courier New" w:cs="Courier New"/>
        </w:rPr>
        <w:t xml:space="preserve">also </w:t>
      </w:r>
      <w:r w:rsidR="00A0040E" w:rsidRPr="00E068D1">
        <w:rPr>
          <w:rFonts w:ascii="Courier New" w:hAnsi="Courier New" w:cs="Courier New"/>
        </w:rPr>
        <w:t>inhibit maintenance activities and comprom</w:t>
      </w:r>
      <w:r w:rsidR="00354089" w:rsidRPr="00E068D1">
        <w:rPr>
          <w:rFonts w:ascii="Courier New" w:hAnsi="Courier New" w:cs="Courier New"/>
        </w:rPr>
        <w:t>ise</w:t>
      </w:r>
      <w:r w:rsidR="00A0040E" w:rsidRPr="00E068D1">
        <w:rPr>
          <w:rFonts w:ascii="Courier New" w:hAnsi="Courier New" w:cs="Courier New"/>
        </w:rPr>
        <w:t xml:space="preserve"> </w:t>
      </w:r>
      <w:r w:rsidR="00354089" w:rsidRPr="00E068D1">
        <w:rPr>
          <w:rFonts w:ascii="Courier New" w:hAnsi="Courier New" w:cs="Courier New"/>
        </w:rPr>
        <w:t>e</w:t>
      </w:r>
      <w:r w:rsidR="00A0040E" w:rsidRPr="00E068D1">
        <w:rPr>
          <w:rFonts w:ascii="Courier New" w:hAnsi="Courier New" w:cs="Courier New"/>
        </w:rPr>
        <w:t>lectrical devices.</w:t>
      </w:r>
    </w:p>
    <w:p w14:paraId="10DA6F53" w14:textId="505C0058" w:rsidR="00A0040E" w:rsidRPr="00E068D1" w:rsidRDefault="00E068D1" w:rsidP="00E068D1">
      <w:pPr>
        <w:spacing w:line="480" w:lineRule="auto"/>
        <w:ind w:firstLine="720"/>
        <w:jc w:val="both"/>
        <w:rPr>
          <w:rFonts w:ascii="Courier New" w:hAnsi="Courier New" w:cs="Courier New"/>
        </w:rPr>
      </w:pPr>
      <w:r w:rsidRPr="00E068D1">
        <w:rPr>
          <w:rFonts w:ascii="Courier New" w:hAnsi="Courier New" w:cs="Courier New"/>
        </w:rPr>
        <w:t>Once s</w:t>
      </w:r>
      <w:r w:rsidR="00A0040E" w:rsidRPr="00E068D1">
        <w:rPr>
          <w:rFonts w:ascii="Courier New" w:hAnsi="Courier New" w:cs="Courier New"/>
        </w:rPr>
        <w:t>team</w:t>
      </w:r>
      <w:r w:rsidRPr="00E068D1">
        <w:rPr>
          <w:rFonts w:ascii="Courier New" w:hAnsi="Courier New" w:cs="Courier New"/>
        </w:rPr>
        <w:t xml:space="preserve"> has been used a</w:t>
      </w:r>
      <w:r w:rsidR="00F26C2B">
        <w:rPr>
          <w:rFonts w:ascii="Courier New" w:hAnsi="Courier New" w:cs="Courier New"/>
        </w:rPr>
        <w:t>t</w:t>
      </w:r>
      <w:r w:rsidRPr="00E068D1">
        <w:rPr>
          <w:rFonts w:ascii="Courier New" w:hAnsi="Courier New" w:cs="Courier New"/>
        </w:rPr>
        <w:t xml:space="preserve"> a customer’s site, it is</w:t>
      </w:r>
      <w:r w:rsidR="00A0040E" w:rsidRPr="00E068D1">
        <w:rPr>
          <w:rFonts w:ascii="Courier New" w:hAnsi="Courier New" w:cs="Courier New"/>
        </w:rPr>
        <w:t xml:space="preserve"> generally condensed into condensate. </w:t>
      </w:r>
      <w:r w:rsidRPr="00E068D1">
        <w:rPr>
          <w:rFonts w:ascii="Courier New" w:hAnsi="Courier New" w:cs="Courier New"/>
        </w:rPr>
        <w:t xml:space="preserve">Part of the condensate </w:t>
      </w:r>
      <w:r w:rsidR="00A0040E" w:rsidRPr="00E068D1">
        <w:rPr>
          <w:rFonts w:ascii="Courier New" w:hAnsi="Courier New" w:cs="Courier New"/>
        </w:rPr>
        <w:t xml:space="preserve">is returned to the </w:t>
      </w:r>
      <w:r w:rsidRPr="00E068D1">
        <w:rPr>
          <w:rFonts w:ascii="Courier New" w:hAnsi="Courier New" w:cs="Courier New"/>
        </w:rPr>
        <w:t>G</w:t>
      </w:r>
      <w:r w:rsidR="00A0040E" w:rsidRPr="00E068D1">
        <w:rPr>
          <w:rFonts w:ascii="Courier New" w:hAnsi="Courier New" w:cs="Courier New"/>
        </w:rPr>
        <w:t xml:space="preserve">eneration </w:t>
      </w:r>
      <w:r w:rsidRPr="00E068D1">
        <w:rPr>
          <w:rFonts w:ascii="Courier New" w:hAnsi="Courier New" w:cs="Courier New"/>
        </w:rPr>
        <w:t>F</w:t>
      </w:r>
      <w:r w:rsidR="00A0040E" w:rsidRPr="00E068D1">
        <w:rPr>
          <w:rFonts w:ascii="Courier New" w:hAnsi="Courier New" w:cs="Courier New"/>
        </w:rPr>
        <w:t xml:space="preserve">acilities through condensate-return lines to be recycled and </w:t>
      </w:r>
      <w:r w:rsidR="00ED5703">
        <w:rPr>
          <w:rFonts w:ascii="Courier New" w:hAnsi="Courier New" w:cs="Courier New"/>
        </w:rPr>
        <w:t xml:space="preserve">is </w:t>
      </w:r>
      <w:r w:rsidR="00A0040E" w:rsidRPr="00E068D1">
        <w:rPr>
          <w:rFonts w:ascii="Courier New" w:hAnsi="Courier New" w:cs="Courier New"/>
        </w:rPr>
        <w:t xml:space="preserve">used to generate more steam. </w:t>
      </w:r>
      <w:r w:rsidRPr="00E068D1">
        <w:rPr>
          <w:rFonts w:ascii="Courier New" w:hAnsi="Courier New" w:cs="Courier New"/>
        </w:rPr>
        <w:t>C</w:t>
      </w:r>
      <w:r w:rsidR="00A0040E" w:rsidRPr="00E068D1">
        <w:rPr>
          <w:rFonts w:ascii="Courier New" w:hAnsi="Courier New" w:cs="Courier New"/>
        </w:rPr>
        <w:t xml:space="preserve">ondensate not returned </w:t>
      </w:r>
      <w:r w:rsidRPr="00E068D1">
        <w:rPr>
          <w:rFonts w:ascii="Courier New" w:hAnsi="Courier New" w:cs="Courier New"/>
        </w:rPr>
        <w:t xml:space="preserve">is </w:t>
      </w:r>
      <w:r w:rsidR="00A0040E" w:rsidRPr="00E068D1">
        <w:rPr>
          <w:rFonts w:ascii="Courier New" w:hAnsi="Courier New" w:cs="Courier New"/>
        </w:rPr>
        <w:t xml:space="preserve">generally </w:t>
      </w:r>
      <w:r w:rsidRPr="00E068D1">
        <w:rPr>
          <w:rFonts w:ascii="Courier New" w:hAnsi="Courier New" w:cs="Courier New"/>
        </w:rPr>
        <w:t xml:space="preserve">drained or pumped </w:t>
      </w:r>
      <w:r w:rsidR="00A0040E" w:rsidRPr="00E068D1">
        <w:rPr>
          <w:rFonts w:ascii="Courier New" w:hAnsi="Courier New" w:cs="Courier New"/>
        </w:rPr>
        <w:t xml:space="preserve">into the municipal sewer system. </w:t>
      </w:r>
    </w:p>
    <w:p w14:paraId="024569A0" w14:textId="30D374FD" w:rsidR="00A0040E" w:rsidRPr="000857D7" w:rsidRDefault="00CA5D90" w:rsidP="000857D7">
      <w:pPr>
        <w:spacing w:line="480" w:lineRule="auto"/>
        <w:ind w:firstLine="720"/>
        <w:jc w:val="both"/>
        <w:rPr>
          <w:rFonts w:ascii="Courier New" w:hAnsi="Courier New" w:cs="Courier New"/>
        </w:rPr>
      </w:pPr>
      <w:r w:rsidRPr="000857D7">
        <w:rPr>
          <w:rFonts w:ascii="Courier New" w:hAnsi="Courier New" w:cs="Courier New"/>
        </w:rPr>
        <w:t>T</w:t>
      </w:r>
      <w:r w:rsidR="00A0040E" w:rsidRPr="000857D7">
        <w:rPr>
          <w:rFonts w:ascii="Courier New" w:hAnsi="Courier New" w:cs="Courier New"/>
        </w:rPr>
        <w:t xml:space="preserve">he </w:t>
      </w:r>
      <w:r w:rsidR="00E068D1" w:rsidRPr="000857D7">
        <w:rPr>
          <w:rFonts w:ascii="Courier New" w:hAnsi="Courier New" w:cs="Courier New"/>
        </w:rPr>
        <w:t>N</w:t>
      </w:r>
      <w:r w:rsidR="00A0040E" w:rsidRPr="000857D7">
        <w:rPr>
          <w:rFonts w:ascii="Courier New" w:hAnsi="Courier New" w:cs="Courier New"/>
        </w:rPr>
        <w:t xml:space="preserve">etworks </w:t>
      </w:r>
      <w:r w:rsidR="00E068D1" w:rsidRPr="000857D7">
        <w:rPr>
          <w:rFonts w:ascii="Courier New" w:hAnsi="Courier New" w:cs="Courier New"/>
        </w:rPr>
        <w:t xml:space="preserve">employ </w:t>
      </w:r>
      <w:r w:rsidR="00A0040E" w:rsidRPr="000857D7">
        <w:rPr>
          <w:rFonts w:ascii="Courier New" w:hAnsi="Courier New" w:cs="Courier New"/>
        </w:rPr>
        <w:t xml:space="preserve">a centralized supervisory control and data acquisition </w:t>
      </w:r>
      <w:r w:rsidR="00E068D1" w:rsidRPr="000857D7">
        <w:rPr>
          <w:rFonts w:ascii="Courier New" w:hAnsi="Courier New" w:cs="Courier New"/>
        </w:rPr>
        <w:t xml:space="preserve">(“SCADA”) </w:t>
      </w:r>
      <w:r w:rsidR="00A0040E" w:rsidRPr="000857D7">
        <w:rPr>
          <w:rFonts w:ascii="Courier New" w:hAnsi="Courier New" w:cs="Courier New"/>
        </w:rPr>
        <w:t xml:space="preserve">system </w:t>
      </w:r>
      <w:r w:rsidR="00E068D1" w:rsidRPr="000857D7">
        <w:rPr>
          <w:rFonts w:ascii="Courier New" w:hAnsi="Courier New" w:cs="Courier New"/>
        </w:rPr>
        <w:t>to constantly monitor their activity.</w:t>
      </w:r>
      <w:r w:rsidR="00A0040E" w:rsidRPr="000857D7">
        <w:rPr>
          <w:rFonts w:ascii="Courier New" w:hAnsi="Courier New" w:cs="Courier New"/>
        </w:rPr>
        <w:t xml:space="preserve"> The SCADA </w:t>
      </w:r>
      <w:r w:rsidR="00E068D1" w:rsidRPr="000857D7">
        <w:rPr>
          <w:rFonts w:ascii="Courier New" w:hAnsi="Courier New" w:cs="Courier New"/>
        </w:rPr>
        <w:t>system is accessible via</w:t>
      </w:r>
      <w:r w:rsidR="00A0040E" w:rsidRPr="000857D7">
        <w:rPr>
          <w:rFonts w:ascii="Courier New" w:hAnsi="Courier New" w:cs="Courier New"/>
        </w:rPr>
        <w:t xml:space="preserve"> the internet and at several places in the </w:t>
      </w:r>
      <w:r w:rsidR="00E068D1" w:rsidRPr="000857D7">
        <w:rPr>
          <w:rFonts w:ascii="Courier New" w:hAnsi="Courier New" w:cs="Courier New"/>
        </w:rPr>
        <w:t>N</w:t>
      </w:r>
      <w:r w:rsidR="00A0040E" w:rsidRPr="000857D7">
        <w:rPr>
          <w:rFonts w:ascii="Courier New" w:hAnsi="Courier New" w:cs="Courier New"/>
        </w:rPr>
        <w:t xml:space="preserve">etworks. Each of the </w:t>
      </w:r>
      <w:r w:rsidR="00E068D1" w:rsidRPr="000857D7">
        <w:rPr>
          <w:rFonts w:ascii="Courier New" w:hAnsi="Courier New" w:cs="Courier New"/>
        </w:rPr>
        <w:t>G</w:t>
      </w:r>
      <w:r w:rsidR="00A0040E" w:rsidRPr="000857D7">
        <w:rPr>
          <w:rFonts w:ascii="Courier New" w:hAnsi="Courier New" w:cs="Courier New"/>
        </w:rPr>
        <w:t xml:space="preserve">eneration </w:t>
      </w:r>
      <w:r w:rsidR="00E068D1" w:rsidRPr="000857D7">
        <w:rPr>
          <w:rFonts w:ascii="Courier New" w:hAnsi="Courier New" w:cs="Courier New"/>
        </w:rPr>
        <w:t>F</w:t>
      </w:r>
      <w:r w:rsidR="00A0040E" w:rsidRPr="000857D7">
        <w:rPr>
          <w:rFonts w:ascii="Courier New" w:hAnsi="Courier New" w:cs="Courier New"/>
        </w:rPr>
        <w:t xml:space="preserve">acilities </w:t>
      </w:r>
      <w:r w:rsidR="00E068D1" w:rsidRPr="000857D7">
        <w:rPr>
          <w:rFonts w:ascii="Courier New" w:hAnsi="Courier New" w:cs="Courier New"/>
        </w:rPr>
        <w:t xml:space="preserve">also </w:t>
      </w:r>
      <w:r w:rsidR="00A0040E" w:rsidRPr="000857D7">
        <w:rPr>
          <w:rFonts w:ascii="Courier New" w:hAnsi="Courier New" w:cs="Courier New"/>
        </w:rPr>
        <w:t>has an internal control system that feeds data to the master SCADA</w:t>
      </w:r>
      <w:r w:rsidR="00E068D1" w:rsidRPr="000857D7">
        <w:rPr>
          <w:rFonts w:ascii="Courier New" w:hAnsi="Courier New" w:cs="Courier New"/>
        </w:rPr>
        <w:t xml:space="preserve"> system</w:t>
      </w:r>
      <w:r w:rsidR="00A0040E" w:rsidRPr="000857D7">
        <w:rPr>
          <w:rFonts w:ascii="Courier New" w:hAnsi="Courier New" w:cs="Courier New"/>
        </w:rPr>
        <w:t xml:space="preserve">. </w:t>
      </w:r>
      <w:r w:rsidR="00E068D1" w:rsidRPr="000857D7">
        <w:rPr>
          <w:rFonts w:ascii="Courier New" w:hAnsi="Courier New" w:cs="Courier New"/>
        </w:rPr>
        <w:t>A</w:t>
      </w:r>
      <w:r w:rsidR="00A0040E" w:rsidRPr="000857D7">
        <w:rPr>
          <w:rFonts w:ascii="Courier New" w:hAnsi="Courier New" w:cs="Courier New"/>
        </w:rPr>
        <w:t xml:space="preserve"> system shift supervisor directs operations of the entire SCADA</w:t>
      </w:r>
      <w:r w:rsidR="00E068D1" w:rsidRPr="000857D7">
        <w:rPr>
          <w:rFonts w:ascii="Courier New" w:hAnsi="Courier New" w:cs="Courier New"/>
        </w:rPr>
        <w:t xml:space="preserve"> system</w:t>
      </w:r>
      <w:r w:rsidR="00A0040E" w:rsidRPr="000857D7">
        <w:rPr>
          <w:rFonts w:ascii="Courier New" w:hAnsi="Courier New" w:cs="Courier New"/>
        </w:rPr>
        <w:t xml:space="preserve">, </w:t>
      </w:r>
      <w:r w:rsidR="00E068D1" w:rsidRPr="000857D7">
        <w:rPr>
          <w:rFonts w:ascii="Courier New" w:hAnsi="Courier New" w:cs="Courier New"/>
        </w:rPr>
        <w:t>monitoring the Networks,</w:t>
      </w:r>
      <w:r w:rsidR="000857D7" w:rsidRPr="000857D7">
        <w:rPr>
          <w:rFonts w:ascii="Courier New" w:hAnsi="Courier New" w:cs="Courier New"/>
        </w:rPr>
        <w:t xml:space="preserve"> </w:t>
      </w:r>
      <w:r w:rsidR="00A0040E" w:rsidRPr="000857D7">
        <w:rPr>
          <w:rFonts w:ascii="Courier New" w:hAnsi="Courier New" w:cs="Courier New"/>
        </w:rPr>
        <w:t xml:space="preserve">the status of </w:t>
      </w:r>
      <w:r w:rsidR="000857D7" w:rsidRPr="000857D7">
        <w:rPr>
          <w:rFonts w:ascii="Courier New" w:hAnsi="Courier New" w:cs="Courier New"/>
        </w:rPr>
        <w:t>the G</w:t>
      </w:r>
      <w:r w:rsidR="00A0040E" w:rsidRPr="000857D7">
        <w:rPr>
          <w:rFonts w:ascii="Courier New" w:hAnsi="Courier New" w:cs="Courier New"/>
        </w:rPr>
        <w:t xml:space="preserve">eneration </w:t>
      </w:r>
      <w:r w:rsidR="000857D7" w:rsidRPr="000857D7">
        <w:rPr>
          <w:rFonts w:ascii="Courier New" w:hAnsi="Courier New" w:cs="Courier New"/>
        </w:rPr>
        <w:t>F</w:t>
      </w:r>
      <w:r w:rsidR="00A0040E" w:rsidRPr="000857D7">
        <w:rPr>
          <w:rFonts w:ascii="Courier New" w:hAnsi="Courier New" w:cs="Courier New"/>
        </w:rPr>
        <w:t>acilit</w:t>
      </w:r>
      <w:r w:rsidR="000857D7" w:rsidRPr="000857D7">
        <w:rPr>
          <w:rFonts w:ascii="Courier New" w:hAnsi="Courier New" w:cs="Courier New"/>
        </w:rPr>
        <w:t>ies</w:t>
      </w:r>
      <w:r w:rsidR="00A0040E" w:rsidRPr="000857D7">
        <w:rPr>
          <w:rFonts w:ascii="Courier New" w:hAnsi="Courier New" w:cs="Courier New"/>
        </w:rPr>
        <w:t xml:space="preserve">, the status of multiple monitoring points in the </w:t>
      </w:r>
      <w:r w:rsidR="000857D7" w:rsidRPr="000857D7">
        <w:rPr>
          <w:rFonts w:ascii="Courier New" w:hAnsi="Courier New" w:cs="Courier New"/>
        </w:rPr>
        <w:t>N</w:t>
      </w:r>
      <w:r w:rsidR="00A0040E" w:rsidRPr="000857D7">
        <w:rPr>
          <w:rFonts w:ascii="Courier New" w:hAnsi="Courier New" w:cs="Courier New"/>
        </w:rPr>
        <w:t xml:space="preserve">etworks, and the status at key customer sites. </w:t>
      </w:r>
    </w:p>
    <w:p w14:paraId="4706B12C" w14:textId="1ECBB8DE" w:rsidR="00A0040E" w:rsidRPr="003352B1" w:rsidRDefault="00F26C2B" w:rsidP="003352B1">
      <w:pPr>
        <w:spacing w:line="480" w:lineRule="auto"/>
        <w:jc w:val="both"/>
        <w:rPr>
          <w:rFonts w:ascii="Courier New" w:hAnsi="Courier New" w:cs="Courier New"/>
          <w:b/>
          <w:u w:val="single"/>
        </w:rPr>
      </w:pPr>
      <w:r w:rsidRPr="003352B1">
        <w:rPr>
          <w:rFonts w:ascii="Courier New" w:hAnsi="Courier New" w:cs="Courier New"/>
          <w:b/>
          <w:u w:val="single"/>
        </w:rPr>
        <w:t>Mr. Walls</w:t>
      </w:r>
      <w:r w:rsidR="003014CA">
        <w:rPr>
          <w:rFonts w:ascii="Courier New" w:hAnsi="Courier New" w:cs="Courier New"/>
          <w:b/>
          <w:u w:val="single"/>
        </w:rPr>
        <w:t>’</w:t>
      </w:r>
      <w:r w:rsidRPr="003352B1">
        <w:rPr>
          <w:rFonts w:ascii="Courier New" w:hAnsi="Courier New" w:cs="Courier New"/>
          <w:b/>
          <w:u w:val="single"/>
        </w:rPr>
        <w:t xml:space="preserve"> </w:t>
      </w:r>
      <w:r w:rsidR="00A0040E" w:rsidRPr="003352B1">
        <w:rPr>
          <w:rFonts w:ascii="Courier New" w:hAnsi="Courier New" w:cs="Courier New"/>
          <w:b/>
          <w:u w:val="single"/>
        </w:rPr>
        <w:t xml:space="preserve">Testimony </w:t>
      </w:r>
    </w:p>
    <w:p w14:paraId="173B5E79" w14:textId="76A905B0" w:rsidR="00A0040E" w:rsidRPr="003352B1" w:rsidRDefault="00BA783C" w:rsidP="003352B1">
      <w:pPr>
        <w:spacing w:line="480" w:lineRule="auto"/>
        <w:ind w:firstLine="720"/>
        <w:jc w:val="both"/>
        <w:rPr>
          <w:rFonts w:ascii="Courier New" w:hAnsi="Courier New" w:cs="Courier New"/>
        </w:rPr>
      </w:pPr>
      <w:r w:rsidRPr="003352B1">
        <w:rPr>
          <w:rFonts w:ascii="Courier New" w:hAnsi="Courier New" w:cs="Courier New"/>
        </w:rPr>
        <w:t xml:space="preserve">Mr. </w:t>
      </w:r>
      <w:r w:rsidR="00A0040E" w:rsidRPr="003352B1">
        <w:rPr>
          <w:rFonts w:ascii="Courier New" w:hAnsi="Courier New" w:cs="Courier New"/>
        </w:rPr>
        <w:t xml:space="preserve">Walls, </w:t>
      </w:r>
      <w:r w:rsidRPr="003352B1">
        <w:rPr>
          <w:rFonts w:ascii="Courier New" w:hAnsi="Courier New" w:cs="Courier New"/>
        </w:rPr>
        <w:t xml:space="preserve">who has extensive experience in the operation of </w:t>
      </w:r>
      <w:r w:rsidR="00ED5703">
        <w:rPr>
          <w:rFonts w:ascii="Courier New" w:hAnsi="Courier New" w:cs="Courier New"/>
        </w:rPr>
        <w:t xml:space="preserve">a variety of </w:t>
      </w:r>
      <w:r w:rsidRPr="003352B1">
        <w:rPr>
          <w:rFonts w:ascii="Courier New" w:hAnsi="Courier New" w:cs="Courier New"/>
        </w:rPr>
        <w:t xml:space="preserve">energy systems, offered his </w:t>
      </w:r>
      <w:r w:rsidR="00017C7C">
        <w:rPr>
          <w:rFonts w:ascii="Courier New" w:hAnsi="Courier New" w:cs="Courier New"/>
        </w:rPr>
        <w:t xml:space="preserve">expert </w:t>
      </w:r>
      <w:r w:rsidRPr="003352B1">
        <w:rPr>
          <w:rFonts w:ascii="Courier New" w:hAnsi="Courier New" w:cs="Courier New"/>
        </w:rPr>
        <w:t>opinion as to</w:t>
      </w:r>
      <w:r w:rsidR="000F0FFB" w:rsidRPr="003352B1">
        <w:rPr>
          <w:rFonts w:ascii="Courier New" w:hAnsi="Courier New" w:cs="Courier New"/>
        </w:rPr>
        <w:t xml:space="preserve"> whether the</w:t>
      </w:r>
      <w:r w:rsidR="00A0040E" w:rsidRPr="003352B1">
        <w:rPr>
          <w:rFonts w:ascii="Courier New" w:hAnsi="Courier New" w:cs="Courier New"/>
        </w:rPr>
        <w:t xml:space="preserve"> </w:t>
      </w:r>
      <w:r w:rsidRPr="003352B1">
        <w:rPr>
          <w:rFonts w:ascii="Courier New" w:hAnsi="Courier New" w:cs="Courier New"/>
        </w:rPr>
        <w:t>N</w:t>
      </w:r>
      <w:r w:rsidR="00A0040E" w:rsidRPr="003352B1">
        <w:rPr>
          <w:rFonts w:ascii="Courier New" w:hAnsi="Courier New" w:cs="Courier New"/>
        </w:rPr>
        <w:t xml:space="preserve">etworks, including the </w:t>
      </w:r>
      <w:r w:rsidRPr="003352B1">
        <w:rPr>
          <w:rFonts w:ascii="Courier New" w:hAnsi="Courier New" w:cs="Courier New"/>
        </w:rPr>
        <w:t>s</w:t>
      </w:r>
      <w:r w:rsidR="00A0040E" w:rsidRPr="003352B1">
        <w:rPr>
          <w:rFonts w:ascii="Courier New" w:hAnsi="Courier New" w:cs="Courier New"/>
        </w:rPr>
        <w:t xml:space="preserve">ubject </w:t>
      </w:r>
      <w:r w:rsidRPr="003352B1">
        <w:rPr>
          <w:rFonts w:ascii="Courier New" w:hAnsi="Courier New" w:cs="Courier New"/>
        </w:rPr>
        <w:t>p</w:t>
      </w:r>
      <w:r w:rsidR="00A0040E" w:rsidRPr="003352B1">
        <w:rPr>
          <w:rFonts w:ascii="Courier New" w:hAnsi="Courier New" w:cs="Courier New"/>
        </w:rPr>
        <w:t xml:space="preserve">roperty, </w:t>
      </w:r>
      <w:r w:rsidRPr="003352B1">
        <w:rPr>
          <w:rFonts w:ascii="Courier New" w:hAnsi="Courier New" w:cs="Courier New"/>
        </w:rPr>
        <w:t xml:space="preserve">function as </w:t>
      </w:r>
      <w:r w:rsidR="00A0040E" w:rsidRPr="003352B1">
        <w:rPr>
          <w:rFonts w:ascii="Courier New" w:hAnsi="Courier New" w:cs="Courier New"/>
        </w:rPr>
        <w:t>a</w:t>
      </w:r>
      <w:r w:rsidRPr="003352B1">
        <w:rPr>
          <w:rFonts w:ascii="Courier New" w:hAnsi="Courier New" w:cs="Courier New"/>
        </w:rPr>
        <w:t xml:space="preserve"> single</w:t>
      </w:r>
      <w:r w:rsidR="00A0040E" w:rsidRPr="003352B1">
        <w:rPr>
          <w:rFonts w:ascii="Courier New" w:hAnsi="Courier New" w:cs="Courier New"/>
        </w:rPr>
        <w:t xml:space="preserve"> integrated machine.</w:t>
      </w:r>
      <w:r w:rsidR="000F0FFB" w:rsidRPr="003352B1">
        <w:rPr>
          <w:rFonts w:ascii="Courier New" w:hAnsi="Courier New" w:cs="Courier New"/>
        </w:rPr>
        <w:t xml:space="preserve"> </w:t>
      </w:r>
      <w:r w:rsidR="000F0FFB" w:rsidRPr="003352B1">
        <w:rPr>
          <w:rFonts w:ascii="Courier New" w:hAnsi="Courier New" w:cs="Courier New"/>
        </w:rPr>
        <w:lastRenderedPageBreak/>
        <w:t>To form his opinion, Mr. Walls visited various parts of the Networks including the Generation Facilities and the street system. He also reviewed comprehensive documentation on all the components of the Networks</w:t>
      </w:r>
      <w:r w:rsidR="003352B1" w:rsidRPr="003352B1">
        <w:rPr>
          <w:rFonts w:ascii="Courier New" w:hAnsi="Courier New" w:cs="Courier New"/>
        </w:rPr>
        <w:t xml:space="preserve"> and</w:t>
      </w:r>
      <w:r w:rsidR="000F0FFB" w:rsidRPr="003352B1">
        <w:rPr>
          <w:rFonts w:ascii="Courier New" w:hAnsi="Courier New" w:cs="Courier New"/>
        </w:rPr>
        <w:t xml:space="preserve"> conducted interviews with staff</w:t>
      </w:r>
      <w:r w:rsidR="003352B1" w:rsidRPr="003352B1">
        <w:rPr>
          <w:rFonts w:ascii="Courier New" w:hAnsi="Courier New" w:cs="Courier New"/>
        </w:rPr>
        <w:t>.</w:t>
      </w:r>
    </w:p>
    <w:p w14:paraId="02ECB2B0" w14:textId="0D5EB43A" w:rsidR="003352B1" w:rsidRPr="008F78D7" w:rsidRDefault="00ED5703" w:rsidP="008F78D7">
      <w:pPr>
        <w:spacing w:line="480" w:lineRule="auto"/>
        <w:ind w:firstLine="720"/>
        <w:jc w:val="both"/>
        <w:rPr>
          <w:rFonts w:ascii="Courier New" w:hAnsi="Courier New" w:cs="Courier New"/>
        </w:rPr>
      </w:pPr>
      <w:r>
        <w:rPr>
          <w:rFonts w:ascii="Courier New" w:hAnsi="Courier New" w:cs="Courier New"/>
        </w:rPr>
        <w:t>Mr. Wall</w:t>
      </w:r>
      <w:r w:rsidR="003014CA">
        <w:rPr>
          <w:rFonts w:ascii="Courier New" w:hAnsi="Courier New" w:cs="Courier New"/>
        </w:rPr>
        <w:t>s</w:t>
      </w:r>
      <w:r>
        <w:rPr>
          <w:rFonts w:ascii="Courier New" w:hAnsi="Courier New" w:cs="Courier New"/>
        </w:rPr>
        <w:t xml:space="preserve"> described the Networks, as well as the interaction among their various components, in great detail. </w:t>
      </w:r>
      <w:r w:rsidR="00C15647">
        <w:rPr>
          <w:rFonts w:ascii="Courier New" w:hAnsi="Courier New" w:cs="Courier New"/>
        </w:rPr>
        <w:t xml:space="preserve">In his testimony and </w:t>
      </w:r>
      <w:r w:rsidR="00BA783C" w:rsidRPr="008F78D7">
        <w:rPr>
          <w:rFonts w:ascii="Courier New" w:hAnsi="Courier New" w:cs="Courier New"/>
        </w:rPr>
        <w:t xml:space="preserve">his expert report, </w:t>
      </w:r>
      <w:r w:rsidR="00A0040E" w:rsidRPr="008F78D7">
        <w:rPr>
          <w:rFonts w:ascii="Courier New" w:hAnsi="Courier New" w:cs="Courier New"/>
        </w:rPr>
        <w:t xml:space="preserve">Mr. Walls </w:t>
      </w:r>
      <w:r w:rsidR="003352B1" w:rsidRPr="008F78D7">
        <w:rPr>
          <w:rFonts w:ascii="Courier New" w:hAnsi="Courier New" w:cs="Courier New"/>
        </w:rPr>
        <w:t xml:space="preserve">stated his opinion of what constitutes a machine and </w:t>
      </w:r>
      <w:r w:rsidR="005E7164" w:rsidRPr="008F78D7">
        <w:rPr>
          <w:rFonts w:ascii="Courier New" w:hAnsi="Courier New" w:cs="Courier New"/>
        </w:rPr>
        <w:t>the integrated nature of the</w:t>
      </w:r>
      <w:r w:rsidR="008F78D7" w:rsidRPr="008F78D7">
        <w:rPr>
          <w:rFonts w:ascii="Courier New" w:hAnsi="Courier New" w:cs="Courier New"/>
        </w:rPr>
        <w:t xml:space="preserve"> Networks</w:t>
      </w:r>
      <w:r w:rsidR="003014CA">
        <w:rPr>
          <w:rFonts w:ascii="Courier New" w:hAnsi="Courier New" w:cs="Courier New"/>
        </w:rPr>
        <w:t>:</w:t>
      </w:r>
    </w:p>
    <w:p w14:paraId="29AA1B3E" w14:textId="00EB8177" w:rsidR="00A0040E" w:rsidRPr="008F78D7" w:rsidRDefault="00A0040E" w:rsidP="00C45382">
      <w:pPr>
        <w:ind w:left="1008" w:right="1008"/>
        <w:jc w:val="both"/>
        <w:rPr>
          <w:rFonts w:ascii="Courier New" w:hAnsi="Courier New" w:cs="Courier New"/>
        </w:rPr>
      </w:pPr>
      <w:r w:rsidRPr="008F78D7">
        <w:rPr>
          <w:rFonts w:ascii="Courier New" w:hAnsi="Courier New" w:cs="Courier New"/>
        </w:rPr>
        <w:t xml:space="preserve">The </w:t>
      </w:r>
      <w:r w:rsidR="00C15647">
        <w:rPr>
          <w:rFonts w:ascii="Courier New" w:hAnsi="Courier New" w:cs="Courier New"/>
        </w:rPr>
        <w:t>[Networks]</w:t>
      </w:r>
      <w:r w:rsidRPr="008F78D7">
        <w:rPr>
          <w:rFonts w:ascii="Courier New" w:hAnsi="Courier New" w:cs="Courier New"/>
        </w:rPr>
        <w:t xml:space="preserve"> function</w:t>
      </w:r>
      <w:r w:rsidR="00C15647">
        <w:rPr>
          <w:rFonts w:ascii="Courier New" w:hAnsi="Courier New" w:cs="Courier New"/>
        </w:rPr>
        <w:t>[]</w:t>
      </w:r>
      <w:r w:rsidRPr="008F78D7">
        <w:rPr>
          <w:rFonts w:ascii="Courier New" w:hAnsi="Courier New" w:cs="Courier New"/>
        </w:rPr>
        <w:t xml:space="preserve"> as a single, integrated machine. Machinery is any combination of mechanical means designed to work together so as to effect a</w:t>
      </w:r>
      <w:r w:rsidR="00BA783C" w:rsidRPr="008F78D7">
        <w:rPr>
          <w:rFonts w:ascii="Courier New" w:hAnsi="Courier New" w:cs="Courier New"/>
        </w:rPr>
        <w:t>n</w:t>
      </w:r>
      <w:r w:rsidRPr="008F78D7">
        <w:rPr>
          <w:rFonts w:ascii="Courier New" w:hAnsi="Courier New" w:cs="Courier New"/>
        </w:rPr>
        <w:t xml:space="preserve"> end. The components of the </w:t>
      </w:r>
      <w:r w:rsidR="00C15647">
        <w:rPr>
          <w:rFonts w:ascii="Courier New" w:hAnsi="Courier New" w:cs="Courier New"/>
        </w:rPr>
        <w:t>[Networks]</w:t>
      </w:r>
      <w:r w:rsidR="008F78D7" w:rsidRPr="008F78D7">
        <w:rPr>
          <w:rFonts w:ascii="Courier New" w:hAnsi="Courier New" w:cs="Courier New"/>
        </w:rPr>
        <w:t xml:space="preserve">, </w:t>
      </w:r>
      <w:r w:rsidRPr="008F78D7">
        <w:rPr>
          <w:rFonts w:ascii="Courier New" w:hAnsi="Courier New" w:cs="Courier New"/>
        </w:rPr>
        <w:t>such as the boilers, pipes, valves and steam traps</w:t>
      </w:r>
      <w:r w:rsidR="008F78D7" w:rsidRPr="008F78D7">
        <w:rPr>
          <w:rFonts w:ascii="Courier New" w:hAnsi="Courier New" w:cs="Courier New"/>
        </w:rPr>
        <w:t xml:space="preserve">, </w:t>
      </w:r>
      <w:r w:rsidRPr="008F78D7">
        <w:rPr>
          <w:rFonts w:ascii="Courier New" w:hAnsi="Courier New" w:cs="Courier New"/>
        </w:rPr>
        <w:t xml:space="preserve">are machinery that operate together to generate, maintain, distribute, store, and convert steam for use by customers. Therefore, each component supports operation of the </w:t>
      </w:r>
      <w:r w:rsidR="00C15647">
        <w:rPr>
          <w:rFonts w:ascii="Courier New" w:hAnsi="Courier New" w:cs="Courier New"/>
        </w:rPr>
        <w:t xml:space="preserve">[Networks] </w:t>
      </w:r>
      <w:r w:rsidRPr="008F78D7">
        <w:rPr>
          <w:rFonts w:ascii="Courier New" w:hAnsi="Courier New" w:cs="Courier New"/>
        </w:rPr>
        <w:t>as a single, integrated machine</w:t>
      </w:r>
      <w:r w:rsidR="008F78D7" w:rsidRPr="008F78D7">
        <w:rPr>
          <w:rFonts w:ascii="Courier New" w:hAnsi="Courier New" w:cs="Courier New"/>
        </w:rPr>
        <w:t>. Without</w:t>
      </w:r>
      <w:r w:rsidRPr="008F78D7">
        <w:rPr>
          <w:rFonts w:ascii="Courier New" w:hAnsi="Courier New" w:cs="Courier New"/>
        </w:rPr>
        <w:t xml:space="preserve"> each component, </w:t>
      </w:r>
      <w:r w:rsidR="008F78D7" w:rsidRPr="008F78D7">
        <w:rPr>
          <w:rFonts w:ascii="Courier New" w:hAnsi="Courier New" w:cs="Courier New"/>
        </w:rPr>
        <w:t>[the appellant]</w:t>
      </w:r>
      <w:r w:rsidRPr="008F78D7">
        <w:rPr>
          <w:rFonts w:ascii="Courier New" w:hAnsi="Courier New" w:cs="Courier New"/>
        </w:rPr>
        <w:t xml:space="preserve"> could not generate the product that is ultimately sold to the customer.</w:t>
      </w:r>
    </w:p>
    <w:p w14:paraId="7DE3D11E" w14:textId="77777777" w:rsidR="00A0040E" w:rsidRDefault="00A0040E" w:rsidP="00A0040E">
      <w:pPr>
        <w:ind w:firstLine="720"/>
        <w:jc w:val="both"/>
      </w:pPr>
    </w:p>
    <w:p w14:paraId="0E1081FA" w14:textId="1F5D3C58" w:rsidR="00C15647" w:rsidRPr="00C15647" w:rsidRDefault="00A0040E" w:rsidP="00FF6BA3">
      <w:pPr>
        <w:pStyle w:val="BodyText"/>
      </w:pPr>
      <w:r w:rsidRPr="00C15647">
        <w:t xml:space="preserve">Mr. Walls </w:t>
      </w:r>
      <w:r w:rsidR="00C15647" w:rsidRPr="00C15647">
        <w:t>emphasized that the high pressure steam generated by the appellant “</w:t>
      </w:r>
      <w:r w:rsidRPr="00C15647">
        <w:t xml:space="preserve">is not a finished product until it’s delivered to the customer through their control valves and provided to them for use in their energy services.” </w:t>
      </w:r>
      <w:r w:rsidR="00A55DE0">
        <w:t xml:space="preserve">He </w:t>
      </w:r>
      <w:r w:rsidR="00A55DE0" w:rsidRPr="00A55DE0">
        <w:t>d</w:t>
      </w:r>
      <w:r w:rsidR="00A55DE0" w:rsidRPr="00A55DE0">
        <w:rPr>
          <w:bCs/>
        </w:rPr>
        <w:t>iscussed the function of the pipes</w:t>
      </w:r>
      <w:r w:rsidR="009E1610">
        <w:rPr>
          <w:bCs/>
        </w:rPr>
        <w:t xml:space="preserve"> within the Networks</w:t>
      </w:r>
      <w:r w:rsidR="00A55DE0" w:rsidRPr="00A55DE0">
        <w:rPr>
          <w:bCs/>
        </w:rPr>
        <w:t xml:space="preserve">, which he described as </w:t>
      </w:r>
      <w:r w:rsidR="004B49EA">
        <w:rPr>
          <w:bCs/>
        </w:rPr>
        <w:t xml:space="preserve">not mere conduits, but </w:t>
      </w:r>
      <w:r w:rsidR="00A55DE0" w:rsidRPr="00A55DE0">
        <w:rPr>
          <w:bCs/>
        </w:rPr>
        <w:t xml:space="preserve">an active </w:t>
      </w:r>
      <w:r w:rsidR="00A55DE0" w:rsidRPr="00A55DE0">
        <w:rPr>
          <w:bCs/>
        </w:rPr>
        <w:lastRenderedPageBreak/>
        <w:t>network controlled with control valves, metered and monitored with monitoring measuring equipment. Mr. Wall</w:t>
      </w:r>
      <w:r w:rsidR="003014CA">
        <w:rPr>
          <w:bCs/>
        </w:rPr>
        <w:t>s</w:t>
      </w:r>
      <w:r w:rsidR="00C15647" w:rsidRPr="00C15647">
        <w:t xml:space="preserve"> also noted the importance of the storage</w:t>
      </w:r>
      <w:r w:rsidR="00C15647">
        <w:t xml:space="preserve"> and system flow pressure functions</w:t>
      </w:r>
      <w:r w:rsidR="00C15647" w:rsidRPr="00C15647">
        <w:t xml:space="preserve"> served by the pipes, stating that “steam is not like an instantaneous product, like electricity. When you flip a switch, you just don’t have instant steam. You have to build up pressure in the system, and so you have to have that stored amount of energy in the system to really operate it.” </w:t>
      </w:r>
      <w:r w:rsidR="00680F2E">
        <w:t xml:space="preserve">The Board </w:t>
      </w:r>
      <w:r w:rsidR="004851C9">
        <w:t>found Mr. Walls</w:t>
      </w:r>
      <w:r w:rsidR="003014CA">
        <w:t>’</w:t>
      </w:r>
      <w:r w:rsidR="004851C9">
        <w:t xml:space="preserve"> testimony credible and </w:t>
      </w:r>
      <w:r w:rsidR="00680F2E">
        <w:t xml:space="preserve">agreed with </w:t>
      </w:r>
      <w:r w:rsidR="004851C9">
        <w:t>his</w:t>
      </w:r>
      <w:r w:rsidR="00680F2E">
        <w:t xml:space="preserve"> conclusion that the Networks, including the subject property, constituted and operated as a single integrated machine. </w:t>
      </w:r>
      <w:r w:rsidR="00C15647" w:rsidRPr="00C15647">
        <w:t xml:space="preserve"> </w:t>
      </w:r>
    </w:p>
    <w:p w14:paraId="1E83B202" w14:textId="7CECB796" w:rsidR="00385CB0" w:rsidRPr="004B49EA" w:rsidRDefault="00385CB0" w:rsidP="001E5F6E">
      <w:pPr>
        <w:spacing w:line="480" w:lineRule="auto"/>
        <w:jc w:val="both"/>
        <w:rPr>
          <w:rFonts w:ascii="Courier New" w:hAnsi="Courier New" w:cs="Courier New"/>
          <w:u w:val="single"/>
        </w:rPr>
      </w:pPr>
      <w:r w:rsidRPr="004B49EA">
        <w:rPr>
          <w:rFonts w:ascii="Courier New" w:hAnsi="Courier New" w:cs="Courier New"/>
          <w:b/>
          <w:u w:val="single"/>
        </w:rPr>
        <w:t>Summary</w:t>
      </w:r>
    </w:p>
    <w:p w14:paraId="3D50B870" w14:textId="1870EE74" w:rsidR="003E447E" w:rsidRDefault="000251E3" w:rsidP="00F41777">
      <w:pPr>
        <w:spacing w:line="480" w:lineRule="auto"/>
        <w:jc w:val="both"/>
        <w:rPr>
          <w:rFonts w:ascii="Courier New" w:hAnsi="Courier New" w:cs="Courier New"/>
        </w:rPr>
      </w:pPr>
      <w:r>
        <w:rPr>
          <w:rFonts w:ascii="Courier New" w:hAnsi="Courier New" w:cs="Courier New"/>
        </w:rPr>
        <w:tab/>
      </w:r>
      <w:r w:rsidR="004B49EA" w:rsidRPr="004B49EA">
        <w:rPr>
          <w:rFonts w:ascii="Courier New" w:hAnsi="Courier New" w:cs="Courier New"/>
        </w:rPr>
        <w:t>Based on the evidence presented and the reasonable inferences drawn therefrom, the Board found and ruled that the subject property</w:t>
      </w:r>
      <w:r w:rsidR="003E447E" w:rsidRPr="004B49EA">
        <w:rPr>
          <w:rFonts w:ascii="Courier New" w:hAnsi="Courier New" w:cs="Courier New"/>
        </w:rPr>
        <w:t xml:space="preserve"> </w:t>
      </w:r>
      <w:r w:rsidR="00ED5703">
        <w:rPr>
          <w:rFonts w:ascii="Courier New" w:hAnsi="Courier New" w:cs="Courier New"/>
        </w:rPr>
        <w:t xml:space="preserve">and the other components of the Networks together </w:t>
      </w:r>
      <w:r w:rsidR="00300029">
        <w:rPr>
          <w:rFonts w:ascii="Courier New" w:hAnsi="Courier New" w:cs="Courier New"/>
        </w:rPr>
        <w:t>formed a</w:t>
      </w:r>
      <w:r w:rsidR="00ED5703">
        <w:rPr>
          <w:rFonts w:ascii="Courier New" w:hAnsi="Courier New" w:cs="Courier New"/>
        </w:rPr>
        <w:t xml:space="preserve"> single</w:t>
      </w:r>
      <w:r w:rsidR="00300029">
        <w:rPr>
          <w:rFonts w:ascii="Courier New" w:hAnsi="Courier New" w:cs="Courier New"/>
        </w:rPr>
        <w:t xml:space="preserve"> integra</w:t>
      </w:r>
      <w:r w:rsidR="00ED5703">
        <w:rPr>
          <w:rFonts w:ascii="Courier New" w:hAnsi="Courier New" w:cs="Courier New"/>
        </w:rPr>
        <w:t xml:space="preserve">ted machine. </w:t>
      </w:r>
      <w:r w:rsidR="00FC1096">
        <w:rPr>
          <w:rFonts w:ascii="Courier New" w:hAnsi="Courier New" w:cs="Courier New"/>
        </w:rPr>
        <w:t>Because the appellant was classified as a manufacturing corporation, t</w:t>
      </w:r>
      <w:r w:rsidR="00ED5703">
        <w:rPr>
          <w:rFonts w:ascii="Courier New" w:hAnsi="Courier New" w:cs="Courier New"/>
        </w:rPr>
        <w:t>he subject property</w:t>
      </w:r>
      <w:r w:rsidR="00300029">
        <w:rPr>
          <w:rFonts w:ascii="Courier New" w:hAnsi="Courier New" w:cs="Courier New"/>
        </w:rPr>
        <w:t xml:space="preserve"> was </w:t>
      </w:r>
      <w:r w:rsidR="004B49EA" w:rsidRPr="004B49EA">
        <w:rPr>
          <w:rFonts w:ascii="Courier New" w:hAnsi="Courier New" w:cs="Courier New"/>
        </w:rPr>
        <w:t xml:space="preserve">exempt from taxation </w:t>
      </w:r>
      <w:r w:rsidR="00FC1096">
        <w:rPr>
          <w:rFonts w:ascii="Courier New" w:hAnsi="Courier New" w:cs="Courier New"/>
        </w:rPr>
        <w:t xml:space="preserve">as manufacturing machinery </w:t>
      </w:r>
      <w:r w:rsidR="004B49EA" w:rsidRPr="004B49EA">
        <w:rPr>
          <w:rFonts w:ascii="Courier New" w:hAnsi="Courier New" w:cs="Courier New"/>
        </w:rPr>
        <w:t xml:space="preserve">pursuant to G.L. c. 59, § 5, cl. </w:t>
      </w:r>
      <w:r w:rsidR="003014CA">
        <w:rPr>
          <w:rFonts w:ascii="Courier New" w:hAnsi="Courier New" w:cs="Courier New"/>
        </w:rPr>
        <w:t>Sixteenth</w:t>
      </w:r>
      <w:r w:rsidR="004B49EA" w:rsidRPr="004B49EA">
        <w:rPr>
          <w:rFonts w:ascii="Courier New" w:hAnsi="Courier New" w:cs="Courier New"/>
        </w:rPr>
        <w:t>(3). Accordingly, the Board issued</w:t>
      </w:r>
      <w:r w:rsidR="004B49EA">
        <w:rPr>
          <w:rFonts w:ascii="Courier New" w:hAnsi="Courier New" w:cs="Courier New"/>
        </w:rPr>
        <w:t xml:space="preserve"> a decision for the appellant in this appeal.</w:t>
      </w:r>
    </w:p>
    <w:p w14:paraId="56E0C313" w14:textId="77777777" w:rsidR="003014CA" w:rsidRDefault="003014CA" w:rsidP="00F41777">
      <w:pPr>
        <w:spacing w:line="480" w:lineRule="auto"/>
        <w:jc w:val="both"/>
        <w:rPr>
          <w:rFonts w:ascii="Courier New" w:hAnsi="Courier New" w:cs="Courier New"/>
        </w:rPr>
      </w:pPr>
    </w:p>
    <w:p w14:paraId="07A89835" w14:textId="77777777" w:rsidR="003014CA" w:rsidRDefault="003014CA" w:rsidP="00F41777">
      <w:pPr>
        <w:spacing w:line="480" w:lineRule="auto"/>
        <w:jc w:val="both"/>
        <w:rPr>
          <w:rFonts w:ascii="Courier New" w:hAnsi="Courier New" w:cs="Courier New"/>
        </w:rPr>
      </w:pPr>
    </w:p>
    <w:p w14:paraId="60E12AED" w14:textId="77777777" w:rsidR="003E447E" w:rsidRDefault="003E447E" w:rsidP="00DA4D77">
      <w:pPr>
        <w:spacing w:line="480" w:lineRule="auto"/>
        <w:ind w:firstLine="720"/>
        <w:jc w:val="center"/>
        <w:rPr>
          <w:rFonts w:ascii="Courier New" w:hAnsi="Courier New" w:cs="Courier New"/>
          <w:b/>
          <w:bCs/>
        </w:rPr>
      </w:pPr>
      <w:r>
        <w:rPr>
          <w:rFonts w:ascii="Courier New" w:hAnsi="Courier New" w:cs="Courier New"/>
          <w:b/>
          <w:bCs/>
        </w:rPr>
        <w:lastRenderedPageBreak/>
        <w:t>OPINION</w:t>
      </w:r>
    </w:p>
    <w:p w14:paraId="3938B524" w14:textId="2A540C49" w:rsidR="00A0040E" w:rsidRPr="009E1610" w:rsidRDefault="00A0040E" w:rsidP="009E1610">
      <w:pPr>
        <w:spacing w:line="480" w:lineRule="auto"/>
        <w:ind w:firstLine="720"/>
        <w:jc w:val="both"/>
        <w:rPr>
          <w:rFonts w:ascii="Courier New" w:hAnsi="Courier New" w:cs="Courier New"/>
        </w:rPr>
      </w:pPr>
      <w:r w:rsidRPr="009E1610">
        <w:rPr>
          <w:rFonts w:ascii="Courier New" w:hAnsi="Courier New" w:cs="Courier New"/>
        </w:rPr>
        <w:t xml:space="preserve"> G</w:t>
      </w:r>
      <w:r w:rsidR="004B49EA" w:rsidRPr="009E1610">
        <w:rPr>
          <w:rFonts w:ascii="Courier New" w:hAnsi="Courier New" w:cs="Courier New"/>
        </w:rPr>
        <w:t xml:space="preserve">eneral </w:t>
      </w:r>
      <w:r w:rsidRPr="009E1610">
        <w:rPr>
          <w:rFonts w:ascii="Courier New" w:hAnsi="Courier New" w:cs="Courier New"/>
        </w:rPr>
        <w:t>L</w:t>
      </w:r>
      <w:r w:rsidR="004B49EA" w:rsidRPr="009E1610">
        <w:rPr>
          <w:rFonts w:ascii="Courier New" w:hAnsi="Courier New" w:cs="Courier New"/>
        </w:rPr>
        <w:t>aws</w:t>
      </w:r>
      <w:r w:rsidRPr="009E1610">
        <w:rPr>
          <w:rFonts w:ascii="Courier New" w:hAnsi="Courier New" w:cs="Courier New"/>
        </w:rPr>
        <w:t xml:space="preserve"> c</w:t>
      </w:r>
      <w:r w:rsidR="003014CA">
        <w:rPr>
          <w:rFonts w:ascii="Courier New" w:hAnsi="Courier New" w:cs="Courier New"/>
        </w:rPr>
        <w:t>.</w:t>
      </w:r>
      <w:r w:rsidRPr="009E1610">
        <w:rPr>
          <w:rFonts w:ascii="Courier New" w:hAnsi="Courier New" w:cs="Courier New"/>
        </w:rPr>
        <w:t xml:space="preserve"> 59, </w:t>
      </w:r>
      <w:r w:rsidR="003014CA">
        <w:rPr>
          <w:rFonts w:ascii="Courier New" w:hAnsi="Courier New" w:cs="Courier New"/>
        </w:rPr>
        <w:t>§</w:t>
      </w:r>
      <w:r w:rsidRPr="009E1610">
        <w:rPr>
          <w:rFonts w:ascii="Courier New" w:hAnsi="Courier New" w:cs="Courier New"/>
        </w:rPr>
        <w:t xml:space="preserve"> 5, cl</w:t>
      </w:r>
      <w:r w:rsidR="003014CA">
        <w:rPr>
          <w:rFonts w:ascii="Courier New" w:hAnsi="Courier New" w:cs="Courier New"/>
        </w:rPr>
        <w:t>.</w:t>
      </w:r>
      <w:r w:rsidR="00531768" w:rsidRPr="009E1610">
        <w:rPr>
          <w:rFonts w:ascii="Courier New" w:hAnsi="Courier New" w:cs="Courier New"/>
        </w:rPr>
        <w:t xml:space="preserve"> Sixteenth</w:t>
      </w:r>
      <w:r w:rsidRPr="009E1610">
        <w:rPr>
          <w:rFonts w:ascii="Courier New" w:hAnsi="Courier New" w:cs="Courier New"/>
        </w:rPr>
        <w:t>(3)</w:t>
      </w:r>
      <w:r w:rsidR="00300029">
        <w:rPr>
          <w:rFonts w:ascii="Courier New" w:hAnsi="Courier New" w:cs="Courier New"/>
        </w:rPr>
        <w:t xml:space="preserve"> (“Clause 16(3)”)</w:t>
      </w:r>
      <w:r w:rsidRPr="009E1610">
        <w:rPr>
          <w:rFonts w:ascii="Courier New" w:hAnsi="Courier New" w:cs="Courier New"/>
        </w:rPr>
        <w:t xml:space="preserve"> </w:t>
      </w:r>
      <w:r w:rsidR="00531768" w:rsidRPr="009E1610">
        <w:rPr>
          <w:rFonts w:ascii="Courier New" w:hAnsi="Courier New" w:cs="Courier New"/>
        </w:rPr>
        <w:t xml:space="preserve">provides </w:t>
      </w:r>
      <w:r w:rsidRPr="009E1610">
        <w:rPr>
          <w:rFonts w:ascii="Courier New" w:hAnsi="Courier New" w:cs="Courier New"/>
        </w:rPr>
        <w:t>certain exemptions</w:t>
      </w:r>
      <w:r w:rsidR="0086458D">
        <w:rPr>
          <w:rStyle w:val="FootnoteReference"/>
          <w:rFonts w:ascii="Courier New" w:hAnsi="Courier New"/>
        </w:rPr>
        <w:footnoteReference w:id="4"/>
      </w:r>
      <w:r w:rsidRPr="009E1610">
        <w:rPr>
          <w:rFonts w:ascii="Courier New" w:hAnsi="Courier New" w:cs="Courier New"/>
        </w:rPr>
        <w:t xml:space="preserve"> </w:t>
      </w:r>
      <w:r w:rsidR="00531768" w:rsidRPr="009E1610">
        <w:rPr>
          <w:rFonts w:ascii="Courier New" w:hAnsi="Courier New" w:cs="Courier New"/>
        </w:rPr>
        <w:t>from property tax</w:t>
      </w:r>
      <w:r w:rsidRPr="009E1610">
        <w:rPr>
          <w:rFonts w:ascii="Courier New" w:hAnsi="Courier New" w:cs="Courier New"/>
        </w:rPr>
        <w:t xml:space="preserve">, including </w:t>
      </w:r>
      <w:r w:rsidR="009E1610" w:rsidRPr="009E1610">
        <w:rPr>
          <w:rFonts w:ascii="Courier New" w:hAnsi="Courier New" w:cs="Courier New"/>
        </w:rPr>
        <w:t xml:space="preserve">for </w:t>
      </w:r>
      <w:r w:rsidRPr="009E1610">
        <w:rPr>
          <w:rFonts w:ascii="Courier New" w:hAnsi="Courier New" w:cs="Courier New"/>
        </w:rPr>
        <w:t>property owned by manufacturing corporations</w:t>
      </w:r>
      <w:r w:rsidR="004851C9">
        <w:rPr>
          <w:rFonts w:ascii="Courier New" w:hAnsi="Courier New" w:cs="Courier New"/>
        </w:rPr>
        <w:t>, as follows</w:t>
      </w:r>
      <w:r w:rsidRPr="009E1610">
        <w:rPr>
          <w:rFonts w:ascii="Courier New" w:hAnsi="Courier New" w:cs="Courier New"/>
        </w:rPr>
        <w:t>:</w:t>
      </w:r>
    </w:p>
    <w:p w14:paraId="4F8A0742" w14:textId="77777777" w:rsidR="00A0040E" w:rsidRDefault="00A0040E" w:rsidP="00A0040E">
      <w:pPr>
        <w:ind w:firstLine="720"/>
        <w:jc w:val="both"/>
      </w:pPr>
    </w:p>
    <w:p w14:paraId="7D455F5E" w14:textId="08F4167D" w:rsidR="00A0040E" w:rsidRPr="009E1610" w:rsidRDefault="00A0040E" w:rsidP="00A0040E">
      <w:pPr>
        <w:ind w:left="720" w:right="720"/>
        <w:jc w:val="both"/>
        <w:rPr>
          <w:rFonts w:ascii="Courier New" w:hAnsi="Courier New" w:cs="Courier New"/>
          <w:color w:val="000000"/>
        </w:rPr>
      </w:pPr>
      <w:r w:rsidRPr="009E1610">
        <w:rPr>
          <w:rFonts w:ascii="Courier New" w:hAnsi="Courier New" w:cs="Courier New"/>
          <w:color w:val="000000"/>
        </w:rPr>
        <w:t xml:space="preserve">In the case of (i) a manufacturing corporation or a research and development corporation, as defined in </w:t>
      </w:r>
      <w:hyperlink r:id="rId9" w:history="1">
        <w:r w:rsidRPr="009E1610">
          <w:rPr>
            <w:rStyle w:val="Hyperlink"/>
            <w:rFonts w:ascii="Courier New" w:hAnsi="Courier New" w:cs="Courier New"/>
            <w:color w:val="000000"/>
            <w:u w:val="none"/>
          </w:rPr>
          <w:t>section 42B of chapter 63</w:t>
        </w:r>
      </w:hyperlink>
      <w:r w:rsidRPr="009E1610">
        <w:rPr>
          <w:rFonts w:ascii="Courier New" w:hAnsi="Courier New" w:cs="Courier New"/>
          <w:color w:val="000000"/>
        </w:rPr>
        <w:t xml:space="preserve"> . . . all property owned by the corporation . . . other than real estate, poles and underground conduits, wires and pipes . . .</w:t>
      </w:r>
      <w:r w:rsidR="004A4AF6">
        <w:rPr>
          <w:rFonts w:ascii="Courier New" w:hAnsi="Courier New" w:cs="Courier New"/>
          <w:color w:val="000000"/>
        </w:rPr>
        <w:t xml:space="preserve"> .</w:t>
      </w:r>
    </w:p>
    <w:p w14:paraId="696884AB" w14:textId="77777777" w:rsidR="00A0040E" w:rsidRDefault="00A0040E" w:rsidP="00A0040E"/>
    <w:p w14:paraId="38701E8A" w14:textId="406A96E1" w:rsidR="00FF6BA3" w:rsidRPr="00FF6BA3" w:rsidRDefault="009E1610" w:rsidP="00FF6BA3">
      <w:pPr>
        <w:spacing w:line="480" w:lineRule="auto"/>
        <w:jc w:val="both"/>
        <w:rPr>
          <w:rFonts w:ascii="Courier New" w:hAnsi="Courier New" w:cs="Courier New"/>
        </w:rPr>
      </w:pPr>
      <w:r w:rsidRPr="00FF6BA3">
        <w:rPr>
          <w:rFonts w:ascii="Courier New" w:hAnsi="Courier New" w:cs="Courier New"/>
        </w:rPr>
        <w:t>Having acknowledged that the appellant was classified</w:t>
      </w:r>
      <w:r w:rsidR="003014CA">
        <w:rPr>
          <w:rFonts w:ascii="Courier New" w:hAnsi="Courier New" w:cs="Courier New"/>
        </w:rPr>
        <w:t xml:space="preserve"> by</w:t>
      </w:r>
      <w:r w:rsidRPr="00FF6BA3">
        <w:rPr>
          <w:rFonts w:ascii="Courier New" w:hAnsi="Courier New" w:cs="Courier New"/>
        </w:rPr>
        <w:t xml:space="preserve"> </w:t>
      </w:r>
      <w:r w:rsidR="00094BA1">
        <w:rPr>
          <w:rFonts w:ascii="Courier New" w:hAnsi="Courier New" w:cs="Courier New"/>
        </w:rPr>
        <w:t xml:space="preserve">the Commissioner of Revenue </w:t>
      </w:r>
      <w:r w:rsidRPr="00FF6BA3">
        <w:rPr>
          <w:rFonts w:ascii="Courier New" w:hAnsi="Courier New" w:cs="Courier New"/>
        </w:rPr>
        <w:t>as a manufacturing corporation</w:t>
      </w:r>
      <w:r w:rsidR="004851C9">
        <w:rPr>
          <w:rFonts w:ascii="Courier New" w:hAnsi="Courier New" w:cs="Courier New"/>
        </w:rPr>
        <w:t xml:space="preserve"> within the meaning of G.L. c. 63, § 42B</w:t>
      </w:r>
      <w:r w:rsidRPr="00FF6BA3">
        <w:rPr>
          <w:rFonts w:ascii="Courier New" w:hAnsi="Courier New" w:cs="Courier New"/>
        </w:rPr>
        <w:t xml:space="preserve">, the assessors </w:t>
      </w:r>
      <w:r w:rsidR="00094BA1">
        <w:rPr>
          <w:rFonts w:ascii="Courier New" w:hAnsi="Courier New" w:cs="Courier New"/>
        </w:rPr>
        <w:t>argued</w:t>
      </w:r>
      <w:r w:rsidRPr="00FF6BA3">
        <w:rPr>
          <w:rFonts w:ascii="Courier New" w:hAnsi="Courier New" w:cs="Courier New"/>
        </w:rPr>
        <w:t xml:space="preserve"> that the subject property was taxable as </w:t>
      </w:r>
      <w:r w:rsidRPr="00FF6BA3">
        <w:rPr>
          <w:rFonts w:ascii="Courier New" w:hAnsi="Courier New" w:cs="Courier New"/>
          <w:color w:val="000000"/>
        </w:rPr>
        <w:t>poles and underground conduits, wires and pipes, which</w:t>
      </w:r>
      <w:r w:rsidR="00FF6BA3" w:rsidRPr="00FF6BA3">
        <w:rPr>
          <w:rFonts w:ascii="Courier New" w:hAnsi="Courier New" w:cs="Courier New"/>
          <w:color w:val="000000"/>
        </w:rPr>
        <w:t xml:space="preserve"> are excluded from </w:t>
      </w:r>
      <w:r w:rsidR="00300029">
        <w:rPr>
          <w:rFonts w:ascii="Courier New" w:hAnsi="Courier New" w:cs="Courier New"/>
          <w:color w:val="000000"/>
        </w:rPr>
        <w:t>C</w:t>
      </w:r>
      <w:r w:rsidR="00FF6BA3" w:rsidRPr="00FF6BA3">
        <w:rPr>
          <w:rFonts w:ascii="Courier New" w:hAnsi="Courier New" w:cs="Courier New"/>
          <w:color w:val="000000"/>
        </w:rPr>
        <w:t xml:space="preserve">lause </w:t>
      </w:r>
      <w:r w:rsidR="00300029">
        <w:rPr>
          <w:rFonts w:ascii="Courier New" w:hAnsi="Courier New" w:cs="Courier New"/>
          <w:color w:val="000000"/>
        </w:rPr>
        <w:t>16(3)</w:t>
      </w:r>
      <w:r w:rsidR="00FF6BA3" w:rsidRPr="00FF6BA3">
        <w:rPr>
          <w:rFonts w:ascii="Courier New" w:hAnsi="Courier New" w:cs="Courier New"/>
          <w:color w:val="000000"/>
        </w:rPr>
        <w:t xml:space="preserve"> and </w:t>
      </w:r>
      <w:r w:rsidRPr="00FF6BA3">
        <w:rPr>
          <w:rFonts w:ascii="Courier New" w:hAnsi="Courier New" w:cs="Courier New"/>
          <w:color w:val="000000"/>
        </w:rPr>
        <w:t>remain taxable under G.L. c. 59, §</w:t>
      </w:r>
      <w:r w:rsidR="009918AC">
        <w:rPr>
          <w:rFonts w:ascii="Courier New" w:hAnsi="Courier New" w:cs="Courier New"/>
          <w:color w:val="000000"/>
        </w:rPr>
        <w:t> </w:t>
      </w:r>
      <w:r w:rsidRPr="00FF6BA3">
        <w:rPr>
          <w:rFonts w:ascii="Courier New" w:hAnsi="Courier New" w:cs="Courier New"/>
          <w:color w:val="000000"/>
        </w:rPr>
        <w:t>18</w:t>
      </w:r>
      <w:r w:rsidR="00703603">
        <w:rPr>
          <w:rFonts w:ascii="Courier New" w:hAnsi="Courier New" w:cs="Courier New"/>
          <w:color w:val="000000"/>
        </w:rPr>
        <w:t>, cl</w:t>
      </w:r>
      <w:r w:rsidR="001F16FA">
        <w:rPr>
          <w:rFonts w:ascii="Courier New" w:hAnsi="Courier New" w:cs="Courier New"/>
          <w:color w:val="000000"/>
        </w:rPr>
        <w:t>.</w:t>
      </w:r>
      <w:r w:rsidRPr="00FF6BA3">
        <w:rPr>
          <w:rFonts w:ascii="Courier New" w:hAnsi="Courier New" w:cs="Courier New"/>
          <w:color w:val="000000"/>
        </w:rPr>
        <w:t xml:space="preserve"> Fifth</w:t>
      </w:r>
      <w:r w:rsidR="00FF6BA3" w:rsidRPr="00FF6BA3">
        <w:rPr>
          <w:rFonts w:ascii="Courier New" w:hAnsi="Courier New" w:cs="Courier New"/>
          <w:color w:val="000000"/>
        </w:rPr>
        <w:t xml:space="preserve">. </w:t>
      </w:r>
      <w:r w:rsidR="00A0040E" w:rsidRPr="00FF6BA3">
        <w:rPr>
          <w:rFonts w:ascii="Courier New" w:hAnsi="Courier New" w:cs="Courier New"/>
        </w:rPr>
        <w:t xml:space="preserve">The appellant </w:t>
      </w:r>
      <w:r w:rsidR="00FF6BA3" w:rsidRPr="00FF6BA3">
        <w:rPr>
          <w:rFonts w:ascii="Courier New" w:hAnsi="Courier New" w:cs="Courier New"/>
        </w:rPr>
        <w:t xml:space="preserve">disagreed, asserting that the subject property </w:t>
      </w:r>
      <w:r w:rsidR="00A0040E" w:rsidRPr="00FF6BA3">
        <w:rPr>
          <w:rFonts w:ascii="Courier New" w:hAnsi="Courier New" w:cs="Courier New"/>
        </w:rPr>
        <w:t xml:space="preserve">should be </w:t>
      </w:r>
      <w:r w:rsidR="00FF6BA3" w:rsidRPr="00FF6BA3">
        <w:rPr>
          <w:rFonts w:ascii="Courier New" w:hAnsi="Courier New" w:cs="Courier New"/>
        </w:rPr>
        <w:t xml:space="preserve">exempt from taxation as </w:t>
      </w:r>
      <w:r w:rsidR="00A0040E" w:rsidRPr="00FF6BA3">
        <w:rPr>
          <w:rFonts w:ascii="Courier New" w:hAnsi="Courier New" w:cs="Courier New"/>
        </w:rPr>
        <w:t>a component of exempt manufacturing machinery</w:t>
      </w:r>
      <w:r w:rsidR="00FF6BA3" w:rsidRPr="00FF6BA3">
        <w:rPr>
          <w:rFonts w:ascii="Courier New" w:hAnsi="Courier New" w:cs="Courier New"/>
        </w:rPr>
        <w:t>. The Board agreed with the appellant.</w:t>
      </w:r>
    </w:p>
    <w:p w14:paraId="1A347C4A" w14:textId="5C10FE6C" w:rsidR="00A0040E" w:rsidRPr="00CF4299" w:rsidRDefault="00DE4B1F" w:rsidP="00CF4299">
      <w:pPr>
        <w:spacing w:line="480" w:lineRule="auto"/>
        <w:ind w:firstLine="720"/>
        <w:jc w:val="both"/>
        <w:rPr>
          <w:rFonts w:ascii="Courier New" w:hAnsi="Courier New" w:cs="Courier New"/>
          <w:color w:val="000000"/>
        </w:rPr>
      </w:pPr>
      <w:r w:rsidRPr="00CF4299">
        <w:rPr>
          <w:rFonts w:ascii="Courier New" w:hAnsi="Courier New" w:cs="Courier New"/>
        </w:rPr>
        <w:t>In</w:t>
      </w:r>
      <w:r w:rsidRPr="00CF4299">
        <w:rPr>
          <w:rFonts w:ascii="Courier New" w:hAnsi="Courier New" w:cs="Courier New"/>
          <w:i/>
        </w:rPr>
        <w:t xml:space="preserve"> </w:t>
      </w:r>
      <w:r w:rsidR="00A0040E" w:rsidRPr="00CF4299">
        <w:rPr>
          <w:rFonts w:ascii="Courier New" w:hAnsi="Courier New" w:cs="Courier New"/>
          <w:b/>
          <w:i/>
        </w:rPr>
        <w:t>Commonwealth v. Lowell Gas Light Co.</w:t>
      </w:r>
      <w:r w:rsidR="00A0040E" w:rsidRPr="00CF4299">
        <w:rPr>
          <w:rFonts w:ascii="Courier New" w:hAnsi="Courier New" w:cs="Courier New"/>
        </w:rPr>
        <w:t>, 94 Mass. 75 (1866)</w:t>
      </w:r>
      <w:r w:rsidR="00A50199" w:rsidRPr="00CF4299">
        <w:rPr>
          <w:rFonts w:ascii="Courier New" w:hAnsi="Courier New" w:cs="Courier New"/>
        </w:rPr>
        <w:t>, the Supreme Judicial Court considered whether</w:t>
      </w:r>
      <w:r w:rsidR="00CF4299" w:rsidRPr="00CF4299">
        <w:rPr>
          <w:rFonts w:ascii="Courier New" w:hAnsi="Courier New" w:cs="Courier New"/>
        </w:rPr>
        <w:t xml:space="preserve"> </w:t>
      </w:r>
      <w:r w:rsidR="00CF4299" w:rsidRPr="00CF4299">
        <w:rPr>
          <w:rFonts w:ascii="Courier New" w:hAnsi="Courier New" w:cs="Courier New"/>
        </w:rPr>
        <w:lastRenderedPageBreak/>
        <w:t>various components of a system operated by a</w:t>
      </w:r>
      <w:r w:rsidR="00CF4299" w:rsidRPr="00CF4299">
        <w:rPr>
          <w:rFonts w:ascii="Courier New" w:hAnsi="Courier New" w:cs="Courier New"/>
          <w:color w:val="373739"/>
          <w:shd w:val="clear" w:color="auto" w:fill="FFFFFF"/>
        </w:rPr>
        <w:t xml:space="preserve"> manufacturer and distributor of gas, </w:t>
      </w:r>
      <w:r w:rsidR="00703603">
        <w:rPr>
          <w:rFonts w:ascii="Courier New" w:hAnsi="Courier New" w:cs="Courier New"/>
          <w:color w:val="373739"/>
          <w:shd w:val="clear" w:color="auto" w:fill="FFFFFF"/>
        </w:rPr>
        <w:t xml:space="preserve">including </w:t>
      </w:r>
      <w:r w:rsidR="00CF4299" w:rsidRPr="00CF4299">
        <w:rPr>
          <w:rFonts w:ascii="Courier New" w:hAnsi="Courier New" w:cs="Courier New"/>
          <w:color w:val="000000"/>
        </w:rPr>
        <w:t xml:space="preserve">mains and pipes used for gas distribution, </w:t>
      </w:r>
      <w:r w:rsidR="00CF4299" w:rsidRPr="00CF4299">
        <w:rPr>
          <w:rFonts w:ascii="Courier New" w:hAnsi="Courier New" w:cs="Courier New"/>
          <w:color w:val="373739"/>
          <w:shd w:val="clear" w:color="auto" w:fill="FFFFFF"/>
        </w:rPr>
        <w:t xml:space="preserve">were properly omitted from </w:t>
      </w:r>
      <w:r w:rsidR="00094BA1">
        <w:rPr>
          <w:rFonts w:ascii="Courier New" w:hAnsi="Courier New" w:cs="Courier New"/>
          <w:color w:val="373739"/>
          <w:shd w:val="clear" w:color="auto" w:fill="FFFFFF"/>
        </w:rPr>
        <w:t xml:space="preserve">calculation of </w:t>
      </w:r>
      <w:r w:rsidR="00CF4299" w:rsidRPr="00CF4299">
        <w:rPr>
          <w:rFonts w:ascii="Courier New" w:hAnsi="Courier New" w:cs="Courier New"/>
          <w:color w:val="373739"/>
          <w:shd w:val="clear" w:color="auto" w:fill="FFFFFF"/>
        </w:rPr>
        <w:t xml:space="preserve">a deduction for the company’s machinery. Holding that they were not, </w:t>
      </w:r>
      <w:r w:rsidR="00A0040E" w:rsidRPr="00CF4299">
        <w:rPr>
          <w:rFonts w:ascii="Courier New" w:hAnsi="Courier New" w:cs="Courier New"/>
          <w:color w:val="000000"/>
        </w:rPr>
        <w:t>the Court</w:t>
      </w:r>
      <w:r w:rsidR="00CF4299" w:rsidRPr="00CF4299">
        <w:rPr>
          <w:rFonts w:ascii="Courier New" w:hAnsi="Courier New" w:cs="Courier New"/>
          <w:color w:val="000000"/>
        </w:rPr>
        <w:t xml:space="preserve"> stated</w:t>
      </w:r>
      <w:r w:rsidR="00A0040E" w:rsidRPr="00CF4299">
        <w:rPr>
          <w:rFonts w:ascii="Courier New" w:hAnsi="Courier New" w:cs="Courier New"/>
          <w:color w:val="000000"/>
        </w:rPr>
        <w:t>:</w:t>
      </w:r>
    </w:p>
    <w:p w14:paraId="7CABB1A9" w14:textId="14317491" w:rsidR="004851C9" w:rsidRDefault="004851C9" w:rsidP="004851C9">
      <w:pPr>
        <w:ind w:left="720" w:right="720"/>
        <w:jc w:val="both"/>
        <w:rPr>
          <w:rFonts w:ascii="Courier New" w:hAnsi="Courier New" w:cs="Courier New"/>
        </w:rPr>
      </w:pPr>
      <w:r w:rsidRPr="004851C9">
        <w:rPr>
          <w:rFonts w:ascii="Courier New" w:hAnsi="Courier New" w:cs="Courier New"/>
        </w:rPr>
        <w:t xml:space="preserve">The mains or pipes laid down in the streets and elsewhere to distribute the gas among those who are to consume it were clearly a part of the apparatus necessary to be used by the corporation in order to accomplish the object for which it was established. They constituted a part of the machinery by means of which the corporate business was carried on, in the same manner as pipes attached to a pump or fire-engine for the distribution of water, or wheels in a mill which communicate motion to looms and spindles, or the pipes attached to a steam-engine to convey and distribute heat and steam for manufacturing purposes, make a portion of the machinery of the mill in which they are used. Indeed, in a broad, comprehensive and legitimate sense, the entire apparatus by which gas is manufactured and distributed for consumption throughout a city or town constitutes </w:t>
      </w:r>
      <w:r w:rsidRPr="004851C9">
        <w:rPr>
          <w:rFonts w:ascii="Courier New" w:hAnsi="Courier New" w:cs="Courier New"/>
          <w:b/>
        </w:rPr>
        <w:t>one great integral machine</w:t>
      </w:r>
      <w:r w:rsidRPr="004851C9">
        <w:rPr>
          <w:rFonts w:ascii="Courier New" w:hAnsi="Courier New" w:cs="Courier New"/>
        </w:rPr>
        <w:t xml:space="preserve">, consisting of retorts, station-meters, gas-holders, street-mains, service-pipes and consumers' meters, all connected and operating together, by means of which the initial, intermediate and final processes are carried on, from its generation in the retort to its delivery for the use of the consumers. </w:t>
      </w:r>
    </w:p>
    <w:p w14:paraId="5BA081F8" w14:textId="77777777" w:rsidR="004851C9" w:rsidRDefault="004851C9" w:rsidP="004851C9">
      <w:pPr>
        <w:ind w:left="720" w:right="720"/>
        <w:jc w:val="both"/>
        <w:rPr>
          <w:rFonts w:ascii="Courier New" w:hAnsi="Courier New" w:cs="Courier New"/>
        </w:rPr>
      </w:pPr>
    </w:p>
    <w:p w14:paraId="71733C35" w14:textId="61CB9F06" w:rsidR="00CF4299" w:rsidRPr="00300029" w:rsidRDefault="00A0040E" w:rsidP="004851C9">
      <w:pPr>
        <w:jc w:val="both"/>
        <w:rPr>
          <w:rFonts w:ascii="Courier New" w:hAnsi="Courier New" w:cs="Courier New"/>
          <w:color w:val="000000"/>
        </w:rPr>
      </w:pPr>
      <w:r w:rsidRPr="00300029">
        <w:rPr>
          <w:rFonts w:ascii="Courier New" w:hAnsi="Courier New" w:cs="Courier New"/>
          <w:b/>
          <w:i/>
          <w:color w:val="000000"/>
        </w:rPr>
        <w:t>Lowell Gas Light</w:t>
      </w:r>
      <w:r w:rsidRPr="00300029">
        <w:rPr>
          <w:rFonts w:ascii="Courier New" w:hAnsi="Courier New" w:cs="Courier New"/>
          <w:color w:val="000000"/>
        </w:rPr>
        <w:t>, 94 Mass. at 78-79 (emphasis added).</w:t>
      </w:r>
    </w:p>
    <w:p w14:paraId="7903BAB6" w14:textId="77777777" w:rsidR="00CF4299" w:rsidRDefault="00CF4299" w:rsidP="004851C9">
      <w:pPr>
        <w:jc w:val="both"/>
        <w:rPr>
          <w:color w:val="000000"/>
        </w:rPr>
      </w:pPr>
    </w:p>
    <w:p w14:paraId="6BDE72E4" w14:textId="0F4615ED" w:rsidR="00A0040E" w:rsidRDefault="00B50945" w:rsidP="004851C9">
      <w:pPr>
        <w:spacing w:line="480" w:lineRule="auto"/>
        <w:ind w:firstLine="720"/>
        <w:jc w:val="both"/>
        <w:rPr>
          <w:rFonts w:ascii="Courier New" w:hAnsi="Courier New" w:cs="Courier New"/>
        </w:rPr>
      </w:pPr>
      <w:r w:rsidRPr="0084681F">
        <w:rPr>
          <w:rFonts w:ascii="Courier New" w:hAnsi="Courier New" w:cs="Courier New"/>
        </w:rPr>
        <w:t>This analysis enjoys continuing vitality in Massachusetts law. For example, in</w:t>
      </w:r>
      <w:r w:rsidRPr="0084681F">
        <w:rPr>
          <w:rFonts w:ascii="Courier New" w:hAnsi="Courier New" w:cs="Courier New"/>
          <w:i/>
        </w:rPr>
        <w:t xml:space="preserve"> </w:t>
      </w:r>
      <w:r w:rsidR="00A0040E" w:rsidRPr="0084681F">
        <w:rPr>
          <w:rFonts w:ascii="Courier New" w:hAnsi="Courier New" w:cs="Courier New"/>
          <w:b/>
          <w:i/>
        </w:rPr>
        <w:t>Lowell Gas Company v. Commissioner of Corporations and Taxation</w:t>
      </w:r>
      <w:r w:rsidRPr="0084681F">
        <w:rPr>
          <w:rFonts w:ascii="Courier New" w:hAnsi="Courier New" w:cs="Courier New"/>
          <w:b/>
          <w:i/>
        </w:rPr>
        <w:t>,</w:t>
      </w:r>
      <w:r w:rsidR="00A0040E" w:rsidRPr="0084681F">
        <w:rPr>
          <w:rFonts w:ascii="Courier New" w:hAnsi="Courier New" w:cs="Courier New"/>
          <w:i/>
        </w:rPr>
        <w:t xml:space="preserve"> </w:t>
      </w:r>
      <w:r w:rsidRPr="0084681F">
        <w:rPr>
          <w:rFonts w:ascii="Courier New" w:hAnsi="Courier New" w:cs="Courier New"/>
        </w:rPr>
        <w:t xml:space="preserve">377 Mass. 255 (1979), </w:t>
      </w:r>
      <w:r w:rsidR="00A0040E" w:rsidRPr="0084681F">
        <w:rPr>
          <w:rFonts w:ascii="Courier New" w:hAnsi="Courier New" w:cs="Courier New"/>
        </w:rPr>
        <w:t>the Court</w:t>
      </w:r>
      <w:r w:rsidRPr="0084681F">
        <w:rPr>
          <w:rFonts w:ascii="Courier New" w:hAnsi="Courier New" w:cs="Courier New"/>
        </w:rPr>
        <w:t xml:space="preserve">, </w:t>
      </w:r>
      <w:r w:rsidR="00A0040E" w:rsidRPr="0084681F">
        <w:rPr>
          <w:rFonts w:ascii="Courier New" w:hAnsi="Courier New" w:cs="Courier New"/>
        </w:rPr>
        <w:t>cit</w:t>
      </w:r>
      <w:r w:rsidRPr="0084681F">
        <w:rPr>
          <w:rFonts w:ascii="Courier New" w:hAnsi="Courier New" w:cs="Courier New"/>
        </w:rPr>
        <w:t>ing</w:t>
      </w:r>
      <w:r w:rsidR="00A0040E" w:rsidRPr="0084681F">
        <w:rPr>
          <w:rFonts w:ascii="Courier New" w:hAnsi="Courier New" w:cs="Courier New"/>
        </w:rPr>
        <w:t xml:space="preserve"> </w:t>
      </w:r>
      <w:r w:rsidR="00A0040E" w:rsidRPr="0084681F">
        <w:rPr>
          <w:rFonts w:ascii="Courier New" w:hAnsi="Courier New" w:cs="Courier New"/>
          <w:b/>
          <w:i/>
        </w:rPr>
        <w:t>Lowell Gas</w:t>
      </w:r>
      <w:r w:rsidR="00A0040E" w:rsidRPr="0084681F">
        <w:rPr>
          <w:rFonts w:ascii="Courier New" w:hAnsi="Courier New" w:cs="Courier New"/>
          <w:b/>
        </w:rPr>
        <w:t xml:space="preserve"> </w:t>
      </w:r>
      <w:r w:rsidR="00A0040E" w:rsidRPr="0084681F">
        <w:rPr>
          <w:rFonts w:ascii="Courier New" w:hAnsi="Courier New" w:cs="Courier New"/>
          <w:b/>
          <w:i/>
        </w:rPr>
        <w:t>Light</w:t>
      </w:r>
      <w:r w:rsidRPr="0084681F">
        <w:rPr>
          <w:rFonts w:ascii="Courier New" w:hAnsi="Courier New" w:cs="Courier New"/>
          <w:i/>
        </w:rPr>
        <w:t>,</w:t>
      </w:r>
      <w:r w:rsidR="00A0040E" w:rsidRPr="0084681F">
        <w:rPr>
          <w:rFonts w:ascii="Courier New" w:hAnsi="Courier New" w:cs="Courier New"/>
        </w:rPr>
        <w:t xml:space="preserve"> </w:t>
      </w:r>
      <w:r w:rsidRPr="0084681F">
        <w:rPr>
          <w:rFonts w:ascii="Courier New" w:hAnsi="Courier New" w:cs="Courier New"/>
        </w:rPr>
        <w:t xml:space="preserve">held that </w:t>
      </w:r>
      <w:r w:rsidR="00A0040E" w:rsidRPr="0084681F">
        <w:rPr>
          <w:rFonts w:ascii="Courier New" w:hAnsi="Courier New" w:cs="Courier New"/>
        </w:rPr>
        <w:t xml:space="preserve">gas </w:t>
      </w:r>
      <w:r w:rsidR="00A0040E" w:rsidRPr="0084681F">
        <w:rPr>
          <w:rFonts w:ascii="Courier New" w:hAnsi="Courier New" w:cs="Courier New"/>
        </w:rPr>
        <w:lastRenderedPageBreak/>
        <w:t xml:space="preserve">mains, meters, and meter installations </w:t>
      </w:r>
      <w:r w:rsidRPr="0084681F">
        <w:rPr>
          <w:rFonts w:ascii="Courier New" w:hAnsi="Courier New" w:cs="Courier New"/>
        </w:rPr>
        <w:t xml:space="preserve">that formed part of a </w:t>
      </w:r>
      <w:r w:rsidR="00A0040E" w:rsidRPr="0084681F">
        <w:rPr>
          <w:rFonts w:ascii="Courier New" w:hAnsi="Courier New" w:cs="Courier New"/>
        </w:rPr>
        <w:t xml:space="preserve">distribution apparatus </w:t>
      </w:r>
      <w:r w:rsidR="0084681F">
        <w:rPr>
          <w:rFonts w:ascii="Courier New" w:hAnsi="Courier New" w:cs="Courier New"/>
        </w:rPr>
        <w:t>qualified as machinery exempt from</w:t>
      </w:r>
      <w:r w:rsidRPr="0084681F">
        <w:rPr>
          <w:rFonts w:ascii="Courier New" w:hAnsi="Courier New" w:cs="Courier New"/>
        </w:rPr>
        <w:t xml:space="preserve"> sales tax</w:t>
      </w:r>
      <w:r w:rsidR="0084681F" w:rsidRPr="0084681F">
        <w:rPr>
          <w:rFonts w:ascii="Courier New" w:hAnsi="Courier New" w:cs="Courier New"/>
        </w:rPr>
        <w:t xml:space="preserve">. </w:t>
      </w:r>
      <w:r w:rsidR="004851C9">
        <w:rPr>
          <w:rFonts w:ascii="Courier New" w:hAnsi="Courier New" w:cs="Courier New"/>
        </w:rPr>
        <w:t>In its analysis, t</w:t>
      </w:r>
      <w:r w:rsidR="0084681F">
        <w:rPr>
          <w:rFonts w:ascii="Courier New" w:hAnsi="Courier New" w:cs="Courier New"/>
        </w:rPr>
        <w:t>h</w:t>
      </w:r>
      <w:r w:rsidR="0084681F" w:rsidRPr="0084681F">
        <w:rPr>
          <w:rFonts w:ascii="Courier New" w:hAnsi="Courier New" w:cs="Courier New"/>
        </w:rPr>
        <w:t xml:space="preserve">e Court </w:t>
      </w:r>
      <w:r w:rsidR="0084681F">
        <w:rPr>
          <w:rFonts w:ascii="Courier New" w:hAnsi="Courier New" w:cs="Courier New"/>
        </w:rPr>
        <w:t>placed particular focus on “</w:t>
      </w:r>
      <w:r w:rsidR="00A0040E" w:rsidRPr="0084681F">
        <w:rPr>
          <w:rFonts w:ascii="Courier New" w:hAnsi="Courier New" w:cs="Courier New"/>
        </w:rPr>
        <w:t>the following basic question: ‘Does the disputed item operate harmoniously with the admittedly exempt machinery to make an integrated and synchronized system?’ Pipes and meters function, along with production, storage, and pressure regulating equipment, as integral component parts required in the gas furnishing system.”</w:t>
      </w:r>
      <w:r w:rsidR="0084681F" w:rsidRPr="0084681F">
        <w:rPr>
          <w:rFonts w:ascii="Courier New" w:hAnsi="Courier New" w:cs="Courier New"/>
        </w:rPr>
        <w:t xml:space="preserve"> </w:t>
      </w:r>
      <w:r w:rsidR="0084681F" w:rsidRPr="0084681F">
        <w:rPr>
          <w:rFonts w:ascii="Courier New" w:hAnsi="Courier New" w:cs="Courier New"/>
          <w:b/>
          <w:i/>
        </w:rPr>
        <w:t>Id</w:t>
      </w:r>
      <w:r w:rsidR="0084681F" w:rsidRPr="0084681F">
        <w:rPr>
          <w:rFonts w:ascii="Courier New" w:hAnsi="Courier New" w:cs="Courier New"/>
        </w:rPr>
        <w:t>. at 260-61</w:t>
      </w:r>
      <w:r w:rsidR="0084681F">
        <w:rPr>
          <w:rFonts w:ascii="Courier New" w:hAnsi="Courier New" w:cs="Courier New"/>
        </w:rPr>
        <w:t>.</w:t>
      </w:r>
    </w:p>
    <w:p w14:paraId="44548B40" w14:textId="08CE0471" w:rsidR="00EF5EBD" w:rsidRPr="00EF5EBD" w:rsidRDefault="00A0040E" w:rsidP="00EF5EBD">
      <w:pPr>
        <w:spacing w:line="480" w:lineRule="auto"/>
        <w:jc w:val="both"/>
        <w:rPr>
          <w:rFonts w:ascii="Courier New" w:hAnsi="Courier New" w:cs="Courier New"/>
          <w:color w:val="000000"/>
        </w:rPr>
      </w:pPr>
      <w:r>
        <w:tab/>
      </w:r>
      <w:r w:rsidR="00A55913" w:rsidRPr="00EF5EBD">
        <w:rPr>
          <w:rFonts w:ascii="Courier New" w:hAnsi="Courier New" w:cs="Courier New"/>
        </w:rPr>
        <w:t xml:space="preserve">The Board has also addressed a similar issue. </w:t>
      </w:r>
      <w:r w:rsidRPr="00EF5EBD">
        <w:rPr>
          <w:rFonts w:ascii="Courier New" w:hAnsi="Courier New" w:cs="Courier New"/>
        </w:rPr>
        <w:t xml:space="preserve">In </w:t>
      </w:r>
      <w:r w:rsidRPr="00EF5EBD">
        <w:rPr>
          <w:rFonts w:ascii="Courier New" w:hAnsi="Courier New" w:cs="Courier New"/>
          <w:b/>
          <w:i/>
        </w:rPr>
        <w:t>Perma, Inc. v. Assessors of Billerica</w:t>
      </w:r>
      <w:r w:rsidRPr="00EF5EBD">
        <w:rPr>
          <w:rFonts w:ascii="Courier New" w:hAnsi="Courier New" w:cs="Courier New"/>
        </w:rPr>
        <w:t xml:space="preserve">, </w:t>
      </w:r>
      <w:r w:rsidR="00A55913" w:rsidRPr="00EF5EBD">
        <w:rPr>
          <w:rFonts w:ascii="Courier New" w:hAnsi="Courier New" w:cs="Courier New"/>
          <w:color w:val="000000"/>
        </w:rPr>
        <w:t xml:space="preserve">Mass. ATB Findings of Fact and Reports 2001-805, </w:t>
      </w:r>
      <w:r w:rsidRPr="00EF5EBD">
        <w:rPr>
          <w:rFonts w:ascii="Courier New" w:hAnsi="Courier New" w:cs="Courier New"/>
        </w:rPr>
        <w:t xml:space="preserve">the Board </w:t>
      </w:r>
      <w:r w:rsidR="00A55913" w:rsidRPr="00EF5EBD">
        <w:rPr>
          <w:rFonts w:ascii="Courier New" w:hAnsi="Courier New" w:cs="Courier New"/>
        </w:rPr>
        <w:t xml:space="preserve">considered </w:t>
      </w:r>
      <w:r w:rsidRPr="00EF5EBD">
        <w:rPr>
          <w:rFonts w:ascii="Courier New" w:hAnsi="Courier New" w:cs="Courier New"/>
        </w:rPr>
        <w:t xml:space="preserve">whether </w:t>
      </w:r>
      <w:r w:rsidRPr="00EF5EBD">
        <w:rPr>
          <w:rFonts w:ascii="Courier New" w:hAnsi="Courier New" w:cs="Courier New"/>
          <w:color w:val="000000"/>
        </w:rPr>
        <w:t xml:space="preserve">underground storage tanks owned by a </w:t>
      </w:r>
      <w:r w:rsidR="00FA461C">
        <w:rPr>
          <w:rFonts w:ascii="Courier New" w:hAnsi="Courier New" w:cs="Courier New"/>
          <w:color w:val="000000"/>
        </w:rPr>
        <w:t xml:space="preserve">corporation classified as a manufacturing corporation </w:t>
      </w:r>
      <w:r w:rsidR="00A55913" w:rsidRPr="00EF5EBD">
        <w:rPr>
          <w:rFonts w:ascii="Courier New" w:hAnsi="Courier New" w:cs="Courier New"/>
          <w:color w:val="000000"/>
        </w:rPr>
        <w:t xml:space="preserve">qualified as </w:t>
      </w:r>
      <w:r w:rsidRPr="00EF5EBD">
        <w:rPr>
          <w:rFonts w:ascii="Courier New" w:hAnsi="Courier New" w:cs="Courier New"/>
          <w:color w:val="000000"/>
        </w:rPr>
        <w:t xml:space="preserve">personal property exempt as machinery </w:t>
      </w:r>
      <w:r w:rsidR="00A55913" w:rsidRPr="00EF5EBD">
        <w:rPr>
          <w:rFonts w:ascii="Courier New" w:hAnsi="Courier New" w:cs="Courier New"/>
          <w:color w:val="000000"/>
        </w:rPr>
        <w:t xml:space="preserve">pursuant to </w:t>
      </w:r>
      <w:r w:rsidR="00EF5EBD" w:rsidRPr="00EF5EBD">
        <w:rPr>
          <w:rFonts w:ascii="Courier New" w:hAnsi="Courier New" w:cs="Courier New"/>
          <w:color w:val="000000"/>
        </w:rPr>
        <w:t xml:space="preserve">Clause 16(3) </w:t>
      </w:r>
      <w:r w:rsidRPr="00EF5EBD">
        <w:rPr>
          <w:rFonts w:ascii="Courier New" w:hAnsi="Courier New" w:cs="Courier New"/>
          <w:color w:val="000000"/>
        </w:rPr>
        <w:t>or real estate</w:t>
      </w:r>
      <w:r w:rsidR="00FA461C">
        <w:rPr>
          <w:rFonts w:ascii="Courier New" w:hAnsi="Courier New" w:cs="Courier New"/>
          <w:color w:val="000000"/>
        </w:rPr>
        <w:t xml:space="preserve"> subject to tax</w:t>
      </w:r>
      <w:r w:rsidRPr="00EF5EBD">
        <w:rPr>
          <w:rFonts w:ascii="Courier New" w:hAnsi="Courier New" w:cs="Courier New"/>
          <w:color w:val="000000"/>
        </w:rPr>
        <w:t xml:space="preserve">. </w:t>
      </w:r>
      <w:r w:rsidR="00EF5EBD" w:rsidRPr="00EF5EBD">
        <w:rPr>
          <w:rFonts w:ascii="Courier New" w:hAnsi="Courier New" w:cs="Courier New"/>
          <w:color w:val="000000"/>
        </w:rPr>
        <w:t>The Board cited</w:t>
      </w:r>
      <w:r w:rsidRPr="00EF5EBD">
        <w:rPr>
          <w:rFonts w:ascii="Courier New" w:hAnsi="Courier New" w:cs="Courier New"/>
          <w:color w:val="000000"/>
        </w:rPr>
        <w:t xml:space="preserve"> </w:t>
      </w:r>
      <w:r w:rsidRPr="00EF5EBD">
        <w:rPr>
          <w:rFonts w:ascii="Courier New" w:hAnsi="Courier New" w:cs="Courier New"/>
          <w:b/>
          <w:i/>
          <w:color w:val="000000"/>
        </w:rPr>
        <w:t>Lowell Gas</w:t>
      </w:r>
      <w:r w:rsidRPr="00EF5EBD">
        <w:rPr>
          <w:rFonts w:ascii="Courier New" w:hAnsi="Courier New" w:cs="Courier New"/>
          <w:b/>
          <w:color w:val="000000"/>
        </w:rPr>
        <w:t xml:space="preserve"> </w:t>
      </w:r>
      <w:r w:rsidRPr="00EF5EBD">
        <w:rPr>
          <w:rFonts w:ascii="Courier New" w:hAnsi="Courier New" w:cs="Courier New"/>
          <w:b/>
          <w:i/>
          <w:color w:val="000000"/>
        </w:rPr>
        <w:t>Light</w:t>
      </w:r>
      <w:r w:rsidRPr="00EF5EBD">
        <w:rPr>
          <w:rFonts w:ascii="Courier New" w:hAnsi="Courier New" w:cs="Courier New"/>
          <w:color w:val="000000"/>
        </w:rPr>
        <w:t xml:space="preserve"> for the proposition “that a receptacle that does not itself contain moving parts can nonetheless be considered machinery if it is part of a complete system ‘all connected and operating together, by means of which the initial, intermediate and final processes are carried on,’ which ‘constitutes one great integral machine.’</w:t>
      </w:r>
      <w:r w:rsidR="00EF5EBD" w:rsidRPr="00EF5EBD">
        <w:rPr>
          <w:rFonts w:ascii="Courier New" w:hAnsi="Courier New" w:cs="Courier New"/>
          <w:color w:val="000000"/>
        </w:rPr>
        <w:t xml:space="preserve">” </w:t>
      </w:r>
      <w:r w:rsidR="00EF5EBD" w:rsidRPr="00EF5EBD">
        <w:rPr>
          <w:rFonts w:ascii="Courier New" w:hAnsi="Courier New" w:cs="Courier New"/>
          <w:b/>
          <w:i/>
        </w:rPr>
        <w:t>Perma,</w:t>
      </w:r>
      <w:r w:rsidR="00461F86">
        <w:rPr>
          <w:rFonts w:ascii="Courier New" w:hAnsi="Courier New" w:cs="Courier New"/>
          <w:b/>
          <w:i/>
        </w:rPr>
        <w:t> </w:t>
      </w:r>
      <w:r w:rsidR="00EF5EBD" w:rsidRPr="00EF5EBD">
        <w:rPr>
          <w:rFonts w:ascii="Courier New" w:hAnsi="Courier New" w:cs="Courier New"/>
          <w:b/>
          <w:i/>
        </w:rPr>
        <w:t>Inc.,</w:t>
      </w:r>
      <w:r w:rsidR="00461F86">
        <w:rPr>
          <w:rFonts w:ascii="Courier New" w:hAnsi="Courier New" w:cs="Courier New"/>
          <w:b/>
          <w:i/>
        </w:rPr>
        <w:t> </w:t>
      </w:r>
      <w:r w:rsidRPr="00EF5EBD">
        <w:rPr>
          <w:rFonts w:ascii="Courier New" w:hAnsi="Courier New" w:cs="Courier New"/>
          <w:color w:val="000000"/>
        </w:rPr>
        <w:t xml:space="preserve">Mass. ATB Findings of Fact and Reports </w:t>
      </w:r>
      <w:r w:rsidR="00EF5EBD" w:rsidRPr="00EF5EBD">
        <w:rPr>
          <w:rFonts w:ascii="Courier New" w:hAnsi="Courier New" w:cs="Courier New"/>
          <w:color w:val="000000"/>
        </w:rPr>
        <w:t xml:space="preserve">at </w:t>
      </w:r>
      <w:r w:rsidRPr="00EF5EBD">
        <w:rPr>
          <w:rFonts w:ascii="Courier New" w:hAnsi="Courier New" w:cs="Courier New"/>
          <w:color w:val="000000"/>
        </w:rPr>
        <w:lastRenderedPageBreak/>
        <w:t>2001-8</w:t>
      </w:r>
      <w:r w:rsidR="001159F4">
        <w:rPr>
          <w:rFonts w:ascii="Courier New" w:hAnsi="Courier New" w:cs="Courier New"/>
          <w:color w:val="000000"/>
        </w:rPr>
        <w:t>24-25</w:t>
      </w:r>
      <w:r w:rsidR="003014CA">
        <w:rPr>
          <w:rFonts w:ascii="Courier New" w:hAnsi="Courier New" w:cs="Courier New"/>
          <w:color w:val="000000"/>
        </w:rPr>
        <w:t>)(</w:t>
      </w:r>
      <w:r w:rsidRPr="00EF5EBD">
        <w:rPr>
          <w:rFonts w:ascii="Courier New" w:hAnsi="Courier New" w:cs="Courier New"/>
          <w:color w:val="000000"/>
        </w:rPr>
        <w:t xml:space="preserve">quoting </w:t>
      </w:r>
      <w:r w:rsidRPr="00EF5EBD">
        <w:rPr>
          <w:rFonts w:ascii="Courier New" w:hAnsi="Courier New" w:cs="Courier New"/>
          <w:b/>
          <w:i/>
          <w:color w:val="000000"/>
        </w:rPr>
        <w:t>Lowell Gas Light</w:t>
      </w:r>
      <w:r w:rsidRPr="00EF5EBD">
        <w:rPr>
          <w:rFonts w:ascii="Courier New" w:hAnsi="Courier New" w:cs="Courier New"/>
          <w:color w:val="000000"/>
        </w:rPr>
        <w:t>, 94</w:t>
      </w:r>
      <w:r w:rsidR="00D25EF5">
        <w:rPr>
          <w:rFonts w:ascii="Courier New" w:hAnsi="Courier New" w:cs="Courier New"/>
          <w:color w:val="000000"/>
        </w:rPr>
        <w:t> </w:t>
      </w:r>
      <w:r w:rsidRPr="00EF5EBD">
        <w:rPr>
          <w:rFonts w:ascii="Courier New" w:hAnsi="Courier New" w:cs="Courier New"/>
          <w:color w:val="000000"/>
        </w:rPr>
        <w:t>Mass. at 78-79</w:t>
      </w:r>
      <w:r w:rsidR="003014CA">
        <w:rPr>
          <w:rFonts w:ascii="Courier New" w:hAnsi="Courier New" w:cs="Courier New"/>
          <w:color w:val="000000"/>
        </w:rPr>
        <w:t>)</w:t>
      </w:r>
      <w:r w:rsidRPr="00EF5EBD">
        <w:rPr>
          <w:rFonts w:ascii="Courier New" w:hAnsi="Courier New" w:cs="Courier New"/>
          <w:color w:val="000000"/>
        </w:rPr>
        <w:t>.</w:t>
      </w:r>
      <w:r w:rsidR="00EF5EBD" w:rsidRPr="00EF5EBD">
        <w:rPr>
          <w:rFonts w:ascii="Courier New" w:hAnsi="Courier New" w:cs="Courier New"/>
          <w:color w:val="000000"/>
        </w:rPr>
        <w:t xml:space="preserve"> Applying this rationale, t</w:t>
      </w:r>
      <w:r w:rsidRPr="00EF5EBD">
        <w:rPr>
          <w:rFonts w:ascii="Courier New" w:hAnsi="Courier New" w:cs="Courier New"/>
          <w:color w:val="000000"/>
        </w:rPr>
        <w:t>he Board found that</w:t>
      </w:r>
      <w:r w:rsidR="00EF5EBD">
        <w:rPr>
          <w:rFonts w:ascii="Courier New" w:hAnsi="Courier New" w:cs="Courier New"/>
          <w:color w:val="000000"/>
        </w:rPr>
        <w:t>:</w:t>
      </w:r>
      <w:r w:rsidRPr="00EF5EBD">
        <w:rPr>
          <w:rFonts w:ascii="Courier New" w:hAnsi="Courier New" w:cs="Courier New"/>
          <w:color w:val="000000"/>
        </w:rPr>
        <w:t xml:space="preserve"> </w:t>
      </w:r>
    </w:p>
    <w:p w14:paraId="64957A09" w14:textId="27B431B6" w:rsidR="00EF5EBD" w:rsidRPr="00EF5EBD" w:rsidRDefault="00A0040E" w:rsidP="00EF5EBD">
      <w:pPr>
        <w:ind w:left="1008" w:right="1008"/>
        <w:jc w:val="both"/>
        <w:rPr>
          <w:rFonts w:ascii="Courier New" w:hAnsi="Courier New" w:cs="Courier New"/>
          <w:color w:val="000000"/>
        </w:rPr>
      </w:pPr>
      <w:r w:rsidRPr="00EF5EBD">
        <w:rPr>
          <w:rFonts w:ascii="Courier New" w:hAnsi="Courier New" w:cs="Courier New"/>
          <w:color w:val="000000"/>
        </w:rPr>
        <w:t>the tanks at issue should have been classified as exempt machinery of a domestic manufacturing corporation</w:t>
      </w:r>
      <w:r w:rsidR="00FA461C" w:rsidRPr="00AB507C">
        <w:rPr>
          <w:rFonts w:ascii="Courier New" w:hAnsi="Courier New" w:cs="Courier New"/>
          <w:vertAlign w:val="superscript"/>
        </w:rPr>
        <w:footnoteReference w:id="5"/>
      </w:r>
      <w:r w:rsidRPr="00EF5EBD">
        <w:rPr>
          <w:rFonts w:ascii="Courier New" w:hAnsi="Courier New" w:cs="Courier New"/>
          <w:color w:val="000000"/>
        </w:rPr>
        <w:t>. . . . [T]he tanks at issue are receptacles for the storage of raw materials but, due to their connections to other mechanical devices, they play a necessary and essential role in Perma’s manufacturing functions. Accordingly, the Board found that the tanks are part of ‘one great integral machine’ and thus property exempt from real estate taxes.</w:t>
      </w:r>
    </w:p>
    <w:p w14:paraId="2C707A4F" w14:textId="7E1CAE20" w:rsidR="00A0040E" w:rsidRPr="00FA461C" w:rsidRDefault="00A0040E" w:rsidP="00EF5EBD">
      <w:pPr>
        <w:ind w:right="1008"/>
        <w:jc w:val="both"/>
        <w:rPr>
          <w:rFonts w:ascii="Courier New" w:hAnsi="Courier New" w:cs="Courier New"/>
        </w:rPr>
      </w:pPr>
      <w:r w:rsidRPr="00FA461C">
        <w:rPr>
          <w:rFonts w:ascii="Courier New" w:hAnsi="Courier New" w:cs="Courier New"/>
          <w:color w:val="000000"/>
        </w:rPr>
        <w:t xml:space="preserve"> </w:t>
      </w:r>
      <w:r w:rsidRPr="00FA461C">
        <w:rPr>
          <w:rFonts w:ascii="Courier New" w:hAnsi="Courier New" w:cs="Courier New"/>
          <w:b/>
          <w:i/>
          <w:color w:val="000000"/>
        </w:rPr>
        <w:t>Id</w:t>
      </w:r>
      <w:r w:rsidRPr="00FA461C">
        <w:rPr>
          <w:rFonts w:ascii="Courier New" w:hAnsi="Courier New" w:cs="Courier New"/>
          <w:b/>
          <w:color w:val="000000"/>
        </w:rPr>
        <w:t>.</w:t>
      </w:r>
      <w:r w:rsidRPr="00FA461C">
        <w:rPr>
          <w:rFonts w:ascii="Courier New" w:hAnsi="Courier New" w:cs="Courier New"/>
          <w:color w:val="000000"/>
        </w:rPr>
        <w:t xml:space="preserve"> </w:t>
      </w:r>
    </w:p>
    <w:p w14:paraId="0C7939FB" w14:textId="77777777" w:rsidR="00EF5EBD" w:rsidRDefault="00EF5EBD" w:rsidP="00A0040E">
      <w:pPr>
        <w:ind w:firstLine="720"/>
        <w:jc w:val="both"/>
        <w:rPr>
          <w:color w:val="000000"/>
        </w:rPr>
      </w:pPr>
    </w:p>
    <w:p w14:paraId="6B070A59" w14:textId="46945B92" w:rsidR="00AE3E5F" w:rsidRPr="00AE3E5F" w:rsidRDefault="00EF5EBD" w:rsidP="00FA461C">
      <w:pPr>
        <w:spacing w:line="480" w:lineRule="auto"/>
        <w:ind w:firstLine="720"/>
        <w:jc w:val="both"/>
        <w:rPr>
          <w:rFonts w:ascii="Courier New" w:hAnsi="Courier New" w:cs="Courier New"/>
        </w:rPr>
      </w:pPr>
      <w:r w:rsidRPr="00AE3E5F">
        <w:rPr>
          <w:rFonts w:ascii="Courier New" w:hAnsi="Courier New" w:cs="Courier New"/>
          <w:color w:val="000000"/>
        </w:rPr>
        <w:t>In</w:t>
      </w:r>
      <w:r w:rsidR="00F05361" w:rsidRPr="00AE3E5F">
        <w:rPr>
          <w:rFonts w:ascii="Courier New" w:hAnsi="Courier New" w:cs="Courier New"/>
          <w:color w:val="000000"/>
        </w:rPr>
        <w:t xml:space="preserve"> sum, precedent spanning </w:t>
      </w:r>
      <w:r w:rsidR="00AE3E5F">
        <w:rPr>
          <w:rFonts w:ascii="Courier New" w:hAnsi="Courier New" w:cs="Courier New"/>
          <w:color w:val="000000"/>
        </w:rPr>
        <w:t xml:space="preserve">more than </w:t>
      </w:r>
      <w:r w:rsidR="00F05361" w:rsidRPr="00AE3E5F">
        <w:rPr>
          <w:rFonts w:ascii="Courier New" w:hAnsi="Courier New" w:cs="Courier New"/>
          <w:color w:val="000000"/>
        </w:rPr>
        <w:t xml:space="preserve">a century </w:t>
      </w:r>
      <w:r w:rsidR="00AE3E5F">
        <w:rPr>
          <w:rFonts w:ascii="Courier New" w:hAnsi="Courier New" w:cs="Courier New"/>
          <w:color w:val="000000"/>
        </w:rPr>
        <w:t xml:space="preserve">and </w:t>
      </w:r>
      <w:r w:rsidR="00FA461C">
        <w:rPr>
          <w:rFonts w:ascii="Courier New" w:hAnsi="Courier New" w:cs="Courier New"/>
          <w:color w:val="000000"/>
        </w:rPr>
        <w:t xml:space="preserve">dispositive in </w:t>
      </w:r>
      <w:r w:rsidR="00AE3E5F">
        <w:rPr>
          <w:rFonts w:ascii="Courier New" w:hAnsi="Courier New" w:cs="Courier New"/>
          <w:color w:val="000000"/>
        </w:rPr>
        <w:t xml:space="preserve">a variety of analogous contexts </w:t>
      </w:r>
      <w:r w:rsidR="00F05361" w:rsidRPr="00AE3E5F">
        <w:rPr>
          <w:rFonts w:ascii="Courier New" w:hAnsi="Courier New" w:cs="Courier New"/>
          <w:color w:val="000000"/>
        </w:rPr>
        <w:t xml:space="preserve">unequivocally supports the proposition that property </w:t>
      </w:r>
      <w:r w:rsidR="008A6B4B">
        <w:rPr>
          <w:rFonts w:ascii="Courier New" w:hAnsi="Courier New" w:cs="Courier New"/>
          <w:color w:val="000000"/>
        </w:rPr>
        <w:t xml:space="preserve">that would </w:t>
      </w:r>
      <w:r w:rsidR="00F05361" w:rsidRPr="00AE3E5F">
        <w:rPr>
          <w:rFonts w:ascii="Courier New" w:hAnsi="Courier New" w:cs="Courier New"/>
          <w:color w:val="000000"/>
        </w:rPr>
        <w:t xml:space="preserve">otherwise be regarded as taxable personalty or realty, when incorporated </w:t>
      </w:r>
      <w:r w:rsidR="00AE3E5F" w:rsidRPr="00AE3E5F">
        <w:rPr>
          <w:rFonts w:ascii="Courier New" w:hAnsi="Courier New" w:cs="Courier New"/>
          <w:color w:val="000000"/>
        </w:rPr>
        <w:t>as an integral part</w:t>
      </w:r>
      <w:r w:rsidR="00F05361" w:rsidRPr="00AE3E5F">
        <w:rPr>
          <w:rFonts w:ascii="Courier New" w:hAnsi="Courier New" w:cs="Courier New"/>
          <w:color w:val="000000"/>
        </w:rPr>
        <w:t xml:space="preserve"> </w:t>
      </w:r>
      <w:r w:rsidR="00AE3E5F" w:rsidRPr="00AE3E5F">
        <w:rPr>
          <w:rFonts w:ascii="Courier New" w:hAnsi="Courier New" w:cs="Courier New"/>
          <w:color w:val="000000"/>
        </w:rPr>
        <w:t>of exempt machine</w:t>
      </w:r>
      <w:r w:rsidR="00FA461C">
        <w:rPr>
          <w:rFonts w:ascii="Courier New" w:hAnsi="Courier New" w:cs="Courier New"/>
          <w:color w:val="000000"/>
        </w:rPr>
        <w:t>ry</w:t>
      </w:r>
      <w:r w:rsidR="00AE3E5F" w:rsidRPr="00AE3E5F">
        <w:rPr>
          <w:rFonts w:ascii="Courier New" w:hAnsi="Courier New" w:cs="Courier New"/>
          <w:color w:val="000000"/>
        </w:rPr>
        <w:t xml:space="preserve">, will be exempt as part of that machinery. Such is the case in the present appeal, where the subject property, as </w:t>
      </w:r>
      <w:r w:rsidR="00FA461C">
        <w:rPr>
          <w:rFonts w:ascii="Courier New" w:hAnsi="Courier New" w:cs="Courier New"/>
          <w:color w:val="000000"/>
        </w:rPr>
        <w:t>observed</w:t>
      </w:r>
      <w:r w:rsidR="00AE3E5F" w:rsidRPr="00AE3E5F">
        <w:rPr>
          <w:rFonts w:ascii="Courier New" w:hAnsi="Courier New" w:cs="Courier New"/>
          <w:color w:val="000000"/>
        </w:rPr>
        <w:t xml:space="preserve"> by Mr. Walls</w:t>
      </w:r>
      <w:r w:rsidR="00FA461C">
        <w:rPr>
          <w:rFonts w:ascii="Courier New" w:hAnsi="Courier New" w:cs="Courier New"/>
          <w:color w:val="000000"/>
        </w:rPr>
        <w:t>,</w:t>
      </w:r>
      <w:r w:rsidR="00AE3E5F" w:rsidRPr="00AE3E5F">
        <w:rPr>
          <w:rFonts w:ascii="Courier New" w:hAnsi="Courier New" w:cs="Courier New"/>
        </w:rPr>
        <w:t xml:space="preserve"> “supports operation of the [Networks] as a single, integrated machine. Without each component, [the appellant] could not generate the product that is ultimately sold to the customer.</w:t>
      </w:r>
      <w:r w:rsidR="00FA461C">
        <w:rPr>
          <w:rFonts w:ascii="Courier New" w:hAnsi="Courier New" w:cs="Courier New"/>
        </w:rPr>
        <w:t>”</w:t>
      </w:r>
      <w:r w:rsidR="001159F4">
        <w:rPr>
          <w:rFonts w:ascii="Courier New" w:hAnsi="Courier New" w:cs="Courier New"/>
        </w:rPr>
        <w:t xml:space="preserve"> Moreover, if </w:t>
      </w:r>
      <w:r w:rsidR="00747833">
        <w:rPr>
          <w:rFonts w:ascii="Courier New" w:hAnsi="Courier New" w:cs="Courier New"/>
        </w:rPr>
        <w:t xml:space="preserve">property owned by a </w:t>
      </w:r>
      <w:r w:rsidR="001159F4">
        <w:rPr>
          <w:rFonts w:ascii="Courier New" w:hAnsi="Courier New" w:cs="Courier New"/>
        </w:rPr>
        <w:t xml:space="preserve">manufacturing corporation may be classified as both falling within one of the listed </w:t>
      </w:r>
      <w:r w:rsidR="001159F4">
        <w:rPr>
          <w:rFonts w:ascii="Courier New" w:hAnsi="Courier New" w:cs="Courier New"/>
        </w:rPr>
        <w:lastRenderedPageBreak/>
        <w:t>exceptions to Clause 16(3</w:t>
      </w:r>
      <w:r w:rsidR="00403C72">
        <w:rPr>
          <w:rFonts w:ascii="Courier New" w:hAnsi="Courier New" w:cs="Courier New"/>
        </w:rPr>
        <w:t>) (</w:t>
      </w:r>
      <w:r w:rsidR="001159F4" w:rsidRPr="001159F4">
        <w:rPr>
          <w:rFonts w:ascii="Courier New" w:hAnsi="Courier New" w:cs="Courier New"/>
          <w:i/>
        </w:rPr>
        <w:t>e.g.</w:t>
      </w:r>
      <w:r w:rsidR="001159F4">
        <w:rPr>
          <w:rFonts w:ascii="Courier New" w:hAnsi="Courier New" w:cs="Courier New"/>
        </w:rPr>
        <w:t xml:space="preserve">, real estate) and machinery, it </w:t>
      </w:r>
      <w:r w:rsidR="00747833">
        <w:rPr>
          <w:rFonts w:ascii="Courier New" w:hAnsi="Courier New" w:cs="Courier New"/>
        </w:rPr>
        <w:t>will be</w:t>
      </w:r>
      <w:r w:rsidR="001159F4">
        <w:rPr>
          <w:rFonts w:ascii="Courier New" w:hAnsi="Courier New" w:cs="Courier New"/>
        </w:rPr>
        <w:t xml:space="preserve"> exempt as machinery if, as in the present appeal, its </w:t>
      </w:r>
      <w:r w:rsidR="00747833">
        <w:rPr>
          <w:rFonts w:ascii="Courier New" w:hAnsi="Courier New" w:cs="Courier New"/>
        </w:rPr>
        <w:t>dominant</w:t>
      </w:r>
      <w:r w:rsidR="001159F4">
        <w:rPr>
          <w:rFonts w:ascii="Courier New" w:hAnsi="Courier New" w:cs="Courier New"/>
        </w:rPr>
        <w:t xml:space="preserve"> aspect is that of machinery. </w:t>
      </w:r>
      <w:r w:rsidR="001159F4" w:rsidRPr="001159F4">
        <w:rPr>
          <w:rFonts w:ascii="Courier New" w:hAnsi="Courier New" w:cs="Courier New"/>
          <w:i/>
        </w:rPr>
        <w:t>See</w:t>
      </w:r>
      <w:r w:rsidR="001159F4">
        <w:rPr>
          <w:rFonts w:ascii="Courier New" w:hAnsi="Courier New" w:cs="Courier New"/>
        </w:rPr>
        <w:t xml:space="preserve"> </w:t>
      </w:r>
      <w:r w:rsidR="001159F4" w:rsidRPr="001159F4">
        <w:rPr>
          <w:rFonts w:ascii="Courier New" w:hAnsi="Courier New" w:cs="Courier New"/>
          <w:b/>
          <w:i/>
        </w:rPr>
        <w:t>Assessors of Swampscott v. Lynn Sand &amp; Stone Co.</w:t>
      </w:r>
      <w:r w:rsidR="001159F4">
        <w:rPr>
          <w:rFonts w:ascii="Courier New" w:hAnsi="Courier New" w:cs="Courier New"/>
        </w:rPr>
        <w:t>, 360</w:t>
      </w:r>
      <w:r w:rsidR="00D25EF5">
        <w:rPr>
          <w:rFonts w:ascii="Courier New" w:hAnsi="Courier New" w:cs="Courier New"/>
        </w:rPr>
        <w:t> </w:t>
      </w:r>
      <w:r w:rsidR="001159F4">
        <w:rPr>
          <w:rFonts w:ascii="Courier New" w:hAnsi="Courier New" w:cs="Courier New"/>
        </w:rPr>
        <w:t>Mass</w:t>
      </w:r>
      <w:r w:rsidR="00427A73">
        <w:rPr>
          <w:rFonts w:ascii="Courier New" w:hAnsi="Courier New" w:cs="Courier New"/>
        </w:rPr>
        <w:t>.</w:t>
      </w:r>
      <w:r w:rsidR="001159F4">
        <w:rPr>
          <w:rFonts w:ascii="Courier New" w:hAnsi="Courier New" w:cs="Courier New"/>
        </w:rPr>
        <w:t xml:space="preserve"> 595</w:t>
      </w:r>
      <w:r w:rsidR="00747833">
        <w:rPr>
          <w:rFonts w:ascii="Courier New" w:hAnsi="Courier New" w:cs="Courier New"/>
        </w:rPr>
        <w:t>, 599</w:t>
      </w:r>
      <w:r w:rsidR="001159F4">
        <w:rPr>
          <w:rFonts w:ascii="Courier New" w:hAnsi="Courier New" w:cs="Courier New"/>
        </w:rPr>
        <w:t xml:space="preserve"> (1971)</w:t>
      </w:r>
      <w:r w:rsidR="00747833">
        <w:rPr>
          <w:rFonts w:ascii="Courier New" w:hAnsi="Courier New" w:cs="Courier New"/>
        </w:rPr>
        <w:t xml:space="preserve">; </w:t>
      </w:r>
      <w:r w:rsidR="00747833" w:rsidRPr="00747833">
        <w:rPr>
          <w:rFonts w:ascii="Courier New" w:hAnsi="Courier New" w:cs="Courier New"/>
          <w:i/>
        </w:rPr>
        <w:t>see also</w:t>
      </w:r>
      <w:r w:rsidR="00747833">
        <w:rPr>
          <w:rFonts w:ascii="Courier New" w:hAnsi="Courier New" w:cs="Courier New"/>
        </w:rPr>
        <w:t xml:space="preserve"> </w:t>
      </w:r>
      <w:r w:rsidR="00747833" w:rsidRPr="008D5B03">
        <w:rPr>
          <w:rFonts w:ascii="Courier New" w:hAnsi="Courier New" w:cs="Courier New"/>
          <w:b/>
          <w:i/>
        </w:rPr>
        <w:t>Boston Edison Co. v. Assessors of Boston</w:t>
      </w:r>
      <w:r w:rsidR="00747833">
        <w:rPr>
          <w:rFonts w:ascii="Courier New" w:hAnsi="Courier New" w:cs="Courier New"/>
        </w:rPr>
        <w:t>, 402 Mass. 1, 12 (1988)</w:t>
      </w:r>
      <w:r w:rsidR="001159F4">
        <w:rPr>
          <w:rFonts w:ascii="Courier New" w:hAnsi="Courier New" w:cs="Courier New"/>
        </w:rPr>
        <w:t>.</w:t>
      </w:r>
    </w:p>
    <w:p w14:paraId="10E81241" w14:textId="77777777" w:rsidR="00FC1096" w:rsidRDefault="00A0040E" w:rsidP="008D5B03">
      <w:pPr>
        <w:spacing w:line="480" w:lineRule="auto"/>
        <w:ind w:firstLine="720"/>
        <w:jc w:val="both"/>
        <w:rPr>
          <w:rFonts w:ascii="Courier New" w:hAnsi="Courier New" w:cs="Courier New"/>
        </w:rPr>
      </w:pPr>
      <w:r w:rsidRPr="00F62A83">
        <w:rPr>
          <w:rFonts w:ascii="Courier New" w:hAnsi="Courier New" w:cs="Courier New"/>
        </w:rPr>
        <w:t xml:space="preserve">The </w:t>
      </w:r>
      <w:r w:rsidR="00620DDA" w:rsidRPr="00F62A83">
        <w:rPr>
          <w:rFonts w:ascii="Courier New" w:hAnsi="Courier New" w:cs="Courier New"/>
        </w:rPr>
        <w:t>assessor</w:t>
      </w:r>
      <w:r w:rsidR="00C85DF2" w:rsidRPr="00F62A83">
        <w:rPr>
          <w:rFonts w:ascii="Courier New" w:hAnsi="Courier New" w:cs="Courier New"/>
        </w:rPr>
        <w:t>s</w:t>
      </w:r>
      <w:r w:rsidR="00620DDA" w:rsidRPr="00F62A83">
        <w:rPr>
          <w:rFonts w:ascii="Courier New" w:hAnsi="Courier New" w:cs="Courier New"/>
        </w:rPr>
        <w:t xml:space="preserve"> </w:t>
      </w:r>
      <w:r w:rsidR="00FA461C">
        <w:rPr>
          <w:rFonts w:ascii="Courier New" w:hAnsi="Courier New" w:cs="Courier New"/>
        </w:rPr>
        <w:t xml:space="preserve">argued </w:t>
      </w:r>
      <w:r w:rsidR="00620DDA" w:rsidRPr="00F62A83">
        <w:rPr>
          <w:rFonts w:ascii="Courier New" w:hAnsi="Courier New" w:cs="Courier New"/>
        </w:rPr>
        <w:t xml:space="preserve">that poles and underground conduits, wires and pipes are explicitly made taxable by </w:t>
      </w:r>
      <w:r w:rsidR="00534DD5">
        <w:rPr>
          <w:rFonts w:ascii="Courier New" w:hAnsi="Courier New" w:cs="Courier New"/>
        </w:rPr>
        <w:t>C</w:t>
      </w:r>
      <w:r w:rsidR="00620DDA" w:rsidRPr="00F62A83">
        <w:rPr>
          <w:rFonts w:ascii="Courier New" w:hAnsi="Courier New" w:cs="Courier New"/>
        </w:rPr>
        <w:t xml:space="preserve">lause 16(3), </w:t>
      </w:r>
      <w:r w:rsidR="006616CC" w:rsidRPr="00F62A83">
        <w:rPr>
          <w:rFonts w:ascii="Courier New" w:hAnsi="Courier New" w:cs="Courier New"/>
        </w:rPr>
        <w:t xml:space="preserve">which </w:t>
      </w:r>
      <w:r w:rsidR="003A461D">
        <w:rPr>
          <w:rFonts w:ascii="Courier New" w:hAnsi="Courier New" w:cs="Courier New"/>
        </w:rPr>
        <w:t>makes no mention of ma</w:t>
      </w:r>
      <w:r w:rsidR="00C85DF2" w:rsidRPr="00F62A83">
        <w:rPr>
          <w:rFonts w:ascii="Courier New" w:hAnsi="Courier New" w:cs="Courier New"/>
        </w:rPr>
        <w:t>chinery. The assessors then posit</w:t>
      </w:r>
      <w:r w:rsidR="00FA461C">
        <w:rPr>
          <w:rFonts w:ascii="Courier New" w:hAnsi="Courier New" w:cs="Courier New"/>
        </w:rPr>
        <w:t>ed</w:t>
      </w:r>
      <w:r w:rsidR="00C85DF2" w:rsidRPr="00F62A83">
        <w:rPr>
          <w:rFonts w:ascii="Courier New" w:hAnsi="Courier New" w:cs="Courier New"/>
        </w:rPr>
        <w:t xml:space="preserve"> that </w:t>
      </w:r>
      <w:r w:rsidR="000F5869" w:rsidRPr="00F62A83">
        <w:rPr>
          <w:rFonts w:ascii="Courier New" w:hAnsi="Courier New" w:cs="Courier New"/>
        </w:rPr>
        <w:t>to prevail</w:t>
      </w:r>
      <w:r w:rsidR="00534DD5">
        <w:rPr>
          <w:rFonts w:ascii="Courier New" w:hAnsi="Courier New" w:cs="Courier New"/>
        </w:rPr>
        <w:t xml:space="preserve"> in this appeal</w:t>
      </w:r>
      <w:r w:rsidR="000F5869" w:rsidRPr="00F62A83">
        <w:rPr>
          <w:rFonts w:ascii="Courier New" w:hAnsi="Courier New" w:cs="Courier New"/>
        </w:rPr>
        <w:t xml:space="preserve">, the appellant must demonstrate that property explicitly made taxable </w:t>
      </w:r>
      <w:r w:rsidR="00534DD5">
        <w:rPr>
          <w:rFonts w:ascii="Courier New" w:hAnsi="Courier New" w:cs="Courier New"/>
        </w:rPr>
        <w:t>by C</w:t>
      </w:r>
      <w:r w:rsidR="000F5869" w:rsidRPr="00F62A83">
        <w:rPr>
          <w:rFonts w:ascii="Courier New" w:hAnsi="Courier New" w:cs="Courier New"/>
        </w:rPr>
        <w:t>lause 16(3)</w:t>
      </w:r>
      <w:r w:rsidR="00FA461C">
        <w:rPr>
          <w:rFonts w:ascii="Courier New" w:hAnsi="Courier New" w:cs="Courier New"/>
        </w:rPr>
        <w:t xml:space="preserve"> (</w:t>
      </w:r>
      <w:r w:rsidR="00FA461C" w:rsidRPr="008D5B03">
        <w:rPr>
          <w:rFonts w:ascii="Courier New" w:hAnsi="Courier New" w:cs="Courier New"/>
          <w:i/>
        </w:rPr>
        <w:t>e.g.</w:t>
      </w:r>
      <w:r w:rsidR="00FA461C">
        <w:rPr>
          <w:rFonts w:ascii="Courier New" w:hAnsi="Courier New" w:cs="Courier New"/>
        </w:rPr>
        <w:t>, pipes)</w:t>
      </w:r>
      <w:r w:rsidR="000F5869" w:rsidRPr="00F62A83">
        <w:rPr>
          <w:rFonts w:ascii="Courier New" w:hAnsi="Courier New" w:cs="Courier New"/>
        </w:rPr>
        <w:t xml:space="preserve"> is implicitly rendered exempt by the same clause, a result that would “upend well-established rules of statutory construction.”</w:t>
      </w:r>
      <w:r w:rsidR="00C85DF2" w:rsidRPr="00F62A83">
        <w:rPr>
          <w:rFonts w:ascii="Courier New" w:hAnsi="Courier New" w:cs="Courier New"/>
        </w:rPr>
        <w:t xml:space="preserve"> </w:t>
      </w:r>
    </w:p>
    <w:p w14:paraId="51B9A4CD" w14:textId="7096BE82" w:rsidR="00FC1096" w:rsidRDefault="000F5869" w:rsidP="008D5B03">
      <w:pPr>
        <w:spacing w:line="480" w:lineRule="auto"/>
        <w:ind w:firstLine="720"/>
        <w:jc w:val="both"/>
        <w:rPr>
          <w:rFonts w:ascii="Courier New" w:hAnsi="Courier New" w:cs="Courier New"/>
          <w:color w:val="000000"/>
        </w:rPr>
      </w:pPr>
      <w:r w:rsidRPr="00F62A83">
        <w:rPr>
          <w:rFonts w:ascii="Courier New" w:hAnsi="Courier New" w:cs="Courier New"/>
        </w:rPr>
        <w:t>As a threshold matter, the assessors ignore</w:t>
      </w:r>
      <w:r w:rsidR="00FA461C">
        <w:rPr>
          <w:rFonts w:ascii="Courier New" w:hAnsi="Courier New" w:cs="Courier New"/>
        </w:rPr>
        <w:t>d</w:t>
      </w:r>
      <w:r w:rsidRPr="00F62A83">
        <w:rPr>
          <w:rFonts w:ascii="Courier New" w:hAnsi="Courier New" w:cs="Courier New"/>
        </w:rPr>
        <w:t xml:space="preserve"> that </w:t>
      </w:r>
      <w:r w:rsidR="00A0040E" w:rsidRPr="00F62A83">
        <w:rPr>
          <w:rFonts w:ascii="Courier New" w:hAnsi="Courier New" w:cs="Courier New"/>
        </w:rPr>
        <w:t xml:space="preserve">the section of the Acts and Resolves </w:t>
      </w:r>
      <w:r w:rsidRPr="00F62A83">
        <w:rPr>
          <w:rFonts w:ascii="Courier New" w:hAnsi="Courier New" w:cs="Courier New"/>
        </w:rPr>
        <w:t xml:space="preserve">that </w:t>
      </w:r>
      <w:r w:rsidR="00A0040E" w:rsidRPr="00F62A83">
        <w:rPr>
          <w:rFonts w:ascii="Courier New" w:hAnsi="Courier New" w:cs="Courier New"/>
        </w:rPr>
        <w:t>implement</w:t>
      </w:r>
      <w:r w:rsidRPr="00F62A83">
        <w:rPr>
          <w:rFonts w:ascii="Courier New" w:hAnsi="Courier New" w:cs="Courier New"/>
        </w:rPr>
        <w:t>ed</w:t>
      </w:r>
      <w:r w:rsidR="00A0040E" w:rsidRPr="00F62A83">
        <w:rPr>
          <w:rFonts w:ascii="Courier New" w:hAnsi="Courier New" w:cs="Courier New"/>
        </w:rPr>
        <w:t xml:space="preserve"> the manufacturing exemptions of </w:t>
      </w:r>
      <w:r w:rsidR="001D2633">
        <w:rPr>
          <w:rFonts w:ascii="Courier New" w:hAnsi="Courier New" w:cs="Courier New"/>
        </w:rPr>
        <w:t>C</w:t>
      </w:r>
      <w:r w:rsidRPr="00F62A83">
        <w:rPr>
          <w:rFonts w:ascii="Courier New" w:hAnsi="Courier New" w:cs="Courier New"/>
        </w:rPr>
        <w:t xml:space="preserve">lause 16(3) </w:t>
      </w:r>
      <w:r w:rsidR="001D2633">
        <w:rPr>
          <w:rFonts w:ascii="Courier New" w:hAnsi="Courier New" w:cs="Courier New"/>
        </w:rPr>
        <w:t>is</w:t>
      </w:r>
      <w:r w:rsidR="00A0040E" w:rsidRPr="00F62A83">
        <w:rPr>
          <w:rFonts w:ascii="Courier New" w:hAnsi="Courier New" w:cs="Courier New"/>
        </w:rPr>
        <w:t xml:space="preserve"> titled “An Act Exempting the Machinery of Manufacturing Corporations from Local Taxation and Changing the Methods of Determining Certain Corporation Taxes and of Distributing Certain Taxes.” St. 1936, c. 362, § 1</w:t>
      </w:r>
      <w:r w:rsidRPr="00F62A83">
        <w:rPr>
          <w:rFonts w:ascii="Courier New" w:hAnsi="Courier New" w:cs="Courier New"/>
        </w:rPr>
        <w:t>.</w:t>
      </w:r>
      <w:r w:rsidR="00F62A83" w:rsidRPr="00F62A83">
        <w:rPr>
          <w:rFonts w:ascii="Courier New" w:hAnsi="Courier New" w:cs="Courier New"/>
        </w:rPr>
        <w:t xml:space="preserve"> When the title of an enactment clearly states a legislative purpose, “a </w:t>
      </w:r>
      <w:r w:rsidR="00F62A83" w:rsidRPr="00F62A83">
        <w:rPr>
          <w:rFonts w:ascii="Courier New" w:hAnsi="Courier New" w:cs="Courier New"/>
          <w:color w:val="000000"/>
        </w:rPr>
        <w:t xml:space="preserve">contrary interpretation of the legislative intent runs afoul of the </w:t>
      </w:r>
      <w:r w:rsidR="00F62A83" w:rsidRPr="00F62A83">
        <w:rPr>
          <w:rFonts w:ascii="Courier New" w:hAnsi="Courier New" w:cs="Courier New"/>
          <w:color w:val="000000"/>
        </w:rPr>
        <w:lastRenderedPageBreak/>
        <w:t>plain meaning of the statute's title.”</w:t>
      </w:r>
      <w:r w:rsidR="00A0040E" w:rsidRPr="00F62A83">
        <w:rPr>
          <w:rFonts w:ascii="Courier New" w:hAnsi="Courier New" w:cs="Courier New"/>
          <w:color w:val="000000"/>
        </w:rPr>
        <w:t xml:space="preserve"> </w:t>
      </w:r>
      <w:r w:rsidR="006616CC" w:rsidRPr="00F62A83">
        <w:rPr>
          <w:rFonts w:ascii="Courier New" w:hAnsi="Courier New" w:cs="Courier New"/>
          <w:b/>
          <w:i/>
          <w:color w:val="000000"/>
        </w:rPr>
        <w:t>Town of Yarmouth v. Snowden-Lebel</w:t>
      </w:r>
      <w:r w:rsidR="006616CC" w:rsidRPr="00F62A83">
        <w:rPr>
          <w:rFonts w:ascii="Courier New" w:hAnsi="Courier New" w:cs="Courier New"/>
          <w:color w:val="000000"/>
        </w:rPr>
        <w:t>, 17 LCR 654, 655-56 (Mass. Land Ct. 2009)</w:t>
      </w:r>
      <w:r w:rsidR="00405687">
        <w:rPr>
          <w:rFonts w:ascii="Courier New" w:hAnsi="Courier New" w:cs="Courier New"/>
          <w:color w:val="000000"/>
        </w:rPr>
        <w:t>.</w:t>
      </w:r>
    </w:p>
    <w:p w14:paraId="58ADB56C" w14:textId="408C6D69" w:rsidR="00C8006B" w:rsidRPr="00A33C3F" w:rsidRDefault="00FC1096" w:rsidP="008D5B03">
      <w:pPr>
        <w:spacing w:line="480" w:lineRule="auto"/>
        <w:ind w:firstLine="720"/>
        <w:jc w:val="both"/>
        <w:rPr>
          <w:rFonts w:ascii="Courier New" w:hAnsi="Courier New" w:cs="Courier New"/>
        </w:rPr>
      </w:pPr>
      <w:r>
        <w:rPr>
          <w:rFonts w:ascii="Courier New" w:hAnsi="Courier New" w:cs="Courier New"/>
        </w:rPr>
        <w:t>T</w:t>
      </w:r>
      <w:r w:rsidR="003427DA" w:rsidRPr="00A33C3F">
        <w:rPr>
          <w:rFonts w:ascii="Courier New" w:hAnsi="Courier New" w:cs="Courier New"/>
        </w:rPr>
        <w:t xml:space="preserve">he </w:t>
      </w:r>
      <w:r w:rsidR="00FA461C">
        <w:rPr>
          <w:rFonts w:ascii="Courier New" w:hAnsi="Courier New" w:cs="Courier New"/>
        </w:rPr>
        <w:t>language of</w:t>
      </w:r>
      <w:r w:rsidR="003427DA" w:rsidRPr="00A33C3F">
        <w:rPr>
          <w:rFonts w:ascii="Courier New" w:hAnsi="Courier New" w:cs="Courier New"/>
        </w:rPr>
        <w:t xml:space="preserve"> </w:t>
      </w:r>
      <w:r w:rsidR="00A0040E" w:rsidRPr="00A33C3F">
        <w:rPr>
          <w:rFonts w:ascii="Courier New" w:hAnsi="Courier New" w:cs="Courier New"/>
        </w:rPr>
        <w:t xml:space="preserve">G.L. c. 59, § 5, cl. </w:t>
      </w:r>
      <w:r w:rsidR="001F16FA">
        <w:rPr>
          <w:rFonts w:ascii="Courier New" w:hAnsi="Courier New" w:cs="Courier New"/>
        </w:rPr>
        <w:t>Sixteenth</w:t>
      </w:r>
      <w:r w:rsidR="00FA461C">
        <w:rPr>
          <w:rFonts w:ascii="Courier New" w:hAnsi="Courier New" w:cs="Courier New"/>
        </w:rPr>
        <w:t>, when viewed as a whole,</w:t>
      </w:r>
      <w:r w:rsidR="003427DA" w:rsidRPr="00A33C3F">
        <w:rPr>
          <w:rFonts w:ascii="Courier New" w:hAnsi="Courier New" w:cs="Courier New"/>
        </w:rPr>
        <w:t xml:space="preserve"> also undermines the assessors’ argument. </w:t>
      </w:r>
      <w:r w:rsidR="00FA461C">
        <w:rPr>
          <w:rFonts w:ascii="Courier New" w:hAnsi="Courier New" w:cs="Courier New"/>
        </w:rPr>
        <w:t xml:space="preserve">In particular, </w:t>
      </w:r>
      <w:r w:rsidR="00A0040E" w:rsidRPr="00A33C3F">
        <w:rPr>
          <w:rFonts w:ascii="Courier New" w:hAnsi="Courier New" w:cs="Courier New"/>
        </w:rPr>
        <w:t xml:space="preserve">G.L. c. 59, § 5, cl. </w:t>
      </w:r>
      <w:r w:rsidR="001F16FA">
        <w:rPr>
          <w:rFonts w:ascii="Courier New" w:hAnsi="Courier New" w:cs="Courier New"/>
        </w:rPr>
        <w:t>Sixteenth</w:t>
      </w:r>
      <w:r w:rsidR="00A0040E" w:rsidRPr="00A33C3F">
        <w:rPr>
          <w:rFonts w:ascii="Courier New" w:hAnsi="Courier New" w:cs="Courier New"/>
        </w:rPr>
        <w:t>(1)</w:t>
      </w:r>
      <w:r w:rsidR="008A6B4B" w:rsidRPr="00A33C3F">
        <w:rPr>
          <w:rFonts w:ascii="Courier New" w:hAnsi="Courier New" w:cs="Courier New"/>
        </w:rPr>
        <w:t xml:space="preserve"> (“Clause 16(1)”)</w:t>
      </w:r>
      <w:r w:rsidR="003427DA" w:rsidRPr="00A33C3F">
        <w:rPr>
          <w:rFonts w:ascii="Courier New" w:hAnsi="Courier New" w:cs="Courier New"/>
        </w:rPr>
        <w:t xml:space="preserve">, </w:t>
      </w:r>
      <w:r w:rsidR="008A6B4B" w:rsidRPr="00A33C3F">
        <w:rPr>
          <w:rFonts w:ascii="Courier New" w:hAnsi="Courier New" w:cs="Courier New"/>
        </w:rPr>
        <w:t xml:space="preserve">which applies to financial institutions and certain other corporations, begins, </w:t>
      </w:r>
      <w:r w:rsidR="003427DA" w:rsidRPr="00A33C3F">
        <w:rPr>
          <w:rFonts w:ascii="Courier New" w:hAnsi="Courier New" w:cs="Courier New"/>
        </w:rPr>
        <w:t>like Clause 16(3)</w:t>
      </w:r>
      <w:r w:rsidR="008A6B4B" w:rsidRPr="00A33C3F">
        <w:rPr>
          <w:rFonts w:ascii="Courier New" w:hAnsi="Courier New" w:cs="Courier New"/>
        </w:rPr>
        <w:t>, by</w:t>
      </w:r>
      <w:r w:rsidR="00A0040E" w:rsidRPr="00A33C3F">
        <w:rPr>
          <w:rFonts w:ascii="Courier New" w:hAnsi="Courier New" w:cs="Courier New"/>
        </w:rPr>
        <w:t xml:space="preserve"> </w:t>
      </w:r>
      <w:r w:rsidR="003427DA" w:rsidRPr="00A33C3F">
        <w:rPr>
          <w:rFonts w:ascii="Courier New" w:hAnsi="Courier New" w:cs="Courier New"/>
        </w:rPr>
        <w:t>exempt</w:t>
      </w:r>
      <w:r w:rsidR="008A6B4B" w:rsidRPr="00A33C3F">
        <w:rPr>
          <w:rFonts w:ascii="Courier New" w:hAnsi="Courier New" w:cs="Courier New"/>
        </w:rPr>
        <w:t>ing</w:t>
      </w:r>
      <w:r w:rsidR="003427DA" w:rsidRPr="00A33C3F">
        <w:rPr>
          <w:rFonts w:ascii="Courier New" w:hAnsi="Courier New" w:cs="Courier New"/>
        </w:rPr>
        <w:t xml:space="preserve"> all property owned by</w:t>
      </w:r>
      <w:r w:rsidR="008A6B4B" w:rsidRPr="00A33C3F">
        <w:rPr>
          <w:rFonts w:ascii="Courier New" w:hAnsi="Courier New" w:cs="Courier New"/>
        </w:rPr>
        <w:t xml:space="preserve"> these entities. Also like Clause 16(3),</w:t>
      </w:r>
      <w:r w:rsidR="003427DA" w:rsidRPr="00A33C3F">
        <w:rPr>
          <w:rFonts w:ascii="Courier New" w:hAnsi="Courier New" w:cs="Courier New"/>
        </w:rPr>
        <w:t xml:space="preserve"> </w:t>
      </w:r>
      <w:r w:rsidR="008A6B4B" w:rsidRPr="00A33C3F">
        <w:rPr>
          <w:rFonts w:ascii="Courier New" w:hAnsi="Courier New" w:cs="Courier New"/>
        </w:rPr>
        <w:t xml:space="preserve">Clause 16(1) provides several </w:t>
      </w:r>
      <w:r w:rsidR="00A33C3F">
        <w:rPr>
          <w:rFonts w:ascii="Courier New" w:hAnsi="Courier New" w:cs="Courier New"/>
        </w:rPr>
        <w:t xml:space="preserve">explicit </w:t>
      </w:r>
      <w:r w:rsidR="008A6B4B" w:rsidRPr="00A33C3F">
        <w:rPr>
          <w:rFonts w:ascii="Courier New" w:hAnsi="Courier New" w:cs="Courier New"/>
        </w:rPr>
        <w:t xml:space="preserve">exceptions </w:t>
      </w:r>
      <w:r w:rsidR="00A33C3F">
        <w:rPr>
          <w:rFonts w:ascii="Courier New" w:hAnsi="Courier New" w:cs="Courier New"/>
        </w:rPr>
        <w:t>to</w:t>
      </w:r>
      <w:r w:rsidR="008A6B4B" w:rsidRPr="00A33C3F">
        <w:rPr>
          <w:rFonts w:ascii="Courier New" w:hAnsi="Courier New" w:cs="Courier New"/>
        </w:rPr>
        <w:t xml:space="preserve"> </w:t>
      </w:r>
      <w:r w:rsidR="00A35724">
        <w:rPr>
          <w:rFonts w:ascii="Courier New" w:hAnsi="Courier New" w:cs="Courier New"/>
        </w:rPr>
        <w:t xml:space="preserve">this </w:t>
      </w:r>
      <w:r w:rsidR="008A6B4B" w:rsidRPr="00A33C3F">
        <w:rPr>
          <w:rFonts w:ascii="Courier New" w:hAnsi="Courier New" w:cs="Courier New"/>
        </w:rPr>
        <w:t>exemption,</w:t>
      </w:r>
      <w:r w:rsidR="003427DA" w:rsidRPr="00A33C3F">
        <w:rPr>
          <w:rFonts w:ascii="Courier New" w:hAnsi="Courier New" w:cs="Courier New"/>
        </w:rPr>
        <w:t xml:space="preserve"> including</w:t>
      </w:r>
      <w:r w:rsidR="003427DA" w:rsidRPr="00A33C3F">
        <w:rPr>
          <w:rFonts w:ascii="Courier New" w:hAnsi="Courier New" w:cs="Courier New"/>
          <w:color w:val="333333"/>
          <w:shd w:val="clear" w:color="auto" w:fill="FFFFFF"/>
        </w:rPr>
        <w:t xml:space="preserve"> </w:t>
      </w:r>
      <w:r w:rsidR="00A35724">
        <w:rPr>
          <w:rFonts w:ascii="Courier New" w:hAnsi="Courier New" w:cs="Courier New"/>
          <w:color w:val="333333"/>
          <w:shd w:val="clear" w:color="auto" w:fill="FFFFFF"/>
        </w:rPr>
        <w:t xml:space="preserve">for </w:t>
      </w:r>
      <w:r w:rsidR="003427DA" w:rsidRPr="00A33C3F">
        <w:rPr>
          <w:rFonts w:ascii="Courier New" w:hAnsi="Courier New" w:cs="Courier New"/>
          <w:color w:val="333333"/>
          <w:shd w:val="clear" w:color="auto" w:fill="FFFFFF"/>
        </w:rPr>
        <w:t xml:space="preserve">“poles, underground conduits, wires, pipes and </w:t>
      </w:r>
      <w:r w:rsidR="003427DA" w:rsidRPr="008D5B03">
        <w:rPr>
          <w:rFonts w:ascii="Courier New" w:hAnsi="Courier New" w:cs="Courier New"/>
          <w:b/>
          <w:color w:val="333333"/>
          <w:shd w:val="clear" w:color="auto" w:fill="FFFFFF"/>
        </w:rPr>
        <w:t>machinery used in manufacture</w:t>
      </w:r>
      <w:r w:rsidR="00C20EA6" w:rsidRPr="00A33C3F">
        <w:rPr>
          <w:rStyle w:val="apple-converted-space"/>
          <w:rFonts w:ascii="Courier New" w:hAnsi="Courier New" w:cs="Courier New"/>
          <w:color w:val="333333"/>
          <w:shd w:val="clear" w:color="auto" w:fill="FFFFFF"/>
        </w:rPr>
        <w:t xml:space="preserve">.” </w:t>
      </w:r>
      <w:r w:rsidR="00A33C3F" w:rsidRPr="00A33C3F">
        <w:rPr>
          <w:rStyle w:val="apple-converted-space"/>
          <w:rFonts w:ascii="Courier New" w:hAnsi="Courier New" w:cs="Courier New"/>
          <w:color w:val="333333"/>
          <w:shd w:val="clear" w:color="auto" w:fill="FFFFFF"/>
        </w:rPr>
        <w:t>(emphasis added).</w:t>
      </w:r>
      <w:r w:rsidR="00A0040E" w:rsidRPr="00A33C3F">
        <w:rPr>
          <w:rFonts w:ascii="Courier New" w:hAnsi="Courier New" w:cs="Courier New"/>
        </w:rPr>
        <w:t xml:space="preserve"> </w:t>
      </w:r>
      <w:r w:rsidR="00A33C3F" w:rsidRPr="00A33C3F">
        <w:rPr>
          <w:rFonts w:ascii="Courier New" w:hAnsi="Courier New" w:cs="Courier New"/>
        </w:rPr>
        <w:t xml:space="preserve">Had the </w:t>
      </w:r>
      <w:r w:rsidR="00A33C3F">
        <w:rPr>
          <w:rFonts w:ascii="Courier New" w:hAnsi="Courier New" w:cs="Courier New"/>
        </w:rPr>
        <w:t>L</w:t>
      </w:r>
      <w:r w:rsidR="00A33C3F" w:rsidRPr="00A33C3F">
        <w:rPr>
          <w:rFonts w:ascii="Courier New" w:hAnsi="Courier New" w:cs="Courier New"/>
        </w:rPr>
        <w:t xml:space="preserve">egislature intended to </w:t>
      </w:r>
      <w:r w:rsidR="00C20EA6" w:rsidRPr="00A33C3F">
        <w:rPr>
          <w:rFonts w:ascii="Courier New" w:hAnsi="Courier New" w:cs="Courier New"/>
        </w:rPr>
        <w:t xml:space="preserve">exclude such machinery from exemption </w:t>
      </w:r>
      <w:r w:rsidR="00A33C3F" w:rsidRPr="00A33C3F">
        <w:rPr>
          <w:rFonts w:ascii="Courier New" w:hAnsi="Courier New" w:cs="Courier New"/>
        </w:rPr>
        <w:t>in Clause 16(3)</w:t>
      </w:r>
      <w:r w:rsidR="00A35724">
        <w:rPr>
          <w:rFonts w:ascii="Courier New" w:hAnsi="Courier New" w:cs="Courier New"/>
        </w:rPr>
        <w:t xml:space="preserve"> as well as</w:t>
      </w:r>
      <w:r w:rsidR="00887608">
        <w:rPr>
          <w:rFonts w:ascii="Courier New" w:hAnsi="Courier New" w:cs="Courier New"/>
        </w:rPr>
        <w:t xml:space="preserve"> in </w:t>
      </w:r>
      <w:r w:rsidR="00A35724">
        <w:rPr>
          <w:rFonts w:ascii="Courier New" w:hAnsi="Courier New" w:cs="Courier New"/>
        </w:rPr>
        <w:t>Clause 16(1)</w:t>
      </w:r>
      <w:r w:rsidR="00A33C3F" w:rsidRPr="00A33C3F">
        <w:rPr>
          <w:rFonts w:ascii="Courier New" w:hAnsi="Courier New" w:cs="Courier New"/>
        </w:rPr>
        <w:t xml:space="preserve">, </w:t>
      </w:r>
      <w:r w:rsidR="00A33C3F">
        <w:rPr>
          <w:rFonts w:ascii="Courier New" w:hAnsi="Courier New" w:cs="Courier New"/>
        </w:rPr>
        <w:t xml:space="preserve">it </w:t>
      </w:r>
      <w:r w:rsidR="00A33C3F" w:rsidRPr="00A33C3F">
        <w:rPr>
          <w:rFonts w:ascii="Courier New" w:hAnsi="Courier New" w:cs="Courier New"/>
        </w:rPr>
        <w:t xml:space="preserve">presumably would have done so. </w:t>
      </w:r>
      <w:r w:rsidR="00A35724" w:rsidRPr="00A35724">
        <w:rPr>
          <w:rFonts w:ascii="Courier New" w:hAnsi="Courier New" w:cs="Courier New"/>
          <w:i/>
        </w:rPr>
        <w:t>See, e.g.</w:t>
      </w:r>
      <w:r w:rsidR="00A35724">
        <w:rPr>
          <w:rFonts w:ascii="Courier New" w:hAnsi="Courier New" w:cs="Courier New"/>
        </w:rPr>
        <w:t xml:space="preserve"> </w:t>
      </w:r>
      <w:r w:rsidR="00403C72" w:rsidRPr="00403C72">
        <w:rPr>
          <w:rFonts w:ascii="Courier New" w:hAnsi="Courier New" w:cs="Courier New"/>
          <w:b/>
          <w:i/>
        </w:rPr>
        <w:t>Salem and Beverly Water Supply Board v. Comm</w:t>
      </w:r>
      <w:r w:rsidR="00887608">
        <w:rPr>
          <w:rFonts w:ascii="Courier New" w:hAnsi="Courier New" w:cs="Courier New"/>
          <w:b/>
          <w:i/>
        </w:rPr>
        <w:t>issioner of Revenue</w:t>
      </w:r>
      <w:r w:rsidR="00403C72">
        <w:rPr>
          <w:rFonts w:ascii="Courier New" w:hAnsi="Courier New" w:cs="Courier New"/>
          <w:b/>
          <w:i/>
        </w:rPr>
        <w:t>,</w:t>
      </w:r>
      <w:r w:rsidR="00A35724" w:rsidRPr="00A35724">
        <w:rPr>
          <w:rFonts w:ascii="Courier New" w:hAnsi="Courier New" w:cs="Courier New"/>
          <w:color w:val="000000"/>
        </w:rPr>
        <w:t xml:space="preserve"> </w:t>
      </w:r>
      <w:r w:rsidR="00A35724" w:rsidRPr="00EF5EBD">
        <w:rPr>
          <w:rFonts w:ascii="Courier New" w:hAnsi="Courier New" w:cs="Courier New"/>
          <w:color w:val="000000"/>
        </w:rPr>
        <w:t xml:space="preserve">Mass. ATB Findings of Fact and Reports </w:t>
      </w:r>
      <w:r w:rsidR="00403C72">
        <w:rPr>
          <w:rFonts w:ascii="Courier New" w:hAnsi="Courier New" w:cs="Courier New"/>
          <w:color w:val="000000"/>
        </w:rPr>
        <w:t>1987</w:t>
      </w:r>
      <w:r w:rsidR="00A35724" w:rsidRPr="00EF5EBD">
        <w:rPr>
          <w:rFonts w:ascii="Courier New" w:hAnsi="Courier New" w:cs="Courier New"/>
          <w:color w:val="000000"/>
        </w:rPr>
        <w:t>-</w:t>
      </w:r>
      <w:r w:rsidR="00403C72">
        <w:rPr>
          <w:rFonts w:ascii="Courier New" w:hAnsi="Courier New" w:cs="Courier New"/>
          <w:color w:val="000000"/>
        </w:rPr>
        <w:t>1</w:t>
      </w:r>
      <w:r w:rsidR="00A35724">
        <w:rPr>
          <w:rFonts w:ascii="Courier New" w:hAnsi="Courier New" w:cs="Courier New"/>
          <w:color w:val="000000"/>
        </w:rPr>
        <w:t>.</w:t>
      </w:r>
      <w:r w:rsidR="00A35724">
        <w:rPr>
          <w:rFonts w:ascii="Courier New" w:hAnsi="Courier New" w:cs="Courier New"/>
        </w:rPr>
        <w:t xml:space="preserve"> </w:t>
      </w:r>
      <w:r w:rsidR="00A33C3F" w:rsidRPr="00A33C3F">
        <w:rPr>
          <w:rFonts w:ascii="Courier New" w:hAnsi="Courier New" w:cs="Courier New"/>
        </w:rPr>
        <w:t xml:space="preserve">Further, </w:t>
      </w:r>
      <w:r w:rsidR="008D5B03">
        <w:rPr>
          <w:rFonts w:ascii="Courier New" w:hAnsi="Courier New" w:cs="Courier New"/>
        </w:rPr>
        <w:t xml:space="preserve">an </w:t>
      </w:r>
      <w:r w:rsidR="00C20EA6" w:rsidRPr="00A33C3F">
        <w:rPr>
          <w:rFonts w:ascii="Courier New" w:hAnsi="Courier New" w:cs="Courier New"/>
        </w:rPr>
        <w:t xml:space="preserve">explicit reference to machinery </w:t>
      </w:r>
      <w:r w:rsidR="008D5B03">
        <w:rPr>
          <w:rFonts w:ascii="Courier New" w:hAnsi="Courier New" w:cs="Courier New"/>
        </w:rPr>
        <w:t xml:space="preserve">as exempt </w:t>
      </w:r>
      <w:r w:rsidR="00C20EA6" w:rsidRPr="00A33C3F">
        <w:rPr>
          <w:rFonts w:ascii="Courier New" w:hAnsi="Courier New" w:cs="Courier New"/>
        </w:rPr>
        <w:t xml:space="preserve">in Clause 16(3) is unnecessary given </w:t>
      </w:r>
      <w:r w:rsidR="00A35724">
        <w:rPr>
          <w:rFonts w:ascii="Courier New" w:hAnsi="Courier New" w:cs="Courier New"/>
        </w:rPr>
        <w:t xml:space="preserve">that its starting point is </w:t>
      </w:r>
      <w:r w:rsidR="00C8006B" w:rsidRPr="00A33C3F">
        <w:rPr>
          <w:rFonts w:ascii="Courier New" w:hAnsi="Courier New" w:cs="Courier New"/>
        </w:rPr>
        <w:t>the broad exemption of “all property</w:t>
      </w:r>
      <w:r w:rsidR="00A35724">
        <w:rPr>
          <w:rFonts w:ascii="Courier New" w:hAnsi="Courier New" w:cs="Courier New"/>
        </w:rPr>
        <w:t>.</w:t>
      </w:r>
      <w:r w:rsidR="00C8006B" w:rsidRPr="00A33C3F">
        <w:rPr>
          <w:rFonts w:ascii="Courier New" w:hAnsi="Courier New" w:cs="Courier New"/>
        </w:rPr>
        <w:t xml:space="preserve">”  </w:t>
      </w:r>
    </w:p>
    <w:p w14:paraId="4BFBB4EC" w14:textId="18B9019D" w:rsidR="009B4C35" w:rsidRPr="009B4C35" w:rsidRDefault="00E729C6" w:rsidP="009B4C35">
      <w:pPr>
        <w:spacing w:line="480" w:lineRule="auto"/>
        <w:ind w:firstLine="720"/>
        <w:jc w:val="both"/>
        <w:rPr>
          <w:rStyle w:val="apple-converted-space"/>
          <w:rFonts w:ascii="Courier New" w:hAnsi="Courier New" w:cs="Courier New"/>
          <w:color w:val="373739"/>
          <w:bdr w:val="none" w:sz="0" w:space="0" w:color="auto" w:frame="1"/>
          <w:shd w:val="clear" w:color="auto" w:fill="FFFFFF"/>
        </w:rPr>
      </w:pPr>
      <w:r w:rsidRPr="009B4C35">
        <w:rPr>
          <w:rFonts w:ascii="Courier New" w:hAnsi="Courier New" w:cs="Courier New"/>
        </w:rPr>
        <w:t>Lastly,</w:t>
      </w:r>
      <w:r w:rsidR="00A0040E" w:rsidRPr="009B4C35">
        <w:rPr>
          <w:rFonts w:ascii="Courier New" w:hAnsi="Courier New" w:cs="Courier New"/>
        </w:rPr>
        <w:t xml:space="preserve"> </w:t>
      </w:r>
      <w:r w:rsidR="00C8006B" w:rsidRPr="009B4C35">
        <w:rPr>
          <w:rFonts w:ascii="Courier New" w:hAnsi="Courier New" w:cs="Courier New"/>
        </w:rPr>
        <w:t xml:space="preserve">established </w:t>
      </w:r>
      <w:r w:rsidRPr="009B4C35">
        <w:rPr>
          <w:rFonts w:ascii="Courier New" w:hAnsi="Courier New" w:cs="Courier New"/>
        </w:rPr>
        <w:t>case law</w:t>
      </w:r>
      <w:r w:rsidR="00C8006B" w:rsidRPr="009B4C35">
        <w:rPr>
          <w:rFonts w:ascii="Courier New" w:hAnsi="Courier New" w:cs="Courier New"/>
        </w:rPr>
        <w:t xml:space="preserve"> </w:t>
      </w:r>
      <w:r w:rsidR="001F16FA">
        <w:rPr>
          <w:rFonts w:ascii="Courier New" w:hAnsi="Courier New" w:cs="Courier New"/>
        </w:rPr>
        <w:t xml:space="preserve">explicitly </w:t>
      </w:r>
      <w:r w:rsidR="00C8006B" w:rsidRPr="009B4C35">
        <w:rPr>
          <w:rFonts w:ascii="Courier New" w:hAnsi="Courier New" w:cs="Courier New"/>
        </w:rPr>
        <w:t xml:space="preserve">sanctions exemption of machinery by Clause 16(3). In </w:t>
      </w:r>
      <w:r w:rsidR="00C8006B" w:rsidRPr="009B4C35">
        <w:rPr>
          <w:rFonts w:ascii="Courier New" w:hAnsi="Courier New" w:cs="Courier New"/>
          <w:b/>
          <w:i/>
        </w:rPr>
        <w:t>Fernandes Super Markets</w:t>
      </w:r>
      <w:r w:rsidR="00887608">
        <w:rPr>
          <w:rFonts w:ascii="Courier New" w:hAnsi="Courier New" w:cs="Courier New"/>
          <w:b/>
          <w:i/>
        </w:rPr>
        <w:t>, Inc.</w:t>
      </w:r>
      <w:r w:rsidR="00C8006B" w:rsidRPr="009B4C35">
        <w:rPr>
          <w:rFonts w:ascii="Courier New" w:hAnsi="Courier New" w:cs="Courier New"/>
          <w:b/>
          <w:i/>
        </w:rPr>
        <w:t xml:space="preserve"> v. State Tax Commn</w:t>
      </w:r>
      <w:r w:rsidR="00C8006B" w:rsidRPr="009B4C35">
        <w:rPr>
          <w:rFonts w:ascii="Courier New" w:hAnsi="Courier New" w:cs="Courier New"/>
        </w:rPr>
        <w:t>.,</w:t>
      </w:r>
      <w:r w:rsidR="002820CA" w:rsidRPr="009B4C35">
        <w:rPr>
          <w:rFonts w:ascii="Courier New" w:hAnsi="Courier New" w:cs="Courier New"/>
        </w:rPr>
        <w:t xml:space="preserve"> 371 Mass. 318 (1976),</w:t>
      </w:r>
      <w:r w:rsidR="00C8006B" w:rsidRPr="009B4C35">
        <w:rPr>
          <w:rFonts w:ascii="Courier New" w:hAnsi="Courier New" w:cs="Courier New"/>
        </w:rPr>
        <w:t xml:space="preserve"> </w:t>
      </w:r>
      <w:r w:rsidR="00EE6477">
        <w:rPr>
          <w:rFonts w:ascii="Courier New" w:hAnsi="Courier New" w:cs="Courier New"/>
        </w:rPr>
        <w:t>which concerned</w:t>
      </w:r>
      <w:r w:rsidR="002820CA" w:rsidRPr="009B4C35">
        <w:rPr>
          <w:rFonts w:ascii="Courier New" w:hAnsi="Courier New" w:cs="Courier New"/>
        </w:rPr>
        <w:t xml:space="preserve"> </w:t>
      </w:r>
      <w:r w:rsidR="00A35724">
        <w:rPr>
          <w:rFonts w:ascii="Courier New" w:hAnsi="Courier New" w:cs="Courier New"/>
        </w:rPr>
        <w:t>an</w:t>
      </w:r>
      <w:r w:rsidR="00C8006B" w:rsidRPr="009B4C35">
        <w:rPr>
          <w:rFonts w:ascii="Courier New" w:hAnsi="Courier New" w:cs="Courier New"/>
        </w:rPr>
        <w:t xml:space="preserve"> appellant</w:t>
      </w:r>
      <w:r w:rsidR="002820CA" w:rsidRPr="009B4C35">
        <w:rPr>
          <w:rFonts w:ascii="Courier New" w:hAnsi="Courier New" w:cs="Courier New"/>
        </w:rPr>
        <w:t>’s request for</w:t>
      </w:r>
      <w:r w:rsidR="00C8006B" w:rsidRPr="009B4C35">
        <w:rPr>
          <w:rFonts w:ascii="Courier New" w:hAnsi="Courier New" w:cs="Courier New"/>
        </w:rPr>
        <w:t xml:space="preserve"> manufacturing corporation classification</w:t>
      </w:r>
      <w:r w:rsidR="002820CA" w:rsidRPr="009B4C35">
        <w:rPr>
          <w:rFonts w:ascii="Courier New" w:hAnsi="Courier New" w:cs="Courier New"/>
        </w:rPr>
        <w:t>, the Court stated that “</w:t>
      </w:r>
      <w:r w:rsidR="00A35724">
        <w:rPr>
          <w:rFonts w:ascii="Courier New" w:hAnsi="Courier New" w:cs="Courier New"/>
        </w:rPr>
        <w:t>[i]</w:t>
      </w:r>
      <w:r w:rsidR="00C8006B" w:rsidRPr="009B4C35">
        <w:rPr>
          <w:rFonts w:ascii="Courier New" w:hAnsi="Courier New" w:cs="Courier New"/>
          <w:color w:val="373739"/>
          <w:shd w:val="clear" w:color="auto" w:fill="FFFFFF"/>
        </w:rPr>
        <w:t xml:space="preserve">f </w:t>
      </w:r>
      <w:r w:rsidR="002820CA" w:rsidRPr="009B4C35">
        <w:rPr>
          <w:rFonts w:ascii="Courier New" w:hAnsi="Courier New" w:cs="Courier New"/>
          <w:color w:val="373739"/>
          <w:shd w:val="clear" w:color="auto" w:fill="FFFFFF"/>
        </w:rPr>
        <w:lastRenderedPageBreak/>
        <w:t>[the appellant]</w:t>
      </w:r>
      <w:r w:rsidR="00C8006B" w:rsidRPr="009B4C35">
        <w:rPr>
          <w:rFonts w:ascii="Courier New" w:hAnsi="Courier New" w:cs="Courier New"/>
          <w:color w:val="373739"/>
          <w:shd w:val="clear" w:color="auto" w:fill="FFFFFF"/>
        </w:rPr>
        <w:t xml:space="preserve"> is a manufacturing corporation, all its machinery is exempted by</w:t>
      </w:r>
      <w:r w:rsidR="00C8006B" w:rsidRPr="009B4C35">
        <w:rPr>
          <w:rStyle w:val="apple-converted-space"/>
          <w:rFonts w:ascii="Courier New" w:hAnsi="Courier New" w:cs="Courier New"/>
          <w:color w:val="373739"/>
          <w:shd w:val="clear" w:color="auto" w:fill="FFFFFF"/>
        </w:rPr>
        <w:t> </w:t>
      </w:r>
      <w:r w:rsidR="002820CA" w:rsidRPr="009B4C35">
        <w:rPr>
          <w:rStyle w:val="apple-converted-space"/>
          <w:rFonts w:ascii="Courier New" w:hAnsi="Courier New" w:cs="Courier New"/>
          <w:color w:val="373739"/>
          <w:shd w:val="clear" w:color="auto" w:fill="FFFFFF"/>
        </w:rPr>
        <w:t xml:space="preserve">G.L. c. 59, § 5, </w:t>
      </w:r>
      <w:r w:rsidR="00C8006B" w:rsidRPr="009B4C35">
        <w:rPr>
          <w:rFonts w:ascii="Courier New" w:hAnsi="Courier New" w:cs="Courier New"/>
          <w:color w:val="373739"/>
          <w:shd w:val="clear" w:color="auto" w:fill="FFFFFF"/>
        </w:rPr>
        <w:t>Sixteenth, from local personal property taxes which would otherwise be assessed on the machinery of a business corporation by cities and towns</w:t>
      </w:r>
      <w:r w:rsidR="002820CA" w:rsidRPr="009B4C35">
        <w:rPr>
          <w:rFonts w:ascii="Courier New" w:hAnsi="Courier New" w:cs="Courier New"/>
          <w:color w:val="373739"/>
          <w:shd w:val="clear" w:color="auto" w:fill="FFFFFF"/>
        </w:rPr>
        <w:t xml:space="preserve">.” </w:t>
      </w:r>
      <w:r w:rsidR="002820CA" w:rsidRPr="00A35724">
        <w:rPr>
          <w:rFonts w:ascii="Courier New" w:hAnsi="Courier New" w:cs="Courier New"/>
          <w:b/>
          <w:i/>
          <w:color w:val="373739"/>
          <w:shd w:val="clear" w:color="auto" w:fill="FFFFFF"/>
        </w:rPr>
        <w:t>Id.</w:t>
      </w:r>
      <w:r w:rsidR="002820CA" w:rsidRPr="009B4C35">
        <w:rPr>
          <w:rFonts w:ascii="Courier New" w:hAnsi="Courier New" w:cs="Courier New"/>
          <w:color w:val="373739"/>
          <w:shd w:val="clear" w:color="auto" w:fill="FFFFFF"/>
        </w:rPr>
        <w:t xml:space="preserve"> at 319.</w:t>
      </w:r>
      <w:r w:rsidR="00961FDB" w:rsidRPr="009B4C35">
        <w:rPr>
          <w:rFonts w:ascii="Courier New" w:hAnsi="Courier New" w:cs="Courier New"/>
          <w:color w:val="373739"/>
          <w:shd w:val="clear" w:color="auto" w:fill="FFFFFF"/>
        </w:rPr>
        <w:t xml:space="preserve"> Similarly, in</w:t>
      </w:r>
      <w:r w:rsidR="00887608">
        <w:rPr>
          <w:rFonts w:ascii="Courier New" w:hAnsi="Courier New" w:cs="Courier New"/>
          <w:color w:val="373739"/>
          <w:shd w:val="clear" w:color="auto" w:fill="FFFFFF"/>
        </w:rPr>
        <w:t xml:space="preserve"> </w:t>
      </w:r>
      <w:r w:rsidR="00887608" w:rsidRPr="009B4C35">
        <w:rPr>
          <w:rStyle w:val="ssrfcpassagedeactivated"/>
          <w:rFonts w:ascii="Courier New" w:hAnsi="Courier New" w:cs="Courier New"/>
          <w:b/>
          <w:i/>
          <w:color w:val="373739"/>
          <w:bdr w:val="none" w:sz="0" w:space="0" w:color="auto" w:frame="1"/>
          <w:shd w:val="clear" w:color="auto" w:fill="FFFFFF"/>
        </w:rPr>
        <w:t>Assessors of Holyoke v. State Tax Commn</w:t>
      </w:r>
      <w:r w:rsidR="00887608">
        <w:rPr>
          <w:rStyle w:val="ssrfcpassagedeactivated"/>
          <w:rFonts w:ascii="Courier New" w:hAnsi="Courier New" w:cs="Courier New"/>
          <w:color w:val="373739"/>
          <w:bdr w:val="none" w:sz="0" w:space="0" w:color="auto" w:frame="1"/>
          <w:shd w:val="clear" w:color="auto" w:fill="FFFFFF"/>
        </w:rPr>
        <w:t>., 355 Mass.</w:t>
      </w:r>
      <w:r w:rsidR="002D6312">
        <w:rPr>
          <w:rStyle w:val="ssrfcpassagedeactivated"/>
          <w:rFonts w:ascii="Courier New" w:hAnsi="Courier New" w:cs="Courier New"/>
          <w:color w:val="373739"/>
          <w:bdr w:val="none" w:sz="0" w:space="0" w:color="auto" w:frame="1"/>
          <w:shd w:val="clear" w:color="auto" w:fill="FFFFFF"/>
        </w:rPr>
        <w:t xml:space="preserve"> at</w:t>
      </w:r>
      <w:r w:rsidR="00887608">
        <w:rPr>
          <w:rStyle w:val="ssrfcpassagedeactivated"/>
          <w:rFonts w:ascii="Courier New" w:hAnsi="Courier New" w:cs="Courier New"/>
          <w:color w:val="373739"/>
          <w:bdr w:val="none" w:sz="0" w:space="0" w:color="auto" w:frame="1"/>
          <w:shd w:val="clear" w:color="auto" w:fill="FFFFFF"/>
        </w:rPr>
        <w:t xml:space="preserve"> 225</w:t>
      </w:r>
      <w:r w:rsidR="002D6312">
        <w:rPr>
          <w:rStyle w:val="ssrfcpassagedeactivated"/>
          <w:rFonts w:ascii="Courier New" w:hAnsi="Courier New" w:cs="Courier New"/>
          <w:color w:val="373739"/>
          <w:bdr w:val="none" w:sz="0" w:space="0" w:color="auto" w:frame="1"/>
          <w:shd w:val="clear" w:color="auto" w:fill="FFFFFF"/>
        </w:rPr>
        <w:t>,</w:t>
      </w:r>
      <w:r w:rsidR="00961FDB" w:rsidRPr="009B4C35">
        <w:rPr>
          <w:rFonts w:ascii="Courier New" w:hAnsi="Courier New" w:cs="Courier New"/>
        </w:rPr>
        <w:t xml:space="preserve"> </w:t>
      </w:r>
      <w:r w:rsidR="001217EA" w:rsidRPr="009B4C35">
        <w:rPr>
          <w:rFonts w:ascii="Courier New" w:hAnsi="Courier New" w:cs="Courier New"/>
        </w:rPr>
        <w:t xml:space="preserve">the </w:t>
      </w:r>
      <w:r w:rsidR="00A35724">
        <w:rPr>
          <w:rFonts w:ascii="Courier New" w:hAnsi="Courier New" w:cs="Courier New"/>
        </w:rPr>
        <w:t>C</w:t>
      </w:r>
      <w:r w:rsidR="001217EA" w:rsidRPr="009B4C35">
        <w:rPr>
          <w:rFonts w:ascii="Courier New" w:hAnsi="Courier New" w:cs="Courier New"/>
        </w:rPr>
        <w:t xml:space="preserve">ourt </w:t>
      </w:r>
      <w:r w:rsidR="00A35724">
        <w:rPr>
          <w:rFonts w:ascii="Courier New" w:hAnsi="Courier New" w:cs="Courier New"/>
        </w:rPr>
        <w:t>observed</w:t>
      </w:r>
      <w:r w:rsidR="001217EA" w:rsidRPr="009B4C35">
        <w:rPr>
          <w:rFonts w:ascii="Courier New" w:hAnsi="Courier New" w:cs="Courier New"/>
        </w:rPr>
        <w:t xml:space="preserve"> that “[b]</w:t>
      </w:r>
      <w:r w:rsidR="002820CA" w:rsidRPr="009B4C35">
        <w:rPr>
          <w:rFonts w:ascii="Courier New" w:hAnsi="Courier New" w:cs="Courier New"/>
        </w:rPr>
        <w:t>y G.L. c. 59, § 5, Sixteenth(3), as amended through St. 1957, c. 541, a ‘domestic manufacturing corporation</w:t>
      </w:r>
      <w:r w:rsidR="001217EA" w:rsidRPr="009B4C35">
        <w:rPr>
          <w:rFonts w:ascii="Courier New" w:hAnsi="Courier New" w:cs="Courier New"/>
        </w:rPr>
        <w:t>’</w:t>
      </w:r>
      <w:r w:rsidR="002820CA" w:rsidRPr="009B4C35">
        <w:rPr>
          <w:rFonts w:ascii="Courier New" w:hAnsi="Courier New" w:cs="Courier New"/>
        </w:rPr>
        <w:t xml:space="preserve"> is exempt from local taxation upon its property other than ‘real estate, poles and underground conduits, wires and pipes.’ Its machinery is thus not subject to local taxation.”</w:t>
      </w:r>
      <w:r w:rsidR="001217EA" w:rsidRPr="009B4C35">
        <w:rPr>
          <w:rFonts w:ascii="Courier New" w:hAnsi="Courier New" w:cs="Courier New"/>
        </w:rPr>
        <w:t xml:space="preserve"> </w:t>
      </w:r>
      <w:r w:rsidR="001217EA" w:rsidRPr="009B4C35">
        <w:rPr>
          <w:rFonts w:ascii="Courier New" w:hAnsi="Courier New" w:cs="Courier New"/>
          <w:i/>
        </w:rPr>
        <w:t>See also</w:t>
      </w:r>
      <w:r w:rsidR="009B4C35">
        <w:rPr>
          <w:rFonts w:ascii="Courier New" w:hAnsi="Courier New" w:cs="Courier New"/>
          <w:i/>
        </w:rPr>
        <w:t>,</w:t>
      </w:r>
      <w:r w:rsidR="001217EA" w:rsidRPr="009B4C35">
        <w:rPr>
          <w:rFonts w:ascii="Courier New" w:hAnsi="Courier New" w:cs="Courier New"/>
        </w:rPr>
        <w:t xml:space="preserve"> </w:t>
      </w:r>
      <w:r w:rsidR="001217EA" w:rsidRPr="009B4C35">
        <w:rPr>
          <w:rFonts w:ascii="Courier New" w:hAnsi="Courier New" w:cs="Courier New"/>
          <w:b/>
          <w:i/>
        </w:rPr>
        <w:t>Assessors of Swampscott</w:t>
      </w:r>
      <w:r w:rsidR="001217EA" w:rsidRPr="009B4C35">
        <w:rPr>
          <w:rFonts w:ascii="Courier New" w:hAnsi="Courier New" w:cs="Courier New"/>
        </w:rPr>
        <w:t xml:space="preserve">, 360 Mass. </w:t>
      </w:r>
      <w:r w:rsidR="008D5B03">
        <w:rPr>
          <w:rFonts w:ascii="Courier New" w:hAnsi="Courier New" w:cs="Courier New"/>
        </w:rPr>
        <w:t xml:space="preserve">at </w:t>
      </w:r>
      <w:r w:rsidR="001217EA" w:rsidRPr="009B4C35">
        <w:rPr>
          <w:rFonts w:ascii="Courier New" w:hAnsi="Courier New" w:cs="Courier New"/>
        </w:rPr>
        <w:t>597-98</w:t>
      </w:r>
      <w:r w:rsidR="008D5B03">
        <w:rPr>
          <w:rFonts w:ascii="Courier New" w:hAnsi="Courier New" w:cs="Courier New"/>
        </w:rPr>
        <w:t xml:space="preserve"> </w:t>
      </w:r>
      <w:r w:rsidR="001217EA" w:rsidRPr="009B4C35">
        <w:rPr>
          <w:rFonts w:ascii="Courier New" w:hAnsi="Courier New" w:cs="Courier New"/>
        </w:rPr>
        <w:t>(“[A]ll machinery of a domestic manufacturing corporation . . . must be treated as exempt from local taxation</w:t>
      </w:r>
      <w:r w:rsidR="001217EA" w:rsidRPr="009B4C35">
        <w:rPr>
          <w:rStyle w:val="apple-converted-space"/>
          <w:rFonts w:ascii="Courier New" w:hAnsi="Courier New" w:cs="Courier New"/>
          <w:color w:val="373739"/>
          <w:shd w:val="clear" w:color="auto" w:fill="FFFFFF"/>
        </w:rPr>
        <w:t> </w:t>
      </w:r>
      <w:r w:rsidR="001217EA" w:rsidRPr="009B4C35">
        <w:rPr>
          <w:rStyle w:val="ssrfcpassagedeactivated"/>
          <w:rFonts w:ascii="Courier New" w:hAnsi="Courier New" w:cs="Courier New"/>
          <w:color w:val="373739"/>
          <w:bdr w:val="none" w:sz="0" w:space="0" w:color="auto" w:frame="1"/>
          <w:shd w:val="clear" w:color="auto" w:fill="FFFFFF"/>
        </w:rPr>
        <w:t>by virtue of</w:t>
      </w:r>
      <w:r w:rsidR="001217EA" w:rsidRPr="009B4C35">
        <w:rPr>
          <w:rStyle w:val="apple-converted-space"/>
          <w:rFonts w:ascii="Courier New" w:hAnsi="Courier New" w:cs="Courier New"/>
          <w:color w:val="373739"/>
          <w:bdr w:val="none" w:sz="0" w:space="0" w:color="auto" w:frame="1"/>
          <w:shd w:val="clear" w:color="auto" w:fill="FFFFFF"/>
        </w:rPr>
        <w:t> </w:t>
      </w:r>
      <w:r w:rsidR="009B4C35" w:rsidRPr="009B4C35">
        <w:rPr>
          <w:rStyle w:val="apple-converted-space"/>
          <w:rFonts w:ascii="Courier New" w:hAnsi="Courier New" w:cs="Courier New"/>
          <w:color w:val="373739"/>
          <w:bdr w:val="none" w:sz="0" w:space="0" w:color="auto" w:frame="1"/>
          <w:shd w:val="clear" w:color="auto" w:fill="FFFFFF"/>
        </w:rPr>
        <w:t>G.L. c. 59, § 5,</w:t>
      </w:r>
      <w:r w:rsidR="001217EA" w:rsidRPr="009B4C35">
        <w:rPr>
          <w:rStyle w:val="ssrfcpassagedeactivated"/>
          <w:rFonts w:ascii="Courier New" w:hAnsi="Courier New" w:cs="Courier New"/>
          <w:color w:val="373739"/>
          <w:bdr w:val="none" w:sz="0" w:space="0" w:color="auto" w:frame="1"/>
          <w:shd w:val="clear" w:color="auto" w:fill="FFFFFF"/>
        </w:rPr>
        <w:t xml:space="preserve"> Sixteenth (3),</w:t>
      </w:r>
      <w:r w:rsidR="001217EA" w:rsidRPr="009B4C35">
        <w:rPr>
          <w:rStyle w:val="apple-converted-space"/>
          <w:rFonts w:ascii="Courier New" w:hAnsi="Courier New" w:cs="Courier New"/>
          <w:color w:val="373739"/>
          <w:bdr w:val="none" w:sz="0" w:space="0" w:color="auto" w:frame="1"/>
          <w:shd w:val="clear" w:color="auto" w:fill="FFFFFF"/>
        </w:rPr>
        <w:t> </w:t>
      </w:r>
      <w:r w:rsidR="001217EA" w:rsidRPr="009B4C35">
        <w:rPr>
          <w:rStyle w:val="ssrfcpassagedeactivated"/>
          <w:rFonts w:ascii="Courier New" w:hAnsi="Courier New" w:cs="Courier New"/>
          <w:color w:val="373739"/>
          <w:bdr w:val="none" w:sz="0" w:space="0" w:color="auto" w:frame="1"/>
          <w:shd w:val="clear" w:color="auto" w:fill="FFFFFF"/>
        </w:rPr>
        <w:t>as amended by St. 1936, c. 362, § 1, and later by St. 1957, c. 541.”(</w:t>
      </w:r>
      <w:r w:rsidR="009B4C35" w:rsidRPr="009B4C35">
        <w:rPr>
          <w:rStyle w:val="apple-converted-space"/>
          <w:rFonts w:ascii="Courier New" w:hAnsi="Courier New" w:cs="Courier New"/>
          <w:color w:val="373739"/>
          <w:bdr w:val="none" w:sz="0" w:space="0" w:color="auto" w:frame="1"/>
          <w:shd w:val="clear" w:color="auto" w:fill="FFFFFF"/>
        </w:rPr>
        <w:t>additional citations omitted).</w:t>
      </w:r>
    </w:p>
    <w:p w14:paraId="00B9D9EB" w14:textId="39048EB1" w:rsidR="00A0040E" w:rsidRPr="003D621E" w:rsidRDefault="00A0040E" w:rsidP="003D621E">
      <w:pPr>
        <w:spacing w:line="480" w:lineRule="auto"/>
        <w:ind w:firstLine="720"/>
        <w:jc w:val="both"/>
        <w:rPr>
          <w:rFonts w:ascii="Courier New" w:hAnsi="Courier New" w:cs="Courier New"/>
          <w:color w:val="000000"/>
        </w:rPr>
      </w:pPr>
      <w:r w:rsidRPr="003D621E">
        <w:rPr>
          <w:rFonts w:ascii="Courier New" w:hAnsi="Courier New" w:cs="Courier New"/>
          <w:color w:val="000000"/>
        </w:rPr>
        <w:t xml:space="preserve">The </w:t>
      </w:r>
      <w:r w:rsidR="009B4C35" w:rsidRPr="003D621E">
        <w:rPr>
          <w:rFonts w:ascii="Courier New" w:hAnsi="Courier New" w:cs="Courier New"/>
          <w:color w:val="000000"/>
        </w:rPr>
        <w:t>assessors also argue</w:t>
      </w:r>
      <w:r w:rsidR="00A35724">
        <w:rPr>
          <w:rFonts w:ascii="Courier New" w:hAnsi="Courier New" w:cs="Courier New"/>
          <w:color w:val="000000"/>
        </w:rPr>
        <w:t>d</w:t>
      </w:r>
      <w:r w:rsidR="009B4C35" w:rsidRPr="003D621E">
        <w:rPr>
          <w:rFonts w:ascii="Courier New" w:hAnsi="Courier New" w:cs="Courier New"/>
          <w:color w:val="000000"/>
        </w:rPr>
        <w:t xml:space="preserve"> that </w:t>
      </w:r>
      <w:r w:rsidR="00B929A8" w:rsidRPr="003D621E">
        <w:rPr>
          <w:rFonts w:ascii="Courier New" w:hAnsi="Courier New" w:cs="Courier New"/>
          <w:color w:val="000000"/>
        </w:rPr>
        <w:t xml:space="preserve">even if the Board were to find that the subject property </w:t>
      </w:r>
      <w:r w:rsidR="00A35724">
        <w:rPr>
          <w:rFonts w:ascii="Courier New" w:hAnsi="Courier New" w:cs="Courier New"/>
          <w:color w:val="000000"/>
        </w:rPr>
        <w:t>was</w:t>
      </w:r>
      <w:r w:rsidR="00B929A8" w:rsidRPr="003D621E">
        <w:rPr>
          <w:rFonts w:ascii="Courier New" w:hAnsi="Courier New" w:cs="Courier New"/>
          <w:color w:val="000000"/>
        </w:rPr>
        <w:t xml:space="preserve"> part of integrated machinery, </w:t>
      </w:r>
      <w:r w:rsidR="00A35724">
        <w:rPr>
          <w:rFonts w:ascii="Courier New" w:hAnsi="Courier New" w:cs="Courier New"/>
          <w:color w:val="000000"/>
        </w:rPr>
        <w:t xml:space="preserve">the language of </w:t>
      </w:r>
      <w:r w:rsidRPr="003D621E">
        <w:rPr>
          <w:rFonts w:ascii="Courier New" w:hAnsi="Courier New" w:cs="Courier New"/>
          <w:color w:val="000000"/>
        </w:rPr>
        <w:t xml:space="preserve">G.L. c. 59, § 18 </w:t>
      </w:r>
      <w:r w:rsidR="00B929A8" w:rsidRPr="003D621E">
        <w:rPr>
          <w:rFonts w:ascii="Courier New" w:hAnsi="Courier New" w:cs="Courier New"/>
          <w:color w:val="000000"/>
        </w:rPr>
        <w:t>itself provides a</w:t>
      </w:r>
      <w:r w:rsidR="00A35724">
        <w:rPr>
          <w:rFonts w:ascii="Courier New" w:hAnsi="Courier New" w:cs="Courier New"/>
          <w:color w:val="000000"/>
        </w:rPr>
        <w:t>n impediment</w:t>
      </w:r>
      <w:r w:rsidRPr="003D621E">
        <w:rPr>
          <w:rFonts w:ascii="Courier New" w:hAnsi="Courier New" w:cs="Courier New"/>
          <w:color w:val="000000"/>
        </w:rPr>
        <w:t xml:space="preserve"> to exemption under </w:t>
      </w:r>
      <w:r w:rsidR="00B929A8" w:rsidRPr="003D621E">
        <w:rPr>
          <w:rFonts w:ascii="Courier New" w:hAnsi="Courier New" w:cs="Courier New"/>
          <w:color w:val="000000"/>
        </w:rPr>
        <w:t>Clause 16(3)</w:t>
      </w:r>
      <w:r w:rsidRPr="003D621E">
        <w:rPr>
          <w:rFonts w:ascii="Courier New" w:hAnsi="Courier New" w:cs="Courier New"/>
          <w:color w:val="000000"/>
        </w:rPr>
        <w:t>.</w:t>
      </w:r>
      <w:r w:rsidR="00B929A8" w:rsidRPr="003D621E">
        <w:rPr>
          <w:rFonts w:ascii="Courier New" w:hAnsi="Courier New" w:cs="Courier New"/>
          <w:color w:val="000000"/>
        </w:rPr>
        <w:t xml:space="preserve"> The Board disagreed. </w:t>
      </w:r>
      <w:r w:rsidRPr="003D621E">
        <w:rPr>
          <w:rFonts w:ascii="Courier New" w:hAnsi="Courier New" w:cs="Courier New"/>
          <w:color w:val="000000"/>
        </w:rPr>
        <w:t>General Laws c. 59, § 18 states</w:t>
      </w:r>
      <w:r w:rsidR="00A35724">
        <w:rPr>
          <w:rFonts w:ascii="Courier New" w:hAnsi="Courier New" w:cs="Courier New"/>
          <w:color w:val="000000"/>
        </w:rPr>
        <w:t>,</w:t>
      </w:r>
      <w:r w:rsidRPr="003D621E">
        <w:rPr>
          <w:rFonts w:ascii="Courier New" w:hAnsi="Courier New" w:cs="Courier New"/>
          <w:color w:val="000000"/>
        </w:rPr>
        <w:t xml:space="preserve"> in pertinent part</w:t>
      </w:r>
      <w:r w:rsidR="00A35724">
        <w:rPr>
          <w:rFonts w:ascii="Courier New" w:hAnsi="Courier New" w:cs="Courier New"/>
          <w:color w:val="000000"/>
        </w:rPr>
        <w:t>:</w:t>
      </w:r>
      <w:r w:rsidRPr="003D621E">
        <w:rPr>
          <w:rFonts w:ascii="Courier New" w:hAnsi="Courier New" w:cs="Courier New"/>
          <w:color w:val="000000"/>
        </w:rPr>
        <w:t xml:space="preserve"> </w:t>
      </w:r>
    </w:p>
    <w:p w14:paraId="74E9B4AE" w14:textId="77777777" w:rsidR="00A0040E" w:rsidRPr="003D621E" w:rsidRDefault="00A0040E" w:rsidP="00A0040E">
      <w:pPr>
        <w:jc w:val="both"/>
        <w:rPr>
          <w:rFonts w:ascii="Courier New" w:hAnsi="Courier New" w:cs="Courier New"/>
          <w:color w:val="000000"/>
        </w:rPr>
      </w:pPr>
    </w:p>
    <w:p w14:paraId="44C56CC6" w14:textId="6ADB9459" w:rsidR="00A0040E" w:rsidRPr="003D621E" w:rsidRDefault="00A0040E" w:rsidP="003D621E">
      <w:pPr>
        <w:ind w:left="1008" w:right="1008"/>
        <w:jc w:val="both"/>
        <w:rPr>
          <w:rFonts w:ascii="Courier New" w:hAnsi="Courier New" w:cs="Courier New"/>
          <w:color w:val="000000"/>
        </w:rPr>
      </w:pPr>
      <w:r w:rsidRPr="003D621E">
        <w:rPr>
          <w:rFonts w:ascii="Courier New" w:hAnsi="Courier New" w:cs="Courier New"/>
          <w:color w:val="000000"/>
        </w:rPr>
        <w:lastRenderedPageBreak/>
        <w:t>All taxable personal estate within or without the commonwealth shall be assessed to the owner in the town where he is an inhabitant on January first, except as provided in chapter sixty-three and in the following clauses of this section:</w:t>
      </w:r>
      <w:r w:rsidR="00B929A8" w:rsidRPr="003D621E">
        <w:rPr>
          <w:rFonts w:ascii="Courier New" w:hAnsi="Courier New" w:cs="Courier New"/>
          <w:color w:val="000000"/>
        </w:rPr>
        <w:t xml:space="preserve"> . . . .</w:t>
      </w:r>
    </w:p>
    <w:p w14:paraId="47FF00EE" w14:textId="161DCBAE" w:rsidR="00A0040E" w:rsidRPr="003D621E" w:rsidRDefault="00A0040E" w:rsidP="003D621E">
      <w:pPr>
        <w:ind w:left="1008" w:right="1008"/>
        <w:jc w:val="both"/>
        <w:rPr>
          <w:rFonts w:ascii="Courier New" w:hAnsi="Courier New" w:cs="Courier New"/>
          <w:color w:val="000000"/>
        </w:rPr>
      </w:pPr>
      <w:r w:rsidRPr="003D621E">
        <w:rPr>
          <w:rFonts w:ascii="Courier New" w:hAnsi="Courier New" w:cs="Courier New"/>
          <w:color w:val="000000"/>
        </w:rPr>
        <w:t>Second</w:t>
      </w:r>
      <w:r w:rsidR="002D6312">
        <w:rPr>
          <w:rFonts w:ascii="Courier New" w:hAnsi="Courier New" w:cs="Courier New"/>
          <w:color w:val="000000"/>
        </w:rPr>
        <w:t>.</w:t>
      </w:r>
      <w:r w:rsidRPr="003D621E">
        <w:rPr>
          <w:rFonts w:ascii="Courier New" w:hAnsi="Courier New" w:cs="Courier New"/>
          <w:color w:val="000000"/>
        </w:rPr>
        <w:t xml:space="preserve"> Machinery employed in any branch of manufacture or in supplying or distributing water . . . shall be assessed where such machinery or tangible personal property is situated to the owner or any person having possession of the same on January first.</w:t>
      </w:r>
    </w:p>
    <w:p w14:paraId="1CD38B45" w14:textId="77777777" w:rsidR="00A0040E" w:rsidRPr="003D621E" w:rsidRDefault="00A0040E" w:rsidP="00A0040E">
      <w:pPr>
        <w:jc w:val="both"/>
        <w:rPr>
          <w:rFonts w:ascii="Courier New" w:hAnsi="Courier New" w:cs="Courier New"/>
          <w:color w:val="000000"/>
        </w:rPr>
      </w:pPr>
    </w:p>
    <w:p w14:paraId="7A92A39D" w14:textId="713DD1A1" w:rsidR="00A0040E" w:rsidRDefault="00A0040E" w:rsidP="003D621E">
      <w:pPr>
        <w:spacing w:line="480" w:lineRule="auto"/>
        <w:jc w:val="both"/>
        <w:rPr>
          <w:rFonts w:ascii="Courier New" w:hAnsi="Courier New" w:cs="Courier New"/>
        </w:rPr>
      </w:pPr>
      <w:r w:rsidRPr="003D621E">
        <w:rPr>
          <w:rFonts w:ascii="Courier New" w:hAnsi="Courier New" w:cs="Courier New"/>
          <w:color w:val="000000"/>
        </w:rPr>
        <w:t xml:space="preserve">As </w:t>
      </w:r>
      <w:r w:rsidR="003D621E" w:rsidRPr="003D621E">
        <w:rPr>
          <w:rFonts w:ascii="Courier New" w:hAnsi="Courier New" w:cs="Courier New"/>
          <w:color w:val="000000"/>
        </w:rPr>
        <w:t xml:space="preserve">the Board </w:t>
      </w:r>
      <w:r w:rsidR="008D5B03">
        <w:rPr>
          <w:rFonts w:ascii="Courier New" w:hAnsi="Courier New" w:cs="Courier New"/>
          <w:color w:val="000000"/>
        </w:rPr>
        <w:t>observed</w:t>
      </w:r>
      <w:r w:rsidR="003D621E" w:rsidRPr="003D621E">
        <w:rPr>
          <w:rFonts w:ascii="Courier New" w:hAnsi="Courier New" w:cs="Courier New"/>
          <w:color w:val="000000"/>
        </w:rPr>
        <w:t xml:space="preserve"> </w:t>
      </w:r>
      <w:r w:rsidRPr="003D621E">
        <w:rPr>
          <w:rFonts w:ascii="Courier New" w:hAnsi="Courier New" w:cs="Courier New"/>
          <w:color w:val="000000"/>
        </w:rPr>
        <w:t xml:space="preserve">in </w:t>
      </w:r>
      <w:r w:rsidRPr="003D621E">
        <w:rPr>
          <w:rFonts w:ascii="Courier New" w:hAnsi="Courier New" w:cs="Courier New"/>
          <w:b/>
          <w:i/>
          <w:color w:val="000000"/>
        </w:rPr>
        <w:t>Whitten v. Assessors of the Town of Norwood,</w:t>
      </w:r>
      <w:r w:rsidRPr="003D621E">
        <w:rPr>
          <w:rFonts w:ascii="Courier New" w:hAnsi="Courier New" w:cs="Courier New"/>
          <w:color w:val="000000"/>
        </w:rPr>
        <w:t xml:space="preserve"> </w:t>
      </w:r>
      <w:r w:rsidR="003D621E" w:rsidRPr="003D621E">
        <w:rPr>
          <w:rFonts w:ascii="Courier New" w:hAnsi="Courier New" w:cs="Courier New"/>
          <w:color w:val="000000"/>
        </w:rPr>
        <w:t>Mass. ATB Findings of Fact and Reports 1984-99,</w:t>
      </w:r>
      <w:r w:rsidR="00E11A42">
        <w:rPr>
          <w:rFonts w:ascii="Courier New" w:hAnsi="Courier New" w:cs="Courier New"/>
          <w:color w:val="000000"/>
        </w:rPr>
        <w:t xml:space="preserve"> </w:t>
      </w:r>
      <w:r w:rsidR="003D621E" w:rsidRPr="003D621E">
        <w:rPr>
          <w:rFonts w:ascii="Courier New" w:hAnsi="Courier New" w:cs="Courier New"/>
          <w:color w:val="000000"/>
        </w:rPr>
        <w:t>102</w:t>
      </w:r>
      <w:r w:rsidR="00887608">
        <w:rPr>
          <w:rFonts w:ascii="Courier New" w:hAnsi="Courier New" w:cs="Courier New"/>
          <w:color w:val="000000"/>
        </w:rPr>
        <w:t>,</w:t>
      </w:r>
      <w:r w:rsidR="003D621E" w:rsidRPr="003D621E">
        <w:rPr>
          <w:rFonts w:ascii="Courier New" w:hAnsi="Courier New" w:cs="Courier New"/>
          <w:color w:val="000000"/>
        </w:rPr>
        <w:t xml:space="preserve"> </w:t>
      </w:r>
      <w:r w:rsidRPr="003D621E">
        <w:rPr>
          <w:rFonts w:ascii="Courier New" w:hAnsi="Courier New" w:cs="Courier New"/>
          <w:color w:val="000000"/>
        </w:rPr>
        <w:t>“G.L. c. 59,</w:t>
      </w:r>
      <w:r w:rsidR="003D621E" w:rsidRPr="003D621E">
        <w:rPr>
          <w:rFonts w:ascii="Courier New" w:hAnsi="Courier New" w:cs="Courier New"/>
          <w:color w:val="000000"/>
        </w:rPr>
        <w:t xml:space="preserve"> </w:t>
      </w:r>
      <w:r w:rsidR="00C2285A">
        <w:rPr>
          <w:rFonts w:ascii="Arial" w:hAnsi="Arial" w:cs="Arial"/>
          <w:color w:val="000000"/>
        </w:rPr>
        <w:t>§</w:t>
      </w:r>
      <w:r w:rsidR="00C2285A">
        <w:rPr>
          <w:rFonts w:ascii="Courier New" w:hAnsi="Courier New" w:cs="Courier New"/>
          <w:color w:val="000000"/>
        </w:rPr>
        <w:t xml:space="preserve"> </w:t>
      </w:r>
      <w:r w:rsidRPr="003D621E">
        <w:rPr>
          <w:rFonts w:ascii="Courier New" w:hAnsi="Courier New" w:cs="Courier New"/>
          <w:color w:val="000000"/>
        </w:rPr>
        <w:t xml:space="preserve">18 states </w:t>
      </w:r>
      <w:r w:rsidR="003D621E" w:rsidRPr="001F16FA">
        <w:rPr>
          <w:rFonts w:ascii="Courier New" w:hAnsi="Courier New" w:cs="Courier New"/>
          <w:b/>
          <w:color w:val="000000"/>
        </w:rPr>
        <w:t>where</w:t>
      </w:r>
      <w:r w:rsidRPr="003D621E">
        <w:rPr>
          <w:rFonts w:ascii="Courier New" w:hAnsi="Courier New" w:cs="Courier New"/>
          <w:color w:val="000000"/>
        </w:rPr>
        <w:t xml:space="preserve"> personal property shall be assessed.</w:t>
      </w:r>
      <w:r w:rsidR="003D621E" w:rsidRPr="003D621E">
        <w:rPr>
          <w:rFonts w:ascii="Courier New" w:hAnsi="Courier New" w:cs="Courier New"/>
          <w:color w:val="000000"/>
        </w:rPr>
        <w:t>”</w:t>
      </w:r>
      <w:r w:rsidR="001F16FA">
        <w:rPr>
          <w:rFonts w:ascii="Courier New" w:hAnsi="Courier New" w:cs="Courier New"/>
          <w:color w:val="000000"/>
        </w:rPr>
        <w:t xml:space="preserve"> (emphasis added).</w:t>
      </w:r>
      <w:r w:rsidRPr="003D621E">
        <w:rPr>
          <w:rFonts w:ascii="Courier New" w:hAnsi="Courier New" w:cs="Courier New"/>
          <w:color w:val="000000"/>
        </w:rPr>
        <w:t xml:space="preserve"> </w:t>
      </w:r>
      <w:r w:rsidR="003D621E" w:rsidRPr="003D621E">
        <w:rPr>
          <w:rFonts w:ascii="Courier New" w:hAnsi="Courier New" w:cs="Courier New"/>
          <w:color w:val="000000"/>
        </w:rPr>
        <w:t xml:space="preserve">No part of </w:t>
      </w:r>
      <w:r w:rsidRPr="003D621E">
        <w:rPr>
          <w:rFonts w:ascii="Courier New" w:hAnsi="Courier New" w:cs="Courier New"/>
          <w:color w:val="000000"/>
        </w:rPr>
        <w:t>G.L.</w:t>
      </w:r>
      <w:r w:rsidR="00D25EF5">
        <w:rPr>
          <w:rFonts w:ascii="Courier New" w:hAnsi="Courier New" w:cs="Courier New"/>
          <w:color w:val="000000"/>
        </w:rPr>
        <w:t> </w:t>
      </w:r>
      <w:r w:rsidRPr="003D621E">
        <w:rPr>
          <w:rFonts w:ascii="Courier New" w:hAnsi="Courier New" w:cs="Courier New"/>
          <w:color w:val="000000"/>
        </w:rPr>
        <w:t>c.</w:t>
      </w:r>
      <w:r w:rsidR="00D25EF5">
        <w:rPr>
          <w:rFonts w:ascii="Courier New" w:hAnsi="Courier New" w:cs="Courier New"/>
          <w:color w:val="000000"/>
        </w:rPr>
        <w:t> </w:t>
      </w:r>
      <w:r w:rsidRPr="003D621E">
        <w:rPr>
          <w:rFonts w:ascii="Courier New" w:hAnsi="Courier New" w:cs="Courier New"/>
          <w:color w:val="000000"/>
        </w:rPr>
        <w:t xml:space="preserve">59, § 18 </w:t>
      </w:r>
      <w:r w:rsidR="00A35724">
        <w:rPr>
          <w:rFonts w:ascii="Courier New" w:hAnsi="Courier New" w:cs="Courier New"/>
          <w:color w:val="000000"/>
        </w:rPr>
        <w:t>affects</w:t>
      </w:r>
      <w:r w:rsidRPr="003D621E">
        <w:rPr>
          <w:rFonts w:ascii="Courier New" w:hAnsi="Courier New" w:cs="Courier New"/>
          <w:color w:val="000000"/>
        </w:rPr>
        <w:t xml:space="preserve"> the exemptions provided by G.L.</w:t>
      </w:r>
      <w:r w:rsidR="00D25EF5">
        <w:rPr>
          <w:rFonts w:ascii="Courier New" w:hAnsi="Courier New" w:cs="Courier New"/>
          <w:color w:val="000000"/>
        </w:rPr>
        <w:t> </w:t>
      </w:r>
      <w:r w:rsidRPr="003D621E">
        <w:rPr>
          <w:rFonts w:ascii="Courier New" w:hAnsi="Courier New" w:cs="Courier New"/>
          <w:color w:val="000000"/>
        </w:rPr>
        <w:t>c.</w:t>
      </w:r>
      <w:r w:rsidR="00D25EF5">
        <w:rPr>
          <w:rFonts w:ascii="Courier New" w:hAnsi="Courier New" w:cs="Courier New"/>
          <w:color w:val="000000"/>
        </w:rPr>
        <w:t> </w:t>
      </w:r>
      <w:r w:rsidRPr="003D621E">
        <w:rPr>
          <w:rFonts w:ascii="Courier New" w:hAnsi="Courier New" w:cs="Courier New"/>
          <w:color w:val="000000"/>
        </w:rPr>
        <w:t xml:space="preserve">59, § 5, cl. </w:t>
      </w:r>
      <w:r w:rsidR="00887608">
        <w:rPr>
          <w:rFonts w:ascii="Courier New" w:hAnsi="Courier New" w:cs="Courier New"/>
          <w:color w:val="000000"/>
        </w:rPr>
        <w:t>Sixteenth</w:t>
      </w:r>
      <w:r w:rsidRPr="003D621E">
        <w:rPr>
          <w:rFonts w:ascii="Courier New" w:hAnsi="Courier New" w:cs="Courier New"/>
          <w:color w:val="000000"/>
        </w:rPr>
        <w:t xml:space="preserve">. </w:t>
      </w:r>
      <w:r w:rsidR="003D621E">
        <w:rPr>
          <w:rFonts w:ascii="Courier New" w:hAnsi="Courier New" w:cs="Courier New"/>
          <w:color w:val="000000"/>
        </w:rPr>
        <w:t xml:space="preserve">Indeed, in </w:t>
      </w:r>
      <w:r w:rsidRPr="003D621E">
        <w:rPr>
          <w:rFonts w:ascii="Courier New" w:hAnsi="Courier New" w:cs="Courier New"/>
          <w:b/>
          <w:i/>
          <w:color w:val="000000"/>
        </w:rPr>
        <w:t>New England Mutual Life Insurance Company v. City of Boston</w:t>
      </w:r>
      <w:r w:rsidRPr="003D621E">
        <w:rPr>
          <w:rFonts w:ascii="Courier New" w:hAnsi="Courier New" w:cs="Courier New"/>
          <w:color w:val="000000"/>
        </w:rPr>
        <w:t>, 321 Mass. 683, 689 (1947)</w:t>
      </w:r>
      <w:r w:rsidR="003D621E">
        <w:rPr>
          <w:rFonts w:ascii="Courier New" w:hAnsi="Courier New" w:cs="Courier New"/>
          <w:color w:val="000000"/>
        </w:rPr>
        <w:t xml:space="preserve"> the Court</w:t>
      </w:r>
      <w:r w:rsidR="0086037A">
        <w:rPr>
          <w:rFonts w:ascii="Courier New" w:hAnsi="Courier New" w:cs="Courier New"/>
          <w:color w:val="000000"/>
        </w:rPr>
        <w:t xml:space="preserve"> held that</w:t>
      </w:r>
      <w:r w:rsidR="003D621E">
        <w:rPr>
          <w:rFonts w:ascii="Courier New" w:hAnsi="Courier New" w:cs="Courier New"/>
          <w:color w:val="000000"/>
        </w:rPr>
        <w:t xml:space="preserve"> </w:t>
      </w:r>
      <w:r w:rsidRPr="003D621E">
        <w:rPr>
          <w:rFonts w:ascii="Courier New" w:hAnsi="Courier New" w:cs="Courier New"/>
          <w:color w:val="000000"/>
        </w:rPr>
        <w:t>“</w:t>
      </w:r>
      <w:r w:rsidR="0086037A">
        <w:rPr>
          <w:rFonts w:ascii="Courier New" w:hAnsi="Courier New" w:cs="Courier New"/>
          <w:color w:val="000000"/>
        </w:rPr>
        <w:t>[i]</w:t>
      </w:r>
      <w:r w:rsidRPr="003D621E">
        <w:rPr>
          <w:rFonts w:ascii="Courier New" w:hAnsi="Courier New" w:cs="Courier New"/>
        </w:rPr>
        <w:t>n so far as [G.L.</w:t>
      </w:r>
      <w:r w:rsidR="00D25EF5">
        <w:rPr>
          <w:rFonts w:ascii="Courier New" w:hAnsi="Courier New" w:cs="Courier New"/>
        </w:rPr>
        <w:t> </w:t>
      </w:r>
      <w:r w:rsidRPr="003D621E">
        <w:rPr>
          <w:rFonts w:ascii="Courier New" w:hAnsi="Courier New" w:cs="Courier New"/>
        </w:rPr>
        <w:t xml:space="preserve">c. 59, § 18, </w:t>
      </w:r>
      <w:r w:rsidR="001F16FA">
        <w:rPr>
          <w:rFonts w:ascii="Courier New" w:hAnsi="Courier New" w:cs="Courier New"/>
        </w:rPr>
        <w:t xml:space="preserve">cl. </w:t>
      </w:r>
      <w:r w:rsidR="008D5B03">
        <w:rPr>
          <w:rFonts w:ascii="Courier New" w:hAnsi="Courier New" w:cs="Courier New"/>
        </w:rPr>
        <w:t>Second</w:t>
      </w:r>
      <w:r w:rsidRPr="003D621E">
        <w:rPr>
          <w:rFonts w:ascii="Courier New" w:hAnsi="Courier New" w:cs="Courier New"/>
        </w:rPr>
        <w:t>] deals with the assessment of personal property of a corporation, it must be interpreted in conjunction with [</w:t>
      </w:r>
      <w:r w:rsidRPr="003D621E">
        <w:rPr>
          <w:rFonts w:ascii="Courier New" w:hAnsi="Courier New" w:cs="Courier New"/>
          <w:color w:val="000000"/>
        </w:rPr>
        <w:t xml:space="preserve">G.L. c. 59, § 5, </w:t>
      </w:r>
      <w:r w:rsidR="001F16FA">
        <w:rPr>
          <w:rFonts w:ascii="Courier New" w:hAnsi="Courier New" w:cs="Courier New"/>
          <w:color w:val="000000"/>
        </w:rPr>
        <w:t xml:space="preserve">cl. </w:t>
      </w:r>
      <w:r w:rsidR="00E11A42">
        <w:rPr>
          <w:rFonts w:ascii="Courier New" w:hAnsi="Courier New" w:cs="Courier New"/>
          <w:color w:val="000000"/>
        </w:rPr>
        <w:t>Sixteenth</w:t>
      </w:r>
      <w:r w:rsidRPr="003D621E">
        <w:rPr>
          <w:rFonts w:ascii="Courier New" w:hAnsi="Courier New" w:cs="Courier New"/>
        </w:rPr>
        <w:t>] as a part of a single system for the taxation of such property.</w:t>
      </w:r>
      <w:r w:rsidR="00D25EF5">
        <w:rPr>
          <w:rFonts w:ascii="Courier New" w:hAnsi="Courier New" w:cs="Courier New"/>
        </w:rPr>
        <w:t> </w:t>
      </w:r>
      <w:r w:rsidRPr="003D621E">
        <w:rPr>
          <w:rFonts w:ascii="Courier New" w:hAnsi="Courier New" w:cs="Courier New"/>
        </w:rPr>
        <w:t xml:space="preserve">. . . The field for the operation of </w:t>
      </w:r>
      <w:r w:rsidR="000829AF" w:rsidRPr="000829AF">
        <w:rPr>
          <w:rFonts w:ascii="Courier New" w:hAnsi="Courier New" w:cs="Courier New"/>
        </w:rPr>
        <w:t xml:space="preserve">[G.L. c. 59, § 18, </w:t>
      </w:r>
      <w:r w:rsidR="001F16FA">
        <w:rPr>
          <w:rFonts w:ascii="Courier New" w:hAnsi="Courier New" w:cs="Courier New"/>
        </w:rPr>
        <w:t xml:space="preserve">cl. </w:t>
      </w:r>
      <w:r w:rsidR="00E11A42">
        <w:rPr>
          <w:rFonts w:ascii="Courier New" w:hAnsi="Courier New" w:cs="Courier New"/>
        </w:rPr>
        <w:t>Second</w:t>
      </w:r>
      <w:r w:rsidR="000829AF" w:rsidRPr="000829AF">
        <w:rPr>
          <w:rFonts w:ascii="Courier New" w:hAnsi="Courier New" w:cs="Courier New"/>
        </w:rPr>
        <w:t xml:space="preserve">] </w:t>
      </w:r>
      <w:r w:rsidRPr="003D621E">
        <w:rPr>
          <w:rFonts w:ascii="Courier New" w:hAnsi="Courier New" w:cs="Courier New"/>
        </w:rPr>
        <w:t>relative to the assessment of corporate personal property is restricted to such property as is not exempted by [</w:t>
      </w:r>
      <w:r w:rsidRPr="003D621E">
        <w:rPr>
          <w:rFonts w:ascii="Courier New" w:hAnsi="Courier New" w:cs="Courier New"/>
          <w:color w:val="000000"/>
        </w:rPr>
        <w:t xml:space="preserve">G.L. c. 59, § 5, </w:t>
      </w:r>
      <w:r w:rsidR="001F16FA">
        <w:rPr>
          <w:rFonts w:ascii="Courier New" w:hAnsi="Courier New" w:cs="Courier New"/>
          <w:color w:val="000000"/>
        </w:rPr>
        <w:t xml:space="preserve">cl. </w:t>
      </w:r>
      <w:r w:rsidR="00E11A42">
        <w:rPr>
          <w:rFonts w:ascii="Courier New" w:hAnsi="Courier New" w:cs="Courier New"/>
          <w:color w:val="000000"/>
        </w:rPr>
        <w:t>Sixteenth]</w:t>
      </w:r>
      <w:r w:rsidRPr="003D621E">
        <w:rPr>
          <w:rFonts w:ascii="Courier New" w:hAnsi="Courier New" w:cs="Courier New"/>
        </w:rPr>
        <w:t>.”</w:t>
      </w:r>
    </w:p>
    <w:p w14:paraId="0F3B79A0" w14:textId="7FB26460" w:rsidR="00855BCC" w:rsidRPr="006941C9" w:rsidRDefault="0045753B" w:rsidP="006941C9">
      <w:pPr>
        <w:spacing w:line="480" w:lineRule="auto"/>
        <w:ind w:firstLine="720"/>
        <w:jc w:val="both"/>
        <w:rPr>
          <w:rFonts w:ascii="Courier New" w:hAnsi="Courier New" w:cs="Courier New"/>
          <w:b/>
        </w:rPr>
      </w:pPr>
      <w:r w:rsidRPr="006941C9">
        <w:rPr>
          <w:rFonts w:ascii="Courier New" w:hAnsi="Courier New" w:cs="Courier New"/>
        </w:rPr>
        <w:lastRenderedPageBreak/>
        <w:t xml:space="preserve">The </w:t>
      </w:r>
      <w:r w:rsidR="004711F9" w:rsidRPr="006941C9">
        <w:rPr>
          <w:rFonts w:ascii="Courier New" w:hAnsi="Courier New" w:cs="Courier New"/>
        </w:rPr>
        <w:t>assessors placed particular emphasis on the fact that the appellant does not own every part of the Networks</w:t>
      </w:r>
      <w:r w:rsidRPr="006941C9">
        <w:rPr>
          <w:rFonts w:ascii="Courier New" w:hAnsi="Courier New" w:cs="Courier New"/>
        </w:rPr>
        <w:t xml:space="preserve">, opining that </w:t>
      </w:r>
      <w:r w:rsidR="00855BCC" w:rsidRPr="006941C9">
        <w:rPr>
          <w:rFonts w:ascii="Courier New" w:hAnsi="Courier New" w:cs="Courier New"/>
        </w:rPr>
        <w:t xml:space="preserve">the appellant should not receive manufacturing </w:t>
      </w:r>
      <w:r w:rsidRPr="006941C9">
        <w:rPr>
          <w:rFonts w:ascii="Courier New" w:hAnsi="Courier New" w:cs="Courier New"/>
        </w:rPr>
        <w:t xml:space="preserve">exemption with respect to a Network that is, at least in part, </w:t>
      </w:r>
      <w:r w:rsidR="00855BCC" w:rsidRPr="006941C9">
        <w:rPr>
          <w:rFonts w:ascii="Courier New" w:hAnsi="Courier New" w:cs="Courier New"/>
        </w:rPr>
        <w:t>owned and used by entities</w:t>
      </w:r>
      <w:r w:rsidR="0086037A">
        <w:rPr>
          <w:rFonts w:ascii="Courier New" w:hAnsi="Courier New" w:cs="Courier New"/>
        </w:rPr>
        <w:t xml:space="preserve"> other than the appellant</w:t>
      </w:r>
      <w:r w:rsidRPr="006941C9">
        <w:rPr>
          <w:rFonts w:ascii="Courier New" w:hAnsi="Courier New" w:cs="Courier New"/>
        </w:rPr>
        <w:t xml:space="preserve">. The assessors, however, have provided no persuasive authority in support of their position. </w:t>
      </w:r>
      <w:r w:rsidR="00E11A42">
        <w:rPr>
          <w:rFonts w:ascii="Courier New" w:hAnsi="Courier New" w:cs="Courier New"/>
        </w:rPr>
        <w:t>Further</w:t>
      </w:r>
      <w:r w:rsidRPr="006941C9">
        <w:rPr>
          <w:rFonts w:ascii="Courier New" w:hAnsi="Courier New" w:cs="Courier New"/>
        </w:rPr>
        <w:t>, as t</w:t>
      </w:r>
      <w:r w:rsidR="00855BCC" w:rsidRPr="006941C9">
        <w:rPr>
          <w:rFonts w:ascii="Courier New" w:hAnsi="Courier New" w:cs="Courier New"/>
          <w:color w:val="000000"/>
        </w:rPr>
        <w:t xml:space="preserve">he Court </w:t>
      </w:r>
      <w:r w:rsidR="0086037A">
        <w:rPr>
          <w:rFonts w:ascii="Courier New" w:hAnsi="Courier New" w:cs="Courier New"/>
          <w:color w:val="000000"/>
        </w:rPr>
        <w:t xml:space="preserve">stated </w:t>
      </w:r>
      <w:r w:rsidR="00855BCC" w:rsidRPr="006941C9">
        <w:rPr>
          <w:rFonts w:ascii="Courier New" w:hAnsi="Courier New" w:cs="Courier New"/>
          <w:color w:val="000000"/>
        </w:rPr>
        <w:t xml:space="preserve">in </w:t>
      </w:r>
      <w:r w:rsidR="00CB17BA" w:rsidRPr="0086037A">
        <w:rPr>
          <w:rFonts w:ascii="Courier New" w:hAnsi="Courier New" w:cs="Courier New"/>
          <w:b/>
          <w:i/>
        </w:rPr>
        <w:t>Boston Gas Company v. Assessors of Boston</w:t>
      </w:r>
      <w:r w:rsidR="00CB17BA" w:rsidRPr="006941C9">
        <w:rPr>
          <w:rFonts w:ascii="Courier New" w:hAnsi="Courier New" w:cs="Courier New"/>
          <w:i/>
        </w:rPr>
        <w:t>,</w:t>
      </w:r>
      <w:r w:rsidR="00CB17BA" w:rsidRPr="006941C9">
        <w:rPr>
          <w:rFonts w:ascii="Courier New" w:hAnsi="Courier New" w:cs="Courier New"/>
          <w:color w:val="000000"/>
        </w:rPr>
        <w:t xml:space="preserve"> </w:t>
      </w:r>
      <w:r w:rsidR="00CB17BA" w:rsidRPr="006941C9">
        <w:rPr>
          <w:rFonts w:ascii="Courier New" w:hAnsi="Courier New" w:cs="Courier New"/>
        </w:rPr>
        <w:t>334 Mass. 549</w:t>
      </w:r>
      <w:r w:rsidR="006941C9" w:rsidRPr="006941C9">
        <w:rPr>
          <w:rFonts w:ascii="Courier New" w:hAnsi="Courier New" w:cs="Courier New"/>
        </w:rPr>
        <w:t>, 565</w:t>
      </w:r>
      <w:r w:rsidR="00CB17BA" w:rsidRPr="006941C9">
        <w:rPr>
          <w:rFonts w:ascii="Courier New" w:hAnsi="Courier New" w:cs="Courier New"/>
        </w:rPr>
        <w:t xml:space="preserve"> (1956)</w:t>
      </w:r>
      <w:r w:rsidRPr="006941C9">
        <w:rPr>
          <w:rFonts w:ascii="Courier New" w:hAnsi="Courier New" w:cs="Courier New"/>
          <w:color w:val="000000"/>
        </w:rPr>
        <w:t xml:space="preserve">, </w:t>
      </w:r>
      <w:r w:rsidR="00855BCC" w:rsidRPr="006941C9">
        <w:rPr>
          <w:rFonts w:ascii="Courier New" w:hAnsi="Courier New" w:cs="Courier New"/>
          <w:color w:val="000000"/>
        </w:rPr>
        <w:t xml:space="preserve">“[t]here is no requirement that ‘one great integral machine’ be exclusively owned by a single company any more than that it be contained within the boundaries of a single municipality.”    </w:t>
      </w:r>
    </w:p>
    <w:p w14:paraId="30F1A4D6" w14:textId="0ECEDF9F" w:rsidR="00EA45A9" w:rsidRDefault="008A6B4B" w:rsidP="00CB6C86">
      <w:pPr>
        <w:spacing w:line="480" w:lineRule="auto"/>
        <w:ind w:firstLine="720"/>
        <w:jc w:val="both"/>
        <w:rPr>
          <w:rStyle w:val="apple-converted-space"/>
          <w:rFonts w:ascii="Courier New" w:hAnsi="Courier New" w:cs="Courier New"/>
          <w:color w:val="333333"/>
          <w:shd w:val="clear" w:color="auto" w:fill="FFFFFF"/>
        </w:rPr>
      </w:pPr>
      <w:r w:rsidRPr="00CD6D91">
        <w:rPr>
          <w:rFonts w:ascii="Courier New" w:hAnsi="Courier New" w:cs="Courier New"/>
          <w:bCs/>
        </w:rPr>
        <w:t>Finally, in their briefs, the assessors mounted a substantive</w:t>
      </w:r>
      <w:r w:rsidR="0045753B">
        <w:rPr>
          <w:rFonts w:ascii="Courier New" w:hAnsi="Courier New" w:cs="Courier New"/>
          <w:bCs/>
        </w:rPr>
        <w:t>, if not direct</w:t>
      </w:r>
      <w:r w:rsidRPr="00CD6D91">
        <w:rPr>
          <w:rFonts w:ascii="Courier New" w:hAnsi="Courier New" w:cs="Courier New"/>
          <w:bCs/>
        </w:rPr>
        <w:t xml:space="preserve"> challenge to the appellant’s manufacturing classi</w:t>
      </w:r>
      <w:r w:rsidR="0045753B">
        <w:rPr>
          <w:rFonts w:ascii="Courier New" w:hAnsi="Courier New" w:cs="Courier New"/>
          <w:bCs/>
        </w:rPr>
        <w:t>f</w:t>
      </w:r>
      <w:r w:rsidRPr="00CD6D91">
        <w:rPr>
          <w:rFonts w:ascii="Courier New" w:hAnsi="Courier New" w:cs="Courier New"/>
          <w:bCs/>
        </w:rPr>
        <w:t>i</w:t>
      </w:r>
      <w:r w:rsidR="0045753B">
        <w:rPr>
          <w:rFonts w:ascii="Courier New" w:hAnsi="Courier New" w:cs="Courier New"/>
          <w:bCs/>
        </w:rPr>
        <w:t>c</w:t>
      </w:r>
      <w:r w:rsidRPr="00CD6D91">
        <w:rPr>
          <w:rFonts w:ascii="Courier New" w:hAnsi="Courier New" w:cs="Courier New"/>
          <w:bCs/>
        </w:rPr>
        <w:t>ation, arguing that the appellant’s activities d</w:t>
      </w:r>
      <w:r w:rsidR="00CD6D91" w:rsidRPr="00CD6D91">
        <w:rPr>
          <w:rFonts w:ascii="Courier New" w:hAnsi="Courier New" w:cs="Courier New"/>
          <w:bCs/>
        </w:rPr>
        <w:t>id</w:t>
      </w:r>
      <w:r w:rsidRPr="00CD6D91">
        <w:rPr>
          <w:rFonts w:ascii="Courier New" w:hAnsi="Courier New" w:cs="Courier New"/>
          <w:bCs/>
        </w:rPr>
        <w:t xml:space="preserve"> not qualify as manufacturing. </w:t>
      </w:r>
      <w:r w:rsidR="007D1862">
        <w:rPr>
          <w:rFonts w:ascii="Courier New" w:hAnsi="Courier New" w:cs="Courier New"/>
          <w:bCs/>
        </w:rPr>
        <w:t>This argument, however, i</w:t>
      </w:r>
      <w:r w:rsidRPr="00CD6D91">
        <w:rPr>
          <w:rFonts w:ascii="Courier New" w:hAnsi="Courier New" w:cs="Courier New"/>
          <w:bCs/>
        </w:rPr>
        <w:t xml:space="preserve">s </w:t>
      </w:r>
      <w:r w:rsidR="007D1862">
        <w:rPr>
          <w:rFonts w:ascii="Courier New" w:hAnsi="Courier New" w:cs="Courier New"/>
          <w:bCs/>
        </w:rPr>
        <w:t>forec</w:t>
      </w:r>
      <w:r w:rsidRPr="00CD6D91">
        <w:rPr>
          <w:rFonts w:ascii="Courier New" w:hAnsi="Courier New" w:cs="Courier New"/>
          <w:bCs/>
        </w:rPr>
        <w:t>losed</w:t>
      </w:r>
      <w:r w:rsidR="000C1501">
        <w:rPr>
          <w:rFonts w:ascii="Courier New" w:hAnsi="Courier New" w:cs="Courier New"/>
          <w:bCs/>
        </w:rPr>
        <w:t xml:space="preserve"> and was not before the Board</w:t>
      </w:r>
      <w:r w:rsidR="0045753B">
        <w:rPr>
          <w:rFonts w:ascii="Courier New" w:hAnsi="Courier New" w:cs="Courier New"/>
          <w:bCs/>
        </w:rPr>
        <w:t xml:space="preserve">. </w:t>
      </w:r>
      <w:r w:rsidR="00EA45A9">
        <w:rPr>
          <w:rFonts w:ascii="Courier New" w:hAnsi="Courier New" w:cs="Courier New"/>
          <w:bCs/>
        </w:rPr>
        <w:t>P</w:t>
      </w:r>
      <w:r w:rsidR="007D1862">
        <w:rPr>
          <w:rFonts w:ascii="Courier New" w:hAnsi="Courier New" w:cs="Courier New"/>
          <w:bCs/>
        </w:rPr>
        <w:t xml:space="preserve">ursuant to G.L. c. </w:t>
      </w:r>
      <w:r w:rsidR="007D1862" w:rsidRPr="007D1862">
        <w:rPr>
          <w:rFonts w:ascii="Courier New" w:hAnsi="Courier New" w:cs="Courier New"/>
          <w:bCs/>
        </w:rPr>
        <w:t>58, § 2, t</w:t>
      </w:r>
      <w:r w:rsidR="007D1862" w:rsidRPr="007D1862">
        <w:rPr>
          <w:rFonts w:ascii="Courier New" w:hAnsi="Courier New" w:cs="Courier New"/>
          <w:color w:val="333333"/>
          <w:shd w:val="clear" w:color="auto" w:fill="FFFFFF"/>
        </w:rPr>
        <w:t xml:space="preserve">he commissioner annually provides boards of assessors with a list of corporations that the commissioner has classified as manufacturing corporations. To receive this classification, a corporation must be engaged in manufacturing. </w:t>
      </w:r>
      <w:r w:rsidR="007D1862" w:rsidRPr="007D1862">
        <w:rPr>
          <w:rFonts w:ascii="Courier New" w:hAnsi="Courier New" w:cs="Courier New"/>
          <w:i/>
          <w:color w:val="333333"/>
          <w:shd w:val="clear" w:color="auto" w:fill="FFFFFF"/>
        </w:rPr>
        <w:t xml:space="preserve">See </w:t>
      </w:r>
      <w:r w:rsidR="007D1862" w:rsidRPr="007D1862">
        <w:rPr>
          <w:rFonts w:ascii="Courier New" w:hAnsi="Courier New" w:cs="Courier New"/>
        </w:rPr>
        <w:t xml:space="preserve">G.L. c. 63, § 42B. </w:t>
      </w:r>
      <w:r w:rsidR="007D1862" w:rsidRPr="007D1862">
        <w:rPr>
          <w:rStyle w:val="apple-converted-space"/>
          <w:rFonts w:ascii="Courier New" w:hAnsi="Courier New" w:cs="Courier New"/>
          <w:color w:val="333333"/>
          <w:shd w:val="clear" w:color="auto" w:fill="FFFFFF"/>
        </w:rPr>
        <w:t> </w:t>
      </w:r>
      <w:r w:rsidR="00004AD2">
        <w:rPr>
          <w:rStyle w:val="apple-converted-space"/>
          <w:rFonts w:ascii="Courier New" w:hAnsi="Courier New" w:cs="Courier New"/>
          <w:color w:val="333333"/>
          <w:shd w:val="clear" w:color="auto" w:fill="FFFFFF"/>
        </w:rPr>
        <w:t xml:space="preserve">A corporation seeking manufacturing classification must file an application with the commissioner. 830 C.M.R. </w:t>
      </w:r>
      <w:r w:rsidR="00004AD2">
        <w:rPr>
          <w:rStyle w:val="apple-converted-space"/>
          <w:rFonts w:ascii="Courier New" w:hAnsi="Courier New" w:cs="Courier New"/>
          <w:color w:val="333333"/>
          <w:shd w:val="clear" w:color="auto" w:fill="FFFFFF"/>
        </w:rPr>
        <w:lastRenderedPageBreak/>
        <w:t>58.2.1(7)(a). After a corporation files an application, the commissioner reviews the application and makes a determination as to whether the corporation is engaged in manufacturing.</w:t>
      </w:r>
      <w:r w:rsidR="00004AD2" w:rsidRPr="00004AD2">
        <w:rPr>
          <w:rStyle w:val="apple-converted-space"/>
          <w:rFonts w:ascii="Courier New" w:hAnsi="Courier New" w:cs="Courier New"/>
          <w:i/>
          <w:color w:val="333333"/>
          <w:shd w:val="clear" w:color="auto" w:fill="FFFFFF"/>
        </w:rPr>
        <w:t xml:space="preserve"> See</w:t>
      </w:r>
      <w:r w:rsidR="00004AD2">
        <w:rPr>
          <w:rFonts w:ascii="Courier New" w:hAnsi="Courier New" w:cs="Courier New"/>
          <w:bCs/>
        </w:rPr>
        <w:t xml:space="preserve"> 830 CMR 58.2.1(7)(c)</w:t>
      </w:r>
      <w:r w:rsidR="00004B40">
        <w:rPr>
          <w:rFonts w:ascii="Courier New" w:hAnsi="Courier New" w:cs="Courier New"/>
          <w:bCs/>
        </w:rPr>
        <w:t xml:space="preserve">. </w:t>
      </w:r>
      <w:r w:rsidR="00004AD2">
        <w:rPr>
          <w:rStyle w:val="apple-converted-space"/>
          <w:rFonts w:ascii="Courier New" w:hAnsi="Courier New" w:cs="Courier New"/>
          <w:color w:val="333333"/>
          <w:shd w:val="clear" w:color="auto" w:fill="FFFFFF"/>
        </w:rPr>
        <w:t>The</w:t>
      </w:r>
      <w:r w:rsidR="00004B40">
        <w:rPr>
          <w:rStyle w:val="apple-converted-space"/>
          <w:rFonts w:ascii="Courier New" w:hAnsi="Courier New" w:cs="Courier New"/>
          <w:color w:val="333333"/>
          <w:shd w:val="clear" w:color="auto" w:fill="FFFFFF"/>
        </w:rPr>
        <w:t xml:space="preserve"> commissioner </w:t>
      </w:r>
      <w:r w:rsidR="001F16FA">
        <w:rPr>
          <w:rStyle w:val="apple-converted-space"/>
          <w:rFonts w:ascii="Courier New" w:hAnsi="Courier New" w:cs="Courier New"/>
          <w:color w:val="333333"/>
          <w:shd w:val="clear" w:color="auto" w:fill="FFFFFF"/>
        </w:rPr>
        <w:t>classifies</w:t>
      </w:r>
      <w:r w:rsidR="00004B40">
        <w:rPr>
          <w:rStyle w:val="apple-converted-space"/>
          <w:rFonts w:ascii="Courier New" w:hAnsi="Courier New" w:cs="Courier New"/>
          <w:color w:val="333333"/>
          <w:shd w:val="clear" w:color="auto" w:fill="FFFFFF"/>
        </w:rPr>
        <w:t xml:space="preserve"> all corporations determined to be engaged in manufacturing as manufacturing corporations. </w:t>
      </w:r>
      <w:r w:rsidR="00004B40" w:rsidRPr="00EA45A9">
        <w:rPr>
          <w:rStyle w:val="apple-converted-space"/>
          <w:rFonts w:ascii="Courier New" w:hAnsi="Courier New" w:cs="Courier New"/>
          <w:b/>
          <w:i/>
          <w:color w:val="333333"/>
          <w:shd w:val="clear" w:color="auto" w:fill="FFFFFF"/>
        </w:rPr>
        <w:t>Id</w:t>
      </w:r>
      <w:r w:rsidR="00004B40">
        <w:rPr>
          <w:rStyle w:val="apple-converted-space"/>
          <w:rFonts w:ascii="Courier New" w:hAnsi="Courier New" w:cs="Courier New"/>
          <w:color w:val="333333"/>
          <w:shd w:val="clear" w:color="auto" w:fill="FFFFFF"/>
        </w:rPr>
        <w:t xml:space="preserve">. </w:t>
      </w:r>
    </w:p>
    <w:p w14:paraId="7CB28E86" w14:textId="22C511AF" w:rsidR="00CB6C86" w:rsidRDefault="0045753B" w:rsidP="00CB6C86">
      <w:pPr>
        <w:spacing w:line="480" w:lineRule="auto"/>
        <w:ind w:firstLine="720"/>
        <w:jc w:val="both"/>
        <w:rPr>
          <w:rFonts w:ascii="Courier New" w:hAnsi="Courier New" w:cs="Courier New"/>
          <w:bCs/>
        </w:rPr>
      </w:pPr>
      <w:r w:rsidRPr="007D1862">
        <w:rPr>
          <w:rFonts w:ascii="Courier New" w:hAnsi="Courier New" w:cs="Courier New"/>
          <w:bCs/>
        </w:rPr>
        <w:t>G</w:t>
      </w:r>
      <w:r w:rsidR="001F16FA">
        <w:rPr>
          <w:rFonts w:ascii="Courier New" w:hAnsi="Courier New" w:cs="Courier New"/>
          <w:bCs/>
        </w:rPr>
        <w:t xml:space="preserve">eneral </w:t>
      </w:r>
      <w:r w:rsidRPr="007D1862">
        <w:rPr>
          <w:rFonts w:ascii="Courier New" w:hAnsi="Courier New" w:cs="Courier New"/>
          <w:bCs/>
        </w:rPr>
        <w:t>L</w:t>
      </w:r>
      <w:r w:rsidR="001F16FA">
        <w:rPr>
          <w:rFonts w:ascii="Courier New" w:hAnsi="Courier New" w:cs="Courier New"/>
          <w:bCs/>
        </w:rPr>
        <w:t>aws</w:t>
      </w:r>
      <w:r w:rsidRPr="007D1862">
        <w:rPr>
          <w:rFonts w:ascii="Courier New" w:hAnsi="Courier New" w:cs="Courier New"/>
          <w:bCs/>
        </w:rPr>
        <w:t xml:space="preserve"> c. 58, § 2 provides</w:t>
      </w:r>
      <w:r w:rsidR="00CB6C86" w:rsidRPr="007D1862">
        <w:rPr>
          <w:rFonts w:ascii="Courier New" w:hAnsi="Courier New" w:cs="Courier New"/>
          <w:bCs/>
        </w:rPr>
        <w:t xml:space="preserve"> a mechanism to challenge a</w:t>
      </w:r>
      <w:r w:rsidR="00CB6C86">
        <w:rPr>
          <w:rFonts w:ascii="Courier New" w:hAnsi="Courier New" w:cs="Courier New"/>
          <w:bCs/>
        </w:rPr>
        <w:t xml:space="preserve"> manufacturing classification made by the </w:t>
      </w:r>
      <w:r w:rsidR="00887608">
        <w:rPr>
          <w:rFonts w:ascii="Courier New" w:hAnsi="Courier New" w:cs="Courier New"/>
          <w:bCs/>
        </w:rPr>
        <w:t>c</w:t>
      </w:r>
      <w:r w:rsidR="00CB6C86">
        <w:rPr>
          <w:rFonts w:ascii="Courier New" w:hAnsi="Courier New" w:cs="Courier New"/>
          <w:bCs/>
        </w:rPr>
        <w:t>ommissioner:</w:t>
      </w:r>
    </w:p>
    <w:p w14:paraId="0B271DCE" w14:textId="77777777" w:rsidR="00CB6C86" w:rsidRDefault="00CB6C86" w:rsidP="00961FDB">
      <w:pPr>
        <w:ind w:firstLine="720"/>
        <w:jc w:val="both"/>
        <w:rPr>
          <w:rFonts w:ascii="Courier New" w:hAnsi="Courier New" w:cs="Courier New"/>
          <w:bCs/>
        </w:rPr>
      </w:pPr>
    </w:p>
    <w:p w14:paraId="389177F3" w14:textId="3361B5B2" w:rsidR="00CB6C86" w:rsidRPr="00CB6C86" w:rsidRDefault="00CB6C86" w:rsidP="00CB6C86">
      <w:pPr>
        <w:ind w:left="1008" w:right="1008"/>
        <w:jc w:val="both"/>
        <w:rPr>
          <w:rFonts w:ascii="Courier New" w:hAnsi="Courier New" w:cs="Courier New"/>
          <w:bCs/>
        </w:rPr>
      </w:pPr>
      <w:r>
        <w:rPr>
          <w:rFonts w:ascii="Helvetica" w:hAnsi="Helvetica"/>
          <w:color w:val="333333"/>
          <w:sz w:val="21"/>
          <w:szCs w:val="21"/>
          <w:shd w:val="clear" w:color="auto" w:fill="FFFFFF"/>
        </w:rPr>
        <w:t> </w:t>
      </w:r>
      <w:r w:rsidRPr="00CB6C86">
        <w:rPr>
          <w:rFonts w:ascii="Courier New" w:hAnsi="Courier New" w:cs="Courier New"/>
          <w:color w:val="333333"/>
          <w:shd w:val="clear" w:color="auto" w:fill="FFFFFF"/>
        </w:rPr>
        <w:t>Any person</w:t>
      </w:r>
      <w:r w:rsidR="007D1862">
        <w:rPr>
          <w:rStyle w:val="FootnoteReference"/>
          <w:rFonts w:ascii="Courier New" w:hAnsi="Courier New"/>
          <w:color w:val="333333"/>
          <w:shd w:val="clear" w:color="auto" w:fill="FFFFFF"/>
        </w:rPr>
        <w:footnoteReference w:id="6"/>
      </w:r>
      <w:r w:rsidRPr="00CB6C86">
        <w:rPr>
          <w:rFonts w:ascii="Courier New" w:hAnsi="Courier New" w:cs="Courier New"/>
          <w:color w:val="333333"/>
          <w:shd w:val="clear" w:color="auto" w:fill="FFFFFF"/>
        </w:rPr>
        <w:t xml:space="preserve"> aggrieved by any classification made by the commissioner under any provision of chapters fifty-nine and sixty-three or by any action taken by the commissioner under this section may, on or before April thirtieth of said year or the thirtieth day after such list is sent out by the commissioner, whichever is later, file an application with the appellate tax board on a form approved by it, stating therein the classification claimed.</w:t>
      </w:r>
      <w:r w:rsidR="008A6B4B" w:rsidRPr="00CB6C86">
        <w:rPr>
          <w:rFonts w:ascii="Courier New" w:hAnsi="Courier New" w:cs="Courier New"/>
          <w:bCs/>
        </w:rPr>
        <w:t xml:space="preserve"> </w:t>
      </w:r>
    </w:p>
    <w:p w14:paraId="6317FF77" w14:textId="77777777" w:rsidR="00CB6C86" w:rsidRDefault="00CB6C86" w:rsidP="00961FDB">
      <w:pPr>
        <w:ind w:firstLine="720"/>
        <w:jc w:val="both"/>
        <w:rPr>
          <w:rFonts w:ascii="Courier New" w:hAnsi="Courier New" w:cs="Courier New"/>
          <w:bCs/>
        </w:rPr>
      </w:pPr>
    </w:p>
    <w:p w14:paraId="0C52ADB2" w14:textId="6B9B3315" w:rsidR="00961FDB" w:rsidRPr="006941C9" w:rsidRDefault="00CB6C86" w:rsidP="006941C9">
      <w:pPr>
        <w:spacing w:line="480" w:lineRule="auto"/>
        <w:ind w:firstLine="720"/>
        <w:jc w:val="both"/>
        <w:rPr>
          <w:rFonts w:ascii="Courier New" w:hAnsi="Courier New" w:cs="Courier New"/>
        </w:rPr>
      </w:pPr>
      <w:r w:rsidRPr="006941C9">
        <w:rPr>
          <w:rFonts w:ascii="Courier New" w:hAnsi="Courier New" w:cs="Courier New"/>
          <w:bCs/>
        </w:rPr>
        <w:t>T</w:t>
      </w:r>
      <w:r w:rsidR="00E729C6" w:rsidRPr="006941C9">
        <w:rPr>
          <w:rFonts w:ascii="Courier New" w:hAnsi="Courier New" w:cs="Courier New"/>
          <w:bCs/>
        </w:rPr>
        <w:t xml:space="preserve">he assessors </w:t>
      </w:r>
      <w:r w:rsidRPr="006941C9">
        <w:rPr>
          <w:rFonts w:ascii="Courier New" w:hAnsi="Courier New" w:cs="Courier New"/>
          <w:bCs/>
        </w:rPr>
        <w:t xml:space="preserve">did not avail themselves of this mechanism for the </w:t>
      </w:r>
      <w:r w:rsidR="00004B40">
        <w:rPr>
          <w:rFonts w:ascii="Courier New" w:hAnsi="Courier New" w:cs="Courier New"/>
          <w:bCs/>
        </w:rPr>
        <w:t>times</w:t>
      </w:r>
      <w:r w:rsidR="006941C9" w:rsidRPr="006941C9">
        <w:rPr>
          <w:rFonts w:ascii="Courier New" w:hAnsi="Courier New" w:cs="Courier New"/>
          <w:bCs/>
        </w:rPr>
        <w:t xml:space="preserve"> relevant to the </w:t>
      </w:r>
      <w:r w:rsidRPr="006941C9">
        <w:rPr>
          <w:rFonts w:ascii="Courier New" w:hAnsi="Courier New" w:cs="Courier New"/>
          <w:bCs/>
        </w:rPr>
        <w:t>fiscal year at issue,</w:t>
      </w:r>
      <w:r w:rsidR="00961FDB" w:rsidRPr="006941C9">
        <w:rPr>
          <w:rFonts w:ascii="Courier New" w:hAnsi="Courier New" w:cs="Courier New"/>
        </w:rPr>
        <w:t xml:space="preserve"> </w:t>
      </w:r>
      <w:r w:rsidRPr="006941C9">
        <w:rPr>
          <w:rFonts w:ascii="Courier New" w:hAnsi="Courier New" w:cs="Courier New"/>
        </w:rPr>
        <w:t xml:space="preserve">though they have done so with respect to </w:t>
      </w:r>
      <w:r w:rsidR="00CB17BA" w:rsidRPr="006941C9">
        <w:rPr>
          <w:rFonts w:ascii="Courier New" w:hAnsi="Courier New" w:cs="Courier New"/>
        </w:rPr>
        <w:t>t</w:t>
      </w:r>
      <w:r w:rsidRPr="006941C9">
        <w:rPr>
          <w:rFonts w:ascii="Courier New" w:hAnsi="Courier New" w:cs="Courier New"/>
        </w:rPr>
        <w:t>he appellant</w:t>
      </w:r>
      <w:r w:rsidR="006941C9" w:rsidRPr="006941C9">
        <w:rPr>
          <w:rFonts w:ascii="Courier New" w:hAnsi="Courier New" w:cs="Courier New"/>
        </w:rPr>
        <w:t xml:space="preserve">’s </w:t>
      </w:r>
      <w:r w:rsidR="00E11A42">
        <w:rPr>
          <w:rFonts w:ascii="Courier New" w:hAnsi="Courier New" w:cs="Courier New"/>
        </w:rPr>
        <w:t xml:space="preserve">manufacturing </w:t>
      </w:r>
      <w:r w:rsidR="006941C9" w:rsidRPr="006941C9">
        <w:rPr>
          <w:rFonts w:ascii="Courier New" w:hAnsi="Courier New" w:cs="Courier New"/>
        </w:rPr>
        <w:t>classification</w:t>
      </w:r>
      <w:r w:rsidRPr="006941C9">
        <w:rPr>
          <w:rFonts w:ascii="Courier New" w:hAnsi="Courier New" w:cs="Courier New"/>
        </w:rPr>
        <w:t xml:space="preserve"> effective January 1, 2016.</w:t>
      </w:r>
      <w:r w:rsidR="006941C9" w:rsidRPr="006941C9">
        <w:rPr>
          <w:rStyle w:val="FootnoteReference"/>
          <w:rFonts w:ascii="Courier New" w:hAnsi="Courier New" w:cs="Courier New"/>
        </w:rPr>
        <w:footnoteReference w:id="7"/>
      </w:r>
      <w:r w:rsidR="006941C9">
        <w:rPr>
          <w:rFonts w:ascii="Courier New" w:hAnsi="Courier New" w:cs="Courier New"/>
        </w:rPr>
        <w:t xml:space="preserve"> Consequently</w:t>
      </w:r>
      <w:r w:rsidR="00517978">
        <w:rPr>
          <w:rFonts w:ascii="Courier New" w:hAnsi="Courier New" w:cs="Courier New"/>
        </w:rPr>
        <w:t>, the assessors only have standing to challenge the commissioner’s classification</w:t>
      </w:r>
      <w:r w:rsidR="00E11A42">
        <w:rPr>
          <w:rFonts w:ascii="Courier New" w:hAnsi="Courier New" w:cs="Courier New"/>
        </w:rPr>
        <w:t xml:space="preserve"> and the </w:t>
      </w:r>
      <w:r w:rsidR="00E11A42">
        <w:rPr>
          <w:rFonts w:ascii="Courier New" w:hAnsi="Courier New" w:cs="Courier New"/>
        </w:rPr>
        <w:lastRenderedPageBreak/>
        <w:t>manufacturing activities underlying that classification</w:t>
      </w:r>
      <w:r w:rsidR="00517978">
        <w:rPr>
          <w:rFonts w:ascii="Courier New" w:hAnsi="Courier New" w:cs="Courier New"/>
        </w:rPr>
        <w:t xml:space="preserve"> for l</w:t>
      </w:r>
      <w:r w:rsidR="00EA45A9">
        <w:rPr>
          <w:rFonts w:ascii="Courier New" w:hAnsi="Courier New" w:cs="Courier New"/>
        </w:rPr>
        <w:t>ater</w:t>
      </w:r>
      <w:r w:rsidR="00517978">
        <w:rPr>
          <w:rFonts w:ascii="Courier New" w:hAnsi="Courier New" w:cs="Courier New"/>
        </w:rPr>
        <w:t xml:space="preserve"> </w:t>
      </w:r>
      <w:r w:rsidR="00EA45A9">
        <w:rPr>
          <w:rFonts w:ascii="Courier New" w:hAnsi="Courier New" w:cs="Courier New"/>
        </w:rPr>
        <w:t xml:space="preserve">fiscal years </w:t>
      </w:r>
      <w:r w:rsidR="00517978">
        <w:rPr>
          <w:rFonts w:ascii="Courier New" w:hAnsi="Courier New" w:cs="Courier New"/>
        </w:rPr>
        <w:t xml:space="preserve">not related to this appeal.  </w:t>
      </w:r>
    </w:p>
    <w:p w14:paraId="70471D88" w14:textId="46D80494" w:rsidR="006D6BEE" w:rsidRPr="000863AE" w:rsidRDefault="006D6BEE" w:rsidP="00A343F8">
      <w:pPr>
        <w:spacing w:line="480" w:lineRule="auto"/>
        <w:jc w:val="both"/>
        <w:rPr>
          <w:rFonts w:ascii="Courier New" w:hAnsi="Courier New" w:cs="Courier New"/>
          <w:u w:val="single"/>
        </w:rPr>
      </w:pPr>
      <w:r w:rsidRPr="000863AE">
        <w:rPr>
          <w:rFonts w:ascii="Courier New" w:hAnsi="Courier New" w:cs="Courier New"/>
          <w:b/>
          <w:u w:val="single"/>
        </w:rPr>
        <w:t>Conclusion</w:t>
      </w:r>
    </w:p>
    <w:p w14:paraId="0A49DCBC" w14:textId="7FE39894" w:rsidR="000863AE" w:rsidRPr="004B49EA" w:rsidRDefault="006D6BEE" w:rsidP="000863AE">
      <w:pPr>
        <w:spacing w:line="480" w:lineRule="auto"/>
        <w:jc w:val="both"/>
        <w:rPr>
          <w:rFonts w:ascii="Courier New" w:hAnsi="Courier New" w:cs="Courier New"/>
        </w:rPr>
      </w:pPr>
      <w:r>
        <w:rPr>
          <w:rFonts w:ascii="Courier New" w:hAnsi="Courier New" w:cs="Courier New"/>
        </w:rPr>
        <w:t xml:space="preserve">  </w:t>
      </w:r>
      <w:r w:rsidR="000863AE" w:rsidRPr="004B49EA">
        <w:rPr>
          <w:rFonts w:ascii="Courier New" w:hAnsi="Courier New" w:cs="Courier New"/>
        </w:rPr>
        <w:t>Based on the evidence presented</w:t>
      </w:r>
      <w:r w:rsidR="000863AE">
        <w:rPr>
          <w:rFonts w:ascii="Courier New" w:hAnsi="Courier New" w:cs="Courier New"/>
        </w:rPr>
        <w:t>,</w:t>
      </w:r>
      <w:r w:rsidR="000863AE" w:rsidRPr="004B49EA">
        <w:rPr>
          <w:rFonts w:ascii="Courier New" w:hAnsi="Courier New" w:cs="Courier New"/>
        </w:rPr>
        <w:t xml:space="preserve"> the Board found and ruled that the subject property</w:t>
      </w:r>
      <w:r w:rsidR="008E11E3">
        <w:rPr>
          <w:rFonts w:ascii="Courier New" w:hAnsi="Courier New" w:cs="Courier New"/>
        </w:rPr>
        <w:t>, which was owned by the</w:t>
      </w:r>
      <w:r w:rsidR="000863AE">
        <w:rPr>
          <w:rFonts w:ascii="Courier New" w:hAnsi="Courier New" w:cs="Courier New"/>
        </w:rPr>
        <w:t xml:space="preserve"> appellant</w:t>
      </w:r>
      <w:r w:rsidR="00EA45A9">
        <w:rPr>
          <w:rFonts w:ascii="Courier New" w:hAnsi="Courier New" w:cs="Courier New"/>
        </w:rPr>
        <w:t xml:space="preserve">, </w:t>
      </w:r>
      <w:r w:rsidR="00E21FEC">
        <w:rPr>
          <w:rFonts w:ascii="Courier New" w:hAnsi="Courier New" w:cs="Courier New"/>
        </w:rPr>
        <w:t xml:space="preserve">a corporation </w:t>
      </w:r>
      <w:r w:rsidR="000C1501">
        <w:rPr>
          <w:rFonts w:ascii="Courier New" w:hAnsi="Courier New" w:cs="Courier New"/>
        </w:rPr>
        <w:t xml:space="preserve">that was </w:t>
      </w:r>
      <w:r w:rsidR="00EA45A9">
        <w:rPr>
          <w:rFonts w:ascii="Courier New" w:hAnsi="Courier New" w:cs="Courier New"/>
        </w:rPr>
        <w:t>classified as a manufacturing corporation within the meaning of G.L. c. 63, §§ 39 and 42B</w:t>
      </w:r>
      <w:r w:rsidR="00E21FEC">
        <w:rPr>
          <w:rFonts w:ascii="Courier New" w:hAnsi="Courier New" w:cs="Courier New"/>
        </w:rPr>
        <w:t>,</w:t>
      </w:r>
      <w:r w:rsidR="00EA45A9">
        <w:rPr>
          <w:rFonts w:ascii="Courier New" w:hAnsi="Courier New" w:cs="Courier New"/>
        </w:rPr>
        <w:t xml:space="preserve"> </w:t>
      </w:r>
      <w:r w:rsidR="00E21FEC">
        <w:rPr>
          <w:rFonts w:ascii="Courier New" w:hAnsi="Courier New" w:cs="Courier New"/>
        </w:rPr>
        <w:t xml:space="preserve">formed an </w:t>
      </w:r>
      <w:r w:rsidR="001F16FA">
        <w:rPr>
          <w:rFonts w:ascii="Courier New" w:hAnsi="Courier New" w:cs="Courier New"/>
        </w:rPr>
        <w:t>essential</w:t>
      </w:r>
      <w:r w:rsidR="00E21FEC">
        <w:rPr>
          <w:rFonts w:ascii="Courier New" w:hAnsi="Courier New" w:cs="Courier New"/>
        </w:rPr>
        <w:t xml:space="preserve"> part of a single integrated machine </w:t>
      </w:r>
      <w:r w:rsidR="000863AE">
        <w:rPr>
          <w:rFonts w:ascii="Courier New" w:hAnsi="Courier New" w:cs="Courier New"/>
        </w:rPr>
        <w:t xml:space="preserve">and was therefore </w:t>
      </w:r>
      <w:r w:rsidR="000863AE" w:rsidRPr="004B49EA">
        <w:rPr>
          <w:rFonts w:ascii="Courier New" w:hAnsi="Courier New" w:cs="Courier New"/>
        </w:rPr>
        <w:t xml:space="preserve">exempt from </w:t>
      </w:r>
      <w:r w:rsidR="00E21FEC">
        <w:rPr>
          <w:rFonts w:ascii="Courier New" w:hAnsi="Courier New" w:cs="Courier New"/>
        </w:rPr>
        <w:t xml:space="preserve">property </w:t>
      </w:r>
      <w:r w:rsidR="000863AE" w:rsidRPr="004B49EA">
        <w:rPr>
          <w:rFonts w:ascii="Courier New" w:hAnsi="Courier New" w:cs="Courier New"/>
        </w:rPr>
        <w:t xml:space="preserve">taxation pursuant to </w:t>
      </w:r>
      <w:r w:rsidR="000863AE">
        <w:rPr>
          <w:rFonts w:ascii="Courier New" w:hAnsi="Courier New" w:cs="Courier New"/>
        </w:rPr>
        <w:t>Clause 16(3)</w:t>
      </w:r>
      <w:r w:rsidR="000863AE" w:rsidRPr="004B49EA">
        <w:rPr>
          <w:rFonts w:ascii="Courier New" w:hAnsi="Courier New" w:cs="Courier New"/>
        </w:rPr>
        <w:t>. Accordingly, the Board issued</w:t>
      </w:r>
      <w:r w:rsidR="000863AE">
        <w:rPr>
          <w:rFonts w:ascii="Courier New" w:hAnsi="Courier New" w:cs="Courier New"/>
        </w:rPr>
        <w:t xml:space="preserve"> a decision for the appellant in this appeal.</w:t>
      </w:r>
    </w:p>
    <w:p w14:paraId="7344DAA5" w14:textId="26AAC131" w:rsidR="006D6BEE" w:rsidRDefault="006D6BEE" w:rsidP="000863AE">
      <w:pPr>
        <w:spacing w:line="480" w:lineRule="auto"/>
        <w:jc w:val="both"/>
        <w:rPr>
          <w:rFonts w:ascii="Courier New" w:hAnsi="Courier New" w:cs="Courier New"/>
        </w:rPr>
      </w:pPr>
      <w:r>
        <w:rPr>
          <w:rFonts w:ascii="Courier New" w:hAnsi="Courier New" w:cs="Courier New"/>
        </w:rPr>
        <w:t xml:space="preserve"> </w:t>
      </w:r>
    </w:p>
    <w:p w14:paraId="0DF99277" w14:textId="2B6A3458" w:rsidR="006D6BEE" w:rsidRDefault="006D6BEE" w:rsidP="006D6BEE">
      <w:pPr>
        <w:spacing w:line="480" w:lineRule="auto"/>
        <w:jc w:val="both"/>
        <w:rPr>
          <w:rFonts w:ascii="Courier New" w:hAnsi="Courier New" w:cs="Courier New"/>
          <w:b/>
          <w:bCs/>
        </w:rPr>
      </w:pPr>
      <w:r w:rsidRPr="005451E8">
        <w:rPr>
          <w:rFonts w:ascii="Courier New" w:hAnsi="Courier New" w:cs="Courier New"/>
          <w:b/>
          <w:bCs/>
        </w:rPr>
        <w:t xml:space="preserve">  </w:t>
      </w:r>
      <w:r w:rsidRPr="005451E8">
        <w:rPr>
          <w:rFonts w:ascii="Courier New" w:hAnsi="Courier New" w:cs="Courier New"/>
          <w:b/>
          <w:bCs/>
        </w:rPr>
        <w:tab/>
      </w:r>
      <w:r>
        <w:rPr>
          <w:rFonts w:ascii="Courier New" w:hAnsi="Courier New" w:cs="Courier New"/>
          <w:b/>
          <w:bCs/>
        </w:rPr>
        <w:tab/>
      </w:r>
      <w:r w:rsidRPr="005451E8">
        <w:rPr>
          <w:rFonts w:ascii="Courier New" w:hAnsi="Courier New" w:cs="Courier New"/>
          <w:b/>
          <w:bCs/>
        </w:rPr>
        <w:tab/>
      </w:r>
      <w:r w:rsidRPr="005451E8">
        <w:rPr>
          <w:rFonts w:ascii="Courier New" w:hAnsi="Courier New" w:cs="Courier New"/>
          <w:b/>
          <w:bCs/>
        </w:rPr>
        <w:tab/>
      </w:r>
      <w:r w:rsidRPr="005451E8">
        <w:rPr>
          <w:rFonts w:ascii="Courier New" w:hAnsi="Courier New" w:cs="Courier New"/>
          <w:b/>
          <w:bCs/>
        </w:rPr>
        <w:tab/>
      </w:r>
      <w:r>
        <w:rPr>
          <w:rFonts w:ascii="Courier New" w:hAnsi="Courier New" w:cs="Courier New"/>
          <w:b/>
          <w:bCs/>
        </w:rPr>
        <w:t xml:space="preserve">  </w:t>
      </w:r>
      <w:r w:rsidRPr="005451E8">
        <w:rPr>
          <w:rFonts w:ascii="Courier New" w:hAnsi="Courier New" w:cs="Courier New"/>
          <w:b/>
          <w:bCs/>
        </w:rPr>
        <w:t xml:space="preserve"> THE APPELLATE TAX BOARD</w:t>
      </w:r>
    </w:p>
    <w:p w14:paraId="1D4E5DF2" w14:textId="77777777" w:rsidR="00D25EF5" w:rsidRPr="005451E8" w:rsidRDefault="00D25EF5" w:rsidP="006D6BEE">
      <w:pPr>
        <w:spacing w:line="480" w:lineRule="auto"/>
        <w:jc w:val="both"/>
        <w:rPr>
          <w:rFonts w:ascii="Courier New" w:hAnsi="Courier New" w:cs="Courier New"/>
          <w:b/>
          <w:bCs/>
        </w:rPr>
      </w:pPr>
    </w:p>
    <w:p w14:paraId="3A74A91C" w14:textId="77777777" w:rsidR="006D6BEE" w:rsidRPr="0090212F" w:rsidRDefault="006D6BEE" w:rsidP="006D6BEE"/>
    <w:p w14:paraId="288874C2" w14:textId="77777777" w:rsidR="006D6BEE" w:rsidRPr="005451E8" w:rsidRDefault="006D6BEE" w:rsidP="006D6BEE">
      <w:pPr>
        <w:pStyle w:val="Heading3"/>
        <w:ind w:left="3600"/>
        <w:jc w:val="left"/>
      </w:pPr>
      <w:r w:rsidRPr="005451E8">
        <w:rPr>
          <w:u w:val="none"/>
        </w:rPr>
        <w:t>By:</w:t>
      </w:r>
      <w:r>
        <w:rPr>
          <w:u w:val="none"/>
        </w:rPr>
        <w:t>_______________________________</w:t>
      </w:r>
    </w:p>
    <w:p w14:paraId="15F40B4C" w14:textId="77777777" w:rsidR="006D6BEE" w:rsidRPr="005451E8" w:rsidRDefault="006D6BEE" w:rsidP="006D6BEE">
      <w:pPr>
        <w:ind w:left="3600"/>
        <w:jc w:val="both"/>
        <w:rPr>
          <w:rFonts w:ascii="Courier New" w:hAnsi="Courier New" w:cs="Courier New"/>
          <w:b/>
          <w:bCs/>
        </w:rPr>
      </w:pPr>
      <w:r>
        <w:rPr>
          <w:rFonts w:ascii="Courier New" w:hAnsi="Courier New" w:cs="Courier New"/>
          <w:b/>
          <w:bCs/>
        </w:rPr>
        <w:t xml:space="preserve">   Thomas W. Hammond</w:t>
      </w:r>
      <w:r w:rsidRPr="005451E8">
        <w:rPr>
          <w:rFonts w:ascii="Courier New" w:hAnsi="Courier New" w:cs="Courier New"/>
          <w:b/>
          <w:bCs/>
        </w:rPr>
        <w:t>,</w:t>
      </w:r>
      <w:r>
        <w:rPr>
          <w:rFonts w:ascii="Courier New" w:hAnsi="Courier New" w:cs="Courier New"/>
          <w:b/>
          <w:bCs/>
        </w:rPr>
        <w:t xml:space="preserve"> Jr.</w:t>
      </w:r>
      <w:r w:rsidRPr="005451E8">
        <w:rPr>
          <w:rFonts w:ascii="Courier New" w:hAnsi="Courier New" w:cs="Courier New"/>
          <w:b/>
          <w:bCs/>
        </w:rPr>
        <w:t xml:space="preserve"> Chairman</w:t>
      </w:r>
    </w:p>
    <w:p w14:paraId="4E622DC3" w14:textId="77777777" w:rsidR="006D6BEE" w:rsidRDefault="006D6BEE" w:rsidP="006D6BEE">
      <w:pPr>
        <w:jc w:val="both"/>
        <w:rPr>
          <w:rFonts w:ascii="Courier New" w:hAnsi="Courier New" w:cs="Courier New"/>
          <w:b/>
          <w:bCs/>
        </w:rPr>
      </w:pPr>
    </w:p>
    <w:p w14:paraId="278272CD" w14:textId="77777777" w:rsidR="006D6BEE" w:rsidRDefault="006D6BEE" w:rsidP="006D6BEE">
      <w:pPr>
        <w:jc w:val="both"/>
        <w:rPr>
          <w:rFonts w:ascii="Courier New" w:hAnsi="Courier New" w:cs="Courier New"/>
          <w:b/>
          <w:bCs/>
        </w:rPr>
      </w:pPr>
    </w:p>
    <w:p w14:paraId="527AD799" w14:textId="77777777" w:rsidR="006D6BEE" w:rsidRDefault="006D6BEE" w:rsidP="006D6BEE">
      <w:pPr>
        <w:jc w:val="both"/>
        <w:rPr>
          <w:rFonts w:ascii="Courier New" w:hAnsi="Courier New" w:cs="Courier New"/>
          <w:b/>
          <w:bCs/>
        </w:rPr>
      </w:pPr>
    </w:p>
    <w:p w14:paraId="6D25EA8F" w14:textId="77777777" w:rsidR="00701CBA" w:rsidRDefault="00701CBA" w:rsidP="00701CBA">
      <w:pPr>
        <w:jc w:val="both"/>
        <w:rPr>
          <w:rFonts w:ascii="Courier New" w:hAnsi="Courier New" w:cs="Courier New"/>
          <w:b/>
          <w:bCs/>
        </w:rPr>
      </w:pPr>
      <w:r>
        <w:rPr>
          <w:rFonts w:ascii="Courier New" w:hAnsi="Courier New" w:cs="Courier New"/>
          <w:b/>
          <w:bCs/>
        </w:rPr>
        <w:t>A</w:t>
      </w:r>
      <w:r w:rsidRPr="005451E8">
        <w:rPr>
          <w:rFonts w:ascii="Courier New" w:hAnsi="Courier New" w:cs="Courier New"/>
          <w:b/>
          <w:bCs/>
        </w:rPr>
        <w:t xml:space="preserve"> true copy,</w:t>
      </w:r>
    </w:p>
    <w:p w14:paraId="62A46702" w14:textId="77777777" w:rsidR="00701CBA" w:rsidRDefault="00701CBA" w:rsidP="00701CBA">
      <w:pPr>
        <w:jc w:val="both"/>
        <w:rPr>
          <w:rFonts w:ascii="Courier New" w:hAnsi="Courier New" w:cs="Courier New"/>
          <w:b/>
          <w:bCs/>
        </w:rPr>
      </w:pPr>
    </w:p>
    <w:p w14:paraId="5810A9B1" w14:textId="77777777" w:rsidR="00701CBA" w:rsidRDefault="00701CBA" w:rsidP="00701CBA">
      <w:pPr>
        <w:pStyle w:val="Heading4"/>
        <w:jc w:val="left"/>
        <w:rPr>
          <w:sz w:val="24"/>
          <w:szCs w:val="24"/>
          <w:u w:val="none"/>
        </w:rPr>
      </w:pPr>
    </w:p>
    <w:p w14:paraId="124ACFB5" w14:textId="77777777" w:rsidR="00701CBA" w:rsidRPr="00DF6062" w:rsidRDefault="00701CBA" w:rsidP="00701CBA">
      <w:pPr>
        <w:pStyle w:val="Heading4"/>
        <w:jc w:val="left"/>
        <w:rPr>
          <w:sz w:val="24"/>
          <w:szCs w:val="24"/>
          <w:u w:val="none"/>
        </w:rPr>
      </w:pPr>
      <w:r w:rsidRPr="00DF6062">
        <w:rPr>
          <w:sz w:val="24"/>
          <w:szCs w:val="24"/>
          <w:u w:val="none"/>
        </w:rPr>
        <w:t>Attest: _____________</w:t>
      </w:r>
      <w:r>
        <w:rPr>
          <w:sz w:val="24"/>
          <w:szCs w:val="24"/>
          <w:u w:val="none"/>
        </w:rPr>
        <w:t>____</w:t>
      </w:r>
      <w:r w:rsidRPr="00DF6062">
        <w:rPr>
          <w:sz w:val="24"/>
          <w:szCs w:val="24"/>
          <w:u w:val="none"/>
        </w:rPr>
        <w:t>__</w:t>
      </w:r>
      <w:r>
        <w:rPr>
          <w:sz w:val="24"/>
          <w:szCs w:val="24"/>
          <w:u w:val="none"/>
        </w:rPr>
        <w:t>__</w:t>
      </w:r>
    </w:p>
    <w:p w14:paraId="5B0F1584" w14:textId="77777777" w:rsidR="00701CBA" w:rsidRDefault="00701CBA" w:rsidP="00701CBA">
      <w:pPr>
        <w:pStyle w:val="Heading1"/>
        <w:ind w:left="720"/>
      </w:pPr>
      <w:r>
        <w:t xml:space="preserve">   </w:t>
      </w:r>
      <w:r w:rsidRPr="005451E8">
        <w:t>Clerk of the Board</w:t>
      </w:r>
    </w:p>
    <w:p w14:paraId="4DADDA1A" w14:textId="77777777" w:rsidR="006D6BEE" w:rsidRDefault="006D6BEE" w:rsidP="006D6BEE">
      <w:pPr>
        <w:jc w:val="both"/>
        <w:rPr>
          <w:rFonts w:ascii="Courier New" w:hAnsi="Courier New" w:cs="Courier New"/>
          <w:b/>
          <w:bCs/>
        </w:rPr>
      </w:pPr>
    </w:p>
    <w:sectPr w:rsidR="006D6BEE" w:rsidSect="00C76629">
      <w:footerReference w:type="even" r:id="rId10"/>
      <w:footerReference w:type="default" r:id="rId11"/>
      <w:pgSz w:w="12240" w:h="15840"/>
      <w:pgMar w:top="1440" w:right="1800" w:bottom="1440" w:left="1800" w:header="720" w:footer="720" w:gutter="0"/>
      <w:pgNumType w:start="19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8FE5B" w14:textId="77777777" w:rsidR="00C45382" w:rsidRDefault="00C45382">
      <w:r>
        <w:separator/>
      </w:r>
    </w:p>
  </w:endnote>
  <w:endnote w:type="continuationSeparator" w:id="0">
    <w:p w14:paraId="5659AC5A" w14:textId="77777777" w:rsidR="00C45382" w:rsidRDefault="00C4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A71C8" w14:textId="77777777" w:rsidR="00C45382" w:rsidRDefault="00C45382" w:rsidP="00B8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5BD575" w14:textId="77777777" w:rsidR="00C45382" w:rsidRDefault="00C45382" w:rsidP="00B805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50CC0" w14:textId="5C424A52" w:rsidR="00BD5CC3" w:rsidRPr="00BD5CC3" w:rsidRDefault="00BD5CC3">
    <w:pPr>
      <w:pStyle w:val="Footer"/>
      <w:jc w:val="center"/>
      <w:rPr>
        <w:rFonts w:ascii="Courier New" w:hAnsi="Courier New" w:cs="Courier New"/>
        <w:b/>
      </w:rPr>
    </w:pPr>
    <w:r w:rsidRPr="00BD5CC3">
      <w:rPr>
        <w:rFonts w:ascii="Courier New" w:hAnsi="Courier New" w:cs="Courier New"/>
        <w:b/>
      </w:rPr>
      <w:t>ATB 2018-</w:t>
    </w:r>
    <w:sdt>
      <w:sdtPr>
        <w:rPr>
          <w:rFonts w:ascii="Courier New" w:hAnsi="Courier New" w:cs="Courier New"/>
          <w:b/>
        </w:rPr>
        <w:id w:val="-1973127376"/>
        <w:docPartObj>
          <w:docPartGallery w:val="Page Numbers (Bottom of Page)"/>
          <w:docPartUnique/>
        </w:docPartObj>
      </w:sdtPr>
      <w:sdtEndPr>
        <w:rPr>
          <w:noProof/>
        </w:rPr>
      </w:sdtEndPr>
      <w:sdtContent>
        <w:r w:rsidRPr="00BD5CC3">
          <w:rPr>
            <w:rFonts w:ascii="Courier New" w:hAnsi="Courier New" w:cs="Courier New"/>
            <w:b/>
          </w:rPr>
          <w:fldChar w:fldCharType="begin"/>
        </w:r>
        <w:r w:rsidRPr="00BD5CC3">
          <w:rPr>
            <w:rFonts w:ascii="Courier New" w:hAnsi="Courier New" w:cs="Courier New"/>
            <w:b/>
          </w:rPr>
          <w:instrText xml:space="preserve"> PAGE   \* MERGEFORMAT </w:instrText>
        </w:r>
        <w:r w:rsidRPr="00BD5CC3">
          <w:rPr>
            <w:rFonts w:ascii="Courier New" w:hAnsi="Courier New" w:cs="Courier New"/>
            <w:b/>
          </w:rPr>
          <w:fldChar w:fldCharType="separate"/>
        </w:r>
        <w:r w:rsidR="00FC47CE">
          <w:rPr>
            <w:rFonts w:ascii="Courier New" w:hAnsi="Courier New" w:cs="Courier New"/>
            <w:b/>
            <w:noProof/>
          </w:rPr>
          <w:t>199</w:t>
        </w:r>
        <w:r w:rsidRPr="00BD5CC3">
          <w:rPr>
            <w:rFonts w:ascii="Courier New" w:hAnsi="Courier New" w:cs="Courier New"/>
            <w:b/>
            <w:noProof/>
          </w:rPr>
          <w:fldChar w:fldCharType="end"/>
        </w:r>
      </w:sdtContent>
    </w:sdt>
  </w:p>
  <w:p w14:paraId="445BDBDB" w14:textId="77777777" w:rsidR="00C45382" w:rsidRDefault="00C453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E6A90" w14:textId="77777777" w:rsidR="00C45382" w:rsidRDefault="00C45382">
      <w:r>
        <w:separator/>
      </w:r>
    </w:p>
  </w:footnote>
  <w:footnote w:type="continuationSeparator" w:id="0">
    <w:p w14:paraId="68A1F4DA" w14:textId="77777777" w:rsidR="00C45382" w:rsidRDefault="00C45382">
      <w:r>
        <w:continuationSeparator/>
      </w:r>
    </w:p>
  </w:footnote>
  <w:footnote w:id="1">
    <w:p w14:paraId="452DE120" w14:textId="31CB1BF4" w:rsidR="00C45382" w:rsidRPr="009918AC" w:rsidRDefault="00C45382" w:rsidP="00910AFE">
      <w:pPr>
        <w:pStyle w:val="FootnoteText"/>
        <w:jc w:val="both"/>
        <w:rPr>
          <w:rFonts w:ascii="Courier New" w:hAnsi="Courier New" w:cs="Courier New"/>
        </w:rPr>
      </w:pPr>
      <w:r w:rsidRPr="009918AC">
        <w:rPr>
          <w:rStyle w:val="FootnoteReference"/>
          <w:rFonts w:ascii="Courier New" w:hAnsi="Courier New" w:cs="Courier New"/>
        </w:rPr>
        <w:footnoteRef/>
      </w:r>
      <w:r w:rsidRPr="000C5016">
        <w:rPr>
          <w:rFonts w:ascii="Courier New" w:hAnsi="Courier New" w:cs="Courier New"/>
          <w:sz w:val="22"/>
          <w:szCs w:val="22"/>
        </w:rPr>
        <w:t xml:space="preserve"> </w:t>
      </w:r>
      <w:r w:rsidRPr="009918AC">
        <w:rPr>
          <w:rFonts w:ascii="Courier New" w:hAnsi="Courier New" w:cs="Courier New"/>
        </w:rPr>
        <w:t>Pursuant to an order dated January 26, 2016, the Board bifurcated the hearing relating to th</w:t>
      </w:r>
      <w:r w:rsidR="009C3013" w:rsidRPr="009918AC">
        <w:rPr>
          <w:rFonts w:ascii="Courier New" w:hAnsi="Courier New" w:cs="Courier New"/>
        </w:rPr>
        <w:t>e</w:t>
      </w:r>
      <w:r w:rsidRPr="009918AC">
        <w:rPr>
          <w:rFonts w:ascii="Courier New" w:hAnsi="Courier New" w:cs="Courier New"/>
        </w:rPr>
        <w:t xml:space="preserve"> appeal. </w:t>
      </w:r>
      <w:r w:rsidR="009346EF" w:rsidRPr="009918AC">
        <w:rPr>
          <w:rFonts w:ascii="Courier New" w:hAnsi="Courier New" w:cs="Courier New"/>
        </w:rPr>
        <w:t>S</w:t>
      </w:r>
      <w:r w:rsidRPr="009918AC">
        <w:rPr>
          <w:rFonts w:ascii="Courier New" w:hAnsi="Courier New" w:cs="Courier New"/>
        </w:rPr>
        <w:t xml:space="preserve">pecifically, if the Board </w:t>
      </w:r>
      <w:r w:rsidR="009346EF" w:rsidRPr="009918AC">
        <w:rPr>
          <w:rFonts w:ascii="Courier New" w:hAnsi="Courier New" w:cs="Courier New"/>
        </w:rPr>
        <w:t xml:space="preserve">had </w:t>
      </w:r>
      <w:r w:rsidRPr="009918AC">
        <w:rPr>
          <w:rFonts w:ascii="Courier New" w:hAnsi="Courier New" w:cs="Courier New"/>
        </w:rPr>
        <w:t xml:space="preserve">found that the subject property was </w:t>
      </w:r>
      <w:r w:rsidR="00703603" w:rsidRPr="009918AC">
        <w:rPr>
          <w:rFonts w:ascii="Courier New" w:hAnsi="Courier New" w:cs="Courier New"/>
        </w:rPr>
        <w:t>not exempt from</w:t>
      </w:r>
      <w:r w:rsidR="009C3013" w:rsidRPr="009918AC">
        <w:rPr>
          <w:rFonts w:ascii="Courier New" w:hAnsi="Courier New" w:cs="Courier New"/>
        </w:rPr>
        <w:t xml:space="preserve"> property tax</w:t>
      </w:r>
      <w:r w:rsidRPr="009918AC">
        <w:rPr>
          <w:rFonts w:ascii="Courier New" w:hAnsi="Courier New" w:cs="Courier New"/>
        </w:rPr>
        <w:t xml:space="preserve">, </w:t>
      </w:r>
      <w:r w:rsidR="009C3013" w:rsidRPr="009918AC">
        <w:rPr>
          <w:rFonts w:ascii="Courier New" w:hAnsi="Courier New" w:cs="Courier New"/>
        </w:rPr>
        <w:t xml:space="preserve">the Board would then </w:t>
      </w:r>
      <w:r w:rsidRPr="009918AC">
        <w:rPr>
          <w:rFonts w:ascii="Courier New" w:hAnsi="Courier New" w:cs="Courier New"/>
        </w:rPr>
        <w:t>have conducted proceedings regarding</w:t>
      </w:r>
      <w:r w:rsidR="003014CA" w:rsidRPr="009918AC">
        <w:rPr>
          <w:rFonts w:ascii="Courier New" w:hAnsi="Courier New" w:cs="Courier New"/>
        </w:rPr>
        <w:t xml:space="preserve"> the</w:t>
      </w:r>
      <w:r w:rsidRPr="009918AC">
        <w:rPr>
          <w:rFonts w:ascii="Courier New" w:hAnsi="Courier New" w:cs="Courier New"/>
        </w:rPr>
        <w:t xml:space="preserve"> property’s valuation.</w:t>
      </w:r>
    </w:p>
  </w:footnote>
  <w:footnote w:id="2">
    <w:p w14:paraId="0C225BCD" w14:textId="72429905" w:rsidR="00C45382" w:rsidRPr="009918AC" w:rsidRDefault="00C45382" w:rsidP="00B57640">
      <w:pPr>
        <w:pStyle w:val="FootnoteText"/>
        <w:jc w:val="both"/>
        <w:rPr>
          <w:rFonts w:ascii="Courier New" w:hAnsi="Courier New" w:cs="Courier New"/>
        </w:rPr>
      </w:pPr>
      <w:r w:rsidRPr="009918AC">
        <w:rPr>
          <w:rStyle w:val="FootnoteReference"/>
          <w:rFonts w:ascii="Courier New" w:hAnsi="Courier New" w:cs="Courier New"/>
        </w:rPr>
        <w:footnoteRef/>
      </w:r>
      <w:r w:rsidRPr="009918AC">
        <w:rPr>
          <w:rFonts w:ascii="Courier New" w:hAnsi="Courier New" w:cs="Courier New"/>
        </w:rPr>
        <w:t xml:space="preserve"> As described by Mr. Silvia, a co-generation facility, also known as “combined heat and power,” generates multiple energy sources using one fuel supply. </w:t>
      </w:r>
    </w:p>
  </w:footnote>
  <w:footnote w:id="3">
    <w:p w14:paraId="1D286C6A" w14:textId="60F0C2C8" w:rsidR="00C45382" w:rsidRPr="009918AC" w:rsidRDefault="00C45382" w:rsidP="00A25C96">
      <w:pPr>
        <w:jc w:val="both"/>
        <w:rPr>
          <w:rFonts w:ascii="Courier New" w:hAnsi="Courier New" w:cs="Courier New"/>
          <w:sz w:val="20"/>
          <w:szCs w:val="20"/>
        </w:rPr>
      </w:pPr>
      <w:r w:rsidRPr="009918AC">
        <w:rPr>
          <w:rStyle w:val="FootnoteReference"/>
          <w:rFonts w:ascii="Courier New" w:hAnsi="Courier New" w:cs="Courier New"/>
          <w:sz w:val="20"/>
          <w:szCs w:val="20"/>
        </w:rPr>
        <w:footnoteRef/>
      </w:r>
      <w:r w:rsidR="009918AC">
        <w:rPr>
          <w:rFonts w:ascii="Courier New" w:hAnsi="Courier New" w:cs="Courier New"/>
          <w:sz w:val="20"/>
          <w:szCs w:val="20"/>
        </w:rPr>
        <w:t> </w:t>
      </w:r>
      <w:r w:rsidRPr="009918AC">
        <w:rPr>
          <w:rFonts w:ascii="Courier New" w:hAnsi="Courier New" w:cs="Courier New"/>
          <w:sz w:val="20"/>
          <w:szCs w:val="20"/>
        </w:rPr>
        <w:t xml:space="preserve">Certain of the Networks’ </w:t>
      </w:r>
      <w:r w:rsidR="003C2D6B" w:rsidRPr="009918AC">
        <w:rPr>
          <w:rFonts w:ascii="Courier New" w:hAnsi="Courier New" w:cs="Courier New"/>
          <w:sz w:val="20"/>
          <w:szCs w:val="20"/>
        </w:rPr>
        <w:t>components</w:t>
      </w:r>
      <w:r w:rsidRPr="009918AC">
        <w:rPr>
          <w:rFonts w:ascii="Courier New" w:hAnsi="Courier New" w:cs="Courier New"/>
          <w:sz w:val="20"/>
          <w:szCs w:val="20"/>
        </w:rPr>
        <w:t>, including the co-generation facility, are owned by affiliates of the appellant</w:t>
      </w:r>
      <w:r w:rsidR="003C2D6B" w:rsidRPr="009918AC">
        <w:rPr>
          <w:rFonts w:ascii="Courier New" w:hAnsi="Courier New" w:cs="Courier New"/>
          <w:sz w:val="20"/>
          <w:szCs w:val="20"/>
        </w:rPr>
        <w:t xml:space="preserve"> and other entities</w:t>
      </w:r>
      <w:r w:rsidRPr="009918AC">
        <w:rPr>
          <w:rFonts w:ascii="Courier New" w:hAnsi="Courier New" w:cs="Courier New"/>
          <w:sz w:val="20"/>
          <w:szCs w:val="20"/>
        </w:rPr>
        <w:t>.</w:t>
      </w:r>
    </w:p>
    <w:p w14:paraId="32D3E70A" w14:textId="77777777" w:rsidR="00C45382" w:rsidRPr="009918AC" w:rsidRDefault="00C45382">
      <w:pPr>
        <w:pStyle w:val="FootnoteText"/>
        <w:rPr>
          <w:rFonts w:ascii="Courier New" w:hAnsi="Courier New" w:cs="Courier New"/>
        </w:rPr>
      </w:pPr>
    </w:p>
  </w:footnote>
  <w:footnote w:id="4">
    <w:p w14:paraId="7F9B2BA1" w14:textId="75FA8961" w:rsidR="0086458D" w:rsidRPr="00D25EF5" w:rsidRDefault="0086458D" w:rsidP="0086458D">
      <w:pPr>
        <w:pStyle w:val="FootnoteText"/>
        <w:jc w:val="both"/>
        <w:rPr>
          <w:rFonts w:ascii="Courier New" w:hAnsi="Courier New" w:cs="Courier New"/>
        </w:rPr>
      </w:pPr>
      <w:r w:rsidRPr="00D25EF5">
        <w:rPr>
          <w:rStyle w:val="FootnoteReference"/>
          <w:rFonts w:ascii="Courier New" w:hAnsi="Courier New" w:cs="Courier New"/>
        </w:rPr>
        <w:footnoteRef/>
      </w:r>
      <w:r w:rsidRPr="00D25EF5">
        <w:rPr>
          <w:rFonts w:ascii="Courier New" w:hAnsi="Courier New" w:cs="Courier New"/>
        </w:rPr>
        <w:t xml:space="preserve"> Property “exempt” from taxation under Clause 16(3) is not exempt </w:t>
      </w:r>
      <w:r w:rsidR="00703603" w:rsidRPr="00D25EF5">
        <w:rPr>
          <w:rFonts w:ascii="Courier New" w:hAnsi="Courier New" w:cs="Courier New"/>
        </w:rPr>
        <w:t xml:space="preserve">from tax </w:t>
      </w:r>
      <w:r w:rsidRPr="00D25EF5">
        <w:rPr>
          <w:rFonts w:ascii="Courier New" w:hAnsi="Courier New" w:cs="Courier New"/>
        </w:rPr>
        <w:t xml:space="preserve">in an absolute sense, but is subject indirectly to taxation by inclusion in the measure of excise imposed under G.L. c. 63. </w:t>
      </w:r>
      <w:r w:rsidRPr="00D25EF5">
        <w:rPr>
          <w:rFonts w:ascii="Courier New" w:hAnsi="Courier New" w:cs="Courier New"/>
          <w:i/>
        </w:rPr>
        <w:t>See</w:t>
      </w:r>
      <w:r w:rsidR="00D25EF5">
        <w:rPr>
          <w:rFonts w:ascii="Courier New" w:hAnsi="Courier New" w:cs="Courier New"/>
          <w:i/>
        </w:rPr>
        <w:t> </w:t>
      </w:r>
      <w:r w:rsidRPr="00D25EF5">
        <w:rPr>
          <w:rFonts w:ascii="Courier New" w:hAnsi="Courier New" w:cs="Courier New"/>
          <w:b/>
          <w:i/>
        </w:rPr>
        <w:t>Assessors of Holyoke v. State Tax Commn</w:t>
      </w:r>
      <w:r w:rsidRPr="00D25EF5">
        <w:rPr>
          <w:rFonts w:ascii="Courier New" w:hAnsi="Courier New" w:cs="Courier New"/>
        </w:rPr>
        <w:t>., 355 Mass</w:t>
      </w:r>
      <w:r w:rsidR="00D25EF5">
        <w:rPr>
          <w:rFonts w:ascii="Courier New" w:hAnsi="Courier New" w:cs="Courier New"/>
        </w:rPr>
        <w:t>.</w:t>
      </w:r>
      <w:r w:rsidRPr="00D25EF5">
        <w:rPr>
          <w:rFonts w:ascii="Courier New" w:hAnsi="Courier New" w:cs="Courier New"/>
        </w:rPr>
        <w:t xml:space="preserve"> 223, 234 (1969).</w:t>
      </w:r>
    </w:p>
  </w:footnote>
  <w:footnote w:id="5">
    <w:p w14:paraId="09233ECE" w14:textId="04467B4B" w:rsidR="00FA461C" w:rsidRPr="00DA4D77" w:rsidRDefault="00D25EF5" w:rsidP="00FA461C">
      <w:pPr>
        <w:pStyle w:val="Title"/>
        <w:jc w:val="both"/>
        <w:rPr>
          <w:b w:val="0"/>
          <w:sz w:val="20"/>
          <w:szCs w:val="20"/>
        </w:rPr>
      </w:pPr>
      <w:r w:rsidRPr="00AB507C">
        <w:rPr>
          <w:b w:val="0"/>
          <w:sz w:val="20"/>
          <w:szCs w:val="20"/>
          <w:vertAlign w:val="superscript"/>
        </w:rPr>
        <w:t>5</w:t>
      </w:r>
      <w:r w:rsidRPr="00DA4D77">
        <w:rPr>
          <w:b w:val="0"/>
          <w:sz w:val="20"/>
          <w:szCs w:val="20"/>
        </w:rPr>
        <w:t xml:space="preserve"> </w:t>
      </w:r>
      <w:r w:rsidR="00FA461C" w:rsidRPr="00DA4D77">
        <w:rPr>
          <w:b w:val="0"/>
          <w:sz w:val="20"/>
          <w:szCs w:val="20"/>
        </w:rPr>
        <w:t xml:space="preserve">General Laws c. 63, § 38C, pertaining to domestic manufacturing corporations, was repealed in 2008. </w:t>
      </w:r>
      <w:r w:rsidR="00FA461C" w:rsidRPr="00DA4D77">
        <w:rPr>
          <w:b w:val="0"/>
          <w:i/>
          <w:sz w:val="20"/>
          <w:szCs w:val="20"/>
        </w:rPr>
        <w:t>See</w:t>
      </w:r>
      <w:r w:rsidR="00FA461C" w:rsidRPr="00DA4D77">
        <w:rPr>
          <w:b w:val="0"/>
          <w:sz w:val="20"/>
          <w:szCs w:val="20"/>
        </w:rPr>
        <w:t xml:space="preserve"> St. 2008, c. 173, § 66. General Laws c. 63, § 42B, which previously </w:t>
      </w:r>
      <w:r w:rsidR="008D5B03" w:rsidRPr="00DA4D77">
        <w:rPr>
          <w:b w:val="0"/>
          <w:sz w:val="20"/>
          <w:szCs w:val="20"/>
        </w:rPr>
        <w:t>addressed</w:t>
      </w:r>
      <w:r w:rsidR="00FA461C" w:rsidRPr="00DA4D77">
        <w:rPr>
          <w:b w:val="0"/>
          <w:sz w:val="20"/>
          <w:szCs w:val="20"/>
        </w:rPr>
        <w:t xml:space="preserve"> foreign manufacturing corporations, was amended in 2008 to encompass manufacturing corporations </w:t>
      </w:r>
      <w:r w:rsidR="001F16FA" w:rsidRPr="00DA4D77">
        <w:rPr>
          <w:b w:val="0"/>
          <w:sz w:val="20"/>
          <w:szCs w:val="20"/>
        </w:rPr>
        <w:t>generally</w:t>
      </w:r>
      <w:r w:rsidR="00FA461C" w:rsidRPr="00DA4D77">
        <w:rPr>
          <w:b w:val="0"/>
          <w:sz w:val="20"/>
          <w:szCs w:val="20"/>
        </w:rPr>
        <w:t xml:space="preserve">. </w:t>
      </w:r>
      <w:r w:rsidR="00FA461C" w:rsidRPr="00DA4D77">
        <w:rPr>
          <w:b w:val="0"/>
          <w:i/>
          <w:sz w:val="20"/>
          <w:szCs w:val="20"/>
        </w:rPr>
        <w:t>See</w:t>
      </w:r>
      <w:r w:rsidR="00FA461C" w:rsidRPr="00DA4D77">
        <w:rPr>
          <w:b w:val="0"/>
          <w:sz w:val="20"/>
          <w:szCs w:val="20"/>
        </w:rPr>
        <w:t xml:space="preserve"> St. 2008, c. 173, § 85.</w:t>
      </w:r>
    </w:p>
  </w:footnote>
  <w:footnote w:id="6">
    <w:p w14:paraId="468430CD" w14:textId="0D86D14A" w:rsidR="007D1862" w:rsidRPr="00D25EF5" w:rsidRDefault="007D1862" w:rsidP="000863AE">
      <w:pPr>
        <w:pStyle w:val="FootnoteText"/>
        <w:jc w:val="both"/>
        <w:rPr>
          <w:rFonts w:ascii="Courier New" w:hAnsi="Courier New" w:cs="Courier New"/>
        </w:rPr>
      </w:pPr>
      <w:r w:rsidRPr="00D25EF5">
        <w:rPr>
          <w:rStyle w:val="FootnoteReference"/>
          <w:rFonts w:ascii="Courier New" w:hAnsi="Courier New" w:cs="Courier New"/>
        </w:rPr>
        <w:footnoteRef/>
      </w:r>
      <w:r w:rsidRPr="00D25EF5">
        <w:rPr>
          <w:rFonts w:ascii="Courier New" w:hAnsi="Courier New" w:cs="Courier New"/>
        </w:rPr>
        <w:t xml:space="preserve"> G.L. c. 58, § 2</w:t>
      </w:r>
      <w:r w:rsidR="000863AE" w:rsidRPr="00D25EF5">
        <w:rPr>
          <w:rFonts w:ascii="Courier New" w:hAnsi="Courier New" w:cs="Courier New"/>
        </w:rPr>
        <w:t xml:space="preserve"> provides that </w:t>
      </w:r>
      <w:r w:rsidR="00EA45A9" w:rsidRPr="00D25EF5">
        <w:rPr>
          <w:rFonts w:ascii="Courier New" w:hAnsi="Courier New" w:cs="Courier New"/>
        </w:rPr>
        <w:t>“</w:t>
      </w:r>
      <w:r w:rsidR="000863AE" w:rsidRPr="00D25EF5">
        <w:rPr>
          <w:rFonts w:ascii="Courier New" w:hAnsi="Courier New" w:cs="Courier New"/>
        </w:rPr>
        <w:t>[f]</w:t>
      </w:r>
      <w:r w:rsidR="000863AE" w:rsidRPr="00D25EF5">
        <w:rPr>
          <w:rFonts w:ascii="Courier New" w:hAnsi="Courier New" w:cs="Courier New"/>
          <w:color w:val="333333"/>
          <w:shd w:val="clear" w:color="auto" w:fill="FFFFFF"/>
        </w:rPr>
        <w:t xml:space="preserve">or the purpose of this section, </w:t>
      </w:r>
      <w:r w:rsidR="00EA45A9" w:rsidRPr="00D25EF5">
        <w:rPr>
          <w:rFonts w:ascii="Courier New" w:hAnsi="Courier New" w:cs="Courier New"/>
          <w:color w:val="333333"/>
          <w:shd w:val="clear" w:color="auto" w:fill="FFFFFF"/>
        </w:rPr>
        <w:t>‘</w:t>
      </w:r>
      <w:r w:rsidR="000863AE" w:rsidRPr="00D25EF5">
        <w:rPr>
          <w:rFonts w:ascii="Courier New" w:hAnsi="Courier New" w:cs="Courier New"/>
          <w:color w:val="333333"/>
          <w:shd w:val="clear" w:color="auto" w:fill="FFFFFF"/>
        </w:rPr>
        <w:t>person</w:t>
      </w:r>
      <w:r w:rsidR="00EA45A9" w:rsidRPr="00D25EF5">
        <w:rPr>
          <w:rFonts w:ascii="Courier New" w:hAnsi="Courier New" w:cs="Courier New"/>
          <w:color w:val="333333"/>
          <w:shd w:val="clear" w:color="auto" w:fill="FFFFFF"/>
        </w:rPr>
        <w:t>’</w:t>
      </w:r>
      <w:r w:rsidR="000863AE" w:rsidRPr="00D25EF5">
        <w:rPr>
          <w:rFonts w:ascii="Courier New" w:hAnsi="Courier New" w:cs="Courier New"/>
          <w:color w:val="333333"/>
          <w:shd w:val="clear" w:color="auto" w:fill="FFFFFF"/>
        </w:rPr>
        <w:t xml:space="preserve"> shall include a board of assessors.”</w:t>
      </w:r>
      <w:r w:rsidRPr="00D25EF5">
        <w:rPr>
          <w:rFonts w:ascii="Courier New" w:hAnsi="Courier New" w:cs="Courier New"/>
        </w:rPr>
        <w:t xml:space="preserve"> </w:t>
      </w:r>
    </w:p>
  </w:footnote>
  <w:footnote w:id="7">
    <w:p w14:paraId="690C43CB" w14:textId="4EFCA82B" w:rsidR="006941C9" w:rsidRPr="00D25EF5" w:rsidRDefault="006941C9" w:rsidP="006941C9">
      <w:pPr>
        <w:pStyle w:val="FootnoteText"/>
        <w:jc w:val="both"/>
        <w:rPr>
          <w:rFonts w:ascii="Courier New" w:hAnsi="Courier New" w:cs="Courier New"/>
        </w:rPr>
      </w:pPr>
      <w:r w:rsidRPr="00D25EF5">
        <w:rPr>
          <w:rStyle w:val="FootnoteReference"/>
          <w:rFonts w:ascii="Courier New" w:hAnsi="Courier New" w:cs="Courier New"/>
        </w:rPr>
        <w:footnoteRef/>
      </w:r>
      <w:r w:rsidRPr="00D25EF5">
        <w:rPr>
          <w:rFonts w:ascii="Courier New" w:hAnsi="Courier New" w:cs="Courier New"/>
        </w:rPr>
        <w:t xml:space="preserve"> That </w:t>
      </w:r>
      <w:r w:rsidR="00BA35FC" w:rsidRPr="00D25EF5">
        <w:rPr>
          <w:rFonts w:ascii="Courier New" w:hAnsi="Courier New" w:cs="Courier New"/>
        </w:rPr>
        <w:t>appeal</w:t>
      </w:r>
      <w:r w:rsidRPr="00D25EF5">
        <w:rPr>
          <w:rFonts w:ascii="Courier New" w:hAnsi="Courier New" w:cs="Courier New"/>
        </w:rPr>
        <w:t xml:space="preserve">, </w:t>
      </w:r>
      <w:r w:rsidR="00887608" w:rsidRPr="00D25EF5">
        <w:rPr>
          <w:rFonts w:ascii="Courier New" w:hAnsi="Courier New" w:cs="Courier New"/>
          <w:b/>
        </w:rPr>
        <w:t>Ass</w:t>
      </w:r>
      <w:r w:rsidRPr="00D25EF5">
        <w:rPr>
          <w:rFonts w:ascii="Courier New" w:hAnsi="Courier New" w:cs="Courier New"/>
          <w:b/>
          <w:i/>
        </w:rPr>
        <w:t>essors of the City of Boston v. Commissioner of Revenue</w:t>
      </w:r>
      <w:r w:rsidRPr="00D25EF5">
        <w:rPr>
          <w:rFonts w:ascii="Courier New" w:hAnsi="Courier New" w:cs="Courier New"/>
        </w:rPr>
        <w:t>, Docket No. C331142, is currently pending before the Board.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2C87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342560"/>
    <w:multiLevelType w:val="hybridMultilevel"/>
    <w:tmpl w:val="879AB7CE"/>
    <w:lvl w:ilvl="0" w:tplc="9ADC7B3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2274CC"/>
    <w:multiLevelType w:val="hybridMultilevel"/>
    <w:tmpl w:val="2312E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DB2E2D"/>
    <w:multiLevelType w:val="hybridMultilevel"/>
    <w:tmpl w:val="73EEDC5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7E"/>
    <w:rsid w:val="00004AD2"/>
    <w:rsid w:val="00004B40"/>
    <w:rsid w:val="00013D38"/>
    <w:rsid w:val="00017C7C"/>
    <w:rsid w:val="00020730"/>
    <w:rsid w:val="000251E3"/>
    <w:rsid w:val="000267B5"/>
    <w:rsid w:val="00032B26"/>
    <w:rsid w:val="00043882"/>
    <w:rsid w:val="00044D51"/>
    <w:rsid w:val="00044FD2"/>
    <w:rsid w:val="00046418"/>
    <w:rsid w:val="000566C7"/>
    <w:rsid w:val="00056952"/>
    <w:rsid w:val="0005793B"/>
    <w:rsid w:val="00063309"/>
    <w:rsid w:val="0007295F"/>
    <w:rsid w:val="00077BDC"/>
    <w:rsid w:val="0008294B"/>
    <w:rsid w:val="000829AF"/>
    <w:rsid w:val="00085782"/>
    <w:rsid w:val="000857D7"/>
    <w:rsid w:val="000863AE"/>
    <w:rsid w:val="00086579"/>
    <w:rsid w:val="00094BA1"/>
    <w:rsid w:val="0009523D"/>
    <w:rsid w:val="00097DA4"/>
    <w:rsid w:val="000A05C3"/>
    <w:rsid w:val="000A1196"/>
    <w:rsid w:val="000A4FAA"/>
    <w:rsid w:val="000A5C19"/>
    <w:rsid w:val="000B35AE"/>
    <w:rsid w:val="000B511B"/>
    <w:rsid w:val="000B5474"/>
    <w:rsid w:val="000B6FBF"/>
    <w:rsid w:val="000B785E"/>
    <w:rsid w:val="000C1501"/>
    <w:rsid w:val="000C5016"/>
    <w:rsid w:val="000C670E"/>
    <w:rsid w:val="000D1263"/>
    <w:rsid w:val="000D448C"/>
    <w:rsid w:val="000E2B95"/>
    <w:rsid w:val="000E524B"/>
    <w:rsid w:val="000E7248"/>
    <w:rsid w:val="000F06DB"/>
    <w:rsid w:val="000F0FFB"/>
    <w:rsid w:val="000F1BCA"/>
    <w:rsid w:val="000F3455"/>
    <w:rsid w:val="000F3772"/>
    <w:rsid w:val="000F5869"/>
    <w:rsid w:val="000F632E"/>
    <w:rsid w:val="000F710B"/>
    <w:rsid w:val="00104A88"/>
    <w:rsid w:val="001110D1"/>
    <w:rsid w:val="00111FFA"/>
    <w:rsid w:val="001159F4"/>
    <w:rsid w:val="00116EC5"/>
    <w:rsid w:val="00117BC0"/>
    <w:rsid w:val="001217EA"/>
    <w:rsid w:val="00123D87"/>
    <w:rsid w:val="001327C7"/>
    <w:rsid w:val="001353A5"/>
    <w:rsid w:val="00135EAB"/>
    <w:rsid w:val="0014453F"/>
    <w:rsid w:val="00146E3F"/>
    <w:rsid w:val="001474C5"/>
    <w:rsid w:val="001522CA"/>
    <w:rsid w:val="00157BD2"/>
    <w:rsid w:val="00160CAC"/>
    <w:rsid w:val="001610A0"/>
    <w:rsid w:val="00163ACD"/>
    <w:rsid w:val="00166D4F"/>
    <w:rsid w:val="00167860"/>
    <w:rsid w:val="0017461E"/>
    <w:rsid w:val="001835E5"/>
    <w:rsid w:val="00185756"/>
    <w:rsid w:val="00185E77"/>
    <w:rsid w:val="00187539"/>
    <w:rsid w:val="001917E6"/>
    <w:rsid w:val="001A31B1"/>
    <w:rsid w:val="001B1454"/>
    <w:rsid w:val="001B43C5"/>
    <w:rsid w:val="001B6C23"/>
    <w:rsid w:val="001B7E76"/>
    <w:rsid w:val="001C15CF"/>
    <w:rsid w:val="001C5336"/>
    <w:rsid w:val="001D202C"/>
    <w:rsid w:val="001D2633"/>
    <w:rsid w:val="001D38F3"/>
    <w:rsid w:val="001D75F3"/>
    <w:rsid w:val="001E28BA"/>
    <w:rsid w:val="001E5F6E"/>
    <w:rsid w:val="001F16FA"/>
    <w:rsid w:val="001F312D"/>
    <w:rsid w:val="001F3BB0"/>
    <w:rsid w:val="001F4F9E"/>
    <w:rsid w:val="0020001C"/>
    <w:rsid w:val="00201C7D"/>
    <w:rsid w:val="00203B9E"/>
    <w:rsid w:val="0021013B"/>
    <w:rsid w:val="00214489"/>
    <w:rsid w:val="00236B67"/>
    <w:rsid w:val="00242417"/>
    <w:rsid w:val="00243765"/>
    <w:rsid w:val="002437DB"/>
    <w:rsid w:val="0024596F"/>
    <w:rsid w:val="00247AC3"/>
    <w:rsid w:val="00253909"/>
    <w:rsid w:val="00261660"/>
    <w:rsid w:val="00263356"/>
    <w:rsid w:val="002659A9"/>
    <w:rsid w:val="0026692B"/>
    <w:rsid w:val="00267D12"/>
    <w:rsid w:val="0027110E"/>
    <w:rsid w:val="00274D6E"/>
    <w:rsid w:val="002820CA"/>
    <w:rsid w:val="00283896"/>
    <w:rsid w:val="00292033"/>
    <w:rsid w:val="002A0F8D"/>
    <w:rsid w:val="002A48E4"/>
    <w:rsid w:val="002A5A01"/>
    <w:rsid w:val="002A60AD"/>
    <w:rsid w:val="002A72B3"/>
    <w:rsid w:val="002B42DE"/>
    <w:rsid w:val="002B6550"/>
    <w:rsid w:val="002B7154"/>
    <w:rsid w:val="002C2F9E"/>
    <w:rsid w:val="002C4243"/>
    <w:rsid w:val="002C516D"/>
    <w:rsid w:val="002C7E44"/>
    <w:rsid w:val="002D260B"/>
    <w:rsid w:val="002D31B9"/>
    <w:rsid w:val="002D377F"/>
    <w:rsid w:val="002D6312"/>
    <w:rsid w:val="002E2705"/>
    <w:rsid w:val="002E3895"/>
    <w:rsid w:val="002E5B04"/>
    <w:rsid w:val="002F0055"/>
    <w:rsid w:val="002F4877"/>
    <w:rsid w:val="002F77B8"/>
    <w:rsid w:val="00300029"/>
    <w:rsid w:val="003008E9"/>
    <w:rsid w:val="00300B16"/>
    <w:rsid w:val="003014CA"/>
    <w:rsid w:val="00301A5D"/>
    <w:rsid w:val="003039AB"/>
    <w:rsid w:val="00315218"/>
    <w:rsid w:val="00315F83"/>
    <w:rsid w:val="00322DF2"/>
    <w:rsid w:val="00324B68"/>
    <w:rsid w:val="00324CB6"/>
    <w:rsid w:val="003251A0"/>
    <w:rsid w:val="0032613C"/>
    <w:rsid w:val="0032676F"/>
    <w:rsid w:val="00332D70"/>
    <w:rsid w:val="003352B1"/>
    <w:rsid w:val="0033679B"/>
    <w:rsid w:val="00342265"/>
    <w:rsid w:val="003427DA"/>
    <w:rsid w:val="003428C5"/>
    <w:rsid w:val="00345DB2"/>
    <w:rsid w:val="00354089"/>
    <w:rsid w:val="00362360"/>
    <w:rsid w:val="003630F7"/>
    <w:rsid w:val="00364B57"/>
    <w:rsid w:val="003676F8"/>
    <w:rsid w:val="00370B4F"/>
    <w:rsid w:val="00374FFF"/>
    <w:rsid w:val="0037681F"/>
    <w:rsid w:val="00376A6D"/>
    <w:rsid w:val="00377C58"/>
    <w:rsid w:val="00380A90"/>
    <w:rsid w:val="00384DF6"/>
    <w:rsid w:val="00385CB0"/>
    <w:rsid w:val="00386130"/>
    <w:rsid w:val="0039090D"/>
    <w:rsid w:val="00393370"/>
    <w:rsid w:val="00394EAA"/>
    <w:rsid w:val="003A1D61"/>
    <w:rsid w:val="003A23BD"/>
    <w:rsid w:val="003A461D"/>
    <w:rsid w:val="003A7D11"/>
    <w:rsid w:val="003B1323"/>
    <w:rsid w:val="003B1BBF"/>
    <w:rsid w:val="003B1DA3"/>
    <w:rsid w:val="003B3B35"/>
    <w:rsid w:val="003B711E"/>
    <w:rsid w:val="003C09A3"/>
    <w:rsid w:val="003C1305"/>
    <w:rsid w:val="003C2D6B"/>
    <w:rsid w:val="003C5D9B"/>
    <w:rsid w:val="003D318B"/>
    <w:rsid w:val="003D44E4"/>
    <w:rsid w:val="003D621E"/>
    <w:rsid w:val="003D76A6"/>
    <w:rsid w:val="003E1E77"/>
    <w:rsid w:val="003E447E"/>
    <w:rsid w:val="003E73E7"/>
    <w:rsid w:val="003E7B21"/>
    <w:rsid w:val="003F0560"/>
    <w:rsid w:val="00401190"/>
    <w:rsid w:val="00403C72"/>
    <w:rsid w:val="004049BE"/>
    <w:rsid w:val="00405687"/>
    <w:rsid w:val="00414849"/>
    <w:rsid w:val="004267C0"/>
    <w:rsid w:val="00426838"/>
    <w:rsid w:val="00427A73"/>
    <w:rsid w:val="0043241D"/>
    <w:rsid w:val="0043478F"/>
    <w:rsid w:val="00440A2D"/>
    <w:rsid w:val="00441177"/>
    <w:rsid w:val="0044336A"/>
    <w:rsid w:val="00450675"/>
    <w:rsid w:val="004519B6"/>
    <w:rsid w:val="00451B7E"/>
    <w:rsid w:val="00452BC5"/>
    <w:rsid w:val="00453A0E"/>
    <w:rsid w:val="0045517A"/>
    <w:rsid w:val="004555FF"/>
    <w:rsid w:val="0045596E"/>
    <w:rsid w:val="0045753B"/>
    <w:rsid w:val="00461296"/>
    <w:rsid w:val="00461F86"/>
    <w:rsid w:val="004704FB"/>
    <w:rsid w:val="00470F25"/>
    <w:rsid w:val="004711F9"/>
    <w:rsid w:val="00471B09"/>
    <w:rsid w:val="00481680"/>
    <w:rsid w:val="00482B10"/>
    <w:rsid w:val="004851C9"/>
    <w:rsid w:val="004876F1"/>
    <w:rsid w:val="004918C2"/>
    <w:rsid w:val="00491C87"/>
    <w:rsid w:val="004A0151"/>
    <w:rsid w:val="004A3A67"/>
    <w:rsid w:val="004A41D3"/>
    <w:rsid w:val="004A4AF6"/>
    <w:rsid w:val="004A62DD"/>
    <w:rsid w:val="004B2BC9"/>
    <w:rsid w:val="004B3B23"/>
    <w:rsid w:val="004B49EA"/>
    <w:rsid w:val="004B6BE6"/>
    <w:rsid w:val="004B78D5"/>
    <w:rsid w:val="004B7CF9"/>
    <w:rsid w:val="004C01CB"/>
    <w:rsid w:val="004C0808"/>
    <w:rsid w:val="004C19B9"/>
    <w:rsid w:val="004C3997"/>
    <w:rsid w:val="004C45EC"/>
    <w:rsid w:val="004C65E4"/>
    <w:rsid w:val="004D2558"/>
    <w:rsid w:val="004D3D87"/>
    <w:rsid w:val="004E1E4B"/>
    <w:rsid w:val="004E7058"/>
    <w:rsid w:val="004E7CB5"/>
    <w:rsid w:val="004F00F4"/>
    <w:rsid w:val="004F6701"/>
    <w:rsid w:val="004F779E"/>
    <w:rsid w:val="004F7AF5"/>
    <w:rsid w:val="00502252"/>
    <w:rsid w:val="0050708D"/>
    <w:rsid w:val="00517978"/>
    <w:rsid w:val="00517FBD"/>
    <w:rsid w:val="00521CC8"/>
    <w:rsid w:val="00522C20"/>
    <w:rsid w:val="00531768"/>
    <w:rsid w:val="00532042"/>
    <w:rsid w:val="005328BC"/>
    <w:rsid w:val="00532C77"/>
    <w:rsid w:val="00534DD5"/>
    <w:rsid w:val="00542D27"/>
    <w:rsid w:val="00546E2D"/>
    <w:rsid w:val="00550044"/>
    <w:rsid w:val="00550DC7"/>
    <w:rsid w:val="00553BCB"/>
    <w:rsid w:val="00557635"/>
    <w:rsid w:val="005633D2"/>
    <w:rsid w:val="005708C8"/>
    <w:rsid w:val="00574E43"/>
    <w:rsid w:val="00576671"/>
    <w:rsid w:val="00577F55"/>
    <w:rsid w:val="0058122C"/>
    <w:rsid w:val="00581DBC"/>
    <w:rsid w:val="00582721"/>
    <w:rsid w:val="00583726"/>
    <w:rsid w:val="00585A52"/>
    <w:rsid w:val="0058703C"/>
    <w:rsid w:val="00587768"/>
    <w:rsid w:val="00590B8E"/>
    <w:rsid w:val="00593AE6"/>
    <w:rsid w:val="00595CDF"/>
    <w:rsid w:val="0059687B"/>
    <w:rsid w:val="0059777C"/>
    <w:rsid w:val="00597BAD"/>
    <w:rsid w:val="00597C78"/>
    <w:rsid w:val="005A22C1"/>
    <w:rsid w:val="005A2710"/>
    <w:rsid w:val="005A4F86"/>
    <w:rsid w:val="005A6206"/>
    <w:rsid w:val="005B0CE3"/>
    <w:rsid w:val="005B187C"/>
    <w:rsid w:val="005B1943"/>
    <w:rsid w:val="005C08FA"/>
    <w:rsid w:val="005C125D"/>
    <w:rsid w:val="005C2596"/>
    <w:rsid w:val="005C5C84"/>
    <w:rsid w:val="005D4491"/>
    <w:rsid w:val="005D4A34"/>
    <w:rsid w:val="005E44B3"/>
    <w:rsid w:val="005E7164"/>
    <w:rsid w:val="005F40DB"/>
    <w:rsid w:val="005F6577"/>
    <w:rsid w:val="005F6D88"/>
    <w:rsid w:val="00602350"/>
    <w:rsid w:val="00602415"/>
    <w:rsid w:val="00605CAA"/>
    <w:rsid w:val="00611A4E"/>
    <w:rsid w:val="00614458"/>
    <w:rsid w:val="00615C7C"/>
    <w:rsid w:val="00617BB3"/>
    <w:rsid w:val="00620DDA"/>
    <w:rsid w:val="006210F5"/>
    <w:rsid w:val="00622A42"/>
    <w:rsid w:val="00622DBC"/>
    <w:rsid w:val="0062483B"/>
    <w:rsid w:val="0062638E"/>
    <w:rsid w:val="0062733B"/>
    <w:rsid w:val="00627ACE"/>
    <w:rsid w:val="00631EA2"/>
    <w:rsid w:val="00633462"/>
    <w:rsid w:val="0063491D"/>
    <w:rsid w:val="00637C5C"/>
    <w:rsid w:val="006513D4"/>
    <w:rsid w:val="0065545F"/>
    <w:rsid w:val="006562CD"/>
    <w:rsid w:val="00660641"/>
    <w:rsid w:val="006611BB"/>
    <w:rsid w:val="006616CC"/>
    <w:rsid w:val="0066445C"/>
    <w:rsid w:val="00665A16"/>
    <w:rsid w:val="00670BBD"/>
    <w:rsid w:val="00671626"/>
    <w:rsid w:val="00672868"/>
    <w:rsid w:val="0067306C"/>
    <w:rsid w:val="006808D9"/>
    <w:rsid w:val="00680F2E"/>
    <w:rsid w:val="00682529"/>
    <w:rsid w:val="00684AD2"/>
    <w:rsid w:val="00693C31"/>
    <w:rsid w:val="006941C9"/>
    <w:rsid w:val="00694AA0"/>
    <w:rsid w:val="00695EC1"/>
    <w:rsid w:val="006966C8"/>
    <w:rsid w:val="00697524"/>
    <w:rsid w:val="006A03D4"/>
    <w:rsid w:val="006B2AF5"/>
    <w:rsid w:val="006C61AE"/>
    <w:rsid w:val="006D651D"/>
    <w:rsid w:val="006D6BEE"/>
    <w:rsid w:val="006E1430"/>
    <w:rsid w:val="006E4584"/>
    <w:rsid w:val="006E5284"/>
    <w:rsid w:val="006E62C1"/>
    <w:rsid w:val="006F11E0"/>
    <w:rsid w:val="00701CBA"/>
    <w:rsid w:val="00703603"/>
    <w:rsid w:val="00703EFC"/>
    <w:rsid w:val="007059C9"/>
    <w:rsid w:val="00705B6D"/>
    <w:rsid w:val="00710553"/>
    <w:rsid w:val="00710820"/>
    <w:rsid w:val="00713F7A"/>
    <w:rsid w:val="00717B1D"/>
    <w:rsid w:val="00721B2E"/>
    <w:rsid w:val="00721D09"/>
    <w:rsid w:val="00723772"/>
    <w:rsid w:val="007333A9"/>
    <w:rsid w:val="007354DE"/>
    <w:rsid w:val="00735B73"/>
    <w:rsid w:val="00740D97"/>
    <w:rsid w:val="00741243"/>
    <w:rsid w:val="00741717"/>
    <w:rsid w:val="00741B31"/>
    <w:rsid w:val="00744AB6"/>
    <w:rsid w:val="0074568C"/>
    <w:rsid w:val="007472C0"/>
    <w:rsid w:val="00747833"/>
    <w:rsid w:val="00750F96"/>
    <w:rsid w:val="00753621"/>
    <w:rsid w:val="00754F73"/>
    <w:rsid w:val="00756C0F"/>
    <w:rsid w:val="00761CE3"/>
    <w:rsid w:val="007711E2"/>
    <w:rsid w:val="0077400C"/>
    <w:rsid w:val="0079178F"/>
    <w:rsid w:val="00794627"/>
    <w:rsid w:val="00794DBC"/>
    <w:rsid w:val="0079783B"/>
    <w:rsid w:val="007A134D"/>
    <w:rsid w:val="007A1676"/>
    <w:rsid w:val="007A3B80"/>
    <w:rsid w:val="007A673C"/>
    <w:rsid w:val="007B0C94"/>
    <w:rsid w:val="007B7850"/>
    <w:rsid w:val="007C0DD7"/>
    <w:rsid w:val="007C4B6D"/>
    <w:rsid w:val="007C5730"/>
    <w:rsid w:val="007D1862"/>
    <w:rsid w:val="007D1FB8"/>
    <w:rsid w:val="007E0944"/>
    <w:rsid w:val="007E0D91"/>
    <w:rsid w:val="007E2DA8"/>
    <w:rsid w:val="007E3C69"/>
    <w:rsid w:val="007E47F3"/>
    <w:rsid w:val="007E4D14"/>
    <w:rsid w:val="007F0CA0"/>
    <w:rsid w:val="007F1EFA"/>
    <w:rsid w:val="007F5528"/>
    <w:rsid w:val="008026B6"/>
    <w:rsid w:val="008055B4"/>
    <w:rsid w:val="00806532"/>
    <w:rsid w:val="00807C49"/>
    <w:rsid w:val="008116BE"/>
    <w:rsid w:val="008133D5"/>
    <w:rsid w:val="00814251"/>
    <w:rsid w:val="00814B2C"/>
    <w:rsid w:val="008244CF"/>
    <w:rsid w:val="00824627"/>
    <w:rsid w:val="008423E3"/>
    <w:rsid w:val="0084544A"/>
    <w:rsid w:val="0084681F"/>
    <w:rsid w:val="00846DEE"/>
    <w:rsid w:val="00846DF9"/>
    <w:rsid w:val="00854966"/>
    <w:rsid w:val="00855BCC"/>
    <w:rsid w:val="008563FA"/>
    <w:rsid w:val="00856EBC"/>
    <w:rsid w:val="0086037A"/>
    <w:rsid w:val="0086458D"/>
    <w:rsid w:val="008733C2"/>
    <w:rsid w:val="00874089"/>
    <w:rsid w:val="00874990"/>
    <w:rsid w:val="00874F9C"/>
    <w:rsid w:val="0088294D"/>
    <w:rsid w:val="00887608"/>
    <w:rsid w:val="00892685"/>
    <w:rsid w:val="008968C3"/>
    <w:rsid w:val="00897BBE"/>
    <w:rsid w:val="008A24E4"/>
    <w:rsid w:val="008A37B9"/>
    <w:rsid w:val="008A458B"/>
    <w:rsid w:val="008A4782"/>
    <w:rsid w:val="008A4D1F"/>
    <w:rsid w:val="008A6B4B"/>
    <w:rsid w:val="008B2213"/>
    <w:rsid w:val="008B3656"/>
    <w:rsid w:val="008C0BA9"/>
    <w:rsid w:val="008C2A22"/>
    <w:rsid w:val="008C6DC0"/>
    <w:rsid w:val="008C6FF3"/>
    <w:rsid w:val="008D534C"/>
    <w:rsid w:val="008D5B03"/>
    <w:rsid w:val="008D7A8F"/>
    <w:rsid w:val="008E0C40"/>
    <w:rsid w:val="008E11E3"/>
    <w:rsid w:val="008F78D7"/>
    <w:rsid w:val="008F7E26"/>
    <w:rsid w:val="00900C1A"/>
    <w:rsid w:val="00903ED0"/>
    <w:rsid w:val="00904829"/>
    <w:rsid w:val="00910729"/>
    <w:rsid w:val="00910AFE"/>
    <w:rsid w:val="00911AE1"/>
    <w:rsid w:val="009204FB"/>
    <w:rsid w:val="00925410"/>
    <w:rsid w:val="009257B3"/>
    <w:rsid w:val="00930E5D"/>
    <w:rsid w:val="009346EF"/>
    <w:rsid w:val="00935747"/>
    <w:rsid w:val="00935B86"/>
    <w:rsid w:val="00937AB7"/>
    <w:rsid w:val="00941D51"/>
    <w:rsid w:val="0094588C"/>
    <w:rsid w:val="009473C0"/>
    <w:rsid w:val="00950C45"/>
    <w:rsid w:val="00957876"/>
    <w:rsid w:val="00960EEC"/>
    <w:rsid w:val="00961D67"/>
    <w:rsid w:val="00961FDB"/>
    <w:rsid w:val="00965158"/>
    <w:rsid w:val="009739AA"/>
    <w:rsid w:val="0097400D"/>
    <w:rsid w:val="009754F7"/>
    <w:rsid w:val="0098271C"/>
    <w:rsid w:val="00982924"/>
    <w:rsid w:val="00985C50"/>
    <w:rsid w:val="009918AC"/>
    <w:rsid w:val="00993824"/>
    <w:rsid w:val="00994A12"/>
    <w:rsid w:val="009A1822"/>
    <w:rsid w:val="009B4C35"/>
    <w:rsid w:val="009B60DF"/>
    <w:rsid w:val="009B6FDC"/>
    <w:rsid w:val="009C0128"/>
    <w:rsid w:val="009C09D3"/>
    <w:rsid w:val="009C3013"/>
    <w:rsid w:val="009D03C6"/>
    <w:rsid w:val="009E1610"/>
    <w:rsid w:val="009E1CE1"/>
    <w:rsid w:val="009E255C"/>
    <w:rsid w:val="009E2DC8"/>
    <w:rsid w:val="009E67FC"/>
    <w:rsid w:val="009E75E2"/>
    <w:rsid w:val="009F05BE"/>
    <w:rsid w:val="009F4203"/>
    <w:rsid w:val="009F45F4"/>
    <w:rsid w:val="00A0040E"/>
    <w:rsid w:val="00A07507"/>
    <w:rsid w:val="00A10EEB"/>
    <w:rsid w:val="00A1390B"/>
    <w:rsid w:val="00A20DBA"/>
    <w:rsid w:val="00A25C96"/>
    <w:rsid w:val="00A27163"/>
    <w:rsid w:val="00A306FF"/>
    <w:rsid w:val="00A315FF"/>
    <w:rsid w:val="00A33C3F"/>
    <w:rsid w:val="00A343F8"/>
    <w:rsid w:val="00A35724"/>
    <w:rsid w:val="00A40527"/>
    <w:rsid w:val="00A433B8"/>
    <w:rsid w:val="00A444A6"/>
    <w:rsid w:val="00A445D4"/>
    <w:rsid w:val="00A50199"/>
    <w:rsid w:val="00A5177E"/>
    <w:rsid w:val="00A55913"/>
    <w:rsid w:val="00A55DE0"/>
    <w:rsid w:val="00A562FA"/>
    <w:rsid w:val="00A564C1"/>
    <w:rsid w:val="00A62169"/>
    <w:rsid w:val="00A63135"/>
    <w:rsid w:val="00A676CA"/>
    <w:rsid w:val="00A700AE"/>
    <w:rsid w:val="00A8083B"/>
    <w:rsid w:val="00A82DC1"/>
    <w:rsid w:val="00A9095D"/>
    <w:rsid w:val="00A91D3B"/>
    <w:rsid w:val="00A9352D"/>
    <w:rsid w:val="00A95FE5"/>
    <w:rsid w:val="00A977CA"/>
    <w:rsid w:val="00AA04F6"/>
    <w:rsid w:val="00AB3312"/>
    <w:rsid w:val="00AB35CE"/>
    <w:rsid w:val="00AB507C"/>
    <w:rsid w:val="00AB7A9A"/>
    <w:rsid w:val="00AC0C8A"/>
    <w:rsid w:val="00AC3CB0"/>
    <w:rsid w:val="00AC5F0A"/>
    <w:rsid w:val="00AC6647"/>
    <w:rsid w:val="00AC7A6E"/>
    <w:rsid w:val="00AD1D85"/>
    <w:rsid w:val="00AD22B4"/>
    <w:rsid w:val="00AD4CEC"/>
    <w:rsid w:val="00AD6CBF"/>
    <w:rsid w:val="00AE0867"/>
    <w:rsid w:val="00AE25D2"/>
    <w:rsid w:val="00AE305A"/>
    <w:rsid w:val="00AE3CA7"/>
    <w:rsid w:val="00AE3E5F"/>
    <w:rsid w:val="00AE6AC4"/>
    <w:rsid w:val="00AE7348"/>
    <w:rsid w:val="00AF1380"/>
    <w:rsid w:val="00AF7ED1"/>
    <w:rsid w:val="00B02EE0"/>
    <w:rsid w:val="00B03171"/>
    <w:rsid w:val="00B07682"/>
    <w:rsid w:val="00B1152F"/>
    <w:rsid w:val="00B1174F"/>
    <w:rsid w:val="00B212C2"/>
    <w:rsid w:val="00B22671"/>
    <w:rsid w:val="00B22CC7"/>
    <w:rsid w:val="00B234AD"/>
    <w:rsid w:val="00B24509"/>
    <w:rsid w:val="00B2696C"/>
    <w:rsid w:val="00B26EE9"/>
    <w:rsid w:val="00B2705C"/>
    <w:rsid w:val="00B27EFE"/>
    <w:rsid w:val="00B3020F"/>
    <w:rsid w:val="00B3264F"/>
    <w:rsid w:val="00B3434F"/>
    <w:rsid w:val="00B344A2"/>
    <w:rsid w:val="00B36F54"/>
    <w:rsid w:val="00B416FF"/>
    <w:rsid w:val="00B44524"/>
    <w:rsid w:val="00B4706D"/>
    <w:rsid w:val="00B50945"/>
    <w:rsid w:val="00B521EB"/>
    <w:rsid w:val="00B526D0"/>
    <w:rsid w:val="00B54E93"/>
    <w:rsid w:val="00B56326"/>
    <w:rsid w:val="00B57640"/>
    <w:rsid w:val="00B6080B"/>
    <w:rsid w:val="00B629C0"/>
    <w:rsid w:val="00B64429"/>
    <w:rsid w:val="00B672C7"/>
    <w:rsid w:val="00B7032D"/>
    <w:rsid w:val="00B729DA"/>
    <w:rsid w:val="00B73A04"/>
    <w:rsid w:val="00B80542"/>
    <w:rsid w:val="00B819C3"/>
    <w:rsid w:val="00B8227A"/>
    <w:rsid w:val="00B844C0"/>
    <w:rsid w:val="00B84A7D"/>
    <w:rsid w:val="00B853E5"/>
    <w:rsid w:val="00B929A8"/>
    <w:rsid w:val="00B935E7"/>
    <w:rsid w:val="00B94747"/>
    <w:rsid w:val="00B95B29"/>
    <w:rsid w:val="00B95C93"/>
    <w:rsid w:val="00B96442"/>
    <w:rsid w:val="00B968A8"/>
    <w:rsid w:val="00BA0076"/>
    <w:rsid w:val="00BA05FD"/>
    <w:rsid w:val="00BA35FC"/>
    <w:rsid w:val="00BA783C"/>
    <w:rsid w:val="00BB2F66"/>
    <w:rsid w:val="00BC54D6"/>
    <w:rsid w:val="00BC7401"/>
    <w:rsid w:val="00BD0AE3"/>
    <w:rsid w:val="00BD5CC3"/>
    <w:rsid w:val="00BE2A61"/>
    <w:rsid w:val="00BE5CD5"/>
    <w:rsid w:val="00BE7EF6"/>
    <w:rsid w:val="00BF48AE"/>
    <w:rsid w:val="00C005F3"/>
    <w:rsid w:val="00C039A1"/>
    <w:rsid w:val="00C04A34"/>
    <w:rsid w:val="00C066B7"/>
    <w:rsid w:val="00C100C0"/>
    <w:rsid w:val="00C139EC"/>
    <w:rsid w:val="00C15647"/>
    <w:rsid w:val="00C20EA6"/>
    <w:rsid w:val="00C21922"/>
    <w:rsid w:val="00C2285A"/>
    <w:rsid w:val="00C27B28"/>
    <w:rsid w:val="00C316AC"/>
    <w:rsid w:val="00C31BA2"/>
    <w:rsid w:val="00C45382"/>
    <w:rsid w:val="00C4708D"/>
    <w:rsid w:val="00C471C2"/>
    <w:rsid w:val="00C50D63"/>
    <w:rsid w:val="00C552CF"/>
    <w:rsid w:val="00C5661A"/>
    <w:rsid w:val="00C63229"/>
    <w:rsid w:val="00C67C9E"/>
    <w:rsid w:val="00C748F9"/>
    <w:rsid w:val="00C76629"/>
    <w:rsid w:val="00C772D3"/>
    <w:rsid w:val="00C8006B"/>
    <w:rsid w:val="00C85DF2"/>
    <w:rsid w:val="00C9266A"/>
    <w:rsid w:val="00C92CC7"/>
    <w:rsid w:val="00C938DC"/>
    <w:rsid w:val="00CA308C"/>
    <w:rsid w:val="00CA5D90"/>
    <w:rsid w:val="00CA687D"/>
    <w:rsid w:val="00CB08E5"/>
    <w:rsid w:val="00CB17BA"/>
    <w:rsid w:val="00CB6C86"/>
    <w:rsid w:val="00CC6675"/>
    <w:rsid w:val="00CC6B06"/>
    <w:rsid w:val="00CD2446"/>
    <w:rsid w:val="00CD6D91"/>
    <w:rsid w:val="00CD76AF"/>
    <w:rsid w:val="00CF1B22"/>
    <w:rsid w:val="00CF4299"/>
    <w:rsid w:val="00CF67E3"/>
    <w:rsid w:val="00D01D66"/>
    <w:rsid w:val="00D11448"/>
    <w:rsid w:val="00D12B50"/>
    <w:rsid w:val="00D13FC4"/>
    <w:rsid w:val="00D15DD8"/>
    <w:rsid w:val="00D17A63"/>
    <w:rsid w:val="00D201DD"/>
    <w:rsid w:val="00D2315A"/>
    <w:rsid w:val="00D25EF5"/>
    <w:rsid w:val="00D315FF"/>
    <w:rsid w:val="00D3373F"/>
    <w:rsid w:val="00D347A7"/>
    <w:rsid w:val="00D362F6"/>
    <w:rsid w:val="00D36897"/>
    <w:rsid w:val="00D379D7"/>
    <w:rsid w:val="00D41A66"/>
    <w:rsid w:val="00D4413D"/>
    <w:rsid w:val="00D5106F"/>
    <w:rsid w:val="00D51553"/>
    <w:rsid w:val="00D519BE"/>
    <w:rsid w:val="00D51B7A"/>
    <w:rsid w:val="00D567C9"/>
    <w:rsid w:val="00D56A7C"/>
    <w:rsid w:val="00D627E5"/>
    <w:rsid w:val="00D640C4"/>
    <w:rsid w:val="00D64ECB"/>
    <w:rsid w:val="00D65876"/>
    <w:rsid w:val="00D7051C"/>
    <w:rsid w:val="00D740C9"/>
    <w:rsid w:val="00D744A4"/>
    <w:rsid w:val="00D7607A"/>
    <w:rsid w:val="00D839B0"/>
    <w:rsid w:val="00D84443"/>
    <w:rsid w:val="00D847AA"/>
    <w:rsid w:val="00D870CA"/>
    <w:rsid w:val="00D96D25"/>
    <w:rsid w:val="00DA3E68"/>
    <w:rsid w:val="00DA4D77"/>
    <w:rsid w:val="00DA7896"/>
    <w:rsid w:val="00DB4A59"/>
    <w:rsid w:val="00DB57C7"/>
    <w:rsid w:val="00DB7E46"/>
    <w:rsid w:val="00DC0E44"/>
    <w:rsid w:val="00DC2595"/>
    <w:rsid w:val="00DC2C3C"/>
    <w:rsid w:val="00DC54CF"/>
    <w:rsid w:val="00DD19FD"/>
    <w:rsid w:val="00DD2697"/>
    <w:rsid w:val="00DD7178"/>
    <w:rsid w:val="00DE046D"/>
    <w:rsid w:val="00DE2CB2"/>
    <w:rsid w:val="00DE4B1F"/>
    <w:rsid w:val="00DE6A11"/>
    <w:rsid w:val="00DF2275"/>
    <w:rsid w:val="00DF3C1E"/>
    <w:rsid w:val="00DF66EC"/>
    <w:rsid w:val="00E0245E"/>
    <w:rsid w:val="00E0445F"/>
    <w:rsid w:val="00E04BBD"/>
    <w:rsid w:val="00E0661E"/>
    <w:rsid w:val="00E068D1"/>
    <w:rsid w:val="00E11A42"/>
    <w:rsid w:val="00E129AC"/>
    <w:rsid w:val="00E17376"/>
    <w:rsid w:val="00E21FEC"/>
    <w:rsid w:val="00E2614D"/>
    <w:rsid w:val="00E26884"/>
    <w:rsid w:val="00E27CAB"/>
    <w:rsid w:val="00E317FD"/>
    <w:rsid w:val="00E334C6"/>
    <w:rsid w:val="00E3760F"/>
    <w:rsid w:val="00E4127C"/>
    <w:rsid w:val="00E414C6"/>
    <w:rsid w:val="00E429F1"/>
    <w:rsid w:val="00E51EDB"/>
    <w:rsid w:val="00E5257B"/>
    <w:rsid w:val="00E53935"/>
    <w:rsid w:val="00E56B8B"/>
    <w:rsid w:val="00E60D44"/>
    <w:rsid w:val="00E62AEC"/>
    <w:rsid w:val="00E63CA5"/>
    <w:rsid w:val="00E64531"/>
    <w:rsid w:val="00E67A91"/>
    <w:rsid w:val="00E7046D"/>
    <w:rsid w:val="00E71FE1"/>
    <w:rsid w:val="00E729C6"/>
    <w:rsid w:val="00E767ED"/>
    <w:rsid w:val="00E769F8"/>
    <w:rsid w:val="00E77608"/>
    <w:rsid w:val="00E84D3E"/>
    <w:rsid w:val="00E859E7"/>
    <w:rsid w:val="00E860C6"/>
    <w:rsid w:val="00E871E8"/>
    <w:rsid w:val="00E92015"/>
    <w:rsid w:val="00E974C8"/>
    <w:rsid w:val="00EA387E"/>
    <w:rsid w:val="00EA45A9"/>
    <w:rsid w:val="00EA495C"/>
    <w:rsid w:val="00EB0616"/>
    <w:rsid w:val="00EB1300"/>
    <w:rsid w:val="00EB3803"/>
    <w:rsid w:val="00EC12BF"/>
    <w:rsid w:val="00EC1FDB"/>
    <w:rsid w:val="00EC4969"/>
    <w:rsid w:val="00EC6FE9"/>
    <w:rsid w:val="00ED2AA2"/>
    <w:rsid w:val="00ED3ECE"/>
    <w:rsid w:val="00ED5703"/>
    <w:rsid w:val="00ED5F19"/>
    <w:rsid w:val="00ED63FE"/>
    <w:rsid w:val="00EE0D67"/>
    <w:rsid w:val="00EE150B"/>
    <w:rsid w:val="00EE2FF8"/>
    <w:rsid w:val="00EE43B1"/>
    <w:rsid w:val="00EE6477"/>
    <w:rsid w:val="00EE7769"/>
    <w:rsid w:val="00EF0A4C"/>
    <w:rsid w:val="00EF10F2"/>
    <w:rsid w:val="00EF5EBD"/>
    <w:rsid w:val="00EF77C7"/>
    <w:rsid w:val="00F0360F"/>
    <w:rsid w:val="00F045B9"/>
    <w:rsid w:val="00F05361"/>
    <w:rsid w:val="00F0678F"/>
    <w:rsid w:val="00F10001"/>
    <w:rsid w:val="00F11109"/>
    <w:rsid w:val="00F115A1"/>
    <w:rsid w:val="00F139BA"/>
    <w:rsid w:val="00F14558"/>
    <w:rsid w:val="00F14B50"/>
    <w:rsid w:val="00F173B5"/>
    <w:rsid w:val="00F20606"/>
    <w:rsid w:val="00F20F6B"/>
    <w:rsid w:val="00F24F2D"/>
    <w:rsid w:val="00F265B7"/>
    <w:rsid w:val="00F26719"/>
    <w:rsid w:val="00F26C2B"/>
    <w:rsid w:val="00F3014B"/>
    <w:rsid w:val="00F30F53"/>
    <w:rsid w:val="00F40D0F"/>
    <w:rsid w:val="00F41777"/>
    <w:rsid w:val="00F41F80"/>
    <w:rsid w:val="00F42143"/>
    <w:rsid w:val="00F43A68"/>
    <w:rsid w:val="00F450CA"/>
    <w:rsid w:val="00F472B2"/>
    <w:rsid w:val="00F50B76"/>
    <w:rsid w:val="00F61ED7"/>
    <w:rsid w:val="00F62A83"/>
    <w:rsid w:val="00F63689"/>
    <w:rsid w:val="00F63ED1"/>
    <w:rsid w:val="00F71018"/>
    <w:rsid w:val="00F73109"/>
    <w:rsid w:val="00F74213"/>
    <w:rsid w:val="00F75446"/>
    <w:rsid w:val="00F76280"/>
    <w:rsid w:val="00F762A7"/>
    <w:rsid w:val="00F80074"/>
    <w:rsid w:val="00F808E6"/>
    <w:rsid w:val="00F815D0"/>
    <w:rsid w:val="00F81AAE"/>
    <w:rsid w:val="00F83882"/>
    <w:rsid w:val="00F84642"/>
    <w:rsid w:val="00F84D8B"/>
    <w:rsid w:val="00F87C84"/>
    <w:rsid w:val="00F91791"/>
    <w:rsid w:val="00F9201F"/>
    <w:rsid w:val="00F94C04"/>
    <w:rsid w:val="00FA3BB7"/>
    <w:rsid w:val="00FA461C"/>
    <w:rsid w:val="00FA67A4"/>
    <w:rsid w:val="00FB1177"/>
    <w:rsid w:val="00FB3EBA"/>
    <w:rsid w:val="00FB3F22"/>
    <w:rsid w:val="00FB6624"/>
    <w:rsid w:val="00FC1096"/>
    <w:rsid w:val="00FC25F4"/>
    <w:rsid w:val="00FC47CE"/>
    <w:rsid w:val="00FC5335"/>
    <w:rsid w:val="00FC5D6A"/>
    <w:rsid w:val="00FC7055"/>
    <w:rsid w:val="00FC7FF3"/>
    <w:rsid w:val="00FD501D"/>
    <w:rsid w:val="00FE3C06"/>
    <w:rsid w:val="00FE49C9"/>
    <w:rsid w:val="00FE4E3A"/>
    <w:rsid w:val="00FE7482"/>
    <w:rsid w:val="00FE7F7A"/>
    <w:rsid w:val="00FF2256"/>
    <w:rsid w:val="00FF36CC"/>
    <w:rsid w:val="00FF5807"/>
    <w:rsid w:val="00FF6BA3"/>
    <w:rsid w:val="00FF7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F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7C9"/>
    <w:rPr>
      <w:sz w:val="24"/>
      <w:szCs w:val="24"/>
    </w:rPr>
  </w:style>
  <w:style w:type="paragraph" w:styleId="Heading1">
    <w:name w:val="heading 1"/>
    <w:basedOn w:val="Normal"/>
    <w:next w:val="Normal"/>
    <w:qFormat/>
    <w:rsid w:val="003E447E"/>
    <w:pPr>
      <w:keepNext/>
      <w:jc w:val="both"/>
      <w:outlineLvl w:val="0"/>
    </w:pPr>
    <w:rPr>
      <w:rFonts w:ascii="Courier New" w:hAnsi="Courier New" w:cs="Courier New"/>
      <w:b/>
      <w:bCs/>
    </w:rPr>
  </w:style>
  <w:style w:type="paragraph" w:styleId="Heading2">
    <w:name w:val="heading 2"/>
    <w:basedOn w:val="Normal"/>
    <w:next w:val="Normal"/>
    <w:qFormat/>
    <w:rsid w:val="003E447E"/>
    <w:pPr>
      <w:keepNext/>
      <w:spacing w:line="480" w:lineRule="auto"/>
      <w:jc w:val="center"/>
      <w:outlineLvl w:val="1"/>
    </w:pPr>
    <w:rPr>
      <w:rFonts w:ascii="Courier New" w:hAnsi="Courier New" w:cs="Courier New"/>
      <w:b/>
      <w:bCs/>
    </w:rPr>
  </w:style>
  <w:style w:type="paragraph" w:styleId="Heading3">
    <w:name w:val="heading 3"/>
    <w:basedOn w:val="Normal"/>
    <w:next w:val="Normal"/>
    <w:qFormat/>
    <w:rsid w:val="003E447E"/>
    <w:pPr>
      <w:keepNext/>
      <w:jc w:val="center"/>
      <w:outlineLvl w:val="2"/>
    </w:pPr>
    <w:rPr>
      <w:rFonts w:ascii="Courier New" w:hAnsi="Courier New" w:cs="Courier New"/>
      <w:b/>
      <w:bCs/>
      <w:u w:val="single"/>
    </w:rPr>
  </w:style>
  <w:style w:type="paragraph" w:styleId="Heading4">
    <w:name w:val="heading 4"/>
    <w:basedOn w:val="Normal"/>
    <w:next w:val="Normal"/>
    <w:qFormat/>
    <w:rsid w:val="003E447E"/>
    <w:pPr>
      <w:keepNext/>
      <w:jc w:val="center"/>
      <w:outlineLvl w:val="3"/>
    </w:pPr>
    <w:rPr>
      <w:rFonts w:ascii="Courier New"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447E"/>
    <w:pPr>
      <w:jc w:val="center"/>
    </w:pPr>
    <w:rPr>
      <w:rFonts w:ascii="Courier New" w:hAnsi="Courier New" w:cs="Courier New"/>
      <w:b/>
      <w:bCs/>
    </w:rPr>
  </w:style>
  <w:style w:type="paragraph" w:styleId="BodyText">
    <w:name w:val="Body Text"/>
    <w:basedOn w:val="Normal"/>
    <w:rsid w:val="003E447E"/>
    <w:pPr>
      <w:spacing w:line="480" w:lineRule="auto"/>
      <w:jc w:val="both"/>
    </w:pPr>
    <w:rPr>
      <w:rFonts w:ascii="Courier New" w:hAnsi="Courier New" w:cs="Courier New"/>
    </w:rPr>
  </w:style>
  <w:style w:type="paragraph" w:styleId="FootnoteText">
    <w:name w:val="footnote text"/>
    <w:basedOn w:val="Normal"/>
    <w:link w:val="FootnoteTextChar"/>
    <w:uiPriority w:val="99"/>
    <w:semiHidden/>
    <w:rsid w:val="003E447E"/>
    <w:rPr>
      <w:sz w:val="20"/>
      <w:szCs w:val="20"/>
    </w:rPr>
  </w:style>
  <w:style w:type="character" w:styleId="FootnoteReference">
    <w:name w:val="footnote reference"/>
    <w:uiPriority w:val="99"/>
    <w:semiHidden/>
    <w:rsid w:val="003E447E"/>
    <w:rPr>
      <w:rFonts w:cs="Times New Roman"/>
      <w:vertAlign w:val="superscript"/>
    </w:rPr>
  </w:style>
  <w:style w:type="paragraph" w:styleId="Footer">
    <w:name w:val="footer"/>
    <w:basedOn w:val="Normal"/>
    <w:link w:val="FooterChar"/>
    <w:uiPriority w:val="99"/>
    <w:rsid w:val="003E447E"/>
    <w:pPr>
      <w:tabs>
        <w:tab w:val="center" w:pos="4320"/>
        <w:tab w:val="right" w:pos="8640"/>
      </w:tabs>
    </w:pPr>
  </w:style>
  <w:style w:type="character" w:styleId="PageNumber">
    <w:name w:val="page number"/>
    <w:rsid w:val="003E447E"/>
    <w:rPr>
      <w:rFonts w:cs="Times New Roman"/>
    </w:rPr>
  </w:style>
  <w:style w:type="table" w:styleId="TableGrid">
    <w:name w:val="Table Grid"/>
    <w:basedOn w:val="TableNormal"/>
    <w:rsid w:val="003E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E447E"/>
    <w:pPr>
      <w:spacing w:after="120" w:line="480" w:lineRule="auto"/>
    </w:pPr>
  </w:style>
  <w:style w:type="paragraph" w:styleId="BodyTextIndent">
    <w:name w:val="Body Text Indent"/>
    <w:basedOn w:val="Normal"/>
    <w:rsid w:val="003E447E"/>
    <w:pPr>
      <w:spacing w:after="120"/>
      <w:ind w:left="360"/>
    </w:pPr>
  </w:style>
  <w:style w:type="paragraph" w:customStyle="1" w:styleId="Style">
    <w:name w:val="Style"/>
    <w:rsid w:val="003E447E"/>
    <w:pPr>
      <w:widowControl w:val="0"/>
      <w:autoSpaceDE w:val="0"/>
      <w:autoSpaceDN w:val="0"/>
      <w:adjustRightInd w:val="0"/>
    </w:pPr>
    <w:rPr>
      <w:sz w:val="24"/>
      <w:szCs w:val="24"/>
    </w:rPr>
  </w:style>
  <w:style w:type="paragraph" w:customStyle="1" w:styleId="text">
    <w:name w:val="text"/>
    <w:basedOn w:val="Normal"/>
    <w:rsid w:val="0005793B"/>
    <w:pPr>
      <w:spacing w:before="100" w:beforeAutospacing="1" w:after="100" w:afterAutospacing="1" w:line="220" w:lineRule="atLeast"/>
    </w:pPr>
    <w:rPr>
      <w:rFonts w:ascii="Arial" w:hAnsi="Arial" w:cs="Arial"/>
      <w:color w:val="000000"/>
      <w:sz w:val="18"/>
      <w:szCs w:val="18"/>
    </w:rPr>
  </w:style>
  <w:style w:type="character" w:customStyle="1" w:styleId="text1">
    <w:name w:val="text1"/>
    <w:rsid w:val="0005793B"/>
    <w:rPr>
      <w:rFonts w:ascii="Arial" w:hAnsi="Arial" w:cs="Arial" w:hint="default"/>
      <w:b w:val="0"/>
      <w:bCs w:val="0"/>
      <w:i w:val="0"/>
      <w:iCs w:val="0"/>
      <w:color w:val="000000"/>
      <w:sz w:val="18"/>
      <w:szCs w:val="18"/>
    </w:rPr>
  </w:style>
  <w:style w:type="character" w:styleId="Hyperlink">
    <w:name w:val="Hyperlink"/>
    <w:rsid w:val="00AE7348"/>
    <w:rPr>
      <w:color w:val="0000FF"/>
      <w:u w:val="single"/>
    </w:rPr>
  </w:style>
  <w:style w:type="character" w:customStyle="1" w:styleId="pmterms21">
    <w:name w:val="pmterms21"/>
    <w:rsid w:val="00AE7348"/>
    <w:rPr>
      <w:b/>
      <w:bCs/>
      <w:i w:val="0"/>
      <w:iCs w:val="0"/>
      <w:color w:val="000000"/>
    </w:rPr>
  </w:style>
  <w:style w:type="character" w:customStyle="1" w:styleId="pmterms11">
    <w:name w:val="pmterms11"/>
    <w:rsid w:val="00AE7348"/>
    <w:rPr>
      <w:b/>
      <w:bCs/>
      <w:i w:val="0"/>
      <w:iCs w:val="0"/>
      <w:color w:val="000000"/>
    </w:rPr>
  </w:style>
  <w:style w:type="character" w:customStyle="1" w:styleId="pmterms31">
    <w:name w:val="pmterms31"/>
    <w:rsid w:val="005F6D88"/>
    <w:rPr>
      <w:b/>
      <w:bCs/>
      <w:i w:val="0"/>
      <w:iCs w:val="0"/>
      <w:color w:val="000000"/>
    </w:rPr>
  </w:style>
  <w:style w:type="paragraph" w:styleId="BalloonText">
    <w:name w:val="Balloon Text"/>
    <w:basedOn w:val="Normal"/>
    <w:semiHidden/>
    <w:rsid w:val="004555FF"/>
    <w:rPr>
      <w:rFonts w:ascii="Tahoma" w:hAnsi="Tahoma" w:cs="Tahoma"/>
      <w:sz w:val="16"/>
      <w:szCs w:val="16"/>
    </w:rPr>
  </w:style>
  <w:style w:type="character" w:customStyle="1" w:styleId="FootnoteTextChar">
    <w:name w:val="Footnote Text Char"/>
    <w:link w:val="FootnoteText"/>
    <w:uiPriority w:val="99"/>
    <w:semiHidden/>
    <w:rsid w:val="00577F55"/>
  </w:style>
  <w:style w:type="character" w:customStyle="1" w:styleId="apple-converted-space">
    <w:name w:val="apple-converted-space"/>
    <w:basedOn w:val="DefaultParagraphFont"/>
    <w:rsid w:val="003427DA"/>
  </w:style>
  <w:style w:type="character" w:customStyle="1" w:styleId="ssrfcpassagedeactivated">
    <w:name w:val="ss_rfcpassage_deactivated"/>
    <w:basedOn w:val="DefaultParagraphFont"/>
    <w:rsid w:val="001217EA"/>
  </w:style>
  <w:style w:type="character" w:customStyle="1" w:styleId="ssit">
    <w:name w:val="ss_it"/>
    <w:basedOn w:val="DefaultParagraphFont"/>
    <w:rsid w:val="001217EA"/>
  </w:style>
  <w:style w:type="paragraph" w:styleId="EndnoteText">
    <w:name w:val="endnote text"/>
    <w:basedOn w:val="Normal"/>
    <w:link w:val="EndnoteTextChar"/>
    <w:rsid w:val="00DA4D77"/>
    <w:rPr>
      <w:sz w:val="20"/>
      <w:szCs w:val="20"/>
    </w:rPr>
  </w:style>
  <w:style w:type="character" w:customStyle="1" w:styleId="EndnoteTextChar">
    <w:name w:val="Endnote Text Char"/>
    <w:basedOn w:val="DefaultParagraphFont"/>
    <w:link w:val="EndnoteText"/>
    <w:rsid w:val="00DA4D77"/>
  </w:style>
  <w:style w:type="character" w:styleId="EndnoteReference">
    <w:name w:val="endnote reference"/>
    <w:basedOn w:val="DefaultParagraphFont"/>
    <w:rsid w:val="00DA4D77"/>
    <w:rPr>
      <w:vertAlign w:val="superscript"/>
    </w:rPr>
  </w:style>
  <w:style w:type="paragraph" w:styleId="Header">
    <w:name w:val="header"/>
    <w:basedOn w:val="Normal"/>
    <w:link w:val="HeaderChar"/>
    <w:rsid w:val="00BD5CC3"/>
    <w:pPr>
      <w:tabs>
        <w:tab w:val="center" w:pos="4680"/>
        <w:tab w:val="right" w:pos="9360"/>
      </w:tabs>
    </w:pPr>
  </w:style>
  <w:style w:type="character" w:customStyle="1" w:styleId="HeaderChar">
    <w:name w:val="Header Char"/>
    <w:basedOn w:val="DefaultParagraphFont"/>
    <w:link w:val="Header"/>
    <w:rsid w:val="00BD5CC3"/>
    <w:rPr>
      <w:sz w:val="24"/>
      <w:szCs w:val="24"/>
    </w:rPr>
  </w:style>
  <w:style w:type="character" w:customStyle="1" w:styleId="FooterChar">
    <w:name w:val="Footer Char"/>
    <w:basedOn w:val="DefaultParagraphFont"/>
    <w:link w:val="Footer"/>
    <w:uiPriority w:val="99"/>
    <w:rsid w:val="00BD5C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7C9"/>
    <w:rPr>
      <w:sz w:val="24"/>
      <w:szCs w:val="24"/>
    </w:rPr>
  </w:style>
  <w:style w:type="paragraph" w:styleId="Heading1">
    <w:name w:val="heading 1"/>
    <w:basedOn w:val="Normal"/>
    <w:next w:val="Normal"/>
    <w:qFormat/>
    <w:rsid w:val="003E447E"/>
    <w:pPr>
      <w:keepNext/>
      <w:jc w:val="both"/>
      <w:outlineLvl w:val="0"/>
    </w:pPr>
    <w:rPr>
      <w:rFonts w:ascii="Courier New" w:hAnsi="Courier New" w:cs="Courier New"/>
      <w:b/>
      <w:bCs/>
    </w:rPr>
  </w:style>
  <w:style w:type="paragraph" w:styleId="Heading2">
    <w:name w:val="heading 2"/>
    <w:basedOn w:val="Normal"/>
    <w:next w:val="Normal"/>
    <w:qFormat/>
    <w:rsid w:val="003E447E"/>
    <w:pPr>
      <w:keepNext/>
      <w:spacing w:line="480" w:lineRule="auto"/>
      <w:jc w:val="center"/>
      <w:outlineLvl w:val="1"/>
    </w:pPr>
    <w:rPr>
      <w:rFonts w:ascii="Courier New" w:hAnsi="Courier New" w:cs="Courier New"/>
      <w:b/>
      <w:bCs/>
    </w:rPr>
  </w:style>
  <w:style w:type="paragraph" w:styleId="Heading3">
    <w:name w:val="heading 3"/>
    <w:basedOn w:val="Normal"/>
    <w:next w:val="Normal"/>
    <w:qFormat/>
    <w:rsid w:val="003E447E"/>
    <w:pPr>
      <w:keepNext/>
      <w:jc w:val="center"/>
      <w:outlineLvl w:val="2"/>
    </w:pPr>
    <w:rPr>
      <w:rFonts w:ascii="Courier New" w:hAnsi="Courier New" w:cs="Courier New"/>
      <w:b/>
      <w:bCs/>
      <w:u w:val="single"/>
    </w:rPr>
  </w:style>
  <w:style w:type="paragraph" w:styleId="Heading4">
    <w:name w:val="heading 4"/>
    <w:basedOn w:val="Normal"/>
    <w:next w:val="Normal"/>
    <w:qFormat/>
    <w:rsid w:val="003E447E"/>
    <w:pPr>
      <w:keepNext/>
      <w:jc w:val="center"/>
      <w:outlineLvl w:val="3"/>
    </w:pPr>
    <w:rPr>
      <w:rFonts w:ascii="Courier New"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447E"/>
    <w:pPr>
      <w:jc w:val="center"/>
    </w:pPr>
    <w:rPr>
      <w:rFonts w:ascii="Courier New" w:hAnsi="Courier New" w:cs="Courier New"/>
      <w:b/>
      <w:bCs/>
    </w:rPr>
  </w:style>
  <w:style w:type="paragraph" w:styleId="BodyText">
    <w:name w:val="Body Text"/>
    <w:basedOn w:val="Normal"/>
    <w:rsid w:val="003E447E"/>
    <w:pPr>
      <w:spacing w:line="480" w:lineRule="auto"/>
      <w:jc w:val="both"/>
    </w:pPr>
    <w:rPr>
      <w:rFonts w:ascii="Courier New" w:hAnsi="Courier New" w:cs="Courier New"/>
    </w:rPr>
  </w:style>
  <w:style w:type="paragraph" w:styleId="FootnoteText">
    <w:name w:val="footnote text"/>
    <w:basedOn w:val="Normal"/>
    <w:link w:val="FootnoteTextChar"/>
    <w:uiPriority w:val="99"/>
    <w:semiHidden/>
    <w:rsid w:val="003E447E"/>
    <w:rPr>
      <w:sz w:val="20"/>
      <w:szCs w:val="20"/>
    </w:rPr>
  </w:style>
  <w:style w:type="character" w:styleId="FootnoteReference">
    <w:name w:val="footnote reference"/>
    <w:uiPriority w:val="99"/>
    <w:semiHidden/>
    <w:rsid w:val="003E447E"/>
    <w:rPr>
      <w:rFonts w:cs="Times New Roman"/>
      <w:vertAlign w:val="superscript"/>
    </w:rPr>
  </w:style>
  <w:style w:type="paragraph" w:styleId="Footer">
    <w:name w:val="footer"/>
    <w:basedOn w:val="Normal"/>
    <w:link w:val="FooterChar"/>
    <w:uiPriority w:val="99"/>
    <w:rsid w:val="003E447E"/>
    <w:pPr>
      <w:tabs>
        <w:tab w:val="center" w:pos="4320"/>
        <w:tab w:val="right" w:pos="8640"/>
      </w:tabs>
    </w:pPr>
  </w:style>
  <w:style w:type="character" w:styleId="PageNumber">
    <w:name w:val="page number"/>
    <w:rsid w:val="003E447E"/>
    <w:rPr>
      <w:rFonts w:cs="Times New Roman"/>
    </w:rPr>
  </w:style>
  <w:style w:type="table" w:styleId="TableGrid">
    <w:name w:val="Table Grid"/>
    <w:basedOn w:val="TableNormal"/>
    <w:rsid w:val="003E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E447E"/>
    <w:pPr>
      <w:spacing w:after="120" w:line="480" w:lineRule="auto"/>
    </w:pPr>
  </w:style>
  <w:style w:type="paragraph" w:styleId="BodyTextIndent">
    <w:name w:val="Body Text Indent"/>
    <w:basedOn w:val="Normal"/>
    <w:rsid w:val="003E447E"/>
    <w:pPr>
      <w:spacing w:after="120"/>
      <w:ind w:left="360"/>
    </w:pPr>
  </w:style>
  <w:style w:type="paragraph" w:customStyle="1" w:styleId="Style">
    <w:name w:val="Style"/>
    <w:rsid w:val="003E447E"/>
    <w:pPr>
      <w:widowControl w:val="0"/>
      <w:autoSpaceDE w:val="0"/>
      <w:autoSpaceDN w:val="0"/>
      <w:adjustRightInd w:val="0"/>
    </w:pPr>
    <w:rPr>
      <w:sz w:val="24"/>
      <w:szCs w:val="24"/>
    </w:rPr>
  </w:style>
  <w:style w:type="paragraph" w:customStyle="1" w:styleId="text">
    <w:name w:val="text"/>
    <w:basedOn w:val="Normal"/>
    <w:rsid w:val="0005793B"/>
    <w:pPr>
      <w:spacing w:before="100" w:beforeAutospacing="1" w:after="100" w:afterAutospacing="1" w:line="220" w:lineRule="atLeast"/>
    </w:pPr>
    <w:rPr>
      <w:rFonts w:ascii="Arial" w:hAnsi="Arial" w:cs="Arial"/>
      <w:color w:val="000000"/>
      <w:sz w:val="18"/>
      <w:szCs w:val="18"/>
    </w:rPr>
  </w:style>
  <w:style w:type="character" w:customStyle="1" w:styleId="text1">
    <w:name w:val="text1"/>
    <w:rsid w:val="0005793B"/>
    <w:rPr>
      <w:rFonts w:ascii="Arial" w:hAnsi="Arial" w:cs="Arial" w:hint="default"/>
      <w:b w:val="0"/>
      <w:bCs w:val="0"/>
      <w:i w:val="0"/>
      <w:iCs w:val="0"/>
      <w:color w:val="000000"/>
      <w:sz w:val="18"/>
      <w:szCs w:val="18"/>
    </w:rPr>
  </w:style>
  <w:style w:type="character" w:styleId="Hyperlink">
    <w:name w:val="Hyperlink"/>
    <w:rsid w:val="00AE7348"/>
    <w:rPr>
      <w:color w:val="0000FF"/>
      <w:u w:val="single"/>
    </w:rPr>
  </w:style>
  <w:style w:type="character" w:customStyle="1" w:styleId="pmterms21">
    <w:name w:val="pmterms21"/>
    <w:rsid w:val="00AE7348"/>
    <w:rPr>
      <w:b/>
      <w:bCs/>
      <w:i w:val="0"/>
      <w:iCs w:val="0"/>
      <w:color w:val="000000"/>
    </w:rPr>
  </w:style>
  <w:style w:type="character" w:customStyle="1" w:styleId="pmterms11">
    <w:name w:val="pmterms11"/>
    <w:rsid w:val="00AE7348"/>
    <w:rPr>
      <w:b/>
      <w:bCs/>
      <w:i w:val="0"/>
      <w:iCs w:val="0"/>
      <w:color w:val="000000"/>
    </w:rPr>
  </w:style>
  <w:style w:type="character" w:customStyle="1" w:styleId="pmterms31">
    <w:name w:val="pmterms31"/>
    <w:rsid w:val="005F6D88"/>
    <w:rPr>
      <w:b/>
      <w:bCs/>
      <w:i w:val="0"/>
      <w:iCs w:val="0"/>
      <w:color w:val="000000"/>
    </w:rPr>
  </w:style>
  <w:style w:type="paragraph" w:styleId="BalloonText">
    <w:name w:val="Balloon Text"/>
    <w:basedOn w:val="Normal"/>
    <w:semiHidden/>
    <w:rsid w:val="004555FF"/>
    <w:rPr>
      <w:rFonts w:ascii="Tahoma" w:hAnsi="Tahoma" w:cs="Tahoma"/>
      <w:sz w:val="16"/>
      <w:szCs w:val="16"/>
    </w:rPr>
  </w:style>
  <w:style w:type="character" w:customStyle="1" w:styleId="FootnoteTextChar">
    <w:name w:val="Footnote Text Char"/>
    <w:link w:val="FootnoteText"/>
    <w:uiPriority w:val="99"/>
    <w:semiHidden/>
    <w:rsid w:val="00577F55"/>
  </w:style>
  <w:style w:type="character" w:customStyle="1" w:styleId="apple-converted-space">
    <w:name w:val="apple-converted-space"/>
    <w:basedOn w:val="DefaultParagraphFont"/>
    <w:rsid w:val="003427DA"/>
  </w:style>
  <w:style w:type="character" w:customStyle="1" w:styleId="ssrfcpassagedeactivated">
    <w:name w:val="ss_rfcpassage_deactivated"/>
    <w:basedOn w:val="DefaultParagraphFont"/>
    <w:rsid w:val="001217EA"/>
  </w:style>
  <w:style w:type="character" w:customStyle="1" w:styleId="ssit">
    <w:name w:val="ss_it"/>
    <w:basedOn w:val="DefaultParagraphFont"/>
    <w:rsid w:val="001217EA"/>
  </w:style>
  <w:style w:type="paragraph" w:styleId="EndnoteText">
    <w:name w:val="endnote text"/>
    <w:basedOn w:val="Normal"/>
    <w:link w:val="EndnoteTextChar"/>
    <w:rsid w:val="00DA4D77"/>
    <w:rPr>
      <w:sz w:val="20"/>
      <w:szCs w:val="20"/>
    </w:rPr>
  </w:style>
  <w:style w:type="character" w:customStyle="1" w:styleId="EndnoteTextChar">
    <w:name w:val="Endnote Text Char"/>
    <w:basedOn w:val="DefaultParagraphFont"/>
    <w:link w:val="EndnoteText"/>
    <w:rsid w:val="00DA4D77"/>
  </w:style>
  <w:style w:type="character" w:styleId="EndnoteReference">
    <w:name w:val="endnote reference"/>
    <w:basedOn w:val="DefaultParagraphFont"/>
    <w:rsid w:val="00DA4D77"/>
    <w:rPr>
      <w:vertAlign w:val="superscript"/>
    </w:rPr>
  </w:style>
  <w:style w:type="paragraph" w:styleId="Header">
    <w:name w:val="header"/>
    <w:basedOn w:val="Normal"/>
    <w:link w:val="HeaderChar"/>
    <w:rsid w:val="00BD5CC3"/>
    <w:pPr>
      <w:tabs>
        <w:tab w:val="center" w:pos="4680"/>
        <w:tab w:val="right" w:pos="9360"/>
      </w:tabs>
    </w:pPr>
  </w:style>
  <w:style w:type="character" w:customStyle="1" w:styleId="HeaderChar">
    <w:name w:val="Header Char"/>
    <w:basedOn w:val="DefaultParagraphFont"/>
    <w:link w:val="Header"/>
    <w:rsid w:val="00BD5CC3"/>
    <w:rPr>
      <w:sz w:val="24"/>
      <w:szCs w:val="24"/>
    </w:rPr>
  </w:style>
  <w:style w:type="character" w:customStyle="1" w:styleId="FooterChar">
    <w:name w:val="Footer Char"/>
    <w:basedOn w:val="DefaultParagraphFont"/>
    <w:link w:val="Footer"/>
    <w:uiPriority w:val="99"/>
    <w:rsid w:val="00BD5C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553102">
      <w:bodyDiv w:val="1"/>
      <w:marLeft w:val="0"/>
      <w:marRight w:val="0"/>
      <w:marTop w:val="0"/>
      <w:marBottom w:val="0"/>
      <w:divBdr>
        <w:top w:val="none" w:sz="0" w:space="0" w:color="auto"/>
        <w:left w:val="none" w:sz="0" w:space="0" w:color="auto"/>
        <w:bottom w:val="none" w:sz="0" w:space="0" w:color="auto"/>
        <w:right w:val="none" w:sz="0" w:space="0" w:color="auto"/>
      </w:divBdr>
      <w:divsChild>
        <w:div w:id="11362921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xis.com/research/buttonTFLink?_m=5f60ac293f245bd0e8083fd98c6e2286&amp;_xfercite=%3ccite%20cc%3d%22USA%22%3e%3c%21%5bCDATA%5bALM%20GL%20ch.%2059%2c%20%a7%205%5d%5d%3e%3c%2fcite%3e&amp;_butType=4&amp;_butStat=0&amp;_butNum=8&amp;_butInline=1&amp;_butinfo=MACODE%2063%2042B&amp;_fmtstr=FULL&amp;docnum=1&amp;_startdoc=1&amp;wchp=dGLbVzk-zSkAW&amp;_md5=d3f7ddf5617fcbb15152775348fa9cc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DC56-F1BF-483F-A36D-56DF4904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4111</Words>
  <Characters>23435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Commonweath of Massachusetts</Company>
  <LinksUpToDate>false</LinksUpToDate>
  <CharactersWithSpaces>27492</CharactersWithSpaces>
  <SharedDoc>false</SharedDoc>
  <HLinks>
    <vt:vector size="18" baseType="variant">
      <vt:variant>
        <vt:i4>7209008</vt:i4>
      </vt:variant>
      <vt:variant>
        <vt:i4>3</vt:i4>
      </vt:variant>
      <vt:variant>
        <vt:i4>0</vt:i4>
      </vt:variant>
      <vt:variant>
        <vt:i4>5</vt:i4>
      </vt:variant>
      <vt:variant>
        <vt:lpwstr>http://www.lexis.com/research/xlink?app=00075&amp;view=full&amp;searchtype=get&amp;search=17+LCR+654%2520at%2520655</vt:lpwstr>
      </vt:variant>
      <vt:variant>
        <vt:lpwstr/>
      </vt:variant>
      <vt:variant>
        <vt:i4>3080268</vt:i4>
      </vt:variant>
      <vt:variant>
        <vt:i4>0</vt:i4>
      </vt:variant>
      <vt:variant>
        <vt:i4>0</vt:i4>
      </vt:variant>
      <vt:variant>
        <vt:i4>5</vt:i4>
      </vt:variant>
      <vt:variant>
        <vt:lpwstr>http://www.lexis.com/research/buttonTFLink?_m=5f60ac293f245bd0e8083fd98c6e2286&amp;_xfercite=%3ccite%20cc%3d%22USA%22%3e%3c%21%5bCDATA%5bALM%20GL%20ch.%2059%2c%20%a7%205%5d%5d%3e%3c%2fcite%3e&amp;_butType=4&amp;_butStat=0&amp;_butNum=8&amp;_butInline=1&amp;_butinfo=MACODE%2063%2042B&amp;_fmtstr=FULL&amp;docnum=1&amp;_startdoc=1&amp;wchp=dGLbVzk-zSkAW&amp;_md5=d3f7ddf5617fcbb15152775348fa9cc6</vt:lpwstr>
      </vt:variant>
      <vt:variant>
        <vt:lpwstr/>
      </vt:variant>
      <vt:variant>
        <vt:i4>1310804</vt:i4>
      </vt:variant>
      <vt:variant>
        <vt:i4>0</vt:i4>
      </vt:variant>
      <vt:variant>
        <vt:i4>0</vt:i4>
      </vt:variant>
      <vt:variant>
        <vt:i4>5</vt:i4>
      </vt:variant>
      <vt:variant>
        <vt:lpwstr>http://www.lexis.com/research/xlink?app=00075&amp;view=full&amp;searchtype=le&amp;search=334+Mass.+549%2520at%2520554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Dcella</dc:creator>
  <cp:lastModifiedBy>ANF</cp:lastModifiedBy>
  <cp:revision>2</cp:revision>
  <cp:lastPrinted>2018-06-05T15:43:00Z</cp:lastPrinted>
  <dcterms:created xsi:type="dcterms:W3CDTF">2018-06-05T15:58:00Z</dcterms:created>
  <dcterms:modified xsi:type="dcterms:W3CDTF">2018-06-05T15:58:00Z</dcterms:modified>
</cp:coreProperties>
</file>