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C17" w:rsidRDefault="00CA2C17">
      <w:pPr>
        <w:rPr>
          <w:rFonts w:ascii="Times New Roman" w:hAnsi="Times New Roman"/>
          <w:sz w:val="20"/>
        </w:rPr>
      </w:pPr>
      <w:bookmarkStart w:id="0" w:name="_GoBack"/>
      <w:bookmarkEnd w:id="0"/>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r>
        <w:rPr>
          <w:rFonts w:ascii="Times New Roman" w:hAnsi="Times New Roman"/>
          <w:sz w:val="20"/>
        </w:rPr>
        <w:t>I disapprove the following items:</w:t>
      </w:r>
    </w:p>
    <w:p w:rsidR="00900B11" w:rsidRDefault="00900B11">
      <w:pPr>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10" w:firstRow="0" w:lastRow="0" w:firstColumn="0" w:lastColumn="0" w:noHBand="0" w:noVBand="0"/>
      </w:tblPr>
      <w:tblGrid>
        <w:gridCol w:w="1600"/>
      </w:tblGrid>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 xml:space="preserve">in Section 2 </w:t>
            </w:r>
          </w:p>
        </w:tc>
      </w:tr>
      <w:tr w:rsidR="00900B11" w:rsidRPr="00900B11" w:rsidTr="00900B11">
        <w:tc>
          <w:tcPr>
            <w:tcW w:w="1600" w:type="dxa"/>
            <w:shd w:val="clear" w:color="auto" w:fill="auto"/>
          </w:tcPr>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1450-1266</w:t>
            </w:r>
          </w:p>
        </w:tc>
      </w:tr>
    </w:tbl>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r>
        <w:rPr>
          <w:rFonts w:ascii="Times New Roman" w:hAnsi="Times New Roman"/>
          <w:sz w:val="20"/>
        </w:rPr>
        <w:t>I reduce the following items in Section 2  to the following amounts:</w:t>
      </w:r>
    </w:p>
    <w:p w:rsidR="00900B11" w:rsidRDefault="00900B11">
      <w:pPr>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10" w:firstRow="0" w:lastRow="0" w:firstColumn="0" w:lastColumn="0" w:noHBand="0" w:noVBand="0"/>
      </w:tblPr>
      <w:tblGrid>
        <w:gridCol w:w="1600"/>
        <w:gridCol w:w="1100"/>
        <w:gridCol w:w="1116"/>
      </w:tblGrid>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 xml:space="preserve">Section 2 </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Reduce By</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Reduce To</w:t>
            </w:r>
          </w:p>
        </w:tc>
      </w:tr>
      <w:tr w:rsidR="00900B11" w:rsidRPr="00900B11" w:rsidTr="00900B11">
        <w:tc>
          <w:tcPr>
            <w:tcW w:w="1600" w:type="dxa"/>
            <w:shd w:val="clear" w:color="auto" w:fill="auto"/>
          </w:tcPr>
          <w:p w:rsidR="00900B11" w:rsidRPr="00900B11" w:rsidRDefault="00900B11">
            <w:pPr>
              <w:rPr>
                <w:rFonts w:ascii="Times New Roman" w:hAnsi="Times New Roman"/>
                <w:sz w:val="20"/>
              </w:rPr>
            </w:pPr>
          </w:p>
        </w:tc>
        <w:tc>
          <w:tcPr>
            <w:tcW w:w="0" w:type="auto"/>
            <w:shd w:val="clear" w:color="auto" w:fill="auto"/>
          </w:tcPr>
          <w:p w:rsidR="00900B11" w:rsidRPr="00900B11" w:rsidRDefault="00900B11">
            <w:pPr>
              <w:rPr>
                <w:rFonts w:ascii="Times New Roman" w:hAnsi="Times New Roman"/>
                <w:sz w:val="20"/>
              </w:rPr>
            </w:pPr>
          </w:p>
        </w:tc>
        <w:tc>
          <w:tcPr>
            <w:tcW w:w="0" w:type="auto"/>
            <w:shd w:val="clear" w:color="auto" w:fill="auto"/>
          </w:tcPr>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0339-1011</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2,500,000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2,500,000</w:t>
            </w: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0640-0300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2,084,283</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14,070,699</w:t>
            </w: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1599-4417</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250,000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300,000</w:t>
            </w: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4000-0014</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100,000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100,000</w:t>
            </w: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7061-9401</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200,000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200,000</w:t>
            </w: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7077-0023</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500,000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5,000,000</w:t>
            </w:r>
          </w:p>
        </w:tc>
      </w:tr>
    </w:tbl>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r>
        <w:rPr>
          <w:rFonts w:ascii="Times New Roman" w:hAnsi="Times New Roman"/>
          <w:sz w:val="20"/>
        </w:rPr>
        <w:t>I reduce the following items in Section 2  to the following amounts, and disapprove the wording as indicated:</w:t>
      </w:r>
    </w:p>
    <w:p w:rsidR="00900B11" w:rsidRDefault="00900B11">
      <w:pPr>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10" w:firstRow="0" w:lastRow="0" w:firstColumn="0" w:lastColumn="0" w:noHBand="0" w:noVBand="0"/>
      </w:tblPr>
      <w:tblGrid>
        <w:gridCol w:w="1600"/>
        <w:gridCol w:w="1116"/>
        <w:gridCol w:w="1366"/>
        <w:gridCol w:w="5206"/>
      </w:tblGrid>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 xml:space="preserve">Section 2 </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Reduce By</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Reduce To</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Wording Stricken</w:t>
            </w:r>
          </w:p>
        </w:tc>
      </w:tr>
      <w:tr w:rsidR="00900B11" w:rsidRPr="00900B11" w:rsidTr="00900B11">
        <w:tc>
          <w:tcPr>
            <w:tcW w:w="1600" w:type="dxa"/>
            <w:shd w:val="clear" w:color="auto" w:fill="auto"/>
          </w:tcPr>
          <w:p w:rsidR="00900B11" w:rsidRPr="00900B11" w:rsidRDefault="00900B11">
            <w:pPr>
              <w:rPr>
                <w:rFonts w:ascii="Times New Roman" w:hAnsi="Times New Roman"/>
                <w:sz w:val="20"/>
              </w:rPr>
            </w:pPr>
          </w:p>
        </w:tc>
        <w:tc>
          <w:tcPr>
            <w:tcW w:w="0" w:type="auto"/>
            <w:shd w:val="clear" w:color="auto" w:fill="auto"/>
          </w:tcPr>
          <w:p w:rsidR="00900B11" w:rsidRPr="00900B11" w:rsidRDefault="00900B11">
            <w:pPr>
              <w:rPr>
                <w:rFonts w:ascii="Times New Roman" w:hAnsi="Times New Roman"/>
                <w:sz w:val="20"/>
              </w:rPr>
            </w:pPr>
          </w:p>
        </w:tc>
        <w:tc>
          <w:tcPr>
            <w:tcW w:w="0" w:type="auto"/>
            <w:shd w:val="clear" w:color="auto" w:fill="auto"/>
          </w:tcPr>
          <w:p w:rsidR="00900B11" w:rsidRPr="00900B11" w:rsidRDefault="00900B11">
            <w:pPr>
              <w:rPr>
                <w:rFonts w:ascii="Times New Roman" w:hAnsi="Times New Roman"/>
                <w:sz w:val="20"/>
              </w:rPr>
            </w:pPr>
          </w:p>
        </w:tc>
        <w:tc>
          <w:tcPr>
            <w:tcW w:w="0" w:type="auto"/>
            <w:shd w:val="clear" w:color="auto" w:fill="auto"/>
          </w:tcPr>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1599-0026</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1,360,000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9,575,000</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$250,000 shall be expended to accommodate the transition to city government in the city of Framingham"</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facility upgrades for the John F. Kennedy Family Service Center, Inc. in the Charlestown section of the city of Boston; provided further, that not less than $50,000 shall be expended to the town of Hingham for structural repairs at Whitney Wharf park; provided further, that not less than $35,000 shall be expended to the town of Cohasset for an aquatic weed harvester machine for pond management"</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xml:space="preserve">"; provided further that not less than $150,000 shall be expended for the architectural plans to retrofit the West Boylston fire station, which was previously a police station; provided further, that not less than $150,000 shall be expended for the Pond Plain Improvement Association in the town of Weymouth; provided further, that not less than </w:t>
            </w:r>
            <w:r w:rsidRPr="00900B11">
              <w:rPr>
                <w:rFonts w:ascii="Times New Roman" w:hAnsi="Times New Roman"/>
                <w:sz w:val="20"/>
              </w:rPr>
              <w:lastRenderedPageBreak/>
              <w:t>$75,000 shall be expended to support a rehabilitation project at Fore River Clubhouse and Fore River Field in Quincy; provided further, that not less than $50,000 shall be expended for the costs of the restoration and repair of Holyoke City Hall; provided further, that not less than $75,000 shall be expended for improvements to Millside Park in the City of Easthampton; provided further, that not less than $75,000 shall be expended for the Sudbury Public Schools to investigate the financial and enhanced student service opportunities, benefits, and challenges created by the consolidation, regionalization, and/or sharing of critically limited and required educational resources among multiple school districts; provided further, that not less than $50,000 shall be expended for the town of Worthington to conduct a comprehensive capital needs study for town-owned buildings; provided further, that not less than $50,000 shall be expended for tree removal in the town of Belmont; provided further, that not less than $50,000 shall be expended for the continued schematic design work for the renovation of the police department and department of public works buildings in the town of Belmont; provided further, that not less than $50,000 shall be expended for the design and construction of a Building and Campus Security Command Center at the Shawsheen Valley Technical High School; provided further, that not less than $25,000 shall be expended to upgrade the communications system for various public safety departments in the town of Charlton; provided further, that not less than $30,000 shall be expended for the planning and economic development of the re-zoned parcels of route 140 and route 123 in the town of Norton, to modernize and archive planning and zoning department capabilities for expedited planning analysis and permitting;  provided further, that not less than $30,000 shall be expended for the restoration and renovation of the Buck Auditorium in Billerica Town Hall; provided that not less than $100,000 shall be expended for the restoration of the David Tilden House in the town of Canton; provided further, that not less than $15,000 shall be expended for preservation efforts in the town of Hanson"</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lastRenderedPageBreak/>
              <w:t>2000-0100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205,000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9,385,558</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$30,000 shall be expended for a study of Eel Pond Inlet in the Waquoit Bay watershed; provided further, that not less than $50,000 shall be expended for a dredging project and to improve, manage and protect the water quality in Lake Wickaboag in the town of West Brookfield"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$75,000 shall be expended for regional animal control in Cohasset, Hull and Norwell"</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and provided further, that not less than $50,000 shall be expended for a feasibility study on dredging waterways in the county of Essex"</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2330-0100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150,000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6,839,289</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Fishing Academy, Inc."</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and provided further, that not less than $100,000 shall be expended for the maintenance of Herring Run to Whitman’s Pond in Weymouth"</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2511-0100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176,000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6,105,785</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$41,000 shall be expended to Flats Mentor Farm Enterprise, LLC, for capacity building and organizational program development to increase local food production and distribution in eastern and central Massachusetts"</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lastRenderedPageBreak/>
              <w:t>"; provided further; that not less than $25,000 shall be expended to improve services and facilities at the Dighton Animal Shelter in the town of Dighton and shall not be used for administrative purposes; provided further, that not less than $25,000 shall be expended to improve services and facilities at the Middleborough Animal Shelter in the town of Middleborough; provided further, that not less than $50,000 shall be expended to improve services and facilities at the Taunton Animal Care Facility in the city of Taunton and no funds authorized herein shall be used for administrative purposes; and provided further, that not less than $35,000 shall be expended for Sustainable Cape in the town of Truro for a local food access and affordability program to: (a) expand a coalition of farmers’ markets throughout the counties of Barnstable and Dukes County promoting the Supplemental Nutrition Assistance Program or SNAP, the Women, Infants and Children program or WIC, and seniors and veterans benefits; (b) create site-specific programs targeted to schools, libraries and community centers; (c) develop the capacity of both farmers and farmers’ markets to accept SNAP and WIC benefits and seniors and veterans food benefits; and (d) conduct education and outreach campaigns through community partners, including nutritionists and food pantries"</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lastRenderedPageBreak/>
              <w:t>2800-0100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85,000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4,549,615</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flood protections in Clinton; provided further, that not less than $35,000 shall be expended for an aquatic weed harvester machine in Duxbury"</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2800-0501</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50,000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16,017,412</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Coes Pond and Representative John J. Binienda Memorial Beach in Worcester"</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2800-0700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100,000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620,361</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$100,000 shall be expended for the Friends of Leverett Pond for the repair, design, permitting and construction of the Leverett Pond dam"</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2810-0122</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3,925,000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1,095,000</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$100,000 shall be expended for a new playground at Lussiano Park in Arlington; provided further, that not less than $25,000 shall be expended for the Friends of Herter Park for the maintenance of the Artesani Park outdoor theatre; provided further, that not less than $50,000 shall be expended for park development in Ashland; provided further, that not less than $75,000 shall be expended for the construction of a splash park in the town of Belchertown; provided further, that not less than $25,000 shall be expended for the installation of an artesian well and submerged pump for garden irrigation in the town of Berlin; provided further, that not less than $50,000 shall be expended for the construction of the Yankee Doodle Bike Path in Billerica; provided further, that not less than $25,000 shall be expended for repairs and upgrades by the recreation department in Billerica"</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xml:space="preserve">"; provided further, that not less than $250,000 shall be expended for design and engineering work by the Emerald Necklace Conservancy, Inc., for improvements to the Charlesgate park in the city of Boston; provided further, that not less than $100,000 shall be expended for improvements to Emerald Necklace in Fenway; provided further, that not less than $75,000 shall be provided to the Boston 4 Celebrations Foundation, Inc. for the Boston Pops Fireworks Spectacular for the fourth of July, Independence Day celebrations on the Charles river; provided further, that not less than $50,000 shall be expended to the town of Braintree for the construction of a recreational dog park; provided further, that not less than $25,000 shall be expended for Chandler Pond in Brighton; provided further, that not less than $150,000 shall be expended for the Ash Street Playground in Brockton; provided further, that not less than $75,000 shall be expended for renovations to Danny Goodwin Park in Brockton; </w:t>
            </w:r>
            <w:r w:rsidRPr="00900B11">
              <w:rPr>
                <w:rFonts w:ascii="Times New Roman" w:hAnsi="Times New Roman"/>
                <w:sz w:val="20"/>
              </w:rPr>
              <w:lastRenderedPageBreak/>
              <w:t>provided further, that not less than $75,000 shall be expended for improvements to Nelson Playground in Brockton; provided further, that not less than $45,000 shall be expended for maintenance and repair of Goldthwait marsh in the town of Marblehead"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to the city of Beverly for repairs to the carriage house in Lynch Park; provided further, that not less than $170,000 shall be expended for the Central Plymouth County Water District advisory board to develop a comprehensive water quality and quantity monitoring program for the improvement and management of lakes and ponds in the Central Plymouth County Water District; provided further, that not less than $50,000 shall be expended for the Central Plymouth County Water District commission annual budget, for the improvement and management of lakes and ponds in the Central Plymouth County Water District; provided further, that not less than $25,000 shall be expended for the town of Charlton for the construction of a public outdoor gym; provided further, that not less than $75,000 shall be expended for the Westover Road Park and Service Dog Memorial in the city of Chicopee; provided further, that not less than $100,000 shall be expended to the town of Danvers for the construction of an ADA compliant fishing platform in Endicott Park; provided further, that not less than $50,000 shall be expended to conduct a study on the department of conservation and recreation land in Charlestown; provided further, that not less than $25,000 shall be expended for improvements to the Quinnebaug Rail Trail in Dudley; provided further, that not less than $30,000 shall be expended for the Pulaski Park and Playground project in the city of Gardner"</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$25,000 shall be expended for the reconstruction of Gray’s Beach in the town of Kingston; provided further, that not less than $50,000 shall be expended for park revitalization and accessibility improvements in the town of Leicester; provided further, that $250,000 shall be expended for streetscape upgrades, repairs and art in the downtown area of the city of Lowell; provided further, that $250,000 shall be expended for maintenance and improvements to Kittredge Park and its surrounding streetscapes in the city of Lowell"</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the establishment of a Cooperative Nature School at The Trustees Moose Hill Farm in town of Sharon; provided further, that not less than $60,000 shall be expended for the Ezra Schwartz Memorial Pavilion at the Ames Street playground in the town of Sharon; provided, that not less than $25,000 shall be expended for the development of a community garden at the community farm in the town of Medway; provided further, that not less than $30,000 shall be expended for improvements to the playground at Kelly field in the town of Milton"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xml:space="preserve">"; provided further, that not less than $100,000 shall be expended for the maintenance and improvement of Cutler Park located in the town of Needham; provided further, that not less than $25,000 shall be expended for the environmental preservation of Crystal lake in the city of Newton; provided further, that not less than $25,000 shall be expended for the national historic landmark status for Echo bridge in the city of Newton; provided further, that not less than $25,000 shall be expended to the town of Pembroke for pond management; provided further, that not less than $50,000 shall be expended </w:t>
            </w:r>
            <w:r w:rsidRPr="00900B11">
              <w:rPr>
                <w:rFonts w:ascii="Times New Roman" w:hAnsi="Times New Roman"/>
                <w:sz w:val="20"/>
              </w:rPr>
              <w:lastRenderedPageBreak/>
              <w:t>for engineering improvements to the City Mills dam in the town of Norfolk; provided further, that not less than $200,000 shall be expended for improvements to the King street memorial park in the city known as the town of Franklin; provided further, that not less than $40,000 shall be expended for a playground in Lancaster"</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$250,000 shall be expended for playground and park projects in Lowell"</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$40,000 shall be expended for Cook, Kiley, Flax Pond and Ames Playgrounds in Lynn; provided further, that not less than $75,000 shall be expended for construction on Malden River; provided further, that not less than $25,000 shall be expended to the town of Sterling for online and electronic permitting; provided further, that not less than $50,000 shall be expended for the Massachusetts Central Rail Trail; provided further, that not less than $60,000 shall be expended for the development of the waterfront on the Merrimack River in Methuen; provided further, that not less than $50,000 shall be expended for upgrades to the Neponset Greenway in Mattapan; provided further, that not less than $125,000 shall be expended for carbon vessels at the North Easton Village Wastewater Treatment Plant in Easton; provided further, that not less than $50,000 shall be expended for accessibility and safety improvements to Joe Morgan Field in the town of Walpole; provided, that not less than $100,000 shall be expended for a new playground and improvements to Forge Beach in Westford; provided further, that not less than $75,000 shall be expended for tree removal in Worcester"</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the replacement, installation and improvement of the Minnechaug Regional High School athletic field in the town of Wilbraham"</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lastRenderedPageBreak/>
              <w:t>4000-0601</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4,000,000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3,583,516,725</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notwithstanding any general or special law to the contrary the executive office of health and human services shall establish payment rates for adult day health programs that are, in the aggregate, not less than $2,000,000 more than was paid for such programs in fiscal year 2018; provided further, that notwithstanding any general or special law to the contrary the executive office of health and human services shall establish payment rates for the adult foster care program that are, in the aggregate, not less than $2,000,000 more than was paid for such programs in fiscal year 2018"</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4000-0700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12,800,000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2,633,428,033</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$1,000,000 shall be made available to increase efficiencies and align system-wide goals within a regional hospital system located in Western Massachusetts to improve the overall sustainability of the system and to create a comprehensive approach to system-wide needs and a transition into the structure of the new 1115 Medicaid Waiver"</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4200-0200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500,000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28,942,669</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that the department shall expend not less than $500,000 for the detention diversion advocacy program to be coordinated by the Robert F. Kennedy Children’s Action Corps, Inc. to prevent high-risk juveniles presenting before the court from penetrating further into the juvenile justice system"</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4510-0600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125,000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3,780,666</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and provided further, that not less than $125,000 shall be expended for the testing and treatment of cyanobacteria and related contaminants in Monponsett Pond in the town of Halifax"</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lastRenderedPageBreak/>
              <w:t>4513-1111</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150,000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3,909,369</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$100,000 shall be expended for macular degeneration research into prevention and treatment at The Schepens Eye Research Institute, Inc"</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education and support of patients diagnosed with phenylketonuria, PKU, or related disorders and their families through a grant to the New England Connection for PKU and Allied Disorders, Inc"</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4590-0250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800,000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12,040,955</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$100,000 shall be expended for the Massachusetts model of community coalition; provided further, that no less than $100,000 shall be expended for the purpose of establishing and supporting a school-based health center at Malden High School in the city of Malden"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the Northern Berkshire Community Coalition, Inc., in the city of North Adams; provided further, that not less than $500,000 shall be expended to open 5 new school-based health centers; and provided further, that not less than $50,000 shall be expended for the North Quabbin Community Coalition in the town of Athol"</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5911-1003</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50,000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68,988,505</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the Center for Autism and Neurodevelopmental Disorders at the University of Massachusetts memorial medical center and the University of Massachusetts medical school based on the patient-centered medical home concept"</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5920-2025</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25,000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210,679,791</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and provided further, that not less than $25,000 shall be expended on the Opportunity Works for the Project SEARCH program"</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7000-9501</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250,000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9,362,700</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the Stoneham Public Library; provided further, that not less than $50,000 shall be expended for the Hispanic American Library in Springfield; provided further, that not less than $150,000 shall be expended for internal repairs of the Salem Public Library in the city of Salem"</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7002-0010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200,000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2,472,026</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$75,000 shall be expended for a feasibility study and improvements to the Old Town Hall in the town of Walpole; provided further, that not less than $50,000 shall be expended for the Lawrence Partnership Inc. to facilitate public and private economic development collaboration in the city of Lawrence; provided further, that not less than $50,000 shall be expended for the Massachusetts Office of Employee Involvement and Ownership, housed within a state government agency or state higher education institution, selected at the discretion of the secretary of housing and economic development"</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$12,500 shall be expended on the Charles H. McCann Technical School; provided further, that not less than $12,500 shall be expended on the Berkshire Training and Employment Program"</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7002-0020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90,000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2,600,000</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$90,000 shall be expended for the E-Team Machinist program in the city of Lynn"</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7002-0036</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150,000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500,000</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$100,000 shall be expended on the Roxbury Trust Fund; provided further, that not less than $50,000 shall be expended on the Methuen Arlington Neighborhood, Inc."</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7003-0803</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100,000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3,960,051</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xml:space="preserve">"; provided, that not less than $100,000 shall be expended for </w:t>
            </w:r>
            <w:r w:rsidRPr="00900B11">
              <w:rPr>
                <w:rFonts w:ascii="Times New Roman" w:hAnsi="Times New Roman"/>
                <w:sz w:val="20"/>
              </w:rPr>
              <w:lastRenderedPageBreak/>
              <w:t>the creation of a mini career resource center in city hall in the city of Everett to develop workforce development services in the city"</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lastRenderedPageBreak/>
              <w:t>7003-1206</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25,000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3,215,000</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$25,000 shall be expended for the Cambridge Economic Opportunity Committee, Inc"</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7004-0099</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110,000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7,571,204</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the department shall operate local offices in the 10 cities and towns in which the department maintained office locations as of January 1, 2018 in order to continue to accept in-person applications and provide other services related to the emergency assistance housing program funded by item 7004-0101; provided further, that such offices shall have sufficient staffing to determine eligibility promptly and provide other program services to families; provided further, that the department may operate additional local offices in other cities or towns that are geographically convenient to those families who are experiencing homelessness or are at risk of homelessness"</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the study, design, purchase and installation of electrical generators at 2 properties within the town of Foxborough managed by the Foxborough Housing Authority"</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$60,000 shall be expended to the Rockland Housing Authority for maintenance and repairs"</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7007-0300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80,000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1,544,803</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that not less than $80,000 shall be expended to the Falmouth Economic Development and Industrial Corporation to fund fiber optic cable installation in the town of Falmouth"</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7007-0801</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100,000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200,000</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and provided further, that not less than $100,000 shall be allocated to South Eastern Economic Development Corporation and Common Capital, Inc. for these purposes"</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7007-0952</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75,000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4,600,000</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and provided further, that not less than $75,000 shall be expended for the Zoo at Forest Park in the city of Springfield"</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7008-1116</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6,879,500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4,505,000</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$25,000 shall be expended for the Lena Park community center in Dorchester"</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$100,000 shall be expended for LuminArtz for the design, preparation and production of public art displays"</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$90,000 shall be expended for a needs assessment for the intersections of Fuller street Chapin street and Cady street Fuller street in Ludlow; provided further, that not less than $100,000 shall be expended for sidewalk rehabilitation in Ludlow; provided further, that not less than $50,000 shall be expended for the Wilbraham Nature and Cultural Council; provided further, that not less than $100,000 shall be expended for the New England public radio in Springfield; provided further, that not less than $75,000 shall be expended for the Boston Landmarks Orchestra, Inc."</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$125,000 shall be expended for improvements to the Americal civic center in Wakefield; provided further, that not less than $50,000 shall be expended for the West Medford community center"</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lastRenderedPageBreak/>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the Quaboag Valley Community Development Corporation"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$25,000 shall be expended for improvements of accessibility to Fitchburg city hall; provided further, that not less than $30,000 shall be expended for economic development in Hanson; provided further, that not less than $75,000 shall be expended for the Riverside Theatre Works, Inc. in the Hyde Park section of the city of Boston"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$75,000 shall be expended for the Waltham Tourism Council, Inc.; provided further, that not less than $20,000 shall be expended to the town of Sandwich for the purpose of establishing seasonal artist shanties or cultural arts center within the town; provided however, that prior to the disbursement of funds by the town of Sandwich, the Glass Town cultural district, Sandwich Arts Alliance, Inc., Sandwich Chamber of Commerce, Inc., and the Sandwich economic initiative corporation shall unanimously approve plans for the management and operation of the shanties effective for not less than 2 years"</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improvements to the Fino Field pool in Milford"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the stabilization and preservation of Bagg hall and the town hall annex in Princeton; provided further, that not less than $50,000 shall be expended for the friends of West Springfield parks and recreation for infrastructure improvements and park maintenance"</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$250,000 shall be expended for the Presentation school foundation community center in Brighton; provided further, that not less than $75,000 shall be expended for Hoop Hall Assists"</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$90,000 shall be expended for the Russian Community Association of Massachusetts, Inc.; provided further, that not less than $30,000 shall be expended for the Puerto Rican parade in Springfield; provided further, that not less than $200,000 shall be expended to support the operation of the Eureka program in the Holyoke, Lynn and Worcester chapters of Girls Inc.; provided further, that not less than $50,000 shall be expended for maintenance to the Jason Russell house and the Smith museum; provided further, that not less than $100,000 shall be expended for the restoration of State Theatre in Stoughton; provided further, that not less than $100,000 shall be expended for From the Top radio programming"</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xml:space="preserve">"; provided further, that not less than $75,000 shall be expended for the Endicott Community Greenhouse, Inc.; provided further, that not less than $75,000 shall be expended for the restoration and relocation of the historical Blue Hart tavern in Westwood; provided further, that not less than $250,000 shall be expended for Outside the Box in Boston; </w:t>
            </w:r>
            <w:r w:rsidRPr="00900B11">
              <w:rPr>
                <w:rFonts w:ascii="Times New Roman" w:hAnsi="Times New Roman"/>
                <w:sz w:val="20"/>
              </w:rPr>
              <w:lastRenderedPageBreak/>
              <w:t>provided further, that not less than $100,000 shall be expended for Quincy Asian Resources, Inc.; provided further, that not less than $50,000 shall be expended for the Germantown neighborhood center in Quincy; provided further, that not less than $75,000 shall be expended for the Quincy housing authority; provided further, that not less than $25,000 shall be expended for local tourism initiatives in Westfield; provided further, that not less than $60,000 shall be expended for the revitalization of downtown Methuen; provided further, that not less than $150,000 shall be expended for the construction of bathroom facilities at Frasca field in Tewksbury"</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$25,000 shall be expended for the Roslindale Village Main Streets for wayfinding and placemaking in Roslindale Village; provided further, that not less than $150,000 shall be expended for the Hyde Square Task Force; provided further, that not less than $150,000 shall be expended for Spontaneous Celebrations in Jamaica Plain; provided further, that not less than $100,000 shall be expended for the Roslindale Gateway Path; provided further, that not less than $50,000 shall be expended for the Mission Hill LINK shuttle bus service"</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$150,000 shall be expended for Sociedad Latina; provided further, that not less than $35,000 shall be expended for the development and operation of a Boston history online database at the Boston Public Library; provided further, that not less than $200,000 shall be expended for site improvements at the Mildred C. Hailey Apartments in Boston"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$100,000 shall be expended for the Roslindale Community Center"</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$300,000 shall be expended for improvements on the intersection of Walter Street and Centre Street in Roslindale"</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Footlight Club in Boston"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the ABCD Parker Hill Fenway; provided further, that not less than $50,000 shall be expended for the elderly program at the Roxbury Tenants of Harvard; provided further, that not less than $100,000 shall be expended for the Eliot School in Boston"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xml:space="preserve">"; provided further, that not less than $175,000 shall be expended for a child safety program in North Reading; provided further, that not less than $80,000 shall be expended for youth programs at Dennison Memorial Community Center, Inc. in New Bedford for educational programs to benefit financially-disadvantaged children; provided further, that not less than $25,000 shall be expended for the New Bedford Festival Theatre for the training apprenticeship program for students ages 8 to 21 interested in theatrical performance, design, management and the allied arts of theatre; provided further, that not less than $100,000 shall be expended for production at Zeiterion performing arts center in </w:t>
            </w:r>
            <w:r w:rsidRPr="00900B11">
              <w:rPr>
                <w:rFonts w:ascii="Times New Roman" w:hAnsi="Times New Roman"/>
                <w:sz w:val="20"/>
              </w:rPr>
              <w:lastRenderedPageBreak/>
              <w:t>New Bedford; provided further, that not less than $50,000 shall be expended for the Frederick Douglass house in New Bedford"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Downtown Framingham, Inc."</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$100,000 shall be expended for the structural design of the department of public services building in the town of Medway; provided further, that not less than $35,000 shall be expended for the historic document digital conversion and public access program in the town of Medway; provided further, that not less than $75,000 shall be expended for the construction of an elevator in the town hall in the town of Topsfield; provided further, that not less than $45,000 shall be expended for 2 new emergency generators in the town of Easton; provided further, that not less than $220,000 shall be expended to the education and training collaborative established in section 9 of chapter 419 of the acts of 2008 for the operation of the life sciences, education and training center located at the former Paul A. Dever state school in the city of Taunton; provided further, that not less than $30,000 shall be expended for street hockey boards in the town of Milton"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$30,000 shall be expended for building safety improvements to the resting place of American presidents in the city of Quincy; provided further, that not less than $150,000 shall be expended for the Discovery Museum, Inc., in the town of Acton; provided further, that not less than $50,000 shall be expended for the Independent Film Society of Boston, Inc., for enhancing cultural tourism; provided further, that not less than $15,000 shall be expended for musical and educational programming of the Zamir Chorale of Boston, Inc."</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$100,000 shall be expended for the restoration of Memorial Hall in the city of Melrose"</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$59,500 shall be expended for the installation of a fence at the Tenney School playground in the city of Methuen, an intercom system at the Tenney School in the city of Methuen, a security checkpoint at the main entrance of Methuen High School in the city of Methuen and 4 cameras at each of the elementary and middle schools in the city of Methuen"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$10,000 shall be expended for uniforms for the fire department in the city of Haverhill; provided further, that $25,000 shall be expended to Malden Arts, Inc. for the ARTLine in the city of Malden"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the Galaxy Community Council, Inc. in the city of Chicopee"</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xml:space="preserve">"; provided further, that not less than $75,000 shall be expended for the design and construction of the Lexington </w:t>
            </w:r>
            <w:r w:rsidRPr="00900B11">
              <w:rPr>
                <w:rFonts w:ascii="Times New Roman" w:hAnsi="Times New Roman"/>
                <w:sz w:val="20"/>
              </w:rPr>
              <w:lastRenderedPageBreak/>
              <w:t>and Glad Valley project in the town of Billerica; provided further, that not less than $125,000 shall be expended to the Transportation Management Association of the Middlesex 3 Coalition, Inc. to operate and maintain transportation service vehicles between the city of Lowell and the town of Burlington; provided further, that not less than $150,000 shall be expended for economic development projects to revitalize the downtown area in the town of Milford"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$100,000 shall be expended for the town of Leverett for rehabilitation of the Leverett Crafts and Arts Building"</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the Creative Arts Network, Inc. in the city of Fall River to establish and enhance outreach and educational programs to benefit financially disadvantaged children in the greater Fall River area; provided further, that not less than $15,000 shall be expended for MetroFest"</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$25,000 shall be expended for signage and wayfinding for the economic development and revitalization in the city known as the town of Amesbury; provided further, that not less than $75,000 shall be expended for the East Forest Park Library in the city of Springfield; provided further, that not less than $100,000 shall be expended to the town of Hubbardston for repairs to the Hubbardston public library; provided further, that not less than $25,000 shall be expended for the FIT Body and Soul diabetes prevention program in the city of Springfield; provided further, that not less than $25,000 shall be expended to Stone Soul, Inc. in the city of Springfield for the Stone Soul community festival; provided further, that not less than $50,000 shall be expended to the Irish Cultural Center, Inc. of Western New England in the town of West Springfield; provided further, that not less than $100,000 shall be expended for safety improvements on Fellsway East at Highland avenue in the city of Malden"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$30,000 shall be expended to the city of Fitchburg to host the 58th Annual Civic Days festivities and cultural activities in the city of Fitchburg promoting civic engagement and diversity; provided further, that not less than $30,000 shall be expended to the town of Hull for main street economic development and storefront improvements; provided further, that not less than $25,000 shall be expended for the restoration of the historic Forbes House in the town of Norwood"</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lastRenderedPageBreak/>
              <w:t>8000-0313</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3,116,000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210,000</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xml:space="preserve">"; provided, that not less than $90,000 shall be expended for public safety equipment in Fall River; provided further, that not less than $60,000 shall be expended for community mediation services to Dispute Resolution Services, Incorporated in Springfield; provided further, that not less than $200,000 shall be expended for a police station in Beverly; provided further, that not less than $25,000 shall be expended for the Hub and COR programs at the police department in Springfield; provided further, that not less than $50,000 shall be expended for public safety improvements in Watertown; provided further, that not less than $50,000 shall be expended for public safety improvements in Wakefield; provided further, that not less than $25,000 shall be expended for a public safety grant in the town of Reading; provided further, that not less than $50,000 shall be expended for a feasibility study for a public safety building in the town of Ashby; provided further, that not less than $65,000 shall be expended to the town of Millbury for public safety </w:t>
            </w:r>
            <w:r w:rsidRPr="00900B11">
              <w:rPr>
                <w:rFonts w:ascii="Times New Roman" w:hAnsi="Times New Roman"/>
                <w:sz w:val="20"/>
              </w:rPr>
              <w:lastRenderedPageBreak/>
              <w:t>improvements; provided further, that not less than $50,000 shall be expended for the repairs to the embankment of the Bridge Street Bridge in the town of Bridgewater; provided further, that not less than $50,000 shall be expended for emergency roadway repairs in the town of Raynham; provided further, that not less than $100,000 shall be expended for public safety improvements in the town of Ipswich; provided further, that not less than $100,000 shall be expended for public safety improvements in the town of Hamilton; provided further, that not less than $50,000 shall be expended for public safety improvements in the Dracut public school district; provided further, that not less than $50,000 shall be expended for public safety improvements in the Tyngsborough public school district; provided further, that not less than $20,000 shall be expended for public safety improvements in Hopedale; provided further, that $30,000 shall be expended to the police department in the town of Eastham to be used in conjunction with the towns of Wellfleet, Truro and Provincetown to address the traffic safety issues on United States highway route 6 from the rotary in the town of Orleans to the town of Provincetown; provided further, that not less than $200,000 shall be expended for public safety improvements in Needham; provided further, that not less than $40,000 shall be expended for public safety equipment for the police department in Lynn; provided further, that not less than $30,000 shall be expended for emergency operations management in Dover; provided further, that not less than $25,000 shall be expended for public safety improvements in Grafton; provided further, that not less than $25,000 shall be expended for public safety improvements in Northbridge; provided further, that not less than $150,000 shall be expended for public safety improvements in Braintree; provided further, that not less than $150,000 shall be expended for a Mobile Command Center in Dartmouth; provided further, that not less than $40,000 shall be expended for school zone safety improvements in Holliston; provided further, that not less than $25,000 shall be expended for public safety improvements for the police department in North Brookfield; provided further, that not less than $100,000 shall be allocated to the Bristol County Police Chiefs for municipal in-service training and specialized training for veteran police officers in Bristol County"</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$75,000 shall be expended for communication infrastructure for public safety in the city of Gloucester; provided further, that not less than $18,000 shall be expended to the town of Berlin for a utility task vehicle to assist with search and rescue matters; provided further, that not less than $150,000 shall be expended to the Lynn police department for its Behavioral Health Unit; provided further, that not less than $50,000 shall be expended to the town of Westminster for a feasibility study to develop programming for its public safety facility; provided further, that not less than $20,000 shall be expended for a new generator and to establish an emergency shelter at the town hall in the town of Norton; provided further, that $30,000 shall be granted to the town of Abington for roadway safety equipment; provided further, that not less than $50,000 shall be expended to the town of Auburn for public safety improvements; provided further, that not less than $50,000 shall be expended to the town of Shrewsbury for public safety improvements; provided further, that not less than $43,000 shall be expended to the town of Upton for public safety improvements; provided further, that not less than $100,000 shall be expended to the town of Dracut for improvements to public safety; provided further, that not less than $25,000 shall be expended to the town of Avon for a new police department dispatch software program"</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xml:space="preserve">"; provided further, that not less than $50,000 shall be </w:t>
            </w:r>
            <w:r w:rsidRPr="00900B11">
              <w:rPr>
                <w:rFonts w:ascii="Times New Roman" w:hAnsi="Times New Roman"/>
                <w:sz w:val="20"/>
              </w:rPr>
              <w:lastRenderedPageBreak/>
              <w:t>expended for increased safety and security measures at the middle school in the town of Northbridge; provided further, that not less than $100,000 shall be expended for the purchase of a new emergency services vehicle for the town of Douglas; provided further, that not less than $100,000 shall be expended for the purchase of public safety communications equipment in the town of Southbridge; provided further, that not less than $25,000 shall be expended to the town of Barre for the Barre fire department; provided further, that not less than $13,000 shall be expended to the town of Spencer for improvements to the Spencer police station; provided further, that not less than $12,000 shall be expended to the town of Brookfield for repairs to the Brookfield fire department; provided further, that not less than $100,000 shall be allocated to the town of Andover for IT infrastructure for the town’s 311 Customer Service Project; provided further, that not less than $30,000 shall be expended for the New North Citizens Council in the city of Springfield for C3 and E3 police management in low-income and downtown neighborhoods; provided further, that not less than $125,000 shall be expended for the purchase of public safety communications equipment in the town of Sutton"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$100,000 shall be expended for the Southeastern Massachusetts Law Enforcement Council, Incoporated, to provide mental health, wellness and suicide prevention services to emergency service providers in southeastern Massachusetts; provided further, that no person who provides or receives said services shall be required to testify or divulge any information obtained solely through the provision of or receipt of such services and any information divulged to a provider during the provision of such services shall be kept confidential and shall not be disclosed to a third party; provided further, that said disclosure may occur if a critical incident stress management team member, based on such information, has reasonable cause to believe that: (i) the emergency service provider or another person is in danger of serious bodily harm or death; (ii) a child is being subjected to abuse or neglect; or (iii) the information indicates the existence of a past or present act constituting an intentional tort or crime, provided that the tort or crime would not be barred under the applicable statute of limitations"</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lastRenderedPageBreak/>
              <w:t>8100-1001</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1,215,000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281,420,645</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$1,030,000 shall be expended for the payroll costs of the state police directed patrols; provided further, that not less than $30,000 shall be expended for Troop A to conduct mounted, directed patrols throughout Revere Beach, the Lynn Fells and the Middlesex Fells Reservation Park among other identified areas"</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xml:space="preserve">and </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$95,000 shall be expended for additional patrols for the summer season at Wollaston Beach and Furnace Brook Parkway in Quincy; provided further, that the department shall execute a service contract with University of Massachusetts Memorial Medical Center emergency medical services for not more than $60,000 for emergency and tactical medical support services"</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8200-0200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80,000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4,788,930</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 less than $50,000 be provided for the training academy in Boylston; and provided further, that not less than $30,000 shall be expended for the Holyoke Safe Neighbor Initiative at the Hampden County Sheriff's department"</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8324-0000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3,916,000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23,411,145</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xml:space="preserve">"; provided further, that the amount allocated for fire department training academies in said item 8324-0000 of said section 2 of said chapter 182 shall be allocated to each program in fiscal year 2019; provided further, that the amount allocated for the Norfolk county regional fire and rescue </w:t>
            </w:r>
            <w:r w:rsidRPr="00900B11">
              <w:rPr>
                <w:rFonts w:ascii="Times New Roman" w:hAnsi="Times New Roman"/>
                <w:sz w:val="20"/>
              </w:rPr>
              <w:lastRenderedPageBreak/>
              <w:t>dispatch center in said item 8324-0000 of said section 2 of said chapter 182 shall be allocated in fiscal year 2019"</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$24,000 shall be expended for protective gear for EMS responders in the town of Wellesley; provided further, that not less than $100,000 shall be expended for the Fire Chiefs’ Association of Plymouth County, Inc. to develop and upgrade the emergency radio communications system in the county of Plymouth; provided further, that not less than $100,000 shall be expended to the town of Maynard for fire station improvements; provided further, that not less than $50,000 shall be provided for the hazardous materials response team at the fire department in Quincy; provided further, that not less than $50,000 shall be expended for a fire safety grant in the city of Attleboro; provided further, that not less than $100,000 shall be expended for the Barnstable county fire and rescue training academy; provided further, that not less than $90,000 shall be allocated to the fire department in the city of Tewksbury for municipal improvements to cover the cost of responding to Tewksbury state hospital; provided further, that not less than $65,000 shall be expended for fallout equipment for the fire department in the town of Winthrop; provided further, that not less than $75,000 shall be expended for fire equipment for the fire department in the town of Stoneham; provided further, that not less than $40,000 shall be expended for the town of Scituate to purchase a mobile de-watering pump for shared use between the fire departments in the towns of Scituate, Duxbury and Marshfield to have independent means to aid flooded properties; provided further, that $100,000 shall be allocated to the fire department in the town of Scituate for structural improvements to the Scituate Fire Station 4 in the Humarock section of the town of Scituate; provided further, that not less than $50,000 shall be expended for the purchase of a battery operated ‘Jaws of Life’ for the Fire Department in the Town of Saugus; provided further, that not less than $500,000 shall be expended to the hazardous materials response team in the cities of Cambridge, Everett and Boston; provided further, that not less than $100,000 shall be expended for emergency radio communications upgrades for the Fire Chiefs' Association of Bristol County; provided further, that not less than $22,000 shall be expended for fire department upgrades in Medway; provided further, that not less than $100,000 shall be expended for fire safety equipment in Worcester"</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and provided further the Boston Fire Department Training Academy shall also be allocated an additional $500,000 in addition to any amounts in this item"</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lastRenderedPageBreak/>
              <w:t>9110-1630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35,000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175,019,124</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 less than $35,000 shall be expended for a 1 year pilot program for the demonstration of the community network aging in place in Brookline, Nauset, and Reading"</w:t>
            </w:r>
          </w:p>
          <w:p w:rsidR="00900B11" w:rsidRPr="00900B11" w:rsidRDefault="00900B11">
            <w:pPr>
              <w:rPr>
                <w:rFonts w:ascii="Times New Roman" w:hAnsi="Times New Roman"/>
                <w:sz w:val="20"/>
              </w:rPr>
            </w:pPr>
          </w:p>
        </w:tc>
      </w:tr>
    </w:tbl>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r>
        <w:rPr>
          <w:rFonts w:ascii="Times New Roman" w:hAnsi="Times New Roman"/>
          <w:sz w:val="20"/>
        </w:rPr>
        <w:t>I reduce the following items in Section 2E to the following amounts, and disapprove the wording as indicated:</w:t>
      </w:r>
    </w:p>
    <w:p w:rsidR="00900B11" w:rsidRDefault="00900B11">
      <w:pPr>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10" w:firstRow="0" w:lastRow="0" w:firstColumn="0" w:lastColumn="0" w:noHBand="0" w:noVBand="0"/>
      </w:tblPr>
      <w:tblGrid>
        <w:gridCol w:w="1600"/>
        <w:gridCol w:w="899"/>
        <w:gridCol w:w="1216"/>
        <w:gridCol w:w="5573"/>
      </w:tblGrid>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Section 2E</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Reduce By</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Reduce To</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Wording Stricken</w:t>
            </w:r>
          </w:p>
        </w:tc>
      </w:tr>
      <w:tr w:rsidR="00900B11" w:rsidRPr="00900B11" w:rsidTr="00900B11">
        <w:tc>
          <w:tcPr>
            <w:tcW w:w="1600" w:type="dxa"/>
            <w:shd w:val="clear" w:color="auto" w:fill="auto"/>
          </w:tcPr>
          <w:p w:rsidR="00900B11" w:rsidRPr="00900B11" w:rsidRDefault="00900B11">
            <w:pPr>
              <w:rPr>
                <w:rFonts w:ascii="Times New Roman" w:hAnsi="Times New Roman"/>
                <w:sz w:val="20"/>
              </w:rPr>
            </w:pPr>
          </w:p>
        </w:tc>
        <w:tc>
          <w:tcPr>
            <w:tcW w:w="0" w:type="auto"/>
            <w:shd w:val="clear" w:color="auto" w:fill="auto"/>
          </w:tcPr>
          <w:p w:rsidR="00900B11" w:rsidRPr="00900B11" w:rsidRDefault="00900B11">
            <w:pPr>
              <w:rPr>
                <w:rFonts w:ascii="Times New Roman" w:hAnsi="Times New Roman"/>
                <w:sz w:val="20"/>
              </w:rPr>
            </w:pPr>
          </w:p>
        </w:tc>
        <w:tc>
          <w:tcPr>
            <w:tcW w:w="0" w:type="auto"/>
            <w:shd w:val="clear" w:color="auto" w:fill="auto"/>
          </w:tcPr>
          <w:p w:rsidR="00900B11" w:rsidRPr="00900B11" w:rsidRDefault="00900B11">
            <w:pPr>
              <w:rPr>
                <w:rFonts w:ascii="Times New Roman" w:hAnsi="Times New Roman"/>
                <w:sz w:val="20"/>
              </w:rPr>
            </w:pPr>
          </w:p>
        </w:tc>
        <w:tc>
          <w:tcPr>
            <w:tcW w:w="0" w:type="auto"/>
            <w:shd w:val="clear" w:color="auto" w:fill="auto"/>
          </w:tcPr>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1595-6368</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817,000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357,729,448</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xml:space="preserve">"; provided, that not less than $30,000 shall be expended for a study on pedestrian crossings of state highway route 9 in the town of Wellesley; provided, that not less than $50,000 shall be expended to improve pedestrian safety and access to local businesses along state highway route 38 at Bonner avenue in the city of Medford; provided further, that not less than $100,000 shall be expended to improve pedestrian safety and access to public transportation along state highway route 38 and Mystic Avenue in the city of Somerville; provided further, that not less than $95,000 </w:t>
            </w:r>
            <w:r w:rsidRPr="00900B11">
              <w:rPr>
                <w:rFonts w:ascii="Times New Roman" w:hAnsi="Times New Roman"/>
                <w:sz w:val="20"/>
              </w:rPr>
              <w:lastRenderedPageBreak/>
              <w:t>shall be expended for the Kensington Underpass in East Somerville; provided further, that not less than $100,000 shall be allocated to the town of Andover for the final phase of the route 133 corridor project plan development project; provided further, that not less than $57,000 shall be expended for additional warning sirens at the Grafton and Upton railroad propane facility in the town of Grafton; provided further, that not less than $100,000 shall be expended to the Berkshire Regional Planning Commission for the formation and operation of a transportation subcommittee to the Berkshire flyer working group established in section 137 of chapter 47 of the acts of 2017; provided further, that not less than $35,000 be expended to 1Berkshire Strategic Allicance, Inc. in the city of Pittsfield for project management of innovative rural transportation solutions identified in the Berkshire County Blueprint 2.0; provided further, that not less than $100,000 shall be expended for renovations to the Park Street Bridge in Lee; provided further, that not less than $75,000 shall be expended for elderly and commuter services in Maynard and Acton"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and provided further, that not less than $75,000 shall be expended for upgrades to the Newton Square rotary in Worcester"</w:t>
            </w:r>
          </w:p>
          <w:p w:rsidR="00900B11" w:rsidRPr="00900B11" w:rsidRDefault="00900B11">
            <w:pPr>
              <w:rPr>
                <w:rFonts w:ascii="Times New Roman" w:hAnsi="Times New Roman"/>
                <w:sz w:val="20"/>
              </w:rPr>
            </w:pPr>
          </w:p>
        </w:tc>
      </w:tr>
    </w:tbl>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r>
        <w:rPr>
          <w:rFonts w:ascii="Times New Roman" w:hAnsi="Times New Roman"/>
          <w:sz w:val="20"/>
        </w:rPr>
        <w:t>I reduce the following items in Section 2  by striking the wording as indicated and inserting in place thereof the following wording set forth below:</w:t>
      </w:r>
    </w:p>
    <w:p w:rsidR="00900B11" w:rsidRDefault="00900B11">
      <w:pPr>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10" w:firstRow="0" w:lastRow="0" w:firstColumn="0" w:lastColumn="0" w:noHBand="0" w:noVBand="0"/>
      </w:tblPr>
      <w:tblGrid>
        <w:gridCol w:w="1600"/>
        <w:gridCol w:w="898"/>
        <w:gridCol w:w="1216"/>
        <w:gridCol w:w="5574"/>
      </w:tblGrid>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 xml:space="preserve">Section 2 </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Reduce By</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Reduce To</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xml:space="preserve"> </w:t>
            </w:r>
          </w:p>
        </w:tc>
      </w:tr>
      <w:tr w:rsidR="00900B11" w:rsidRPr="00900B11" w:rsidTr="00900B11">
        <w:tc>
          <w:tcPr>
            <w:tcW w:w="1600" w:type="dxa"/>
            <w:shd w:val="clear" w:color="auto" w:fill="auto"/>
          </w:tcPr>
          <w:p w:rsidR="00900B11" w:rsidRPr="00900B11" w:rsidRDefault="00900B11">
            <w:pPr>
              <w:rPr>
                <w:rFonts w:ascii="Times New Roman" w:hAnsi="Times New Roman"/>
                <w:sz w:val="20"/>
              </w:rPr>
            </w:pPr>
          </w:p>
        </w:tc>
        <w:tc>
          <w:tcPr>
            <w:tcW w:w="0" w:type="auto"/>
            <w:shd w:val="clear" w:color="auto" w:fill="auto"/>
          </w:tcPr>
          <w:p w:rsidR="00900B11" w:rsidRPr="00900B11" w:rsidRDefault="00900B11">
            <w:pPr>
              <w:rPr>
                <w:rFonts w:ascii="Times New Roman" w:hAnsi="Times New Roman"/>
                <w:sz w:val="20"/>
              </w:rPr>
            </w:pPr>
          </w:p>
        </w:tc>
        <w:tc>
          <w:tcPr>
            <w:tcW w:w="0" w:type="auto"/>
            <w:shd w:val="clear" w:color="auto" w:fill="auto"/>
          </w:tcPr>
          <w:p w:rsidR="00900B11" w:rsidRPr="00900B11" w:rsidRDefault="00900B11">
            <w:pPr>
              <w:rPr>
                <w:rFonts w:ascii="Times New Roman" w:hAnsi="Times New Roman"/>
                <w:sz w:val="20"/>
              </w:rPr>
            </w:pPr>
          </w:p>
        </w:tc>
        <w:tc>
          <w:tcPr>
            <w:tcW w:w="0" w:type="auto"/>
            <w:shd w:val="clear" w:color="auto" w:fill="auto"/>
          </w:tcPr>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4000-0300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408,445</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104,127,269</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Wording Stricken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in calculating rates of payment for children enrolled in MassHealth receiving inpatient and outpatient services at acute care pediatric hospitals and pediatric specialty units as defined in section 8A of said chapter 118E, the executive office shall make a supplemental payment not less than $14,800,000 to any acute care pediatric hospital and pediatric specialty unit in the commonwealth, above base rates, to compensate for high-complexity pediatric care"</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$250,000 shall be expended for the Brookline Community Mental Health Center to expand the Healthy Lives program"</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not less than $50,000 shall be expended for Martha’s Vineyard Community Service to increase access and cover feasible travel costs associated with arranging access to health and human services on Martha's Vineyard and Nantucket; provided further, that said funds shall be expended equally for the counties of Nantucket and Dukes County; provided further, that not less than $108,445 shall be expended for continued operation of the Autism Insurance Resource Center at the University of Massachusetts Medical School’s Eunice Kennedy Shriver Center to provide information, technical assistance and support to families of individuals with autism, including individuals enrolled in MassHealth"</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Wording Inserted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in calculating rates of payment for children enrolled in MassHealth receiving inpatient and outpatient services at pediatric specialty units as defined in section 8A of said chapter 118E, the executive office shall make a supplemental payment not less than $3,000,000 to any pediatric specialty unit in the commonwealth, above base rates, to compensate for high-complexity pediatric care"</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4512-0500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150,000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1,875,016</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Wording Stricken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and provided further, that $300,000 shall be expended for the Forsyth Institute’s Center for Children’s Oral Health to expand the ForsythKids program focused on children and adolescents and to study the emerging association between oral health status and academic performance"</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Wording Inserted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and provided further, that $150,000 shall be expended for the Forsyth Institute’s Center for Children’s Oral Health to expand the ForsythKids program focused on children and adolescents and to study the emerging association between oral health status and academic performance"</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lastRenderedPageBreak/>
              <w:t>4513-1121</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250,000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250,000</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Wording Stricken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the department of public health shall expend not less than $200,000 to provide educational programming as part of the F.A.S.T. campaign on the signs and symptoms of stroke and stroke warning signs with a focus on communities that have the highest incidence of stroke, which shall not be used for personnel costs; provided further, that the department of public health shall provide quality improvement measures that align with the stroke consensus metrics by utilizing a nationally recognized data set platform, and expand the statewide registry that compiles information and statistics on stroke care using confidentiality standards not less secure than a nationally recognized data set platform, known as the stroke registry data platform; provided further, that the department shall expend not less than $200,000 to require all primary stroke service hospitals and emergency medical services agencies to report data consistent with nationally-recognized guidelines on the treatment of individuals with confirmed stroke in the commonwealth; provided further, that not less than $100,000 shall be expended to oversee the operation and administration of designated primary stroke service hospital programs, established by 105 CMR 130.1400"</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Wording Inserted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provided further, that the department of public health shall expend not less than $100,000 to provide educational programming as part of the F.A.S.T. campaign on the signs and symptoms of stroke and stroke warning signs with a focus on communities that have the highest incidence of stroke, which shall not be used for personnel costs; provided further, that the department of public health shall provide quality improvement measures that align with the stroke consensus metrics by utilizing a nationally recognized data set platform, and expand the statewide registry that compiles information and statistics on stroke care using confidentiality standards not less secure than a nationally recognized data set platform, known as the stroke registry data platform; provided further, that the department shall expend not less than $100,000 to require all primary stroke service hospitals and emergency medical services agencies to report data consistent with nationally-recognized guidelines on the treatment of individuals with confirmed stroke in the commonwealth; provided further, that not less than $50,000 shall be expended to oversee the operation and administration of designated primary stroke service hospital programs, established by 105 CMR 130.1400"</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7006-0011</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500,000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1,550,000</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Wording Stricken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xml:space="preserve">"; provided, that the division may expend revenues of not more than $2,050,000 from the revenue received from administrative fees associated with the licensure fees and from civil administrative penalties collected under said chapter 255F; provided further, that not less than $500,000 shall be expended by the commissioner of banks as grants for the operation of a program for best lending practices, first-time homeowner counseling for nontraditional loans and at least 10 foreclosure education centers pursuant to section 16 of chapter 206 of the acts of 2007 and that the grants shall be awarded through a competitive </w:t>
            </w:r>
            <w:r w:rsidRPr="00900B11">
              <w:rPr>
                <w:rFonts w:ascii="Times New Roman" w:hAnsi="Times New Roman"/>
                <w:sz w:val="20"/>
              </w:rPr>
              <w:lastRenderedPageBreak/>
              <w:t>application process using criteria established by the division"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Wording Inserted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 xml:space="preserve">"; provided, that the division may expend revenues of not more than $1,550,000 from the revenue received from administrative fees associated with the licensure fees and from civil administrative penalties collected under said chapter 255F" </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lastRenderedPageBreak/>
              <w:t>7006-0142</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50,000</w:t>
            </w:r>
          </w:p>
        </w:tc>
        <w:tc>
          <w:tcPr>
            <w:tcW w:w="0" w:type="auto"/>
            <w:shd w:val="clear" w:color="auto" w:fill="auto"/>
          </w:tcPr>
          <w:p w:rsidR="00900B11" w:rsidRPr="00900B11" w:rsidRDefault="00900B11" w:rsidP="00900B11">
            <w:pPr>
              <w:jc w:val="right"/>
              <w:rPr>
                <w:rFonts w:ascii="Times New Roman" w:hAnsi="Times New Roman"/>
                <w:sz w:val="20"/>
              </w:rPr>
            </w:pPr>
            <w:r w:rsidRPr="00900B11">
              <w:rPr>
                <w:rFonts w:ascii="Times New Roman" w:hAnsi="Times New Roman"/>
                <w:sz w:val="20"/>
              </w:rPr>
              <w:t>14,007,504</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Wording Stricken</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"For the administration of the office of public safety and inspections at the division of professional licensure, which may expend not more than $14,057,504 in revenues collected from fees or fines for annual elevator inspections, building inspections, amusement park ride inspections, state building code training and courses of instruction, licensing of pipefitters and hoisting equipment operators, all licensing programs administered by the office of public safety and inspections, revenues from fines collected under section 65 of chapter 143 of the General Laws and fees for appeals of civil fines issued under section 22 of chapter 22 of the General Laws and said section 65 of said chapter 143"</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"and to defray the costs associated with performing overtime elevator inspections; provided further, that the division shall employ more than 70 full-time equivalent elevator inspectors, including an additional engineer; provided further, that not less than $50,000 shall be provided for a reimbursement program to be managed by the division of professional licensure which shall provide for the costs associated with the implementation of testing for the presence of pyrrhotite in the foundation of homes built on or after 1983 in the commonwealth within a 20-mile radius of J.J. Mottes Concrete Company in Stafford Springs, Connecticut; provided further, that reimbursements shall be made at a rate of 100 per cent  for visual testing conducted by a licensed professional engineer up to $400 and a rate of 75 per cent for the testing of 2 core samples up to $5,000"</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Wording Inserted</w:t>
            </w:r>
          </w:p>
          <w:p w:rsidR="00900B11" w:rsidRPr="00900B11" w:rsidRDefault="00900B11">
            <w:pPr>
              <w:rPr>
                <w:rFonts w:ascii="Times New Roman" w:hAnsi="Times New Roman"/>
                <w:sz w:val="20"/>
              </w:rPr>
            </w:pPr>
          </w:p>
          <w:p w:rsidR="00900B11" w:rsidRPr="00900B11" w:rsidRDefault="00900B11">
            <w:pPr>
              <w:rPr>
                <w:rFonts w:ascii="Times New Roman" w:hAnsi="Times New Roman"/>
                <w:sz w:val="20"/>
              </w:rPr>
            </w:pPr>
            <w:r w:rsidRPr="00900B11">
              <w:rPr>
                <w:rFonts w:ascii="Times New Roman" w:hAnsi="Times New Roman"/>
                <w:sz w:val="20"/>
              </w:rPr>
              <w:t>"For the administration of the office of public safety and inspections at the division of professional licensure, which may expend not more than $14,007,504 in revenues collected from fees or fines for annual elevator inspections, building inspections, amusement park ride inspections, state building code training and courses of instruction, licensing of pipefitters and hoisting equipment operators, all licensing programs administered by the office of public safety and inspections, revenues from fines collected under section 65 of chapter 143 of the General Laws and fees for appeals of civil fines issued under section 22 of chapter 22 of the General Laws and said section 65 of said chapter 143"</w:t>
            </w:r>
          </w:p>
          <w:p w:rsidR="00900B11" w:rsidRPr="00900B11" w:rsidRDefault="00900B11">
            <w:pPr>
              <w:rPr>
                <w:rFonts w:ascii="Times New Roman" w:hAnsi="Times New Roman"/>
                <w:sz w:val="20"/>
              </w:rPr>
            </w:pPr>
          </w:p>
        </w:tc>
      </w:tr>
    </w:tbl>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r>
        <w:rPr>
          <w:rFonts w:ascii="Times New Roman" w:hAnsi="Times New Roman"/>
          <w:sz w:val="20"/>
        </w:rPr>
        <w:t>I disapprove in the following items in Section 2  the wording as indicated:</w:t>
      </w:r>
    </w:p>
    <w:p w:rsidR="00900B11" w:rsidRDefault="00900B11">
      <w:pPr>
        <w:rPr>
          <w:rFonts w:ascii="Times New Roman" w:hAnsi="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10" w:firstRow="0" w:lastRow="0" w:firstColumn="0" w:lastColumn="0" w:noHBand="0" w:noVBand="0"/>
      </w:tblPr>
      <w:tblGrid>
        <w:gridCol w:w="1600"/>
        <w:gridCol w:w="7688"/>
      </w:tblGrid>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 xml:space="preserve">Section 2 </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Wording Stricken</w:t>
            </w:r>
          </w:p>
        </w:tc>
      </w:tr>
      <w:tr w:rsidR="00900B11" w:rsidRPr="00900B11" w:rsidTr="00900B11">
        <w:tc>
          <w:tcPr>
            <w:tcW w:w="1600" w:type="dxa"/>
            <w:shd w:val="clear" w:color="auto" w:fill="auto"/>
          </w:tcPr>
          <w:p w:rsidR="00900B11" w:rsidRPr="00900B11" w:rsidRDefault="00900B11">
            <w:pPr>
              <w:rPr>
                <w:rFonts w:ascii="Times New Roman" w:hAnsi="Times New Roman"/>
                <w:sz w:val="20"/>
              </w:rPr>
            </w:pPr>
          </w:p>
        </w:tc>
        <w:tc>
          <w:tcPr>
            <w:tcW w:w="0" w:type="auto"/>
            <w:shd w:val="clear" w:color="auto" w:fill="auto"/>
          </w:tcPr>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4000-0328</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xml:space="preserve">"; provided further, that not later than November 1, 2018 the executive office shall report to the house and senate committees on ways and means with an update on changes, since the last filing of this report, to submitted and pending applications and the projected fiscal impact of federal approval for each of these applications; provided further, that not later than March 15, 2019 the executive office of health and human services, in consultation with the executive office for administration and finance and the executive office for technology services and security, shall publish a plan to implement modern, digital and integrated eligibility determination processes as required by the last paragraph of said section 16 of said chapter 6A, which shall include the estimated capital and operating resources to implement the modern, digital and integrated eligibility determination processes and any additional resources required to: (a) allow integrated enrollment and common application for benefits between the commonwealth health insurance connector, the office of Medicaid, the department of transitional assistance, the department of early education and care and the department of housing and community development; and (b) implement interim solutions to integrate applications between the office of Medicaid and the department of transitional </w:t>
            </w:r>
            <w:r w:rsidRPr="00900B11">
              <w:rPr>
                <w:rFonts w:ascii="Times New Roman" w:hAnsi="Times New Roman"/>
                <w:sz w:val="20"/>
              </w:rPr>
              <w:lastRenderedPageBreak/>
              <w:t>assistance; and provided further, that the office of Medicaid and the department of transitional assistance shall prioritize aligning their benefit application processes as a step toward the development of a common application"</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lastRenderedPageBreak/>
              <w:t>4403-2000</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further, that notwithstanding any general or special law to the contrary, the department of transitional assistance shall calculate benefits provided under this item in the same manner as the previous fiscal year"</w:t>
            </w:r>
          </w:p>
          <w:p w:rsidR="00900B11" w:rsidRPr="00900B11" w:rsidRDefault="00900B11">
            <w:pPr>
              <w:rPr>
                <w:rFonts w:ascii="Times New Roman" w:hAnsi="Times New Roman"/>
                <w:sz w:val="20"/>
              </w:rPr>
            </w:pPr>
          </w:p>
        </w:tc>
      </w:tr>
      <w:tr w:rsidR="00900B11" w:rsidRPr="00900B11" w:rsidTr="00900B11">
        <w:tc>
          <w:tcPr>
            <w:tcW w:w="1600" w:type="dxa"/>
            <w:shd w:val="clear" w:color="auto" w:fill="auto"/>
          </w:tcPr>
          <w:p w:rsidR="00900B11" w:rsidRPr="00900B11" w:rsidRDefault="00900B11">
            <w:pPr>
              <w:rPr>
                <w:rFonts w:ascii="Times New Roman" w:hAnsi="Times New Roman"/>
                <w:sz w:val="20"/>
              </w:rPr>
            </w:pPr>
            <w:r w:rsidRPr="00900B11">
              <w:rPr>
                <w:rFonts w:ascii="Times New Roman" w:hAnsi="Times New Roman"/>
                <w:sz w:val="20"/>
              </w:rPr>
              <w:t>8900-0050</w:t>
            </w:r>
          </w:p>
        </w:tc>
        <w:tc>
          <w:tcPr>
            <w:tcW w:w="0" w:type="auto"/>
            <w:shd w:val="clear" w:color="auto" w:fill="auto"/>
          </w:tcPr>
          <w:p w:rsidR="00900B11" w:rsidRPr="00900B11" w:rsidRDefault="00900B11">
            <w:pPr>
              <w:rPr>
                <w:rFonts w:ascii="Times New Roman" w:hAnsi="Times New Roman"/>
                <w:sz w:val="20"/>
              </w:rPr>
            </w:pPr>
            <w:r w:rsidRPr="00900B11">
              <w:rPr>
                <w:rFonts w:ascii="Times New Roman" w:hAnsi="Times New Roman"/>
                <w:sz w:val="20"/>
              </w:rPr>
              <w:t>"; provided, that the department may expend not more than $2,128,815 in retained revenues collected from the State Criminal Alien Assistance Program"</w:t>
            </w:r>
          </w:p>
          <w:p w:rsidR="00900B11" w:rsidRPr="00900B11" w:rsidRDefault="00900B11">
            <w:pPr>
              <w:rPr>
                <w:rFonts w:ascii="Times New Roman" w:hAnsi="Times New Roman"/>
                <w:sz w:val="20"/>
              </w:rPr>
            </w:pPr>
          </w:p>
        </w:tc>
      </w:tr>
    </w:tbl>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r>
        <w:rPr>
          <w:rFonts w:ascii="Times New Roman" w:hAnsi="Times New Roman"/>
          <w:sz w:val="20"/>
        </w:rPr>
        <w:t>I return for amendment, pursuant to the authority vested in me by Article 56, as amended by Article 90, Section 3, of the Amendments to the Constitution, Sections 12, 29, 38, 39, 52, 54, 56, 58, 59, 60, 62, 63, 82, 84, 87, 89, 99, 104, and 112.  The text of my recommended amendments is set forth in separate letters of this date to the Senate and House of Representatives.</w:t>
      </w: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r>
        <w:rPr>
          <w:rFonts w:ascii="Times New Roman" w:hAnsi="Times New Roman"/>
          <w:sz w:val="20"/>
        </w:rPr>
        <w:t>The remainder of this bill I approve.</w:t>
      </w: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r>
        <w:rPr>
          <w:rFonts w:ascii="Times New Roman" w:hAnsi="Times New Roman"/>
          <w:sz w:val="20"/>
        </w:rPr>
        <w:t>Approved, July 26, 2018</w:t>
      </w: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r>
        <w:rPr>
          <w:rFonts w:ascii="Times New Roman" w:hAnsi="Times New Roman"/>
          <w:sz w:val="20"/>
        </w:rPr>
        <w:t>at</w:t>
      </w:r>
      <w:r>
        <w:rPr>
          <w:rFonts w:ascii="Times New Roman" w:hAnsi="Times New Roman"/>
          <w:sz w:val="20"/>
        </w:rPr>
        <w:tab/>
      </w:r>
      <w:r>
        <w:rPr>
          <w:rFonts w:ascii="Times New Roman" w:hAnsi="Times New Roman"/>
          <w:sz w:val="20"/>
        </w:rPr>
        <w:tab/>
        <w:t>o'clock and</w:t>
      </w:r>
      <w:r>
        <w:rPr>
          <w:rFonts w:ascii="Times New Roman" w:hAnsi="Times New Roman"/>
          <w:sz w:val="20"/>
        </w:rPr>
        <w:tab/>
      </w:r>
      <w:r>
        <w:rPr>
          <w:rFonts w:ascii="Times New Roman" w:hAnsi="Times New Roman"/>
          <w:sz w:val="20"/>
        </w:rPr>
        <w:tab/>
        <w:t>minutes,</w:t>
      </w:r>
      <w:r>
        <w:rPr>
          <w:rFonts w:ascii="Times New Roman" w:hAnsi="Times New Roman"/>
          <w:sz w:val="20"/>
        </w:rPr>
        <w:tab/>
      </w:r>
      <w:r>
        <w:rPr>
          <w:rFonts w:ascii="Times New Roman" w:hAnsi="Times New Roman"/>
          <w:sz w:val="20"/>
        </w:rPr>
        <w:tab/>
        <w:t>.M.</w:t>
      </w:r>
    </w:p>
    <w:p w:rsidR="00900B11" w:rsidRDefault="00900B11">
      <w:pPr>
        <w:rPr>
          <w:rFonts w:ascii="Times New Roman" w:hAnsi="Times New Roman"/>
          <w:sz w:val="20"/>
        </w:rPr>
      </w:pPr>
    </w:p>
    <w:p w:rsidR="00900B11" w:rsidRDefault="00900B11">
      <w:pPr>
        <w:rPr>
          <w:rFonts w:ascii="Times New Roman" w:hAnsi="Times New Roman"/>
          <w:sz w:val="20"/>
        </w:rPr>
      </w:pPr>
    </w:p>
    <w:p w:rsidR="00900B11" w:rsidRDefault="00900B11">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Charles D. Baker</w:t>
      </w:r>
    </w:p>
    <w:p w:rsidR="00900B11" w:rsidRDefault="00900B11">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Governor</w:t>
      </w:r>
    </w:p>
    <w:p w:rsidR="00900B11" w:rsidRPr="00900B11" w:rsidRDefault="00900B11">
      <w:pPr>
        <w:rPr>
          <w:rFonts w:ascii="Times New Roman" w:hAnsi="Times New Roman"/>
          <w:sz w:val="20"/>
        </w:rPr>
      </w:pPr>
    </w:p>
    <w:sectPr w:rsidR="00900B11" w:rsidRPr="00900B11" w:rsidSect="00900B11">
      <w:headerReference w:type="even" r:id="rId7"/>
      <w:headerReference w:type="default" r:id="rId8"/>
      <w:footerReference w:type="even" r:id="rId9"/>
      <w:footerReference w:type="default" r:id="rId10"/>
      <w:headerReference w:type="first" r:id="rId11"/>
      <w:footerReference w:type="first" r:id="rId12"/>
      <w:pgSz w:w="12240" w:h="20160"/>
      <w:pgMar w:top="1440" w:right="720" w:bottom="1440" w:left="2448" w:header="720" w:footer="720" w:gutter="0"/>
      <w:pgNumType w:start="4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B11" w:rsidRDefault="00900B11" w:rsidP="00900B11">
      <w:r>
        <w:separator/>
      </w:r>
    </w:p>
  </w:endnote>
  <w:endnote w:type="continuationSeparator" w:id="0">
    <w:p w:rsidR="00900B11" w:rsidRDefault="00900B11" w:rsidP="0090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11" w:rsidRDefault="00900B11" w:rsidP="00900B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0B11" w:rsidRDefault="00900B11" w:rsidP="00D314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0B11" w:rsidRDefault="00900B11" w:rsidP="00900B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11" w:rsidRDefault="00900B11" w:rsidP="00900B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1093">
      <w:rPr>
        <w:rStyle w:val="PageNumber"/>
        <w:noProof/>
      </w:rPr>
      <w:t>432</w:t>
    </w:r>
    <w:r>
      <w:rPr>
        <w:rStyle w:val="PageNumber"/>
      </w:rPr>
      <w:fldChar w:fldCharType="end"/>
    </w:r>
  </w:p>
  <w:p w:rsidR="00900B11" w:rsidRDefault="00900B11" w:rsidP="00900B1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11" w:rsidRDefault="00900B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B11" w:rsidRDefault="00900B11" w:rsidP="00900B11">
      <w:r>
        <w:separator/>
      </w:r>
    </w:p>
  </w:footnote>
  <w:footnote w:type="continuationSeparator" w:id="0">
    <w:p w:rsidR="00900B11" w:rsidRDefault="00900B11" w:rsidP="00900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11" w:rsidRDefault="00900B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11" w:rsidRDefault="00900B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B11" w:rsidRDefault="00900B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B11"/>
    <w:rsid w:val="00336C3A"/>
    <w:rsid w:val="00376936"/>
    <w:rsid w:val="005243C4"/>
    <w:rsid w:val="005A3206"/>
    <w:rsid w:val="00672F80"/>
    <w:rsid w:val="00900B11"/>
    <w:rsid w:val="009A37B4"/>
    <w:rsid w:val="00A41093"/>
    <w:rsid w:val="00CA2C17"/>
    <w:rsid w:val="00D64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0B11"/>
    <w:pPr>
      <w:tabs>
        <w:tab w:val="center" w:pos="4680"/>
        <w:tab w:val="right" w:pos="9360"/>
      </w:tabs>
    </w:pPr>
  </w:style>
  <w:style w:type="character" w:customStyle="1" w:styleId="HeaderChar">
    <w:name w:val="Header Char"/>
    <w:basedOn w:val="DefaultParagraphFont"/>
    <w:link w:val="Header"/>
    <w:rsid w:val="00900B11"/>
    <w:rPr>
      <w:rFonts w:ascii="Arial" w:hAnsi="Arial"/>
      <w:sz w:val="22"/>
      <w:szCs w:val="24"/>
    </w:rPr>
  </w:style>
  <w:style w:type="paragraph" w:styleId="Footer">
    <w:name w:val="footer"/>
    <w:basedOn w:val="Normal"/>
    <w:link w:val="FooterChar"/>
    <w:rsid w:val="00900B11"/>
    <w:pPr>
      <w:tabs>
        <w:tab w:val="center" w:pos="4680"/>
        <w:tab w:val="right" w:pos="9360"/>
      </w:tabs>
    </w:pPr>
  </w:style>
  <w:style w:type="character" w:customStyle="1" w:styleId="FooterChar">
    <w:name w:val="Footer Char"/>
    <w:basedOn w:val="DefaultParagraphFont"/>
    <w:link w:val="Footer"/>
    <w:rsid w:val="00900B11"/>
    <w:rPr>
      <w:rFonts w:ascii="Arial" w:hAnsi="Arial"/>
      <w:sz w:val="22"/>
      <w:szCs w:val="24"/>
    </w:rPr>
  </w:style>
  <w:style w:type="character" w:styleId="PageNumber">
    <w:name w:val="page number"/>
    <w:basedOn w:val="DefaultParagraphFont"/>
    <w:rsid w:val="00900B11"/>
  </w:style>
  <w:style w:type="table" w:styleId="TableGrid">
    <w:name w:val="Table Grid"/>
    <w:basedOn w:val="TableNormal"/>
    <w:rsid w:val="0090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1093"/>
    <w:rPr>
      <w:rFonts w:ascii="Tahoma" w:hAnsi="Tahoma" w:cs="Tahoma"/>
      <w:sz w:val="16"/>
      <w:szCs w:val="16"/>
    </w:rPr>
  </w:style>
  <w:style w:type="character" w:customStyle="1" w:styleId="BalloonTextChar">
    <w:name w:val="Balloon Text Char"/>
    <w:basedOn w:val="DefaultParagraphFont"/>
    <w:link w:val="BalloonText"/>
    <w:rsid w:val="00A410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0B11"/>
    <w:pPr>
      <w:tabs>
        <w:tab w:val="center" w:pos="4680"/>
        <w:tab w:val="right" w:pos="9360"/>
      </w:tabs>
    </w:pPr>
  </w:style>
  <w:style w:type="character" w:customStyle="1" w:styleId="HeaderChar">
    <w:name w:val="Header Char"/>
    <w:basedOn w:val="DefaultParagraphFont"/>
    <w:link w:val="Header"/>
    <w:rsid w:val="00900B11"/>
    <w:rPr>
      <w:rFonts w:ascii="Arial" w:hAnsi="Arial"/>
      <w:sz w:val="22"/>
      <w:szCs w:val="24"/>
    </w:rPr>
  </w:style>
  <w:style w:type="paragraph" w:styleId="Footer">
    <w:name w:val="footer"/>
    <w:basedOn w:val="Normal"/>
    <w:link w:val="FooterChar"/>
    <w:rsid w:val="00900B11"/>
    <w:pPr>
      <w:tabs>
        <w:tab w:val="center" w:pos="4680"/>
        <w:tab w:val="right" w:pos="9360"/>
      </w:tabs>
    </w:pPr>
  </w:style>
  <w:style w:type="character" w:customStyle="1" w:styleId="FooterChar">
    <w:name w:val="Footer Char"/>
    <w:basedOn w:val="DefaultParagraphFont"/>
    <w:link w:val="Footer"/>
    <w:rsid w:val="00900B11"/>
    <w:rPr>
      <w:rFonts w:ascii="Arial" w:hAnsi="Arial"/>
      <w:sz w:val="22"/>
      <w:szCs w:val="24"/>
    </w:rPr>
  </w:style>
  <w:style w:type="character" w:styleId="PageNumber">
    <w:name w:val="page number"/>
    <w:basedOn w:val="DefaultParagraphFont"/>
    <w:rsid w:val="00900B11"/>
  </w:style>
  <w:style w:type="table" w:styleId="TableGrid">
    <w:name w:val="Table Grid"/>
    <w:basedOn w:val="TableNormal"/>
    <w:rsid w:val="0090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1093"/>
    <w:rPr>
      <w:rFonts w:ascii="Tahoma" w:hAnsi="Tahoma" w:cs="Tahoma"/>
      <w:sz w:val="16"/>
      <w:szCs w:val="16"/>
    </w:rPr>
  </w:style>
  <w:style w:type="character" w:customStyle="1" w:styleId="BalloonTextChar">
    <w:name w:val="Balloon Text Char"/>
    <w:basedOn w:val="DefaultParagraphFont"/>
    <w:link w:val="BalloonText"/>
    <w:rsid w:val="00A410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8798</Words>
  <Characters>50152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Segel, Larry (ANF)</dc:creator>
  <cp:lastModifiedBy>Segel, Larry (ANF)</cp:lastModifiedBy>
  <cp:revision>2</cp:revision>
  <cp:lastPrinted>2018-07-26T17:13:00Z</cp:lastPrinted>
  <dcterms:created xsi:type="dcterms:W3CDTF">2018-07-26T17:15:00Z</dcterms:created>
  <dcterms:modified xsi:type="dcterms:W3CDTF">2018-07-26T17:15:00Z</dcterms:modified>
</cp:coreProperties>
</file>