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F9F1" w14:textId="77777777" w:rsidR="004E296F" w:rsidRPr="001C16DA" w:rsidRDefault="004E296F" w:rsidP="00D63CF5">
      <w:pPr>
        <w:jc w:val="center"/>
        <w:rPr>
          <w:rFonts w:ascii="Century Schoolbook" w:hAnsi="Century Schoolbook" w:cs="Century Schoolbook"/>
        </w:rPr>
      </w:pPr>
      <w:r w:rsidRPr="001C16DA">
        <w:rPr>
          <w:rFonts w:ascii="Century Schoolbook" w:hAnsi="Century Schoolbook" w:cs="Century Schoolbook"/>
        </w:rPr>
        <w:t>COMMONWEALTH OF MASSACHUSETTS</w:t>
      </w:r>
    </w:p>
    <w:p w14:paraId="406776E1" w14:textId="77777777" w:rsidR="004E296F" w:rsidRPr="001C16DA" w:rsidRDefault="004E296F" w:rsidP="00D63CF5">
      <w:pPr>
        <w:rPr>
          <w:rFonts w:ascii="Century Schoolbook" w:hAnsi="Century Schoolbook" w:cs="Century Schoolbook"/>
        </w:rPr>
      </w:pPr>
    </w:p>
    <w:p w14:paraId="5C4877F8" w14:textId="77777777" w:rsidR="004E296F" w:rsidRPr="001C16DA" w:rsidRDefault="004E296F" w:rsidP="00D63CF5">
      <w:pPr>
        <w:ind w:left="5760" w:hanging="5760"/>
        <w:rPr>
          <w:rFonts w:ascii="Century Schoolbook" w:hAnsi="Century Schoolbook" w:cs="Century Schoolbook"/>
        </w:rPr>
      </w:pPr>
      <w:r w:rsidRPr="001C16DA">
        <w:rPr>
          <w:rFonts w:ascii="Century Schoolbook" w:hAnsi="Century Schoolbook" w:cs="Century Schoolbook"/>
        </w:rPr>
        <w:t>SUFFOLK COUNTY</w:t>
      </w:r>
      <w:r w:rsidRPr="001C16DA">
        <w:rPr>
          <w:rFonts w:ascii="Century Schoolbook" w:hAnsi="Century Schoolbook" w:cs="Century Schoolbook"/>
        </w:rPr>
        <w:tab/>
        <w:t>BOARD OF REGISTRATION IN PHARMACY</w:t>
      </w:r>
    </w:p>
    <w:p w14:paraId="632F43F3" w14:textId="77777777" w:rsidR="004F061C" w:rsidRPr="001C16DA" w:rsidRDefault="004F061C" w:rsidP="004F061C">
      <w:pPr>
        <w:ind w:left="3600" w:hanging="3600"/>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p>
    <w:p w14:paraId="274EBFD5" w14:textId="77777777" w:rsidR="004E296F" w:rsidRPr="001C16DA" w:rsidRDefault="004E296F" w:rsidP="00D63CF5">
      <w:pPr>
        <w:tabs>
          <w:tab w:val="left" w:pos="3600"/>
        </w:tabs>
        <w:ind w:left="5760" w:hanging="5760"/>
        <w:rPr>
          <w:rFonts w:ascii="Century Schoolbook" w:hAnsi="Century Schoolbook" w:cs="Century Schoolbook"/>
        </w:rPr>
      </w:pPr>
      <w:r w:rsidRPr="001C16DA">
        <w:rPr>
          <w:rFonts w:ascii="Century Schoolbook" w:hAnsi="Century Schoolbook" w:cs="Century Schoolbook"/>
        </w:rPr>
        <w:t xml:space="preserve">In the Matter of </w:t>
      </w:r>
      <w:r w:rsidRPr="001C16DA">
        <w:rPr>
          <w:rFonts w:ascii="Century Schoolbook" w:hAnsi="Century Schoolbook" w:cs="Century Schoolbook"/>
        </w:rPr>
        <w:tab/>
        <w:t>)</w:t>
      </w:r>
      <w:r w:rsidRPr="001C16DA">
        <w:rPr>
          <w:rFonts w:ascii="Century Schoolbook" w:hAnsi="Century Schoolbook" w:cs="Century Schoolbook"/>
        </w:rPr>
        <w:tab/>
      </w:r>
    </w:p>
    <w:p w14:paraId="13222034" w14:textId="29CFDDA9" w:rsidR="004E296F" w:rsidRPr="001C16DA" w:rsidRDefault="004C68BC" w:rsidP="00D63CF5">
      <w:pPr>
        <w:tabs>
          <w:tab w:val="left" w:pos="3600"/>
        </w:tabs>
        <w:ind w:left="5760" w:hanging="5760"/>
        <w:rPr>
          <w:rFonts w:ascii="Century Schoolbook" w:hAnsi="Century Schoolbook" w:cs="Century Schoolbook"/>
        </w:rPr>
      </w:pPr>
      <w:r>
        <w:rPr>
          <w:rFonts w:ascii="Century Schoolbook" w:hAnsi="Century Schoolbook" w:cs="Century Schoolbook"/>
        </w:rPr>
        <w:t>Walgreens #9405</w:t>
      </w:r>
      <w:r w:rsidR="004F061C" w:rsidRPr="001C16DA">
        <w:rPr>
          <w:rFonts w:ascii="Century Schoolbook" w:hAnsi="Century Schoolbook" w:cs="Century Schoolbook"/>
        </w:rPr>
        <w:tab/>
        <w:t>)</w:t>
      </w:r>
      <w:r w:rsidR="004F061C" w:rsidRPr="001C16DA">
        <w:rPr>
          <w:rFonts w:ascii="Century Schoolbook" w:hAnsi="Century Schoolbook" w:cs="Century Schoolbook"/>
        </w:rPr>
        <w:tab/>
      </w:r>
      <w:r w:rsidR="004738B6" w:rsidRPr="0098722F">
        <w:rPr>
          <w:rFonts w:ascii="Century Schoolbook" w:hAnsi="Century Schoolbook" w:cs="Century Schoolbook"/>
        </w:rPr>
        <w:t>PHA</w:t>
      </w:r>
      <w:r w:rsidR="00FC15D8" w:rsidRPr="0098722F">
        <w:rPr>
          <w:rFonts w:ascii="Century Schoolbook" w:hAnsi="Century Schoolbook" w:cs="Century Schoolbook"/>
        </w:rPr>
        <w:t>-</w:t>
      </w:r>
      <w:r w:rsidR="00F416F7">
        <w:rPr>
          <w:rFonts w:ascii="Century Schoolbook" w:hAnsi="Century Schoolbook" w:cs="Century Schoolbook"/>
        </w:rPr>
        <w:t>2022-0143</w:t>
      </w:r>
    </w:p>
    <w:p w14:paraId="1F3A2BDB" w14:textId="4FEF13AD" w:rsidR="004E296F" w:rsidRPr="001C16DA" w:rsidRDefault="004C68BC" w:rsidP="00D63CF5">
      <w:pPr>
        <w:tabs>
          <w:tab w:val="left" w:pos="3600"/>
        </w:tabs>
        <w:ind w:left="5760" w:hanging="5760"/>
        <w:rPr>
          <w:rFonts w:ascii="Century Schoolbook" w:hAnsi="Century Schoolbook" w:cs="Century Schoolbook"/>
        </w:rPr>
      </w:pPr>
      <w:r>
        <w:rPr>
          <w:rFonts w:ascii="Century Schoolbook" w:hAnsi="Century Schoolbook" w:cs="Century Schoolbook"/>
        </w:rPr>
        <w:t>DS3475</w:t>
      </w:r>
      <w:r w:rsidR="00011C05" w:rsidRPr="001C16DA">
        <w:rPr>
          <w:rFonts w:ascii="Century Schoolbook" w:hAnsi="Century Schoolbook" w:cs="Century Schoolbook"/>
        </w:rPr>
        <w:tab/>
        <w:t>)</w:t>
      </w:r>
    </w:p>
    <w:p w14:paraId="15B1368B" w14:textId="77777777" w:rsidR="004F061C" w:rsidRPr="001C16DA" w:rsidRDefault="004F061C" w:rsidP="00D63CF5">
      <w:pPr>
        <w:tabs>
          <w:tab w:val="left" w:pos="3600"/>
        </w:tabs>
        <w:ind w:left="5760" w:hanging="5760"/>
        <w:rPr>
          <w:rFonts w:ascii="Century Schoolbook" w:hAnsi="Century Schoolbook" w:cs="Century Schoolbook"/>
        </w:rPr>
      </w:pPr>
    </w:p>
    <w:p w14:paraId="4A863EFF" w14:textId="77777777" w:rsidR="004E296F" w:rsidRPr="001C16DA" w:rsidRDefault="004E296F" w:rsidP="00D63CF5">
      <w:pPr>
        <w:tabs>
          <w:tab w:val="left" w:pos="3600"/>
        </w:tabs>
        <w:ind w:left="5760" w:hanging="5760"/>
        <w:rPr>
          <w:rFonts w:ascii="Century Schoolbook" w:hAnsi="Century Schoolbook" w:cs="Century Schoolbook"/>
          <w:b/>
        </w:rPr>
      </w:pPr>
    </w:p>
    <w:p w14:paraId="74D659DB" w14:textId="64B6EA22" w:rsidR="004E296F" w:rsidRPr="001C16DA" w:rsidRDefault="004E296F" w:rsidP="00D63CF5">
      <w:pPr>
        <w:tabs>
          <w:tab w:val="left" w:pos="3600"/>
        </w:tabs>
        <w:ind w:left="5760" w:hanging="5760"/>
        <w:jc w:val="center"/>
        <w:rPr>
          <w:rFonts w:ascii="Century Schoolbook" w:hAnsi="Century Schoolbook" w:cs="Century Schoolbook"/>
          <w:b/>
          <w:bCs/>
        </w:rPr>
      </w:pPr>
      <w:r w:rsidRPr="001C16DA">
        <w:rPr>
          <w:rFonts w:ascii="Century Schoolbook" w:hAnsi="Century Schoolbook" w:cs="Century Schoolbook"/>
          <w:b/>
          <w:bCs/>
        </w:rPr>
        <w:t>CONSENT AGREEMENT FOR PROBATION</w:t>
      </w:r>
    </w:p>
    <w:p w14:paraId="5E422530" w14:textId="77777777" w:rsidR="004E296F" w:rsidRPr="001C16DA" w:rsidRDefault="004E296F" w:rsidP="00D63CF5">
      <w:pPr>
        <w:tabs>
          <w:tab w:val="left" w:pos="3600"/>
        </w:tabs>
        <w:ind w:left="5760" w:hanging="5760"/>
        <w:jc w:val="both"/>
        <w:rPr>
          <w:rFonts w:ascii="Century Schoolbook" w:hAnsi="Century Schoolbook" w:cs="Century Schoolbook"/>
          <w:b/>
          <w:bCs/>
        </w:rPr>
      </w:pPr>
    </w:p>
    <w:p w14:paraId="2A997B61" w14:textId="3F9D01B1" w:rsidR="004E296F" w:rsidRPr="001C16DA" w:rsidRDefault="004E296F" w:rsidP="00D63CF5">
      <w:pPr>
        <w:tabs>
          <w:tab w:val="left" w:pos="3600"/>
        </w:tabs>
        <w:jc w:val="both"/>
        <w:rPr>
          <w:rFonts w:ascii="Century Schoolbook" w:hAnsi="Century Schoolbook" w:cs="Century Schoolbook"/>
        </w:rPr>
      </w:pPr>
      <w:r w:rsidRPr="001C16DA">
        <w:rPr>
          <w:rFonts w:ascii="Century Schoolbook" w:hAnsi="Century Schoolbook" w:cs="Century Schoolbook"/>
        </w:rPr>
        <w:t>The Massachusetts Board of Registration in Pharmacy (“Board”) and</w:t>
      </w:r>
      <w:r w:rsidR="001C16DA" w:rsidRPr="001C16DA">
        <w:rPr>
          <w:rFonts w:ascii="Century Schoolbook" w:hAnsi="Century Schoolbook" w:cs="Century Schoolbook"/>
        </w:rPr>
        <w:t xml:space="preserve"> </w:t>
      </w:r>
      <w:r w:rsidR="00F416F7">
        <w:rPr>
          <w:rFonts w:ascii="Century Schoolbook" w:hAnsi="Century Schoolbook" w:cs="Century Schoolbook"/>
        </w:rPr>
        <w:t>Walgreens #9405</w:t>
      </w:r>
      <w:r w:rsidR="004F061C" w:rsidRPr="001C16DA">
        <w:rPr>
          <w:rFonts w:ascii="Century Schoolbook" w:hAnsi="Century Schoolbook" w:cs="Century Schoolbook"/>
        </w:rPr>
        <w:t xml:space="preserve"> (“Licensee”</w:t>
      </w:r>
      <w:r w:rsidR="003A4A28" w:rsidRPr="001C16DA">
        <w:rPr>
          <w:rFonts w:ascii="Century Schoolbook" w:hAnsi="Century Schoolbook" w:cs="Century Schoolbook"/>
        </w:rPr>
        <w:t xml:space="preserve"> or “Pharmacy”</w:t>
      </w:r>
      <w:r w:rsidR="004F061C" w:rsidRPr="001C16DA">
        <w:rPr>
          <w:rFonts w:ascii="Century Schoolbook" w:hAnsi="Century Schoolbook" w:cs="Century Schoolbook"/>
        </w:rPr>
        <w:t>), a</w:t>
      </w:r>
      <w:r w:rsidR="003A4A28" w:rsidRPr="001C16DA">
        <w:rPr>
          <w:rFonts w:ascii="Century Schoolbook" w:hAnsi="Century Schoolbook" w:cs="Century Schoolbook"/>
        </w:rPr>
        <w:t xml:space="preserve"> pharmacy</w:t>
      </w:r>
      <w:r w:rsidRPr="001C16DA">
        <w:rPr>
          <w:rFonts w:ascii="Century Schoolbook" w:hAnsi="Century Schoolbook" w:cs="Century Schoolbook"/>
        </w:rPr>
        <w:t xml:space="preserve"> licensed by the Board, </w:t>
      </w:r>
      <w:r w:rsidR="00011C05" w:rsidRPr="0098722F">
        <w:rPr>
          <w:rFonts w:ascii="Century Schoolbook" w:hAnsi="Century Schoolbook" w:cs="Century Schoolbook"/>
        </w:rPr>
        <w:t>DS</w:t>
      </w:r>
      <w:r w:rsidR="00CA3A9C">
        <w:rPr>
          <w:rFonts w:ascii="Century Schoolbook" w:hAnsi="Century Schoolbook" w:cs="Century Schoolbook"/>
        </w:rPr>
        <w:t>3475</w:t>
      </w:r>
      <w:r w:rsidRPr="001C16DA">
        <w:rPr>
          <w:rFonts w:ascii="Century Schoolbook" w:hAnsi="Century Schoolbook" w:cs="Century Schoolbook"/>
        </w:rPr>
        <w:t xml:space="preserve">, do hereby stipulate and agree that the following information shall be entered into and become a permanent part of the </w:t>
      </w:r>
      <w:r w:rsidR="003A4A28" w:rsidRPr="001C16DA">
        <w:rPr>
          <w:rFonts w:ascii="Century Schoolbook" w:hAnsi="Century Schoolbook" w:cs="Century Schoolbook"/>
        </w:rPr>
        <w:t>Pharmacy</w:t>
      </w:r>
      <w:r w:rsidRPr="001C16DA">
        <w:rPr>
          <w:rFonts w:ascii="Century Schoolbook" w:hAnsi="Century Schoolbook" w:cs="Century Schoolbook"/>
        </w:rPr>
        <w:t>’s record maintained by the Board:</w:t>
      </w:r>
    </w:p>
    <w:p w14:paraId="5D1F0304" w14:textId="77777777" w:rsidR="004E296F" w:rsidRPr="001C16DA" w:rsidRDefault="004E296F" w:rsidP="00D63CF5">
      <w:pPr>
        <w:tabs>
          <w:tab w:val="left" w:pos="3600"/>
        </w:tabs>
        <w:jc w:val="both"/>
        <w:rPr>
          <w:rFonts w:ascii="Century Schoolbook" w:hAnsi="Century Schoolbook" w:cs="Century Schoolbook"/>
        </w:rPr>
      </w:pPr>
    </w:p>
    <w:p w14:paraId="09C394F0" w14:textId="242F50E9" w:rsidR="00C86F89" w:rsidRPr="001C16DA"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cs="Century Schoolbook"/>
        </w:rPr>
        <w:t xml:space="preserve">The </w:t>
      </w:r>
      <w:r w:rsidR="003A4A28" w:rsidRPr="001C16DA">
        <w:rPr>
          <w:rFonts w:ascii="Century Schoolbook" w:hAnsi="Century Schoolbook" w:cs="Century Schoolbook"/>
        </w:rPr>
        <w:t>Pharmacy</w:t>
      </w:r>
      <w:r w:rsidRPr="001C16DA">
        <w:rPr>
          <w:rFonts w:ascii="Century Schoolbook" w:hAnsi="Century Schoolbook" w:cs="Century Schoolbook"/>
        </w:rPr>
        <w:t xml:space="preserve"> acknowledges the Board opened a complaint against</w:t>
      </w:r>
      <w:r w:rsidR="003A4A28" w:rsidRPr="001C16DA">
        <w:rPr>
          <w:rFonts w:ascii="Century Schoolbook" w:hAnsi="Century Schoolbook" w:cs="Century Schoolbook"/>
        </w:rPr>
        <w:t xml:space="preserve"> its</w:t>
      </w:r>
      <w:r w:rsidR="009200FD" w:rsidRPr="001C16DA">
        <w:rPr>
          <w:rFonts w:ascii="Century Schoolbook" w:hAnsi="Century Schoolbook" w:cs="Century Schoolbook"/>
        </w:rPr>
        <w:t xml:space="preserve"> </w:t>
      </w:r>
      <w:r w:rsidR="003A4A28" w:rsidRPr="001C16DA">
        <w:rPr>
          <w:rFonts w:ascii="Century Schoolbook" w:hAnsi="Century Schoolbook" w:cs="Century Schoolbook"/>
        </w:rPr>
        <w:t>pharmacy license</w:t>
      </w:r>
      <w:r w:rsidRPr="001C16DA">
        <w:rPr>
          <w:rFonts w:ascii="Century Schoolbook" w:hAnsi="Century Schoolbook" w:cs="Century Schoolbook"/>
        </w:rPr>
        <w:t xml:space="preserve"> related to the conduct set forth in Paragraph 2, identified as Docket No. </w:t>
      </w:r>
      <w:r w:rsidR="004738B6" w:rsidRPr="0098722F">
        <w:rPr>
          <w:rFonts w:ascii="Century Schoolbook" w:hAnsi="Century Schoolbook" w:cs="Century Schoolbook"/>
        </w:rPr>
        <w:t>PHA</w:t>
      </w:r>
      <w:r w:rsidR="009200FD" w:rsidRPr="0098722F">
        <w:rPr>
          <w:rFonts w:ascii="Century Schoolbook" w:hAnsi="Century Schoolbook" w:cs="Century Schoolbook"/>
        </w:rPr>
        <w:t>-</w:t>
      </w:r>
      <w:r w:rsidR="00A73DC2">
        <w:rPr>
          <w:rFonts w:ascii="Century Schoolbook" w:hAnsi="Century Schoolbook" w:cs="Century Schoolbook"/>
        </w:rPr>
        <w:t>2022-0143</w:t>
      </w:r>
      <w:r w:rsidR="004F061C" w:rsidRPr="001C16DA">
        <w:rPr>
          <w:rFonts w:ascii="Century Schoolbook" w:hAnsi="Century Schoolbook" w:cs="Century Schoolbook"/>
        </w:rPr>
        <w:t xml:space="preserve"> </w:t>
      </w:r>
      <w:r w:rsidRPr="001C16DA">
        <w:rPr>
          <w:rFonts w:ascii="Century Schoolbook" w:hAnsi="Century Schoolbook" w:cs="Century Schoolbook"/>
        </w:rPr>
        <w:t>(“the Complaint”).</w:t>
      </w:r>
      <w:r w:rsidRPr="001C16DA">
        <w:rPr>
          <w:rStyle w:val="FootnoteReference"/>
          <w:rFonts w:ascii="Century Schoolbook" w:hAnsi="Century Schoolbook" w:cs="Century Schoolbook"/>
        </w:rPr>
        <w:footnoteReference w:id="1"/>
      </w:r>
    </w:p>
    <w:p w14:paraId="2F355E8E" w14:textId="77777777" w:rsidR="00C86F89" w:rsidRPr="001C16DA" w:rsidRDefault="00C86F89" w:rsidP="00C86F89">
      <w:pPr>
        <w:pStyle w:val="ListParagraph"/>
        <w:tabs>
          <w:tab w:val="left" w:pos="720"/>
        </w:tabs>
        <w:jc w:val="both"/>
        <w:rPr>
          <w:rFonts w:ascii="Century Schoolbook" w:hAnsi="Century Schoolbook" w:cs="Century Schoolbook"/>
        </w:rPr>
      </w:pPr>
    </w:p>
    <w:p w14:paraId="2D793D3C" w14:textId="77777777" w:rsidR="00C86F89" w:rsidRPr="001C16DA" w:rsidRDefault="00C86F89" w:rsidP="00C86F89">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rPr>
        <w:t>The Board and the Licensee acknowledge and agree to the following facts:</w:t>
      </w:r>
    </w:p>
    <w:p w14:paraId="1F2F03DC" w14:textId="77777777" w:rsidR="00C86F89" w:rsidRPr="001C16DA" w:rsidRDefault="00C86F89" w:rsidP="00C86F89">
      <w:pPr>
        <w:pStyle w:val="ListParagraph"/>
        <w:rPr>
          <w:rFonts w:ascii="Century Schoolbook" w:hAnsi="Century Schoolbook"/>
        </w:rPr>
      </w:pPr>
    </w:p>
    <w:p w14:paraId="69B3D953" w14:textId="10BAF4AC" w:rsidR="00C86F89" w:rsidRPr="0098722F" w:rsidRDefault="001C16DA" w:rsidP="009B6B75">
      <w:pPr>
        <w:pStyle w:val="ListParagraph"/>
        <w:numPr>
          <w:ilvl w:val="1"/>
          <w:numId w:val="9"/>
        </w:numPr>
        <w:tabs>
          <w:tab w:val="left" w:pos="720"/>
        </w:tabs>
        <w:contextualSpacing/>
        <w:jc w:val="both"/>
        <w:rPr>
          <w:rFonts w:ascii="Century Schoolbook" w:hAnsi="Century Schoolbook"/>
        </w:rPr>
      </w:pPr>
      <w:r w:rsidRPr="0098722F">
        <w:rPr>
          <w:rFonts w:ascii="Century Schoolbook" w:hAnsi="Century Schoolbook"/>
        </w:rPr>
        <w:t xml:space="preserve">On or about </w:t>
      </w:r>
      <w:r w:rsidR="00F17275" w:rsidRPr="0098722F">
        <w:rPr>
          <w:rFonts w:ascii="Century Schoolbook" w:hAnsi="Century Schoolbook"/>
        </w:rPr>
        <w:t>June 20, 2022, the Pharmacy lost #300 hydrocodone-acetaminophen 5-325mg tablets, #1 alprazolam 2mg tablet, and #2 alprazolam 2mg tablets, in violation of 247 CMR 9.01(5)</w:t>
      </w:r>
      <w:r w:rsidRPr="0098722F">
        <w:rPr>
          <w:rFonts w:ascii="Century Schoolbook" w:hAnsi="Century Schoolbook"/>
        </w:rPr>
        <w:t xml:space="preserve"> </w:t>
      </w:r>
      <w:r w:rsidR="009B6B75" w:rsidRPr="0098722F">
        <w:rPr>
          <w:rFonts w:ascii="Century Schoolbook" w:hAnsi="Century Schoolbook"/>
        </w:rPr>
        <w:t xml:space="preserve">  </w:t>
      </w:r>
      <w:r w:rsidR="00C86F89" w:rsidRPr="0098722F">
        <w:rPr>
          <w:rFonts w:ascii="Century Schoolbook" w:hAnsi="Century Schoolbook"/>
        </w:rPr>
        <w:t xml:space="preserve">    </w:t>
      </w:r>
    </w:p>
    <w:p w14:paraId="33A52D27" w14:textId="77777777" w:rsidR="00C86F89" w:rsidRPr="0098722F" w:rsidRDefault="00C86F89" w:rsidP="00C86F89">
      <w:pPr>
        <w:pStyle w:val="ListParagraph"/>
        <w:tabs>
          <w:tab w:val="left" w:pos="720"/>
        </w:tabs>
        <w:ind w:left="1440"/>
        <w:jc w:val="both"/>
        <w:rPr>
          <w:rFonts w:ascii="Century Schoolbook" w:hAnsi="Century Schoolbook"/>
        </w:rPr>
      </w:pPr>
    </w:p>
    <w:p w14:paraId="4181750C" w14:textId="77777777" w:rsidR="001A4EFC" w:rsidRPr="0098722F" w:rsidRDefault="00C86F89" w:rsidP="00C86F89">
      <w:pPr>
        <w:pStyle w:val="ListParagraph"/>
        <w:numPr>
          <w:ilvl w:val="1"/>
          <w:numId w:val="9"/>
        </w:numPr>
        <w:tabs>
          <w:tab w:val="left" w:pos="720"/>
        </w:tabs>
        <w:contextualSpacing/>
        <w:jc w:val="both"/>
        <w:rPr>
          <w:rFonts w:ascii="Century Schoolbook" w:hAnsi="Century Schoolbook"/>
        </w:rPr>
      </w:pPr>
      <w:r w:rsidRPr="0098722F">
        <w:rPr>
          <w:rFonts w:ascii="Century Schoolbook" w:hAnsi="Century Schoolbook"/>
        </w:rPr>
        <w:t>The Pharmacy</w:t>
      </w:r>
      <w:r w:rsidR="001A4EFC" w:rsidRPr="0098722F">
        <w:rPr>
          <w:rFonts w:ascii="Century Schoolbook" w:hAnsi="Century Schoolbook"/>
        </w:rPr>
        <w:t xml:space="preserve"> was unable to determine the cause of the loss.</w:t>
      </w:r>
    </w:p>
    <w:p w14:paraId="1E742B19" w14:textId="77777777" w:rsidR="001A4EFC" w:rsidRPr="0098722F" w:rsidRDefault="001A4EFC" w:rsidP="001A4EFC">
      <w:pPr>
        <w:pStyle w:val="ListParagraph"/>
        <w:rPr>
          <w:rFonts w:ascii="Century Schoolbook" w:hAnsi="Century Schoolbook"/>
        </w:rPr>
      </w:pPr>
    </w:p>
    <w:p w14:paraId="2D11D153" w14:textId="77777777" w:rsidR="001A4EFC" w:rsidRPr="0098722F" w:rsidRDefault="001A4EFC" w:rsidP="00C86F89">
      <w:pPr>
        <w:pStyle w:val="ListParagraph"/>
        <w:numPr>
          <w:ilvl w:val="1"/>
          <w:numId w:val="9"/>
        </w:numPr>
        <w:tabs>
          <w:tab w:val="left" w:pos="720"/>
        </w:tabs>
        <w:contextualSpacing/>
        <w:jc w:val="both"/>
        <w:rPr>
          <w:rFonts w:ascii="Century Schoolbook" w:hAnsi="Century Schoolbook"/>
        </w:rPr>
      </w:pPr>
      <w:r w:rsidRPr="0098722F">
        <w:rPr>
          <w:rFonts w:ascii="Century Schoolbook" w:hAnsi="Century Schoolbook"/>
        </w:rPr>
        <w:t xml:space="preserve">On or about August 10, 2022, the Pharmacy lost #704 tramadol 50mg tablets, #1 zolpidem 10mg tablets, and #2 amphetamine mixed salts 5mg tablets, in violation of 247 CMR 9.01(5). </w:t>
      </w:r>
    </w:p>
    <w:p w14:paraId="1F983858" w14:textId="77777777" w:rsidR="001A4EFC" w:rsidRPr="0098722F" w:rsidRDefault="001A4EFC" w:rsidP="001A4EFC">
      <w:pPr>
        <w:pStyle w:val="ListParagraph"/>
        <w:rPr>
          <w:rFonts w:ascii="Century Schoolbook" w:hAnsi="Century Schoolbook"/>
        </w:rPr>
      </w:pPr>
    </w:p>
    <w:p w14:paraId="62C20F80" w14:textId="33124F25" w:rsidR="00C86F89" w:rsidRPr="0098722F" w:rsidRDefault="001A4EFC" w:rsidP="00C86F89">
      <w:pPr>
        <w:pStyle w:val="ListParagraph"/>
        <w:numPr>
          <w:ilvl w:val="1"/>
          <w:numId w:val="9"/>
        </w:numPr>
        <w:tabs>
          <w:tab w:val="left" w:pos="720"/>
        </w:tabs>
        <w:contextualSpacing/>
        <w:jc w:val="both"/>
        <w:rPr>
          <w:rFonts w:ascii="Century Schoolbook" w:hAnsi="Century Schoolbook"/>
        </w:rPr>
      </w:pPr>
      <w:r w:rsidRPr="0098722F">
        <w:rPr>
          <w:rFonts w:ascii="Century Schoolbook" w:hAnsi="Century Schoolbook"/>
        </w:rPr>
        <w:t xml:space="preserve">The Pharmacy was unable to determine the cause of the loss. </w:t>
      </w:r>
      <w:r w:rsidR="00C86F89" w:rsidRPr="0098722F">
        <w:rPr>
          <w:rFonts w:ascii="Century Schoolbook" w:hAnsi="Century Schoolbook"/>
        </w:rPr>
        <w:t xml:space="preserve"> </w:t>
      </w:r>
    </w:p>
    <w:p w14:paraId="49D995A3" w14:textId="77777777" w:rsidR="00C86F89" w:rsidRPr="0098722F" w:rsidRDefault="00C86F89" w:rsidP="00C86F89">
      <w:pPr>
        <w:pStyle w:val="ListParagraph"/>
        <w:tabs>
          <w:tab w:val="left" w:pos="720"/>
        </w:tabs>
        <w:ind w:left="1440"/>
        <w:jc w:val="both"/>
        <w:rPr>
          <w:rFonts w:ascii="Century Schoolbook" w:hAnsi="Century Schoolbook"/>
        </w:rPr>
      </w:pPr>
    </w:p>
    <w:p w14:paraId="3B4E7CE2" w14:textId="77777777" w:rsidR="00C86F89" w:rsidRPr="0098722F" w:rsidRDefault="00C86F89" w:rsidP="00C86F89">
      <w:pPr>
        <w:pStyle w:val="ListParagraph"/>
        <w:numPr>
          <w:ilvl w:val="1"/>
          <w:numId w:val="9"/>
        </w:numPr>
        <w:contextualSpacing/>
        <w:jc w:val="both"/>
        <w:rPr>
          <w:rFonts w:ascii="Century Schoolbook" w:hAnsi="Century Schoolbook"/>
        </w:rPr>
      </w:pPr>
      <w:r w:rsidRPr="0098722F">
        <w:rPr>
          <w:rFonts w:ascii="Century Schoolbook" w:hAnsi="Century Schoolbook"/>
        </w:rPr>
        <w:t>The foregoing facts warrant action by the Board under M.G.L. c. 112, §§ 42A and 61 and under 247 CMR 10.03(1)(v).</w:t>
      </w:r>
    </w:p>
    <w:p w14:paraId="4D19CECE" w14:textId="77777777" w:rsidR="00C86F89" w:rsidRPr="001C16DA" w:rsidRDefault="00C86F89" w:rsidP="00C86F89">
      <w:pPr>
        <w:jc w:val="both"/>
        <w:rPr>
          <w:rFonts w:ascii="Century Schoolbook" w:hAnsi="Century Schoolbook"/>
        </w:rPr>
      </w:pPr>
    </w:p>
    <w:p w14:paraId="721F9378" w14:textId="2828CE3E" w:rsidR="00C86F89" w:rsidRPr="001C16DA" w:rsidRDefault="00C86F89" w:rsidP="00C86F89">
      <w:pPr>
        <w:pStyle w:val="ListParagraph"/>
        <w:numPr>
          <w:ilvl w:val="0"/>
          <w:numId w:val="1"/>
        </w:numPr>
        <w:ind w:hanging="720"/>
        <w:contextualSpacing/>
        <w:jc w:val="both"/>
        <w:rPr>
          <w:rFonts w:ascii="Century Schoolbook" w:hAnsi="Century Schoolbook"/>
        </w:rPr>
      </w:pPr>
      <w:r w:rsidRPr="001C16DA">
        <w:rPr>
          <w:rFonts w:ascii="Century Schoolbook" w:hAnsi="Century Schoolbook"/>
        </w:rPr>
        <w:lastRenderedPageBreak/>
        <w:t xml:space="preserve">The Pharmacy agrees that its License shall be placed on </w:t>
      </w:r>
      <w:r w:rsidRPr="001C16DA">
        <w:rPr>
          <w:rFonts w:ascii="Century Schoolbook" w:hAnsi="Century Schoolbook"/>
          <w:bCs/>
        </w:rPr>
        <w:t>PROBATION</w:t>
      </w:r>
      <w:r w:rsidRPr="001C16DA">
        <w:rPr>
          <w:rFonts w:ascii="Century Schoolbook" w:hAnsi="Century Schoolbook"/>
        </w:rPr>
        <w:t xml:space="preserve"> for no less than one</w:t>
      </w:r>
      <w:r w:rsidR="003D3A09" w:rsidRPr="001C16DA">
        <w:rPr>
          <w:rFonts w:ascii="Century Schoolbook" w:hAnsi="Century Schoolbook"/>
        </w:rPr>
        <w:t xml:space="preserve"> (1) year</w:t>
      </w:r>
      <w:r w:rsidRPr="001C16DA">
        <w:rPr>
          <w:rFonts w:ascii="Century Schoolbook" w:hAnsi="Century Schoolbook"/>
        </w:rPr>
        <w:t xml:space="preserve">, commencing with the date on which the Board signs this Agreement (“Effective Date”). </w:t>
      </w:r>
    </w:p>
    <w:p w14:paraId="40694C3E" w14:textId="77777777" w:rsidR="00C86F89" w:rsidRPr="001C16DA" w:rsidRDefault="00C86F89" w:rsidP="00C86F89">
      <w:pPr>
        <w:pStyle w:val="ListParagraph"/>
        <w:contextualSpacing/>
        <w:jc w:val="both"/>
        <w:rPr>
          <w:rFonts w:ascii="Century Schoolbook" w:hAnsi="Century Schoolbook"/>
        </w:rPr>
      </w:pPr>
    </w:p>
    <w:p w14:paraId="229EC4DC" w14:textId="407CDB44" w:rsidR="00C86F89" w:rsidRPr="001C16DA" w:rsidRDefault="00C86F89" w:rsidP="00C86F89">
      <w:pPr>
        <w:pStyle w:val="ListParagraph"/>
        <w:numPr>
          <w:ilvl w:val="0"/>
          <w:numId w:val="1"/>
        </w:numPr>
        <w:ind w:hanging="720"/>
        <w:contextualSpacing/>
        <w:jc w:val="both"/>
        <w:rPr>
          <w:rFonts w:ascii="Century Schoolbook" w:hAnsi="Century Schoolbook"/>
        </w:rPr>
      </w:pPr>
      <w:r w:rsidRPr="001C16DA">
        <w:rPr>
          <w:rFonts w:ascii="Century Schoolbook" w:hAnsi="Century Schoolbook"/>
        </w:rPr>
        <w:t>During the Probationary Period, the Pharmacy further agrees that it</w:t>
      </w:r>
      <w:r w:rsidRPr="001C16DA">
        <w:rPr>
          <w:rFonts w:ascii="Century Schoolbook" w:hAnsi="Century Schoolbook"/>
          <w:b/>
        </w:rPr>
        <w:t xml:space="preserve"> </w:t>
      </w:r>
      <w:r w:rsidRPr="001C16DA">
        <w:rPr>
          <w:rFonts w:ascii="Century Schoolbook" w:hAnsi="Century Schoolbook"/>
        </w:rPr>
        <w:t>shall comply with all of the following requirements to the Board’s satisfaction:</w:t>
      </w:r>
    </w:p>
    <w:p w14:paraId="3FF2F9B3" w14:textId="77777777" w:rsidR="00C86F89" w:rsidRPr="001C16DA" w:rsidRDefault="00C86F89" w:rsidP="00C86F89">
      <w:pPr>
        <w:pStyle w:val="ListParagraph"/>
        <w:rPr>
          <w:rFonts w:ascii="Century Schoolbook" w:hAnsi="Century Schoolbook"/>
        </w:rPr>
      </w:pPr>
    </w:p>
    <w:p w14:paraId="67621055" w14:textId="77777777"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Comply with all laws and regulations governing the practice of pharmacy in Massachusetts.</w:t>
      </w:r>
    </w:p>
    <w:p w14:paraId="38197195" w14:textId="77777777" w:rsidR="00C86F89" w:rsidRPr="001C16DA" w:rsidRDefault="00C86F89" w:rsidP="00C86F89">
      <w:pPr>
        <w:rPr>
          <w:rFonts w:ascii="Century Schoolbook" w:hAnsi="Century Schoolbook"/>
        </w:rPr>
      </w:pPr>
    </w:p>
    <w:p w14:paraId="43273FC3" w14:textId="77777777" w:rsidR="00C86F89" w:rsidRPr="001C16DA" w:rsidRDefault="00C86F89" w:rsidP="00C86F89">
      <w:pPr>
        <w:pStyle w:val="ListParagraph"/>
        <w:numPr>
          <w:ilvl w:val="0"/>
          <w:numId w:val="11"/>
        </w:numPr>
        <w:tabs>
          <w:tab w:val="left" w:pos="1440"/>
        </w:tabs>
        <w:jc w:val="both"/>
        <w:rPr>
          <w:rFonts w:ascii="Century Schoolbook" w:hAnsi="Century Schoolbook"/>
        </w:rPr>
      </w:pPr>
      <w:r w:rsidRPr="001C16DA">
        <w:rPr>
          <w:rFonts w:ascii="Century Schoolbook" w:hAnsi="Century Schoolbook"/>
        </w:rPr>
        <w:t>Within 30 days from Effective Date, conduct an exact count of all controlled substances in Schedules III – V.  The Pharmacy shall maintain documentation of the exact counts.  Said documentation shall be available for review by Board investigators during the Stayed Probationary Period.</w:t>
      </w:r>
    </w:p>
    <w:p w14:paraId="53C6057D" w14:textId="77777777" w:rsidR="00C86F89" w:rsidRPr="001C16DA" w:rsidRDefault="00C86F89" w:rsidP="00C86F89">
      <w:pPr>
        <w:pStyle w:val="ListParagraph"/>
        <w:tabs>
          <w:tab w:val="left" w:pos="1440"/>
        </w:tabs>
        <w:ind w:left="1440"/>
        <w:jc w:val="both"/>
        <w:rPr>
          <w:rFonts w:ascii="Century Schoolbook" w:hAnsi="Century Schoolbook"/>
        </w:rPr>
      </w:pPr>
    </w:p>
    <w:p w14:paraId="6ECD6A98" w14:textId="55A5993F"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 xml:space="preserve">Conduct an exact count of all </w:t>
      </w:r>
      <w:r w:rsidR="006F3F6D">
        <w:rPr>
          <w:rFonts w:ascii="Century Schoolbook" w:hAnsi="Century Schoolbook"/>
        </w:rPr>
        <w:t>tramadol</w:t>
      </w:r>
      <w:r w:rsidRPr="001C16DA">
        <w:rPr>
          <w:rFonts w:ascii="Century Schoolbook" w:hAnsi="Century Schoolbook"/>
        </w:rPr>
        <w:t xml:space="preserve"> products at least once every 30 days for a period of one year following the Effective Date.  The Pharmacy shall maintain documentation of the exact counts.  Said documentation shall be available for review by Board investigators during the Stayed Probationary Period. </w:t>
      </w:r>
    </w:p>
    <w:p w14:paraId="597F2F6B" w14:textId="77777777" w:rsidR="00C86F89" w:rsidRPr="001C16DA" w:rsidRDefault="00C86F89" w:rsidP="00C86F89">
      <w:pPr>
        <w:pStyle w:val="ListParagraph"/>
        <w:rPr>
          <w:rFonts w:ascii="Century Schoolbook" w:hAnsi="Century Schoolbook"/>
        </w:rPr>
      </w:pPr>
    </w:p>
    <w:p w14:paraId="7F4B12C7" w14:textId="77777777"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 xml:space="preserve">Submit documentation demonstrating all staff were retrained in areas of inventory management, prescription production, and waiting bin management within 30 days from the Effective Date. </w:t>
      </w:r>
    </w:p>
    <w:p w14:paraId="7E1C669B" w14:textId="77777777" w:rsidR="00C86F89" w:rsidRPr="001C16DA" w:rsidRDefault="00C86F89" w:rsidP="00C86F89">
      <w:pPr>
        <w:pStyle w:val="ListParagraph"/>
        <w:rPr>
          <w:rFonts w:ascii="Century Schoolbook" w:hAnsi="Century Schoolbook"/>
        </w:rPr>
      </w:pPr>
    </w:p>
    <w:p w14:paraId="22995480" w14:textId="03C8D22E"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 xml:space="preserve">Maintain documentation demonstrating the area pharmacy supervisor or loss prevention manager reviewed the Pharmacy’s balance on hand for all </w:t>
      </w:r>
      <w:r w:rsidR="00461266">
        <w:rPr>
          <w:rFonts w:ascii="Century Schoolbook" w:hAnsi="Century Schoolbook"/>
        </w:rPr>
        <w:t>tramadol</w:t>
      </w:r>
      <w:r w:rsidRPr="001C16DA">
        <w:rPr>
          <w:rFonts w:ascii="Century Schoolbook" w:hAnsi="Century Schoolbook"/>
        </w:rPr>
        <w:t xml:space="preserve"> products at least once every 30 days for a period of one year following the Effective Date.  Said documentation shall be available for review by Board investigators during the Stayed Probationary Period.      </w:t>
      </w:r>
    </w:p>
    <w:p w14:paraId="6F4B86A4" w14:textId="77777777" w:rsidR="004E296F" w:rsidRPr="001C16DA" w:rsidRDefault="004E296F" w:rsidP="00D63CF5">
      <w:pPr>
        <w:tabs>
          <w:tab w:val="left" w:pos="3600"/>
        </w:tabs>
        <w:jc w:val="both"/>
        <w:rPr>
          <w:rFonts w:ascii="Century Schoolbook" w:hAnsi="Century Schoolbook" w:cs="Century Schoolbook"/>
        </w:rPr>
      </w:pPr>
    </w:p>
    <w:p w14:paraId="3F79411B" w14:textId="77777777" w:rsidR="004E296F" w:rsidRPr="001C16DA" w:rsidRDefault="004E296F" w:rsidP="00C422C6">
      <w:pPr>
        <w:pStyle w:val="ListParagraph"/>
        <w:numPr>
          <w:ilvl w:val="0"/>
          <w:numId w:val="1"/>
        </w:numPr>
        <w:ind w:hanging="720"/>
        <w:jc w:val="both"/>
        <w:rPr>
          <w:rFonts w:ascii="Century Schoolbook" w:hAnsi="Century Schoolbook" w:cs="Century Schoolbook"/>
        </w:rPr>
      </w:pPr>
      <w:r w:rsidRPr="001C16DA">
        <w:rPr>
          <w:rFonts w:ascii="Century Schoolbook" w:hAnsi="Century Schoolbook" w:cs="Century Schoolbook"/>
        </w:rPr>
        <w:t xml:space="preserve">The Board agrees that in return for the </w:t>
      </w:r>
      <w:r w:rsidR="003A4A28" w:rsidRPr="001C16DA">
        <w:rPr>
          <w:rFonts w:ascii="Century Schoolbook" w:hAnsi="Century Schoolbook" w:cs="Century Schoolbook"/>
        </w:rPr>
        <w:t>Pharmacy</w:t>
      </w:r>
      <w:r w:rsidRPr="001C16DA">
        <w:rPr>
          <w:rFonts w:ascii="Century Schoolbook" w:hAnsi="Century Schoolbook" w:cs="Century Schoolbook"/>
        </w:rPr>
        <w:t>’s execution and</w:t>
      </w:r>
      <w:r w:rsidR="003A4A28" w:rsidRPr="001C16DA">
        <w:rPr>
          <w:rFonts w:ascii="Century Schoolbook" w:hAnsi="Century Schoolbook" w:cs="Century Schoolbook"/>
        </w:rPr>
        <w:t xml:space="preserve"> its</w:t>
      </w:r>
      <w:r w:rsidRPr="001C16DA">
        <w:rPr>
          <w:rFonts w:ascii="Century Schoolbook" w:hAnsi="Century Schoolbook" w:cs="Century Schoolbook"/>
        </w:rPr>
        <w:t xml:space="preserve"> successful compliance with all the requirements of this Agreement, the Board will not prosecute the Complaint.  </w:t>
      </w:r>
    </w:p>
    <w:p w14:paraId="29C388A5" w14:textId="77777777" w:rsidR="004E296F" w:rsidRPr="001C16DA" w:rsidRDefault="004E296F" w:rsidP="00D63CF5">
      <w:pPr>
        <w:pStyle w:val="ListParagraph"/>
        <w:tabs>
          <w:tab w:val="left" w:pos="3600"/>
        </w:tabs>
        <w:jc w:val="both"/>
        <w:rPr>
          <w:rFonts w:ascii="Century Schoolbook" w:hAnsi="Century Schoolbook" w:cs="Century Schoolbook"/>
        </w:rPr>
      </w:pPr>
    </w:p>
    <w:p w14:paraId="4D5DE1A1" w14:textId="7A1653D9" w:rsidR="003A4A28" w:rsidRPr="001C16DA" w:rsidRDefault="004E296F" w:rsidP="003A4A28">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cs="Century Schoolbook"/>
        </w:rPr>
        <w:t xml:space="preserve">If and when the Board determines that the </w:t>
      </w:r>
      <w:r w:rsidR="003A4A28" w:rsidRPr="001C16DA">
        <w:rPr>
          <w:rFonts w:ascii="Century Schoolbook" w:hAnsi="Century Schoolbook" w:cs="Century Schoolbook"/>
        </w:rPr>
        <w:t>Pharmacy</w:t>
      </w:r>
      <w:r w:rsidRPr="001C16DA">
        <w:rPr>
          <w:rFonts w:ascii="Century Schoolbook" w:hAnsi="Century Schoolbook" w:cs="Century Schoolbook"/>
        </w:rPr>
        <w:t xml:space="preserve"> has complied to the Board’s satisfaction with all the requirements contained in this Agreement, </w:t>
      </w:r>
      <w:r w:rsidRPr="001C16DA">
        <w:rPr>
          <w:rFonts w:ascii="Century Schoolbook" w:hAnsi="Century Schoolbook" w:cs="Century Schoolbook"/>
        </w:rPr>
        <w:lastRenderedPageBreak/>
        <w:t xml:space="preserve">the Probationary Period will terminate no sooner than one (1) </w:t>
      </w:r>
      <w:r w:rsidR="003D3A09" w:rsidRPr="001C16DA">
        <w:rPr>
          <w:rFonts w:ascii="Century Schoolbook" w:hAnsi="Century Schoolbook" w:cs="Century Schoolbook"/>
        </w:rPr>
        <w:t>year</w:t>
      </w:r>
      <w:r w:rsidRPr="001C16DA">
        <w:rPr>
          <w:rFonts w:ascii="Century Schoolbook" w:hAnsi="Century Schoolbook" w:cs="Century Schoolbook"/>
        </w:rPr>
        <w:t xml:space="preserve"> after the Effective Date upon written notice to the Licensee from the Board</w:t>
      </w:r>
      <w:r w:rsidR="00461266">
        <w:rPr>
          <w:rFonts w:ascii="Century Schoolbook" w:hAnsi="Century Schoolbook" w:cs="Century Schoolbook"/>
        </w:rPr>
        <w:t>.</w:t>
      </w:r>
      <w:r w:rsidRPr="001C16DA">
        <w:rPr>
          <w:rFonts w:ascii="Century Schoolbook" w:hAnsi="Century Schoolbook" w:cs="Century Schoolbook"/>
        </w:rPr>
        <w:t xml:space="preserve"> </w:t>
      </w:r>
    </w:p>
    <w:p w14:paraId="25A5C677" w14:textId="77777777" w:rsidR="003A4A28" w:rsidRPr="001C16DA" w:rsidRDefault="003A4A28" w:rsidP="003A4A28">
      <w:pPr>
        <w:pStyle w:val="ListParagraph"/>
        <w:rPr>
          <w:rFonts w:ascii="Century Schoolbook" w:hAnsi="Century Schoolbook"/>
        </w:rPr>
      </w:pPr>
    </w:p>
    <w:p w14:paraId="63BB8910" w14:textId="77777777" w:rsidR="003A4A28" w:rsidRPr="001C16DA" w:rsidRDefault="003A4A28" w:rsidP="003A4A28">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rPr>
        <w:t>If the Pharmacy does not materially comply with each requirement of this Agreement, or if the Board opens a Subsequent Complaint</w:t>
      </w:r>
      <w:r w:rsidRPr="001C16DA">
        <w:rPr>
          <w:rStyle w:val="FootnoteReference"/>
          <w:rFonts w:ascii="Century Schoolbook" w:hAnsi="Century Schoolbook"/>
        </w:rPr>
        <w:footnoteReference w:id="2"/>
      </w:r>
      <w:r w:rsidRPr="001C16DA">
        <w:rPr>
          <w:rFonts w:ascii="Century Schoolbook" w:hAnsi="Century Schoolbook"/>
        </w:rPr>
        <w:t xml:space="preserve"> during the Probationary Period, the Pharmacy agrees to the following:</w:t>
      </w:r>
    </w:p>
    <w:p w14:paraId="2C860FBE" w14:textId="77777777" w:rsidR="003A4A28" w:rsidRPr="001C16DA" w:rsidRDefault="003A4A28" w:rsidP="003A4A28">
      <w:pPr>
        <w:pStyle w:val="ListParagraph"/>
        <w:rPr>
          <w:rFonts w:ascii="Century Schoolbook" w:hAnsi="Century Schoolbook"/>
        </w:rPr>
      </w:pPr>
    </w:p>
    <w:p w14:paraId="2E16B933" w14:textId="77777777" w:rsidR="009B6B75" w:rsidRPr="001C16DA" w:rsidRDefault="003A4A28" w:rsidP="009B6B75">
      <w:pPr>
        <w:pStyle w:val="ListParagraph"/>
        <w:numPr>
          <w:ilvl w:val="1"/>
          <w:numId w:val="1"/>
        </w:numPr>
        <w:tabs>
          <w:tab w:val="left" w:pos="720"/>
        </w:tabs>
        <w:jc w:val="both"/>
        <w:rPr>
          <w:rFonts w:ascii="Century Schoolbook" w:hAnsi="Century Schoolbook" w:cs="Century Schoolbook"/>
        </w:rPr>
      </w:pPr>
      <w:r w:rsidRPr="001C16DA">
        <w:rPr>
          <w:rFonts w:ascii="Century Schoolbook" w:hAnsi="Century Schoolbook"/>
        </w:rPr>
        <w:t>The Board may upon written notice to the Pharmacy, as warranted to protect the public health, safety, or welfare:</w:t>
      </w:r>
    </w:p>
    <w:p w14:paraId="38CBB6D0" w14:textId="77777777" w:rsidR="009B6B75" w:rsidRPr="001C16DA" w:rsidRDefault="009B6B75" w:rsidP="009B6B75">
      <w:pPr>
        <w:pStyle w:val="ListParagraph"/>
        <w:tabs>
          <w:tab w:val="left" w:pos="720"/>
        </w:tabs>
        <w:ind w:left="1440"/>
        <w:jc w:val="both"/>
        <w:rPr>
          <w:rFonts w:ascii="Century Schoolbook" w:hAnsi="Century Schoolbook" w:cs="Century Schoolbook"/>
        </w:rPr>
      </w:pPr>
    </w:p>
    <w:p w14:paraId="7A3128DE"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EXTEND the Probationary Period;</w:t>
      </w:r>
    </w:p>
    <w:p w14:paraId="4AF9CEA6"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MODIFY the Probation Agreement requirements; or</w:t>
      </w:r>
    </w:p>
    <w:p w14:paraId="6C7995D6"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IMMEDIATELY SUSPEND the Pharmacy’s license.</w:t>
      </w:r>
    </w:p>
    <w:p w14:paraId="0F76234A" w14:textId="77777777" w:rsidR="009B6B75" w:rsidRPr="001C16DA" w:rsidRDefault="009B6B75" w:rsidP="009B6B75">
      <w:pPr>
        <w:pStyle w:val="ListParagraph"/>
        <w:tabs>
          <w:tab w:val="left" w:pos="720"/>
        </w:tabs>
        <w:ind w:left="2160"/>
        <w:jc w:val="both"/>
        <w:rPr>
          <w:rFonts w:ascii="Century Schoolbook" w:hAnsi="Century Schoolbook" w:cs="Century Schoolbook"/>
        </w:rPr>
      </w:pPr>
    </w:p>
    <w:p w14:paraId="42347AC4" w14:textId="77777777" w:rsidR="009B6B75" w:rsidRPr="001C16DA" w:rsidRDefault="003A4A28" w:rsidP="009B6B75">
      <w:pPr>
        <w:pStyle w:val="ListParagraph"/>
        <w:numPr>
          <w:ilvl w:val="1"/>
          <w:numId w:val="1"/>
        </w:numPr>
        <w:tabs>
          <w:tab w:val="left" w:pos="720"/>
        </w:tabs>
        <w:jc w:val="both"/>
        <w:rPr>
          <w:rFonts w:ascii="Century Schoolbook" w:hAnsi="Century Schoolbook" w:cs="Century Schoolbook"/>
        </w:rPr>
      </w:pPr>
      <w:r w:rsidRPr="001C16DA">
        <w:rPr>
          <w:rFonts w:ascii="Century Schoolbook" w:hAnsi="Century Schoolbook"/>
        </w:rPr>
        <w:t>If the Board suspends the Pharmacy’s license pursuant to Paragraph 7(a)(iii), the suspension shall remain in effect until:</w:t>
      </w:r>
    </w:p>
    <w:p w14:paraId="72568379" w14:textId="77777777" w:rsidR="009B6B75" w:rsidRPr="001C16DA" w:rsidRDefault="009B6B75" w:rsidP="009B6B75">
      <w:pPr>
        <w:pStyle w:val="ListParagraph"/>
        <w:tabs>
          <w:tab w:val="left" w:pos="720"/>
        </w:tabs>
        <w:ind w:left="1440"/>
        <w:jc w:val="both"/>
        <w:rPr>
          <w:rFonts w:ascii="Century Schoolbook" w:hAnsi="Century Schoolbook" w:cs="Century Schoolbook"/>
        </w:rPr>
      </w:pPr>
    </w:p>
    <w:p w14:paraId="7BFEA3BA"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 xml:space="preserve">the Board provides the Pharmacy written notice that the Probationary Period is to be resumed and under what terms; </w:t>
      </w:r>
    </w:p>
    <w:p w14:paraId="72DC10A0"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the Board and the Pharmacy sign a subsequent agreement; or</w:t>
      </w:r>
    </w:p>
    <w:p w14:paraId="7F76C647" w14:textId="77777777" w:rsidR="003A4A28"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the Board issues a written final decision and order following adjudication of the allegations (1) of noncompliance with this Agreement, and/or (2) contained in the Subsequent Complaint.</w:t>
      </w:r>
    </w:p>
    <w:p w14:paraId="0AA19140" w14:textId="77777777" w:rsidR="003A4A28" w:rsidRPr="001C16DA" w:rsidRDefault="003A4A28" w:rsidP="003A4A28">
      <w:pPr>
        <w:jc w:val="both"/>
        <w:rPr>
          <w:rFonts w:ascii="Century Schoolbook" w:hAnsi="Century Schoolbook"/>
        </w:rPr>
      </w:pPr>
    </w:p>
    <w:p w14:paraId="734DF6AD"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Pharmacy agrees that if the Board suspends its license in accordance with Paragraph 7,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10FD2E0E" w14:textId="77777777" w:rsidR="003A4A28" w:rsidRPr="001C16DA" w:rsidRDefault="003A4A28" w:rsidP="003A4A28">
      <w:pPr>
        <w:pStyle w:val="ListParagraph"/>
        <w:jc w:val="both"/>
        <w:rPr>
          <w:rFonts w:ascii="Century Schoolbook" w:hAnsi="Century Schoolbook"/>
        </w:rPr>
      </w:pPr>
    </w:p>
    <w:p w14:paraId="5BDC9571" w14:textId="77777777" w:rsidR="009B6B75" w:rsidRPr="001C16DA" w:rsidRDefault="003A4A28" w:rsidP="009B6B75">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present </w:t>
      </w:r>
      <w:r w:rsidRPr="001C16DA">
        <w:rPr>
          <w:rFonts w:ascii="Century Schoolbook" w:hAnsi="Century Schoolbook"/>
        </w:rPr>
        <w:lastRenderedPageBreak/>
        <w:t>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385DFF65" w14:textId="77777777" w:rsidR="009B6B75" w:rsidRPr="001C16DA" w:rsidRDefault="009B6B75" w:rsidP="009B6B75">
      <w:pPr>
        <w:pStyle w:val="ListParagraph"/>
        <w:jc w:val="both"/>
        <w:rPr>
          <w:rFonts w:ascii="Century Schoolbook" w:hAnsi="Century Schoolbook"/>
        </w:rPr>
      </w:pPr>
    </w:p>
    <w:p w14:paraId="091B9C63" w14:textId="77777777" w:rsidR="003A4A28" w:rsidRPr="001C16DA" w:rsidRDefault="003A4A28" w:rsidP="009B6B75">
      <w:pPr>
        <w:pStyle w:val="ListParagraph"/>
        <w:numPr>
          <w:ilvl w:val="0"/>
          <w:numId w:val="1"/>
        </w:numPr>
        <w:ind w:hanging="720"/>
        <w:jc w:val="both"/>
        <w:rPr>
          <w:rFonts w:ascii="Century Schoolbook" w:hAnsi="Century Schoolbook"/>
        </w:rPr>
      </w:pPr>
      <w:r w:rsidRPr="001C16DA">
        <w:rPr>
          <w:rFonts w:ascii="Century Schoolbook" w:hAnsi="Century Schoolbook"/>
        </w:rPr>
        <w:t>The Pharmacy acknowledges that it has been at all times free to seek and use legal counsel in connection with the Complaint and this Agreement.</w:t>
      </w:r>
      <w:r w:rsidR="00E853D4" w:rsidRPr="001C16DA">
        <w:rPr>
          <w:rFonts w:ascii="Century Schoolbook" w:hAnsi="Century Schoolbook"/>
        </w:rPr>
        <w:t xml:space="preserve">  </w:t>
      </w:r>
    </w:p>
    <w:p w14:paraId="034B3B84" w14:textId="77777777" w:rsidR="003A4A28" w:rsidRPr="001C16DA" w:rsidRDefault="003A4A28" w:rsidP="003A4A28">
      <w:pPr>
        <w:pStyle w:val="ListParagraph"/>
        <w:rPr>
          <w:rFonts w:ascii="Century Schoolbook" w:hAnsi="Century Schoolbook"/>
        </w:rPr>
      </w:pPr>
    </w:p>
    <w:p w14:paraId="7836D73E"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The Pharmacy acknowledges that after the Effective Date, the Agreement constitutes a public record.  The Board may forward a copy of this Agreement to other licensing boards, law enforcement entities, and other individuals or entities as required or permitted by law.</w:t>
      </w:r>
    </w:p>
    <w:p w14:paraId="6AEC70BE" w14:textId="77777777" w:rsidR="003A4A28" w:rsidRPr="001C16DA" w:rsidRDefault="003A4A28" w:rsidP="003A4A28">
      <w:pPr>
        <w:pStyle w:val="ListParagraph"/>
        <w:rPr>
          <w:rFonts w:ascii="Century Schoolbook" w:hAnsi="Century Schoolbook"/>
        </w:rPr>
      </w:pPr>
    </w:p>
    <w:p w14:paraId="0BAE0650"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The Pharmacy understands and agrees that entering into this Agreement is a voluntary and final act and not subject to reconsideration, appeal, or judicial review.</w:t>
      </w:r>
    </w:p>
    <w:p w14:paraId="2E34E416" w14:textId="77777777" w:rsidR="003A4A28" w:rsidRPr="001C16DA" w:rsidRDefault="003A4A28" w:rsidP="003A4A28">
      <w:pPr>
        <w:pStyle w:val="ListParagraph"/>
        <w:rPr>
          <w:rFonts w:ascii="Century Schoolbook" w:hAnsi="Century Schoolbook"/>
        </w:rPr>
      </w:pPr>
    </w:p>
    <w:p w14:paraId="3E1EDC3C" w14:textId="5638C7FC"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individual signing this Agreement certifies that </w:t>
      </w:r>
      <w:r w:rsidR="00461266">
        <w:rPr>
          <w:rFonts w:ascii="Century Schoolbook" w:hAnsi="Century Schoolbook"/>
        </w:rPr>
        <w:t>they are</w:t>
      </w:r>
      <w:r w:rsidRPr="001C16DA">
        <w:rPr>
          <w:rFonts w:ascii="Century Schoolbook" w:hAnsi="Century Schoolbook"/>
        </w:rPr>
        <w:t xml:space="preserve"> authorized to enter into this Agreement on behalf of the Pharmacy, and that </w:t>
      </w:r>
      <w:r w:rsidR="00461266">
        <w:rPr>
          <w:rFonts w:ascii="Century Schoolbook" w:hAnsi="Century Schoolbook"/>
        </w:rPr>
        <w:t>they have</w:t>
      </w:r>
      <w:r w:rsidRPr="001C16DA">
        <w:rPr>
          <w:rFonts w:ascii="Century Schoolbook" w:hAnsi="Century Schoolbook"/>
        </w:rPr>
        <w:t xml:space="preserve"> read this Agreement.  </w:t>
      </w:r>
    </w:p>
    <w:p w14:paraId="40F3C522" w14:textId="77777777" w:rsidR="008C7008" w:rsidRPr="001C16DA" w:rsidRDefault="008C7008" w:rsidP="00D63CF5">
      <w:pPr>
        <w:jc w:val="both"/>
        <w:rPr>
          <w:rFonts w:ascii="Century Schoolbook" w:hAnsi="Century Schoolbook" w:cs="Century Schoolbook"/>
        </w:rPr>
      </w:pPr>
    </w:p>
    <w:p w14:paraId="62DE934C" w14:textId="77777777" w:rsidR="003A4A28" w:rsidRPr="001C16DA" w:rsidRDefault="003A4A28" w:rsidP="003A4A28">
      <w:pPr>
        <w:jc w:val="both"/>
        <w:rPr>
          <w:rFonts w:ascii="Century Schoolbook" w:hAnsi="Century Schoolbook"/>
        </w:rPr>
      </w:pPr>
      <w:r w:rsidRPr="001C16DA">
        <w:rPr>
          <w:rFonts w:ascii="Century Schoolbook" w:hAnsi="Century Schoolbook"/>
        </w:rPr>
        <w:t xml:space="preserve">____________________________ </w:t>
      </w:r>
      <w:r w:rsidRPr="001C16DA">
        <w:rPr>
          <w:rFonts w:ascii="Century Schoolbook" w:hAnsi="Century Schoolbook"/>
        </w:rPr>
        <w:tab/>
      </w:r>
      <w:r w:rsidRPr="001C16DA">
        <w:rPr>
          <w:rFonts w:ascii="Century Schoolbook" w:hAnsi="Century Schoolbook"/>
        </w:rPr>
        <w:tab/>
        <w:t xml:space="preserve">____________________________ </w:t>
      </w:r>
    </w:p>
    <w:p w14:paraId="0FC5C4AC" w14:textId="77777777" w:rsidR="003A4A28" w:rsidRPr="001C16DA" w:rsidRDefault="003A4A28" w:rsidP="003A4A28">
      <w:pPr>
        <w:tabs>
          <w:tab w:val="left" w:pos="4320"/>
        </w:tabs>
        <w:ind w:left="360" w:hanging="360"/>
        <w:jc w:val="both"/>
        <w:rPr>
          <w:rFonts w:ascii="Century Schoolbook" w:hAnsi="Century Schoolbook"/>
        </w:rPr>
      </w:pPr>
      <w:r w:rsidRPr="001C16DA">
        <w:rPr>
          <w:rFonts w:ascii="Century Schoolbook" w:hAnsi="Century Schoolbook"/>
        </w:rPr>
        <w:t xml:space="preserve">Witness (sign and date) </w:t>
      </w:r>
      <w:r w:rsidRPr="001C16DA">
        <w:rPr>
          <w:rFonts w:ascii="Century Schoolbook" w:hAnsi="Century Schoolbook"/>
        </w:rPr>
        <w:tab/>
      </w:r>
      <w:r w:rsidR="009B6B75" w:rsidRPr="001C16DA">
        <w:rPr>
          <w:rFonts w:ascii="Century Schoolbook" w:hAnsi="Century Schoolbook"/>
        </w:rPr>
        <w:t>(sign and date)</w:t>
      </w:r>
    </w:p>
    <w:p w14:paraId="3116A9D7" w14:textId="77777777" w:rsidR="003A4A28" w:rsidRPr="001C16DA" w:rsidRDefault="003A4A28" w:rsidP="009B6B75">
      <w:pPr>
        <w:tabs>
          <w:tab w:val="left" w:pos="4320"/>
        </w:tabs>
        <w:ind w:left="360" w:hanging="360"/>
        <w:jc w:val="both"/>
        <w:rPr>
          <w:rFonts w:ascii="Century Schoolbook" w:hAnsi="Century Schoolbook"/>
        </w:rPr>
      </w:pPr>
      <w:r w:rsidRPr="001C16DA">
        <w:rPr>
          <w:rFonts w:ascii="Century Schoolbook" w:hAnsi="Century Schoolbook"/>
        </w:rPr>
        <w:tab/>
      </w:r>
      <w:r w:rsidRPr="001C16DA">
        <w:rPr>
          <w:rFonts w:ascii="Century Schoolbook" w:hAnsi="Century Schoolbook"/>
        </w:rPr>
        <w:tab/>
      </w:r>
      <w:r w:rsidRPr="001C16DA">
        <w:rPr>
          <w:rFonts w:ascii="Century Schoolbook" w:hAnsi="Century Schoolbook"/>
        </w:rPr>
        <w:tab/>
      </w:r>
      <w:r w:rsidRPr="001C16DA">
        <w:rPr>
          <w:rFonts w:ascii="Century Schoolbook" w:hAnsi="Century Schoolbook"/>
        </w:rPr>
        <w:tab/>
      </w:r>
    </w:p>
    <w:p w14:paraId="4D7E6F27" w14:textId="77777777" w:rsidR="003A4A28" w:rsidRPr="001C16DA" w:rsidRDefault="003A4A28" w:rsidP="003A4A28">
      <w:pPr>
        <w:ind w:left="3600" w:firstLine="720"/>
        <w:jc w:val="both"/>
        <w:rPr>
          <w:rFonts w:ascii="Century Schoolbook" w:hAnsi="Century Schoolbook"/>
        </w:rPr>
      </w:pPr>
      <w:r w:rsidRPr="001C16DA">
        <w:rPr>
          <w:rFonts w:ascii="Century Schoolbook" w:hAnsi="Century Schoolbook"/>
        </w:rPr>
        <w:t xml:space="preserve">____________________________ </w:t>
      </w:r>
    </w:p>
    <w:p w14:paraId="067B010A" w14:textId="77777777" w:rsidR="003A4A28" w:rsidRPr="001C16DA" w:rsidRDefault="003A4A28" w:rsidP="003A4A28">
      <w:pPr>
        <w:ind w:left="3600" w:firstLine="720"/>
        <w:jc w:val="both"/>
        <w:rPr>
          <w:rFonts w:ascii="Century Schoolbook" w:hAnsi="Century Schoolbook"/>
        </w:rPr>
      </w:pPr>
      <w:r w:rsidRPr="001C16DA">
        <w:rPr>
          <w:rFonts w:ascii="Century Schoolbook" w:hAnsi="Century Schoolbook"/>
        </w:rPr>
        <w:t>(print name)</w:t>
      </w:r>
    </w:p>
    <w:p w14:paraId="37E39641" w14:textId="77777777" w:rsidR="004E296F" w:rsidRPr="001C16DA" w:rsidRDefault="004E296F" w:rsidP="009B6B75">
      <w:pPr>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Pr="001C16DA">
        <w:rPr>
          <w:rFonts w:ascii="Century Schoolbook" w:hAnsi="Century Schoolbook" w:cs="Century Schoolbook"/>
        </w:rPr>
        <w:t>______________________________</w:t>
      </w:r>
      <w:r w:rsidRPr="001C16DA">
        <w:rPr>
          <w:rFonts w:ascii="Century Schoolbook" w:hAnsi="Century Schoolbook" w:cs="Century Schoolbook"/>
        </w:rPr>
        <w:tab/>
      </w:r>
    </w:p>
    <w:p w14:paraId="3108093D" w14:textId="77777777"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David Sencabaugh, R. Ph.</w:t>
      </w:r>
    </w:p>
    <w:p w14:paraId="1C5749E5" w14:textId="77777777" w:rsidR="004E296F" w:rsidRPr="001C16DA" w:rsidRDefault="004E296F" w:rsidP="00D63CF5">
      <w:pPr>
        <w:ind w:left="1440" w:hanging="1440"/>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Executive Director</w:t>
      </w:r>
    </w:p>
    <w:p w14:paraId="5BBA9CC6" w14:textId="77777777" w:rsidR="004E296F" w:rsidRPr="001C16DA" w:rsidRDefault="004E296F" w:rsidP="009B6B75">
      <w:pPr>
        <w:ind w:left="1440" w:hanging="1440"/>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Board of Registration in Pharmacy</w:t>
      </w:r>
    </w:p>
    <w:p w14:paraId="211D35D1" w14:textId="0A90E46A"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_</w:t>
      </w:r>
      <w:r w:rsidR="00CF005C">
        <w:rPr>
          <w:rFonts w:ascii="Century Schoolbook" w:hAnsi="Century Schoolbook" w:cs="Century Schoolbook"/>
        </w:rPr>
        <w:t>10/20/2023</w:t>
      </w:r>
      <w:r w:rsidRPr="001C16DA">
        <w:rPr>
          <w:rFonts w:ascii="Century Schoolbook" w:hAnsi="Century Schoolbook" w:cs="Century Schoolbook"/>
        </w:rPr>
        <w:t>_________________________</w:t>
      </w:r>
      <w:r w:rsidRPr="001C16DA">
        <w:rPr>
          <w:rFonts w:ascii="Century Schoolbook" w:hAnsi="Century Schoolbook" w:cs="Century Schoolbook"/>
        </w:rPr>
        <w:tab/>
      </w:r>
    </w:p>
    <w:p w14:paraId="78A65D40" w14:textId="77777777"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 xml:space="preserve">Effective Date </w:t>
      </w:r>
    </w:p>
    <w:p w14:paraId="215467A6" w14:textId="77777777" w:rsidR="004E296F" w:rsidRPr="001C16DA" w:rsidRDefault="004E296F" w:rsidP="00D63CF5">
      <w:pPr>
        <w:jc w:val="both"/>
        <w:rPr>
          <w:rFonts w:ascii="Century Schoolbook" w:hAnsi="Century Schoolbook" w:cs="Century Schoolbook"/>
        </w:rPr>
      </w:pPr>
    </w:p>
    <w:p w14:paraId="3E190779" w14:textId="01F684F5" w:rsidR="008C7008" w:rsidRPr="001C16DA" w:rsidRDefault="004E296F" w:rsidP="00D63CF5">
      <w:pPr>
        <w:jc w:val="both"/>
        <w:rPr>
          <w:rFonts w:ascii="Century Schoolbook" w:hAnsi="Century Schoolbook" w:cs="Century Schoolbook"/>
          <w:bCs/>
        </w:rPr>
      </w:pPr>
      <w:r w:rsidRPr="001C16DA">
        <w:rPr>
          <w:rFonts w:ascii="Century Schoolbook" w:hAnsi="Century Schoolbook" w:cs="Century Schoolbook"/>
          <w:bCs/>
        </w:rPr>
        <w:t>Fully Signed Agreement Sent to Licensee on __</w:t>
      </w:r>
      <w:r w:rsidR="00CF005C">
        <w:rPr>
          <w:rFonts w:ascii="Century Schoolbook" w:hAnsi="Century Schoolbook" w:cs="Century Schoolbook"/>
          <w:bCs/>
        </w:rPr>
        <w:t>10/20/2023</w:t>
      </w:r>
      <w:r w:rsidRPr="001C16DA">
        <w:rPr>
          <w:rFonts w:ascii="Century Schoolbook" w:hAnsi="Century Schoolbook" w:cs="Century Schoolbook"/>
          <w:bCs/>
        </w:rPr>
        <w:t xml:space="preserve">__________________by </w:t>
      </w:r>
    </w:p>
    <w:p w14:paraId="61408153" w14:textId="23FC7B26" w:rsidR="004E296F" w:rsidRPr="009200FD" w:rsidRDefault="004E296F" w:rsidP="009200FD">
      <w:pPr>
        <w:jc w:val="both"/>
        <w:rPr>
          <w:rFonts w:ascii="Century Schoolbook" w:hAnsi="Century Schoolbook" w:cs="Century Schoolbook"/>
          <w:bCs/>
        </w:rPr>
      </w:pPr>
      <w:r w:rsidRPr="001C16DA">
        <w:rPr>
          <w:rFonts w:ascii="Century Schoolbook" w:hAnsi="Century Schoolbook" w:cs="Century Schoolbook"/>
          <w:bCs/>
        </w:rPr>
        <w:t>Certified Mail No.__</w:t>
      </w:r>
      <w:r w:rsidR="00CF005C">
        <w:rPr>
          <w:rFonts w:ascii="Century Schoolbook" w:hAnsi="Century Schoolbook" w:cs="Century Schoolbook"/>
          <w:bCs/>
        </w:rPr>
        <w:t>7022 2410 0001 6857 7091</w:t>
      </w:r>
      <w:r w:rsidRPr="001C16DA">
        <w:rPr>
          <w:rFonts w:ascii="Century Schoolbook" w:hAnsi="Century Schoolbook" w:cs="Century Schoolbook"/>
          <w:bCs/>
        </w:rPr>
        <w:t>__________________________________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F3FE" w14:textId="77777777" w:rsidR="004E296F" w:rsidRDefault="004E296F" w:rsidP="00D63CF5">
      <w:r>
        <w:separator/>
      </w:r>
    </w:p>
  </w:endnote>
  <w:endnote w:type="continuationSeparator" w:id="0">
    <w:p w14:paraId="5CE00F00"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33DB" w14:textId="77777777" w:rsidR="004E296F" w:rsidRPr="004C4BF3" w:rsidRDefault="004E296F">
    <w:pPr>
      <w:pStyle w:val="Footer"/>
      <w:rPr>
        <w:rFonts w:ascii="Century Schoolbook" w:hAnsi="Century Schoolbook" w:cs="Century Schoolbook"/>
        <w:sz w:val="20"/>
        <w:szCs w:val="20"/>
      </w:rPr>
    </w:pPr>
  </w:p>
  <w:p w14:paraId="496C467A" w14:textId="61668C56" w:rsidR="001C16DA" w:rsidRPr="006F3F6D" w:rsidRDefault="006D0871">
    <w:pPr>
      <w:pStyle w:val="Footer"/>
      <w:rPr>
        <w:rFonts w:ascii="Century Schoolbook" w:hAnsi="Century Schoolbook" w:cs="Century Schoolbook"/>
        <w:sz w:val="18"/>
        <w:szCs w:val="18"/>
      </w:rPr>
    </w:pPr>
    <w:r w:rsidRPr="006F3F6D">
      <w:rPr>
        <w:rFonts w:ascii="Century Schoolbook" w:hAnsi="Century Schoolbook" w:cs="Century Schoolbook"/>
        <w:sz w:val="18"/>
        <w:szCs w:val="18"/>
      </w:rPr>
      <w:t>Walgreens #9405</w:t>
    </w:r>
  </w:p>
  <w:p w14:paraId="59D8A211" w14:textId="059D8670" w:rsidR="00DA6F30" w:rsidRPr="006F3F6D" w:rsidRDefault="006F3F6D">
    <w:pPr>
      <w:pStyle w:val="Footer"/>
      <w:rPr>
        <w:rFonts w:ascii="Century Schoolbook" w:hAnsi="Century Schoolbook" w:cs="Century Schoolbook"/>
        <w:sz w:val="18"/>
        <w:szCs w:val="18"/>
      </w:rPr>
    </w:pPr>
    <w:r w:rsidRPr="006F3F6D">
      <w:rPr>
        <w:rFonts w:ascii="Century Schoolbook" w:hAnsi="Century Schoolbook" w:cs="Century Schoolbook"/>
        <w:sz w:val="18"/>
        <w:szCs w:val="18"/>
      </w:rPr>
      <w:t>DS3475</w:t>
    </w:r>
  </w:p>
  <w:p w14:paraId="66CE47A8" w14:textId="755C87B8" w:rsidR="00DA6F30" w:rsidRPr="004F061C" w:rsidRDefault="006F3F6D">
    <w:pPr>
      <w:pStyle w:val="Footer"/>
      <w:rPr>
        <w:rFonts w:ascii="Century Schoolbook" w:hAnsi="Century Schoolbook" w:cs="Century Schoolbook"/>
        <w:sz w:val="18"/>
        <w:szCs w:val="18"/>
      </w:rPr>
    </w:pPr>
    <w:r>
      <w:rPr>
        <w:rFonts w:ascii="Century Schoolbook" w:hAnsi="Century Schoolbook" w:cs="Century Schoolbook"/>
        <w:sz w:val="18"/>
        <w:szCs w:val="18"/>
      </w:rPr>
      <w:t>PHA-2022-0143</w:t>
    </w:r>
  </w:p>
  <w:p w14:paraId="129FDDF0" w14:textId="77777777" w:rsidR="004E296F" w:rsidRPr="004C4BF3" w:rsidRDefault="004E296F">
    <w:pPr>
      <w:pStyle w:val="Footer"/>
      <w:rPr>
        <w:rFonts w:ascii="Century Schoolbook" w:hAnsi="Century Schoolbook" w:cs="Century Schoolbook"/>
        <w:sz w:val="20"/>
        <w:szCs w:val="20"/>
      </w:rPr>
    </w:pPr>
  </w:p>
  <w:p w14:paraId="1A11F4DD" w14:textId="77777777" w:rsidR="004E296F" w:rsidRPr="004C4BF3" w:rsidRDefault="004E296F">
    <w:pPr>
      <w:pStyle w:val="Footer"/>
      <w:rPr>
        <w:rFonts w:ascii="Century Schoolbook" w:hAnsi="Century Schoolbook" w:cs="Century Schoolbook"/>
        <w:sz w:val="20"/>
        <w:szCs w:val="20"/>
      </w:rPr>
    </w:pPr>
  </w:p>
  <w:p w14:paraId="3DEB905C" w14:textId="77777777"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DA6F30">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DA6F30">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110DFD9B"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3B3A" w14:textId="77777777" w:rsidR="004E296F" w:rsidRDefault="004E296F" w:rsidP="00D63CF5">
      <w:r>
        <w:separator/>
      </w:r>
    </w:p>
  </w:footnote>
  <w:footnote w:type="continuationSeparator" w:id="0">
    <w:p w14:paraId="5F205EC9" w14:textId="77777777" w:rsidR="004E296F" w:rsidRDefault="004E296F" w:rsidP="00D63CF5">
      <w:r>
        <w:continuationSeparator/>
      </w:r>
    </w:p>
  </w:footnote>
  <w:footnote w:id="1">
    <w:p w14:paraId="7CDB8FE3"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47956F32"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3D1485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753963429">
    <w:abstractNumId w:val="1"/>
  </w:num>
  <w:num w:numId="2" w16cid:durableId="1087380236">
    <w:abstractNumId w:val="8"/>
  </w:num>
  <w:num w:numId="3" w16cid:durableId="1852062644">
    <w:abstractNumId w:val="1"/>
  </w:num>
  <w:num w:numId="4" w16cid:durableId="1202938013">
    <w:abstractNumId w:val="0"/>
  </w:num>
  <w:num w:numId="5" w16cid:durableId="1007102497">
    <w:abstractNumId w:val="4"/>
  </w:num>
  <w:num w:numId="6" w16cid:durableId="1031078216">
    <w:abstractNumId w:val="5"/>
  </w:num>
  <w:num w:numId="7" w16cid:durableId="2062705676">
    <w:abstractNumId w:val="6"/>
  </w:num>
  <w:num w:numId="8" w16cid:durableId="1476023964">
    <w:abstractNumId w:val="3"/>
  </w:num>
  <w:num w:numId="9" w16cid:durableId="1864438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5028328">
    <w:abstractNumId w:val="2"/>
  </w:num>
  <w:num w:numId="11" w16cid:durableId="1932816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11C05"/>
    <w:rsid w:val="00052D8B"/>
    <w:rsid w:val="00055800"/>
    <w:rsid w:val="00057B7B"/>
    <w:rsid w:val="000A3E9D"/>
    <w:rsid w:val="000F4593"/>
    <w:rsid w:val="001225AC"/>
    <w:rsid w:val="001A4EFC"/>
    <w:rsid w:val="001C16DA"/>
    <w:rsid w:val="001D7A1C"/>
    <w:rsid w:val="001F6D44"/>
    <w:rsid w:val="00217F54"/>
    <w:rsid w:val="00250477"/>
    <w:rsid w:val="00250E80"/>
    <w:rsid w:val="00260221"/>
    <w:rsid w:val="00283483"/>
    <w:rsid w:val="00292509"/>
    <w:rsid w:val="002A06FC"/>
    <w:rsid w:val="002C4AA2"/>
    <w:rsid w:val="002E023A"/>
    <w:rsid w:val="002E07AB"/>
    <w:rsid w:val="002F4C45"/>
    <w:rsid w:val="002F5E55"/>
    <w:rsid w:val="0031073B"/>
    <w:rsid w:val="0031402B"/>
    <w:rsid w:val="00323579"/>
    <w:rsid w:val="0033639E"/>
    <w:rsid w:val="0033750A"/>
    <w:rsid w:val="003A12BB"/>
    <w:rsid w:val="003A1C45"/>
    <w:rsid w:val="003A4A28"/>
    <w:rsid w:val="003C5FC9"/>
    <w:rsid w:val="003D3A09"/>
    <w:rsid w:val="003F678B"/>
    <w:rsid w:val="004265E2"/>
    <w:rsid w:val="00445D6F"/>
    <w:rsid w:val="004505F4"/>
    <w:rsid w:val="00461266"/>
    <w:rsid w:val="004738B6"/>
    <w:rsid w:val="004B4014"/>
    <w:rsid w:val="004C4BF3"/>
    <w:rsid w:val="004C68BC"/>
    <w:rsid w:val="004D6584"/>
    <w:rsid w:val="004E296F"/>
    <w:rsid w:val="004E4818"/>
    <w:rsid w:val="004F061C"/>
    <w:rsid w:val="00513134"/>
    <w:rsid w:val="00532E66"/>
    <w:rsid w:val="00577267"/>
    <w:rsid w:val="00586938"/>
    <w:rsid w:val="005E4FFB"/>
    <w:rsid w:val="005F1C99"/>
    <w:rsid w:val="006003A8"/>
    <w:rsid w:val="0060634A"/>
    <w:rsid w:val="006132F9"/>
    <w:rsid w:val="006139D4"/>
    <w:rsid w:val="0067321C"/>
    <w:rsid w:val="006818B0"/>
    <w:rsid w:val="00696A18"/>
    <w:rsid w:val="006A7217"/>
    <w:rsid w:val="006C16C9"/>
    <w:rsid w:val="006D0871"/>
    <w:rsid w:val="006D1E00"/>
    <w:rsid w:val="006F3F6D"/>
    <w:rsid w:val="00725741"/>
    <w:rsid w:val="00732B62"/>
    <w:rsid w:val="007671AF"/>
    <w:rsid w:val="0077175B"/>
    <w:rsid w:val="00782E05"/>
    <w:rsid w:val="00790EB1"/>
    <w:rsid w:val="007A7058"/>
    <w:rsid w:val="007C50C2"/>
    <w:rsid w:val="007D2546"/>
    <w:rsid w:val="007E62C0"/>
    <w:rsid w:val="008038B5"/>
    <w:rsid w:val="00826883"/>
    <w:rsid w:val="008323ED"/>
    <w:rsid w:val="0083279F"/>
    <w:rsid w:val="00832CFF"/>
    <w:rsid w:val="00835C17"/>
    <w:rsid w:val="008563FF"/>
    <w:rsid w:val="008659C2"/>
    <w:rsid w:val="00886BEF"/>
    <w:rsid w:val="008A3E25"/>
    <w:rsid w:val="008C7008"/>
    <w:rsid w:val="008E65C1"/>
    <w:rsid w:val="008E6AF0"/>
    <w:rsid w:val="009200FD"/>
    <w:rsid w:val="00953E48"/>
    <w:rsid w:val="0098722F"/>
    <w:rsid w:val="009B6B75"/>
    <w:rsid w:val="009C1731"/>
    <w:rsid w:val="009C4635"/>
    <w:rsid w:val="009C4C30"/>
    <w:rsid w:val="009D5F55"/>
    <w:rsid w:val="009E50FF"/>
    <w:rsid w:val="00A06D57"/>
    <w:rsid w:val="00A31310"/>
    <w:rsid w:val="00A4135E"/>
    <w:rsid w:val="00A551DD"/>
    <w:rsid w:val="00A73DC2"/>
    <w:rsid w:val="00AA03C2"/>
    <w:rsid w:val="00AA55A8"/>
    <w:rsid w:val="00AB0AA9"/>
    <w:rsid w:val="00AB145C"/>
    <w:rsid w:val="00AC06EB"/>
    <w:rsid w:val="00AC1334"/>
    <w:rsid w:val="00B32D2A"/>
    <w:rsid w:val="00B36A42"/>
    <w:rsid w:val="00B43FB4"/>
    <w:rsid w:val="00B646CA"/>
    <w:rsid w:val="00B975D6"/>
    <w:rsid w:val="00BA4988"/>
    <w:rsid w:val="00BD0B41"/>
    <w:rsid w:val="00BD4DED"/>
    <w:rsid w:val="00BF6464"/>
    <w:rsid w:val="00C422C6"/>
    <w:rsid w:val="00C53E62"/>
    <w:rsid w:val="00C86F89"/>
    <w:rsid w:val="00CA3A9C"/>
    <w:rsid w:val="00CB7E95"/>
    <w:rsid w:val="00CC4CDF"/>
    <w:rsid w:val="00CC5297"/>
    <w:rsid w:val="00CE3CD1"/>
    <w:rsid w:val="00CE60BB"/>
    <w:rsid w:val="00CF005C"/>
    <w:rsid w:val="00D04B56"/>
    <w:rsid w:val="00D057B0"/>
    <w:rsid w:val="00D20514"/>
    <w:rsid w:val="00D370BE"/>
    <w:rsid w:val="00D42783"/>
    <w:rsid w:val="00D5313B"/>
    <w:rsid w:val="00D5525C"/>
    <w:rsid w:val="00D63CF5"/>
    <w:rsid w:val="00D72C84"/>
    <w:rsid w:val="00D90075"/>
    <w:rsid w:val="00DA6F30"/>
    <w:rsid w:val="00DF2D6F"/>
    <w:rsid w:val="00E27D36"/>
    <w:rsid w:val="00E3088A"/>
    <w:rsid w:val="00E832CC"/>
    <w:rsid w:val="00E853D4"/>
    <w:rsid w:val="00E97A63"/>
    <w:rsid w:val="00EA2100"/>
    <w:rsid w:val="00EA5ECA"/>
    <w:rsid w:val="00EF7674"/>
    <w:rsid w:val="00F073D9"/>
    <w:rsid w:val="00F17275"/>
    <w:rsid w:val="00F416F7"/>
    <w:rsid w:val="00F454F2"/>
    <w:rsid w:val="00F76162"/>
    <w:rsid w:val="00F91635"/>
    <w:rsid w:val="00FA5A20"/>
    <w:rsid w:val="00FB62DC"/>
    <w:rsid w:val="00FC15D8"/>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C79DD"/>
  <w15:docId w15:val="{2D3EFDA0-4C36-40BD-987C-3A4321A4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4</Pages>
  <Words>1040</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6</cp:revision>
  <cp:lastPrinted>2020-09-01T17:28:00Z</cp:lastPrinted>
  <dcterms:created xsi:type="dcterms:W3CDTF">2023-09-11T14:51:00Z</dcterms:created>
  <dcterms:modified xsi:type="dcterms:W3CDTF">2024-03-07T21:56:00Z</dcterms:modified>
</cp:coreProperties>
</file>