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0B" w:rsidRDefault="00F8730B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F8730B" w:rsidRDefault="00F8730B" w:rsidP="00B277E8">
      <w:pPr>
        <w:rPr>
          <w:rFonts w:ascii="Century Schoolbook" w:hAnsi="Century Schoolbook"/>
        </w:rPr>
      </w:pPr>
    </w:p>
    <w:p w:rsidR="00F8730B" w:rsidRDefault="00F8730B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F8730B" w:rsidRDefault="00F8730B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F8730B" w:rsidRDefault="00F8730B" w:rsidP="00B277E8">
      <w:pPr>
        <w:rPr>
          <w:rFonts w:ascii="Century Schoolbook" w:hAnsi="Century Schoolbook"/>
        </w:rPr>
      </w:pPr>
    </w:p>
    <w:p w:rsidR="00F8730B" w:rsidRPr="00654552" w:rsidRDefault="00F8730B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  <w:t>)</w:t>
      </w:r>
    </w:p>
    <w:p w:rsidR="00F8730B" w:rsidRPr="00D06F49" w:rsidRDefault="00F8730B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Walgreens Pharmacy #3337</w:t>
      </w:r>
      <w:r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)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D06F49">
        <w:rPr>
          <w:rFonts w:ascii="Century Schoolbook" w:hAnsi="Century Schoolbook"/>
        </w:rPr>
        <w:t>PHA-2016-0007</w:t>
      </w:r>
    </w:p>
    <w:p w:rsidR="00F8730B" w:rsidRPr="00D06F49" w:rsidRDefault="00F8730B" w:rsidP="00B277E8">
      <w:pPr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License Number: DS2626</w:t>
      </w:r>
      <w:r w:rsidRPr="00D06F49">
        <w:rPr>
          <w:rFonts w:ascii="Century Schoolbook" w:hAnsi="Century Schoolbook"/>
        </w:rPr>
        <w:tab/>
      </w:r>
      <w:r w:rsidRPr="00D06F49">
        <w:rPr>
          <w:rFonts w:ascii="Century Schoolbook" w:hAnsi="Century Schoolbook"/>
        </w:rPr>
        <w:tab/>
        <w:t>)</w:t>
      </w:r>
    </w:p>
    <w:p w:rsidR="00F8730B" w:rsidRPr="00D06F49" w:rsidRDefault="00F8730B" w:rsidP="00B277E8">
      <w:pPr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Expiration:  December 31, 2017</w:t>
      </w:r>
      <w:r w:rsidRPr="00D06F49">
        <w:rPr>
          <w:rFonts w:ascii="Century Schoolbook" w:hAnsi="Century Schoolbook"/>
        </w:rPr>
        <w:tab/>
        <w:t>)</w:t>
      </w:r>
    </w:p>
    <w:p w:rsidR="00F8730B" w:rsidRPr="00D06F49" w:rsidRDefault="00F8730B" w:rsidP="00B277E8">
      <w:pPr>
        <w:rPr>
          <w:rFonts w:ascii="Century Schoolbook" w:hAnsi="Century Schoolbook"/>
        </w:rPr>
      </w:pPr>
    </w:p>
    <w:p w:rsidR="00F8730B" w:rsidRPr="00D06F49" w:rsidRDefault="00F8730B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F8730B" w:rsidRPr="00D06F49" w:rsidRDefault="00F8730B" w:rsidP="00B277E8">
      <w:pPr>
        <w:rPr>
          <w:rFonts w:ascii="Century Schoolbook" w:hAnsi="Century Schoolbook"/>
        </w:rPr>
      </w:pPr>
    </w:p>
    <w:p w:rsidR="00F8730B" w:rsidRPr="00D06F49" w:rsidRDefault="00F8730B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Massachusetts Board of Registration in Pharmacy (“Board”) and Walgreens</w:t>
      </w:r>
      <w:r>
        <w:rPr>
          <w:rFonts w:ascii="Century Schoolbook" w:hAnsi="Century Schoolbook"/>
        </w:rPr>
        <w:t xml:space="preserve"> Pharmacy</w:t>
      </w:r>
      <w:r w:rsidRPr="00D06F49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#3337 </w:t>
      </w:r>
      <w:r w:rsidRPr="00D06F49">
        <w:rPr>
          <w:rFonts w:ascii="Century Schoolbook" w:hAnsi="Century Schoolbook"/>
        </w:rPr>
        <w:t>(“Pharmacy”), a pharmacy licensed by the Board, license number DS2626, do hereby stipulate and agree that the following information shall be entered into and become a permanent part of the Pharmacy’s record maintained by the Board:</w:t>
      </w:r>
    </w:p>
    <w:p w:rsidR="00F8730B" w:rsidRPr="00D06F49" w:rsidRDefault="00F8730B" w:rsidP="00651A44">
      <w:pPr>
        <w:jc w:val="both"/>
        <w:rPr>
          <w:rFonts w:ascii="Century Schoolbook" w:hAnsi="Century Schoolbook"/>
        </w:rPr>
      </w:pPr>
    </w:p>
    <w:p w:rsidR="00F8730B" w:rsidRPr="00651A44" w:rsidRDefault="00F8730B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that the Boar</w:t>
      </w:r>
      <w:r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</w:t>
      </w:r>
      <w:smartTag w:uri="urn:schemas-microsoft-com:office:smarttags" w:element="State">
        <w:smartTag w:uri="urn:schemas-microsoft-com:office:smarttags" w:element="place">
          <w:r w:rsidRPr="00D06F49">
            <w:rPr>
              <w:rFonts w:ascii="Century Schoolbook" w:hAnsi="Century Schoolbook"/>
            </w:rPr>
            <w:t>Massachusetts</w:t>
          </w:r>
        </w:smartTag>
      </w:smartTag>
      <w:r w:rsidRPr="00D06F49">
        <w:rPr>
          <w:rFonts w:ascii="Century Schoolbook" w:hAnsi="Century Schoolbook"/>
        </w:rPr>
        <w:t xml:space="preserve"> license related to the conduct set forth in Paragraph 2, identified as Docket Number PHA-2016-0007</w:t>
      </w:r>
      <w:r w:rsidRPr="00651A44">
        <w:rPr>
          <w:rFonts w:ascii="Century Schoolbook" w:hAnsi="Century Schoolbook"/>
        </w:rPr>
        <w:t xml:space="preserve"> (“Complaint”).</w:t>
      </w:r>
    </w:p>
    <w:p w:rsidR="00F8730B" w:rsidRPr="00651A44" w:rsidRDefault="00F8730B" w:rsidP="00651A44">
      <w:pPr>
        <w:pStyle w:val="ListParagraph"/>
        <w:jc w:val="both"/>
        <w:rPr>
          <w:rFonts w:ascii="Century Schoolbook" w:hAnsi="Century Schoolbook"/>
        </w:rPr>
      </w:pPr>
    </w:p>
    <w:p w:rsidR="00F8730B" w:rsidRDefault="00F8730B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:rsidR="00F8730B" w:rsidRDefault="00F8730B" w:rsidP="00BC4113">
      <w:pPr>
        <w:pStyle w:val="ListParagraph"/>
        <w:jc w:val="both"/>
        <w:rPr>
          <w:rFonts w:ascii="Century Schoolbook" w:hAnsi="Century Schoolbook"/>
        </w:rPr>
      </w:pPr>
    </w:p>
    <w:p w:rsidR="00F8730B" w:rsidRDefault="00F8730B" w:rsidP="00BC4113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or about August 13, 2015, a Board investigator inspected the Pharmacy and noted the following deficiencies: </w:t>
      </w:r>
    </w:p>
    <w:p w:rsidR="00F8730B" w:rsidRDefault="00F8730B" w:rsidP="00BC4113">
      <w:pPr>
        <w:pStyle w:val="ListParagraph"/>
        <w:ind w:left="1440"/>
        <w:jc w:val="both"/>
        <w:rPr>
          <w:rFonts w:ascii="Century Schoolbook" w:hAnsi="Century Schoolbook"/>
        </w:rPr>
      </w:pPr>
    </w:p>
    <w:p w:rsidR="00F8730B" w:rsidRDefault="00F8730B" w:rsidP="00BC4113">
      <w:pPr>
        <w:pStyle w:val="ListParagraph"/>
        <w:numPr>
          <w:ilvl w:val="2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The Pharmacy failed to comply with minimum staffing ratios, in violation of 247 CMR 8.06(3);</w:t>
      </w:r>
    </w:p>
    <w:p w:rsidR="00F8730B" w:rsidRDefault="00F8730B" w:rsidP="00BC4113">
      <w:pPr>
        <w:pStyle w:val="ListParagraph"/>
        <w:numPr>
          <w:ilvl w:val="2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The Pharmacy did nto have a sign stating “patient consultation area,” in violation of 247 CMR 6.01(5)(d);</w:t>
      </w:r>
    </w:p>
    <w:p w:rsidR="00F8730B" w:rsidRDefault="00F8730B" w:rsidP="00BC4113">
      <w:pPr>
        <w:pStyle w:val="ListParagraph"/>
        <w:numPr>
          <w:ilvl w:val="2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Unsanitary conditions, including multiple stained ceiling tiles, in violation of 247 CMR 6.02(1); and </w:t>
      </w:r>
    </w:p>
    <w:p w:rsidR="00F8730B" w:rsidRDefault="00F8730B" w:rsidP="00BC4113">
      <w:pPr>
        <w:pStyle w:val="ListParagraph"/>
        <w:numPr>
          <w:ilvl w:val="2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Inconsistent beyond-use-dates, in violation of 247 CMR 9.01(3) and USP 795.</w:t>
      </w:r>
    </w:p>
    <w:p w:rsidR="00F8730B" w:rsidRPr="00BC4113" w:rsidRDefault="00F8730B" w:rsidP="00BC4113">
      <w:pPr>
        <w:pStyle w:val="ListParagraph"/>
        <w:ind w:left="2160"/>
        <w:jc w:val="both"/>
        <w:rPr>
          <w:rFonts w:ascii="Century Schoolbook" w:hAnsi="Century Schoolbook"/>
        </w:rPr>
      </w:pPr>
    </w:p>
    <w:p w:rsidR="00F8730B" w:rsidRDefault="00F8730B" w:rsidP="00BC4113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On or about November 9, 2015, a Board investigator conducted a repeat inspection of the pharmacy and noted the following deficiencies:</w:t>
      </w:r>
    </w:p>
    <w:p w:rsidR="00F8730B" w:rsidRDefault="00F8730B" w:rsidP="007D27DC">
      <w:pPr>
        <w:pStyle w:val="ListParagraph"/>
        <w:ind w:left="1440"/>
        <w:jc w:val="both"/>
        <w:rPr>
          <w:rFonts w:ascii="Century Schoolbook" w:hAnsi="Century Schoolbook"/>
        </w:rPr>
      </w:pPr>
    </w:p>
    <w:p w:rsidR="00F8730B" w:rsidRDefault="00F8730B" w:rsidP="00BC4113">
      <w:pPr>
        <w:pStyle w:val="ListParagraph"/>
        <w:numPr>
          <w:ilvl w:val="2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Pharmacy failed to comply with minimum staffing ratios, in violation of 247 CMR 8.06(3); </w:t>
      </w:r>
    </w:p>
    <w:p w:rsidR="00F8730B" w:rsidRDefault="00F8730B" w:rsidP="007D27DC">
      <w:pPr>
        <w:pStyle w:val="ListParagraph"/>
        <w:numPr>
          <w:ilvl w:val="2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An authorization for emergency dispensing of controlled substances for a Schedule II medication lacked a written prescription, in violation of 247 CMR 5.03(4); and </w:t>
      </w:r>
    </w:p>
    <w:p w:rsidR="00F8730B" w:rsidRPr="007D27DC" w:rsidRDefault="00F8730B" w:rsidP="007D27DC">
      <w:pPr>
        <w:pStyle w:val="ListParagraph"/>
        <w:numPr>
          <w:ilvl w:val="2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Unsanitary conditions, including multiple stained ceiling tiles, in violation of 247 CMR 6.02(1).</w:t>
      </w:r>
    </w:p>
    <w:p w:rsidR="00F8730B" w:rsidRDefault="00F8730B" w:rsidP="007D27DC">
      <w:pPr>
        <w:pStyle w:val="ListParagraph"/>
        <w:ind w:left="2160"/>
        <w:jc w:val="both"/>
        <w:rPr>
          <w:rFonts w:ascii="Century Schoolbook" w:hAnsi="Century Schoolbook"/>
        </w:rPr>
      </w:pPr>
    </w:p>
    <w:p w:rsidR="00F8730B" w:rsidRDefault="00F8730B" w:rsidP="00BC4113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On or about December 31, 2015, a Board investigator inspected the Pharmacy and observed the following deficiencies:</w:t>
      </w:r>
    </w:p>
    <w:p w:rsidR="00F8730B" w:rsidRDefault="00F8730B" w:rsidP="007D27DC">
      <w:pPr>
        <w:pStyle w:val="ListParagraph"/>
        <w:ind w:left="1440"/>
        <w:jc w:val="both"/>
        <w:rPr>
          <w:rFonts w:ascii="Century Schoolbook" w:hAnsi="Century Schoolbook"/>
        </w:rPr>
      </w:pPr>
    </w:p>
    <w:p w:rsidR="00F8730B" w:rsidRDefault="00F8730B" w:rsidP="007D27DC">
      <w:pPr>
        <w:pStyle w:val="ListParagraph"/>
        <w:numPr>
          <w:ilvl w:val="2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A pharmacy technician was practicing with an expired license, in violation  of 247 CMR 8.07(3)(b);</w:t>
      </w:r>
    </w:p>
    <w:p w:rsidR="00F8730B" w:rsidRDefault="00F8730B" w:rsidP="007D27DC">
      <w:pPr>
        <w:pStyle w:val="ListParagraph"/>
        <w:numPr>
          <w:ilvl w:val="2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The Pharmacy failed to comply with minimum staffing ratios, in violation of 247 CMR 8.06(3);</w:t>
      </w:r>
    </w:p>
    <w:p w:rsidR="00F8730B" w:rsidRDefault="00F8730B" w:rsidP="007D27DC">
      <w:pPr>
        <w:pStyle w:val="ListParagraph"/>
        <w:numPr>
          <w:ilvl w:val="2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Pharmacy failed to reconcile its perpetual inventory every ten days, in violation of 247 CMR 9.01(14); and </w:t>
      </w:r>
    </w:p>
    <w:p w:rsidR="00F8730B" w:rsidRDefault="00F8730B" w:rsidP="007D27DC">
      <w:pPr>
        <w:pStyle w:val="ListParagraph"/>
        <w:numPr>
          <w:ilvl w:val="2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Incorrect beyond-use-dates, in violation of 247 CMR 9.01(3) and USP 795.</w:t>
      </w:r>
    </w:p>
    <w:p w:rsidR="00F8730B" w:rsidRPr="007D27DC" w:rsidRDefault="00F8730B" w:rsidP="007D27DC">
      <w:pPr>
        <w:ind w:left="1980"/>
        <w:jc w:val="both"/>
        <w:rPr>
          <w:rFonts w:ascii="Century Schoolbook" w:hAnsi="Century Schoolbook"/>
        </w:rPr>
      </w:pPr>
    </w:p>
    <w:p w:rsidR="00F8730B" w:rsidRDefault="00F8730B" w:rsidP="00BC4113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Further analysis of staffing schedules from November 5, 2015 through February 10, 2016 revealed 69 hours of non-compliance with minimum staffing requirements over the course of 39 days, in violation of 247 CMR 8.06(3).</w:t>
      </w:r>
    </w:p>
    <w:p w:rsidR="00F8730B" w:rsidRDefault="00F8730B" w:rsidP="004A1138">
      <w:pPr>
        <w:jc w:val="both"/>
        <w:rPr>
          <w:rFonts w:ascii="Century Schoolbook" w:hAnsi="Century Schoolbook"/>
        </w:rPr>
      </w:pPr>
    </w:p>
    <w:p w:rsidR="00F8730B" w:rsidRPr="003D4629" w:rsidRDefault="00F8730B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>action by the Boar</w:t>
      </w:r>
      <w:r>
        <w:rPr>
          <w:rFonts w:ascii="Century Schoolbook" w:hAnsi="Century Schoolbook"/>
        </w:rPr>
        <w:t>d under M.G.L. c. 12, §§ 42A &amp;</w:t>
      </w:r>
      <w:r w:rsidRPr="003D4629">
        <w:rPr>
          <w:rFonts w:ascii="Century Schoolbook" w:hAnsi="Century Schoolbook"/>
        </w:rPr>
        <w:t xml:space="preserve"> 61 and 247 CMR 10.03</w:t>
      </w:r>
      <w:r>
        <w:rPr>
          <w:rFonts w:ascii="Century Schoolbook" w:hAnsi="Century Schoolbook"/>
        </w:rPr>
        <w:t>(1)(a), (d) &amp; (v)</w:t>
      </w:r>
      <w:r w:rsidRPr="003D4629">
        <w:rPr>
          <w:rFonts w:ascii="Century Schoolbook" w:hAnsi="Century Schoolbook"/>
        </w:rPr>
        <w:t>.</w:t>
      </w:r>
    </w:p>
    <w:p w:rsidR="00F8730B" w:rsidRPr="00651A44" w:rsidRDefault="00F8730B" w:rsidP="00BF0F69">
      <w:pPr>
        <w:pStyle w:val="ListParagraph"/>
        <w:ind w:left="0"/>
        <w:rPr>
          <w:rFonts w:ascii="Century Schoolbook" w:hAnsi="Century Schoolbook"/>
        </w:rPr>
      </w:pPr>
    </w:p>
    <w:p w:rsidR="00F8730B" w:rsidRDefault="00F8730B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F8730B" w:rsidRPr="00651A44" w:rsidRDefault="00F8730B" w:rsidP="00651A44">
      <w:pPr>
        <w:pStyle w:val="ListParagraph"/>
        <w:rPr>
          <w:rFonts w:ascii="Century Schoolbook" w:hAnsi="Century Schoolbook"/>
        </w:rPr>
      </w:pPr>
    </w:p>
    <w:p w:rsidR="00F8730B" w:rsidRDefault="00F8730B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F8730B" w:rsidRPr="00651A44" w:rsidRDefault="00F8730B" w:rsidP="00651A44">
      <w:pPr>
        <w:pStyle w:val="ListParagraph"/>
        <w:rPr>
          <w:rFonts w:ascii="Century Schoolbook" w:hAnsi="Century Schoolbook"/>
        </w:rPr>
      </w:pPr>
    </w:p>
    <w:p w:rsidR="00F8730B" w:rsidRDefault="00F8730B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F8730B" w:rsidRPr="006C57D7" w:rsidRDefault="00F8730B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F8730B" w:rsidRPr="006C57D7" w:rsidRDefault="00F8730B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  </w:t>
      </w:r>
    </w:p>
    <w:p w:rsidR="00F8730B" w:rsidRPr="00651A44" w:rsidRDefault="00F8730B" w:rsidP="00651A44">
      <w:pPr>
        <w:pStyle w:val="ListParagraph"/>
        <w:rPr>
          <w:rFonts w:ascii="Century Schoolbook" w:hAnsi="Century Schoolbook"/>
        </w:rPr>
      </w:pPr>
    </w:p>
    <w:p w:rsidR="00F8730B" w:rsidRDefault="00F8730B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F8730B" w:rsidRPr="00651A44" w:rsidRDefault="00F8730B" w:rsidP="00152904">
      <w:pPr>
        <w:pStyle w:val="ListParagraph"/>
        <w:ind w:left="0"/>
        <w:rPr>
          <w:rFonts w:ascii="Century Schoolbook" w:hAnsi="Century Schoolbook"/>
        </w:rPr>
      </w:pPr>
    </w:p>
    <w:p w:rsidR="00F8730B" w:rsidRDefault="00F8730B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F8730B" w:rsidRDefault="00F8730B" w:rsidP="00152904">
      <w:pPr>
        <w:pStyle w:val="ListParagraph"/>
        <w:jc w:val="both"/>
        <w:rPr>
          <w:rFonts w:ascii="Century Schoolbook" w:hAnsi="Century Schoolbook"/>
        </w:rPr>
      </w:pPr>
    </w:p>
    <w:p w:rsidR="00F8730B" w:rsidRPr="00152904" w:rsidRDefault="00F8730B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F8730B" w:rsidRPr="00651A44" w:rsidRDefault="00F8730B" w:rsidP="00152904">
      <w:pPr>
        <w:pStyle w:val="ListParagraph"/>
        <w:jc w:val="both"/>
        <w:rPr>
          <w:rFonts w:ascii="Century Schoolbook" w:hAnsi="Century Schoolbook"/>
        </w:rPr>
      </w:pPr>
    </w:p>
    <w:p w:rsidR="00F8730B" w:rsidRPr="00F77B64" w:rsidRDefault="00F8730B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  <w:u w:val="single"/>
        </w:rPr>
      </w:pPr>
      <w:r>
        <w:rPr>
          <w:rFonts w:ascii="Century Schoolbook" w:hAnsi="Century Schoolbook"/>
        </w:rPr>
        <w:t xml:space="preserve">                    </w:t>
      </w:r>
      <w:r>
        <w:rPr>
          <w:rFonts w:ascii="Century Schoolbook" w:hAnsi="Century Schoolbook"/>
        </w:rPr>
        <w:tab/>
        <w:t xml:space="preserve"> </w:t>
      </w:r>
      <w:r>
        <w:rPr>
          <w:rFonts w:ascii="Century Schoolbook" w:hAnsi="Century Schoolbook"/>
          <w:u w:val="single"/>
        </w:rPr>
        <w:t>Richard Paul Gates</w:t>
      </w:r>
      <w:r w:rsidRPr="00F77B64">
        <w:rPr>
          <w:rFonts w:ascii="Century Schoolbook" w:hAnsi="Century Schoolbook"/>
          <w:u w:val="single"/>
        </w:rPr>
        <w:t>, 8/24/16</w:t>
      </w:r>
    </w:p>
    <w:p w:rsidR="00F8730B" w:rsidRDefault="00F8730B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                                                           Walgreens #3337</w:t>
      </w:r>
      <w:r w:rsidRPr="00654552">
        <w:rPr>
          <w:rFonts w:ascii="Century Schoolbook" w:hAnsi="Century Schoolbook"/>
        </w:rPr>
        <w:t xml:space="preserve"> </w:t>
      </w:r>
    </w:p>
    <w:p w:rsidR="00F8730B" w:rsidRPr="00651A44" w:rsidRDefault="00F8730B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F8730B" w:rsidRDefault="00F8730B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F8730B" w:rsidRDefault="00F8730B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F8730B" w:rsidRPr="00651A44" w:rsidRDefault="00F8730B" w:rsidP="00651A44">
      <w:pPr>
        <w:ind w:left="1440" w:hanging="1440"/>
        <w:jc w:val="both"/>
        <w:rPr>
          <w:rFonts w:ascii="Century Schoolbook" w:hAnsi="Century Schoolbook"/>
        </w:rPr>
      </w:pPr>
    </w:p>
    <w:p w:rsidR="00F8730B" w:rsidRPr="00F77B64" w:rsidRDefault="00F8730B" w:rsidP="00651A44">
      <w:pPr>
        <w:jc w:val="both"/>
        <w:rPr>
          <w:rFonts w:ascii="Century Schoolbook" w:hAnsi="Century Schoolbook"/>
          <w:u w:val="single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F77B64">
        <w:rPr>
          <w:rFonts w:ascii="Century Schoolbook" w:hAnsi="Century Schoolbook"/>
          <w:u w:val="single"/>
        </w:rPr>
        <w:t>David Sencabaugh, R. Ph.</w:t>
      </w:r>
    </w:p>
    <w:p w:rsidR="00F8730B" w:rsidRPr="00651A44" w:rsidRDefault="00F8730B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F8730B" w:rsidRPr="00651A44" w:rsidRDefault="00F8730B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F8730B" w:rsidRDefault="00F8730B" w:rsidP="00651A44">
      <w:pPr>
        <w:jc w:val="both"/>
        <w:rPr>
          <w:rFonts w:ascii="Century Schoolbook" w:hAnsi="Century Schoolbook"/>
          <w:b/>
        </w:rPr>
      </w:pPr>
    </w:p>
    <w:p w:rsidR="00F8730B" w:rsidRDefault="00F8730B" w:rsidP="00651A44">
      <w:pPr>
        <w:jc w:val="both"/>
        <w:rPr>
          <w:rFonts w:ascii="Century Schoolbook" w:hAnsi="Century Schoolbook"/>
          <w:b/>
        </w:rPr>
      </w:pPr>
    </w:p>
    <w:p w:rsidR="00F8730B" w:rsidRDefault="00F8730B">
      <w:r w:rsidRPr="00F77B64">
        <w:rPr>
          <w:rFonts w:ascii="Century Schoolbook" w:hAnsi="Century Schoolbook"/>
          <w:u w:val="single"/>
        </w:rPr>
        <w:t>9-6-16</w:t>
      </w:r>
    </w:p>
    <w:p w:rsidR="00F8730B" w:rsidRDefault="00F8730B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F8730B" w:rsidRPr="00651A44" w:rsidRDefault="00F8730B" w:rsidP="00651A44">
      <w:pPr>
        <w:jc w:val="both"/>
        <w:rPr>
          <w:rFonts w:ascii="Century Schoolbook" w:hAnsi="Century Schoolbook"/>
          <w:b/>
        </w:rPr>
      </w:pPr>
    </w:p>
    <w:p w:rsidR="00F8730B" w:rsidRPr="00651A44" w:rsidRDefault="00F8730B" w:rsidP="00651A44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 xml:space="preserve">on </w:t>
      </w:r>
      <w:r w:rsidRPr="00E443B3">
        <w:rPr>
          <w:rFonts w:ascii="Century Schoolbook" w:hAnsi="Century Schoolbook"/>
          <w:u w:val="single"/>
        </w:rPr>
        <w:t>9/8/16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>by Certified Mail No</w:t>
      </w:r>
      <w:r>
        <w:rPr>
          <w:rFonts w:ascii="Century Schoolbook" w:hAnsi="Century Schoolbook"/>
          <w:b/>
        </w:rPr>
        <w:t xml:space="preserve">. </w:t>
      </w:r>
      <w:r>
        <w:rPr>
          <w:rFonts w:ascii="Century Schoolbook" w:hAnsi="Century Schoolbook"/>
          <w:u w:val="single"/>
        </w:rPr>
        <w:t>7015 1660 0001 1911 4678</w:t>
      </w:r>
      <w:r>
        <w:rPr>
          <w:rFonts w:ascii="Century Schoolbook" w:hAnsi="Century Schoolbook"/>
          <w:b/>
        </w:rPr>
        <w:t xml:space="preserve"> </w:t>
      </w:r>
    </w:p>
    <w:p w:rsidR="00F8730B" w:rsidRPr="00651A44" w:rsidRDefault="00F8730B" w:rsidP="00651A44">
      <w:pPr>
        <w:jc w:val="both"/>
        <w:rPr>
          <w:rFonts w:ascii="Century Schoolbook" w:hAnsi="Century Schoolbook"/>
        </w:rPr>
      </w:pPr>
    </w:p>
    <w:sectPr w:rsidR="00F8730B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30B" w:rsidRDefault="00F8730B" w:rsidP="003D4629">
      <w:r>
        <w:separator/>
      </w:r>
    </w:p>
  </w:endnote>
  <w:endnote w:type="continuationSeparator" w:id="0">
    <w:p w:rsidR="00F8730B" w:rsidRDefault="00F8730B" w:rsidP="003D4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altName w:val="Device Font 10cpi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0B" w:rsidRPr="00D06F49" w:rsidRDefault="00F8730B" w:rsidP="003D4629">
    <w:pPr>
      <w:pStyle w:val="Footer"/>
      <w:rPr>
        <w:rFonts w:ascii="Century Schoolbook" w:hAnsi="Century Schoolbook"/>
        <w:sz w:val="20"/>
        <w:szCs w:val="20"/>
      </w:rPr>
    </w:pPr>
    <w:r w:rsidRPr="00D06F49">
      <w:rPr>
        <w:rFonts w:ascii="Century Schoolbook" w:hAnsi="Century Schoolbook"/>
        <w:sz w:val="20"/>
        <w:szCs w:val="20"/>
      </w:rPr>
      <w:t>Walgreens #3337</w:t>
    </w:r>
  </w:p>
  <w:p w:rsidR="00F8730B" w:rsidRPr="00D06F49" w:rsidRDefault="00F8730B" w:rsidP="003D4629">
    <w:pPr>
      <w:pStyle w:val="Footer"/>
      <w:rPr>
        <w:rFonts w:ascii="Century Schoolbook" w:hAnsi="Century Schoolbook"/>
        <w:sz w:val="20"/>
        <w:szCs w:val="20"/>
      </w:rPr>
    </w:pPr>
    <w:r w:rsidRPr="00D06F49">
      <w:rPr>
        <w:rFonts w:ascii="Century Schoolbook" w:hAnsi="Century Schoolbook"/>
        <w:sz w:val="20"/>
        <w:szCs w:val="20"/>
      </w:rPr>
      <w:t>DS2626</w:t>
    </w:r>
  </w:p>
  <w:p w:rsidR="00F8730B" w:rsidRPr="003D4629" w:rsidRDefault="00F8730B" w:rsidP="003D4629">
    <w:pPr>
      <w:pStyle w:val="Footer"/>
      <w:rPr>
        <w:rFonts w:ascii="Century Schoolbook" w:hAnsi="Century Schoolbook"/>
        <w:sz w:val="20"/>
        <w:szCs w:val="20"/>
      </w:rPr>
    </w:pPr>
    <w:r w:rsidRPr="00D06F49">
      <w:rPr>
        <w:rFonts w:ascii="Century Schoolbook" w:hAnsi="Century Schoolbook"/>
        <w:sz w:val="20"/>
        <w:szCs w:val="20"/>
      </w:rPr>
      <w:t>PHA-2016-0007</w:t>
    </w:r>
  </w:p>
  <w:p w:rsidR="00F8730B" w:rsidRDefault="00F8730B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F8730B" w:rsidRPr="003D4629" w:rsidRDefault="00F8730B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F8730B" w:rsidRPr="003D4629" w:rsidRDefault="00F8730B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30B" w:rsidRDefault="00F8730B" w:rsidP="003D4629">
      <w:r>
        <w:separator/>
      </w:r>
    </w:p>
  </w:footnote>
  <w:footnote w:type="continuationSeparator" w:id="0">
    <w:p w:rsidR="00F8730B" w:rsidRDefault="00F8730B" w:rsidP="003D4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004"/>
    <w:rsid w:val="00055800"/>
    <w:rsid w:val="00057B7B"/>
    <w:rsid w:val="000F4593"/>
    <w:rsid w:val="00152904"/>
    <w:rsid w:val="00172D7F"/>
    <w:rsid w:val="00187F89"/>
    <w:rsid w:val="001D7A1C"/>
    <w:rsid w:val="00250477"/>
    <w:rsid w:val="002C4AA2"/>
    <w:rsid w:val="002D2947"/>
    <w:rsid w:val="002D367B"/>
    <w:rsid w:val="002E07AB"/>
    <w:rsid w:val="002F4C45"/>
    <w:rsid w:val="0031073B"/>
    <w:rsid w:val="0031402B"/>
    <w:rsid w:val="0033639E"/>
    <w:rsid w:val="00374B83"/>
    <w:rsid w:val="003A12BB"/>
    <w:rsid w:val="003D4629"/>
    <w:rsid w:val="00445D6F"/>
    <w:rsid w:val="004505F4"/>
    <w:rsid w:val="0049787B"/>
    <w:rsid w:val="004A1138"/>
    <w:rsid w:val="004B4014"/>
    <w:rsid w:val="004E4BB1"/>
    <w:rsid w:val="00572F02"/>
    <w:rsid w:val="005E4FFB"/>
    <w:rsid w:val="006132F9"/>
    <w:rsid w:val="006139D4"/>
    <w:rsid w:val="00651A44"/>
    <w:rsid w:val="0065455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32B62"/>
    <w:rsid w:val="007671AF"/>
    <w:rsid w:val="0077175B"/>
    <w:rsid w:val="00773153"/>
    <w:rsid w:val="007A7058"/>
    <w:rsid w:val="007D2546"/>
    <w:rsid w:val="007D27DC"/>
    <w:rsid w:val="007E62C0"/>
    <w:rsid w:val="00835C17"/>
    <w:rsid w:val="008659C2"/>
    <w:rsid w:val="00885F71"/>
    <w:rsid w:val="008E6AF0"/>
    <w:rsid w:val="00953E48"/>
    <w:rsid w:val="009C4635"/>
    <w:rsid w:val="009C4C30"/>
    <w:rsid w:val="009D5F55"/>
    <w:rsid w:val="009E50FF"/>
    <w:rsid w:val="00A06D57"/>
    <w:rsid w:val="00A31310"/>
    <w:rsid w:val="00AA03C2"/>
    <w:rsid w:val="00AA2F8E"/>
    <w:rsid w:val="00AA55A8"/>
    <w:rsid w:val="00AB0AA9"/>
    <w:rsid w:val="00B277E8"/>
    <w:rsid w:val="00B32D2A"/>
    <w:rsid w:val="00B975D6"/>
    <w:rsid w:val="00BA4988"/>
    <w:rsid w:val="00BC4113"/>
    <w:rsid w:val="00BD0B41"/>
    <w:rsid w:val="00BD4DED"/>
    <w:rsid w:val="00BE1914"/>
    <w:rsid w:val="00BF0718"/>
    <w:rsid w:val="00BF0F69"/>
    <w:rsid w:val="00BF6464"/>
    <w:rsid w:val="00C35BCC"/>
    <w:rsid w:val="00C53E62"/>
    <w:rsid w:val="00CC3965"/>
    <w:rsid w:val="00CC4CDF"/>
    <w:rsid w:val="00CC5297"/>
    <w:rsid w:val="00D04B56"/>
    <w:rsid w:val="00D057B0"/>
    <w:rsid w:val="00D06F49"/>
    <w:rsid w:val="00D20514"/>
    <w:rsid w:val="00D5525C"/>
    <w:rsid w:val="00D75553"/>
    <w:rsid w:val="00DA3407"/>
    <w:rsid w:val="00DD63B5"/>
    <w:rsid w:val="00E14FA0"/>
    <w:rsid w:val="00E443B3"/>
    <w:rsid w:val="00E97A63"/>
    <w:rsid w:val="00EA2100"/>
    <w:rsid w:val="00EC716C"/>
    <w:rsid w:val="00F073D9"/>
    <w:rsid w:val="00F43C6D"/>
    <w:rsid w:val="00F454F2"/>
    <w:rsid w:val="00F76162"/>
    <w:rsid w:val="00F77B64"/>
    <w:rsid w:val="00F8730B"/>
    <w:rsid w:val="00FB6004"/>
    <w:rsid w:val="00FB62DC"/>
    <w:rsid w:val="00FC7C98"/>
    <w:rsid w:val="00FE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758</Words>
  <Characters>4323</Characters>
  <Application>Microsoft Office Outlook</Application>
  <DocSecurity>0</DocSecurity>
  <Lines>0</Lines>
  <Paragraphs>0</Paragraphs>
  <ScaleCrop>false</ScaleCrop>
  <Company>EOHHS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2016-09-15T15:07:00Z</dcterms:created>
  <dc:creator>Engman, Heather (DPH)</dc:creator>
  <lastModifiedBy/>
  <lastPrinted>2016-08-17T15:25:00Z</lastPrinted>
  <dcterms:modified xsi:type="dcterms:W3CDTF">2016-09-16T13:45:00Z</dcterms:modified>
  <revision>3</revision>
  <dc:title>COMMONWEALTH OF MASSACHUSETTS</dc:title>
</coreProperties>
</file>