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4A" w:rsidRPr="008C7265" w:rsidRDefault="008C7265" w:rsidP="00623570">
      <w:pPr>
        <w:pStyle w:val="Heading1"/>
        <w:spacing w:before="0" w:line="240" w:lineRule="auto"/>
        <w:rPr>
          <w:color w:val="auto"/>
        </w:rPr>
      </w:pPr>
      <w:r>
        <w:rPr>
          <w:color w:val="auto"/>
        </w:rPr>
        <w:t xml:space="preserve">Title Slide - </w:t>
      </w:r>
      <w:r w:rsidRPr="008C7265">
        <w:rPr>
          <w:color w:val="auto"/>
        </w:rPr>
        <w:t>Age-Friendly Walking and Pedestrian Safety</w:t>
      </w:r>
    </w:p>
    <w:p w:rsidR="000800B8" w:rsidRDefault="008C7265" w:rsidP="00623570">
      <w:pPr>
        <w:spacing w:after="0" w:line="240" w:lineRule="auto"/>
      </w:pPr>
      <w:r w:rsidRPr="008C7265">
        <w:t xml:space="preserve">Adi Nochur, </w:t>
      </w:r>
      <w:proofErr w:type="spellStart"/>
      <w:r w:rsidRPr="008C7265">
        <w:t>WalkBoston</w:t>
      </w:r>
      <w:proofErr w:type="spellEnd"/>
      <w:r w:rsidRPr="008C7265">
        <w:br/>
        <w:t>MA Community Transportation Coordination Conference</w:t>
      </w:r>
      <w:r w:rsidRPr="008C7265">
        <w:br/>
        <w:t>May 2, 2017</w:t>
      </w:r>
    </w:p>
    <w:p w:rsidR="008C7265" w:rsidRDefault="000800B8" w:rsidP="00623570">
      <w:pPr>
        <w:spacing w:after="0" w:line="240" w:lineRule="auto"/>
      </w:pPr>
      <w:proofErr w:type="spellStart"/>
      <w:proofErr w:type="gramStart"/>
      <w:r>
        <w:t>walkBoston</w:t>
      </w:r>
      <w:proofErr w:type="spellEnd"/>
      <w:proofErr w:type="gramEnd"/>
      <w:r>
        <w:t xml:space="preserve"> Logo</w:t>
      </w:r>
    </w:p>
    <w:p w:rsidR="000800B8" w:rsidRDefault="000800B8" w:rsidP="00623570">
      <w:pPr>
        <w:spacing w:after="0" w:line="240" w:lineRule="auto"/>
      </w:pPr>
    </w:p>
    <w:p w:rsidR="008C7265" w:rsidRDefault="008C7265" w:rsidP="00623570">
      <w:pPr>
        <w:pStyle w:val="Heading2"/>
        <w:spacing w:before="0" w:line="240" w:lineRule="auto"/>
      </w:pPr>
      <w:r w:rsidRPr="008C7265">
        <w:rPr>
          <w:color w:val="auto"/>
        </w:rPr>
        <w:t xml:space="preserve">Slide 1- </w:t>
      </w:r>
      <w:proofErr w:type="spellStart"/>
      <w:r w:rsidRPr="008C7265">
        <w:rPr>
          <w:color w:val="auto"/>
        </w:rPr>
        <w:t>WalkBoston</w:t>
      </w:r>
      <w:proofErr w:type="spellEnd"/>
      <w:r w:rsidRPr="008C7265">
        <w:rPr>
          <w:color w:val="auto"/>
        </w:rPr>
        <w:t xml:space="preserve"> works with communities across the Commonwealth </w:t>
      </w:r>
    </w:p>
    <w:p w:rsidR="00CA72E8" w:rsidRDefault="000800B8" w:rsidP="00CA72E8">
      <w:pPr>
        <w:spacing w:after="0" w:line="240" w:lineRule="auto"/>
        <w:contextualSpacing/>
      </w:pPr>
      <w:r w:rsidRPr="00CA72E8">
        <w:t xml:space="preserve">Image: </w:t>
      </w:r>
      <w:r w:rsidR="008C7265" w:rsidRPr="00CA72E8">
        <w:t xml:space="preserve">Map of Massachusetts with </w:t>
      </w:r>
      <w:proofErr w:type="spellStart"/>
      <w:r w:rsidR="008C7265" w:rsidRPr="00CA72E8">
        <w:t>WalkBoston</w:t>
      </w:r>
      <w:proofErr w:type="spellEnd"/>
      <w:r w:rsidR="008C7265" w:rsidRPr="00CA72E8">
        <w:t xml:space="preserve"> communities shaded in orange.</w:t>
      </w:r>
      <w:r w:rsidR="00E85A5C" w:rsidRPr="00CA72E8">
        <w:t xml:space="preserve"> </w:t>
      </w:r>
      <w:r w:rsidR="00CA72E8">
        <w:t xml:space="preserve">The cities are listed in alphabetical order as follows: Abington, Amesbury, </w:t>
      </w:r>
      <w:r w:rsidR="00CA72E8">
        <w:t>Amherst</w:t>
      </w:r>
      <w:r w:rsidR="00CA72E8">
        <w:t xml:space="preserve">, </w:t>
      </w:r>
      <w:r w:rsidR="00CA72E8">
        <w:t>Andover</w:t>
      </w:r>
      <w:r w:rsidR="00CA72E8">
        <w:t xml:space="preserve">, </w:t>
      </w:r>
      <w:r w:rsidR="00CA72E8">
        <w:t>Arlington</w:t>
      </w:r>
      <w:r w:rsidR="00CA72E8">
        <w:t xml:space="preserve">, </w:t>
      </w:r>
      <w:r w:rsidR="00CA72E8">
        <w:t>Ashfield</w:t>
      </w:r>
      <w:r w:rsidR="00CA72E8">
        <w:t xml:space="preserve">, </w:t>
      </w:r>
      <w:r w:rsidR="00CA72E8">
        <w:t>Ayer</w:t>
      </w:r>
      <w:r w:rsidR="00CA72E8">
        <w:t xml:space="preserve">, </w:t>
      </w:r>
      <w:r w:rsidR="00CA72E8">
        <w:t>Barnstable</w:t>
      </w:r>
      <w:r w:rsidR="00CA72E8">
        <w:t xml:space="preserve">, </w:t>
      </w:r>
      <w:r w:rsidR="00CA72E8">
        <w:t>Barre</w:t>
      </w:r>
      <w:r w:rsidR="00CA72E8">
        <w:t xml:space="preserve">, </w:t>
      </w:r>
      <w:r w:rsidR="00CA72E8">
        <w:t>Bedford</w:t>
      </w:r>
      <w:r w:rsidR="00CA72E8">
        <w:t xml:space="preserve">, </w:t>
      </w:r>
      <w:r w:rsidR="00CA72E8">
        <w:t>Belchertown</w:t>
      </w:r>
      <w:r w:rsidR="00CA72E8">
        <w:t xml:space="preserve">, </w:t>
      </w:r>
      <w:r w:rsidR="00CA72E8">
        <w:t>Belmont</w:t>
      </w:r>
      <w:r w:rsidR="00CA72E8">
        <w:t xml:space="preserve">, Beverly, </w:t>
      </w:r>
      <w:r w:rsidR="00CA72E8">
        <w:t>Bolton</w:t>
      </w:r>
      <w:r w:rsidR="00CA72E8">
        <w:t xml:space="preserve">, </w:t>
      </w:r>
      <w:r w:rsidR="00CA72E8">
        <w:t>Boston</w:t>
      </w:r>
      <w:r w:rsidR="00CA72E8">
        <w:t xml:space="preserve">, </w:t>
      </w:r>
      <w:r w:rsidR="00CA72E8">
        <w:t>Boxborough</w:t>
      </w:r>
      <w:r w:rsidR="00CA72E8">
        <w:t xml:space="preserve">, </w:t>
      </w:r>
      <w:r w:rsidR="00CA72E8">
        <w:t>Braintree</w:t>
      </w:r>
      <w:r w:rsidR="00CA72E8">
        <w:t xml:space="preserve">, </w:t>
      </w:r>
      <w:r w:rsidR="00CA72E8">
        <w:t>Brockton</w:t>
      </w:r>
      <w:r w:rsidR="00CA72E8">
        <w:t xml:space="preserve">, </w:t>
      </w:r>
      <w:r w:rsidR="00CA72E8">
        <w:t>Brookline</w:t>
      </w:r>
      <w:r w:rsidR="00CA72E8">
        <w:t xml:space="preserve">, </w:t>
      </w:r>
      <w:r w:rsidR="00CA72E8">
        <w:t>Cambridge</w:t>
      </w:r>
      <w:r w:rsidR="00CA72E8">
        <w:t xml:space="preserve">, </w:t>
      </w:r>
      <w:r w:rsidR="00CA72E8">
        <w:t>Canton</w:t>
      </w:r>
      <w:r w:rsidR="00CA72E8">
        <w:t xml:space="preserve">, Chelsea, </w:t>
      </w:r>
      <w:r w:rsidR="00CA72E8">
        <w:t>Cohasset</w:t>
      </w:r>
      <w:r w:rsidR="00CA72E8">
        <w:t xml:space="preserve">, </w:t>
      </w:r>
      <w:r w:rsidR="00CA72E8">
        <w:t>Danvers</w:t>
      </w:r>
      <w:r w:rsidR="00CA72E8">
        <w:t xml:space="preserve">, </w:t>
      </w:r>
      <w:r w:rsidR="00CA72E8">
        <w:t>Dartmouth</w:t>
      </w:r>
      <w:r w:rsidR="00CA72E8">
        <w:t xml:space="preserve">, </w:t>
      </w:r>
      <w:r w:rsidR="00CA72E8">
        <w:t>Dedham</w:t>
      </w:r>
      <w:r w:rsidR="00CA72E8">
        <w:t xml:space="preserve">, </w:t>
      </w:r>
      <w:r w:rsidR="00CA72E8">
        <w:t>Dudley</w:t>
      </w:r>
      <w:r w:rsidR="00CA72E8">
        <w:t xml:space="preserve">, </w:t>
      </w:r>
      <w:r w:rsidR="00CA72E8">
        <w:t>Eastham</w:t>
      </w:r>
      <w:r w:rsidR="00CA72E8">
        <w:t xml:space="preserve">, </w:t>
      </w:r>
      <w:r w:rsidR="00CA72E8">
        <w:t>Easton</w:t>
      </w:r>
      <w:r w:rsidR="00CA72E8">
        <w:t xml:space="preserve">, </w:t>
      </w:r>
      <w:r w:rsidR="00CA72E8">
        <w:t>Everett</w:t>
      </w:r>
      <w:r w:rsidR="00CA72E8">
        <w:t xml:space="preserve">, Fall River, </w:t>
      </w:r>
      <w:r w:rsidR="00CA72E8">
        <w:t>Fitchburg</w:t>
      </w:r>
      <w:r w:rsidR="00CA72E8">
        <w:t xml:space="preserve">, </w:t>
      </w:r>
      <w:r w:rsidR="00CA72E8">
        <w:t>Framingham</w:t>
      </w:r>
      <w:r w:rsidR="00CA72E8">
        <w:t xml:space="preserve">, </w:t>
      </w:r>
      <w:r w:rsidR="00CA72E8">
        <w:t>Franklin</w:t>
      </w:r>
      <w:r w:rsidR="00CA72E8">
        <w:t xml:space="preserve">, </w:t>
      </w:r>
      <w:r w:rsidR="00CA72E8">
        <w:t>Gardner</w:t>
      </w:r>
      <w:r w:rsidR="00CA72E8">
        <w:t xml:space="preserve">, </w:t>
      </w:r>
      <w:r w:rsidR="00CA72E8">
        <w:t>Gloucester</w:t>
      </w:r>
      <w:r w:rsidR="00CA72E8">
        <w:t xml:space="preserve">, </w:t>
      </w:r>
      <w:r w:rsidR="00CA72E8">
        <w:t>Hadley</w:t>
      </w:r>
      <w:r w:rsidR="00CA72E8">
        <w:t xml:space="preserve">, </w:t>
      </w:r>
      <w:r w:rsidR="00CA72E8">
        <w:t>Hanson</w:t>
      </w:r>
      <w:r w:rsidR="00CA72E8">
        <w:t xml:space="preserve">, </w:t>
      </w:r>
      <w:r w:rsidR="00CA72E8">
        <w:t>Harvard</w:t>
      </w:r>
      <w:r w:rsidR="00CA72E8">
        <w:t xml:space="preserve">, </w:t>
      </w:r>
      <w:r w:rsidR="00CA72E8">
        <w:t>Holyoke</w:t>
      </w:r>
      <w:r w:rsidR="00CA72E8">
        <w:t xml:space="preserve">, </w:t>
      </w:r>
      <w:r w:rsidR="00CA72E8">
        <w:t>Lancaster</w:t>
      </w:r>
      <w:r w:rsidR="00CA72E8">
        <w:t xml:space="preserve">, </w:t>
      </w:r>
      <w:r w:rsidR="00CA72E8">
        <w:t>Lawrence</w:t>
      </w:r>
      <w:r w:rsidR="00CA72E8">
        <w:t xml:space="preserve">, Lee, </w:t>
      </w:r>
      <w:r w:rsidR="00CA72E8">
        <w:t>Lenox</w:t>
      </w:r>
      <w:r w:rsidR="00CA72E8">
        <w:t xml:space="preserve">, </w:t>
      </w:r>
      <w:r w:rsidR="00CA72E8">
        <w:t>Leominster</w:t>
      </w:r>
      <w:r w:rsidR="00CA72E8">
        <w:t xml:space="preserve">, </w:t>
      </w:r>
      <w:r w:rsidR="00CA72E8">
        <w:t>Lexington</w:t>
      </w:r>
      <w:r w:rsidR="00CA72E8">
        <w:t xml:space="preserve">, </w:t>
      </w:r>
      <w:r w:rsidR="00CA72E8">
        <w:t>Lincoln</w:t>
      </w:r>
      <w:r w:rsidR="00CA72E8">
        <w:t xml:space="preserve">, </w:t>
      </w:r>
      <w:r w:rsidR="00CA72E8">
        <w:t>Lowell</w:t>
      </w:r>
      <w:r w:rsidR="00CA72E8">
        <w:t xml:space="preserve">, </w:t>
      </w:r>
      <w:r w:rsidR="00CA72E8">
        <w:t>Lynn</w:t>
      </w:r>
      <w:r w:rsidR="00CA72E8">
        <w:t xml:space="preserve">, </w:t>
      </w:r>
      <w:r w:rsidR="00CA72E8">
        <w:t>Malden</w:t>
      </w:r>
      <w:r w:rsidR="00CA72E8">
        <w:t xml:space="preserve">, </w:t>
      </w:r>
      <w:r w:rsidR="00CA72E8">
        <w:t>Manchester by the Sea</w:t>
      </w:r>
      <w:r w:rsidR="00CA72E8">
        <w:t xml:space="preserve">, Marblehead, </w:t>
      </w:r>
      <w:r w:rsidR="00CA72E8">
        <w:t>Marlborough</w:t>
      </w:r>
      <w:r w:rsidR="00CA72E8">
        <w:t xml:space="preserve">, Mashpee, </w:t>
      </w:r>
      <w:r w:rsidR="00CA72E8">
        <w:t>Medford</w:t>
      </w:r>
      <w:r w:rsidR="00CA72E8">
        <w:t xml:space="preserve">, </w:t>
      </w:r>
      <w:proofErr w:type="spellStart"/>
      <w:r w:rsidR="00CA72E8">
        <w:t>Melborn</w:t>
      </w:r>
      <w:proofErr w:type="spellEnd"/>
      <w:r w:rsidR="00CA72E8">
        <w:t xml:space="preserve">, Methuen, </w:t>
      </w:r>
      <w:r w:rsidR="00CA72E8">
        <w:t>Milford</w:t>
      </w:r>
      <w:r w:rsidR="00CA72E8">
        <w:t xml:space="preserve">, </w:t>
      </w:r>
      <w:r w:rsidR="00CA72E8">
        <w:t>Milton</w:t>
      </w:r>
      <w:r w:rsidR="00CA72E8">
        <w:t xml:space="preserve">, </w:t>
      </w:r>
      <w:r w:rsidR="00CA72E8">
        <w:t>Natick</w:t>
      </w:r>
      <w:r w:rsidR="00CA72E8">
        <w:t xml:space="preserve">, </w:t>
      </w:r>
      <w:r w:rsidR="00CA72E8">
        <w:t>Needham</w:t>
      </w:r>
      <w:r w:rsidR="00CA72E8">
        <w:t xml:space="preserve">, </w:t>
      </w:r>
      <w:r w:rsidR="00CA72E8">
        <w:t>New Bedford</w:t>
      </w:r>
      <w:r w:rsidR="00CA72E8">
        <w:t xml:space="preserve">, </w:t>
      </w:r>
      <w:r w:rsidR="00CA72E8">
        <w:t>Newton</w:t>
      </w:r>
      <w:r w:rsidR="00CA72E8">
        <w:t xml:space="preserve">, </w:t>
      </w:r>
      <w:r w:rsidR="00CA72E8">
        <w:t>Norfolk</w:t>
      </w:r>
      <w:r w:rsidR="00CA72E8">
        <w:t xml:space="preserve">, </w:t>
      </w:r>
      <w:r w:rsidR="00CA72E8">
        <w:t>North Adams</w:t>
      </w:r>
      <w:r w:rsidR="00CA72E8">
        <w:t xml:space="preserve">, </w:t>
      </w:r>
      <w:r w:rsidR="00CA72E8">
        <w:t xml:space="preserve">North </w:t>
      </w:r>
      <w:r w:rsidR="00CA72E8">
        <w:t xml:space="preserve">Attenborough, </w:t>
      </w:r>
      <w:r w:rsidR="00CA72E8">
        <w:t>Northampton</w:t>
      </w:r>
      <w:r w:rsidR="00CA72E8">
        <w:t xml:space="preserve">, </w:t>
      </w:r>
      <w:r w:rsidR="00CA72E8">
        <w:t>Northborough</w:t>
      </w:r>
      <w:r w:rsidR="00CA72E8">
        <w:t xml:space="preserve">, </w:t>
      </w:r>
      <w:r w:rsidR="00CA72E8">
        <w:t xml:space="preserve">Norwell </w:t>
      </w:r>
      <w:r w:rsidR="00CA72E8">
        <w:t xml:space="preserve">, </w:t>
      </w:r>
      <w:r w:rsidR="00CA72E8">
        <w:t>Oak Bluffs</w:t>
      </w:r>
      <w:r w:rsidR="00CA72E8">
        <w:t xml:space="preserve">, Peabody, </w:t>
      </w:r>
      <w:r w:rsidR="00CA72E8">
        <w:t>Pembroke</w:t>
      </w:r>
      <w:r w:rsidR="00CA72E8">
        <w:t xml:space="preserve">, </w:t>
      </w:r>
      <w:r w:rsidR="00CA72E8">
        <w:t>Pittsfield</w:t>
      </w:r>
      <w:r w:rsidR="00CA72E8">
        <w:t xml:space="preserve">, </w:t>
      </w:r>
      <w:r w:rsidR="00CA72E8">
        <w:t>Plymouth</w:t>
      </w:r>
      <w:r w:rsidR="00CA72E8">
        <w:t xml:space="preserve">, </w:t>
      </w:r>
      <w:r w:rsidR="00CA72E8">
        <w:t>Quincy</w:t>
      </w:r>
      <w:r w:rsidR="00CA72E8">
        <w:t xml:space="preserve">, </w:t>
      </w:r>
      <w:r w:rsidR="00CA72E8">
        <w:t>Revere</w:t>
      </w:r>
      <w:r w:rsidR="00CA72E8">
        <w:t xml:space="preserve">, </w:t>
      </w:r>
      <w:r w:rsidR="00CA72E8">
        <w:t>Salem</w:t>
      </w:r>
      <w:r w:rsidR="00CA72E8">
        <w:t xml:space="preserve">, </w:t>
      </w:r>
      <w:r w:rsidR="00CA72E8">
        <w:t>Salisbury</w:t>
      </w:r>
      <w:r w:rsidR="00CA72E8">
        <w:t xml:space="preserve">, </w:t>
      </w:r>
      <w:r w:rsidR="00CA72E8">
        <w:t>Shirley</w:t>
      </w:r>
      <w:r w:rsidR="00CA72E8">
        <w:t xml:space="preserve">, Somerville, </w:t>
      </w:r>
      <w:r w:rsidR="00CA72E8">
        <w:t>Stockbridge</w:t>
      </w:r>
      <w:r w:rsidR="00CA72E8">
        <w:t xml:space="preserve">, </w:t>
      </w:r>
      <w:r w:rsidR="00CA72E8">
        <w:t>Swampscott</w:t>
      </w:r>
      <w:r w:rsidR="00CA72E8">
        <w:t xml:space="preserve">, </w:t>
      </w:r>
      <w:r w:rsidR="00CA72E8">
        <w:t>Taunton</w:t>
      </w:r>
      <w:r w:rsidR="00CA72E8">
        <w:t xml:space="preserve">, </w:t>
      </w:r>
      <w:r w:rsidR="00CA72E8">
        <w:t>Wakefield</w:t>
      </w:r>
      <w:r w:rsidR="00CA72E8">
        <w:t>, Walpole, Walt</w:t>
      </w:r>
      <w:r w:rsidR="00CA72E8">
        <w:t>ham</w:t>
      </w:r>
      <w:r w:rsidR="00CA72E8">
        <w:t xml:space="preserve">, </w:t>
      </w:r>
      <w:r w:rsidR="00CA72E8">
        <w:t>Watertown</w:t>
      </w:r>
      <w:r w:rsidR="00CA72E8">
        <w:t xml:space="preserve">, Wellesley, </w:t>
      </w:r>
      <w:r w:rsidR="00CA72E8">
        <w:t>Westfield</w:t>
      </w:r>
      <w:r w:rsidR="00CA72E8">
        <w:t xml:space="preserve">, </w:t>
      </w:r>
      <w:r w:rsidR="00CA72E8">
        <w:t>Westford</w:t>
      </w:r>
      <w:r w:rsidR="00CA72E8">
        <w:t xml:space="preserve">, </w:t>
      </w:r>
      <w:r w:rsidR="00CA72E8">
        <w:t>Westwood</w:t>
      </w:r>
      <w:r w:rsidR="00CA72E8">
        <w:t xml:space="preserve">, </w:t>
      </w:r>
      <w:r w:rsidR="00CA72E8">
        <w:t>Weymouth</w:t>
      </w:r>
      <w:r w:rsidR="00CA72E8">
        <w:t xml:space="preserve">, </w:t>
      </w:r>
      <w:r w:rsidR="00CA72E8">
        <w:t>Winchester</w:t>
      </w:r>
      <w:r w:rsidR="00CA72E8">
        <w:t xml:space="preserve">, </w:t>
      </w:r>
      <w:r w:rsidR="00CA72E8">
        <w:t>Winthrop</w:t>
      </w:r>
      <w:r w:rsidR="00CA72E8">
        <w:t xml:space="preserve">, </w:t>
      </w:r>
      <w:r w:rsidR="00CA72E8">
        <w:t>Woburn</w:t>
      </w:r>
      <w:r w:rsidR="00CA72E8">
        <w:t xml:space="preserve">, </w:t>
      </w:r>
      <w:r w:rsidR="00CA72E8">
        <w:t>Worcester</w:t>
      </w:r>
    </w:p>
    <w:p w:rsidR="00CA72E8" w:rsidRDefault="00CA72E8" w:rsidP="00CA72E8">
      <w:pPr>
        <w:spacing w:after="0" w:line="240" w:lineRule="auto"/>
        <w:contextualSpacing/>
      </w:pPr>
    </w:p>
    <w:p w:rsidR="008C7265" w:rsidRDefault="008C7265" w:rsidP="00CA72E8">
      <w:pPr>
        <w:pStyle w:val="Heading2"/>
        <w:spacing w:before="0" w:line="240" w:lineRule="auto"/>
        <w:contextualSpacing/>
        <w:rPr>
          <w:color w:val="auto"/>
        </w:rPr>
      </w:pPr>
      <w:r w:rsidRPr="008C7265">
        <w:rPr>
          <w:color w:val="auto"/>
        </w:rPr>
        <w:t xml:space="preserve">Slide 2 – What is Age-Friendly Walking? </w:t>
      </w:r>
    </w:p>
    <w:p w:rsidR="008C7265" w:rsidRDefault="008C7265" w:rsidP="0062357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Some considerations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Sidewalk conditions/maintenance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ADA compliance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Benches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Lighting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Shade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Public restrooms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Traffic speed</w:t>
      </w:r>
      <w:r w:rsidR="000800B8">
        <w:t xml:space="preserve"> 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Signal timing</w:t>
      </w:r>
    </w:p>
    <w:p w:rsidR="00061512" w:rsidRP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Street crossing distance</w:t>
      </w:r>
    </w:p>
    <w:p w:rsidR="008C7265" w:rsidRDefault="00251808" w:rsidP="00623570">
      <w:pPr>
        <w:numPr>
          <w:ilvl w:val="1"/>
          <w:numId w:val="1"/>
        </w:numPr>
        <w:spacing w:after="0" w:line="240" w:lineRule="auto"/>
      </w:pPr>
      <w:r w:rsidRPr="008C7265">
        <w:t>…and more!</w:t>
      </w:r>
    </w:p>
    <w:p w:rsidR="000800B8" w:rsidRDefault="000800B8" w:rsidP="000800B8">
      <w:pPr>
        <w:numPr>
          <w:ilvl w:val="0"/>
          <w:numId w:val="1"/>
        </w:numPr>
        <w:spacing w:after="0" w:line="240" w:lineRule="auto"/>
      </w:pPr>
      <w:r>
        <w:t xml:space="preserve">Image: An older adult woman using a mobility assistance device walks by two older adult men sitting on a bench. </w:t>
      </w:r>
    </w:p>
    <w:p w:rsidR="008C7265" w:rsidRDefault="008C7265" w:rsidP="00623570">
      <w:pPr>
        <w:spacing w:after="0" w:line="240" w:lineRule="auto"/>
        <w:ind w:left="1440"/>
      </w:pPr>
    </w:p>
    <w:p w:rsidR="008C7265" w:rsidRPr="008C7265" w:rsidRDefault="008C7265" w:rsidP="00623570">
      <w:pPr>
        <w:pStyle w:val="Heading2"/>
        <w:spacing w:before="0" w:line="240" w:lineRule="auto"/>
        <w:rPr>
          <w:color w:val="auto"/>
        </w:rPr>
      </w:pPr>
      <w:r w:rsidRPr="008C7265">
        <w:rPr>
          <w:color w:val="auto"/>
        </w:rPr>
        <w:t xml:space="preserve">Slide 3 – Age-Friendly Case Studies </w:t>
      </w:r>
    </w:p>
    <w:p w:rsidR="00061512" w:rsidRPr="008C7265" w:rsidRDefault="00251808" w:rsidP="00623570">
      <w:pPr>
        <w:pStyle w:val="ListParagraph"/>
        <w:numPr>
          <w:ilvl w:val="0"/>
          <w:numId w:val="4"/>
        </w:numPr>
        <w:spacing w:after="0" w:line="240" w:lineRule="auto"/>
      </w:pPr>
      <w:r w:rsidRPr="008C7265">
        <w:t>Williamsburg: Healthy Aging and Community Design</w:t>
      </w:r>
    </w:p>
    <w:p w:rsidR="008C7265" w:rsidRDefault="00251808" w:rsidP="00623570">
      <w:pPr>
        <w:pStyle w:val="ListParagraph"/>
        <w:numPr>
          <w:ilvl w:val="0"/>
          <w:numId w:val="4"/>
        </w:numPr>
        <w:spacing w:after="0" w:line="240" w:lineRule="auto"/>
      </w:pPr>
      <w:r w:rsidRPr="008C7265">
        <w:t>Boston: Age-Friendly Walking</w:t>
      </w:r>
    </w:p>
    <w:p w:rsidR="008C7265" w:rsidRPr="008C7265" w:rsidRDefault="008C7265" w:rsidP="00623570">
      <w:pPr>
        <w:pStyle w:val="ListParagraph"/>
        <w:spacing w:after="0" w:line="240" w:lineRule="auto"/>
      </w:pPr>
    </w:p>
    <w:p w:rsidR="008C7265" w:rsidRDefault="008C7265" w:rsidP="00623570">
      <w:pPr>
        <w:pStyle w:val="Heading2"/>
        <w:spacing w:before="0" w:line="240" w:lineRule="auto"/>
        <w:rPr>
          <w:color w:val="auto"/>
        </w:rPr>
      </w:pPr>
      <w:r w:rsidRPr="008C7265">
        <w:rPr>
          <w:color w:val="auto"/>
        </w:rPr>
        <w:t xml:space="preserve">Slide 4 – Williamsburg: Healthy Aging </w:t>
      </w:r>
    </w:p>
    <w:p w:rsidR="000800B8" w:rsidRDefault="000800B8" w:rsidP="000800B8">
      <w:pPr>
        <w:pStyle w:val="ListParagraph"/>
        <w:numPr>
          <w:ilvl w:val="0"/>
          <w:numId w:val="13"/>
        </w:numPr>
        <w:spacing w:after="0" w:line="240" w:lineRule="auto"/>
      </w:pPr>
      <w:r>
        <w:t>Images:</w:t>
      </w:r>
    </w:p>
    <w:p w:rsidR="000800B8" w:rsidRDefault="000800B8" w:rsidP="000800B8">
      <w:pPr>
        <w:pStyle w:val="ListParagraph"/>
        <w:numPr>
          <w:ilvl w:val="1"/>
          <w:numId w:val="13"/>
        </w:numPr>
        <w:spacing w:after="0" w:line="240" w:lineRule="auto"/>
      </w:pPr>
      <w:r>
        <w:t>Individuals taking part in a walk analysis of Williamsburg, Massachusetts</w:t>
      </w:r>
    </w:p>
    <w:p w:rsidR="008C7265" w:rsidRDefault="000800B8" w:rsidP="000800B8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Logos: Healthy Hampshire, Mass in Motion, Pioneer Valley Planning Commission, Williamsburg Massachusetts Town Logo </w:t>
      </w:r>
    </w:p>
    <w:p w:rsidR="00623570" w:rsidRPr="008C7265" w:rsidRDefault="00623570" w:rsidP="00623570">
      <w:pPr>
        <w:spacing w:after="0" w:line="240" w:lineRule="auto"/>
      </w:pPr>
    </w:p>
    <w:p w:rsidR="008C7265" w:rsidRPr="008C7265" w:rsidRDefault="008C7265" w:rsidP="00623570">
      <w:pPr>
        <w:pStyle w:val="Heading2"/>
        <w:spacing w:before="0" w:line="240" w:lineRule="auto"/>
        <w:rPr>
          <w:color w:val="auto"/>
        </w:rPr>
      </w:pPr>
      <w:r w:rsidRPr="008C7265">
        <w:rPr>
          <w:color w:val="auto"/>
        </w:rPr>
        <w:t xml:space="preserve">Slide 5 – Walkability and Age-Friendly Boston </w:t>
      </w:r>
    </w:p>
    <w:p w:rsidR="008C7265" w:rsidRDefault="008C7265" w:rsidP="00623570">
      <w:pPr>
        <w:pStyle w:val="ListParagraph"/>
        <w:numPr>
          <w:ilvl w:val="0"/>
          <w:numId w:val="5"/>
        </w:numPr>
        <w:spacing w:after="0" w:line="240" w:lineRule="auto"/>
      </w:pPr>
      <w:r>
        <w:t>Improving Boston’s Walk</w:t>
      </w:r>
      <w:r w:rsidR="000800B8">
        <w:t>ability a Priority for Seniors</w:t>
      </w:r>
    </w:p>
    <w:p w:rsidR="008C7265" w:rsidRDefault="000800B8" w:rsidP="00623570">
      <w:pPr>
        <w:pStyle w:val="ListParagraph"/>
        <w:numPr>
          <w:ilvl w:val="1"/>
          <w:numId w:val="5"/>
        </w:numPr>
        <w:spacing w:after="0" w:line="240" w:lineRule="auto"/>
      </w:pPr>
      <w:r>
        <w:lastRenderedPageBreak/>
        <w:t xml:space="preserve">Image: </w:t>
      </w:r>
      <w:r w:rsidR="00BD6DC7">
        <w:t xml:space="preserve">An image adapted from the World Health Organization by S. Harris (Design for Aging Committee, BSA). The image is a yellow flower with the words “Age-friendly city” in the center and the eight WHO age friendly themes listed on an individual petal. The themes are: </w:t>
      </w:r>
    </w:p>
    <w:p w:rsidR="008C7265" w:rsidRDefault="00BD6DC7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T</w:t>
      </w:r>
      <w:r w:rsidR="008C7265">
        <w:t>ransportation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Housing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Social Participation</w:t>
      </w:r>
      <w:bookmarkStart w:id="0" w:name="_GoBack"/>
      <w:bookmarkEnd w:id="0"/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Respect and Social Inclusion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Civic Participation and Employment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Communication and Information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Community Support and Health Services</w:t>
      </w:r>
    </w:p>
    <w:p w:rsidR="008C7265" w:rsidRDefault="008C7265" w:rsidP="00623570">
      <w:pPr>
        <w:pStyle w:val="ListParagraph"/>
        <w:numPr>
          <w:ilvl w:val="2"/>
          <w:numId w:val="5"/>
        </w:numPr>
        <w:spacing w:after="0" w:line="240" w:lineRule="auto"/>
      </w:pPr>
      <w:r>
        <w:t>Outdoor Space and Buildings</w:t>
      </w:r>
    </w:p>
    <w:p w:rsidR="008C7265" w:rsidRDefault="008C7265" w:rsidP="00623570">
      <w:pPr>
        <w:pStyle w:val="ListParagraph"/>
        <w:numPr>
          <w:ilvl w:val="1"/>
          <w:numId w:val="5"/>
        </w:numPr>
        <w:spacing w:after="0" w:line="240" w:lineRule="auto"/>
      </w:pPr>
      <w:r>
        <w:t>Nearly 50% of all listening session recommendations centered on improving Boston’s walkability</w:t>
      </w:r>
    </w:p>
    <w:p w:rsidR="008C7265" w:rsidRDefault="008C7265" w:rsidP="00623570">
      <w:pPr>
        <w:pStyle w:val="ListParagraph"/>
        <w:numPr>
          <w:ilvl w:val="1"/>
          <w:numId w:val="5"/>
        </w:numPr>
        <w:spacing w:after="0" w:line="240" w:lineRule="auto"/>
      </w:pPr>
      <w:r>
        <w:t>Conditions of sidewalks and timing and locations of crosswalks are a primary challenge</w:t>
      </w:r>
    </w:p>
    <w:p w:rsidR="008C7265" w:rsidRDefault="008C7265" w:rsidP="00623570">
      <w:pPr>
        <w:pStyle w:val="ListParagraph"/>
        <w:numPr>
          <w:ilvl w:val="1"/>
          <w:numId w:val="5"/>
        </w:numPr>
        <w:spacing w:after="0" w:line="240" w:lineRule="auto"/>
      </w:pPr>
      <w:r>
        <w:t>Trash and graffiti make making unpleasant in some areas</w:t>
      </w:r>
    </w:p>
    <w:p w:rsidR="008C7265" w:rsidRDefault="008C7265" w:rsidP="00623570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Safety and availability of parks are strengths </w:t>
      </w:r>
    </w:p>
    <w:p w:rsidR="008C7265" w:rsidRDefault="008C7265" w:rsidP="00623570">
      <w:pPr>
        <w:spacing w:after="0" w:line="240" w:lineRule="auto"/>
      </w:pPr>
    </w:p>
    <w:p w:rsidR="008C7265" w:rsidRPr="00623570" w:rsidRDefault="00623570" w:rsidP="00623570">
      <w:pPr>
        <w:pStyle w:val="Heading2"/>
        <w:spacing w:before="0" w:line="240" w:lineRule="auto"/>
        <w:rPr>
          <w:color w:val="auto"/>
        </w:rPr>
      </w:pPr>
      <w:r w:rsidRPr="00623570">
        <w:rPr>
          <w:color w:val="auto"/>
        </w:rPr>
        <w:t xml:space="preserve">Slide 6 – Age-Friendly Walking in Boston </w:t>
      </w:r>
    </w:p>
    <w:p w:rsidR="00061512" w:rsidRPr="00623570" w:rsidRDefault="00251808" w:rsidP="00623570">
      <w:pPr>
        <w:pStyle w:val="ListParagraph"/>
        <w:numPr>
          <w:ilvl w:val="0"/>
          <w:numId w:val="5"/>
        </w:numPr>
        <w:spacing w:after="0" w:line="240" w:lineRule="auto"/>
      </w:pPr>
      <w:r w:rsidRPr="00623570">
        <w:t xml:space="preserve">Partnership between </w:t>
      </w:r>
      <w:proofErr w:type="spellStart"/>
      <w:r w:rsidRPr="00623570">
        <w:t>WalkBoston</w:t>
      </w:r>
      <w:proofErr w:type="spellEnd"/>
      <w:r w:rsidRPr="00623570">
        <w:t>, Elderly Commission/Age-Friendly Boston, and other city agencies and community partners to support safe and comfortable walking for seniors in the City of Boston</w:t>
      </w:r>
    </w:p>
    <w:p w:rsidR="00061512" w:rsidRPr="00623570" w:rsidRDefault="00251808" w:rsidP="00623570">
      <w:pPr>
        <w:pStyle w:val="ListParagraph"/>
        <w:numPr>
          <w:ilvl w:val="0"/>
          <w:numId w:val="5"/>
        </w:numPr>
        <w:spacing w:after="0" w:line="240" w:lineRule="auto"/>
      </w:pPr>
      <w:r w:rsidRPr="00623570">
        <w:t>Near-term goal: work from 2016-2018 in three pilot neighborhoods (South End, Mattapan, East Boston) to implement street and sidewalk improvements</w:t>
      </w:r>
    </w:p>
    <w:p w:rsidR="00061512" w:rsidRPr="00623570" w:rsidRDefault="00251808" w:rsidP="00623570">
      <w:pPr>
        <w:pStyle w:val="ListParagraph"/>
        <w:numPr>
          <w:ilvl w:val="0"/>
          <w:numId w:val="5"/>
        </w:numPr>
        <w:spacing w:after="0" w:line="240" w:lineRule="auto"/>
      </w:pPr>
      <w:r w:rsidRPr="00623570">
        <w:t>Long-term goal: use lessons learned from pilots to create guidelines for a multi-agency citywide approach to senior walking</w:t>
      </w:r>
    </w:p>
    <w:p w:rsidR="00623570" w:rsidRDefault="00623570" w:rsidP="00623570">
      <w:pPr>
        <w:spacing w:after="0" w:line="240" w:lineRule="auto"/>
      </w:pPr>
    </w:p>
    <w:p w:rsidR="00623570" w:rsidRPr="00623570" w:rsidRDefault="00623570" w:rsidP="00623570">
      <w:pPr>
        <w:pStyle w:val="Heading2"/>
        <w:spacing w:before="0" w:line="240" w:lineRule="auto"/>
        <w:rPr>
          <w:color w:val="auto"/>
        </w:rPr>
      </w:pPr>
      <w:r w:rsidRPr="00623570">
        <w:rPr>
          <w:color w:val="auto"/>
        </w:rPr>
        <w:t xml:space="preserve">Slide 7 – Pilot Neighborhoods </w:t>
      </w:r>
    </w:p>
    <w:p w:rsidR="00061512" w:rsidRPr="00623570" w:rsidRDefault="00251808" w:rsidP="00057C6D">
      <w:pPr>
        <w:pStyle w:val="ListParagraph"/>
        <w:numPr>
          <w:ilvl w:val="0"/>
          <w:numId w:val="17"/>
        </w:numPr>
      </w:pPr>
      <w:r w:rsidRPr="00623570">
        <w:t>East Boston – Meridian/Border Street corridors</w:t>
      </w:r>
    </w:p>
    <w:p w:rsidR="00061512" w:rsidRPr="00623570" w:rsidRDefault="00251808" w:rsidP="00057C6D">
      <w:pPr>
        <w:pStyle w:val="ListParagraph"/>
        <w:numPr>
          <w:ilvl w:val="0"/>
          <w:numId w:val="17"/>
        </w:numPr>
      </w:pPr>
      <w:r w:rsidRPr="00623570">
        <w:t>South End – Mass Ave corridor</w:t>
      </w:r>
    </w:p>
    <w:p w:rsidR="00061512" w:rsidRDefault="00251808" w:rsidP="00057C6D">
      <w:pPr>
        <w:pStyle w:val="ListParagraph"/>
        <w:numPr>
          <w:ilvl w:val="0"/>
          <w:numId w:val="17"/>
        </w:numPr>
      </w:pPr>
      <w:r w:rsidRPr="00623570">
        <w:t>Mattapan – Mattapan Square</w:t>
      </w:r>
    </w:p>
    <w:p w:rsidR="00057C6D" w:rsidRDefault="00251808" w:rsidP="00E85A5C">
      <w:pPr>
        <w:pStyle w:val="ListParagraph"/>
        <w:numPr>
          <w:ilvl w:val="0"/>
          <w:numId w:val="17"/>
        </w:numPr>
      </w:pPr>
      <w:r w:rsidRPr="00251808">
        <w:t>Neighborhoods selected in part based upon racial and economic demographic data (focus on low-income seniors and seniors of color)</w:t>
      </w:r>
    </w:p>
    <w:p w:rsidR="00251808" w:rsidRDefault="00057C6D" w:rsidP="00057C6D">
      <w:pPr>
        <w:spacing w:after="0" w:line="240" w:lineRule="auto"/>
      </w:pPr>
      <w:r w:rsidRPr="00057C6D">
        <w:t>Image: P</w:t>
      </w:r>
      <w:r w:rsidR="00251808" w:rsidRPr="00057C6D">
        <w:t>ercent of population age 60 and over</w:t>
      </w:r>
      <w:r w:rsidRPr="00057C6D">
        <w:t>, 2014. P</w:t>
      </w:r>
      <w:r w:rsidR="00251808" w:rsidRPr="00057C6D">
        <w:t>ilot neighborhoods</w:t>
      </w:r>
      <w:r w:rsidRPr="00057C6D">
        <w:t xml:space="preserve"> (East Boston –Meridian/Border Streets, South End – Mass Avenue, Mattapan Square) are</w:t>
      </w:r>
      <w:r w:rsidR="00251808" w:rsidRPr="00057C6D">
        <w:t xml:space="preserve"> circled. 15</w:t>
      </w:r>
      <w:r w:rsidR="00251808">
        <w:t xml:space="preserve">-25% of the community is age 60 and over in East Boston/Meridian Border Street Corridors. 15-25% of the Massachusetts Avenue corridor of the South End is age 60 and over. 20-25% of the Mattapan Square community is age 60 and over. </w:t>
      </w:r>
    </w:p>
    <w:p w:rsidR="00251808" w:rsidRDefault="00251808" w:rsidP="00251808">
      <w:pPr>
        <w:pStyle w:val="ListParagraph"/>
        <w:spacing w:after="0" w:line="240" w:lineRule="auto"/>
        <w:ind w:left="1080"/>
      </w:pPr>
    </w:p>
    <w:p w:rsidR="00251808" w:rsidRDefault="00251808" w:rsidP="00251808">
      <w:pPr>
        <w:pStyle w:val="Heading2"/>
        <w:spacing w:before="0" w:line="240" w:lineRule="auto"/>
        <w:rPr>
          <w:color w:val="auto"/>
        </w:rPr>
      </w:pPr>
      <w:r w:rsidRPr="00251808">
        <w:rPr>
          <w:color w:val="auto"/>
        </w:rPr>
        <w:t>Slide 8 – Age-Friendly Walk audit – South End</w:t>
      </w:r>
    </w:p>
    <w:p w:rsidR="00251808" w:rsidRDefault="00454775" w:rsidP="00454775">
      <w:pPr>
        <w:spacing w:after="0" w:line="240" w:lineRule="auto"/>
      </w:pPr>
      <w:r>
        <w:t xml:space="preserve">Image: Individuals taking part in an age-friendly walk audit on Massachusetts Avenue in Boston’s South End neighborhood. </w:t>
      </w:r>
    </w:p>
    <w:p w:rsidR="00251808" w:rsidRPr="00251808" w:rsidRDefault="00251808" w:rsidP="00251808">
      <w:pPr>
        <w:spacing w:after="0" w:line="240" w:lineRule="auto"/>
      </w:pPr>
    </w:p>
    <w:p w:rsidR="00251808" w:rsidRDefault="00251808" w:rsidP="00251808">
      <w:pPr>
        <w:pStyle w:val="Heading2"/>
        <w:spacing w:before="0" w:line="240" w:lineRule="auto"/>
        <w:rPr>
          <w:color w:val="auto"/>
        </w:rPr>
      </w:pPr>
      <w:r w:rsidRPr="00251808">
        <w:rPr>
          <w:color w:val="auto"/>
        </w:rPr>
        <w:lastRenderedPageBreak/>
        <w:t xml:space="preserve">Slide 9 – Age-Friendly Walk audit – </w:t>
      </w:r>
      <w:r w:rsidR="00454775">
        <w:rPr>
          <w:color w:val="auto"/>
        </w:rPr>
        <w:t xml:space="preserve">Mattapan </w:t>
      </w:r>
      <w:r>
        <w:rPr>
          <w:color w:val="auto"/>
        </w:rPr>
        <w:t xml:space="preserve"> </w:t>
      </w:r>
    </w:p>
    <w:p w:rsidR="00251808" w:rsidRDefault="00454775" w:rsidP="00454775">
      <w:pPr>
        <w:spacing w:after="0" w:line="240" w:lineRule="auto"/>
      </w:pPr>
      <w:r>
        <w:t xml:space="preserve">Image: Individuals taking part in an age-friendly walk audit on Blue Hill Avenue in Boston’s Mattapan neighborhood. </w:t>
      </w:r>
    </w:p>
    <w:p w:rsidR="00251808" w:rsidRPr="00251808" w:rsidRDefault="00251808" w:rsidP="00251808">
      <w:pPr>
        <w:spacing w:after="0" w:line="240" w:lineRule="auto"/>
      </w:pPr>
    </w:p>
    <w:p w:rsidR="00251808" w:rsidRPr="00251808" w:rsidRDefault="00251808" w:rsidP="00251808">
      <w:pPr>
        <w:pStyle w:val="Heading2"/>
        <w:spacing w:before="0" w:line="240" w:lineRule="auto"/>
        <w:rPr>
          <w:color w:val="auto"/>
        </w:rPr>
      </w:pPr>
      <w:r w:rsidRPr="00251808">
        <w:rPr>
          <w:color w:val="auto"/>
        </w:rPr>
        <w:t xml:space="preserve">Slide 10 – Age-Friendly Walk audit – </w:t>
      </w:r>
      <w:r w:rsidR="00454775">
        <w:rPr>
          <w:color w:val="auto"/>
        </w:rPr>
        <w:t xml:space="preserve">East Boston  </w:t>
      </w:r>
      <w:r w:rsidRPr="00251808">
        <w:rPr>
          <w:color w:val="auto"/>
        </w:rPr>
        <w:t xml:space="preserve"> </w:t>
      </w:r>
    </w:p>
    <w:p w:rsidR="00251808" w:rsidRPr="00251808" w:rsidRDefault="00454775" w:rsidP="00454775">
      <w:pPr>
        <w:spacing w:after="0" w:line="240" w:lineRule="auto"/>
      </w:pPr>
      <w:r>
        <w:t xml:space="preserve">Image: </w:t>
      </w:r>
      <w:r w:rsidRPr="00454775">
        <w:t xml:space="preserve"> </w:t>
      </w:r>
      <w:r>
        <w:t xml:space="preserve">Individuals taking part in an age-friendly walk audit on </w:t>
      </w:r>
      <w:r w:rsidR="00FB281F">
        <w:t>Meridian Street</w:t>
      </w:r>
      <w:r>
        <w:t xml:space="preserve"> in Boston’s East Boston neighborhood.</w:t>
      </w:r>
    </w:p>
    <w:p w:rsidR="00251808" w:rsidRDefault="00251808" w:rsidP="00251808">
      <w:pPr>
        <w:spacing w:after="0" w:line="240" w:lineRule="auto"/>
      </w:pPr>
    </w:p>
    <w:p w:rsidR="00251808" w:rsidRPr="00251808" w:rsidRDefault="00251808" w:rsidP="00251808">
      <w:pPr>
        <w:pStyle w:val="Heading2"/>
        <w:spacing w:before="0" w:line="240" w:lineRule="auto"/>
        <w:rPr>
          <w:color w:val="auto"/>
        </w:rPr>
      </w:pPr>
      <w:r w:rsidRPr="00251808">
        <w:rPr>
          <w:color w:val="auto"/>
        </w:rPr>
        <w:t>Slide 11 – Next Steps</w:t>
      </w:r>
    </w:p>
    <w:p w:rsidR="00251808" w:rsidRPr="00251808" w:rsidRDefault="00251808" w:rsidP="00251808">
      <w:pPr>
        <w:pStyle w:val="ListParagraph"/>
        <w:numPr>
          <w:ilvl w:val="0"/>
          <w:numId w:val="10"/>
        </w:numPr>
        <w:spacing w:after="0" w:line="240" w:lineRule="auto"/>
      </w:pPr>
      <w:r w:rsidRPr="00251808">
        <w:t>Work with agency/community partners to advance improvements in pilot neighborhoods</w:t>
      </w:r>
    </w:p>
    <w:p w:rsidR="00251808" w:rsidRDefault="00251808" w:rsidP="00251808">
      <w:pPr>
        <w:pStyle w:val="ListParagraph"/>
        <w:numPr>
          <w:ilvl w:val="0"/>
          <w:numId w:val="10"/>
        </w:numPr>
        <w:spacing w:after="0" w:line="240" w:lineRule="auto"/>
      </w:pPr>
      <w:r w:rsidRPr="00251808">
        <w:t>Work with agency partners to create processes for citywide action items</w:t>
      </w:r>
    </w:p>
    <w:p w:rsidR="00454775" w:rsidRDefault="00454775" w:rsidP="0025180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Image: </w:t>
      </w:r>
    </w:p>
    <w:p w:rsidR="00251808" w:rsidRPr="00251808" w:rsidRDefault="00251808" w:rsidP="00251808">
      <w:pPr>
        <w:spacing w:after="0" w:line="240" w:lineRule="auto"/>
      </w:pPr>
    </w:p>
    <w:p w:rsidR="00251808" w:rsidRDefault="00251808" w:rsidP="00251808">
      <w:pPr>
        <w:pStyle w:val="Heading2"/>
        <w:spacing w:before="0" w:line="240" w:lineRule="auto"/>
        <w:rPr>
          <w:color w:val="auto"/>
        </w:rPr>
      </w:pPr>
      <w:r w:rsidRPr="00251808">
        <w:rPr>
          <w:color w:val="auto"/>
        </w:rPr>
        <w:t xml:space="preserve">Slide 12 </w:t>
      </w:r>
      <w:r>
        <w:rPr>
          <w:color w:val="auto"/>
        </w:rPr>
        <w:t xml:space="preserve">– Lessons Learned </w:t>
      </w:r>
    </w:p>
    <w:p w:rsidR="00061512" w:rsidRPr="00251808" w:rsidRDefault="00251808" w:rsidP="00251808">
      <w:pPr>
        <w:pStyle w:val="ListParagraph"/>
        <w:numPr>
          <w:ilvl w:val="0"/>
          <w:numId w:val="12"/>
        </w:numPr>
        <w:spacing w:after="0" w:line="240" w:lineRule="auto"/>
      </w:pPr>
      <w:r w:rsidRPr="00251808">
        <w:t>Walkability is critical to seniors’ physical and economic mobility and thus to aging in place</w:t>
      </w:r>
    </w:p>
    <w:p w:rsidR="00061512" w:rsidRPr="00251808" w:rsidRDefault="00251808" w:rsidP="00251808">
      <w:pPr>
        <w:pStyle w:val="ListParagraph"/>
        <w:numPr>
          <w:ilvl w:val="0"/>
          <w:numId w:val="12"/>
        </w:numPr>
        <w:spacing w:after="0" w:line="240" w:lineRule="auto"/>
      </w:pPr>
      <w:r w:rsidRPr="00251808">
        <w:t>Age-Friendly Walking/Healthy Aging presents a frame to bring new collaborators and diverse stakeholders together</w:t>
      </w:r>
    </w:p>
    <w:p w:rsidR="00251808" w:rsidRPr="00251808" w:rsidRDefault="00251808" w:rsidP="00251808">
      <w:pPr>
        <w:pStyle w:val="ListParagraph"/>
        <w:numPr>
          <w:ilvl w:val="0"/>
          <w:numId w:val="12"/>
        </w:numPr>
        <w:spacing w:after="0" w:line="240" w:lineRule="auto"/>
      </w:pPr>
      <w:r w:rsidRPr="00251808">
        <w:t xml:space="preserve">Directly addressing the needs of vulnerable </w:t>
      </w:r>
      <w:proofErr w:type="gramStart"/>
      <w:r w:rsidRPr="00251808">
        <w:t>populations</w:t>
      </w:r>
      <w:proofErr w:type="gramEnd"/>
      <w:r w:rsidRPr="00251808">
        <w:t xml:space="preserve"> benefits all.  </w:t>
      </w:r>
      <w:r w:rsidRPr="00251808">
        <w:rPr>
          <w:i/>
          <w:iCs/>
          <w:u w:val="single"/>
        </w:rPr>
        <w:t>Safe and comfortable walking for seniors means safe and comfortable walking for everyone</w:t>
      </w:r>
      <w:r>
        <w:rPr>
          <w:i/>
          <w:iCs/>
          <w:u w:val="single"/>
        </w:rPr>
        <w:t xml:space="preserve">! </w:t>
      </w:r>
    </w:p>
    <w:p w:rsidR="00251808" w:rsidRPr="00251808" w:rsidRDefault="00251808" w:rsidP="00251808">
      <w:pPr>
        <w:pStyle w:val="Heading2"/>
      </w:pPr>
      <w:r w:rsidRPr="00251808">
        <w:rPr>
          <w:color w:val="auto"/>
        </w:rPr>
        <w:t xml:space="preserve">Slide 13 – Questions? </w:t>
      </w:r>
    </w:p>
    <w:p w:rsidR="00251808" w:rsidRDefault="00251808" w:rsidP="00251808">
      <w:pPr>
        <w:spacing w:after="0" w:line="240" w:lineRule="auto"/>
      </w:pPr>
      <w:r w:rsidRPr="00251808">
        <w:t xml:space="preserve">Adi Nochur, </w:t>
      </w:r>
      <w:proofErr w:type="spellStart"/>
      <w:r w:rsidRPr="00251808">
        <w:t>WalkBoston</w:t>
      </w:r>
      <w:proofErr w:type="spellEnd"/>
    </w:p>
    <w:p w:rsidR="00251808" w:rsidRPr="00251808" w:rsidRDefault="00251808" w:rsidP="00251808">
      <w:pPr>
        <w:spacing w:after="0" w:line="240" w:lineRule="auto"/>
      </w:pPr>
      <w:r>
        <w:t>ANOCHUR@WALKBOSTON.ORG</w:t>
      </w:r>
    </w:p>
    <w:p w:rsidR="00623570" w:rsidRDefault="00251808" w:rsidP="008C7265">
      <w:pPr>
        <w:spacing w:after="0" w:line="240" w:lineRule="auto"/>
      </w:pPr>
      <w:r w:rsidRPr="00251808">
        <w:t>617-367-9255</w:t>
      </w:r>
    </w:p>
    <w:p w:rsidR="00454775" w:rsidRDefault="00454775" w:rsidP="008C7265">
      <w:pPr>
        <w:spacing w:after="0" w:line="240" w:lineRule="auto"/>
      </w:pPr>
    </w:p>
    <w:p w:rsidR="00454775" w:rsidRPr="008C7265" w:rsidRDefault="00454775" w:rsidP="008C7265">
      <w:pPr>
        <w:spacing w:after="0" w:line="240" w:lineRule="auto"/>
      </w:pPr>
      <w:r>
        <w:t xml:space="preserve">Images: </w:t>
      </w:r>
      <w:proofErr w:type="spellStart"/>
      <w:r>
        <w:t>walkBoston</w:t>
      </w:r>
      <w:proofErr w:type="spellEnd"/>
      <w:r>
        <w:t xml:space="preserve"> staff presenting to various communities </w:t>
      </w:r>
    </w:p>
    <w:p w:rsidR="008C7265" w:rsidRDefault="008C7265"/>
    <w:sectPr w:rsidR="008C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08D"/>
    <w:multiLevelType w:val="hybridMultilevel"/>
    <w:tmpl w:val="B970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9C8"/>
    <w:multiLevelType w:val="hybridMultilevel"/>
    <w:tmpl w:val="EB3C0F12"/>
    <w:lvl w:ilvl="0" w:tplc="80525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2F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0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85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48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8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2A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2A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A4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B95FFC"/>
    <w:multiLevelType w:val="hybridMultilevel"/>
    <w:tmpl w:val="0F66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75D1C"/>
    <w:multiLevelType w:val="hybridMultilevel"/>
    <w:tmpl w:val="7F4CE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23B53"/>
    <w:multiLevelType w:val="hybridMultilevel"/>
    <w:tmpl w:val="52CA8F1C"/>
    <w:lvl w:ilvl="0" w:tplc="AE4AC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6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AA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CB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A4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AD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0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A2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C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B350DA"/>
    <w:multiLevelType w:val="hybridMultilevel"/>
    <w:tmpl w:val="F6361B08"/>
    <w:lvl w:ilvl="0" w:tplc="4A92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0E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E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68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A5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69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6D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8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A2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385C60"/>
    <w:multiLevelType w:val="hybridMultilevel"/>
    <w:tmpl w:val="3E0E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E29A5"/>
    <w:multiLevelType w:val="hybridMultilevel"/>
    <w:tmpl w:val="585A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930F3"/>
    <w:multiLevelType w:val="hybridMultilevel"/>
    <w:tmpl w:val="3846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627E9"/>
    <w:multiLevelType w:val="hybridMultilevel"/>
    <w:tmpl w:val="83C48F16"/>
    <w:lvl w:ilvl="0" w:tplc="D5D88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E41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CD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86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47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E7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0D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C8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8E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EF0C45"/>
    <w:multiLevelType w:val="hybridMultilevel"/>
    <w:tmpl w:val="B22AA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6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AA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CB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A4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AD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0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A2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C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3731E3"/>
    <w:multiLevelType w:val="hybridMultilevel"/>
    <w:tmpl w:val="3F8EA784"/>
    <w:lvl w:ilvl="0" w:tplc="F84AF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6D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06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0A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28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60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02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A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4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B06647"/>
    <w:multiLevelType w:val="hybridMultilevel"/>
    <w:tmpl w:val="E9AE4DB8"/>
    <w:lvl w:ilvl="0" w:tplc="051E9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0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A8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A9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ED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00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E0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6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2B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D6190E"/>
    <w:multiLevelType w:val="hybridMultilevel"/>
    <w:tmpl w:val="E434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34B1C"/>
    <w:multiLevelType w:val="hybridMultilevel"/>
    <w:tmpl w:val="D970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27E22"/>
    <w:multiLevelType w:val="hybridMultilevel"/>
    <w:tmpl w:val="0772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609AA"/>
    <w:multiLevelType w:val="hybridMultilevel"/>
    <w:tmpl w:val="DC28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0"/>
  </w:num>
  <w:num w:numId="5">
    <w:abstractNumId w:val="15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0"/>
  </w:num>
  <w:num w:numId="13">
    <w:abstractNumId w:val="8"/>
  </w:num>
  <w:num w:numId="14">
    <w:abstractNumId w:val="2"/>
  </w:num>
  <w:num w:numId="15">
    <w:abstractNumId w:val="7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65"/>
    <w:rsid w:val="00057C6D"/>
    <w:rsid w:val="00061512"/>
    <w:rsid w:val="000800B8"/>
    <w:rsid w:val="00251808"/>
    <w:rsid w:val="00454775"/>
    <w:rsid w:val="00542E4A"/>
    <w:rsid w:val="00623570"/>
    <w:rsid w:val="00837772"/>
    <w:rsid w:val="008C7265"/>
    <w:rsid w:val="00BD6DC7"/>
    <w:rsid w:val="00CA72E8"/>
    <w:rsid w:val="00E85A5C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7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C726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51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518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7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C726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51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51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4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5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2017-04-27T20:07:00Z</dcterms:created>
  <dc:creator>EHS</dc:creator>
  <lastModifiedBy>EHS</lastModifiedBy>
  <dcterms:modified xsi:type="dcterms:W3CDTF">2017-04-27T20:07:00Z</dcterms:modified>
  <revision>2</revision>
</coreProperties>
</file>