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51" w:rsidRPr="000657D0" w:rsidRDefault="00D24851">
      <w:pPr>
        <w:bidi/>
        <w:rPr>
          <w:rFonts w:ascii="Times New Roman" w:hAnsi="Times New Roman" w:cs="Times New Roman"/>
          <w:b/>
          <w:u w:val="single"/>
          <w:rtl/>
        </w:rPr>
      </w:pPr>
      <w:r w:rsidRPr="000657D0">
        <w:rPr>
          <w:rFonts w:ascii="Times New Roman" w:hAnsi="Times New Roman" w:cs="Times New Roman"/>
          <w:b/>
          <w:noProof/>
          <w:u w:val="single"/>
          <w:rtl/>
          <w:lang w:bidi="ar-SA"/>
        </w:rPr>
        <w:drawing>
          <wp:anchor distT="0" distB="0" distL="114300" distR="114300" simplePos="0" relativeHeight="251658240" behindDoc="0" locked="0" layoutInCell="1" allowOverlap="1">
            <wp:simplePos x="0" y="0"/>
            <wp:positionH relativeFrom="column">
              <wp:posOffset>2781300</wp:posOffset>
            </wp:positionH>
            <wp:positionV relativeFrom="paragraph">
              <wp:posOffset>-189865</wp:posOffset>
            </wp:positionV>
            <wp:extent cx="1059180" cy="1047750"/>
            <wp:effectExtent l="0" t="0" r="7620" b="0"/>
            <wp:wrapNone/>
            <wp:docPr id="3" name="Picture 10" descr="Seal of the Massachusetts Department of Public Health"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180" cy="1047750"/>
                    </a:xfrm>
                    <a:prstGeom prst="rect">
                      <a:avLst/>
                    </a:prstGeom>
                  </pic:spPr>
                </pic:pic>
              </a:graphicData>
            </a:graphic>
          </wp:anchor>
        </w:drawing>
      </w:r>
    </w:p>
    <w:p w:rsidR="00D24851" w:rsidRPr="000657D0" w:rsidRDefault="00D24851">
      <w:pPr>
        <w:rPr>
          <w:rFonts w:ascii="Times New Roman" w:hAnsi="Times New Roman" w:cs="Times New Roman"/>
          <w:b/>
          <w:u w:val="single"/>
        </w:rPr>
      </w:pPr>
    </w:p>
    <w:p w:rsidR="00D24851" w:rsidRPr="000657D0" w:rsidRDefault="00D24851">
      <w:pPr>
        <w:rPr>
          <w:rFonts w:ascii="Times New Roman" w:hAnsi="Times New Roman" w:cs="Times New Roman"/>
          <w:b/>
          <w:u w:val="single"/>
        </w:rPr>
      </w:pPr>
      <w:bookmarkStart w:id="0" w:name="_GoBack"/>
      <w:bookmarkEnd w:id="0"/>
    </w:p>
    <w:p w:rsidR="001D4D78" w:rsidRPr="000657D0" w:rsidRDefault="001D4D78">
      <w:pPr>
        <w:bidi/>
        <w:rPr>
          <w:rFonts w:ascii="Times New Roman" w:hAnsi="Times New Roman" w:cs="Times New Roman"/>
          <w:rtl/>
        </w:rPr>
      </w:pPr>
      <w:r w:rsidRPr="00E76D3F">
        <w:rPr>
          <w:rFonts w:ascii="Times New Roman" w:hAnsi="Times New Roman" w:cs="Times New Roman"/>
          <w:b/>
          <w:bCs/>
          <w:u w:val="single"/>
          <w:rtl/>
        </w:rPr>
        <w:t>مشغلو مرافق التسمير</w:t>
      </w:r>
      <w:r w:rsidRPr="000657D0">
        <w:rPr>
          <w:rFonts w:ascii="Times New Roman" w:hAnsi="Times New Roman" w:cs="Times New Roman"/>
          <w:rtl/>
        </w:rPr>
        <w:t xml:space="preserve">:  قبل البدء في عملية التسمير، يجب تعريف كل العملاء بالتحذير التالي.  باستثناء هؤلاء الذين وقعوا على بيان التحذير في الأشهر الستة السابقة، يجب على كل عميل التوقيع على بيان التحذير مقرًا بذلك بفهم محتوى التحذير.  ويجب أيضًا توقيع بيان التحذير من قبل المشغل، ومتى كان ممكنًا، توقيع أحد الشهود للتأكد من تقديم التحذير.  بالنسبة للعملاء الذين لا يمكنهم القراءة، يجب على المشغلين قراءة بيان التحذير أو بطريقة أخرى توصيل بيان التحذير بلغة وصيغة يفهمها العميل.  </w:t>
      </w:r>
    </w:p>
    <w:p w:rsidR="006F71C7" w:rsidRPr="000657D0" w:rsidRDefault="001D4D78">
      <w:pPr>
        <w:bidi/>
        <w:rPr>
          <w:rFonts w:ascii="Times New Roman" w:hAnsi="Times New Roman" w:cs="Times New Roman"/>
          <w:rtl/>
        </w:rPr>
      </w:pPr>
      <w:r w:rsidRPr="00E76D3F">
        <w:rPr>
          <w:rFonts w:ascii="Times New Roman" w:hAnsi="Times New Roman" w:cs="Times New Roman"/>
          <w:b/>
          <w:bCs/>
          <w:u w:val="single"/>
          <w:rtl/>
        </w:rPr>
        <w:t>العملاء الراغبون في التسمير</w:t>
      </w:r>
      <w:r w:rsidRPr="000657D0">
        <w:rPr>
          <w:rFonts w:ascii="Times New Roman" w:hAnsi="Times New Roman" w:cs="Times New Roman"/>
          <w:rtl/>
        </w:rPr>
        <w:t xml:space="preserve">:  قبل بدء التسمير، يجب عليك مراجعة بيان التحذير.  ما لم توقع على بيان التحذير في الأشهر الستة السابقة، يجب عليك التوقيع على بيان التحذير مقرًا بذلك بفهم محتوى التحذير.  ويجب أيضًا توقيع بيان التحذير هذا من قبل مشغل مرفق التسمير، ومتى كان ممكنًا، توقيع أحد الشهود للتأكد من تقديم التحذير.  </w:t>
      </w:r>
    </w:p>
    <w:p w:rsidR="001D4D78" w:rsidRPr="000657D0" w:rsidRDefault="001D4D78" w:rsidP="001D4D78">
      <w:pPr>
        <w:widowControl w:val="0"/>
        <w:tabs>
          <w:tab w:val="center" w:pos="5100"/>
          <w:tab w:val="left" w:pos="7675"/>
        </w:tabs>
        <w:autoSpaceDE w:val="0"/>
        <w:autoSpaceDN w:val="0"/>
        <w:bidi/>
        <w:adjustRightInd w:val="0"/>
        <w:spacing w:after="0" w:line="279" w:lineRule="exact"/>
        <w:jc w:val="center"/>
        <w:rPr>
          <w:rFonts w:ascii="Times New Roman" w:eastAsia="Times New Roman" w:hAnsi="Times New Roman" w:cs="Times New Roman"/>
          <w:sz w:val="24"/>
          <w:szCs w:val="24"/>
          <w:rtl/>
        </w:rPr>
      </w:pPr>
      <w:r w:rsidRPr="000657D0">
        <w:rPr>
          <w:rFonts w:ascii="Times New Roman" w:hAnsi="Times New Roman" w:cs="Times New Roman"/>
          <w:sz w:val="24"/>
          <w:szCs w:val="24"/>
          <w:rtl/>
        </w:rPr>
        <w:t xml:space="preserve">خطر </w:t>
      </w:r>
      <w:r w:rsidRPr="000657D0">
        <w:rPr>
          <w:rFonts w:ascii="Times New Roman" w:hAnsi="Times New Roman" w:cs="Times New Roman"/>
          <w:sz w:val="24"/>
          <w:szCs w:val="24"/>
          <w:rtl/>
        </w:rPr>
        <w:noBreakHyphen/>
        <w:t xml:space="preserve"> الأشعة فوق البنفسجية</w:t>
      </w:r>
    </w:p>
    <w:p w:rsidR="001D4D78" w:rsidRPr="000657D0"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bidi/>
        <w:adjustRightInd w:val="0"/>
        <w:spacing w:after="0" w:line="279" w:lineRule="exact"/>
        <w:rPr>
          <w:rFonts w:ascii="Times New Roman" w:eastAsia="Times New Roman" w:hAnsi="Times New Roman" w:cs="Times New Roman"/>
          <w:sz w:val="24"/>
          <w:szCs w:val="24"/>
          <w:rtl/>
        </w:rPr>
      </w:pPr>
      <w:r w:rsidRPr="000657D0">
        <w:rPr>
          <w:rFonts w:ascii="Times New Roman" w:hAnsi="Times New Roman" w:cs="Times New Roman"/>
          <w:sz w:val="24"/>
          <w:szCs w:val="24"/>
          <w:rtl/>
        </w:rPr>
        <w:t>اتبع التعليمات.</w:t>
      </w:r>
    </w:p>
    <w:p w:rsidR="001D4D78" w:rsidRPr="000657D0"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bidi/>
        <w:adjustRightInd w:val="0"/>
        <w:spacing w:after="0" w:line="279" w:lineRule="exact"/>
        <w:rPr>
          <w:rFonts w:ascii="Times New Roman" w:eastAsia="Times New Roman" w:hAnsi="Times New Roman" w:cs="Times New Roman"/>
          <w:sz w:val="24"/>
          <w:szCs w:val="24"/>
          <w:rtl/>
        </w:rPr>
      </w:pPr>
      <w:r w:rsidRPr="000657D0">
        <w:rPr>
          <w:rFonts w:ascii="Times New Roman" w:hAnsi="Times New Roman" w:cs="Times New Roman"/>
          <w:sz w:val="24"/>
          <w:szCs w:val="24"/>
          <w:rtl/>
        </w:rPr>
        <w:t>تجنب التعرض للأشعة فوق البنفسجية لفترات طويلة أو متكررة.  وكما هو الحال مع ضوء الشمس الطبيعي، قد يؤدي التعرض للمصباح الشمسي إلى إصابة للجلد أو العين وحدوث رد فعل تحسسي.  وقد يسبب التعرض المتكرر إلى حدوث تلف مزمن يتسم بظهور تجاعيد وجفاف وهشاشة وكدمات في الجلد، بجانب سرطان الجلد.</w:t>
      </w:r>
    </w:p>
    <w:p w:rsidR="001D4D78" w:rsidRPr="000657D0"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bidi/>
        <w:adjustRightInd w:val="0"/>
        <w:spacing w:after="0" w:line="279" w:lineRule="exact"/>
        <w:rPr>
          <w:rFonts w:ascii="Times New Roman" w:eastAsia="Times New Roman" w:hAnsi="Times New Roman" w:cs="Times New Roman"/>
          <w:sz w:val="24"/>
          <w:szCs w:val="24"/>
          <w:rtl/>
        </w:rPr>
      </w:pPr>
      <w:r w:rsidRPr="000657D0">
        <w:rPr>
          <w:rFonts w:ascii="Times New Roman" w:hAnsi="Times New Roman" w:cs="Times New Roman"/>
          <w:sz w:val="24"/>
          <w:szCs w:val="24"/>
          <w:rtl/>
        </w:rPr>
        <w:t>احرص على ارتداء نظارات واقية.  عدم الالتزام باستخدام النظارات الواقية قد يؤدي إلى حروق شديدة أو إصابة طويلة للأعين.</w:t>
      </w:r>
    </w:p>
    <w:p w:rsidR="001D4D78" w:rsidRPr="000657D0"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bidi/>
        <w:adjustRightInd w:val="0"/>
        <w:spacing w:after="0" w:line="279" w:lineRule="exact"/>
        <w:rPr>
          <w:rFonts w:ascii="Times New Roman" w:eastAsia="Times New Roman" w:hAnsi="Times New Roman" w:cs="Times New Roman"/>
          <w:sz w:val="24"/>
          <w:szCs w:val="24"/>
          <w:rtl/>
        </w:rPr>
      </w:pPr>
      <w:r w:rsidRPr="000657D0">
        <w:rPr>
          <w:rFonts w:ascii="Times New Roman" w:hAnsi="Times New Roman" w:cs="Times New Roman"/>
          <w:sz w:val="24"/>
          <w:szCs w:val="24"/>
          <w:rtl/>
        </w:rPr>
        <w:t>تفاقم الأشعة فوق البنفسجية المنبعثة من المصابيح الشمسية من آثار أشعة الشمس.  لا تأخذ حمامًا شمسيًا قبل التعرض للأشعة فوق البنفسجية أو بعد ذلك.</w:t>
      </w:r>
    </w:p>
    <w:p w:rsidR="001D4D78" w:rsidRPr="000657D0"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bidi/>
        <w:adjustRightInd w:val="0"/>
        <w:spacing w:after="0" w:line="279" w:lineRule="exact"/>
        <w:rPr>
          <w:rFonts w:ascii="Times New Roman" w:eastAsia="Times New Roman" w:hAnsi="Times New Roman" w:cs="Times New Roman"/>
          <w:sz w:val="24"/>
          <w:szCs w:val="24"/>
          <w:rtl/>
        </w:rPr>
      </w:pPr>
      <w:r w:rsidRPr="000657D0">
        <w:rPr>
          <w:rFonts w:ascii="Times New Roman" w:hAnsi="Times New Roman" w:cs="Times New Roman"/>
          <w:sz w:val="24"/>
          <w:szCs w:val="24"/>
          <w:rtl/>
        </w:rPr>
        <w:t>قد تحدث حروق أو حساسية زائدة أو غير طبيعية بالجلد بسبب أطعمة معينة أو مستحضرات تجميل أو أدوية، بما في ذلك على سبيل المثال لا الحصر، المهدئات ومدرات البول والمضادات الحيوية وأدوية ارتفاع ضغط الدم وحبوب منع الحمل وكريمات البشرة.  يجب استشارة الطبيب قبل استخدام مصباح شمسي في حال استخدامك لأي أدوية، أو لديك سجل مرضي يتضمن مشكلات جلدية، أو تعتقد أنك حساس بدرجة خاصة تجاه ضوء الشمس.  النساء الحوامل أو اللاتي يتناولن حبوب منع الحمل ويستخدمن جهاز التسمير قد يحدث لهن تغير في لون الجلد.</w:t>
      </w:r>
    </w:p>
    <w:p w:rsidR="001D4D78" w:rsidRPr="000657D0"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bidi/>
        <w:adjustRightInd w:val="0"/>
        <w:spacing w:after="0" w:line="279" w:lineRule="exact"/>
        <w:rPr>
          <w:rFonts w:ascii="Times New Roman" w:eastAsia="Times New Roman" w:hAnsi="Times New Roman" w:cs="Times New Roman"/>
          <w:sz w:val="24"/>
          <w:szCs w:val="24"/>
          <w:rtl/>
        </w:rPr>
      </w:pPr>
      <w:r w:rsidRPr="000657D0">
        <w:rPr>
          <w:rFonts w:ascii="Times New Roman" w:hAnsi="Times New Roman" w:cs="Times New Roman"/>
          <w:sz w:val="24"/>
          <w:szCs w:val="24"/>
          <w:rtl/>
        </w:rPr>
        <w:t>إذا لم تتمكن من التسمير تحت أشعة الشمس، فلن يساعدك هذا الجهاز.  لا يوفر استخدام جهاز التسمير قاعدة حماية كبيرة ضد تأثيرات الشمس.</w:t>
      </w:r>
    </w:p>
    <w:p w:rsidR="001D4D78" w:rsidRPr="000657D0" w:rsidRDefault="001D4D78" w:rsidP="001D4D78">
      <w:pPr>
        <w:pStyle w:val="ListParagraph"/>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360"/>
        <w:rPr>
          <w:rFonts w:ascii="Times New Roman" w:eastAsia="Times New Roman" w:hAnsi="Times New Roman" w:cs="Times New Roman"/>
          <w:sz w:val="24"/>
          <w:szCs w:val="24"/>
        </w:rPr>
      </w:pPr>
    </w:p>
    <w:p w:rsidR="001D4D78" w:rsidRPr="000657D0" w:rsidRDefault="001D4D78" w:rsidP="001D4D78">
      <w:pPr>
        <w:jc w:val="center"/>
        <w:rPr>
          <w:rFonts w:ascii="Times New Roman" w:hAnsi="Times New Roman" w:cs="Times New Roman"/>
          <w:b/>
        </w:rPr>
      </w:pPr>
    </w:p>
    <w:tbl>
      <w:tblPr>
        <w:tblStyle w:val="TableGrid"/>
        <w:bidiVisua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880"/>
        <w:gridCol w:w="2358"/>
      </w:tblGrid>
      <w:tr w:rsidR="001D4D78" w:rsidRPr="000657D0" w:rsidTr="001D4D78">
        <w:tc>
          <w:tcPr>
            <w:tcW w:w="5778" w:type="dxa"/>
            <w:tcBorders>
              <w:bottom w:val="single" w:sz="4" w:space="0" w:color="auto"/>
            </w:tcBorders>
          </w:tcPr>
          <w:p w:rsidR="001D4D78" w:rsidRPr="000657D0" w:rsidRDefault="001D4D78" w:rsidP="001D4D78">
            <w:pPr>
              <w:bidi/>
              <w:rPr>
                <w:rFonts w:ascii="Times New Roman" w:hAnsi="Times New Roman" w:cs="Times New Roman"/>
                <w:rtl/>
              </w:rPr>
            </w:pPr>
            <w:r w:rsidRPr="000657D0">
              <w:rPr>
                <w:rFonts w:ascii="Times New Roman" w:hAnsi="Times New Roman" w:cs="Times New Roman"/>
                <w:rtl/>
              </w:rPr>
              <w:t>توقيع العميل</w:t>
            </w:r>
            <w:r w:rsidRPr="000657D0">
              <w:rPr>
                <w:rFonts w:ascii="Times New Roman" w:hAnsi="Times New Roman" w:cs="Times New Roman"/>
                <w:rtl/>
              </w:rPr>
              <w:tab/>
            </w:r>
          </w:p>
          <w:p w:rsidR="001D4D78" w:rsidRPr="000657D0" w:rsidRDefault="001D4D78" w:rsidP="001D4D78">
            <w:pPr>
              <w:rPr>
                <w:rFonts w:ascii="Times New Roman" w:hAnsi="Times New Roman" w:cs="Times New Roman"/>
              </w:rPr>
            </w:pPr>
          </w:p>
          <w:p w:rsidR="001D4D78" w:rsidRPr="000657D0" w:rsidRDefault="001D4D78" w:rsidP="001D4D78">
            <w:pPr>
              <w:rPr>
                <w:rFonts w:ascii="Times New Roman" w:hAnsi="Times New Roman" w:cs="Times New Roman"/>
              </w:rPr>
            </w:pPr>
          </w:p>
          <w:p w:rsidR="001D4D78" w:rsidRPr="000657D0" w:rsidRDefault="001D4D78" w:rsidP="001D4D78">
            <w:pPr>
              <w:rPr>
                <w:rFonts w:ascii="Times New Roman" w:hAnsi="Times New Roman" w:cs="Times New Roman"/>
              </w:rPr>
            </w:pPr>
          </w:p>
        </w:tc>
        <w:tc>
          <w:tcPr>
            <w:tcW w:w="2880" w:type="dxa"/>
            <w:tcBorders>
              <w:top w:val="nil"/>
              <w:bottom w:val="nil"/>
            </w:tcBorders>
          </w:tcPr>
          <w:p w:rsidR="001D4D78" w:rsidRPr="000657D0" w:rsidRDefault="001D4D78" w:rsidP="001D4D78">
            <w:pPr>
              <w:rPr>
                <w:rFonts w:ascii="Times New Roman" w:hAnsi="Times New Roman" w:cs="Times New Roman"/>
              </w:rPr>
            </w:pPr>
          </w:p>
        </w:tc>
        <w:tc>
          <w:tcPr>
            <w:tcW w:w="2358" w:type="dxa"/>
            <w:tcBorders>
              <w:bottom w:val="single" w:sz="4" w:space="0" w:color="auto"/>
            </w:tcBorders>
          </w:tcPr>
          <w:p w:rsidR="001D4D78" w:rsidRPr="000657D0" w:rsidRDefault="001D4D78" w:rsidP="001D4D78">
            <w:pPr>
              <w:bidi/>
              <w:rPr>
                <w:rFonts w:ascii="Times New Roman" w:hAnsi="Times New Roman" w:cs="Times New Roman"/>
                <w:rtl/>
              </w:rPr>
            </w:pPr>
            <w:r w:rsidRPr="000657D0">
              <w:rPr>
                <w:rFonts w:ascii="Times New Roman" w:hAnsi="Times New Roman" w:cs="Times New Roman"/>
                <w:rtl/>
              </w:rPr>
              <w:t>التاريخ</w:t>
            </w:r>
          </w:p>
        </w:tc>
      </w:tr>
      <w:tr w:rsidR="001D4D78" w:rsidRPr="000657D0" w:rsidTr="001D4D78">
        <w:tc>
          <w:tcPr>
            <w:tcW w:w="5778" w:type="dxa"/>
            <w:tcBorders>
              <w:top w:val="single" w:sz="4" w:space="0" w:color="auto"/>
              <w:bottom w:val="single" w:sz="4" w:space="0" w:color="auto"/>
            </w:tcBorders>
          </w:tcPr>
          <w:p w:rsidR="001D4D78" w:rsidRPr="000657D0" w:rsidRDefault="009808FC" w:rsidP="001D4D78">
            <w:pPr>
              <w:bidi/>
              <w:rPr>
                <w:rFonts w:ascii="Times New Roman" w:hAnsi="Times New Roman" w:cs="Times New Roman"/>
                <w:rtl/>
              </w:rPr>
            </w:pPr>
            <w:r w:rsidRPr="000657D0">
              <w:rPr>
                <w:rFonts w:ascii="Times New Roman" w:hAnsi="Times New Roman" w:cs="Times New Roman"/>
                <w:rtl/>
              </w:rPr>
              <w:t xml:space="preserve">توقيع مشغل مرفق التسمير </w:t>
            </w:r>
            <w:r w:rsidRPr="000657D0">
              <w:rPr>
                <w:rFonts w:ascii="Times New Roman" w:hAnsi="Times New Roman" w:cs="Times New Roman"/>
                <w:rtl/>
              </w:rPr>
              <w:tab/>
            </w:r>
          </w:p>
          <w:p w:rsidR="001D4D78" w:rsidRPr="000657D0" w:rsidRDefault="001D4D78" w:rsidP="001D4D78">
            <w:pPr>
              <w:rPr>
                <w:rFonts w:ascii="Times New Roman" w:hAnsi="Times New Roman" w:cs="Times New Roman"/>
              </w:rPr>
            </w:pPr>
          </w:p>
          <w:p w:rsidR="001D4D78" w:rsidRPr="000657D0" w:rsidRDefault="001D4D78" w:rsidP="001D4D78">
            <w:pPr>
              <w:rPr>
                <w:rFonts w:ascii="Times New Roman" w:hAnsi="Times New Roman" w:cs="Times New Roman"/>
              </w:rPr>
            </w:pPr>
          </w:p>
          <w:p w:rsidR="001D4D78" w:rsidRPr="000657D0" w:rsidRDefault="001D4D78" w:rsidP="001D4D78">
            <w:pPr>
              <w:bidi/>
              <w:rPr>
                <w:rFonts w:ascii="Times New Roman" w:hAnsi="Times New Roman" w:cs="Times New Roman"/>
                <w:rtl/>
              </w:rPr>
            </w:pPr>
            <w:r w:rsidRPr="000657D0">
              <w:rPr>
                <w:rFonts w:ascii="Times New Roman" w:hAnsi="Times New Roman" w:cs="Times New Roman"/>
                <w:rtl/>
              </w:rPr>
              <w:tab/>
            </w:r>
          </w:p>
        </w:tc>
        <w:tc>
          <w:tcPr>
            <w:tcW w:w="2880" w:type="dxa"/>
            <w:tcBorders>
              <w:top w:val="nil"/>
              <w:bottom w:val="nil"/>
            </w:tcBorders>
          </w:tcPr>
          <w:p w:rsidR="001D4D78" w:rsidRPr="000657D0" w:rsidRDefault="001D4D78" w:rsidP="001D4D78">
            <w:pPr>
              <w:rPr>
                <w:rFonts w:ascii="Times New Roman" w:hAnsi="Times New Roman" w:cs="Times New Roman"/>
              </w:rPr>
            </w:pPr>
          </w:p>
        </w:tc>
        <w:tc>
          <w:tcPr>
            <w:tcW w:w="2358" w:type="dxa"/>
            <w:tcBorders>
              <w:top w:val="single" w:sz="4" w:space="0" w:color="auto"/>
              <w:bottom w:val="single" w:sz="4" w:space="0" w:color="auto"/>
            </w:tcBorders>
          </w:tcPr>
          <w:p w:rsidR="001D4D78" w:rsidRPr="000657D0" w:rsidRDefault="001D4D78" w:rsidP="001D4D78">
            <w:pPr>
              <w:bidi/>
              <w:rPr>
                <w:rFonts w:ascii="Times New Roman" w:hAnsi="Times New Roman" w:cs="Times New Roman"/>
                <w:rtl/>
              </w:rPr>
            </w:pPr>
            <w:r w:rsidRPr="000657D0">
              <w:rPr>
                <w:rFonts w:ascii="Times New Roman" w:hAnsi="Times New Roman" w:cs="Times New Roman"/>
                <w:rtl/>
              </w:rPr>
              <w:t>التاريخ</w:t>
            </w:r>
          </w:p>
        </w:tc>
      </w:tr>
    </w:tbl>
    <w:p w:rsidR="00B84F5D" w:rsidRPr="000657D0" w:rsidRDefault="00FC04BC" w:rsidP="00B84F5D">
      <w:pPr>
        <w:tabs>
          <w:tab w:val="left" w:pos="8868"/>
        </w:tabs>
        <w:bidi/>
        <w:rPr>
          <w:rFonts w:ascii="Times New Roman" w:hAnsi="Times New Roman" w:cs="Times New Roman"/>
          <w:rtl/>
        </w:rPr>
      </w:pPr>
      <w:r w:rsidRPr="000657D0">
        <w:rPr>
          <w:rFonts w:ascii="Times New Roman" w:hAnsi="Times New Roman" w:cs="Times New Roman"/>
          <w:rtl/>
        </w:rPr>
        <w:t>توقيع الشاهد                                                                                                                                              التاريخ</w:t>
      </w:r>
      <w:r w:rsidRPr="000657D0">
        <w:rPr>
          <w:rFonts w:ascii="Times New Roman" w:hAnsi="Times New Roman" w:cs="Times New Roman"/>
          <w:rtl/>
        </w:rPr>
        <w:tab/>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220"/>
        <w:gridCol w:w="1728"/>
      </w:tblGrid>
      <w:tr w:rsidR="00B84F5D" w:rsidRPr="000657D0" w:rsidTr="00B074E1">
        <w:trPr>
          <w:jc w:val="center"/>
        </w:trPr>
        <w:tc>
          <w:tcPr>
            <w:tcW w:w="4068" w:type="dxa"/>
            <w:vAlign w:val="center"/>
          </w:tcPr>
          <w:p w:rsidR="00B84F5D" w:rsidRPr="00AF6394" w:rsidRDefault="000657D0" w:rsidP="00B84F5D">
            <w:pPr>
              <w:bidi/>
              <w:jc w:val="center"/>
              <w:rPr>
                <w:rFonts w:ascii="Times New Roman" w:hAnsi="Times New Roman" w:cs="Times New Roman"/>
                <w:rtl/>
              </w:rPr>
            </w:pPr>
            <w:r w:rsidRPr="00AF6394">
              <w:rPr>
                <w:rFonts w:ascii="Times New Roman" w:hAnsi="Times New Roman" w:cs="Times New Roman"/>
                <w:color w:val="000000"/>
                <w:rtl/>
                <w:lang w:bidi="ar-SA"/>
              </w:rPr>
              <w:t>مرافق التسمیر</w:t>
            </w:r>
            <w:r w:rsidRPr="00AF6394">
              <w:rPr>
                <w:rFonts w:ascii="Times New Roman" w:hAnsi="Times New Roman" w:cs="Times New Roman"/>
                <w:color w:val="000000"/>
                <w:sz w:val="20"/>
                <w:szCs w:val="20"/>
                <w:lang w:bidi="ar-SA"/>
              </w:rPr>
              <w:t xml:space="preserve"> :105 CMR 123.000</w:t>
            </w:r>
          </w:p>
        </w:tc>
        <w:tc>
          <w:tcPr>
            <w:tcW w:w="5220" w:type="dxa"/>
            <w:vAlign w:val="bottom"/>
          </w:tcPr>
          <w:p w:rsidR="00B84F5D" w:rsidRPr="000657D0" w:rsidRDefault="00B84F5D" w:rsidP="00B074E1">
            <w:pPr>
              <w:jc w:val="center"/>
              <w:rPr>
                <w:rFonts w:ascii="Times New Roman" w:hAnsi="Times New Roman" w:cs="Times New Roman"/>
              </w:rPr>
            </w:pPr>
          </w:p>
        </w:tc>
        <w:tc>
          <w:tcPr>
            <w:tcW w:w="1728" w:type="dxa"/>
            <w:vAlign w:val="center"/>
          </w:tcPr>
          <w:p w:rsidR="00B84F5D" w:rsidRPr="000657D0" w:rsidRDefault="00037767" w:rsidP="00B84F5D">
            <w:pPr>
              <w:bidi/>
              <w:jc w:val="center"/>
              <w:rPr>
                <w:rFonts w:ascii="Times New Roman" w:hAnsi="Times New Roman" w:cs="Times New Roman"/>
                <w:rtl/>
              </w:rPr>
            </w:pPr>
            <w:r>
              <w:rPr>
                <w:rFonts w:ascii="Times New Roman" w:hAnsi="Times New Roman" w:cs="Times New Roman"/>
                <w:rtl/>
              </w:rPr>
              <w:t>Arabic 2017</w:t>
            </w:r>
          </w:p>
        </w:tc>
      </w:tr>
    </w:tbl>
    <w:p w:rsidR="00FC04BC" w:rsidRPr="000657D0" w:rsidRDefault="00FC04BC" w:rsidP="00D24851">
      <w:pPr>
        <w:jc w:val="center"/>
        <w:rPr>
          <w:rFonts w:ascii="Times New Roman" w:hAnsi="Times New Roman" w:cs="Times New Roman"/>
        </w:rPr>
      </w:pPr>
    </w:p>
    <w:sectPr w:rsidR="00FC04BC" w:rsidRPr="000657D0" w:rsidSect="00B074E1">
      <w:headerReference w:type="default" r:id="rId9"/>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E2" w:rsidRDefault="003C3DE2" w:rsidP="00C3556B">
      <w:pPr>
        <w:spacing w:after="0" w:line="240" w:lineRule="auto"/>
      </w:pPr>
      <w:r>
        <w:separator/>
      </w:r>
    </w:p>
  </w:endnote>
  <w:endnote w:type="continuationSeparator" w:id="0">
    <w:p w:rsidR="003C3DE2" w:rsidRDefault="003C3DE2"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E2" w:rsidRDefault="003C3DE2" w:rsidP="00C3556B">
      <w:pPr>
        <w:spacing w:after="0" w:line="240" w:lineRule="auto"/>
      </w:pPr>
      <w:r>
        <w:separator/>
      </w:r>
    </w:p>
  </w:footnote>
  <w:footnote w:type="continuationSeparator" w:id="0">
    <w:p w:rsidR="003C3DE2" w:rsidRDefault="003C3DE2"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B7" w:rsidRDefault="0045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037767"/>
    <w:rsid w:val="000657D0"/>
    <w:rsid w:val="00146015"/>
    <w:rsid w:val="0017474D"/>
    <w:rsid w:val="00191F49"/>
    <w:rsid w:val="001D4D78"/>
    <w:rsid w:val="003C3DE2"/>
    <w:rsid w:val="00456BB7"/>
    <w:rsid w:val="004E4AA8"/>
    <w:rsid w:val="0050479A"/>
    <w:rsid w:val="0066583C"/>
    <w:rsid w:val="007A7FB2"/>
    <w:rsid w:val="007D7A1B"/>
    <w:rsid w:val="008000CF"/>
    <w:rsid w:val="00915BB2"/>
    <w:rsid w:val="009315A4"/>
    <w:rsid w:val="009808FC"/>
    <w:rsid w:val="00AB4324"/>
    <w:rsid w:val="00AF6394"/>
    <w:rsid w:val="00B074E1"/>
    <w:rsid w:val="00B50DF4"/>
    <w:rsid w:val="00B84F5D"/>
    <w:rsid w:val="00C3556B"/>
    <w:rsid w:val="00C96D70"/>
    <w:rsid w:val="00D24851"/>
    <w:rsid w:val="00E058AC"/>
    <w:rsid w:val="00E3260C"/>
    <w:rsid w:val="00E372BE"/>
    <w:rsid w:val="00E76D3F"/>
    <w:rsid w:val="00F06112"/>
    <w:rsid w:val="00F93C40"/>
    <w:rsid w:val="00FC04BC"/>
  </w:rsids>
  <m:mathPr>
    <m:mathFont m:val="Cambria Math"/>
    <m:brkBin m:val="before"/>
    <m:brkBinSub m:val="--"/>
    <m:smallFrac/>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2017-06-13T21:29:00Z</dcterms:created>
  <dc:creator>MDPH - Radiation Control Program</dc:creator>
  <keywords>مش &amp; العملاء الراغبون في التسميرغلو مرافق التسمير</keywords>
  <lastModifiedBy/>
  <dcterms:modified xsi:type="dcterms:W3CDTF">2017-06-15T15:04:00Z</dcterms:modified>
  <revision>6</revision>
  <dc:subject>مش &amp; العملاء الراغبون في التسميرغلو مرافق التسمير</dc:subject>
  <dc:title>مش &amp; العملاء الراغبون في التسميرغلو مرافق التسمير</dc:title>
</coreProperties>
</file>