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63" w:rsidRDefault="005B1263" w:rsidP="005B1263">
      <w:pPr>
        <w:jc w:val="center"/>
        <w:rPr>
          <w:b/>
          <w:spacing w:val="-2"/>
          <w:u w:val="single"/>
        </w:rPr>
      </w:pPr>
      <w:bookmarkStart w:id="0" w:name="_GoBack"/>
      <w:bookmarkEnd w:id="0"/>
      <w:r>
        <w:rPr>
          <w:noProof/>
          <w:lang w:val="en-US"/>
        </w:rPr>
        <w:drawing>
          <wp:inline distT="0" distB="0" distL="0" distR="0" wp14:anchorId="1F632974" wp14:editId="6035EFB4">
            <wp:extent cx="1059180" cy="1047750"/>
            <wp:effectExtent l="0" t="0" r="7620" b="0"/>
            <wp:docPr id="3" name="Picture 10" title="Sello del Departamento de Salud Pública de Massachusetts"/>
            <wp:cNvGraphicFramePr/>
            <a:graphic xmlns:a="http://schemas.openxmlformats.org/drawingml/2006/main">
              <a:graphicData uri="http://schemas.openxmlformats.org/drawingml/2006/picture">
                <pic:pic xmlns:pic="http://schemas.openxmlformats.org/drawingml/2006/picture">
                  <pic:nvPicPr>
                    <pic:cNvPr id="3" name="Pictur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9180" cy="1047750"/>
                    </a:xfrm>
                    <a:prstGeom prst="rect">
                      <a:avLst/>
                    </a:prstGeom>
                  </pic:spPr>
                </pic:pic>
              </a:graphicData>
            </a:graphic>
          </wp:inline>
        </w:drawing>
      </w:r>
    </w:p>
    <w:p w:rsidR="001D4D78" w:rsidRPr="001337F4" w:rsidRDefault="001D4D78">
      <w:pPr>
        <w:rPr>
          <w:spacing w:val="-2"/>
        </w:rPr>
      </w:pPr>
      <w:r w:rsidRPr="001337F4">
        <w:rPr>
          <w:b/>
          <w:spacing w:val="-2"/>
          <w:u w:val="single"/>
        </w:rPr>
        <w:t>EMPLEADOS DEL ESTABLECIMIENTO DE BRONCEADO</w:t>
      </w:r>
      <w:r w:rsidR="006D782B" w:rsidRPr="001337F4">
        <w:rPr>
          <w:spacing w:val="-2"/>
        </w:rPr>
        <w:t>: Antes</w:t>
      </w:r>
      <w:r w:rsidRPr="001337F4">
        <w:rPr>
          <w:spacing w:val="-2"/>
        </w:rPr>
        <w:t xml:space="preserve"> del bronceado, se deben proporcionar a los clientes las siguientes advertencias.  A excepción de aquellos clientes que hubieran firmado el documento de advertencia en los seis meses precedentes, todos los clientes deben firmarlo para validar que entienden la advertencia.  Además, los empleados también deben firmar el documen</w:t>
      </w:r>
      <w:r w:rsidR="00456733">
        <w:rPr>
          <w:spacing w:val="-2"/>
        </w:rPr>
        <w:t>to de advertencia y, cuando se</w:t>
      </w:r>
      <w:r w:rsidRPr="001337F4">
        <w:rPr>
          <w:spacing w:val="-2"/>
        </w:rPr>
        <w:t xml:space="preserve">a posible, hacer que firme un testigo para verificar que la advertencia fue proporcionada.  Para los clientes que no puedan leer, los </w:t>
      </w:r>
      <w:r w:rsidR="00456733" w:rsidRPr="001337F4">
        <w:rPr>
          <w:spacing w:val="-2"/>
        </w:rPr>
        <w:t xml:space="preserve">empleados </w:t>
      </w:r>
      <w:r w:rsidR="00456733">
        <w:rPr>
          <w:spacing w:val="-2"/>
        </w:rPr>
        <w:t xml:space="preserve">del establecimiento </w:t>
      </w:r>
      <w:r w:rsidRPr="001337F4">
        <w:rPr>
          <w:spacing w:val="-2"/>
        </w:rPr>
        <w:t>deben leer o comunicar de alguna otra manera la declaración de advertencia en un lenguaje y forma que sean comprensibles para el cliente.</w:t>
      </w:r>
    </w:p>
    <w:p w:rsidR="006F71C7" w:rsidRPr="001337F4" w:rsidRDefault="001D4D78">
      <w:pPr>
        <w:rPr>
          <w:spacing w:val="-2"/>
        </w:rPr>
      </w:pPr>
      <w:r w:rsidRPr="001337F4">
        <w:rPr>
          <w:b/>
          <w:spacing w:val="-2"/>
          <w:u w:val="single"/>
        </w:rPr>
        <w:t>CLIENTES PARA BRONCEADO</w:t>
      </w:r>
      <w:r w:rsidR="00456733" w:rsidRPr="001337F4">
        <w:rPr>
          <w:spacing w:val="-2"/>
        </w:rPr>
        <w:t>: Antes</w:t>
      </w:r>
      <w:r w:rsidRPr="001337F4">
        <w:rPr>
          <w:spacing w:val="-2"/>
        </w:rPr>
        <w:t xml:space="preserve"> del bronceado, usted debe tener en cuenta la siguiente advertencia.  A menos que usted hubiera firmado el documento de advertencia en los seis meses precedentes, debe firmar dicho documento para validar que entiende la advertencia.  Además, los empleados del establecimiento de bronceado también deben firmar el documento de advertencia y, cuando fuera posible, hacer que firme un testigo para verificar que la advertencia fue proporcionada.</w:t>
      </w:r>
    </w:p>
    <w:p w:rsidR="001D4D78" w:rsidRPr="00C1315C" w:rsidRDefault="001D4D78" w:rsidP="001D4D78">
      <w:pPr>
        <w:widowControl w:val="0"/>
        <w:tabs>
          <w:tab w:val="center" w:pos="5100"/>
          <w:tab w:val="left" w:pos="7675"/>
        </w:tabs>
        <w:autoSpaceDE w:val="0"/>
        <w:autoSpaceDN w:val="0"/>
        <w:adjustRightInd w:val="0"/>
        <w:spacing w:after="0" w:line="279" w:lineRule="exact"/>
        <w:jc w:val="center"/>
        <w:rPr>
          <w:rFonts w:ascii="Times New Roman" w:eastAsia="Times New Roman" w:hAnsi="Times New Roman" w:cs="Times New Roman"/>
          <w:sz w:val="24"/>
          <w:szCs w:val="24"/>
        </w:rPr>
      </w:pPr>
      <w:r w:rsidRPr="00C1315C">
        <w:rPr>
          <w:rFonts w:ascii="Times New Roman" w:hAnsi="Times New Roman"/>
          <w:sz w:val="24"/>
          <w:szCs w:val="24"/>
        </w:rPr>
        <w:t xml:space="preserve">PELIGRO </w:t>
      </w:r>
      <w:r w:rsidRPr="00C1315C">
        <w:rPr>
          <w:rFonts w:ascii="Times New Roman" w:hAnsi="Times New Roman"/>
          <w:sz w:val="24"/>
          <w:szCs w:val="24"/>
        </w:rPr>
        <w:noBreakHyphen/>
        <w:t xml:space="preserve"> RADIACIÓN ULTRAVIOLETA</w:t>
      </w:r>
    </w:p>
    <w:p w:rsidR="001D4D78" w:rsidRPr="00C1315C"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r w:rsidRPr="00C1315C">
        <w:rPr>
          <w:rFonts w:ascii="Times New Roman" w:hAnsi="Times New Roman"/>
          <w:sz w:val="24"/>
          <w:szCs w:val="24"/>
        </w:rPr>
        <w:t>Siga las instrucciones.</w:t>
      </w:r>
    </w:p>
    <w:p w:rsidR="001D4D78" w:rsidRPr="00C1315C"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r w:rsidRPr="00C1315C">
        <w:rPr>
          <w:rFonts w:ascii="Times New Roman" w:hAnsi="Times New Roman"/>
          <w:sz w:val="24"/>
          <w:szCs w:val="24"/>
        </w:rPr>
        <w:t xml:space="preserve">Evite la exposición frecuente o </w:t>
      </w:r>
      <w:r w:rsidR="00B92BE1">
        <w:rPr>
          <w:rFonts w:ascii="Times New Roman" w:hAnsi="Times New Roman"/>
          <w:sz w:val="24"/>
          <w:szCs w:val="24"/>
        </w:rPr>
        <w:t>por mucho tiempo.</w:t>
      </w:r>
      <w:r w:rsidRPr="00C1315C">
        <w:rPr>
          <w:rFonts w:ascii="Times New Roman" w:hAnsi="Times New Roman"/>
          <w:sz w:val="24"/>
          <w:szCs w:val="24"/>
        </w:rPr>
        <w:t xml:space="preserve">  Al igual que con la luz solar, la exposición a una lámpara solar puede causar lesiones en los ojos y la piel, y reacciones alérgicas.  La exposición repetitiva puede causar daño crónico en la piel </w:t>
      </w:r>
      <w:r w:rsidR="00456733">
        <w:rPr>
          <w:rFonts w:ascii="Times New Roman" w:hAnsi="Times New Roman"/>
          <w:sz w:val="24"/>
          <w:szCs w:val="24"/>
        </w:rPr>
        <w:t xml:space="preserve">así como </w:t>
      </w:r>
      <w:r w:rsidRPr="00C1315C">
        <w:rPr>
          <w:rFonts w:ascii="Times New Roman" w:hAnsi="Times New Roman"/>
          <w:sz w:val="24"/>
          <w:szCs w:val="24"/>
        </w:rPr>
        <w:t>arrugas, sequedad, fragilidad, moretones y cáncer de piel.</w:t>
      </w:r>
    </w:p>
    <w:p w:rsidR="001D4D78" w:rsidRPr="00C1315C"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r w:rsidRPr="00C1315C">
        <w:rPr>
          <w:rFonts w:ascii="Times New Roman" w:hAnsi="Times New Roman"/>
          <w:sz w:val="24"/>
          <w:szCs w:val="24"/>
        </w:rPr>
        <w:t>Usar anteojos protectores.  NO USAR ANTEOJOS PROTECTORES PUEDE PROVOCAR QUEMADURAS SEVERAS O LESIÓN EN LOS OJOS</w:t>
      </w:r>
      <w:r w:rsidR="00456733">
        <w:rPr>
          <w:rFonts w:ascii="Times New Roman" w:hAnsi="Times New Roman"/>
          <w:sz w:val="24"/>
          <w:szCs w:val="24"/>
        </w:rPr>
        <w:t xml:space="preserve"> A LARGO PLAZO</w:t>
      </w:r>
      <w:r w:rsidRPr="00C1315C">
        <w:rPr>
          <w:rFonts w:ascii="Times New Roman" w:hAnsi="Times New Roman"/>
          <w:sz w:val="24"/>
          <w:szCs w:val="24"/>
        </w:rPr>
        <w:t>.</w:t>
      </w:r>
    </w:p>
    <w:p w:rsidR="001D4D78" w:rsidRPr="00C1315C"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r w:rsidRPr="00C1315C">
        <w:rPr>
          <w:rFonts w:ascii="Times New Roman" w:hAnsi="Times New Roman"/>
          <w:sz w:val="24"/>
          <w:szCs w:val="24"/>
        </w:rPr>
        <w:t>La radiación ultravioleta de las lámparas solares empeora los efectos del sol.  No tome sol ni antes ni después de la exposición a la radiación ultravioleta.</w:t>
      </w:r>
    </w:p>
    <w:p w:rsidR="001D4D78" w:rsidRPr="00C1315C" w:rsidRDefault="001D4D78" w:rsidP="00456733">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r w:rsidRPr="00C1315C">
        <w:rPr>
          <w:rFonts w:ascii="Times New Roman" w:hAnsi="Times New Roman"/>
          <w:sz w:val="24"/>
          <w:szCs w:val="24"/>
        </w:rPr>
        <w:t>Ciertos alimentos, cosméticos o medicamentos</w:t>
      </w:r>
      <w:r w:rsidR="00456733">
        <w:rPr>
          <w:rFonts w:ascii="Times New Roman" w:hAnsi="Times New Roman"/>
          <w:sz w:val="24"/>
          <w:szCs w:val="24"/>
        </w:rPr>
        <w:t>, incluyendo</w:t>
      </w:r>
      <w:r w:rsidRPr="00C1315C">
        <w:rPr>
          <w:rFonts w:ascii="Times New Roman" w:hAnsi="Times New Roman"/>
          <w:sz w:val="24"/>
          <w:szCs w:val="24"/>
        </w:rPr>
        <w:t xml:space="preserve"> sedantes, diuréticos, antibióticos, medicamento para la presión arterial, píldoras anticonceptivas y cremas para la piel</w:t>
      </w:r>
      <w:r w:rsidR="00456733">
        <w:rPr>
          <w:rFonts w:ascii="Times New Roman" w:hAnsi="Times New Roman"/>
          <w:sz w:val="24"/>
          <w:szCs w:val="24"/>
        </w:rPr>
        <w:t xml:space="preserve"> </w:t>
      </w:r>
      <w:r w:rsidR="00456733" w:rsidRPr="00456733">
        <w:rPr>
          <w:rFonts w:ascii="Times New Roman" w:hAnsi="Times New Roman"/>
          <w:sz w:val="24"/>
          <w:szCs w:val="24"/>
        </w:rPr>
        <w:t>pueden provocar aumento de la sensibilidad o quemaduras en la piel</w:t>
      </w:r>
      <w:r w:rsidRPr="00C1315C">
        <w:rPr>
          <w:rFonts w:ascii="Times New Roman" w:hAnsi="Times New Roman"/>
          <w:sz w:val="24"/>
          <w:szCs w:val="24"/>
        </w:rPr>
        <w:t xml:space="preserve">.  Consulte a un médico antes de usar una lámpara solar si está tomando medicamentos, tiene antecedentes de problemas de la piel, o cree que tiene alta sensibilidad a la luz solar.  Las mujeres embarazadas o que toman anticonceptivos y usan un aparato </w:t>
      </w:r>
      <w:r w:rsidR="00456733">
        <w:rPr>
          <w:rFonts w:ascii="Times New Roman" w:hAnsi="Times New Roman"/>
          <w:sz w:val="24"/>
          <w:szCs w:val="24"/>
        </w:rPr>
        <w:t>bronceador</w:t>
      </w:r>
      <w:r w:rsidRPr="00C1315C">
        <w:rPr>
          <w:rFonts w:ascii="Times New Roman" w:hAnsi="Times New Roman"/>
          <w:sz w:val="24"/>
          <w:szCs w:val="24"/>
        </w:rPr>
        <w:t xml:space="preserve"> pueden presentar decoloración de la piel.</w:t>
      </w:r>
    </w:p>
    <w:p w:rsidR="001D4D78" w:rsidRPr="00456733" w:rsidRDefault="001D4D78" w:rsidP="00456733">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r w:rsidRPr="00C1315C">
        <w:rPr>
          <w:rFonts w:ascii="Times New Roman" w:hAnsi="Times New Roman"/>
          <w:sz w:val="24"/>
          <w:szCs w:val="24"/>
        </w:rPr>
        <w:t>SI SU PIEL NO SE BRONCEA CON EL SOL, TAMPOCO LO HARÁ UTILIZANDO ESTE APARATO.  Usar un aparato bronceador no ofrece protección suficiente contra los efectos del sol.</w:t>
      </w:r>
      <w:r w:rsidR="00456733">
        <w:rPr>
          <w:rFonts w:ascii="Times New Roman" w:hAnsi="Times New Roman"/>
          <w:sz w:val="24"/>
          <w:szCs w:val="24"/>
        </w:rPr>
        <w:br/>
      </w:r>
      <w:r w:rsidR="00456733" w:rsidRPr="00456733">
        <w:rPr>
          <w:rFonts w:ascii="Times New Roman" w:eastAsia="Times New Roman" w:hAnsi="Times New Roman" w:cs="Times New Roman"/>
          <w:sz w:val="24"/>
          <w:szCs w:val="24"/>
        </w:rPr>
        <w:br/>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98"/>
        <w:gridCol w:w="1980"/>
        <w:gridCol w:w="2790"/>
        <w:gridCol w:w="90"/>
        <w:gridCol w:w="2358"/>
      </w:tblGrid>
      <w:tr w:rsidR="001D4D78" w:rsidTr="00C1315C">
        <w:tc>
          <w:tcPr>
            <w:tcW w:w="5778" w:type="dxa"/>
            <w:gridSpan w:val="2"/>
          </w:tcPr>
          <w:p w:rsidR="001D4D78" w:rsidRDefault="00C67FE6" w:rsidP="001D4D78">
            <w:r>
              <w:t>Firma del cliente</w:t>
            </w:r>
          </w:p>
          <w:p w:rsidR="001D4D78" w:rsidRDefault="001D4D78" w:rsidP="001D4D78"/>
          <w:p w:rsidR="001D4D78" w:rsidRDefault="001D4D78" w:rsidP="001D4D78"/>
          <w:p w:rsidR="001D4D78" w:rsidRDefault="001D4D78" w:rsidP="001D4D78"/>
        </w:tc>
        <w:tc>
          <w:tcPr>
            <w:tcW w:w="2880" w:type="dxa"/>
            <w:gridSpan w:val="2"/>
          </w:tcPr>
          <w:p w:rsidR="001D4D78" w:rsidRDefault="001D4D78" w:rsidP="001D4D78"/>
        </w:tc>
        <w:tc>
          <w:tcPr>
            <w:tcW w:w="2358" w:type="dxa"/>
          </w:tcPr>
          <w:p w:rsidR="001D4D78" w:rsidRDefault="001D4D78" w:rsidP="001D4D78">
            <w:r>
              <w:t>Fecha</w:t>
            </w:r>
          </w:p>
        </w:tc>
      </w:tr>
      <w:tr w:rsidR="001D4D78" w:rsidTr="00C1315C">
        <w:tc>
          <w:tcPr>
            <w:tcW w:w="5778" w:type="dxa"/>
            <w:gridSpan w:val="2"/>
          </w:tcPr>
          <w:p w:rsidR="001D4D78" w:rsidRDefault="001D4D78" w:rsidP="001D4D78">
            <w:r>
              <w:t>Firma del empleado del establecimiento de bronceado</w:t>
            </w:r>
          </w:p>
          <w:p w:rsidR="001D4D78" w:rsidRDefault="001D4D78" w:rsidP="001D4D78"/>
          <w:p w:rsidR="001D4D78" w:rsidRDefault="001D4D78" w:rsidP="001D4D78"/>
          <w:p w:rsidR="001D4D78" w:rsidRDefault="001D4D78" w:rsidP="001D4D78">
            <w:r>
              <w:tab/>
            </w:r>
          </w:p>
        </w:tc>
        <w:tc>
          <w:tcPr>
            <w:tcW w:w="2880" w:type="dxa"/>
            <w:gridSpan w:val="2"/>
          </w:tcPr>
          <w:p w:rsidR="001D4D78" w:rsidRDefault="001D4D78" w:rsidP="001D4D78"/>
        </w:tc>
        <w:tc>
          <w:tcPr>
            <w:tcW w:w="2358" w:type="dxa"/>
          </w:tcPr>
          <w:p w:rsidR="001D4D78" w:rsidRDefault="001D4D78" w:rsidP="001D4D78">
            <w:r>
              <w:t>Fecha</w:t>
            </w:r>
          </w:p>
        </w:tc>
      </w:tr>
      <w:tr w:rsidR="001D4D78" w:rsidTr="00C1315C">
        <w:tc>
          <w:tcPr>
            <w:tcW w:w="5778" w:type="dxa"/>
            <w:gridSpan w:val="2"/>
            <w:tcBorders>
              <w:bottom w:val="nil"/>
            </w:tcBorders>
          </w:tcPr>
          <w:p w:rsidR="001D4D78" w:rsidRDefault="001D4D78" w:rsidP="001D4D78">
            <w:r>
              <w:t>Firma del testigo</w:t>
            </w:r>
          </w:p>
          <w:p w:rsidR="001D4D78" w:rsidRDefault="001D4D78" w:rsidP="001D4D78"/>
        </w:tc>
        <w:tc>
          <w:tcPr>
            <w:tcW w:w="2880" w:type="dxa"/>
            <w:gridSpan w:val="2"/>
            <w:tcBorders>
              <w:bottom w:val="nil"/>
            </w:tcBorders>
          </w:tcPr>
          <w:p w:rsidR="001D4D78" w:rsidRDefault="001D4D78" w:rsidP="001D4D78"/>
        </w:tc>
        <w:tc>
          <w:tcPr>
            <w:tcW w:w="2358" w:type="dxa"/>
            <w:tcBorders>
              <w:bottom w:val="nil"/>
            </w:tcBorders>
          </w:tcPr>
          <w:p w:rsidR="001D4D78" w:rsidRDefault="001D4D78" w:rsidP="001D4D78">
            <w:r>
              <w:t>Fecha</w:t>
            </w:r>
          </w:p>
        </w:tc>
      </w:tr>
      <w:tr w:rsidR="00C1315C" w:rsidTr="00C1315C">
        <w:tblPrEx>
          <w:jc w:val="center"/>
        </w:tblPrEx>
        <w:trPr>
          <w:jc w:val="center"/>
        </w:trPr>
        <w:tc>
          <w:tcPr>
            <w:tcW w:w="3798" w:type="dxa"/>
            <w:tcBorders>
              <w:top w:val="nil"/>
              <w:bottom w:val="nil"/>
            </w:tcBorders>
            <w:vAlign w:val="center"/>
            <w:hideMark/>
          </w:tcPr>
          <w:p w:rsidR="00C1315C" w:rsidRDefault="00C1315C">
            <w:pPr>
              <w:jc w:val="center"/>
            </w:pPr>
            <w:r>
              <w:t>105 CMR 123.000: TANNING FACILITIES</w:t>
            </w:r>
          </w:p>
        </w:tc>
        <w:tc>
          <w:tcPr>
            <w:tcW w:w="4770" w:type="dxa"/>
            <w:gridSpan w:val="2"/>
            <w:tcBorders>
              <w:top w:val="nil"/>
              <w:bottom w:val="nil"/>
            </w:tcBorders>
            <w:vAlign w:val="bottom"/>
            <w:hideMark/>
          </w:tcPr>
          <w:p w:rsidR="00C1315C" w:rsidRDefault="00C1315C">
            <w:pPr>
              <w:jc w:val="center"/>
            </w:pPr>
          </w:p>
        </w:tc>
        <w:tc>
          <w:tcPr>
            <w:tcW w:w="2448" w:type="dxa"/>
            <w:gridSpan w:val="2"/>
            <w:tcBorders>
              <w:top w:val="nil"/>
              <w:bottom w:val="nil"/>
            </w:tcBorders>
            <w:vAlign w:val="center"/>
            <w:hideMark/>
          </w:tcPr>
          <w:p w:rsidR="00C1315C" w:rsidRDefault="004A1B17">
            <w:pPr>
              <w:jc w:val="center"/>
            </w:pPr>
            <w:proofErr w:type="spellStart"/>
            <w:r>
              <w:t>Spanish</w:t>
            </w:r>
            <w:proofErr w:type="spellEnd"/>
            <w:r>
              <w:t xml:space="preserve"> </w:t>
            </w:r>
            <w:r w:rsidR="00C1315C">
              <w:t>2017</w:t>
            </w:r>
          </w:p>
        </w:tc>
      </w:tr>
    </w:tbl>
    <w:p w:rsidR="001D4D78" w:rsidRPr="001D4D78" w:rsidRDefault="001D4D78" w:rsidP="00C67FE6"/>
    <w:sectPr w:rsidR="001D4D78" w:rsidRPr="001D4D78" w:rsidSect="002F64F3">
      <w:headerReference w:type="default" r:id="rId1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52F" w:rsidRDefault="00F7752F" w:rsidP="00C3556B">
      <w:pPr>
        <w:spacing w:after="0" w:line="240" w:lineRule="auto"/>
      </w:pPr>
      <w:r>
        <w:separator/>
      </w:r>
    </w:p>
  </w:endnote>
  <w:endnote w:type="continuationSeparator" w:id="0">
    <w:p w:rsidR="00F7752F" w:rsidRDefault="00F7752F" w:rsidP="00C3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52F" w:rsidRDefault="00F7752F" w:rsidP="00C3556B">
      <w:pPr>
        <w:spacing w:after="0" w:line="240" w:lineRule="auto"/>
      </w:pPr>
      <w:r>
        <w:separator/>
      </w:r>
    </w:p>
  </w:footnote>
  <w:footnote w:type="continuationSeparator" w:id="0">
    <w:p w:rsidR="00F7752F" w:rsidRDefault="00F7752F" w:rsidP="00C35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56B" w:rsidRPr="00C3556B" w:rsidRDefault="00C3556B">
    <w:pPr>
      <w:pStyle w:val="Header"/>
      <w:rPr>
        <w:i/>
      </w:rPr>
    </w:pPr>
    <w:r>
      <w:rPr>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6BEC"/>
    <w:multiLevelType w:val="hybridMultilevel"/>
    <w:tmpl w:val="F0E88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05271A"/>
    <w:multiLevelType w:val="hybridMultilevel"/>
    <w:tmpl w:val="155832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78"/>
    <w:rsid w:val="00092818"/>
    <w:rsid w:val="000E4AF5"/>
    <w:rsid w:val="001337F4"/>
    <w:rsid w:val="001D4D78"/>
    <w:rsid w:val="002D0224"/>
    <w:rsid w:val="002F13FE"/>
    <w:rsid w:val="002F64F3"/>
    <w:rsid w:val="00364B99"/>
    <w:rsid w:val="00456733"/>
    <w:rsid w:val="004A1B17"/>
    <w:rsid w:val="005B1263"/>
    <w:rsid w:val="006D782B"/>
    <w:rsid w:val="007513CD"/>
    <w:rsid w:val="007D59B7"/>
    <w:rsid w:val="007F22A2"/>
    <w:rsid w:val="00892409"/>
    <w:rsid w:val="009315A4"/>
    <w:rsid w:val="009E3BE9"/>
    <w:rsid w:val="00A72798"/>
    <w:rsid w:val="00B92BE1"/>
    <w:rsid w:val="00BF1660"/>
    <w:rsid w:val="00C1315C"/>
    <w:rsid w:val="00C3556B"/>
    <w:rsid w:val="00C67FE6"/>
    <w:rsid w:val="00D26343"/>
    <w:rsid w:val="00E3260C"/>
    <w:rsid w:val="00E372BE"/>
    <w:rsid w:val="00E9081F"/>
    <w:rsid w:val="00F77304"/>
    <w:rsid w:val="00F7752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C13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1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C13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1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6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DE660-5911-49B7-9FE4-DE591E2E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Curtido de MDPH que Advierte Declaración 2017</vt:lpstr>
    </vt:vector>
  </TitlesOfParts>
  <Company>EOHHS</Company>
  <LinksUpToDate>false</LinksUpToDate>
  <CharactersWithSpaces>2725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2017-04-25T14:01:00Z</dcterms:created>
  <dc:creator>MDPH - Oficina de Salud Ambiental</dc:creator>
  <keywords>curtido, radiación ultravioleta</keywords>
  <lastModifiedBy/>
  <lastPrinted>2017-03-23T13:47:00Z</lastPrinted>
  <dcterms:modified xsi:type="dcterms:W3CDTF">2017-04-25T14:01:00Z</dcterms:modified>
  <revision>2</revision>
  <dc:subject>Antes del curtido, deben proporcionar a Operadores de Instalación de Curtido y Clientes de Curtido a todos los clientes. Excepto aquellos clientes que han firmado la declaración de advertencia en el precedente a seis meses, cada cliente debe firmar la declaración de advertencia que los reconoce entienden la advertencia. La declaración de advertencia también debe ser firmada por el operador y, cuando posible, por un testigo para verificar que la advertencia fue proporcionada. Para clientes que no pueden leer, los operadores deben leer o por otra parte comunicar la declaración de advertencia en una lengua y forma comprensible por el cliente.</dc:subject>
  <dc:title>Curtido de MDPH que Advierte Declaración 2017</dc:title>
</coreProperties>
</file>