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3A6" w:rsidRPr="005C737D" w:rsidRDefault="005843A6" w:rsidP="005843A6">
      <w:pPr>
        <w:spacing w:after="0"/>
        <w:rPr>
          <w:color w:val="000000"/>
        </w:rPr>
      </w:pPr>
      <w:bookmarkStart w:id="0" w:name="_GoBack"/>
      <w:bookmarkEnd w:id="0"/>
    </w:p>
    <w:p w:rsidR="005843A6" w:rsidRDefault="005843A6" w:rsidP="005843A6">
      <w:pPr>
        <w:spacing w:after="0"/>
        <w:jc w:val="both"/>
        <w:rPr>
          <w:color w:val="000000"/>
        </w:rPr>
      </w:pPr>
    </w:p>
    <w:p w:rsidR="005843A6" w:rsidRPr="005C737D" w:rsidRDefault="005843A6" w:rsidP="005843A6">
      <w:pPr>
        <w:spacing w:after="0"/>
        <w:jc w:val="both"/>
        <w:rPr>
          <w:color w:val="000000"/>
        </w:rPr>
      </w:pPr>
    </w:p>
    <w:p w:rsidR="005843A6" w:rsidRPr="005C737D" w:rsidRDefault="005843A6" w:rsidP="005843A6">
      <w:pPr>
        <w:spacing w:after="0"/>
        <w:jc w:val="both"/>
        <w:rPr>
          <w:color w:val="000000"/>
        </w:rPr>
      </w:pPr>
    </w:p>
    <w:p w:rsidR="005843A6" w:rsidRPr="002D3D8E" w:rsidRDefault="005843A6" w:rsidP="005843A6">
      <w:pPr>
        <w:tabs>
          <w:tab w:val="center" w:pos="4680"/>
        </w:tabs>
        <w:spacing w:after="0"/>
        <w:jc w:val="both"/>
        <w:rPr>
          <w:rFonts w:ascii="Times New Roman" w:hAnsi="Times New Roman" w:cs="Times New Roman"/>
          <w:b/>
          <w:bCs/>
          <w:color w:val="000000"/>
          <w:sz w:val="36"/>
          <w:szCs w:val="36"/>
        </w:rPr>
      </w:pPr>
      <w:r w:rsidRPr="007601A4">
        <w:rPr>
          <w:color w:val="000000"/>
          <w:sz w:val="36"/>
          <w:szCs w:val="36"/>
        </w:rPr>
        <w:tab/>
      </w:r>
      <w:r w:rsidRPr="002D3D8E">
        <w:rPr>
          <w:rFonts w:ascii="Times New Roman" w:hAnsi="Times New Roman" w:cs="Times New Roman"/>
          <w:b/>
          <w:bCs/>
          <w:color w:val="000000"/>
          <w:sz w:val="36"/>
          <w:szCs w:val="36"/>
        </w:rPr>
        <w:t>PUBLIC DISCLOSURE</w:t>
      </w:r>
    </w:p>
    <w:p w:rsidR="005843A6" w:rsidRPr="002D3D8E" w:rsidRDefault="005843A6" w:rsidP="005843A6">
      <w:pPr>
        <w:spacing w:after="0"/>
        <w:jc w:val="both"/>
        <w:rPr>
          <w:rFonts w:ascii="Times New Roman" w:hAnsi="Times New Roman" w:cs="Times New Roman"/>
          <w:color w:val="000000"/>
        </w:rPr>
      </w:pPr>
    </w:p>
    <w:p w:rsidR="005843A6" w:rsidRPr="002D3D8E" w:rsidRDefault="005843A6" w:rsidP="005843A6">
      <w:pPr>
        <w:spacing w:after="0"/>
        <w:jc w:val="both"/>
        <w:rPr>
          <w:rFonts w:ascii="Times New Roman" w:hAnsi="Times New Roman" w:cs="Times New Roman"/>
          <w:color w:val="000000"/>
        </w:rPr>
      </w:pPr>
    </w:p>
    <w:p w:rsidR="005843A6" w:rsidRPr="002D3D8E" w:rsidRDefault="005843A6" w:rsidP="005843A6">
      <w:pPr>
        <w:spacing w:after="0"/>
        <w:jc w:val="both"/>
        <w:rPr>
          <w:rFonts w:ascii="Times New Roman" w:hAnsi="Times New Roman" w:cs="Times New Roman"/>
          <w:color w:val="000000"/>
        </w:rPr>
      </w:pPr>
    </w:p>
    <w:p w:rsidR="005843A6" w:rsidRPr="002D3D8E" w:rsidRDefault="005843A6" w:rsidP="005843A6">
      <w:pPr>
        <w:spacing w:after="0"/>
        <w:jc w:val="both"/>
        <w:rPr>
          <w:rFonts w:ascii="Times New Roman" w:hAnsi="Times New Roman" w:cs="Times New Roman"/>
          <w:color w:val="000000"/>
          <w:sz w:val="24"/>
          <w:szCs w:val="24"/>
        </w:rPr>
      </w:pPr>
    </w:p>
    <w:p w:rsidR="005843A6" w:rsidRPr="002D3D8E" w:rsidRDefault="005843A6" w:rsidP="005843A6">
      <w:pPr>
        <w:tabs>
          <w:tab w:val="center" w:pos="4680"/>
        </w:tabs>
        <w:spacing w:after="0"/>
        <w:jc w:val="both"/>
        <w:rPr>
          <w:rFonts w:ascii="Times New Roman" w:hAnsi="Times New Roman" w:cs="Times New Roman"/>
          <w:color w:val="000000"/>
          <w:sz w:val="24"/>
          <w:szCs w:val="24"/>
        </w:rPr>
      </w:pPr>
      <w:r w:rsidRPr="002D3D8E">
        <w:rPr>
          <w:rFonts w:ascii="Times New Roman" w:hAnsi="Times New Roman" w:cs="Times New Roman"/>
          <w:color w:val="000000"/>
          <w:sz w:val="24"/>
          <w:szCs w:val="24"/>
        </w:rPr>
        <w:tab/>
        <w:t>January 14, 2019</w:t>
      </w:r>
    </w:p>
    <w:p w:rsidR="005843A6" w:rsidRPr="002D3D8E" w:rsidRDefault="005843A6" w:rsidP="005843A6">
      <w:pPr>
        <w:spacing w:after="0"/>
        <w:jc w:val="both"/>
        <w:rPr>
          <w:rFonts w:ascii="Times New Roman" w:hAnsi="Times New Roman" w:cs="Times New Roman"/>
          <w:color w:val="000000"/>
        </w:rPr>
      </w:pPr>
    </w:p>
    <w:p w:rsidR="005843A6" w:rsidRPr="002D3D8E" w:rsidRDefault="005843A6" w:rsidP="005843A6">
      <w:pPr>
        <w:spacing w:after="0"/>
        <w:jc w:val="both"/>
        <w:rPr>
          <w:rFonts w:ascii="Times New Roman" w:hAnsi="Times New Roman" w:cs="Times New Roman"/>
          <w:color w:val="000000"/>
        </w:rPr>
      </w:pPr>
    </w:p>
    <w:p w:rsidR="005843A6" w:rsidRPr="002D3D8E" w:rsidRDefault="005843A6" w:rsidP="005843A6">
      <w:pPr>
        <w:spacing w:after="0"/>
        <w:jc w:val="both"/>
        <w:rPr>
          <w:rFonts w:ascii="Times New Roman" w:hAnsi="Times New Roman" w:cs="Times New Roman"/>
          <w:color w:val="000000"/>
        </w:rPr>
      </w:pPr>
    </w:p>
    <w:p w:rsidR="005843A6" w:rsidRPr="002D3D8E" w:rsidRDefault="005843A6" w:rsidP="005843A6">
      <w:pPr>
        <w:spacing w:after="0"/>
        <w:jc w:val="both"/>
        <w:rPr>
          <w:rFonts w:ascii="Times New Roman" w:hAnsi="Times New Roman" w:cs="Times New Roman"/>
          <w:color w:val="000000"/>
        </w:rPr>
      </w:pPr>
    </w:p>
    <w:p w:rsidR="005843A6" w:rsidRPr="002D3D8E" w:rsidRDefault="005843A6" w:rsidP="005843A6">
      <w:pPr>
        <w:tabs>
          <w:tab w:val="center" w:pos="4680"/>
        </w:tabs>
        <w:spacing w:after="0"/>
        <w:jc w:val="both"/>
        <w:rPr>
          <w:rFonts w:ascii="Times New Roman" w:hAnsi="Times New Roman" w:cs="Times New Roman"/>
          <w:b/>
          <w:bCs/>
          <w:color w:val="000000"/>
          <w:sz w:val="36"/>
          <w:szCs w:val="36"/>
        </w:rPr>
      </w:pPr>
      <w:r w:rsidRPr="002D3D8E">
        <w:rPr>
          <w:rFonts w:ascii="Times New Roman" w:hAnsi="Times New Roman" w:cs="Times New Roman"/>
          <w:color w:val="000000"/>
        </w:rPr>
        <w:tab/>
      </w:r>
      <w:r w:rsidRPr="002D3D8E">
        <w:rPr>
          <w:rFonts w:ascii="Times New Roman" w:hAnsi="Times New Roman" w:cs="Times New Roman"/>
          <w:b/>
          <w:bCs/>
          <w:color w:val="000000"/>
          <w:sz w:val="36"/>
          <w:szCs w:val="36"/>
        </w:rPr>
        <w:t>COMMUNITY REINVESTMENT ACT</w:t>
      </w:r>
    </w:p>
    <w:p w:rsidR="005843A6" w:rsidRPr="002D3D8E" w:rsidRDefault="005843A6" w:rsidP="005843A6">
      <w:pPr>
        <w:tabs>
          <w:tab w:val="center" w:pos="4680"/>
        </w:tabs>
        <w:spacing w:after="0"/>
        <w:jc w:val="both"/>
        <w:rPr>
          <w:rFonts w:ascii="Times New Roman" w:hAnsi="Times New Roman" w:cs="Times New Roman"/>
          <w:color w:val="000000"/>
          <w:sz w:val="36"/>
          <w:szCs w:val="36"/>
        </w:rPr>
      </w:pPr>
      <w:r w:rsidRPr="002D3D8E">
        <w:rPr>
          <w:rFonts w:ascii="Times New Roman" w:hAnsi="Times New Roman" w:cs="Times New Roman"/>
          <w:b/>
          <w:bCs/>
          <w:color w:val="000000"/>
          <w:sz w:val="36"/>
          <w:szCs w:val="36"/>
        </w:rPr>
        <w:tab/>
        <w:t>PERFORMANCE EVALUATION</w:t>
      </w:r>
    </w:p>
    <w:p w:rsidR="005843A6" w:rsidRPr="002D3D8E" w:rsidRDefault="005843A6" w:rsidP="005843A6">
      <w:pPr>
        <w:spacing w:after="0"/>
        <w:rPr>
          <w:rFonts w:ascii="Times New Roman" w:hAnsi="Times New Roman" w:cs="Times New Roman"/>
          <w:color w:val="000000"/>
        </w:rPr>
      </w:pPr>
    </w:p>
    <w:p w:rsidR="005843A6" w:rsidRPr="002D3D8E" w:rsidRDefault="005843A6" w:rsidP="005843A6">
      <w:pPr>
        <w:tabs>
          <w:tab w:val="center" w:pos="4680"/>
        </w:tabs>
        <w:spacing w:after="0"/>
        <w:rPr>
          <w:rFonts w:ascii="Times New Roman" w:hAnsi="Times New Roman" w:cs="Times New Roman"/>
          <w:color w:val="000000"/>
        </w:rPr>
      </w:pPr>
    </w:p>
    <w:p w:rsidR="005843A6" w:rsidRPr="002D3D8E" w:rsidRDefault="005843A6" w:rsidP="005843A6">
      <w:pPr>
        <w:spacing w:after="0"/>
        <w:rPr>
          <w:rFonts w:ascii="Times New Roman" w:hAnsi="Times New Roman" w:cs="Times New Roman"/>
          <w:color w:val="000000"/>
        </w:rPr>
      </w:pPr>
    </w:p>
    <w:p w:rsidR="005843A6" w:rsidRPr="002D3D8E" w:rsidRDefault="005843A6" w:rsidP="005843A6">
      <w:pPr>
        <w:tabs>
          <w:tab w:val="center" w:pos="4680"/>
        </w:tabs>
        <w:spacing w:after="0"/>
        <w:jc w:val="both"/>
        <w:rPr>
          <w:rFonts w:ascii="Times New Roman" w:hAnsi="Times New Roman" w:cs="Times New Roman"/>
          <w:color w:val="000000"/>
          <w:sz w:val="24"/>
          <w:szCs w:val="24"/>
        </w:rPr>
      </w:pPr>
      <w:r w:rsidRPr="002D3D8E">
        <w:rPr>
          <w:rFonts w:ascii="Times New Roman" w:hAnsi="Times New Roman" w:cs="Times New Roman"/>
          <w:b/>
          <w:bCs/>
          <w:color w:val="000000"/>
        </w:rPr>
        <w:tab/>
      </w:r>
      <w:r w:rsidRPr="002D3D8E">
        <w:rPr>
          <w:rFonts w:ascii="Times New Roman" w:hAnsi="Times New Roman" w:cs="Times New Roman"/>
          <w:color w:val="000000"/>
          <w:sz w:val="24"/>
          <w:szCs w:val="24"/>
        </w:rPr>
        <w:t>WATERTOWN SAVINGS BANK</w:t>
      </w:r>
    </w:p>
    <w:p w:rsidR="005843A6" w:rsidRPr="002D3D8E" w:rsidRDefault="005843A6" w:rsidP="005843A6">
      <w:pPr>
        <w:tabs>
          <w:tab w:val="center" w:pos="4680"/>
        </w:tabs>
        <w:spacing w:after="0"/>
        <w:jc w:val="both"/>
        <w:rPr>
          <w:rFonts w:ascii="Times New Roman" w:hAnsi="Times New Roman" w:cs="Times New Roman"/>
          <w:color w:val="000000"/>
          <w:sz w:val="24"/>
          <w:szCs w:val="24"/>
        </w:rPr>
      </w:pPr>
      <w:r w:rsidRPr="002D3D8E">
        <w:rPr>
          <w:rFonts w:ascii="Times New Roman" w:hAnsi="Times New Roman" w:cs="Times New Roman"/>
          <w:color w:val="000000"/>
          <w:sz w:val="24"/>
          <w:szCs w:val="24"/>
        </w:rPr>
        <w:tab/>
        <w:t>Certificate Number:  23298</w:t>
      </w:r>
    </w:p>
    <w:p w:rsidR="005843A6" w:rsidRPr="002D3D8E" w:rsidRDefault="005843A6" w:rsidP="005843A6">
      <w:pPr>
        <w:spacing w:after="0"/>
        <w:jc w:val="both"/>
        <w:rPr>
          <w:rFonts w:ascii="Times New Roman" w:hAnsi="Times New Roman" w:cs="Times New Roman"/>
          <w:color w:val="000000"/>
          <w:sz w:val="24"/>
          <w:szCs w:val="24"/>
        </w:rPr>
      </w:pPr>
    </w:p>
    <w:p w:rsidR="005843A6" w:rsidRPr="002D3D8E" w:rsidRDefault="005843A6" w:rsidP="005843A6">
      <w:pPr>
        <w:tabs>
          <w:tab w:val="center" w:pos="4680"/>
        </w:tabs>
        <w:spacing w:after="0"/>
        <w:jc w:val="center"/>
        <w:rPr>
          <w:rFonts w:ascii="Times New Roman" w:hAnsi="Times New Roman" w:cs="Times New Roman"/>
          <w:sz w:val="24"/>
          <w:szCs w:val="24"/>
        </w:rPr>
      </w:pPr>
      <w:r w:rsidRPr="002D3D8E">
        <w:rPr>
          <w:rFonts w:ascii="Times New Roman" w:hAnsi="Times New Roman" w:cs="Times New Roman"/>
          <w:sz w:val="24"/>
          <w:szCs w:val="24"/>
        </w:rPr>
        <w:t>60 Main Street</w:t>
      </w:r>
    </w:p>
    <w:p w:rsidR="005843A6" w:rsidRPr="002D3D8E" w:rsidRDefault="005843A6" w:rsidP="005843A6">
      <w:pPr>
        <w:tabs>
          <w:tab w:val="left" w:pos="5175"/>
        </w:tabs>
        <w:spacing w:after="0"/>
        <w:jc w:val="center"/>
        <w:rPr>
          <w:rFonts w:ascii="Times New Roman" w:hAnsi="Times New Roman" w:cs="Times New Roman"/>
          <w:sz w:val="24"/>
          <w:szCs w:val="24"/>
        </w:rPr>
      </w:pPr>
      <w:r w:rsidRPr="002D3D8E">
        <w:rPr>
          <w:rFonts w:ascii="Times New Roman" w:hAnsi="Times New Roman" w:cs="Times New Roman"/>
          <w:sz w:val="24"/>
          <w:szCs w:val="24"/>
        </w:rPr>
        <w:t>Watertown, MA 02472</w:t>
      </w:r>
    </w:p>
    <w:p w:rsidR="005843A6" w:rsidRPr="002D3D8E" w:rsidRDefault="005843A6" w:rsidP="005843A6">
      <w:pPr>
        <w:tabs>
          <w:tab w:val="center" w:pos="4680"/>
        </w:tabs>
        <w:spacing w:after="0"/>
        <w:rPr>
          <w:rFonts w:ascii="Times New Roman" w:hAnsi="Times New Roman" w:cs="Times New Roman"/>
          <w:color w:val="000000"/>
        </w:rPr>
      </w:pPr>
    </w:p>
    <w:p w:rsidR="005843A6" w:rsidRPr="002D3D8E" w:rsidRDefault="005843A6" w:rsidP="005843A6">
      <w:pPr>
        <w:tabs>
          <w:tab w:val="center" w:pos="4680"/>
        </w:tabs>
        <w:spacing w:after="0"/>
        <w:rPr>
          <w:rFonts w:ascii="Times New Roman" w:hAnsi="Times New Roman" w:cs="Times New Roman"/>
          <w:color w:val="000000"/>
        </w:rPr>
      </w:pPr>
    </w:p>
    <w:p w:rsidR="005843A6" w:rsidRPr="002D3D8E" w:rsidRDefault="005843A6" w:rsidP="005843A6">
      <w:pPr>
        <w:tabs>
          <w:tab w:val="center" w:pos="4680"/>
        </w:tabs>
        <w:spacing w:after="0"/>
        <w:rPr>
          <w:rFonts w:ascii="Times New Roman" w:hAnsi="Times New Roman" w:cs="Times New Roman"/>
          <w:color w:val="000000"/>
        </w:rPr>
      </w:pPr>
    </w:p>
    <w:p w:rsidR="005843A6" w:rsidRPr="002D3D8E" w:rsidRDefault="005843A6" w:rsidP="005843A6">
      <w:pPr>
        <w:spacing w:after="0"/>
        <w:rPr>
          <w:rFonts w:ascii="Times New Roman" w:hAnsi="Times New Roman" w:cs="Times New Roman"/>
          <w:color w:val="000000"/>
        </w:rPr>
      </w:pPr>
    </w:p>
    <w:tbl>
      <w:tblPr>
        <w:tblW w:w="0" w:type="auto"/>
        <w:jc w:val="center"/>
        <w:tblLayout w:type="fixed"/>
        <w:tblLook w:val="01E0" w:firstRow="1" w:lastRow="1" w:firstColumn="1" w:lastColumn="1" w:noHBand="0" w:noVBand="0"/>
      </w:tblPr>
      <w:tblGrid>
        <w:gridCol w:w="4552"/>
      </w:tblGrid>
      <w:tr w:rsidR="005843A6" w:rsidRPr="002D3D8E" w:rsidTr="00A76118">
        <w:trPr>
          <w:cantSplit/>
          <w:jc w:val="center"/>
        </w:trPr>
        <w:tc>
          <w:tcPr>
            <w:tcW w:w="4552" w:type="dxa"/>
            <w:shd w:val="clear" w:color="auto" w:fill="auto"/>
          </w:tcPr>
          <w:p w:rsidR="005843A6" w:rsidRPr="002D3D8E" w:rsidRDefault="005843A6" w:rsidP="005843A6">
            <w:pPr>
              <w:tabs>
                <w:tab w:val="left" w:pos="360"/>
                <w:tab w:val="left" w:pos="840"/>
                <w:tab w:val="left" w:pos="6720"/>
              </w:tabs>
              <w:suppressAutoHyphens/>
              <w:spacing w:after="0"/>
              <w:jc w:val="center"/>
              <w:rPr>
                <w:rFonts w:ascii="Times New Roman" w:hAnsi="Times New Roman" w:cs="Times New Roman"/>
                <w:spacing w:val="-3"/>
                <w:sz w:val="24"/>
                <w:szCs w:val="24"/>
              </w:rPr>
            </w:pPr>
            <w:r w:rsidRPr="002D3D8E">
              <w:rPr>
                <w:rFonts w:ascii="Times New Roman" w:hAnsi="Times New Roman" w:cs="Times New Roman"/>
                <w:spacing w:val="-3"/>
                <w:sz w:val="24"/>
                <w:szCs w:val="24"/>
              </w:rPr>
              <w:t>Division of Banks</w:t>
            </w:r>
          </w:p>
        </w:tc>
      </w:tr>
      <w:tr w:rsidR="005843A6" w:rsidRPr="002D3D8E" w:rsidTr="00A76118">
        <w:trPr>
          <w:cantSplit/>
          <w:jc w:val="center"/>
        </w:trPr>
        <w:tc>
          <w:tcPr>
            <w:tcW w:w="4552" w:type="dxa"/>
            <w:shd w:val="clear" w:color="auto" w:fill="auto"/>
          </w:tcPr>
          <w:p w:rsidR="005843A6" w:rsidRPr="002D3D8E" w:rsidRDefault="005843A6" w:rsidP="005843A6">
            <w:pPr>
              <w:tabs>
                <w:tab w:val="left" w:pos="360"/>
                <w:tab w:val="left" w:pos="840"/>
                <w:tab w:val="left" w:pos="6720"/>
              </w:tabs>
              <w:suppressAutoHyphens/>
              <w:spacing w:after="0"/>
              <w:jc w:val="center"/>
              <w:rPr>
                <w:rFonts w:ascii="Times New Roman" w:hAnsi="Times New Roman" w:cs="Times New Roman"/>
                <w:spacing w:val="-3"/>
                <w:sz w:val="24"/>
                <w:szCs w:val="24"/>
              </w:rPr>
            </w:pPr>
            <w:r w:rsidRPr="002D3D8E">
              <w:rPr>
                <w:rFonts w:ascii="Times New Roman" w:hAnsi="Times New Roman" w:cs="Times New Roman"/>
                <w:spacing w:val="-3"/>
                <w:sz w:val="24"/>
                <w:szCs w:val="24"/>
              </w:rPr>
              <w:t>1000 Washington Street, 10</w:t>
            </w:r>
            <w:r w:rsidRPr="002D3D8E">
              <w:rPr>
                <w:rFonts w:ascii="Times New Roman" w:hAnsi="Times New Roman" w:cs="Times New Roman"/>
                <w:spacing w:val="-3"/>
                <w:sz w:val="24"/>
                <w:szCs w:val="24"/>
                <w:vertAlign w:val="superscript"/>
              </w:rPr>
              <w:t>th</w:t>
            </w:r>
            <w:r w:rsidRPr="002D3D8E">
              <w:rPr>
                <w:rFonts w:ascii="Times New Roman" w:hAnsi="Times New Roman" w:cs="Times New Roman"/>
                <w:spacing w:val="-3"/>
                <w:sz w:val="24"/>
                <w:szCs w:val="24"/>
              </w:rPr>
              <w:t xml:space="preserve"> Floor</w:t>
            </w:r>
          </w:p>
        </w:tc>
      </w:tr>
      <w:tr w:rsidR="005843A6" w:rsidRPr="002D3D8E" w:rsidTr="00A76118">
        <w:trPr>
          <w:cantSplit/>
          <w:jc w:val="center"/>
        </w:trPr>
        <w:tc>
          <w:tcPr>
            <w:tcW w:w="4552" w:type="dxa"/>
            <w:shd w:val="clear" w:color="auto" w:fill="auto"/>
          </w:tcPr>
          <w:p w:rsidR="005843A6" w:rsidRPr="002D3D8E" w:rsidRDefault="005843A6" w:rsidP="005843A6">
            <w:pPr>
              <w:tabs>
                <w:tab w:val="left" w:pos="360"/>
                <w:tab w:val="left" w:pos="840"/>
                <w:tab w:val="left" w:pos="6720"/>
              </w:tabs>
              <w:suppressAutoHyphens/>
              <w:spacing w:after="0"/>
              <w:jc w:val="center"/>
              <w:rPr>
                <w:rFonts w:ascii="Times New Roman" w:hAnsi="Times New Roman" w:cs="Times New Roman"/>
                <w:spacing w:val="-3"/>
                <w:sz w:val="24"/>
                <w:szCs w:val="24"/>
              </w:rPr>
            </w:pPr>
            <w:r w:rsidRPr="002D3D8E">
              <w:rPr>
                <w:rFonts w:ascii="Times New Roman" w:hAnsi="Times New Roman" w:cs="Times New Roman"/>
                <w:spacing w:val="-3"/>
                <w:sz w:val="24"/>
                <w:szCs w:val="24"/>
              </w:rPr>
              <w:t>Boston, Massachusetts 02118</w:t>
            </w:r>
          </w:p>
        </w:tc>
      </w:tr>
    </w:tbl>
    <w:p w:rsidR="005843A6" w:rsidRPr="002D3D8E" w:rsidRDefault="005843A6" w:rsidP="005843A6">
      <w:pPr>
        <w:tabs>
          <w:tab w:val="left" w:pos="-1440"/>
        </w:tabs>
        <w:spacing w:after="0"/>
        <w:ind w:left="1440" w:hanging="1440"/>
        <w:rPr>
          <w:rFonts w:ascii="Times New Roman" w:hAnsi="Times New Roman" w:cs="Times New Roman"/>
          <w:color w:val="000000"/>
        </w:rPr>
      </w:pPr>
    </w:p>
    <w:p w:rsidR="005843A6" w:rsidRPr="002D3D8E" w:rsidRDefault="005843A6" w:rsidP="005843A6">
      <w:pPr>
        <w:tabs>
          <w:tab w:val="left" w:pos="-1440"/>
        </w:tabs>
        <w:spacing w:after="0"/>
        <w:ind w:left="1440" w:hanging="1440"/>
        <w:rPr>
          <w:rFonts w:ascii="Times New Roman" w:hAnsi="Times New Roman" w:cs="Times New Roman"/>
          <w:color w:val="000000"/>
        </w:rPr>
      </w:pPr>
    </w:p>
    <w:p w:rsidR="005843A6" w:rsidRPr="002D3D8E" w:rsidRDefault="005843A6" w:rsidP="005843A6">
      <w:pPr>
        <w:tabs>
          <w:tab w:val="left" w:pos="-1440"/>
        </w:tabs>
        <w:spacing w:after="0"/>
        <w:ind w:left="1440" w:hanging="1440"/>
        <w:rPr>
          <w:rFonts w:ascii="Times New Roman" w:hAnsi="Times New Roman" w:cs="Times New Roman"/>
          <w:color w:val="000000"/>
        </w:rPr>
      </w:pPr>
    </w:p>
    <w:p w:rsidR="005843A6" w:rsidRPr="002D3D8E" w:rsidRDefault="005843A6" w:rsidP="005843A6">
      <w:pPr>
        <w:tabs>
          <w:tab w:val="left" w:pos="-1440"/>
        </w:tabs>
        <w:spacing w:after="0"/>
        <w:ind w:left="1440" w:hanging="1440"/>
        <w:rPr>
          <w:rFonts w:ascii="Times New Roman" w:hAnsi="Times New Roman" w:cs="Times New Roman"/>
          <w:color w:val="000000"/>
        </w:rPr>
      </w:pPr>
    </w:p>
    <w:p w:rsidR="005843A6" w:rsidRPr="002D3D8E" w:rsidRDefault="005843A6" w:rsidP="005843A6">
      <w:pPr>
        <w:tabs>
          <w:tab w:val="left" w:pos="-1440"/>
        </w:tabs>
        <w:spacing w:after="0"/>
        <w:ind w:left="1440" w:hanging="1440"/>
        <w:rPr>
          <w:rFonts w:ascii="Times New Roman" w:hAnsi="Times New Roman" w:cs="Times New Roman"/>
          <w:color w:val="000000"/>
        </w:rPr>
      </w:pPr>
    </w:p>
    <w:p w:rsidR="005843A6" w:rsidRPr="002D3D8E" w:rsidRDefault="005843A6" w:rsidP="005843A6">
      <w:pPr>
        <w:spacing w:after="0"/>
        <w:jc w:val="both"/>
        <w:rPr>
          <w:rFonts w:ascii="Times New Roman" w:hAnsi="Times New Roman" w:cs="Times New Roman"/>
          <w:color w:val="000000"/>
        </w:rPr>
      </w:pPr>
      <w:r w:rsidRPr="002D3D8E">
        <w:rPr>
          <w:rFonts w:ascii="Times New Roman" w:hAnsi="Times New Roman" w:cs="Times New Roman"/>
          <w:color w:val="000000"/>
        </w:rPr>
        <w:t xml:space="preserve">This evaluation is not, nor </w:t>
      </w:r>
      <w:proofErr w:type="gramStart"/>
      <w:r w:rsidRPr="002D3D8E">
        <w:rPr>
          <w:rFonts w:ascii="Times New Roman" w:hAnsi="Times New Roman" w:cs="Times New Roman"/>
          <w:color w:val="000000"/>
        </w:rPr>
        <w:t>should it be construed</w:t>
      </w:r>
      <w:proofErr w:type="gramEnd"/>
      <w:r w:rsidRPr="002D3D8E">
        <w:rPr>
          <w:rFonts w:ascii="Times New Roman" w:hAnsi="Times New Roman" w:cs="Times New Roman"/>
          <w:color w:val="000000"/>
        </w:rPr>
        <w:t xml:space="preserve"> as, an assessment of the financial condition of this institution</w:t>
      </w:r>
      <w:r w:rsidR="00AF2064">
        <w:rPr>
          <w:rFonts w:ascii="Times New Roman" w:hAnsi="Times New Roman" w:cs="Times New Roman"/>
          <w:color w:val="000000"/>
        </w:rPr>
        <w:t xml:space="preserve">. </w:t>
      </w:r>
      <w:r w:rsidRPr="002D3D8E">
        <w:rPr>
          <w:rFonts w:ascii="Times New Roman" w:hAnsi="Times New Roman" w:cs="Times New Roman"/>
          <w:color w:val="000000"/>
        </w:rPr>
        <w:t>The rating assigned to this institution does not represent an analysis, conclusion, or opinion of the Division of Banks concerning the safety and soundness of this financial institution.</w:t>
      </w:r>
    </w:p>
    <w:p w:rsidR="005843A6" w:rsidRPr="002D3D8E" w:rsidRDefault="005843A6" w:rsidP="00B957F2">
      <w:pPr>
        <w:jc w:val="center"/>
        <w:rPr>
          <w:rFonts w:ascii="Times New Roman" w:hAnsi="Times New Roman" w:cs="Times New Roman"/>
          <w:b/>
          <w:sz w:val="28"/>
          <w:szCs w:val="28"/>
        </w:rPr>
      </w:pPr>
    </w:p>
    <w:p w:rsidR="005843A6" w:rsidRDefault="005843A6" w:rsidP="00B957F2">
      <w:pPr>
        <w:jc w:val="center"/>
        <w:rPr>
          <w:rFonts w:ascii="Times New Roman" w:hAnsi="Times New Roman" w:cs="Times New Roman"/>
          <w:b/>
          <w:sz w:val="28"/>
          <w:szCs w:val="28"/>
        </w:rPr>
      </w:pPr>
    </w:p>
    <w:p w:rsidR="002D3D8E" w:rsidRDefault="002D3D8E" w:rsidP="00B957F2">
      <w:pPr>
        <w:jc w:val="center"/>
        <w:rPr>
          <w:rFonts w:ascii="Times New Roman" w:hAnsi="Times New Roman" w:cs="Times New Roman"/>
          <w:b/>
          <w:sz w:val="28"/>
          <w:szCs w:val="28"/>
        </w:rPr>
      </w:pPr>
    </w:p>
    <w:p w:rsidR="00702538" w:rsidRPr="00702538" w:rsidRDefault="00702538" w:rsidP="00702538">
      <w:pPr>
        <w:tabs>
          <w:tab w:val="left" w:pos="-1440"/>
        </w:tabs>
        <w:spacing w:after="0" w:line="240" w:lineRule="auto"/>
        <w:jc w:val="center"/>
        <w:rPr>
          <w:rFonts w:ascii="Times New Roman" w:eastAsia="Times New Roman" w:hAnsi="Times New Roman" w:cs="Times New Roman"/>
          <w:b/>
          <w:bCs/>
          <w:sz w:val="28"/>
          <w:szCs w:val="28"/>
        </w:rPr>
      </w:pPr>
      <w:r w:rsidRPr="00702538">
        <w:rPr>
          <w:rFonts w:ascii="Times New Roman" w:eastAsia="Times New Roman" w:hAnsi="Times New Roman" w:cs="Times New Roman"/>
          <w:b/>
          <w:bCs/>
          <w:sz w:val="28"/>
          <w:szCs w:val="28"/>
        </w:rPr>
        <w:lastRenderedPageBreak/>
        <w:t>TABLE OF CONTENTS</w:t>
      </w:r>
    </w:p>
    <w:p w:rsidR="00702538" w:rsidRPr="00702538" w:rsidRDefault="00702538" w:rsidP="00702538">
      <w:pPr>
        <w:spacing w:after="0" w:line="240" w:lineRule="auto"/>
        <w:jc w:val="center"/>
        <w:rPr>
          <w:rFonts w:ascii="Times New Roman" w:eastAsia="Times New Roman" w:hAnsi="Times New Roman" w:cs="Times New Roman"/>
          <w:sz w:val="24"/>
          <w:szCs w:val="24"/>
        </w:rPr>
      </w:pPr>
    </w:p>
    <w:p w:rsidR="00702538" w:rsidRPr="00702538" w:rsidRDefault="00702538" w:rsidP="00702538">
      <w:pPr>
        <w:tabs>
          <w:tab w:val="left" w:pos="-1440"/>
          <w:tab w:val="left" w:pos="-720"/>
          <w:tab w:val="left" w:pos="0"/>
          <w:tab w:val="left" w:pos="720"/>
          <w:tab w:val="right" w:leader="dot" w:pos="9360"/>
        </w:tabs>
        <w:spacing w:after="0" w:line="240" w:lineRule="auto"/>
        <w:rPr>
          <w:rFonts w:ascii="Times New Roman" w:eastAsia="Times New Roman" w:hAnsi="Times New Roman" w:cs="Times New Roman"/>
          <w:sz w:val="24"/>
          <w:szCs w:val="24"/>
        </w:rPr>
      </w:pPr>
    </w:p>
    <w:p w:rsidR="00702538" w:rsidRPr="00702538" w:rsidRDefault="00702538" w:rsidP="00702538">
      <w:pPr>
        <w:tabs>
          <w:tab w:val="left" w:pos="-1440"/>
          <w:tab w:val="left" w:pos="-720"/>
          <w:tab w:val="left" w:pos="0"/>
          <w:tab w:val="left" w:pos="720"/>
          <w:tab w:val="right" w:leader="dot" w:pos="9360"/>
        </w:tabs>
        <w:spacing w:after="0" w:line="240" w:lineRule="auto"/>
        <w:rPr>
          <w:rFonts w:ascii="Times New Roman" w:eastAsia="Times New Roman" w:hAnsi="Times New Roman" w:cs="Times New Roman"/>
          <w:sz w:val="24"/>
          <w:szCs w:val="24"/>
        </w:rPr>
      </w:pPr>
      <w:r w:rsidRPr="00702538">
        <w:rPr>
          <w:rFonts w:ascii="Times New Roman" w:eastAsia="Times New Roman" w:hAnsi="Times New Roman" w:cs="Times New Roman"/>
          <w:sz w:val="24"/>
          <w:szCs w:val="24"/>
        </w:rPr>
        <w:t>Institution Rating</w:t>
      </w:r>
      <w:r w:rsidRPr="00702538">
        <w:rPr>
          <w:rFonts w:ascii="Times New Roman" w:eastAsia="Times New Roman" w:hAnsi="Times New Roman" w:cs="Times New Roman"/>
          <w:sz w:val="24"/>
          <w:szCs w:val="24"/>
        </w:rPr>
        <w:tab/>
        <w:t>1</w:t>
      </w:r>
    </w:p>
    <w:p w:rsidR="00702538" w:rsidRPr="00702538" w:rsidRDefault="00702538" w:rsidP="00702538">
      <w:pPr>
        <w:tabs>
          <w:tab w:val="left" w:pos="-1440"/>
          <w:tab w:val="left" w:pos="-720"/>
          <w:tab w:val="left" w:pos="0"/>
          <w:tab w:val="left" w:pos="720"/>
          <w:tab w:val="right" w:leader="dot" w:pos="9360"/>
        </w:tabs>
        <w:spacing w:after="0" w:line="240" w:lineRule="auto"/>
        <w:rPr>
          <w:rFonts w:ascii="Times New Roman" w:eastAsia="Times New Roman" w:hAnsi="Times New Roman" w:cs="Times New Roman"/>
          <w:sz w:val="24"/>
          <w:szCs w:val="24"/>
        </w:rPr>
      </w:pPr>
    </w:p>
    <w:p w:rsidR="00702538" w:rsidRPr="00702538" w:rsidRDefault="00702538" w:rsidP="00702538">
      <w:pPr>
        <w:tabs>
          <w:tab w:val="left" w:pos="-1440"/>
          <w:tab w:val="left" w:pos="-720"/>
          <w:tab w:val="left" w:pos="0"/>
          <w:tab w:val="left" w:pos="720"/>
          <w:tab w:val="right" w:leader="dot" w:pos="9360"/>
        </w:tabs>
        <w:spacing w:after="0" w:line="240" w:lineRule="auto"/>
        <w:rPr>
          <w:rFonts w:ascii="Times New Roman" w:eastAsia="Times New Roman" w:hAnsi="Times New Roman" w:cs="Times New Roman"/>
          <w:sz w:val="24"/>
          <w:szCs w:val="24"/>
        </w:rPr>
      </w:pPr>
      <w:r w:rsidRPr="00702538">
        <w:rPr>
          <w:rFonts w:ascii="Times New Roman" w:eastAsia="Times New Roman" w:hAnsi="Times New Roman" w:cs="Times New Roman"/>
          <w:sz w:val="24"/>
          <w:szCs w:val="24"/>
        </w:rPr>
        <w:t>Scope of Evaluation</w:t>
      </w:r>
      <w:r w:rsidRPr="00702538">
        <w:rPr>
          <w:rFonts w:ascii="Times New Roman" w:eastAsia="Times New Roman" w:hAnsi="Times New Roman" w:cs="Times New Roman"/>
          <w:sz w:val="24"/>
          <w:szCs w:val="24"/>
        </w:rPr>
        <w:tab/>
        <w:t>2</w:t>
      </w:r>
    </w:p>
    <w:p w:rsidR="00702538" w:rsidRPr="00702538" w:rsidRDefault="00702538" w:rsidP="00702538">
      <w:pPr>
        <w:spacing w:after="0" w:line="240" w:lineRule="auto"/>
        <w:rPr>
          <w:rFonts w:ascii="Times New Roman" w:eastAsia="Times New Roman" w:hAnsi="Times New Roman" w:cs="Times New Roman"/>
          <w:sz w:val="24"/>
          <w:szCs w:val="24"/>
        </w:rPr>
      </w:pPr>
    </w:p>
    <w:p w:rsidR="00702538" w:rsidRPr="00702538" w:rsidRDefault="00702538" w:rsidP="00702538">
      <w:pPr>
        <w:tabs>
          <w:tab w:val="left" w:pos="-1440"/>
          <w:tab w:val="left" w:pos="-720"/>
          <w:tab w:val="left" w:pos="0"/>
          <w:tab w:val="left" w:pos="720"/>
          <w:tab w:val="right" w:leader="dot" w:pos="93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of Institution</w:t>
      </w:r>
      <w:r>
        <w:rPr>
          <w:rFonts w:ascii="Times New Roman" w:eastAsia="Times New Roman" w:hAnsi="Times New Roman" w:cs="Times New Roman"/>
          <w:sz w:val="24"/>
          <w:szCs w:val="24"/>
        </w:rPr>
        <w:tab/>
        <w:t>4</w:t>
      </w:r>
    </w:p>
    <w:p w:rsidR="00702538" w:rsidRPr="00702538" w:rsidRDefault="00702538" w:rsidP="00702538">
      <w:pPr>
        <w:tabs>
          <w:tab w:val="left" w:pos="-1440"/>
          <w:tab w:val="left" w:pos="-720"/>
          <w:tab w:val="left" w:pos="0"/>
          <w:tab w:val="left" w:pos="720"/>
          <w:tab w:val="right" w:leader="dot" w:pos="9360"/>
        </w:tabs>
        <w:spacing w:after="0" w:line="240" w:lineRule="auto"/>
        <w:rPr>
          <w:rFonts w:ascii="Times New Roman" w:eastAsia="Times New Roman" w:hAnsi="Times New Roman" w:cs="Times New Roman"/>
          <w:sz w:val="24"/>
          <w:szCs w:val="24"/>
        </w:rPr>
      </w:pPr>
    </w:p>
    <w:p w:rsidR="00702538" w:rsidRPr="00702538" w:rsidRDefault="00702538" w:rsidP="00702538">
      <w:pPr>
        <w:tabs>
          <w:tab w:val="left" w:pos="-1440"/>
          <w:tab w:val="left" w:pos="-720"/>
          <w:tab w:val="left" w:pos="0"/>
          <w:tab w:val="left" w:pos="720"/>
          <w:tab w:val="right" w:leader="dot" w:pos="9360"/>
        </w:tabs>
        <w:spacing w:after="0" w:line="240" w:lineRule="auto"/>
        <w:rPr>
          <w:rFonts w:ascii="Times New Roman" w:eastAsia="Times New Roman" w:hAnsi="Times New Roman" w:cs="Times New Roman"/>
          <w:sz w:val="24"/>
          <w:szCs w:val="24"/>
        </w:rPr>
      </w:pPr>
      <w:r w:rsidRPr="00702538">
        <w:rPr>
          <w:rFonts w:ascii="Times New Roman" w:eastAsia="Times New Roman" w:hAnsi="Times New Roman" w:cs="Times New Roman"/>
          <w:sz w:val="24"/>
          <w:szCs w:val="24"/>
        </w:rPr>
        <w:t xml:space="preserve">Description of Assessment </w:t>
      </w:r>
      <w:r>
        <w:rPr>
          <w:rFonts w:ascii="Times New Roman" w:eastAsia="Times New Roman" w:hAnsi="Times New Roman" w:cs="Times New Roman"/>
          <w:sz w:val="24"/>
          <w:szCs w:val="24"/>
        </w:rPr>
        <w:t>Area</w:t>
      </w:r>
      <w:r>
        <w:rPr>
          <w:rFonts w:ascii="Times New Roman" w:eastAsia="Times New Roman" w:hAnsi="Times New Roman" w:cs="Times New Roman"/>
          <w:sz w:val="24"/>
          <w:szCs w:val="24"/>
        </w:rPr>
        <w:tab/>
        <w:t>6</w:t>
      </w:r>
    </w:p>
    <w:p w:rsidR="00702538" w:rsidRPr="00702538" w:rsidRDefault="00702538" w:rsidP="00702538">
      <w:pPr>
        <w:tabs>
          <w:tab w:val="left" w:pos="-1440"/>
          <w:tab w:val="left" w:pos="-720"/>
          <w:tab w:val="left" w:pos="0"/>
          <w:tab w:val="left" w:pos="720"/>
          <w:tab w:val="right" w:leader="dot" w:pos="9360"/>
        </w:tabs>
        <w:spacing w:after="0" w:line="240" w:lineRule="auto"/>
        <w:rPr>
          <w:rFonts w:ascii="Times New Roman" w:eastAsia="Times New Roman" w:hAnsi="Times New Roman" w:cs="Times New Roman"/>
          <w:sz w:val="24"/>
          <w:szCs w:val="24"/>
        </w:rPr>
      </w:pPr>
    </w:p>
    <w:p w:rsidR="00702538" w:rsidRPr="00702538" w:rsidRDefault="00702538" w:rsidP="00702538">
      <w:pPr>
        <w:tabs>
          <w:tab w:val="left" w:pos="-1440"/>
          <w:tab w:val="left" w:pos="-720"/>
          <w:tab w:val="left" w:pos="0"/>
          <w:tab w:val="left" w:pos="720"/>
          <w:tab w:val="right" w:leader="dot" w:pos="9360"/>
        </w:tabs>
        <w:spacing w:after="0" w:line="240" w:lineRule="auto"/>
        <w:rPr>
          <w:rFonts w:ascii="Times New Roman" w:eastAsia="Times New Roman" w:hAnsi="Times New Roman" w:cs="Times New Roman"/>
          <w:sz w:val="24"/>
          <w:szCs w:val="24"/>
        </w:rPr>
      </w:pPr>
      <w:r w:rsidRPr="00702538">
        <w:rPr>
          <w:rFonts w:ascii="Times New Roman" w:eastAsia="Times New Roman" w:hAnsi="Times New Roman" w:cs="Times New Roman"/>
          <w:sz w:val="24"/>
          <w:szCs w:val="24"/>
        </w:rPr>
        <w:t>Conclu</w:t>
      </w:r>
      <w:r w:rsidR="00F035DE">
        <w:rPr>
          <w:rFonts w:ascii="Times New Roman" w:eastAsia="Times New Roman" w:hAnsi="Times New Roman" w:cs="Times New Roman"/>
          <w:sz w:val="24"/>
          <w:szCs w:val="24"/>
        </w:rPr>
        <w:t>sions on Performance Criteria</w:t>
      </w:r>
      <w:r w:rsidR="00F035DE">
        <w:rPr>
          <w:rFonts w:ascii="Times New Roman" w:eastAsia="Times New Roman" w:hAnsi="Times New Roman" w:cs="Times New Roman"/>
          <w:sz w:val="24"/>
          <w:szCs w:val="24"/>
        </w:rPr>
        <w:tab/>
        <w:t>9</w:t>
      </w:r>
    </w:p>
    <w:p w:rsidR="00702538" w:rsidRPr="00702538" w:rsidRDefault="00702538" w:rsidP="00702538">
      <w:pPr>
        <w:tabs>
          <w:tab w:val="left" w:pos="-1440"/>
          <w:tab w:val="left" w:pos="-720"/>
          <w:tab w:val="left" w:pos="0"/>
          <w:tab w:val="left" w:pos="720"/>
          <w:tab w:val="right" w:leader="dot" w:pos="9360"/>
        </w:tabs>
        <w:spacing w:after="0" w:line="240" w:lineRule="auto"/>
        <w:rPr>
          <w:rFonts w:ascii="Times New Roman" w:eastAsia="Times New Roman" w:hAnsi="Times New Roman" w:cs="Times New Roman"/>
          <w:sz w:val="24"/>
          <w:szCs w:val="24"/>
        </w:rPr>
      </w:pPr>
    </w:p>
    <w:p w:rsidR="00702538" w:rsidRPr="00702538" w:rsidRDefault="00F035DE" w:rsidP="00702538">
      <w:pPr>
        <w:tabs>
          <w:tab w:val="left" w:pos="-1440"/>
          <w:tab w:val="left" w:pos="-720"/>
          <w:tab w:val="left" w:pos="0"/>
          <w:tab w:val="left" w:pos="720"/>
          <w:tab w:val="right" w:leader="dot" w:pos="93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Glossary</w:t>
      </w:r>
      <w:r>
        <w:rPr>
          <w:rFonts w:ascii="Times New Roman" w:eastAsia="Times New Roman" w:hAnsi="Times New Roman" w:cs="Times New Roman"/>
          <w:sz w:val="24"/>
          <w:szCs w:val="24"/>
        </w:rPr>
        <w:tab/>
        <w:t>19</w:t>
      </w:r>
    </w:p>
    <w:p w:rsidR="00702538" w:rsidRDefault="00702538" w:rsidP="00B957F2">
      <w:pPr>
        <w:jc w:val="center"/>
        <w:rPr>
          <w:rFonts w:ascii="Times New Roman" w:hAnsi="Times New Roman" w:cs="Times New Roman"/>
          <w:b/>
          <w:sz w:val="28"/>
          <w:szCs w:val="28"/>
        </w:rPr>
      </w:pPr>
    </w:p>
    <w:p w:rsidR="00702538" w:rsidRDefault="00702538" w:rsidP="00B957F2">
      <w:pPr>
        <w:jc w:val="center"/>
        <w:rPr>
          <w:rFonts w:ascii="Times New Roman" w:hAnsi="Times New Roman" w:cs="Times New Roman"/>
          <w:b/>
          <w:sz w:val="28"/>
          <w:szCs w:val="28"/>
        </w:rPr>
      </w:pPr>
    </w:p>
    <w:p w:rsidR="00702538" w:rsidRDefault="00702538" w:rsidP="00B957F2">
      <w:pPr>
        <w:jc w:val="center"/>
        <w:rPr>
          <w:rFonts w:ascii="Times New Roman" w:hAnsi="Times New Roman" w:cs="Times New Roman"/>
          <w:b/>
          <w:sz w:val="28"/>
          <w:szCs w:val="28"/>
        </w:rPr>
      </w:pPr>
    </w:p>
    <w:p w:rsidR="00702538" w:rsidRDefault="00702538" w:rsidP="00B957F2">
      <w:pPr>
        <w:jc w:val="center"/>
        <w:rPr>
          <w:rFonts w:ascii="Times New Roman" w:hAnsi="Times New Roman" w:cs="Times New Roman"/>
          <w:b/>
          <w:sz w:val="28"/>
          <w:szCs w:val="28"/>
        </w:rPr>
      </w:pPr>
    </w:p>
    <w:p w:rsidR="00702538" w:rsidRDefault="00702538" w:rsidP="00B957F2">
      <w:pPr>
        <w:jc w:val="center"/>
        <w:rPr>
          <w:rFonts w:ascii="Times New Roman" w:hAnsi="Times New Roman" w:cs="Times New Roman"/>
          <w:b/>
          <w:sz w:val="28"/>
          <w:szCs w:val="28"/>
        </w:rPr>
      </w:pPr>
    </w:p>
    <w:p w:rsidR="00702538" w:rsidRDefault="00702538" w:rsidP="00B957F2">
      <w:pPr>
        <w:jc w:val="center"/>
        <w:rPr>
          <w:rFonts w:ascii="Times New Roman" w:hAnsi="Times New Roman" w:cs="Times New Roman"/>
          <w:b/>
          <w:sz w:val="28"/>
          <w:szCs w:val="28"/>
        </w:rPr>
      </w:pPr>
    </w:p>
    <w:p w:rsidR="00702538" w:rsidRDefault="00702538" w:rsidP="00B957F2">
      <w:pPr>
        <w:jc w:val="center"/>
        <w:rPr>
          <w:rFonts w:ascii="Times New Roman" w:hAnsi="Times New Roman" w:cs="Times New Roman"/>
          <w:b/>
          <w:sz w:val="28"/>
          <w:szCs w:val="28"/>
        </w:rPr>
      </w:pPr>
    </w:p>
    <w:p w:rsidR="00702538" w:rsidRDefault="00702538" w:rsidP="00B957F2">
      <w:pPr>
        <w:jc w:val="center"/>
        <w:rPr>
          <w:rFonts w:ascii="Times New Roman" w:hAnsi="Times New Roman" w:cs="Times New Roman"/>
          <w:b/>
          <w:sz w:val="28"/>
          <w:szCs w:val="28"/>
        </w:rPr>
      </w:pPr>
    </w:p>
    <w:p w:rsidR="00702538" w:rsidRDefault="00702538" w:rsidP="00B957F2">
      <w:pPr>
        <w:jc w:val="center"/>
        <w:rPr>
          <w:rFonts w:ascii="Times New Roman" w:hAnsi="Times New Roman" w:cs="Times New Roman"/>
          <w:b/>
          <w:sz w:val="28"/>
          <w:szCs w:val="28"/>
        </w:rPr>
      </w:pPr>
    </w:p>
    <w:p w:rsidR="00702538" w:rsidRDefault="00702538" w:rsidP="00B957F2">
      <w:pPr>
        <w:jc w:val="center"/>
        <w:rPr>
          <w:rFonts w:ascii="Times New Roman" w:hAnsi="Times New Roman" w:cs="Times New Roman"/>
          <w:b/>
          <w:sz w:val="28"/>
          <w:szCs w:val="28"/>
        </w:rPr>
      </w:pPr>
    </w:p>
    <w:p w:rsidR="00702538" w:rsidRDefault="00702538" w:rsidP="00B957F2">
      <w:pPr>
        <w:jc w:val="center"/>
        <w:rPr>
          <w:rFonts w:ascii="Times New Roman" w:hAnsi="Times New Roman" w:cs="Times New Roman"/>
          <w:b/>
          <w:sz w:val="28"/>
          <w:szCs w:val="28"/>
        </w:rPr>
      </w:pPr>
    </w:p>
    <w:p w:rsidR="00702538" w:rsidRDefault="00702538" w:rsidP="00B957F2">
      <w:pPr>
        <w:jc w:val="center"/>
        <w:rPr>
          <w:rFonts w:ascii="Times New Roman" w:hAnsi="Times New Roman" w:cs="Times New Roman"/>
          <w:b/>
          <w:sz w:val="28"/>
          <w:szCs w:val="28"/>
        </w:rPr>
      </w:pPr>
    </w:p>
    <w:p w:rsidR="00702538" w:rsidRDefault="00702538" w:rsidP="00B957F2">
      <w:pPr>
        <w:jc w:val="center"/>
        <w:rPr>
          <w:rFonts w:ascii="Times New Roman" w:hAnsi="Times New Roman" w:cs="Times New Roman"/>
          <w:b/>
          <w:sz w:val="28"/>
          <w:szCs w:val="28"/>
        </w:rPr>
      </w:pPr>
    </w:p>
    <w:p w:rsidR="00702538" w:rsidRDefault="00702538" w:rsidP="00B957F2">
      <w:pPr>
        <w:jc w:val="center"/>
        <w:rPr>
          <w:rFonts w:ascii="Times New Roman" w:hAnsi="Times New Roman" w:cs="Times New Roman"/>
          <w:b/>
          <w:sz w:val="28"/>
          <w:szCs w:val="28"/>
        </w:rPr>
      </w:pPr>
    </w:p>
    <w:p w:rsidR="00702538" w:rsidRDefault="00702538" w:rsidP="00B957F2">
      <w:pPr>
        <w:jc w:val="center"/>
        <w:rPr>
          <w:rFonts w:ascii="Times New Roman" w:hAnsi="Times New Roman" w:cs="Times New Roman"/>
          <w:b/>
          <w:sz w:val="28"/>
          <w:szCs w:val="28"/>
        </w:rPr>
      </w:pPr>
    </w:p>
    <w:p w:rsidR="00702538" w:rsidRDefault="00702538" w:rsidP="00B957F2">
      <w:pPr>
        <w:jc w:val="center"/>
        <w:rPr>
          <w:rFonts w:ascii="Times New Roman" w:hAnsi="Times New Roman" w:cs="Times New Roman"/>
          <w:b/>
          <w:sz w:val="28"/>
          <w:szCs w:val="28"/>
        </w:rPr>
      </w:pPr>
    </w:p>
    <w:p w:rsidR="00702538" w:rsidRDefault="00702538" w:rsidP="00B957F2">
      <w:pPr>
        <w:jc w:val="center"/>
        <w:rPr>
          <w:rFonts w:ascii="Times New Roman" w:hAnsi="Times New Roman" w:cs="Times New Roman"/>
          <w:b/>
          <w:sz w:val="28"/>
          <w:szCs w:val="28"/>
        </w:rPr>
        <w:sectPr w:rsidR="00702538">
          <w:footerReference w:type="default" r:id="rId8"/>
          <w:pgSz w:w="12240" w:h="15840"/>
          <w:pgMar w:top="1440" w:right="1440" w:bottom="1440" w:left="1440" w:header="720" w:footer="720" w:gutter="0"/>
          <w:cols w:space="720"/>
          <w:docGrid w:linePitch="360"/>
        </w:sectPr>
      </w:pPr>
    </w:p>
    <w:p w:rsidR="00A76118" w:rsidRDefault="00A76118" w:rsidP="00702538">
      <w:pPr>
        <w:jc w:val="center"/>
        <w:rPr>
          <w:rFonts w:ascii="Times New Roman" w:hAnsi="Times New Roman" w:cs="Times New Roman"/>
          <w:b/>
          <w:sz w:val="28"/>
          <w:szCs w:val="28"/>
        </w:rPr>
      </w:pPr>
      <w:r>
        <w:rPr>
          <w:rFonts w:ascii="Times New Roman" w:hAnsi="Times New Roman" w:cs="Times New Roman"/>
          <w:b/>
          <w:sz w:val="28"/>
          <w:szCs w:val="28"/>
        </w:rPr>
        <w:lastRenderedPageBreak/>
        <w:t>INSTITUTION RATING</w:t>
      </w:r>
    </w:p>
    <w:p w:rsidR="00563C2E" w:rsidRDefault="00563C2E" w:rsidP="00A76118">
      <w:pPr>
        <w:rPr>
          <w:rFonts w:ascii="Times New Roman" w:hAnsi="Times New Roman" w:cs="Times New Roman"/>
          <w:b/>
          <w:sz w:val="24"/>
          <w:szCs w:val="24"/>
        </w:rPr>
      </w:pPr>
    </w:p>
    <w:p w:rsidR="00A76118" w:rsidRDefault="00A76118" w:rsidP="00FA6151">
      <w:pPr>
        <w:spacing w:line="240" w:lineRule="auto"/>
        <w:jc w:val="both"/>
        <w:rPr>
          <w:rFonts w:ascii="Times New Roman" w:hAnsi="Times New Roman" w:cs="Times New Roman"/>
          <w:sz w:val="24"/>
          <w:szCs w:val="24"/>
        </w:rPr>
      </w:pPr>
      <w:proofErr w:type="gramStart"/>
      <w:r>
        <w:rPr>
          <w:rFonts w:ascii="Times New Roman" w:hAnsi="Times New Roman" w:cs="Times New Roman"/>
          <w:b/>
          <w:sz w:val="24"/>
          <w:szCs w:val="24"/>
        </w:rPr>
        <w:t>INSTITUTION’S</w:t>
      </w:r>
      <w:proofErr w:type="gramEnd"/>
      <w:r>
        <w:rPr>
          <w:rFonts w:ascii="Times New Roman" w:hAnsi="Times New Roman" w:cs="Times New Roman"/>
          <w:b/>
          <w:sz w:val="24"/>
          <w:szCs w:val="24"/>
        </w:rPr>
        <w:t xml:space="preserve"> CRA RATING: </w:t>
      </w:r>
      <w:r>
        <w:rPr>
          <w:rFonts w:ascii="Times New Roman" w:hAnsi="Times New Roman" w:cs="Times New Roman"/>
          <w:sz w:val="24"/>
          <w:szCs w:val="24"/>
        </w:rPr>
        <w:t xml:space="preserve">This institution is rated </w:t>
      </w:r>
      <w:r w:rsidR="002D3D8E">
        <w:rPr>
          <w:rFonts w:ascii="Times New Roman" w:hAnsi="Times New Roman" w:cs="Times New Roman"/>
          <w:b/>
          <w:sz w:val="24"/>
          <w:szCs w:val="24"/>
          <w:u w:val="single"/>
        </w:rPr>
        <w:t>High Satis</w:t>
      </w:r>
      <w:r>
        <w:rPr>
          <w:rFonts w:ascii="Times New Roman" w:hAnsi="Times New Roman" w:cs="Times New Roman"/>
          <w:b/>
          <w:sz w:val="24"/>
          <w:szCs w:val="24"/>
          <w:u w:val="single"/>
        </w:rPr>
        <w:t>factory</w:t>
      </w:r>
      <w:r w:rsidR="00AF2064">
        <w:rPr>
          <w:rFonts w:ascii="Times New Roman" w:hAnsi="Times New Roman" w:cs="Times New Roman"/>
          <w:b/>
          <w:sz w:val="24"/>
          <w:szCs w:val="24"/>
        </w:rPr>
        <w:t xml:space="preserve">. </w:t>
      </w:r>
      <w:r>
        <w:rPr>
          <w:rFonts w:ascii="Times New Roman" w:hAnsi="Times New Roman" w:cs="Times New Roman"/>
          <w:sz w:val="24"/>
          <w:szCs w:val="24"/>
        </w:rPr>
        <w:t>An institution in this group has a good record of helping to meet the credit needs of its assessment area, including low- and moderate-income neighborhoods, in a manner consistent with its resources and capabilities.</w:t>
      </w:r>
    </w:p>
    <w:p w:rsidR="00702538" w:rsidRPr="00702538" w:rsidRDefault="00702538" w:rsidP="00FA6151">
      <w:pPr>
        <w:spacing w:line="240" w:lineRule="auto"/>
        <w:jc w:val="both"/>
        <w:rPr>
          <w:rFonts w:ascii="Times New Roman" w:hAnsi="Times New Roman" w:cs="Times New Roman"/>
          <w:sz w:val="24"/>
          <w:szCs w:val="24"/>
        </w:rPr>
      </w:pPr>
      <w:r w:rsidRPr="00702538">
        <w:rPr>
          <w:rFonts w:ascii="Times New Roman" w:hAnsi="Times New Roman" w:cs="Times New Roman"/>
          <w:sz w:val="24"/>
          <w:szCs w:val="24"/>
        </w:rPr>
        <w:t>Watertown Savings Bank’s Community Reinvestment Act (CRA) performance under the Lending Test and Community Development Test supports the overall rating</w:t>
      </w:r>
      <w:r w:rsidR="00AF2064">
        <w:rPr>
          <w:rFonts w:ascii="Times New Roman" w:hAnsi="Times New Roman" w:cs="Times New Roman"/>
          <w:sz w:val="24"/>
          <w:szCs w:val="24"/>
        </w:rPr>
        <w:t xml:space="preserve">. </w:t>
      </w:r>
      <w:r w:rsidRPr="00702538">
        <w:rPr>
          <w:rFonts w:ascii="Times New Roman" w:hAnsi="Times New Roman" w:cs="Times New Roman"/>
          <w:sz w:val="24"/>
          <w:szCs w:val="24"/>
        </w:rPr>
        <w:t>Examiners did not identify any evidence of discriminatory or other illegal credit practices</w:t>
      </w:r>
      <w:r w:rsidR="00AF2064">
        <w:rPr>
          <w:rFonts w:ascii="Times New Roman" w:hAnsi="Times New Roman" w:cs="Times New Roman"/>
          <w:sz w:val="24"/>
          <w:szCs w:val="24"/>
        </w:rPr>
        <w:t xml:space="preserve">. </w:t>
      </w:r>
      <w:r w:rsidRPr="00702538">
        <w:rPr>
          <w:rFonts w:ascii="Times New Roman" w:hAnsi="Times New Roman" w:cs="Times New Roman"/>
          <w:sz w:val="24"/>
          <w:szCs w:val="24"/>
        </w:rPr>
        <w:t>The following points summarize the bank’s Lending Test and Community Development Test performance</w:t>
      </w:r>
      <w:r w:rsidR="00B47684">
        <w:rPr>
          <w:rFonts w:ascii="Times New Roman" w:hAnsi="Times New Roman" w:cs="Times New Roman"/>
          <w:sz w:val="24"/>
          <w:szCs w:val="24"/>
        </w:rPr>
        <w:t xml:space="preserve">.  </w:t>
      </w:r>
    </w:p>
    <w:p w:rsidR="00A76118" w:rsidRDefault="009520A9" w:rsidP="00FA6151">
      <w:pPr>
        <w:spacing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The Lending Test </w:t>
      </w:r>
      <w:proofErr w:type="gramStart"/>
      <w:r>
        <w:rPr>
          <w:rFonts w:ascii="Times New Roman" w:hAnsi="Times New Roman" w:cs="Times New Roman"/>
          <w:b/>
          <w:color w:val="000000" w:themeColor="text1"/>
          <w:sz w:val="24"/>
          <w:szCs w:val="24"/>
        </w:rPr>
        <w:t>is rated</w:t>
      </w:r>
      <w:proofErr w:type="gramEnd"/>
      <w:r>
        <w:rPr>
          <w:rFonts w:ascii="Times New Roman" w:hAnsi="Times New Roman" w:cs="Times New Roman"/>
          <w:b/>
          <w:color w:val="000000" w:themeColor="text1"/>
          <w:sz w:val="24"/>
          <w:szCs w:val="24"/>
        </w:rPr>
        <w:t xml:space="preserve"> </w:t>
      </w:r>
      <w:r w:rsidRPr="0068733D">
        <w:rPr>
          <w:rFonts w:ascii="Times New Roman" w:hAnsi="Times New Roman" w:cs="Times New Roman"/>
          <w:b/>
          <w:color w:val="000000" w:themeColor="text1"/>
          <w:sz w:val="24"/>
          <w:szCs w:val="24"/>
          <w:u w:val="single"/>
        </w:rPr>
        <w:t>High Satisfactory</w:t>
      </w:r>
    </w:p>
    <w:p w:rsidR="009520A9" w:rsidRPr="00171A84" w:rsidRDefault="00171A84" w:rsidP="00FA6151">
      <w:pPr>
        <w:pStyle w:val="ListParagraph"/>
        <w:numPr>
          <w:ilvl w:val="0"/>
          <w:numId w:val="4"/>
        </w:numPr>
        <w:spacing w:line="24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The loan-to-deposit (LTD) ratio is reasonable given the institution’s size, financial condition, and assessment area credit needs.</w:t>
      </w:r>
    </w:p>
    <w:p w:rsidR="00171A84" w:rsidRPr="00171A84" w:rsidRDefault="001D27C9" w:rsidP="00FA6151">
      <w:pPr>
        <w:pStyle w:val="ListParagraph"/>
        <w:numPr>
          <w:ilvl w:val="0"/>
          <w:numId w:val="4"/>
        </w:numPr>
        <w:spacing w:line="24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The bank</w:t>
      </w:r>
      <w:r w:rsidR="00171A84">
        <w:rPr>
          <w:rFonts w:ascii="Times New Roman" w:hAnsi="Times New Roman" w:cs="Times New Roman"/>
          <w:color w:val="000000" w:themeColor="text1"/>
          <w:sz w:val="24"/>
          <w:szCs w:val="24"/>
        </w:rPr>
        <w:t xml:space="preserve"> made a majority of its home mortgage loans in the assessment area.</w:t>
      </w:r>
    </w:p>
    <w:p w:rsidR="00171A84" w:rsidRPr="00171A84" w:rsidRDefault="00171A84" w:rsidP="00FA6151">
      <w:pPr>
        <w:pStyle w:val="ListParagraph"/>
        <w:numPr>
          <w:ilvl w:val="0"/>
          <w:numId w:val="4"/>
        </w:numPr>
        <w:spacing w:line="24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The geographic distribution of loans reflects good dispersion throughout the assessment area.</w:t>
      </w:r>
    </w:p>
    <w:p w:rsidR="00171A84" w:rsidRPr="00171A84" w:rsidRDefault="00171A84" w:rsidP="00FA6151">
      <w:pPr>
        <w:pStyle w:val="ListParagraph"/>
        <w:numPr>
          <w:ilvl w:val="0"/>
          <w:numId w:val="4"/>
        </w:numPr>
        <w:spacing w:line="24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The distribution of borrowers reflects excellent penetration of loans among individuals of different income levels.</w:t>
      </w:r>
    </w:p>
    <w:p w:rsidR="00171A84" w:rsidRPr="00171A84" w:rsidRDefault="00171A84" w:rsidP="00FA6151">
      <w:pPr>
        <w:pStyle w:val="ListParagraph"/>
        <w:numPr>
          <w:ilvl w:val="0"/>
          <w:numId w:val="4"/>
        </w:numPr>
        <w:spacing w:line="24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The institution did not receive any CRA-related complaints since the previous evaluation; therefore, this factor did not affect the Lending Test rating.</w:t>
      </w:r>
    </w:p>
    <w:p w:rsidR="00702538" w:rsidRPr="00702538" w:rsidRDefault="00171A84" w:rsidP="00FA6151">
      <w:pPr>
        <w:spacing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The Community Development Test </w:t>
      </w:r>
      <w:proofErr w:type="gramStart"/>
      <w:r>
        <w:rPr>
          <w:rFonts w:ascii="Times New Roman" w:hAnsi="Times New Roman" w:cs="Times New Roman"/>
          <w:b/>
          <w:color w:val="000000" w:themeColor="text1"/>
          <w:sz w:val="24"/>
          <w:szCs w:val="24"/>
        </w:rPr>
        <w:t>is rated</w:t>
      </w:r>
      <w:proofErr w:type="gramEnd"/>
      <w:r>
        <w:rPr>
          <w:rFonts w:ascii="Times New Roman" w:hAnsi="Times New Roman" w:cs="Times New Roman"/>
          <w:b/>
          <w:color w:val="000000" w:themeColor="text1"/>
          <w:sz w:val="24"/>
          <w:szCs w:val="24"/>
        </w:rPr>
        <w:t xml:space="preserve"> </w:t>
      </w:r>
      <w:r w:rsidRPr="0068733D">
        <w:rPr>
          <w:rFonts w:ascii="Times New Roman" w:hAnsi="Times New Roman" w:cs="Times New Roman"/>
          <w:b/>
          <w:color w:val="000000" w:themeColor="text1"/>
          <w:sz w:val="24"/>
          <w:szCs w:val="24"/>
          <w:u w:val="single"/>
        </w:rPr>
        <w:t>High Satisfactory</w:t>
      </w:r>
    </w:p>
    <w:p w:rsidR="00171A84" w:rsidRPr="00702538" w:rsidRDefault="00702538" w:rsidP="00FA6151">
      <w:pPr>
        <w:pStyle w:val="ListParagraph"/>
        <w:numPr>
          <w:ilvl w:val="0"/>
          <w:numId w:val="10"/>
        </w:numPr>
        <w:spacing w:line="240" w:lineRule="auto"/>
        <w:jc w:val="both"/>
        <w:rPr>
          <w:rFonts w:ascii="Times New Roman" w:hAnsi="Times New Roman" w:cs="Times New Roman"/>
          <w:b/>
          <w:color w:val="000000" w:themeColor="text1"/>
          <w:sz w:val="24"/>
          <w:szCs w:val="24"/>
        </w:rPr>
      </w:pPr>
      <w:r w:rsidRPr="00702538">
        <w:rPr>
          <w:rFonts w:ascii="Times New Roman" w:hAnsi="Times New Roman" w:cs="Times New Roman"/>
          <w:color w:val="000000" w:themeColor="text1"/>
          <w:sz w:val="24"/>
          <w:szCs w:val="24"/>
        </w:rPr>
        <w:t>The institution’s community development performance demonstrates good responsiveness to community development needs in its assessment area through</w:t>
      </w:r>
      <w:r w:rsidR="009C1379">
        <w:rPr>
          <w:rFonts w:ascii="Times New Roman" w:hAnsi="Times New Roman" w:cs="Times New Roman"/>
          <w:color w:val="000000" w:themeColor="text1"/>
          <w:sz w:val="24"/>
          <w:szCs w:val="24"/>
        </w:rPr>
        <w:t xml:space="preserve"> qualified investments</w:t>
      </w:r>
      <w:r w:rsidRPr="00702538">
        <w:rPr>
          <w:rFonts w:ascii="Times New Roman" w:hAnsi="Times New Roman" w:cs="Times New Roman"/>
          <w:color w:val="000000" w:themeColor="text1"/>
          <w:sz w:val="24"/>
          <w:szCs w:val="24"/>
        </w:rPr>
        <w:t xml:space="preserve"> and community development services</w:t>
      </w:r>
      <w:r w:rsidR="00AF2064">
        <w:rPr>
          <w:rFonts w:ascii="Times New Roman" w:hAnsi="Times New Roman" w:cs="Times New Roman"/>
          <w:color w:val="000000" w:themeColor="text1"/>
          <w:sz w:val="24"/>
          <w:szCs w:val="24"/>
        </w:rPr>
        <w:t xml:space="preserve">. </w:t>
      </w:r>
      <w:r w:rsidRPr="00702538">
        <w:rPr>
          <w:rFonts w:ascii="Times New Roman" w:hAnsi="Times New Roman" w:cs="Times New Roman"/>
          <w:color w:val="000000" w:themeColor="text1"/>
          <w:sz w:val="24"/>
          <w:szCs w:val="24"/>
        </w:rPr>
        <w:t>Examiners considered the institution’s capacity and the need and availability of such opportunities throughout the assessment area.</w:t>
      </w:r>
    </w:p>
    <w:p w:rsidR="00171A84" w:rsidRDefault="00171A84" w:rsidP="00FA6151">
      <w:pPr>
        <w:spacing w:line="240" w:lineRule="auto"/>
        <w:jc w:val="both"/>
        <w:rPr>
          <w:rFonts w:ascii="Times New Roman" w:hAnsi="Times New Roman" w:cs="Times New Roman"/>
          <w:b/>
          <w:color w:val="000000" w:themeColor="text1"/>
          <w:sz w:val="24"/>
          <w:szCs w:val="24"/>
        </w:rPr>
      </w:pPr>
    </w:p>
    <w:p w:rsidR="00171A84" w:rsidRDefault="00171A84" w:rsidP="00FA6151">
      <w:pPr>
        <w:spacing w:line="240" w:lineRule="auto"/>
        <w:jc w:val="both"/>
        <w:rPr>
          <w:rFonts w:ascii="Times New Roman" w:hAnsi="Times New Roman" w:cs="Times New Roman"/>
          <w:b/>
          <w:color w:val="000000" w:themeColor="text1"/>
          <w:sz w:val="24"/>
          <w:szCs w:val="24"/>
        </w:rPr>
      </w:pPr>
    </w:p>
    <w:p w:rsidR="00171A84" w:rsidRDefault="00171A84" w:rsidP="00FA6151">
      <w:pPr>
        <w:spacing w:line="240" w:lineRule="auto"/>
        <w:jc w:val="both"/>
        <w:rPr>
          <w:rFonts w:ascii="Times New Roman" w:hAnsi="Times New Roman" w:cs="Times New Roman"/>
          <w:b/>
          <w:color w:val="000000" w:themeColor="text1"/>
          <w:sz w:val="24"/>
          <w:szCs w:val="24"/>
        </w:rPr>
      </w:pPr>
    </w:p>
    <w:p w:rsidR="00171A84" w:rsidRDefault="00171A84" w:rsidP="00FA6151">
      <w:pPr>
        <w:spacing w:line="240" w:lineRule="auto"/>
        <w:jc w:val="both"/>
        <w:rPr>
          <w:rFonts w:ascii="Times New Roman" w:hAnsi="Times New Roman" w:cs="Times New Roman"/>
          <w:b/>
          <w:color w:val="000000" w:themeColor="text1"/>
          <w:sz w:val="24"/>
          <w:szCs w:val="24"/>
        </w:rPr>
      </w:pPr>
    </w:p>
    <w:p w:rsidR="00171A84" w:rsidRDefault="00171A84" w:rsidP="00FA6151">
      <w:pPr>
        <w:spacing w:line="240" w:lineRule="auto"/>
        <w:rPr>
          <w:rFonts w:ascii="Times New Roman" w:hAnsi="Times New Roman" w:cs="Times New Roman"/>
          <w:b/>
          <w:color w:val="000000" w:themeColor="text1"/>
          <w:sz w:val="24"/>
          <w:szCs w:val="24"/>
        </w:rPr>
      </w:pPr>
    </w:p>
    <w:p w:rsidR="00171A84" w:rsidRDefault="00171A84" w:rsidP="00FA6151">
      <w:pPr>
        <w:spacing w:line="240" w:lineRule="auto"/>
        <w:rPr>
          <w:rFonts w:ascii="Times New Roman" w:hAnsi="Times New Roman" w:cs="Times New Roman"/>
          <w:b/>
          <w:color w:val="000000" w:themeColor="text1"/>
          <w:sz w:val="24"/>
          <w:szCs w:val="24"/>
        </w:rPr>
      </w:pPr>
    </w:p>
    <w:p w:rsidR="00171A84" w:rsidRDefault="00171A84" w:rsidP="00FA6151">
      <w:pPr>
        <w:spacing w:line="240" w:lineRule="auto"/>
        <w:rPr>
          <w:rFonts w:ascii="Times New Roman" w:hAnsi="Times New Roman" w:cs="Times New Roman"/>
          <w:b/>
          <w:color w:val="000000" w:themeColor="text1"/>
          <w:sz w:val="24"/>
          <w:szCs w:val="24"/>
        </w:rPr>
      </w:pPr>
    </w:p>
    <w:p w:rsidR="00171A84" w:rsidRDefault="00171A84" w:rsidP="00FA6151">
      <w:pPr>
        <w:spacing w:line="240" w:lineRule="auto"/>
        <w:rPr>
          <w:rFonts w:ascii="Times New Roman" w:hAnsi="Times New Roman" w:cs="Times New Roman"/>
          <w:b/>
          <w:color w:val="000000" w:themeColor="text1"/>
          <w:sz w:val="24"/>
          <w:szCs w:val="24"/>
        </w:rPr>
      </w:pPr>
    </w:p>
    <w:p w:rsidR="00171A84" w:rsidRDefault="00171A84" w:rsidP="00FA6151">
      <w:pPr>
        <w:spacing w:line="240" w:lineRule="auto"/>
        <w:rPr>
          <w:rFonts w:ascii="Times New Roman" w:hAnsi="Times New Roman" w:cs="Times New Roman"/>
          <w:b/>
          <w:color w:val="000000" w:themeColor="text1"/>
          <w:sz w:val="24"/>
          <w:szCs w:val="24"/>
        </w:rPr>
      </w:pPr>
    </w:p>
    <w:p w:rsidR="00FA6151" w:rsidRDefault="00FA6151" w:rsidP="00FA6151">
      <w:pPr>
        <w:spacing w:line="240" w:lineRule="auto"/>
        <w:jc w:val="center"/>
        <w:rPr>
          <w:rFonts w:ascii="Times New Roman" w:hAnsi="Times New Roman" w:cs="Times New Roman"/>
          <w:b/>
          <w:color w:val="000000" w:themeColor="text1"/>
          <w:sz w:val="28"/>
          <w:szCs w:val="28"/>
        </w:rPr>
      </w:pPr>
    </w:p>
    <w:p w:rsidR="00171A84" w:rsidRDefault="005416B4" w:rsidP="00FA6151">
      <w:pPr>
        <w:spacing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SCOPE OF EVALUATION</w:t>
      </w:r>
    </w:p>
    <w:p w:rsidR="005416B4" w:rsidRPr="005416B4" w:rsidRDefault="005416B4" w:rsidP="00FA6151">
      <w:pPr>
        <w:spacing w:line="240" w:lineRule="auto"/>
        <w:jc w:val="both"/>
        <w:rPr>
          <w:rFonts w:ascii="Times New Roman" w:hAnsi="Times New Roman" w:cs="Times New Roman"/>
          <w:b/>
          <w:color w:val="000000" w:themeColor="text1"/>
          <w:sz w:val="24"/>
          <w:szCs w:val="24"/>
          <w:u w:val="single"/>
        </w:rPr>
      </w:pPr>
      <w:r w:rsidRPr="005416B4">
        <w:rPr>
          <w:rFonts w:ascii="Times New Roman" w:hAnsi="Times New Roman" w:cs="Times New Roman"/>
          <w:b/>
          <w:color w:val="000000" w:themeColor="text1"/>
          <w:sz w:val="24"/>
          <w:szCs w:val="24"/>
          <w:u w:val="single"/>
        </w:rPr>
        <w:t>General Information</w:t>
      </w:r>
    </w:p>
    <w:p w:rsidR="005416B4" w:rsidRDefault="005416B4" w:rsidP="00FA6151">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evaluation covers the period from the prior evaluation dated September 26, 2016, to the current evaluation dated January 14, 2019</w:t>
      </w:r>
      <w:r w:rsidR="00AF206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Examiners used the Interagency Intermediate Small Institution (ISI) Examination Procedures to evaluate Watertown Savings Bank’s CRA performance</w:t>
      </w:r>
      <w:r w:rsidR="00AF206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The procedures include two tests: the Lending Test and the Community Development Test</w:t>
      </w:r>
      <w:r w:rsidR="00AF206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The evaluation references demographic and economic information from the 2010 United States (U.S.) Census, 2015 American Community Survey (ACS) Census, Warren Group Housing Statistics, and </w:t>
      </w:r>
      <w:r w:rsidR="009C1379">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U.S</w:t>
      </w:r>
      <w:r w:rsidR="009C1379">
        <w:rPr>
          <w:rFonts w:ascii="Times New Roman" w:hAnsi="Times New Roman" w:cs="Times New Roman"/>
          <w:color w:val="000000" w:themeColor="text1"/>
          <w:sz w:val="24"/>
          <w:szCs w:val="24"/>
        </w:rPr>
        <w:t>.</w:t>
      </w:r>
      <w:r w:rsidR="00B4768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Bureau of Labor Statistics (BLS)</w:t>
      </w:r>
      <w:r w:rsidR="00AF206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Bank financial data reflects the September 30, 2018 Consolidated Reports of Condition and Income (Call Report).</w:t>
      </w:r>
    </w:p>
    <w:p w:rsidR="002D78B7" w:rsidRDefault="002D78B7" w:rsidP="00FA6151">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Lending Test considered the institution’s performance according to the following criteria.</w:t>
      </w:r>
    </w:p>
    <w:p w:rsidR="002D78B7" w:rsidRDefault="002D78B7" w:rsidP="00FA6151">
      <w:pPr>
        <w:pStyle w:val="ListParagraph"/>
        <w:numPr>
          <w:ilvl w:val="0"/>
          <w:numId w:val="5"/>
        </w:num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Loan-to-deposit ratio</w:t>
      </w:r>
    </w:p>
    <w:p w:rsidR="002D78B7" w:rsidRDefault="002D78B7" w:rsidP="00FA6151">
      <w:pPr>
        <w:pStyle w:val="ListParagraph"/>
        <w:numPr>
          <w:ilvl w:val="0"/>
          <w:numId w:val="5"/>
        </w:num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Assessment area concentration</w:t>
      </w:r>
    </w:p>
    <w:p w:rsidR="002D78B7" w:rsidRDefault="002D78B7" w:rsidP="00FA6151">
      <w:pPr>
        <w:pStyle w:val="ListParagraph"/>
        <w:numPr>
          <w:ilvl w:val="0"/>
          <w:numId w:val="5"/>
        </w:num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Geographic distribution</w:t>
      </w:r>
    </w:p>
    <w:p w:rsidR="002D78B7" w:rsidRDefault="002D78B7" w:rsidP="00FA6151">
      <w:pPr>
        <w:pStyle w:val="ListParagraph"/>
        <w:numPr>
          <w:ilvl w:val="0"/>
          <w:numId w:val="5"/>
        </w:num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Borrower profile</w:t>
      </w:r>
    </w:p>
    <w:p w:rsidR="002D78B7" w:rsidRDefault="002D78B7" w:rsidP="00FA6151">
      <w:pPr>
        <w:pStyle w:val="ListParagraph"/>
        <w:numPr>
          <w:ilvl w:val="0"/>
          <w:numId w:val="5"/>
        </w:num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Response to CRA-related complaints</w:t>
      </w:r>
    </w:p>
    <w:p w:rsidR="002D78B7" w:rsidRDefault="002D78B7" w:rsidP="00FA6151">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Community Development Test considered the following factors.</w:t>
      </w:r>
    </w:p>
    <w:p w:rsidR="002D78B7" w:rsidRDefault="002D78B7" w:rsidP="00FA6151">
      <w:pPr>
        <w:pStyle w:val="ListParagraph"/>
        <w:numPr>
          <w:ilvl w:val="0"/>
          <w:numId w:val="6"/>
        </w:num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Number and dollar amount of community development loans, qualified investments, and community development services.</w:t>
      </w:r>
    </w:p>
    <w:p w:rsidR="002D78B7" w:rsidRDefault="002D78B7" w:rsidP="00FA6151">
      <w:pPr>
        <w:pStyle w:val="ListParagraph"/>
        <w:numPr>
          <w:ilvl w:val="0"/>
          <w:numId w:val="6"/>
        </w:num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responsiveness of such activities to the community development needs of the assessment area.</w:t>
      </w:r>
    </w:p>
    <w:p w:rsidR="002D78B7" w:rsidRDefault="002D78B7" w:rsidP="00FA6151">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Banks must achieve at least a </w:t>
      </w:r>
      <w:proofErr w:type="gramStart"/>
      <w:r>
        <w:rPr>
          <w:rFonts w:ascii="Times New Roman" w:hAnsi="Times New Roman" w:cs="Times New Roman"/>
          <w:color w:val="000000" w:themeColor="text1"/>
          <w:sz w:val="24"/>
          <w:szCs w:val="24"/>
        </w:rPr>
        <w:t>Satisfactory</w:t>
      </w:r>
      <w:proofErr w:type="gramEnd"/>
      <w:r>
        <w:rPr>
          <w:rFonts w:ascii="Times New Roman" w:hAnsi="Times New Roman" w:cs="Times New Roman"/>
          <w:color w:val="000000" w:themeColor="text1"/>
          <w:sz w:val="24"/>
          <w:szCs w:val="24"/>
        </w:rPr>
        <w:t xml:space="preserve"> rating under each test to obtain an overall Satisfactory rating.</w:t>
      </w:r>
    </w:p>
    <w:p w:rsidR="002D78B7" w:rsidRDefault="002D78B7" w:rsidP="00FA6151">
      <w:pPr>
        <w:spacing w:line="240" w:lineRule="auto"/>
        <w:jc w:val="both"/>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Loan Products Reviewed</w:t>
      </w:r>
    </w:p>
    <w:p w:rsidR="002D78B7" w:rsidRDefault="001D27C9" w:rsidP="00FA6151">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bank</w:t>
      </w:r>
      <w:r w:rsidR="002D78B7">
        <w:rPr>
          <w:rFonts w:ascii="Times New Roman" w:hAnsi="Times New Roman" w:cs="Times New Roman"/>
          <w:color w:val="000000" w:themeColor="text1"/>
          <w:sz w:val="24"/>
          <w:szCs w:val="24"/>
        </w:rPr>
        <w:t xml:space="preserve">’s portfolio remains weighted in residential real estate loans, including those secured by 1-4 family and multi-family properties at </w:t>
      </w:r>
      <w:r w:rsidR="00C204FD">
        <w:rPr>
          <w:rFonts w:ascii="Times New Roman" w:hAnsi="Times New Roman" w:cs="Times New Roman"/>
          <w:color w:val="000000" w:themeColor="text1"/>
          <w:sz w:val="24"/>
          <w:szCs w:val="24"/>
        </w:rPr>
        <w:t>87.8 percent</w:t>
      </w:r>
      <w:r w:rsidR="00AF2064">
        <w:rPr>
          <w:rFonts w:ascii="Times New Roman" w:hAnsi="Times New Roman" w:cs="Times New Roman"/>
          <w:color w:val="000000" w:themeColor="text1"/>
          <w:sz w:val="24"/>
          <w:szCs w:val="24"/>
        </w:rPr>
        <w:t xml:space="preserve">. </w:t>
      </w:r>
      <w:r w:rsidR="00C204FD">
        <w:rPr>
          <w:rFonts w:ascii="Times New Roman" w:hAnsi="Times New Roman" w:cs="Times New Roman"/>
          <w:color w:val="000000" w:themeColor="text1"/>
          <w:sz w:val="24"/>
          <w:szCs w:val="24"/>
        </w:rPr>
        <w:t xml:space="preserve">As a result, home mortgage lending performance </w:t>
      </w:r>
      <w:proofErr w:type="gramStart"/>
      <w:r w:rsidR="00C204FD">
        <w:rPr>
          <w:rFonts w:ascii="Times New Roman" w:hAnsi="Times New Roman" w:cs="Times New Roman"/>
          <w:color w:val="000000" w:themeColor="text1"/>
          <w:sz w:val="24"/>
          <w:szCs w:val="24"/>
        </w:rPr>
        <w:t>was considered</w:t>
      </w:r>
      <w:proofErr w:type="gramEnd"/>
      <w:r w:rsidR="00C204FD">
        <w:rPr>
          <w:rFonts w:ascii="Times New Roman" w:hAnsi="Times New Roman" w:cs="Times New Roman"/>
          <w:color w:val="000000" w:themeColor="text1"/>
          <w:sz w:val="24"/>
          <w:szCs w:val="24"/>
        </w:rPr>
        <w:t xml:space="preserve"> as part of this evaluation</w:t>
      </w:r>
      <w:r w:rsidR="00AF2064">
        <w:rPr>
          <w:rFonts w:ascii="Times New Roman" w:hAnsi="Times New Roman" w:cs="Times New Roman"/>
          <w:color w:val="000000" w:themeColor="text1"/>
          <w:sz w:val="24"/>
          <w:szCs w:val="24"/>
        </w:rPr>
        <w:t xml:space="preserve">. </w:t>
      </w:r>
      <w:r w:rsidR="00C204FD">
        <w:rPr>
          <w:rFonts w:ascii="Times New Roman" w:hAnsi="Times New Roman" w:cs="Times New Roman"/>
          <w:color w:val="000000" w:themeColor="text1"/>
          <w:sz w:val="24"/>
          <w:szCs w:val="24"/>
        </w:rPr>
        <w:t xml:space="preserve">Commercial, small farm loans, consumer, and other loan types </w:t>
      </w:r>
      <w:proofErr w:type="gramStart"/>
      <w:r w:rsidR="00C204FD">
        <w:rPr>
          <w:rFonts w:ascii="Times New Roman" w:hAnsi="Times New Roman" w:cs="Times New Roman"/>
          <w:color w:val="000000" w:themeColor="text1"/>
          <w:sz w:val="24"/>
          <w:szCs w:val="24"/>
        </w:rPr>
        <w:t>were not considered</w:t>
      </w:r>
      <w:proofErr w:type="gramEnd"/>
      <w:r w:rsidR="00C204FD">
        <w:rPr>
          <w:rFonts w:ascii="Times New Roman" w:hAnsi="Times New Roman" w:cs="Times New Roman"/>
          <w:color w:val="000000" w:themeColor="text1"/>
          <w:sz w:val="24"/>
          <w:szCs w:val="24"/>
        </w:rPr>
        <w:t xml:space="preserve"> due to the low volume of originations and the overall small percentage of the loan portfolio represented by these loan types.</w:t>
      </w:r>
    </w:p>
    <w:p w:rsidR="00C204FD" w:rsidRDefault="00C204FD" w:rsidP="00FA6151">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Examiners evaluated home mortgage lending data from July 1, 2016 through December 31, 2017, on </w:t>
      </w:r>
      <w:r w:rsidR="001D27C9">
        <w:rPr>
          <w:rFonts w:ascii="Times New Roman" w:hAnsi="Times New Roman" w:cs="Times New Roman"/>
          <w:color w:val="000000" w:themeColor="text1"/>
          <w:sz w:val="24"/>
          <w:szCs w:val="24"/>
        </w:rPr>
        <w:t>the bank</w:t>
      </w:r>
      <w:r>
        <w:rPr>
          <w:rFonts w:ascii="Times New Roman" w:hAnsi="Times New Roman" w:cs="Times New Roman"/>
          <w:color w:val="000000" w:themeColor="text1"/>
          <w:sz w:val="24"/>
          <w:szCs w:val="24"/>
        </w:rPr>
        <w:t>’s Home Mortgage Disclosure Act (</w:t>
      </w:r>
      <w:proofErr w:type="spellStart"/>
      <w:r>
        <w:rPr>
          <w:rFonts w:ascii="Times New Roman" w:hAnsi="Times New Roman" w:cs="Times New Roman"/>
          <w:color w:val="000000" w:themeColor="text1"/>
          <w:sz w:val="24"/>
          <w:szCs w:val="24"/>
        </w:rPr>
        <w:t>HMDA</w:t>
      </w:r>
      <w:proofErr w:type="spellEnd"/>
      <w:r>
        <w:rPr>
          <w:rFonts w:ascii="Times New Roman" w:hAnsi="Times New Roman" w:cs="Times New Roman"/>
          <w:color w:val="000000" w:themeColor="text1"/>
          <w:sz w:val="24"/>
          <w:szCs w:val="24"/>
        </w:rPr>
        <w:t>) Loan Application Registers (</w:t>
      </w:r>
      <w:proofErr w:type="spellStart"/>
      <w:r>
        <w:rPr>
          <w:rFonts w:ascii="Times New Roman" w:hAnsi="Times New Roman" w:cs="Times New Roman"/>
          <w:color w:val="000000" w:themeColor="text1"/>
          <w:sz w:val="24"/>
          <w:szCs w:val="24"/>
        </w:rPr>
        <w:t>LARs</w:t>
      </w:r>
      <w:proofErr w:type="spellEnd"/>
      <w:r w:rsidR="009C1379">
        <w:rPr>
          <w:rFonts w:ascii="Times New Roman" w:hAnsi="Times New Roman" w:cs="Times New Roman"/>
          <w:color w:val="000000" w:themeColor="text1"/>
          <w:sz w:val="24"/>
          <w:szCs w:val="24"/>
        </w:rPr>
        <w:t>)</w:t>
      </w:r>
      <w:r w:rsidR="00AF2064">
        <w:rPr>
          <w:rFonts w:ascii="Times New Roman" w:hAnsi="Times New Roman" w:cs="Times New Roman"/>
          <w:color w:val="000000" w:themeColor="text1"/>
          <w:sz w:val="24"/>
          <w:szCs w:val="24"/>
        </w:rPr>
        <w:t xml:space="preserve">. </w:t>
      </w:r>
      <w:r w:rsidR="004E2163">
        <w:rPr>
          <w:rFonts w:ascii="Times New Roman" w:hAnsi="Times New Roman" w:cs="Times New Roman"/>
          <w:color w:val="000000" w:themeColor="text1"/>
          <w:sz w:val="24"/>
          <w:szCs w:val="24"/>
        </w:rPr>
        <w:t xml:space="preserve">The first two quarters of 2016 </w:t>
      </w:r>
      <w:proofErr w:type="gramStart"/>
      <w:r w:rsidR="004E2163">
        <w:rPr>
          <w:rFonts w:ascii="Times New Roman" w:hAnsi="Times New Roman" w:cs="Times New Roman"/>
          <w:color w:val="000000" w:themeColor="text1"/>
          <w:sz w:val="24"/>
          <w:szCs w:val="24"/>
        </w:rPr>
        <w:t>were considered</w:t>
      </w:r>
      <w:proofErr w:type="gramEnd"/>
      <w:r w:rsidR="004E2163">
        <w:rPr>
          <w:rFonts w:ascii="Times New Roman" w:hAnsi="Times New Roman" w:cs="Times New Roman"/>
          <w:color w:val="000000" w:themeColor="text1"/>
          <w:sz w:val="24"/>
          <w:szCs w:val="24"/>
        </w:rPr>
        <w:t xml:space="preserve"> during the prior evaluation period, and as such were omitted from this performance evaluation</w:t>
      </w:r>
      <w:r w:rsidR="00AF2064">
        <w:rPr>
          <w:rFonts w:ascii="Times New Roman" w:hAnsi="Times New Roman" w:cs="Times New Roman"/>
          <w:color w:val="000000" w:themeColor="text1"/>
          <w:sz w:val="24"/>
          <w:szCs w:val="24"/>
        </w:rPr>
        <w:t xml:space="preserve">. </w:t>
      </w:r>
      <w:r w:rsidR="009C1379">
        <w:rPr>
          <w:rFonts w:ascii="Times New Roman" w:hAnsi="Times New Roman" w:cs="Times New Roman"/>
          <w:color w:val="000000" w:themeColor="text1"/>
          <w:sz w:val="24"/>
          <w:szCs w:val="24"/>
        </w:rPr>
        <w:t>T</w:t>
      </w:r>
      <w:r w:rsidR="001D27C9">
        <w:rPr>
          <w:rFonts w:ascii="Times New Roman" w:hAnsi="Times New Roman" w:cs="Times New Roman"/>
          <w:color w:val="000000" w:themeColor="text1"/>
          <w:sz w:val="24"/>
          <w:szCs w:val="24"/>
        </w:rPr>
        <w:t>he bank</w:t>
      </w:r>
      <w:r>
        <w:rPr>
          <w:rFonts w:ascii="Times New Roman" w:hAnsi="Times New Roman" w:cs="Times New Roman"/>
          <w:color w:val="000000" w:themeColor="text1"/>
          <w:sz w:val="24"/>
          <w:szCs w:val="24"/>
        </w:rPr>
        <w:t xml:space="preserve"> originated 95 home mortgage loans totaling $35.1 million</w:t>
      </w:r>
      <w:r w:rsidR="009C1379">
        <w:rPr>
          <w:rFonts w:ascii="Times New Roman" w:hAnsi="Times New Roman" w:cs="Times New Roman"/>
          <w:color w:val="000000" w:themeColor="text1"/>
          <w:sz w:val="24"/>
          <w:szCs w:val="24"/>
        </w:rPr>
        <w:t xml:space="preserve"> during the second half of 2016</w:t>
      </w:r>
      <w:r>
        <w:rPr>
          <w:rFonts w:ascii="Times New Roman" w:hAnsi="Times New Roman" w:cs="Times New Roman"/>
          <w:color w:val="000000" w:themeColor="text1"/>
          <w:sz w:val="24"/>
          <w:szCs w:val="24"/>
        </w:rPr>
        <w:t>, and originated 196 loans totaling $89.9 million in 2017</w:t>
      </w:r>
      <w:r w:rsidR="00AF2064">
        <w:rPr>
          <w:rFonts w:ascii="Times New Roman" w:hAnsi="Times New Roman" w:cs="Times New Roman"/>
          <w:color w:val="000000" w:themeColor="text1"/>
          <w:sz w:val="24"/>
          <w:szCs w:val="24"/>
        </w:rPr>
        <w:t xml:space="preserve">. </w:t>
      </w:r>
      <w:r w:rsidR="00450040">
        <w:rPr>
          <w:rFonts w:ascii="Times New Roman" w:hAnsi="Times New Roman" w:cs="Times New Roman"/>
          <w:color w:val="000000" w:themeColor="text1"/>
          <w:sz w:val="24"/>
          <w:szCs w:val="24"/>
        </w:rPr>
        <w:t xml:space="preserve">As 2017 is the only full year for which lending data </w:t>
      </w:r>
      <w:proofErr w:type="gramStart"/>
      <w:r w:rsidR="00450040">
        <w:rPr>
          <w:rFonts w:ascii="Times New Roman" w:hAnsi="Times New Roman" w:cs="Times New Roman"/>
          <w:color w:val="000000" w:themeColor="text1"/>
          <w:sz w:val="24"/>
          <w:szCs w:val="24"/>
        </w:rPr>
        <w:t>was considered</w:t>
      </w:r>
      <w:proofErr w:type="gramEnd"/>
      <w:r w:rsidR="00450040">
        <w:rPr>
          <w:rFonts w:ascii="Times New Roman" w:hAnsi="Times New Roman" w:cs="Times New Roman"/>
          <w:color w:val="000000" w:themeColor="text1"/>
          <w:sz w:val="24"/>
          <w:szCs w:val="24"/>
        </w:rPr>
        <w:t>, performance in 2017 receives more weight than 2016.</w:t>
      </w:r>
    </w:p>
    <w:p w:rsidR="00C204FD" w:rsidRDefault="00C204FD" w:rsidP="00FA6151">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Examiners considered the number and dollar volume of </w:t>
      </w:r>
      <w:proofErr w:type="gramStart"/>
      <w:r>
        <w:rPr>
          <w:rFonts w:ascii="Times New Roman" w:hAnsi="Times New Roman" w:cs="Times New Roman"/>
          <w:color w:val="000000" w:themeColor="text1"/>
          <w:sz w:val="24"/>
          <w:szCs w:val="24"/>
        </w:rPr>
        <w:t>home mortgage loan originations</w:t>
      </w:r>
      <w:proofErr w:type="gramEnd"/>
      <w:r>
        <w:rPr>
          <w:rFonts w:ascii="Times New Roman" w:hAnsi="Times New Roman" w:cs="Times New Roman"/>
          <w:color w:val="000000" w:themeColor="text1"/>
          <w:sz w:val="24"/>
          <w:szCs w:val="24"/>
        </w:rPr>
        <w:t>; however, emphasis is placed on the number of loans as it provides a better overall indicator of the number of individuals served by the institution.</w:t>
      </w:r>
      <w:r w:rsidR="00450040">
        <w:rPr>
          <w:rFonts w:ascii="Times New Roman" w:hAnsi="Times New Roman" w:cs="Times New Roman"/>
          <w:color w:val="000000" w:themeColor="text1"/>
          <w:sz w:val="24"/>
          <w:szCs w:val="24"/>
        </w:rPr>
        <w:t xml:space="preserve"> </w:t>
      </w:r>
    </w:p>
    <w:p w:rsidR="009C1379" w:rsidRDefault="009C1379" w:rsidP="00FA6151">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The bank’s lending performance </w:t>
      </w:r>
      <w:r w:rsidR="00450040">
        <w:rPr>
          <w:rFonts w:ascii="Times New Roman" w:hAnsi="Times New Roman" w:cs="Times New Roman"/>
          <w:color w:val="000000" w:themeColor="text1"/>
          <w:sz w:val="24"/>
          <w:szCs w:val="24"/>
        </w:rPr>
        <w:t xml:space="preserve">for </w:t>
      </w:r>
      <w:r>
        <w:rPr>
          <w:rFonts w:ascii="Times New Roman" w:hAnsi="Times New Roman" w:cs="Times New Roman"/>
          <w:color w:val="000000" w:themeColor="text1"/>
          <w:sz w:val="24"/>
          <w:szCs w:val="24"/>
        </w:rPr>
        <w:t xml:space="preserve">2017 </w:t>
      </w:r>
      <w:proofErr w:type="gramStart"/>
      <w:r>
        <w:rPr>
          <w:rFonts w:ascii="Times New Roman" w:hAnsi="Times New Roman" w:cs="Times New Roman"/>
          <w:color w:val="000000" w:themeColor="text1"/>
          <w:sz w:val="24"/>
          <w:szCs w:val="24"/>
        </w:rPr>
        <w:t>was compared</w:t>
      </w:r>
      <w:proofErr w:type="gramEnd"/>
      <w:r>
        <w:rPr>
          <w:rFonts w:ascii="Times New Roman" w:hAnsi="Times New Roman" w:cs="Times New Roman"/>
          <w:color w:val="000000" w:themeColor="text1"/>
          <w:sz w:val="24"/>
          <w:szCs w:val="24"/>
        </w:rPr>
        <w:t xml:space="preserve"> with aggregate lending data for all </w:t>
      </w:r>
      <w:proofErr w:type="spellStart"/>
      <w:r>
        <w:rPr>
          <w:rFonts w:ascii="Times New Roman" w:hAnsi="Times New Roman" w:cs="Times New Roman"/>
          <w:color w:val="000000" w:themeColor="text1"/>
          <w:sz w:val="24"/>
          <w:szCs w:val="24"/>
        </w:rPr>
        <w:t>HMDA</w:t>
      </w:r>
      <w:proofErr w:type="spellEnd"/>
      <w:r>
        <w:rPr>
          <w:rFonts w:ascii="Times New Roman" w:hAnsi="Times New Roman" w:cs="Times New Roman"/>
          <w:color w:val="000000" w:themeColor="text1"/>
          <w:sz w:val="24"/>
          <w:szCs w:val="24"/>
        </w:rPr>
        <w:t xml:space="preserve"> reporters and assessment area demographics</w:t>
      </w:r>
      <w:r w:rsidR="00AF2064">
        <w:rPr>
          <w:rFonts w:ascii="Times New Roman" w:hAnsi="Times New Roman" w:cs="Times New Roman"/>
          <w:color w:val="000000" w:themeColor="text1"/>
          <w:sz w:val="24"/>
          <w:szCs w:val="24"/>
        </w:rPr>
        <w:t xml:space="preserve">. </w:t>
      </w:r>
      <w:r w:rsidR="00AF2064">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As a result, </w:t>
      </w:r>
      <w:r w:rsidR="00450040">
        <w:rPr>
          <w:rFonts w:ascii="Times New Roman" w:hAnsi="Times New Roman" w:cs="Times New Roman"/>
          <w:color w:val="000000" w:themeColor="text1"/>
          <w:sz w:val="24"/>
          <w:szCs w:val="24"/>
        </w:rPr>
        <w:t xml:space="preserve">performance for the second half of 2016 </w:t>
      </w:r>
      <w:proofErr w:type="gramStart"/>
      <w:r w:rsidR="00450040">
        <w:rPr>
          <w:rFonts w:ascii="Times New Roman" w:hAnsi="Times New Roman" w:cs="Times New Roman"/>
          <w:color w:val="000000" w:themeColor="text1"/>
          <w:sz w:val="24"/>
          <w:szCs w:val="24"/>
        </w:rPr>
        <w:t>was compared</w:t>
      </w:r>
      <w:proofErr w:type="gramEnd"/>
      <w:r w:rsidR="00450040">
        <w:rPr>
          <w:rFonts w:ascii="Times New Roman" w:hAnsi="Times New Roman" w:cs="Times New Roman"/>
          <w:color w:val="000000" w:themeColor="text1"/>
          <w:sz w:val="24"/>
          <w:szCs w:val="24"/>
        </w:rPr>
        <w:t xml:space="preserve"> to 2016 aggregate data, demographic measures, and market share statistics.</w:t>
      </w:r>
      <w:r>
        <w:rPr>
          <w:rFonts w:ascii="Times New Roman" w:hAnsi="Times New Roman" w:cs="Times New Roman"/>
          <w:color w:val="000000" w:themeColor="text1"/>
          <w:sz w:val="24"/>
          <w:szCs w:val="24"/>
        </w:rPr>
        <w:t xml:space="preserve"> </w:t>
      </w:r>
    </w:p>
    <w:p w:rsidR="00AF2064" w:rsidRDefault="00C204FD" w:rsidP="00FA6151">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Community Development Test included an analysis of </w:t>
      </w:r>
      <w:r w:rsidR="001D27C9">
        <w:rPr>
          <w:rFonts w:ascii="Times New Roman" w:hAnsi="Times New Roman" w:cs="Times New Roman"/>
          <w:color w:val="000000" w:themeColor="text1"/>
          <w:sz w:val="24"/>
          <w:szCs w:val="24"/>
        </w:rPr>
        <w:t>the bank</w:t>
      </w:r>
      <w:r>
        <w:rPr>
          <w:rFonts w:ascii="Times New Roman" w:hAnsi="Times New Roman" w:cs="Times New Roman"/>
          <w:color w:val="000000" w:themeColor="text1"/>
          <w:sz w:val="24"/>
          <w:szCs w:val="24"/>
        </w:rPr>
        <w:t xml:space="preserve">’s qualified investments, and </w:t>
      </w:r>
      <w:r w:rsidR="00450040">
        <w:rPr>
          <w:rFonts w:ascii="Times New Roman" w:hAnsi="Times New Roman" w:cs="Times New Roman"/>
          <w:color w:val="000000" w:themeColor="text1"/>
          <w:sz w:val="24"/>
          <w:szCs w:val="24"/>
        </w:rPr>
        <w:t xml:space="preserve">community development </w:t>
      </w:r>
      <w:r>
        <w:rPr>
          <w:rFonts w:ascii="Times New Roman" w:hAnsi="Times New Roman" w:cs="Times New Roman"/>
          <w:color w:val="000000" w:themeColor="text1"/>
          <w:sz w:val="24"/>
          <w:szCs w:val="24"/>
        </w:rPr>
        <w:t>services from September 26, 2016 through January 14, 2019</w:t>
      </w:r>
      <w:r w:rsidR="00AF2064">
        <w:rPr>
          <w:rFonts w:ascii="Times New Roman" w:hAnsi="Times New Roman" w:cs="Times New Roman"/>
          <w:color w:val="000000" w:themeColor="text1"/>
          <w:sz w:val="24"/>
          <w:szCs w:val="24"/>
        </w:rPr>
        <w:t xml:space="preserve">. </w:t>
      </w:r>
      <w:r w:rsidR="00450040">
        <w:rPr>
          <w:rFonts w:ascii="Times New Roman" w:hAnsi="Times New Roman" w:cs="Times New Roman"/>
          <w:color w:val="000000" w:themeColor="text1"/>
          <w:sz w:val="24"/>
          <w:szCs w:val="24"/>
        </w:rPr>
        <w:t>The bank did not submit any community development loans for review</w:t>
      </w:r>
      <w:r w:rsidR="00AF2064">
        <w:rPr>
          <w:rFonts w:ascii="Times New Roman" w:hAnsi="Times New Roman" w:cs="Times New Roman"/>
          <w:color w:val="000000" w:themeColor="text1"/>
          <w:sz w:val="24"/>
          <w:szCs w:val="24"/>
        </w:rPr>
        <w:t xml:space="preserve">. </w:t>
      </w:r>
      <w:r w:rsidR="00450040">
        <w:rPr>
          <w:rFonts w:ascii="Times New Roman" w:hAnsi="Times New Roman" w:cs="Times New Roman"/>
          <w:color w:val="000000" w:themeColor="text1"/>
          <w:sz w:val="24"/>
          <w:szCs w:val="24"/>
        </w:rPr>
        <w:t>For the purpose of this evaluation, a</w:t>
      </w:r>
      <w:r w:rsidR="00EB40FB">
        <w:rPr>
          <w:rFonts w:ascii="Times New Roman" w:hAnsi="Times New Roman" w:cs="Times New Roman"/>
          <w:color w:val="000000" w:themeColor="text1"/>
          <w:sz w:val="24"/>
          <w:szCs w:val="24"/>
        </w:rPr>
        <w:t xml:space="preserve"> qualified investment is a lawful investment, deposit, donation, or grant that has community development as its primary purpose</w:t>
      </w:r>
      <w:r w:rsidR="00B47684">
        <w:rPr>
          <w:rFonts w:ascii="Times New Roman" w:hAnsi="Times New Roman" w:cs="Times New Roman"/>
          <w:color w:val="000000" w:themeColor="text1"/>
          <w:sz w:val="24"/>
          <w:szCs w:val="24"/>
        </w:rPr>
        <w:t xml:space="preserve">.  </w:t>
      </w:r>
    </w:p>
    <w:p w:rsidR="00C204FD" w:rsidRPr="002D78B7" w:rsidRDefault="00EB40FB" w:rsidP="00FA6151">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community development service is a service that has community development as its primary purpose and </w:t>
      </w:r>
      <w:proofErr w:type="gramStart"/>
      <w:r>
        <w:rPr>
          <w:rFonts w:ascii="Times New Roman" w:hAnsi="Times New Roman" w:cs="Times New Roman"/>
          <w:color w:val="000000" w:themeColor="text1"/>
          <w:sz w:val="24"/>
          <w:szCs w:val="24"/>
        </w:rPr>
        <w:t>is generally related</w:t>
      </w:r>
      <w:proofErr w:type="gramEnd"/>
      <w:r>
        <w:rPr>
          <w:rFonts w:ascii="Times New Roman" w:hAnsi="Times New Roman" w:cs="Times New Roman"/>
          <w:color w:val="000000" w:themeColor="text1"/>
          <w:sz w:val="24"/>
          <w:szCs w:val="24"/>
        </w:rPr>
        <w:t xml:space="preserve"> to the provision of financial services or technical services or assistance.</w:t>
      </w:r>
    </w:p>
    <w:p w:rsidR="002D3D8E" w:rsidRDefault="002D3D8E" w:rsidP="00FA6151">
      <w:pPr>
        <w:spacing w:line="240" w:lineRule="auto"/>
        <w:jc w:val="center"/>
        <w:rPr>
          <w:rFonts w:ascii="Times New Roman" w:hAnsi="Times New Roman" w:cs="Times New Roman"/>
          <w:b/>
          <w:sz w:val="28"/>
          <w:szCs w:val="28"/>
        </w:rPr>
      </w:pPr>
    </w:p>
    <w:p w:rsidR="002D3D8E" w:rsidRDefault="002D3D8E" w:rsidP="00B957F2">
      <w:pPr>
        <w:jc w:val="center"/>
        <w:rPr>
          <w:rFonts w:ascii="Times New Roman" w:hAnsi="Times New Roman" w:cs="Times New Roman"/>
          <w:b/>
          <w:sz w:val="28"/>
          <w:szCs w:val="28"/>
        </w:rPr>
      </w:pPr>
    </w:p>
    <w:p w:rsidR="002D3D8E" w:rsidRDefault="002D3D8E" w:rsidP="00B957F2">
      <w:pPr>
        <w:jc w:val="center"/>
        <w:rPr>
          <w:rFonts w:ascii="Times New Roman" w:hAnsi="Times New Roman" w:cs="Times New Roman"/>
          <w:b/>
          <w:sz w:val="28"/>
          <w:szCs w:val="28"/>
        </w:rPr>
      </w:pPr>
    </w:p>
    <w:p w:rsidR="002D3D8E" w:rsidRDefault="002D3D8E" w:rsidP="00B957F2">
      <w:pPr>
        <w:jc w:val="center"/>
        <w:rPr>
          <w:rFonts w:ascii="Times New Roman" w:hAnsi="Times New Roman" w:cs="Times New Roman"/>
          <w:b/>
          <w:sz w:val="28"/>
          <w:szCs w:val="28"/>
        </w:rPr>
      </w:pPr>
    </w:p>
    <w:p w:rsidR="002D3D8E" w:rsidRDefault="002D3D8E" w:rsidP="00B957F2">
      <w:pPr>
        <w:jc w:val="center"/>
        <w:rPr>
          <w:rFonts w:ascii="Times New Roman" w:hAnsi="Times New Roman" w:cs="Times New Roman"/>
          <w:b/>
          <w:sz w:val="28"/>
          <w:szCs w:val="28"/>
        </w:rPr>
      </w:pPr>
    </w:p>
    <w:p w:rsidR="002D3D8E" w:rsidRDefault="002D3D8E" w:rsidP="00B957F2">
      <w:pPr>
        <w:jc w:val="center"/>
        <w:rPr>
          <w:rFonts w:ascii="Times New Roman" w:hAnsi="Times New Roman" w:cs="Times New Roman"/>
          <w:b/>
          <w:sz w:val="28"/>
          <w:szCs w:val="28"/>
        </w:rPr>
      </w:pPr>
    </w:p>
    <w:p w:rsidR="002D3D8E" w:rsidRDefault="002D3D8E" w:rsidP="00B957F2">
      <w:pPr>
        <w:jc w:val="center"/>
        <w:rPr>
          <w:rFonts w:ascii="Times New Roman" w:hAnsi="Times New Roman" w:cs="Times New Roman"/>
          <w:b/>
          <w:sz w:val="28"/>
          <w:szCs w:val="28"/>
        </w:rPr>
      </w:pPr>
    </w:p>
    <w:p w:rsidR="002D3D8E" w:rsidRDefault="002D3D8E" w:rsidP="00B957F2">
      <w:pPr>
        <w:jc w:val="center"/>
        <w:rPr>
          <w:rFonts w:ascii="Times New Roman" w:hAnsi="Times New Roman" w:cs="Times New Roman"/>
          <w:b/>
          <w:sz w:val="28"/>
          <w:szCs w:val="28"/>
        </w:rPr>
      </w:pPr>
    </w:p>
    <w:p w:rsidR="002D3D8E" w:rsidRDefault="002D3D8E" w:rsidP="00B957F2">
      <w:pPr>
        <w:jc w:val="center"/>
        <w:rPr>
          <w:rFonts w:ascii="Times New Roman" w:hAnsi="Times New Roman" w:cs="Times New Roman"/>
          <w:b/>
          <w:sz w:val="28"/>
          <w:szCs w:val="28"/>
        </w:rPr>
      </w:pPr>
    </w:p>
    <w:p w:rsidR="002D3D8E" w:rsidRDefault="002D3D8E" w:rsidP="00B957F2">
      <w:pPr>
        <w:jc w:val="center"/>
        <w:rPr>
          <w:rFonts w:ascii="Times New Roman" w:hAnsi="Times New Roman" w:cs="Times New Roman"/>
          <w:b/>
          <w:sz w:val="28"/>
          <w:szCs w:val="28"/>
        </w:rPr>
      </w:pPr>
    </w:p>
    <w:p w:rsidR="002D3D8E" w:rsidRDefault="002D3D8E" w:rsidP="00B957F2">
      <w:pPr>
        <w:jc w:val="center"/>
        <w:rPr>
          <w:rFonts w:ascii="Times New Roman" w:hAnsi="Times New Roman" w:cs="Times New Roman"/>
          <w:b/>
          <w:sz w:val="28"/>
          <w:szCs w:val="28"/>
        </w:rPr>
      </w:pPr>
    </w:p>
    <w:p w:rsidR="002D3D8E" w:rsidRDefault="002D3D8E" w:rsidP="00B957F2">
      <w:pPr>
        <w:jc w:val="center"/>
        <w:rPr>
          <w:rFonts w:ascii="Times New Roman" w:hAnsi="Times New Roman" w:cs="Times New Roman"/>
          <w:b/>
          <w:sz w:val="28"/>
          <w:szCs w:val="28"/>
        </w:rPr>
      </w:pPr>
    </w:p>
    <w:p w:rsidR="002D3D8E" w:rsidRDefault="002D3D8E" w:rsidP="00B957F2">
      <w:pPr>
        <w:jc w:val="center"/>
        <w:rPr>
          <w:rFonts w:ascii="Times New Roman" w:hAnsi="Times New Roman" w:cs="Times New Roman"/>
          <w:b/>
          <w:sz w:val="28"/>
          <w:szCs w:val="28"/>
        </w:rPr>
      </w:pPr>
    </w:p>
    <w:p w:rsidR="002D3D8E" w:rsidRDefault="002D3D8E" w:rsidP="00B957F2">
      <w:pPr>
        <w:jc w:val="center"/>
        <w:rPr>
          <w:rFonts w:ascii="Times New Roman" w:hAnsi="Times New Roman" w:cs="Times New Roman"/>
          <w:b/>
          <w:sz w:val="28"/>
          <w:szCs w:val="28"/>
        </w:rPr>
      </w:pPr>
    </w:p>
    <w:p w:rsidR="002D3D8E" w:rsidRDefault="002D3D8E" w:rsidP="00B957F2">
      <w:pPr>
        <w:jc w:val="center"/>
        <w:rPr>
          <w:rFonts w:ascii="Times New Roman" w:hAnsi="Times New Roman" w:cs="Times New Roman"/>
          <w:b/>
          <w:sz w:val="28"/>
          <w:szCs w:val="28"/>
        </w:rPr>
      </w:pPr>
    </w:p>
    <w:p w:rsidR="002D3D8E" w:rsidRDefault="002D3D8E" w:rsidP="00B957F2">
      <w:pPr>
        <w:jc w:val="center"/>
        <w:rPr>
          <w:rFonts w:ascii="Times New Roman" w:hAnsi="Times New Roman" w:cs="Times New Roman"/>
          <w:b/>
          <w:sz w:val="28"/>
          <w:szCs w:val="28"/>
        </w:rPr>
      </w:pPr>
    </w:p>
    <w:p w:rsidR="00FA6151" w:rsidRDefault="00FA6151" w:rsidP="00B957F2">
      <w:pPr>
        <w:jc w:val="center"/>
        <w:rPr>
          <w:rFonts w:ascii="Times New Roman" w:hAnsi="Times New Roman" w:cs="Times New Roman"/>
          <w:b/>
          <w:sz w:val="28"/>
          <w:szCs w:val="28"/>
        </w:rPr>
      </w:pPr>
    </w:p>
    <w:p w:rsidR="00FA6151" w:rsidRDefault="00FA6151" w:rsidP="00B957F2">
      <w:pPr>
        <w:jc w:val="center"/>
        <w:rPr>
          <w:rFonts w:ascii="Times New Roman" w:hAnsi="Times New Roman" w:cs="Times New Roman"/>
          <w:b/>
          <w:sz w:val="28"/>
          <w:szCs w:val="28"/>
        </w:rPr>
      </w:pPr>
    </w:p>
    <w:p w:rsidR="002F07DC" w:rsidRDefault="002F07DC" w:rsidP="00B957F2">
      <w:pPr>
        <w:jc w:val="center"/>
        <w:rPr>
          <w:rFonts w:ascii="Times New Roman" w:hAnsi="Times New Roman" w:cs="Times New Roman"/>
          <w:b/>
          <w:sz w:val="28"/>
          <w:szCs w:val="28"/>
        </w:rPr>
      </w:pPr>
      <w:r>
        <w:rPr>
          <w:rFonts w:ascii="Times New Roman" w:hAnsi="Times New Roman" w:cs="Times New Roman"/>
          <w:b/>
          <w:sz w:val="28"/>
          <w:szCs w:val="28"/>
        </w:rPr>
        <w:lastRenderedPageBreak/>
        <w:t>DESCRIPTION OF INSTITUTION</w:t>
      </w:r>
    </w:p>
    <w:p w:rsidR="002F07DC" w:rsidRDefault="002F07DC" w:rsidP="00FA6151">
      <w:pPr>
        <w:spacing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Background</w:t>
      </w:r>
    </w:p>
    <w:p w:rsidR="002F07DC" w:rsidRDefault="002F07DC" w:rsidP="00FA6151">
      <w:pPr>
        <w:spacing w:line="240" w:lineRule="auto"/>
        <w:jc w:val="both"/>
        <w:rPr>
          <w:rFonts w:ascii="Times New Roman" w:hAnsi="Times New Roman" w:cs="Times New Roman"/>
          <w:sz w:val="24"/>
          <w:szCs w:val="24"/>
        </w:rPr>
      </w:pPr>
      <w:r>
        <w:rPr>
          <w:rFonts w:ascii="Times New Roman" w:hAnsi="Times New Roman" w:cs="Times New Roman"/>
          <w:sz w:val="24"/>
          <w:szCs w:val="24"/>
        </w:rPr>
        <w:t>Watertown Savings Bank is a mutual savings bank founded in 1870 and headquartered in Watertown, Massachusetts</w:t>
      </w:r>
      <w:r w:rsidR="00AF2064">
        <w:rPr>
          <w:rFonts w:ascii="Times New Roman" w:hAnsi="Times New Roman" w:cs="Times New Roman"/>
          <w:sz w:val="24"/>
          <w:szCs w:val="24"/>
        </w:rPr>
        <w:t xml:space="preserve">. </w:t>
      </w:r>
      <w:r w:rsidR="001D27C9">
        <w:rPr>
          <w:rFonts w:ascii="Times New Roman" w:hAnsi="Times New Roman" w:cs="Times New Roman"/>
          <w:sz w:val="24"/>
          <w:szCs w:val="24"/>
        </w:rPr>
        <w:t>The bank</w:t>
      </w:r>
      <w:r>
        <w:rPr>
          <w:rFonts w:ascii="Times New Roman" w:hAnsi="Times New Roman" w:cs="Times New Roman"/>
          <w:sz w:val="24"/>
          <w:szCs w:val="24"/>
        </w:rPr>
        <w:t xml:space="preserve"> operates in the eastern part of Massachusetts, in Middlesex County</w:t>
      </w:r>
      <w:r w:rsidR="00AF2064">
        <w:rPr>
          <w:rFonts w:ascii="Times New Roman" w:hAnsi="Times New Roman" w:cs="Times New Roman"/>
          <w:sz w:val="24"/>
          <w:szCs w:val="24"/>
        </w:rPr>
        <w:t xml:space="preserve">. </w:t>
      </w:r>
      <w:r w:rsidR="001D27C9">
        <w:rPr>
          <w:rFonts w:ascii="Times New Roman" w:hAnsi="Times New Roman" w:cs="Times New Roman"/>
          <w:sz w:val="24"/>
          <w:szCs w:val="24"/>
        </w:rPr>
        <w:t>The bank</w:t>
      </w:r>
      <w:r>
        <w:rPr>
          <w:rFonts w:ascii="Times New Roman" w:hAnsi="Times New Roman" w:cs="Times New Roman"/>
          <w:sz w:val="24"/>
          <w:szCs w:val="24"/>
        </w:rPr>
        <w:t xml:space="preserve"> received an </w:t>
      </w:r>
      <w:proofErr w:type="gramStart"/>
      <w:r>
        <w:rPr>
          <w:rFonts w:ascii="Times New Roman" w:hAnsi="Times New Roman" w:cs="Times New Roman"/>
          <w:sz w:val="24"/>
          <w:szCs w:val="24"/>
        </w:rPr>
        <w:t>Outstanding</w:t>
      </w:r>
      <w:proofErr w:type="gramEnd"/>
      <w:r>
        <w:rPr>
          <w:rFonts w:ascii="Times New Roman" w:hAnsi="Times New Roman" w:cs="Times New Roman"/>
          <w:sz w:val="24"/>
          <w:szCs w:val="24"/>
        </w:rPr>
        <w:t xml:space="preserve"> rating at its previous CRA evaluation conducted by the Division, dated September 26, 2016, based on Interagency Intermediate Small Institution Examination Procedures.</w:t>
      </w:r>
    </w:p>
    <w:p w:rsidR="002F07DC" w:rsidRDefault="002F07DC" w:rsidP="00FA6151">
      <w:pPr>
        <w:spacing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Operations</w:t>
      </w:r>
    </w:p>
    <w:p w:rsidR="002F07DC" w:rsidRDefault="002F07DC" w:rsidP="00FA615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 addition to the main office located in Watertown, </w:t>
      </w:r>
      <w:r w:rsidR="001D27C9">
        <w:rPr>
          <w:rFonts w:ascii="Times New Roman" w:hAnsi="Times New Roman" w:cs="Times New Roman"/>
          <w:sz w:val="24"/>
          <w:szCs w:val="24"/>
        </w:rPr>
        <w:t>the bank</w:t>
      </w:r>
      <w:r>
        <w:rPr>
          <w:rFonts w:ascii="Times New Roman" w:hAnsi="Times New Roman" w:cs="Times New Roman"/>
          <w:sz w:val="24"/>
          <w:szCs w:val="24"/>
        </w:rPr>
        <w:t xml:space="preserve"> operates nine full-service branches in Arlington, Belmont, Lexington, Waltham (2), and Watertown (4)</w:t>
      </w:r>
      <w:r w:rsidR="00AF2064">
        <w:rPr>
          <w:rFonts w:ascii="Times New Roman" w:hAnsi="Times New Roman" w:cs="Times New Roman"/>
          <w:sz w:val="24"/>
          <w:szCs w:val="24"/>
        </w:rPr>
        <w:t xml:space="preserve">. </w:t>
      </w:r>
      <w:r>
        <w:rPr>
          <w:rFonts w:ascii="Times New Roman" w:hAnsi="Times New Roman" w:cs="Times New Roman"/>
          <w:sz w:val="24"/>
          <w:szCs w:val="24"/>
        </w:rPr>
        <w:t>One of the Waltham branches is located in a moderate-income level census tract</w:t>
      </w:r>
      <w:r w:rsidR="00AF2064">
        <w:rPr>
          <w:rFonts w:ascii="Times New Roman" w:hAnsi="Times New Roman" w:cs="Times New Roman"/>
          <w:sz w:val="24"/>
          <w:szCs w:val="24"/>
        </w:rPr>
        <w:t xml:space="preserve">. </w:t>
      </w:r>
      <w:r>
        <w:rPr>
          <w:rFonts w:ascii="Times New Roman" w:hAnsi="Times New Roman" w:cs="Times New Roman"/>
          <w:sz w:val="24"/>
          <w:szCs w:val="24"/>
        </w:rPr>
        <w:t>The remaining branches are all either located in upper- or middle-income census tracts</w:t>
      </w:r>
      <w:r w:rsidR="00AF2064">
        <w:rPr>
          <w:rFonts w:ascii="Times New Roman" w:hAnsi="Times New Roman" w:cs="Times New Roman"/>
          <w:sz w:val="24"/>
          <w:szCs w:val="24"/>
        </w:rPr>
        <w:t xml:space="preserve">. </w:t>
      </w:r>
      <w:r>
        <w:rPr>
          <w:rFonts w:ascii="Times New Roman" w:hAnsi="Times New Roman" w:cs="Times New Roman"/>
          <w:sz w:val="24"/>
          <w:szCs w:val="24"/>
        </w:rPr>
        <w:t xml:space="preserve">In addition, </w:t>
      </w:r>
      <w:r w:rsidR="001D27C9">
        <w:rPr>
          <w:rFonts w:ascii="Times New Roman" w:hAnsi="Times New Roman" w:cs="Times New Roman"/>
          <w:sz w:val="24"/>
          <w:szCs w:val="24"/>
        </w:rPr>
        <w:t>the bank</w:t>
      </w:r>
      <w:r>
        <w:rPr>
          <w:rFonts w:ascii="Times New Roman" w:hAnsi="Times New Roman" w:cs="Times New Roman"/>
          <w:sz w:val="24"/>
          <w:szCs w:val="24"/>
        </w:rPr>
        <w:t xml:space="preserve"> operates two automated teller machines (ATMs), both located in Waltham, MA</w:t>
      </w:r>
      <w:r w:rsidR="00AF2064">
        <w:rPr>
          <w:rFonts w:ascii="Times New Roman" w:hAnsi="Times New Roman" w:cs="Times New Roman"/>
          <w:sz w:val="24"/>
          <w:szCs w:val="24"/>
        </w:rPr>
        <w:t xml:space="preserve">. </w:t>
      </w:r>
      <w:r w:rsidR="001D27C9">
        <w:rPr>
          <w:rFonts w:ascii="Times New Roman" w:hAnsi="Times New Roman" w:cs="Times New Roman"/>
          <w:sz w:val="24"/>
          <w:szCs w:val="24"/>
        </w:rPr>
        <w:t>The bank</w:t>
      </w:r>
      <w:r>
        <w:rPr>
          <w:rFonts w:ascii="Times New Roman" w:hAnsi="Times New Roman" w:cs="Times New Roman"/>
          <w:sz w:val="24"/>
          <w:szCs w:val="24"/>
        </w:rPr>
        <w:t xml:space="preserve"> has neither opened nor closed any branches, and no merger or acquisition activities have occurred since the last examination.</w:t>
      </w:r>
    </w:p>
    <w:p w:rsidR="00AF2064" w:rsidRDefault="002F07DC" w:rsidP="00FA6151">
      <w:pPr>
        <w:spacing w:line="240" w:lineRule="auto"/>
        <w:jc w:val="both"/>
        <w:rPr>
          <w:rFonts w:ascii="Times New Roman" w:hAnsi="Times New Roman" w:cs="Times New Roman"/>
          <w:sz w:val="24"/>
          <w:szCs w:val="24"/>
        </w:rPr>
      </w:pPr>
      <w:r>
        <w:rPr>
          <w:rFonts w:ascii="Times New Roman" w:hAnsi="Times New Roman" w:cs="Times New Roman"/>
          <w:sz w:val="24"/>
          <w:szCs w:val="24"/>
        </w:rPr>
        <w:t>Watertown Savings offers a wide variety of products and services to consumers and businesses</w:t>
      </w:r>
      <w:r w:rsidR="00AF2064">
        <w:rPr>
          <w:rFonts w:ascii="Times New Roman" w:hAnsi="Times New Roman" w:cs="Times New Roman"/>
          <w:sz w:val="24"/>
          <w:szCs w:val="24"/>
        </w:rPr>
        <w:t xml:space="preserve">. </w:t>
      </w:r>
      <w:r w:rsidR="001D27C9">
        <w:rPr>
          <w:rFonts w:ascii="Times New Roman" w:hAnsi="Times New Roman" w:cs="Times New Roman"/>
          <w:sz w:val="24"/>
          <w:szCs w:val="24"/>
        </w:rPr>
        <w:t>The bank</w:t>
      </w:r>
      <w:r>
        <w:rPr>
          <w:rFonts w:ascii="Times New Roman" w:hAnsi="Times New Roman" w:cs="Times New Roman"/>
          <w:sz w:val="24"/>
          <w:szCs w:val="24"/>
        </w:rPr>
        <w:t xml:space="preserve"> offers loan produ</w:t>
      </w:r>
      <w:r w:rsidR="00450040">
        <w:rPr>
          <w:rFonts w:ascii="Times New Roman" w:hAnsi="Times New Roman" w:cs="Times New Roman"/>
          <w:sz w:val="24"/>
          <w:szCs w:val="24"/>
        </w:rPr>
        <w:t xml:space="preserve">cts including </w:t>
      </w:r>
      <w:r>
        <w:rPr>
          <w:rFonts w:ascii="Times New Roman" w:hAnsi="Times New Roman" w:cs="Times New Roman"/>
          <w:sz w:val="24"/>
          <w:szCs w:val="24"/>
        </w:rPr>
        <w:t xml:space="preserve">home mortgage, </w:t>
      </w:r>
      <w:r w:rsidR="00450040">
        <w:rPr>
          <w:rFonts w:ascii="Times New Roman" w:hAnsi="Times New Roman" w:cs="Times New Roman"/>
          <w:sz w:val="24"/>
          <w:szCs w:val="24"/>
        </w:rPr>
        <w:t xml:space="preserve">commercial, </w:t>
      </w:r>
      <w:r>
        <w:rPr>
          <w:rFonts w:ascii="Times New Roman" w:hAnsi="Times New Roman" w:cs="Times New Roman"/>
          <w:sz w:val="24"/>
          <w:szCs w:val="24"/>
        </w:rPr>
        <w:t>and consumer loans, with a primary focus on residential lending</w:t>
      </w:r>
      <w:r w:rsidR="00AF2064">
        <w:rPr>
          <w:rFonts w:ascii="Times New Roman" w:hAnsi="Times New Roman" w:cs="Times New Roman"/>
          <w:sz w:val="24"/>
          <w:szCs w:val="24"/>
        </w:rPr>
        <w:t xml:space="preserve">. </w:t>
      </w:r>
    </w:p>
    <w:p w:rsidR="002F07DC" w:rsidRDefault="002F07DC" w:rsidP="00FA6151">
      <w:pPr>
        <w:spacing w:line="240" w:lineRule="auto"/>
        <w:jc w:val="both"/>
        <w:rPr>
          <w:rFonts w:ascii="Times New Roman" w:hAnsi="Times New Roman" w:cs="Times New Roman"/>
          <w:sz w:val="24"/>
          <w:szCs w:val="24"/>
        </w:rPr>
      </w:pPr>
      <w:r>
        <w:rPr>
          <w:rFonts w:ascii="Times New Roman" w:hAnsi="Times New Roman" w:cs="Times New Roman"/>
          <w:sz w:val="24"/>
          <w:szCs w:val="24"/>
        </w:rPr>
        <w:t>Alternative banking services include online banking, mobile banking, electronic bill pay, mobile deposits, and ATMs.</w:t>
      </w:r>
    </w:p>
    <w:p w:rsidR="002F07DC" w:rsidRDefault="002F07DC" w:rsidP="00FA6151">
      <w:pPr>
        <w:spacing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Ability and Capacity</w:t>
      </w:r>
    </w:p>
    <w:p w:rsidR="00FA6151" w:rsidRDefault="002F07DC" w:rsidP="00FA6151">
      <w:pPr>
        <w:spacing w:line="240" w:lineRule="auto"/>
        <w:jc w:val="both"/>
        <w:rPr>
          <w:rFonts w:ascii="Times New Roman" w:hAnsi="Times New Roman" w:cs="Times New Roman"/>
          <w:sz w:val="24"/>
          <w:szCs w:val="24"/>
        </w:rPr>
      </w:pPr>
      <w:r>
        <w:rPr>
          <w:rFonts w:ascii="Times New Roman" w:hAnsi="Times New Roman" w:cs="Times New Roman"/>
          <w:sz w:val="24"/>
          <w:szCs w:val="24"/>
        </w:rPr>
        <w:t>Assets totaled approximately $1.2 billion as of the September 30, 2018 quarterly call report, including total loans of approximately $589 million and total deposits of approximately $1.0 billion</w:t>
      </w:r>
      <w:r w:rsidR="00AF2064">
        <w:rPr>
          <w:rFonts w:ascii="Times New Roman" w:hAnsi="Times New Roman" w:cs="Times New Roman"/>
          <w:sz w:val="24"/>
          <w:szCs w:val="24"/>
        </w:rPr>
        <w:t xml:space="preserve">. </w:t>
      </w:r>
      <w:r>
        <w:rPr>
          <w:rFonts w:ascii="Times New Roman" w:hAnsi="Times New Roman" w:cs="Times New Roman"/>
          <w:sz w:val="24"/>
          <w:szCs w:val="24"/>
        </w:rPr>
        <w:t>Total assets increased by 2.9 percent since the previous evaluation</w:t>
      </w:r>
      <w:r w:rsidR="00AF2064">
        <w:rPr>
          <w:rFonts w:ascii="Times New Roman" w:hAnsi="Times New Roman" w:cs="Times New Roman"/>
          <w:sz w:val="24"/>
          <w:szCs w:val="24"/>
        </w:rPr>
        <w:t xml:space="preserve">. </w:t>
      </w:r>
      <w:r>
        <w:rPr>
          <w:rFonts w:ascii="Times New Roman" w:hAnsi="Times New Roman" w:cs="Times New Roman"/>
          <w:sz w:val="24"/>
          <w:szCs w:val="24"/>
        </w:rPr>
        <w:t>Residential loans, including multi-family loans, account for the largest portion of the loan portfolio at 87.8 percent</w:t>
      </w:r>
      <w:r w:rsidR="00AF2064">
        <w:rPr>
          <w:rFonts w:ascii="Times New Roman" w:hAnsi="Times New Roman" w:cs="Times New Roman"/>
          <w:sz w:val="24"/>
          <w:szCs w:val="24"/>
        </w:rPr>
        <w:t xml:space="preserve">. </w:t>
      </w:r>
      <w:r>
        <w:rPr>
          <w:rFonts w:ascii="Times New Roman" w:hAnsi="Times New Roman" w:cs="Times New Roman"/>
          <w:sz w:val="24"/>
          <w:szCs w:val="24"/>
        </w:rPr>
        <w:t>Collectively, loans secured by commercial real estate and commercial and industrial loans represent 8.4 percent of the loan portfolio</w:t>
      </w:r>
      <w:r w:rsidR="00AF2064">
        <w:rPr>
          <w:rFonts w:ascii="Times New Roman" w:hAnsi="Times New Roman" w:cs="Times New Roman"/>
          <w:sz w:val="24"/>
          <w:szCs w:val="24"/>
        </w:rPr>
        <w:t xml:space="preserve">. </w:t>
      </w:r>
      <w:r>
        <w:rPr>
          <w:rFonts w:ascii="Times New Roman" w:hAnsi="Times New Roman" w:cs="Times New Roman"/>
          <w:sz w:val="24"/>
          <w:szCs w:val="24"/>
        </w:rPr>
        <w:t xml:space="preserve">The loan portfolio </w:t>
      </w:r>
      <w:proofErr w:type="gramStart"/>
      <w:r>
        <w:rPr>
          <w:rFonts w:ascii="Times New Roman" w:hAnsi="Times New Roman" w:cs="Times New Roman"/>
          <w:sz w:val="24"/>
          <w:szCs w:val="24"/>
        </w:rPr>
        <w:t>is illustrated</w:t>
      </w:r>
      <w:proofErr w:type="gramEnd"/>
      <w:r>
        <w:rPr>
          <w:rFonts w:ascii="Times New Roman" w:hAnsi="Times New Roman" w:cs="Times New Roman"/>
          <w:sz w:val="24"/>
          <w:szCs w:val="24"/>
        </w:rPr>
        <w:t xml:space="preserve"> in the following table.</w:t>
      </w:r>
    </w:p>
    <w:p w:rsidR="00FA6151" w:rsidRDefault="00FA6151">
      <w:pPr>
        <w:rPr>
          <w:rFonts w:ascii="Times New Roman" w:hAnsi="Times New Roman" w:cs="Times New Roman"/>
          <w:sz w:val="24"/>
          <w:szCs w:val="24"/>
        </w:rPr>
      </w:pPr>
      <w:r>
        <w:rPr>
          <w:rFonts w:ascii="Times New Roman" w:hAnsi="Times New Roman" w:cs="Times New Roman"/>
          <w:sz w:val="24"/>
          <w:szCs w:val="24"/>
        </w:rPr>
        <w:br w:type="page"/>
      </w:r>
    </w:p>
    <w:tbl>
      <w:tblPr>
        <w:tblW w:w="10102" w:type="dxa"/>
        <w:jc w:val="center"/>
        <w:tblBorders>
          <w:top w:val="single" w:sz="4" w:space="0" w:color="auto"/>
          <w:left w:val="single" w:sz="4" w:space="0" w:color="auto"/>
          <w:bottom w:val="single" w:sz="4" w:space="0" w:color="auto"/>
          <w:right w:val="single" w:sz="4" w:space="0" w:color="auto"/>
          <w:insideH w:val="single" w:sz="8" w:space="0" w:color="auto"/>
          <w:insideV w:val="single" w:sz="4" w:space="0" w:color="auto"/>
        </w:tblBorders>
        <w:tblLayout w:type="fixed"/>
        <w:tblLook w:val="0000" w:firstRow="0" w:lastRow="0" w:firstColumn="0" w:lastColumn="0" w:noHBand="0" w:noVBand="0"/>
      </w:tblPr>
      <w:tblGrid>
        <w:gridCol w:w="4882"/>
        <w:gridCol w:w="2610"/>
        <w:gridCol w:w="2610"/>
      </w:tblGrid>
      <w:tr w:rsidR="002F07DC" w:rsidRPr="0068733D" w:rsidTr="00FA6151">
        <w:trPr>
          <w:trHeight w:hRule="exact" w:val="298"/>
          <w:jc w:val="center"/>
        </w:trPr>
        <w:tc>
          <w:tcPr>
            <w:tcW w:w="10102" w:type="dxa"/>
            <w:gridSpan w:val="3"/>
            <w:tcBorders>
              <w:top w:val="single" w:sz="4" w:space="0" w:color="auto"/>
              <w:bottom w:val="single" w:sz="8" w:space="0" w:color="auto"/>
            </w:tcBorders>
            <w:shd w:val="clear" w:color="auto" w:fill="auto"/>
            <w:vAlign w:val="center"/>
          </w:tcPr>
          <w:p w:rsidR="002F07DC" w:rsidRPr="0068733D" w:rsidRDefault="002F07DC" w:rsidP="00450040">
            <w:pPr>
              <w:spacing w:after="0"/>
              <w:jc w:val="center"/>
              <w:rPr>
                <w:rFonts w:ascii="Times New Roman" w:hAnsi="Times New Roman" w:cs="Times New Roman"/>
                <w:b/>
                <w:sz w:val="20"/>
                <w:szCs w:val="20"/>
              </w:rPr>
            </w:pPr>
            <w:r w:rsidRPr="0068733D">
              <w:rPr>
                <w:rFonts w:ascii="Times New Roman" w:hAnsi="Times New Roman" w:cs="Times New Roman"/>
                <w:sz w:val="20"/>
                <w:szCs w:val="20"/>
              </w:rPr>
              <w:lastRenderedPageBreak/>
              <w:br w:type="page"/>
            </w:r>
            <w:r w:rsidRPr="0068733D">
              <w:rPr>
                <w:rFonts w:ascii="Times New Roman" w:hAnsi="Times New Roman" w:cs="Times New Roman"/>
                <w:sz w:val="20"/>
                <w:szCs w:val="20"/>
              </w:rPr>
              <w:br w:type="page"/>
            </w:r>
            <w:r w:rsidRPr="0068733D">
              <w:rPr>
                <w:rFonts w:ascii="Times New Roman" w:hAnsi="Times New Roman" w:cs="Times New Roman"/>
                <w:sz w:val="20"/>
                <w:szCs w:val="20"/>
              </w:rPr>
              <w:br w:type="page"/>
            </w:r>
            <w:r w:rsidRPr="0068733D">
              <w:rPr>
                <w:rFonts w:ascii="Times New Roman" w:hAnsi="Times New Roman" w:cs="Times New Roman"/>
                <w:b/>
                <w:sz w:val="20"/>
                <w:szCs w:val="20"/>
              </w:rPr>
              <w:br w:type="page"/>
            </w:r>
            <w:r w:rsidR="00450040">
              <w:rPr>
                <w:rFonts w:ascii="Times New Roman" w:hAnsi="Times New Roman" w:cs="Times New Roman"/>
                <w:b/>
                <w:color w:val="000000"/>
                <w:sz w:val="20"/>
                <w:szCs w:val="20"/>
              </w:rPr>
              <w:t xml:space="preserve"> </w:t>
            </w:r>
            <w:r w:rsidRPr="0068733D">
              <w:rPr>
                <w:rFonts w:ascii="Times New Roman" w:hAnsi="Times New Roman" w:cs="Times New Roman"/>
                <w:b/>
                <w:color w:val="000000"/>
                <w:sz w:val="20"/>
                <w:szCs w:val="20"/>
              </w:rPr>
              <w:t xml:space="preserve"> </w:t>
            </w:r>
            <w:r w:rsidRPr="0068733D">
              <w:rPr>
                <w:rFonts w:ascii="Times New Roman" w:hAnsi="Times New Roman" w:cs="Times New Roman"/>
                <w:b/>
                <w:sz w:val="20"/>
                <w:szCs w:val="20"/>
              </w:rPr>
              <w:t>Loan Portfolio Distribution as of 09/30/18</w:t>
            </w:r>
          </w:p>
        </w:tc>
      </w:tr>
      <w:tr w:rsidR="002F07DC" w:rsidRPr="0068733D" w:rsidTr="000A6F72">
        <w:trPr>
          <w:trHeight w:hRule="exact" w:val="288"/>
          <w:jc w:val="center"/>
        </w:trPr>
        <w:tc>
          <w:tcPr>
            <w:tcW w:w="4882" w:type="dxa"/>
            <w:tcBorders>
              <w:top w:val="single" w:sz="8" w:space="0" w:color="auto"/>
            </w:tcBorders>
            <w:vAlign w:val="center"/>
          </w:tcPr>
          <w:p w:rsidR="002F07DC" w:rsidRPr="0068733D" w:rsidRDefault="002F07DC" w:rsidP="000A6F72">
            <w:pPr>
              <w:rPr>
                <w:rFonts w:ascii="Times New Roman" w:hAnsi="Times New Roman" w:cs="Times New Roman"/>
                <w:b/>
                <w:sz w:val="20"/>
                <w:szCs w:val="20"/>
              </w:rPr>
            </w:pPr>
            <w:r w:rsidRPr="0068733D">
              <w:rPr>
                <w:rFonts w:ascii="Times New Roman" w:hAnsi="Times New Roman" w:cs="Times New Roman"/>
                <w:b/>
                <w:sz w:val="20"/>
                <w:szCs w:val="20"/>
              </w:rPr>
              <w:t>Loan Category</w:t>
            </w:r>
          </w:p>
        </w:tc>
        <w:tc>
          <w:tcPr>
            <w:tcW w:w="2610" w:type="dxa"/>
            <w:tcBorders>
              <w:top w:val="single" w:sz="8" w:space="0" w:color="auto"/>
            </w:tcBorders>
            <w:vAlign w:val="center"/>
          </w:tcPr>
          <w:p w:rsidR="002F07DC" w:rsidRPr="0068733D" w:rsidRDefault="002F07DC" w:rsidP="000A6F72">
            <w:pPr>
              <w:jc w:val="center"/>
              <w:rPr>
                <w:rFonts w:ascii="Times New Roman" w:hAnsi="Times New Roman" w:cs="Times New Roman"/>
                <w:b/>
                <w:sz w:val="20"/>
                <w:szCs w:val="20"/>
              </w:rPr>
            </w:pPr>
            <w:r w:rsidRPr="0068733D">
              <w:rPr>
                <w:rFonts w:ascii="Times New Roman" w:hAnsi="Times New Roman" w:cs="Times New Roman"/>
                <w:b/>
                <w:sz w:val="20"/>
                <w:szCs w:val="20"/>
              </w:rPr>
              <w:t>$(</w:t>
            </w:r>
            <w:proofErr w:type="spellStart"/>
            <w:r w:rsidRPr="0068733D">
              <w:rPr>
                <w:rFonts w:ascii="Times New Roman" w:hAnsi="Times New Roman" w:cs="Times New Roman"/>
                <w:b/>
                <w:sz w:val="20"/>
                <w:szCs w:val="20"/>
              </w:rPr>
              <w:t>000s</w:t>
            </w:r>
            <w:proofErr w:type="spellEnd"/>
            <w:r w:rsidRPr="0068733D">
              <w:rPr>
                <w:rFonts w:ascii="Times New Roman" w:hAnsi="Times New Roman" w:cs="Times New Roman"/>
                <w:b/>
                <w:sz w:val="20"/>
                <w:szCs w:val="20"/>
              </w:rPr>
              <w:t>)</w:t>
            </w:r>
          </w:p>
        </w:tc>
        <w:tc>
          <w:tcPr>
            <w:tcW w:w="2610" w:type="dxa"/>
            <w:tcBorders>
              <w:top w:val="single" w:sz="8" w:space="0" w:color="auto"/>
            </w:tcBorders>
            <w:vAlign w:val="center"/>
          </w:tcPr>
          <w:p w:rsidR="002F07DC" w:rsidRPr="0068733D" w:rsidRDefault="002F07DC" w:rsidP="000A6F72">
            <w:pPr>
              <w:jc w:val="center"/>
              <w:rPr>
                <w:rFonts w:ascii="Times New Roman" w:hAnsi="Times New Roman" w:cs="Times New Roman"/>
                <w:b/>
                <w:sz w:val="20"/>
                <w:szCs w:val="20"/>
              </w:rPr>
            </w:pPr>
            <w:r w:rsidRPr="0068733D">
              <w:rPr>
                <w:rFonts w:ascii="Times New Roman" w:hAnsi="Times New Roman" w:cs="Times New Roman"/>
                <w:b/>
                <w:sz w:val="20"/>
                <w:szCs w:val="20"/>
              </w:rPr>
              <w:t xml:space="preserve"> %</w:t>
            </w:r>
          </w:p>
        </w:tc>
      </w:tr>
      <w:tr w:rsidR="002F07DC" w:rsidRPr="0068733D" w:rsidTr="000A6F72">
        <w:trPr>
          <w:trHeight w:hRule="exact" w:val="288"/>
          <w:jc w:val="center"/>
        </w:trPr>
        <w:tc>
          <w:tcPr>
            <w:tcW w:w="4882" w:type="dxa"/>
            <w:vAlign w:val="center"/>
          </w:tcPr>
          <w:p w:rsidR="002F07DC" w:rsidRPr="0068733D" w:rsidRDefault="002F07DC" w:rsidP="000A6F72">
            <w:pPr>
              <w:rPr>
                <w:rFonts w:ascii="Times New Roman" w:hAnsi="Times New Roman" w:cs="Times New Roman"/>
                <w:sz w:val="20"/>
                <w:szCs w:val="20"/>
              </w:rPr>
            </w:pPr>
            <w:r w:rsidRPr="0068733D">
              <w:rPr>
                <w:rFonts w:ascii="Times New Roman" w:hAnsi="Times New Roman" w:cs="Times New Roman"/>
                <w:sz w:val="20"/>
                <w:szCs w:val="20"/>
              </w:rPr>
              <w:t>Construction and Land Development</w:t>
            </w:r>
          </w:p>
        </w:tc>
        <w:tc>
          <w:tcPr>
            <w:tcW w:w="2610" w:type="dxa"/>
            <w:vAlign w:val="center"/>
          </w:tcPr>
          <w:p w:rsidR="002F07DC" w:rsidRPr="0068733D" w:rsidRDefault="002F07DC" w:rsidP="000A6F72">
            <w:pPr>
              <w:jc w:val="center"/>
              <w:rPr>
                <w:rFonts w:ascii="Times New Roman" w:hAnsi="Times New Roman" w:cs="Times New Roman"/>
                <w:sz w:val="20"/>
                <w:szCs w:val="20"/>
              </w:rPr>
            </w:pPr>
            <w:r w:rsidRPr="0068733D">
              <w:rPr>
                <w:rFonts w:ascii="Times New Roman" w:hAnsi="Times New Roman" w:cs="Times New Roman"/>
                <w:sz w:val="20"/>
                <w:szCs w:val="20"/>
              </w:rPr>
              <w:t>20,503</w:t>
            </w:r>
          </w:p>
        </w:tc>
        <w:tc>
          <w:tcPr>
            <w:tcW w:w="2610" w:type="dxa"/>
            <w:vAlign w:val="center"/>
          </w:tcPr>
          <w:p w:rsidR="002F07DC" w:rsidRPr="0068733D" w:rsidRDefault="002F07DC" w:rsidP="000A6F72">
            <w:pPr>
              <w:jc w:val="center"/>
              <w:rPr>
                <w:rFonts w:ascii="Times New Roman" w:hAnsi="Times New Roman" w:cs="Times New Roman"/>
                <w:sz w:val="20"/>
                <w:szCs w:val="20"/>
              </w:rPr>
            </w:pPr>
            <w:r w:rsidRPr="0068733D">
              <w:rPr>
                <w:rFonts w:ascii="Times New Roman" w:hAnsi="Times New Roman" w:cs="Times New Roman"/>
                <w:sz w:val="20"/>
                <w:szCs w:val="20"/>
              </w:rPr>
              <w:t>3.6</w:t>
            </w:r>
          </w:p>
        </w:tc>
      </w:tr>
      <w:tr w:rsidR="002F07DC" w:rsidRPr="0068733D" w:rsidTr="000A6F72">
        <w:trPr>
          <w:trHeight w:hRule="exact" w:val="288"/>
          <w:jc w:val="center"/>
        </w:trPr>
        <w:tc>
          <w:tcPr>
            <w:tcW w:w="4882" w:type="dxa"/>
            <w:vAlign w:val="center"/>
          </w:tcPr>
          <w:p w:rsidR="002F07DC" w:rsidRPr="0068733D" w:rsidRDefault="002F07DC" w:rsidP="000A6F72">
            <w:pPr>
              <w:rPr>
                <w:rFonts w:ascii="Times New Roman" w:hAnsi="Times New Roman" w:cs="Times New Roman"/>
                <w:sz w:val="20"/>
                <w:szCs w:val="20"/>
              </w:rPr>
            </w:pPr>
            <w:r w:rsidRPr="0068733D">
              <w:rPr>
                <w:rFonts w:ascii="Times New Roman" w:hAnsi="Times New Roman" w:cs="Times New Roman"/>
                <w:sz w:val="20"/>
                <w:szCs w:val="20"/>
              </w:rPr>
              <w:t>Secured by Farmland</w:t>
            </w:r>
          </w:p>
        </w:tc>
        <w:tc>
          <w:tcPr>
            <w:tcW w:w="2610" w:type="dxa"/>
            <w:vAlign w:val="center"/>
          </w:tcPr>
          <w:p w:rsidR="002F07DC" w:rsidRPr="0068733D" w:rsidRDefault="002F07DC" w:rsidP="000A6F72">
            <w:pPr>
              <w:jc w:val="center"/>
              <w:rPr>
                <w:rFonts w:ascii="Times New Roman" w:hAnsi="Times New Roman" w:cs="Times New Roman"/>
                <w:sz w:val="20"/>
                <w:szCs w:val="20"/>
              </w:rPr>
            </w:pPr>
            <w:r w:rsidRPr="0068733D">
              <w:rPr>
                <w:rFonts w:ascii="Times New Roman" w:hAnsi="Times New Roman" w:cs="Times New Roman"/>
                <w:sz w:val="20"/>
                <w:szCs w:val="20"/>
              </w:rPr>
              <w:t>0</w:t>
            </w:r>
          </w:p>
        </w:tc>
        <w:tc>
          <w:tcPr>
            <w:tcW w:w="2610" w:type="dxa"/>
            <w:vAlign w:val="center"/>
          </w:tcPr>
          <w:p w:rsidR="002F07DC" w:rsidRPr="0068733D" w:rsidRDefault="002F07DC" w:rsidP="000A6F72">
            <w:pPr>
              <w:jc w:val="center"/>
              <w:rPr>
                <w:rFonts w:ascii="Times New Roman" w:hAnsi="Times New Roman" w:cs="Times New Roman"/>
                <w:sz w:val="20"/>
                <w:szCs w:val="20"/>
              </w:rPr>
            </w:pPr>
            <w:r w:rsidRPr="0068733D">
              <w:rPr>
                <w:rFonts w:ascii="Times New Roman" w:hAnsi="Times New Roman" w:cs="Times New Roman"/>
                <w:sz w:val="20"/>
                <w:szCs w:val="20"/>
              </w:rPr>
              <w:t>0.0</w:t>
            </w:r>
          </w:p>
        </w:tc>
      </w:tr>
      <w:tr w:rsidR="002F07DC" w:rsidRPr="0068733D" w:rsidTr="000A6F72">
        <w:trPr>
          <w:trHeight w:hRule="exact" w:val="288"/>
          <w:jc w:val="center"/>
        </w:trPr>
        <w:tc>
          <w:tcPr>
            <w:tcW w:w="4882" w:type="dxa"/>
            <w:vAlign w:val="center"/>
          </w:tcPr>
          <w:p w:rsidR="002F07DC" w:rsidRPr="0068733D" w:rsidRDefault="002F07DC" w:rsidP="000A6F72">
            <w:pPr>
              <w:rPr>
                <w:rFonts w:ascii="Times New Roman" w:hAnsi="Times New Roman" w:cs="Times New Roman"/>
                <w:sz w:val="20"/>
                <w:szCs w:val="20"/>
              </w:rPr>
            </w:pPr>
            <w:r w:rsidRPr="0068733D">
              <w:rPr>
                <w:rFonts w:ascii="Times New Roman" w:hAnsi="Times New Roman" w:cs="Times New Roman"/>
                <w:sz w:val="20"/>
                <w:szCs w:val="20"/>
              </w:rPr>
              <w:t>1-4 Family Residential</w:t>
            </w:r>
          </w:p>
        </w:tc>
        <w:tc>
          <w:tcPr>
            <w:tcW w:w="2610" w:type="dxa"/>
            <w:vAlign w:val="center"/>
          </w:tcPr>
          <w:p w:rsidR="002F07DC" w:rsidRPr="0068733D" w:rsidRDefault="002F07DC" w:rsidP="000A6F72">
            <w:pPr>
              <w:jc w:val="center"/>
              <w:rPr>
                <w:rFonts w:ascii="Times New Roman" w:hAnsi="Times New Roman" w:cs="Times New Roman"/>
                <w:sz w:val="20"/>
                <w:szCs w:val="20"/>
              </w:rPr>
            </w:pPr>
            <w:r w:rsidRPr="0068733D">
              <w:rPr>
                <w:rFonts w:ascii="Times New Roman" w:hAnsi="Times New Roman" w:cs="Times New Roman"/>
                <w:sz w:val="20"/>
                <w:szCs w:val="20"/>
              </w:rPr>
              <w:t>510,121</w:t>
            </w:r>
          </w:p>
        </w:tc>
        <w:tc>
          <w:tcPr>
            <w:tcW w:w="2610" w:type="dxa"/>
            <w:vAlign w:val="center"/>
          </w:tcPr>
          <w:p w:rsidR="002F07DC" w:rsidRPr="0068733D" w:rsidRDefault="002F07DC" w:rsidP="000A6F72">
            <w:pPr>
              <w:jc w:val="center"/>
              <w:rPr>
                <w:rFonts w:ascii="Times New Roman" w:hAnsi="Times New Roman" w:cs="Times New Roman"/>
                <w:sz w:val="20"/>
                <w:szCs w:val="20"/>
              </w:rPr>
            </w:pPr>
            <w:r w:rsidRPr="0068733D">
              <w:rPr>
                <w:rFonts w:ascii="Times New Roman" w:hAnsi="Times New Roman" w:cs="Times New Roman"/>
                <w:sz w:val="20"/>
                <w:szCs w:val="20"/>
              </w:rPr>
              <w:t>86.5</w:t>
            </w:r>
          </w:p>
        </w:tc>
      </w:tr>
      <w:tr w:rsidR="002F07DC" w:rsidRPr="0068733D" w:rsidTr="000A6F72">
        <w:trPr>
          <w:trHeight w:hRule="exact" w:val="288"/>
          <w:jc w:val="center"/>
        </w:trPr>
        <w:tc>
          <w:tcPr>
            <w:tcW w:w="4882" w:type="dxa"/>
            <w:vAlign w:val="center"/>
          </w:tcPr>
          <w:p w:rsidR="002F07DC" w:rsidRPr="0068733D" w:rsidRDefault="002F07DC" w:rsidP="000A6F72">
            <w:pPr>
              <w:rPr>
                <w:rFonts w:ascii="Times New Roman" w:hAnsi="Times New Roman" w:cs="Times New Roman"/>
                <w:sz w:val="20"/>
                <w:szCs w:val="20"/>
              </w:rPr>
            </w:pPr>
            <w:r w:rsidRPr="0068733D">
              <w:rPr>
                <w:rFonts w:ascii="Times New Roman" w:hAnsi="Times New Roman" w:cs="Times New Roman"/>
                <w:sz w:val="20"/>
                <w:szCs w:val="20"/>
              </w:rPr>
              <w:t>Multi-family (5 or more) Residential</w:t>
            </w:r>
          </w:p>
        </w:tc>
        <w:tc>
          <w:tcPr>
            <w:tcW w:w="2610" w:type="dxa"/>
            <w:vAlign w:val="center"/>
          </w:tcPr>
          <w:p w:rsidR="002F07DC" w:rsidRPr="0068733D" w:rsidRDefault="002F07DC" w:rsidP="000A6F72">
            <w:pPr>
              <w:jc w:val="center"/>
              <w:rPr>
                <w:rFonts w:ascii="Times New Roman" w:hAnsi="Times New Roman" w:cs="Times New Roman"/>
                <w:sz w:val="20"/>
                <w:szCs w:val="20"/>
              </w:rPr>
            </w:pPr>
            <w:r w:rsidRPr="0068733D">
              <w:rPr>
                <w:rFonts w:ascii="Times New Roman" w:hAnsi="Times New Roman" w:cs="Times New Roman"/>
                <w:sz w:val="20"/>
                <w:szCs w:val="20"/>
              </w:rPr>
              <w:t>7,702</w:t>
            </w:r>
          </w:p>
        </w:tc>
        <w:tc>
          <w:tcPr>
            <w:tcW w:w="2610" w:type="dxa"/>
            <w:vAlign w:val="center"/>
          </w:tcPr>
          <w:p w:rsidR="002F07DC" w:rsidRPr="0068733D" w:rsidRDefault="002F07DC" w:rsidP="000A6F72">
            <w:pPr>
              <w:jc w:val="center"/>
              <w:rPr>
                <w:rFonts w:ascii="Times New Roman" w:hAnsi="Times New Roman" w:cs="Times New Roman"/>
                <w:sz w:val="20"/>
                <w:szCs w:val="20"/>
              </w:rPr>
            </w:pPr>
            <w:r w:rsidRPr="0068733D">
              <w:rPr>
                <w:rFonts w:ascii="Times New Roman" w:hAnsi="Times New Roman" w:cs="Times New Roman"/>
                <w:sz w:val="20"/>
                <w:szCs w:val="20"/>
              </w:rPr>
              <w:t>1.3</w:t>
            </w:r>
          </w:p>
        </w:tc>
      </w:tr>
      <w:tr w:rsidR="002F07DC" w:rsidRPr="0068733D" w:rsidTr="000A6F72">
        <w:trPr>
          <w:trHeight w:hRule="exact" w:val="288"/>
          <w:jc w:val="center"/>
        </w:trPr>
        <w:tc>
          <w:tcPr>
            <w:tcW w:w="4882" w:type="dxa"/>
            <w:vAlign w:val="center"/>
          </w:tcPr>
          <w:p w:rsidR="002F07DC" w:rsidRPr="0068733D" w:rsidRDefault="002F07DC" w:rsidP="000A6F72">
            <w:pPr>
              <w:rPr>
                <w:rFonts w:ascii="Times New Roman" w:hAnsi="Times New Roman" w:cs="Times New Roman"/>
                <w:sz w:val="20"/>
                <w:szCs w:val="20"/>
              </w:rPr>
            </w:pPr>
            <w:r w:rsidRPr="0068733D">
              <w:rPr>
                <w:rFonts w:ascii="Times New Roman" w:hAnsi="Times New Roman" w:cs="Times New Roman"/>
                <w:sz w:val="20"/>
                <w:szCs w:val="20"/>
              </w:rPr>
              <w:t>Commercial Real Estate</w:t>
            </w:r>
          </w:p>
        </w:tc>
        <w:tc>
          <w:tcPr>
            <w:tcW w:w="2610" w:type="dxa"/>
            <w:vAlign w:val="center"/>
          </w:tcPr>
          <w:p w:rsidR="002F07DC" w:rsidRPr="0068733D" w:rsidRDefault="002F07DC" w:rsidP="000A6F72">
            <w:pPr>
              <w:jc w:val="center"/>
              <w:rPr>
                <w:rFonts w:ascii="Times New Roman" w:hAnsi="Times New Roman" w:cs="Times New Roman"/>
                <w:sz w:val="20"/>
                <w:szCs w:val="20"/>
              </w:rPr>
            </w:pPr>
            <w:r w:rsidRPr="0068733D">
              <w:rPr>
                <w:rFonts w:ascii="Times New Roman" w:hAnsi="Times New Roman" w:cs="Times New Roman"/>
                <w:sz w:val="20"/>
                <w:szCs w:val="20"/>
              </w:rPr>
              <w:t>44,350</w:t>
            </w:r>
          </w:p>
        </w:tc>
        <w:tc>
          <w:tcPr>
            <w:tcW w:w="2610" w:type="dxa"/>
            <w:vAlign w:val="center"/>
          </w:tcPr>
          <w:p w:rsidR="002F07DC" w:rsidRPr="0068733D" w:rsidRDefault="002F07DC" w:rsidP="000A6F72">
            <w:pPr>
              <w:jc w:val="center"/>
              <w:rPr>
                <w:rFonts w:ascii="Times New Roman" w:hAnsi="Times New Roman" w:cs="Times New Roman"/>
                <w:sz w:val="20"/>
                <w:szCs w:val="20"/>
              </w:rPr>
            </w:pPr>
            <w:r w:rsidRPr="0068733D">
              <w:rPr>
                <w:rFonts w:ascii="Times New Roman" w:hAnsi="Times New Roman" w:cs="Times New Roman"/>
                <w:sz w:val="20"/>
                <w:szCs w:val="20"/>
              </w:rPr>
              <w:t>7.5</w:t>
            </w:r>
          </w:p>
        </w:tc>
      </w:tr>
      <w:tr w:rsidR="002F07DC" w:rsidRPr="0068733D" w:rsidTr="000A6F72">
        <w:trPr>
          <w:trHeight w:hRule="exact" w:val="288"/>
          <w:jc w:val="center"/>
        </w:trPr>
        <w:tc>
          <w:tcPr>
            <w:tcW w:w="4882" w:type="dxa"/>
            <w:vAlign w:val="center"/>
          </w:tcPr>
          <w:p w:rsidR="002F07DC" w:rsidRPr="0068733D" w:rsidRDefault="002F07DC" w:rsidP="000A6F72">
            <w:pPr>
              <w:rPr>
                <w:rFonts w:ascii="Times New Roman" w:hAnsi="Times New Roman" w:cs="Times New Roman"/>
                <w:b/>
                <w:sz w:val="20"/>
                <w:szCs w:val="20"/>
              </w:rPr>
            </w:pPr>
            <w:r w:rsidRPr="0068733D">
              <w:rPr>
                <w:rFonts w:ascii="Times New Roman" w:hAnsi="Times New Roman" w:cs="Times New Roman"/>
                <w:b/>
                <w:sz w:val="20"/>
                <w:szCs w:val="20"/>
              </w:rPr>
              <w:t>Total Real Estate Loans</w:t>
            </w:r>
          </w:p>
        </w:tc>
        <w:tc>
          <w:tcPr>
            <w:tcW w:w="2610" w:type="dxa"/>
            <w:vAlign w:val="center"/>
          </w:tcPr>
          <w:p w:rsidR="002F07DC" w:rsidRPr="0068733D" w:rsidRDefault="002F07DC" w:rsidP="000A6F72">
            <w:pPr>
              <w:jc w:val="center"/>
              <w:rPr>
                <w:rFonts w:ascii="Times New Roman" w:hAnsi="Times New Roman" w:cs="Times New Roman"/>
                <w:b/>
                <w:sz w:val="20"/>
                <w:szCs w:val="20"/>
              </w:rPr>
            </w:pPr>
            <w:r w:rsidRPr="0068733D">
              <w:rPr>
                <w:rFonts w:ascii="Times New Roman" w:hAnsi="Times New Roman" w:cs="Times New Roman"/>
                <w:b/>
                <w:sz w:val="20"/>
                <w:szCs w:val="20"/>
              </w:rPr>
              <w:t>582,676</w:t>
            </w:r>
          </w:p>
        </w:tc>
        <w:tc>
          <w:tcPr>
            <w:tcW w:w="2610" w:type="dxa"/>
            <w:vAlign w:val="center"/>
          </w:tcPr>
          <w:p w:rsidR="002F07DC" w:rsidRPr="0068733D" w:rsidRDefault="002F07DC" w:rsidP="000A6F72">
            <w:pPr>
              <w:jc w:val="center"/>
              <w:rPr>
                <w:rFonts w:ascii="Times New Roman" w:hAnsi="Times New Roman" w:cs="Times New Roman"/>
                <w:b/>
                <w:sz w:val="20"/>
                <w:szCs w:val="20"/>
              </w:rPr>
            </w:pPr>
            <w:r w:rsidRPr="0068733D">
              <w:rPr>
                <w:rFonts w:ascii="Times New Roman" w:hAnsi="Times New Roman" w:cs="Times New Roman"/>
                <w:b/>
                <w:sz w:val="20"/>
                <w:szCs w:val="20"/>
              </w:rPr>
              <w:t>98.8</w:t>
            </w:r>
          </w:p>
        </w:tc>
      </w:tr>
      <w:tr w:rsidR="002F07DC" w:rsidRPr="0068733D" w:rsidTr="000A6F72">
        <w:trPr>
          <w:trHeight w:hRule="exact" w:val="288"/>
          <w:jc w:val="center"/>
        </w:trPr>
        <w:tc>
          <w:tcPr>
            <w:tcW w:w="4882" w:type="dxa"/>
            <w:vAlign w:val="center"/>
          </w:tcPr>
          <w:p w:rsidR="002F07DC" w:rsidRPr="0068733D" w:rsidRDefault="002F07DC" w:rsidP="000A6F72">
            <w:pPr>
              <w:rPr>
                <w:rFonts w:ascii="Times New Roman" w:hAnsi="Times New Roman" w:cs="Times New Roman"/>
                <w:sz w:val="20"/>
                <w:szCs w:val="20"/>
              </w:rPr>
            </w:pPr>
            <w:r w:rsidRPr="0068733D">
              <w:rPr>
                <w:rFonts w:ascii="Times New Roman" w:hAnsi="Times New Roman" w:cs="Times New Roman"/>
                <w:sz w:val="20"/>
                <w:szCs w:val="20"/>
              </w:rPr>
              <w:t>Commercial and Industrial</w:t>
            </w:r>
          </w:p>
        </w:tc>
        <w:tc>
          <w:tcPr>
            <w:tcW w:w="2610" w:type="dxa"/>
            <w:vAlign w:val="center"/>
          </w:tcPr>
          <w:p w:rsidR="002F07DC" w:rsidRPr="0068733D" w:rsidRDefault="002F07DC" w:rsidP="000A6F72">
            <w:pPr>
              <w:jc w:val="center"/>
              <w:rPr>
                <w:rFonts w:ascii="Times New Roman" w:hAnsi="Times New Roman" w:cs="Times New Roman"/>
                <w:sz w:val="20"/>
                <w:szCs w:val="20"/>
              </w:rPr>
            </w:pPr>
            <w:r w:rsidRPr="0068733D">
              <w:rPr>
                <w:rFonts w:ascii="Times New Roman" w:hAnsi="Times New Roman" w:cs="Times New Roman"/>
                <w:sz w:val="20"/>
                <w:szCs w:val="20"/>
              </w:rPr>
              <w:t>5,024</w:t>
            </w:r>
          </w:p>
        </w:tc>
        <w:tc>
          <w:tcPr>
            <w:tcW w:w="2610" w:type="dxa"/>
            <w:vAlign w:val="center"/>
          </w:tcPr>
          <w:p w:rsidR="002F07DC" w:rsidRPr="0068733D" w:rsidRDefault="002F07DC" w:rsidP="000A6F72">
            <w:pPr>
              <w:jc w:val="center"/>
              <w:rPr>
                <w:rFonts w:ascii="Times New Roman" w:hAnsi="Times New Roman" w:cs="Times New Roman"/>
                <w:sz w:val="20"/>
                <w:szCs w:val="20"/>
              </w:rPr>
            </w:pPr>
            <w:r w:rsidRPr="0068733D">
              <w:rPr>
                <w:rFonts w:ascii="Times New Roman" w:hAnsi="Times New Roman" w:cs="Times New Roman"/>
                <w:sz w:val="20"/>
                <w:szCs w:val="20"/>
              </w:rPr>
              <w:t>0.9</w:t>
            </w:r>
          </w:p>
        </w:tc>
      </w:tr>
      <w:tr w:rsidR="002F07DC" w:rsidRPr="0068733D" w:rsidTr="000A6F72">
        <w:trPr>
          <w:trHeight w:hRule="exact" w:val="288"/>
          <w:jc w:val="center"/>
        </w:trPr>
        <w:tc>
          <w:tcPr>
            <w:tcW w:w="4882" w:type="dxa"/>
            <w:vAlign w:val="center"/>
          </w:tcPr>
          <w:p w:rsidR="002F07DC" w:rsidRPr="0068733D" w:rsidRDefault="002F07DC" w:rsidP="000A6F72">
            <w:pPr>
              <w:rPr>
                <w:rFonts w:ascii="Times New Roman" w:hAnsi="Times New Roman" w:cs="Times New Roman"/>
                <w:sz w:val="20"/>
                <w:szCs w:val="20"/>
              </w:rPr>
            </w:pPr>
            <w:r w:rsidRPr="0068733D">
              <w:rPr>
                <w:rFonts w:ascii="Times New Roman" w:hAnsi="Times New Roman" w:cs="Times New Roman"/>
                <w:sz w:val="20"/>
                <w:szCs w:val="20"/>
              </w:rPr>
              <w:t>Agricultural</w:t>
            </w:r>
          </w:p>
        </w:tc>
        <w:tc>
          <w:tcPr>
            <w:tcW w:w="2610" w:type="dxa"/>
            <w:vAlign w:val="center"/>
          </w:tcPr>
          <w:p w:rsidR="002F07DC" w:rsidRPr="0068733D" w:rsidRDefault="002F07DC" w:rsidP="000A6F72">
            <w:pPr>
              <w:jc w:val="center"/>
              <w:rPr>
                <w:rFonts w:ascii="Times New Roman" w:hAnsi="Times New Roman" w:cs="Times New Roman"/>
                <w:sz w:val="20"/>
                <w:szCs w:val="20"/>
              </w:rPr>
            </w:pPr>
            <w:r w:rsidRPr="0068733D">
              <w:rPr>
                <w:rFonts w:ascii="Times New Roman" w:hAnsi="Times New Roman" w:cs="Times New Roman"/>
                <w:sz w:val="20"/>
                <w:szCs w:val="20"/>
              </w:rPr>
              <w:t>0</w:t>
            </w:r>
          </w:p>
        </w:tc>
        <w:tc>
          <w:tcPr>
            <w:tcW w:w="2610" w:type="dxa"/>
            <w:vAlign w:val="center"/>
          </w:tcPr>
          <w:p w:rsidR="002F07DC" w:rsidRPr="0068733D" w:rsidRDefault="002F07DC" w:rsidP="000A6F72">
            <w:pPr>
              <w:jc w:val="center"/>
              <w:rPr>
                <w:rFonts w:ascii="Times New Roman" w:hAnsi="Times New Roman" w:cs="Times New Roman"/>
                <w:sz w:val="20"/>
                <w:szCs w:val="20"/>
              </w:rPr>
            </w:pPr>
            <w:r w:rsidRPr="0068733D">
              <w:rPr>
                <w:rFonts w:ascii="Times New Roman" w:hAnsi="Times New Roman" w:cs="Times New Roman"/>
                <w:sz w:val="20"/>
                <w:szCs w:val="20"/>
              </w:rPr>
              <w:t>0.0</w:t>
            </w:r>
          </w:p>
        </w:tc>
      </w:tr>
      <w:tr w:rsidR="002F07DC" w:rsidRPr="0068733D" w:rsidTr="000A6F72">
        <w:trPr>
          <w:trHeight w:hRule="exact" w:val="288"/>
          <w:jc w:val="center"/>
        </w:trPr>
        <w:tc>
          <w:tcPr>
            <w:tcW w:w="4882" w:type="dxa"/>
            <w:vAlign w:val="center"/>
          </w:tcPr>
          <w:p w:rsidR="002F07DC" w:rsidRPr="0068733D" w:rsidRDefault="002F07DC" w:rsidP="000A6F72">
            <w:pPr>
              <w:rPr>
                <w:rFonts w:ascii="Times New Roman" w:hAnsi="Times New Roman" w:cs="Times New Roman"/>
                <w:sz w:val="20"/>
                <w:szCs w:val="20"/>
              </w:rPr>
            </w:pPr>
            <w:r w:rsidRPr="0068733D">
              <w:rPr>
                <w:rFonts w:ascii="Times New Roman" w:hAnsi="Times New Roman" w:cs="Times New Roman"/>
                <w:sz w:val="20"/>
                <w:szCs w:val="20"/>
              </w:rPr>
              <w:t>Consumer</w:t>
            </w:r>
          </w:p>
        </w:tc>
        <w:tc>
          <w:tcPr>
            <w:tcW w:w="2610" w:type="dxa"/>
            <w:vAlign w:val="center"/>
          </w:tcPr>
          <w:p w:rsidR="002F07DC" w:rsidRPr="0068733D" w:rsidRDefault="002F07DC" w:rsidP="000A6F72">
            <w:pPr>
              <w:jc w:val="center"/>
              <w:rPr>
                <w:rFonts w:ascii="Times New Roman" w:hAnsi="Times New Roman" w:cs="Times New Roman"/>
                <w:sz w:val="20"/>
                <w:szCs w:val="20"/>
              </w:rPr>
            </w:pPr>
            <w:r w:rsidRPr="0068733D">
              <w:rPr>
                <w:rFonts w:ascii="Times New Roman" w:hAnsi="Times New Roman" w:cs="Times New Roman"/>
                <w:sz w:val="20"/>
                <w:szCs w:val="20"/>
              </w:rPr>
              <w:t>1,805</w:t>
            </w:r>
          </w:p>
        </w:tc>
        <w:tc>
          <w:tcPr>
            <w:tcW w:w="2610" w:type="dxa"/>
            <w:vAlign w:val="center"/>
          </w:tcPr>
          <w:p w:rsidR="002F07DC" w:rsidRPr="0068733D" w:rsidRDefault="002F07DC" w:rsidP="000A6F72">
            <w:pPr>
              <w:jc w:val="center"/>
              <w:rPr>
                <w:rFonts w:ascii="Times New Roman" w:hAnsi="Times New Roman" w:cs="Times New Roman"/>
                <w:sz w:val="20"/>
                <w:szCs w:val="20"/>
              </w:rPr>
            </w:pPr>
            <w:r w:rsidRPr="0068733D">
              <w:rPr>
                <w:rFonts w:ascii="Times New Roman" w:hAnsi="Times New Roman" w:cs="Times New Roman"/>
                <w:sz w:val="20"/>
                <w:szCs w:val="20"/>
              </w:rPr>
              <w:t>0.3</w:t>
            </w:r>
          </w:p>
        </w:tc>
      </w:tr>
      <w:tr w:rsidR="002F07DC" w:rsidRPr="0068733D" w:rsidTr="000A6F72">
        <w:trPr>
          <w:trHeight w:hRule="exact" w:val="288"/>
          <w:jc w:val="center"/>
        </w:trPr>
        <w:tc>
          <w:tcPr>
            <w:tcW w:w="4882" w:type="dxa"/>
            <w:vAlign w:val="center"/>
          </w:tcPr>
          <w:p w:rsidR="002F07DC" w:rsidRPr="0068733D" w:rsidRDefault="002F07DC" w:rsidP="000A6F72">
            <w:pPr>
              <w:rPr>
                <w:rFonts w:ascii="Times New Roman" w:hAnsi="Times New Roman" w:cs="Times New Roman"/>
                <w:sz w:val="20"/>
                <w:szCs w:val="20"/>
              </w:rPr>
            </w:pPr>
            <w:r w:rsidRPr="0068733D">
              <w:rPr>
                <w:rFonts w:ascii="Times New Roman" w:hAnsi="Times New Roman" w:cs="Times New Roman"/>
                <w:sz w:val="20"/>
                <w:szCs w:val="20"/>
              </w:rPr>
              <w:t>Other</w:t>
            </w:r>
          </w:p>
        </w:tc>
        <w:tc>
          <w:tcPr>
            <w:tcW w:w="2610" w:type="dxa"/>
            <w:vAlign w:val="center"/>
          </w:tcPr>
          <w:p w:rsidR="002F07DC" w:rsidRPr="0068733D" w:rsidRDefault="002F07DC" w:rsidP="000A6F72">
            <w:pPr>
              <w:jc w:val="center"/>
              <w:rPr>
                <w:rFonts w:ascii="Times New Roman" w:hAnsi="Times New Roman" w:cs="Times New Roman"/>
                <w:sz w:val="20"/>
                <w:szCs w:val="20"/>
              </w:rPr>
            </w:pPr>
            <w:r w:rsidRPr="0068733D">
              <w:rPr>
                <w:rFonts w:ascii="Times New Roman" w:hAnsi="Times New Roman" w:cs="Times New Roman"/>
                <w:sz w:val="20"/>
                <w:szCs w:val="20"/>
              </w:rPr>
              <w:t>31</w:t>
            </w:r>
          </w:p>
        </w:tc>
        <w:tc>
          <w:tcPr>
            <w:tcW w:w="2610" w:type="dxa"/>
            <w:vAlign w:val="center"/>
          </w:tcPr>
          <w:p w:rsidR="002F07DC" w:rsidRPr="0068733D" w:rsidRDefault="002F07DC" w:rsidP="000A6F72">
            <w:pPr>
              <w:jc w:val="center"/>
              <w:rPr>
                <w:rFonts w:ascii="Times New Roman" w:hAnsi="Times New Roman" w:cs="Times New Roman"/>
                <w:sz w:val="20"/>
                <w:szCs w:val="20"/>
              </w:rPr>
            </w:pPr>
            <w:r w:rsidRPr="0068733D">
              <w:rPr>
                <w:rFonts w:ascii="Times New Roman" w:hAnsi="Times New Roman" w:cs="Times New Roman"/>
                <w:sz w:val="20"/>
                <w:szCs w:val="20"/>
              </w:rPr>
              <w:t>0.0</w:t>
            </w:r>
          </w:p>
        </w:tc>
      </w:tr>
      <w:tr w:rsidR="002F07DC" w:rsidRPr="0068733D" w:rsidTr="000A6F72">
        <w:trPr>
          <w:trHeight w:hRule="exact" w:val="288"/>
          <w:jc w:val="center"/>
        </w:trPr>
        <w:tc>
          <w:tcPr>
            <w:tcW w:w="4882" w:type="dxa"/>
            <w:vAlign w:val="center"/>
          </w:tcPr>
          <w:p w:rsidR="002F07DC" w:rsidRPr="0068733D" w:rsidRDefault="002F07DC" w:rsidP="000A6F72">
            <w:pPr>
              <w:rPr>
                <w:rFonts w:ascii="Times New Roman" w:hAnsi="Times New Roman" w:cs="Times New Roman"/>
                <w:sz w:val="20"/>
                <w:szCs w:val="20"/>
              </w:rPr>
            </w:pPr>
            <w:r w:rsidRPr="0068733D">
              <w:rPr>
                <w:rFonts w:ascii="Times New Roman" w:hAnsi="Times New Roman" w:cs="Times New Roman"/>
                <w:sz w:val="20"/>
                <w:szCs w:val="20"/>
              </w:rPr>
              <w:t>Less: Unearned Income</w:t>
            </w:r>
          </w:p>
        </w:tc>
        <w:tc>
          <w:tcPr>
            <w:tcW w:w="2610" w:type="dxa"/>
            <w:vAlign w:val="center"/>
          </w:tcPr>
          <w:p w:rsidR="002F07DC" w:rsidRPr="0068733D" w:rsidRDefault="002F07DC" w:rsidP="000A6F72">
            <w:pPr>
              <w:jc w:val="center"/>
              <w:rPr>
                <w:rFonts w:ascii="Times New Roman" w:hAnsi="Times New Roman" w:cs="Times New Roman"/>
                <w:sz w:val="20"/>
                <w:szCs w:val="20"/>
              </w:rPr>
            </w:pPr>
            <w:r w:rsidRPr="0068733D">
              <w:rPr>
                <w:rFonts w:ascii="Times New Roman" w:hAnsi="Times New Roman" w:cs="Times New Roman"/>
                <w:sz w:val="20"/>
                <w:szCs w:val="20"/>
              </w:rPr>
              <w:t>41</w:t>
            </w:r>
          </w:p>
        </w:tc>
        <w:tc>
          <w:tcPr>
            <w:tcW w:w="2610" w:type="dxa"/>
            <w:vAlign w:val="center"/>
          </w:tcPr>
          <w:p w:rsidR="002F07DC" w:rsidRPr="0068733D" w:rsidRDefault="002F07DC" w:rsidP="000A6F72">
            <w:pPr>
              <w:jc w:val="center"/>
              <w:rPr>
                <w:rFonts w:ascii="Times New Roman" w:hAnsi="Times New Roman" w:cs="Times New Roman"/>
                <w:sz w:val="20"/>
                <w:szCs w:val="20"/>
              </w:rPr>
            </w:pPr>
            <w:r w:rsidRPr="0068733D">
              <w:rPr>
                <w:rFonts w:ascii="Times New Roman" w:hAnsi="Times New Roman" w:cs="Times New Roman"/>
                <w:sz w:val="20"/>
                <w:szCs w:val="20"/>
              </w:rPr>
              <w:t>0.0</w:t>
            </w:r>
          </w:p>
        </w:tc>
      </w:tr>
      <w:tr w:rsidR="002F07DC" w:rsidRPr="0068733D" w:rsidTr="000A6F72">
        <w:trPr>
          <w:trHeight w:hRule="exact" w:val="288"/>
          <w:jc w:val="center"/>
        </w:trPr>
        <w:tc>
          <w:tcPr>
            <w:tcW w:w="4882" w:type="dxa"/>
            <w:vAlign w:val="center"/>
          </w:tcPr>
          <w:p w:rsidR="002F07DC" w:rsidRPr="0068733D" w:rsidRDefault="002F07DC" w:rsidP="000A6F72">
            <w:pPr>
              <w:rPr>
                <w:rFonts w:ascii="Times New Roman" w:hAnsi="Times New Roman" w:cs="Times New Roman"/>
                <w:b/>
                <w:sz w:val="20"/>
                <w:szCs w:val="20"/>
              </w:rPr>
            </w:pPr>
            <w:r w:rsidRPr="0068733D">
              <w:rPr>
                <w:rFonts w:ascii="Times New Roman" w:hAnsi="Times New Roman" w:cs="Times New Roman"/>
                <w:b/>
                <w:sz w:val="20"/>
                <w:szCs w:val="20"/>
              </w:rPr>
              <w:t>Total Loans</w:t>
            </w:r>
          </w:p>
        </w:tc>
        <w:tc>
          <w:tcPr>
            <w:tcW w:w="2610" w:type="dxa"/>
            <w:vAlign w:val="center"/>
          </w:tcPr>
          <w:p w:rsidR="002F07DC" w:rsidRPr="0068733D" w:rsidRDefault="002F07DC" w:rsidP="000A6F72">
            <w:pPr>
              <w:jc w:val="center"/>
              <w:rPr>
                <w:rFonts w:ascii="Times New Roman" w:hAnsi="Times New Roman" w:cs="Times New Roman"/>
                <w:b/>
                <w:sz w:val="20"/>
                <w:szCs w:val="20"/>
              </w:rPr>
            </w:pPr>
            <w:r w:rsidRPr="0068733D">
              <w:rPr>
                <w:rFonts w:ascii="Times New Roman" w:hAnsi="Times New Roman" w:cs="Times New Roman"/>
                <w:b/>
                <w:sz w:val="20"/>
                <w:szCs w:val="20"/>
              </w:rPr>
              <w:t>589,495</w:t>
            </w:r>
          </w:p>
        </w:tc>
        <w:tc>
          <w:tcPr>
            <w:tcW w:w="2610" w:type="dxa"/>
            <w:vAlign w:val="center"/>
          </w:tcPr>
          <w:p w:rsidR="002F07DC" w:rsidRPr="0068733D" w:rsidRDefault="002F07DC" w:rsidP="000A6F72">
            <w:pPr>
              <w:jc w:val="center"/>
              <w:rPr>
                <w:rFonts w:ascii="Times New Roman" w:hAnsi="Times New Roman" w:cs="Times New Roman"/>
                <w:b/>
                <w:sz w:val="20"/>
                <w:szCs w:val="20"/>
              </w:rPr>
            </w:pPr>
            <w:r w:rsidRPr="0068733D">
              <w:rPr>
                <w:rFonts w:ascii="Times New Roman" w:hAnsi="Times New Roman" w:cs="Times New Roman"/>
                <w:b/>
                <w:sz w:val="20"/>
                <w:szCs w:val="20"/>
              </w:rPr>
              <w:t>100.0</w:t>
            </w:r>
          </w:p>
        </w:tc>
      </w:tr>
      <w:tr w:rsidR="002F07DC" w:rsidRPr="0068733D" w:rsidTr="000A6F72">
        <w:trPr>
          <w:trHeight w:hRule="exact" w:val="288"/>
          <w:jc w:val="center"/>
        </w:trPr>
        <w:tc>
          <w:tcPr>
            <w:tcW w:w="10102" w:type="dxa"/>
            <w:gridSpan w:val="3"/>
            <w:vAlign w:val="center"/>
          </w:tcPr>
          <w:p w:rsidR="002F07DC" w:rsidRPr="0068733D" w:rsidRDefault="002F07DC" w:rsidP="000A6F72">
            <w:pPr>
              <w:rPr>
                <w:rFonts w:ascii="Times New Roman" w:hAnsi="Times New Roman" w:cs="Times New Roman"/>
                <w:i/>
                <w:sz w:val="20"/>
                <w:szCs w:val="20"/>
              </w:rPr>
            </w:pPr>
            <w:r w:rsidRPr="0068733D">
              <w:rPr>
                <w:rFonts w:ascii="Times New Roman" w:hAnsi="Times New Roman" w:cs="Times New Roman"/>
                <w:i/>
                <w:sz w:val="20"/>
                <w:szCs w:val="20"/>
              </w:rPr>
              <w:t>Source:  Reports of Condition and Income</w:t>
            </w:r>
          </w:p>
          <w:p w:rsidR="002F07DC" w:rsidRPr="0068733D" w:rsidRDefault="002F07DC" w:rsidP="000A6F72">
            <w:pPr>
              <w:jc w:val="center"/>
              <w:rPr>
                <w:rFonts w:ascii="Times New Roman" w:hAnsi="Times New Roman" w:cs="Times New Roman"/>
                <w:sz w:val="20"/>
                <w:szCs w:val="20"/>
              </w:rPr>
            </w:pPr>
          </w:p>
        </w:tc>
      </w:tr>
    </w:tbl>
    <w:p w:rsidR="002F07DC" w:rsidRDefault="002F07DC" w:rsidP="002F07DC">
      <w:pPr>
        <w:rPr>
          <w:rFonts w:ascii="Times New Roman" w:hAnsi="Times New Roman" w:cs="Times New Roman"/>
          <w:sz w:val="24"/>
          <w:szCs w:val="24"/>
        </w:rPr>
      </w:pPr>
    </w:p>
    <w:p w:rsidR="002F07DC" w:rsidRPr="001B6AE0" w:rsidRDefault="002F07DC" w:rsidP="002F07DC">
      <w:pPr>
        <w:rPr>
          <w:rFonts w:ascii="Times New Roman" w:hAnsi="Times New Roman" w:cs="Times New Roman"/>
          <w:sz w:val="24"/>
          <w:szCs w:val="24"/>
        </w:rPr>
      </w:pPr>
      <w:r>
        <w:rPr>
          <w:rFonts w:ascii="Times New Roman" w:hAnsi="Times New Roman" w:cs="Times New Roman"/>
          <w:sz w:val="24"/>
          <w:szCs w:val="24"/>
        </w:rPr>
        <w:t xml:space="preserve">Examiners did not identify any financial, legal, or other impediments that affect </w:t>
      </w:r>
      <w:r w:rsidR="001D27C9">
        <w:rPr>
          <w:rFonts w:ascii="Times New Roman" w:hAnsi="Times New Roman" w:cs="Times New Roman"/>
          <w:sz w:val="24"/>
          <w:szCs w:val="24"/>
        </w:rPr>
        <w:t>the bank</w:t>
      </w:r>
      <w:r>
        <w:rPr>
          <w:rFonts w:ascii="Times New Roman" w:hAnsi="Times New Roman" w:cs="Times New Roman"/>
          <w:sz w:val="24"/>
          <w:szCs w:val="24"/>
        </w:rPr>
        <w:t>’s ability to meet assessment area credit needs.</w:t>
      </w:r>
    </w:p>
    <w:p w:rsidR="001A40E3" w:rsidRDefault="001A40E3" w:rsidP="002F07DC">
      <w:pPr>
        <w:jc w:val="center"/>
        <w:rPr>
          <w:rFonts w:ascii="Times New Roman" w:hAnsi="Times New Roman" w:cs="Times New Roman"/>
          <w:b/>
          <w:sz w:val="28"/>
          <w:szCs w:val="28"/>
        </w:rPr>
      </w:pPr>
    </w:p>
    <w:p w:rsidR="001A40E3" w:rsidRDefault="001A40E3" w:rsidP="002F07DC">
      <w:pPr>
        <w:jc w:val="center"/>
        <w:rPr>
          <w:rFonts w:ascii="Times New Roman" w:hAnsi="Times New Roman" w:cs="Times New Roman"/>
          <w:b/>
          <w:sz w:val="28"/>
          <w:szCs w:val="28"/>
        </w:rPr>
      </w:pPr>
    </w:p>
    <w:p w:rsidR="001A40E3" w:rsidRDefault="001A40E3" w:rsidP="002F07DC">
      <w:pPr>
        <w:jc w:val="center"/>
        <w:rPr>
          <w:rFonts w:ascii="Times New Roman" w:hAnsi="Times New Roman" w:cs="Times New Roman"/>
          <w:b/>
          <w:sz w:val="28"/>
          <w:szCs w:val="28"/>
        </w:rPr>
      </w:pPr>
    </w:p>
    <w:p w:rsidR="001A40E3" w:rsidRDefault="001A40E3" w:rsidP="002F07DC">
      <w:pPr>
        <w:jc w:val="center"/>
        <w:rPr>
          <w:rFonts w:ascii="Times New Roman" w:hAnsi="Times New Roman" w:cs="Times New Roman"/>
          <w:b/>
          <w:sz w:val="28"/>
          <w:szCs w:val="28"/>
        </w:rPr>
      </w:pPr>
    </w:p>
    <w:p w:rsidR="001A40E3" w:rsidRDefault="001A40E3" w:rsidP="002F07DC">
      <w:pPr>
        <w:jc w:val="center"/>
        <w:rPr>
          <w:rFonts w:ascii="Times New Roman" w:hAnsi="Times New Roman" w:cs="Times New Roman"/>
          <w:b/>
          <w:sz w:val="28"/>
          <w:szCs w:val="28"/>
        </w:rPr>
      </w:pPr>
    </w:p>
    <w:p w:rsidR="001A40E3" w:rsidRDefault="001A40E3" w:rsidP="002F07DC">
      <w:pPr>
        <w:jc w:val="center"/>
        <w:rPr>
          <w:rFonts w:ascii="Times New Roman" w:hAnsi="Times New Roman" w:cs="Times New Roman"/>
          <w:b/>
          <w:sz w:val="28"/>
          <w:szCs w:val="28"/>
        </w:rPr>
      </w:pPr>
    </w:p>
    <w:p w:rsidR="001A40E3" w:rsidRDefault="001A40E3" w:rsidP="002F07DC">
      <w:pPr>
        <w:jc w:val="center"/>
        <w:rPr>
          <w:rFonts w:ascii="Times New Roman" w:hAnsi="Times New Roman" w:cs="Times New Roman"/>
          <w:b/>
          <w:sz w:val="28"/>
          <w:szCs w:val="28"/>
        </w:rPr>
      </w:pPr>
    </w:p>
    <w:p w:rsidR="001A40E3" w:rsidRDefault="001A40E3" w:rsidP="002F07DC">
      <w:pPr>
        <w:jc w:val="center"/>
        <w:rPr>
          <w:rFonts w:ascii="Times New Roman" w:hAnsi="Times New Roman" w:cs="Times New Roman"/>
          <w:b/>
          <w:sz w:val="28"/>
          <w:szCs w:val="28"/>
        </w:rPr>
      </w:pPr>
    </w:p>
    <w:p w:rsidR="001A40E3" w:rsidRDefault="001A40E3" w:rsidP="002F07DC">
      <w:pPr>
        <w:jc w:val="center"/>
        <w:rPr>
          <w:rFonts w:ascii="Times New Roman" w:hAnsi="Times New Roman" w:cs="Times New Roman"/>
          <w:b/>
          <w:sz w:val="28"/>
          <w:szCs w:val="28"/>
        </w:rPr>
      </w:pPr>
    </w:p>
    <w:p w:rsidR="001A40E3" w:rsidRDefault="001A40E3" w:rsidP="002F07DC">
      <w:pPr>
        <w:jc w:val="center"/>
        <w:rPr>
          <w:rFonts w:ascii="Times New Roman" w:hAnsi="Times New Roman" w:cs="Times New Roman"/>
          <w:b/>
          <w:sz w:val="28"/>
          <w:szCs w:val="28"/>
        </w:rPr>
      </w:pPr>
    </w:p>
    <w:p w:rsidR="001A40E3" w:rsidRDefault="001A40E3" w:rsidP="002F07DC">
      <w:pPr>
        <w:jc w:val="center"/>
        <w:rPr>
          <w:rFonts w:ascii="Times New Roman" w:hAnsi="Times New Roman" w:cs="Times New Roman"/>
          <w:b/>
          <w:sz w:val="28"/>
          <w:szCs w:val="28"/>
        </w:rPr>
      </w:pPr>
    </w:p>
    <w:p w:rsidR="001A40E3" w:rsidRDefault="001A40E3" w:rsidP="002F07DC">
      <w:pPr>
        <w:jc w:val="center"/>
        <w:rPr>
          <w:rFonts w:ascii="Times New Roman" w:hAnsi="Times New Roman" w:cs="Times New Roman"/>
          <w:b/>
          <w:sz w:val="28"/>
          <w:szCs w:val="28"/>
        </w:rPr>
      </w:pPr>
    </w:p>
    <w:p w:rsidR="001A40E3" w:rsidRDefault="001A40E3" w:rsidP="002F07DC">
      <w:pPr>
        <w:jc w:val="center"/>
        <w:rPr>
          <w:rFonts w:ascii="Times New Roman" w:hAnsi="Times New Roman" w:cs="Times New Roman"/>
          <w:b/>
          <w:sz w:val="28"/>
          <w:szCs w:val="28"/>
        </w:rPr>
      </w:pPr>
    </w:p>
    <w:p w:rsidR="001A40E3" w:rsidRDefault="001A40E3" w:rsidP="002F07DC">
      <w:pPr>
        <w:jc w:val="center"/>
        <w:rPr>
          <w:rFonts w:ascii="Times New Roman" w:hAnsi="Times New Roman" w:cs="Times New Roman"/>
          <w:b/>
          <w:sz w:val="28"/>
          <w:szCs w:val="28"/>
        </w:rPr>
      </w:pPr>
    </w:p>
    <w:p w:rsidR="002F07DC" w:rsidRDefault="002F07DC" w:rsidP="002F07DC">
      <w:pPr>
        <w:jc w:val="center"/>
        <w:rPr>
          <w:rFonts w:ascii="Times New Roman" w:hAnsi="Times New Roman" w:cs="Times New Roman"/>
          <w:b/>
          <w:sz w:val="28"/>
          <w:szCs w:val="28"/>
        </w:rPr>
      </w:pPr>
      <w:r>
        <w:rPr>
          <w:rFonts w:ascii="Times New Roman" w:hAnsi="Times New Roman" w:cs="Times New Roman"/>
          <w:b/>
          <w:sz w:val="28"/>
          <w:szCs w:val="28"/>
        </w:rPr>
        <w:lastRenderedPageBreak/>
        <w:t>DESCRIPTION OF ASSESSMENT AREA</w:t>
      </w:r>
    </w:p>
    <w:p w:rsidR="002F07DC" w:rsidRDefault="002F07DC" w:rsidP="00FA61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CRA requires each financial institution to define one or more assessment areas within which examiners will evaluate its CRA performance</w:t>
      </w:r>
      <w:r w:rsidR="00AF2064">
        <w:rPr>
          <w:rFonts w:ascii="Times New Roman" w:hAnsi="Times New Roman" w:cs="Times New Roman"/>
          <w:sz w:val="24"/>
          <w:szCs w:val="24"/>
        </w:rPr>
        <w:t xml:space="preserve">. </w:t>
      </w:r>
      <w:r>
        <w:rPr>
          <w:rFonts w:ascii="Times New Roman" w:hAnsi="Times New Roman" w:cs="Times New Roman"/>
          <w:sz w:val="24"/>
          <w:szCs w:val="24"/>
        </w:rPr>
        <w:t>Watertown Savings Bank designated its assessment area to include the municipalities of Arlington, Belmont, Lexington, Newton, Waltham, and Watertown</w:t>
      </w:r>
      <w:r w:rsidR="00AF2064">
        <w:rPr>
          <w:rFonts w:ascii="Times New Roman" w:hAnsi="Times New Roman" w:cs="Times New Roman"/>
          <w:sz w:val="24"/>
          <w:szCs w:val="24"/>
        </w:rPr>
        <w:t xml:space="preserve">. </w:t>
      </w:r>
      <w:r>
        <w:rPr>
          <w:rFonts w:ascii="Times New Roman" w:hAnsi="Times New Roman" w:cs="Times New Roman"/>
          <w:sz w:val="24"/>
          <w:szCs w:val="24"/>
        </w:rPr>
        <w:t>This assessment area is entirely within the Cambridge-Newton-Framingham, MA Metropolitan District (MA) (15764)</w:t>
      </w:r>
      <w:r w:rsidR="00AF2064">
        <w:rPr>
          <w:rFonts w:ascii="Times New Roman" w:hAnsi="Times New Roman" w:cs="Times New Roman"/>
          <w:sz w:val="24"/>
          <w:szCs w:val="24"/>
        </w:rPr>
        <w:t xml:space="preserve">. </w:t>
      </w:r>
      <w:r>
        <w:rPr>
          <w:rFonts w:ascii="Times New Roman" w:hAnsi="Times New Roman" w:cs="Times New Roman"/>
          <w:sz w:val="24"/>
          <w:szCs w:val="24"/>
        </w:rPr>
        <w:t>The following sections discuss demographic and economic information for the assessment area.</w:t>
      </w:r>
    </w:p>
    <w:p w:rsidR="00FA6151" w:rsidRDefault="00FA6151" w:rsidP="00FA6151">
      <w:pPr>
        <w:spacing w:after="0" w:line="240" w:lineRule="auto"/>
        <w:jc w:val="both"/>
        <w:rPr>
          <w:rFonts w:ascii="Times New Roman" w:hAnsi="Times New Roman" w:cs="Times New Roman"/>
          <w:sz w:val="24"/>
          <w:szCs w:val="24"/>
        </w:rPr>
      </w:pPr>
    </w:p>
    <w:p w:rsidR="002F07DC" w:rsidRDefault="002F07DC" w:rsidP="00FA6151">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Economic and Demographic Data</w:t>
      </w:r>
    </w:p>
    <w:p w:rsidR="002F07DC" w:rsidRDefault="002F07DC" w:rsidP="00FA61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assessment area includes 59 census tracts in Middlesex County and includes the following tract income designation according to the 2015 American Community Survey (ACS) data:</w:t>
      </w:r>
    </w:p>
    <w:p w:rsidR="00FA6151" w:rsidRDefault="00FA6151" w:rsidP="00FA6151">
      <w:pPr>
        <w:spacing w:after="0" w:line="240" w:lineRule="auto"/>
        <w:jc w:val="both"/>
        <w:rPr>
          <w:rFonts w:ascii="Times New Roman" w:hAnsi="Times New Roman" w:cs="Times New Roman"/>
          <w:sz w:val="24"/>
          <w:szCs w:val="24"/>
        </w:rPr>
      </w:pPr>
    </w:p>
    <w:p w:rsidR="002F07DC" w:rsidRDefault="00393D0A" w:rsidP="00FA6151">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2F07DC">
        <w:rPr>
          <w:rFonts w:ascii="Times New Roman" w:hAnsi="Times New Roman" w:cs="Times New Roman"/>
          <w:sz w:val="24"/>
          <w:szCs w:val="24"/>
        </w:rPr>
        <w:t xml:space="preserve"> moderate-income tracts</w:t>
      </w:r>
    </w:p>
    <w:p w:rsidR="002F07DC" w:rsidRDefault="00393D0A" w:rsidP="00FA6151">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2F07DC">
        <w:rPr>
          <w:rFonts w:ascii="Times New Roman" w:hAnsi="Times New Roman" w:cs="Times New Roman"/>
          <w:sz w:val="24"/>
          <w:szCs w:val="24"/>
        </w:rPr>
        <w:t xml:space="preserve"> middle-income tracts, and</w:t>
      </w:r>
    </w:p>
    <w:p w:rsidR="002F07DC" w:rsidRDefault="00393D0A" w:rsidP="00FA6151">
      <w:pPr>
        <w:pStyle w:val="ListParagraph"/>
        <w:numPr>
          <w:ilvl w:val="0"/>
          <w:numId w:val="1"/>
        </w:num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35</w:t>
      </w:r>
      <w:proofErr w:type="gramEnd"/>
      <w:r w:rsidR="002F07DC">
        <w:rPr>
          <w:rFonts w:ascii="Times New Roman" w:hAnsi="Times New Roman" w:cs="Times New Roman"/>
          <w:sz w:val="24"/>
          <w:szCs w:val="24"/>
        </w:rPr>
        <w:t xml:space="preserve"> upper-income tracts.</w:t>
      </w:r>
    </w:p>
    <w:p w:rsidR="00FA6151" w:rsidRDefault="00FA6151" w:rsidP="00FA6151">
      <w:pPr>
        <w:pStyle w:val="ListParagraph"/>
        <w:spacing w:after="0" w:line="240" w:lineRule="auto"/>
        <w:jc w:val="both"/>
        <w:rPr>
          <w:rFonts w:ascii="Times New Roman" w:hAnsi="Times New Roman" w:cs="Times New Roman"/>
          <w:sz w:val="24"/>
          <w:szCs w:val="24"/>
        </w:rPr>
      </w:pPr>
    </w:p>
    <w:p w:rsidR="002F07DC" w:rsidRDefault="000A6F72" w:rsidP="00FA61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Moderate</w:t>
      </w:r>
      <w:r w:rsidR="002F07DC">
        <w:rPr>
          <w:rFonts w:ascii="Times New Roman" w:hAnsi="Times New Roman" w:cs="Times New Roman"/>
          <w:sz w:val="24"/>
          <w:szCs w:val="24"/>
        </w:rPr>
        <w:t>-income tracts in 2017 are solely located in Waltham</w:t>
      </w:r>
      <w:r w:rsidR="00AF2064">
        <w:rPr>
          <w:rFonts w:ascii="Times New Roman" w:hAnsi="Times New Roman" w:cs="Times New Roman"/>
          <w:sz w:val="24"/>
          <w:szCs w:val="24"/>
        </w:rPr>
        <w:t xml:space="preserve">. </w:t>
      </w:r>
      <w:r w:rsidR="002F07DC">
        <w:rPr>
          <w:rFonts w:ascii="Times New Roman" w:hAnsi="Times New Roman" w:cs="Times New Roman"/>
          <w:sz w:val="24"/>
          <w:szCs w:val="24"/>
        </w:rPr>
        <w:t xml:space="preserve">In </w:t>
      </w:r>
      <w:r w:rsidR="00AF2064">
        <w:rPr>
          <w:rFonts w:ascii="Times New Roman" w:hAnsi="Times New Roman" w:cs="Times New Roman"/>
          <w:sz w:val="24"/>
          <w:szCs w:val="24"/>
        </w:rPr>
        <w:t>2016,</w:t>
      </w:r>
      <w:r w:rsidR="002F07DC">
        <w:rPr>
          <w:rFonts w:ascii="Times New Roman" w:hAnsi="Times New Roman" w:cs="Times New Roman"/>
          <w:sz w:val="24"/>
          <w:szCs w:val="24"/>
        </w:rPr>
        <w:t xml:space="preserve"> there were four moderate-income census tr</w:t>
      </w:r>
      <w:r>
        <w:rPr>
          <w:rFonts w:ascii="Times New Roman" w:hAnsi="Times New Roman" w:cs="Times New Roman"/>
          <w:sz w:val="24"/>
          <w:szCs w:val="24"/>
        </w:rPr>
        <w:t>acts in Waltham, one in Newton</w:t>
      </w:r>
      <w:r w:rsidR="002F07DC">
        <w:rPr>
          <w:rFonts w:ascii="Times New Roman" w:hAnsi="Times New Roman" w:cs="Times New Roman"/>
          <w:sz w:val="24"/>
          <w:szCs w:val="24"/>
        </w:rPr>
        <w:t>, and one in W</w:t>
      </w:r>
      <w:r w:rsidR="00F056C1">
        <w:rPr>
          <w:rFonts w:ascii="Times New Roman" w:hAnsi="Times New Roman" w:cs="Times New Roman"/>
          <w:sz w:val="24"/>
          <w:szCs w:val="24"/>
        </w:rPr>
        <w:t>atertown</w:t>
      </w:r>
      <w:r w:rsidR="00AF2064">
        <w:rPr>
          <w:rFonts w:ascii="Times New Roman" w:hAnsi="Times New Roman" w:cs="Times New Roman"/>
          <w:sz w:val="24"/>
          <w:szCs w:val="24"/>
        </w:rPr>
        <w:t xml:space="preserve">. </w:t>
      </w:r>
      <w:r w:rsidR="00F056C1">
        <w:rPr>
          <w:rFonts w:ascii="Times New Roman" w:hAnsi="Times New Roman" w:cs="Times New Roman"/>
          <w:sz w:val="24"/>
          <w:szCs w:val="24"/>
        </w:rPr>
        <w:t xml:space="preserve">One of </w:t>
      </w:r>
      <w:r w:rsidR="001D27C9">
        <w:rPr>
          <w:rFonts w:ascii="Times New Roman" w:hAnsi="Times New Roman" w:cs="Times New Roman"/>
          <w:sz w:val="24"/>
          <w:szCs w:val="24"/>
        </w:rPr>
        <w:t>the bank</w:t>
      </w:r>
      <w:r w:rsidR="00F056C1">
        <w:rPr>
          <w:rFonts w:ascii="Times New Roman" w:hAnsi="Times New Roman" w:cs="Times New Roman"/>
          <w:sz w:val="24"/>
          <w:szCs w:val="24"/>
        </w:rPr>
        <w:t>’s branches is located in a previously delineated moderate-income tract.</w:t>
      </w:r>
    </w:p>
    <w:p w:rsidR="00FA6151" w:rsidRPr="00D71790" w:rsidRDefault="00FA6151" w:rsidP="00FA6151">
      <w:pPr>
        <w:spacing w:after="0" w:line="240" w:lineRule="auto"/>
        <w:jc w:val="both"/>
        <w:rPr>
          <w:rFonts w:ascii="Times New Roman" w:hAnsi="Times New Roman" w:cs="Times New Roman"/>
          <w:sz w:val="24"/>
          <w:szCs w:val="24"/>
        </w:rPr>
      </w:pPr>
    </w:p>
    <w:p w:rsidR="002F07DC" w:rsidRDefault="001D27C9" w:rsidP="00FA61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bank</w:t>
      </w:r>
      <w:r w:rsidR="002F07DC">
        <w:rPr>
          <w:rFonts w:ascii="Times New Roman" w:hAnsi="Times New Roman" w:cs="Times New Roman"/>
          <w:sz w:val="24"/>
          <w:szCs w:val="24"/>
        </w:rPr>
        <w:t>’s 2016 home mortgage lending performance was compared to 2010 U.S</w:t>
      </w:r>
      <w:r w:rsidR="001B4658">
        <w:rPr>
          <w:rFonts w:ascii="Times New Roman" w:hAnsi="Times New Roman" w:cs="Times New Roman"/>
          <w:sz w:val="24"/>
          <w:szCs w:val="24"/>
        </w:rPr>
        <w:t xml:space="preserve">. </w:t>
      </w:r>
      <w:r w:rsidR="002F07DC">
        <w:rPr>
          <w:rFonts w:ascii="Times New Roman" w:hAnsi="Times New Roman" w:cs="Times New Roman"/>
          <w:sz w:val="24"/>
          <w:szCs w:val="24"/>
        </w:rPr>
        <w:t>Census demographic data, while 2017 home mortgage lending performance was compared to demographic data based on the 2015 estimates</w:t>
      </w:r>
      <w:r w:rsidR="00AF2064">
        <w:rPr>
          <w:rFonts w:ascii="Times New Roman" w:hAnsi="Times New Roman" w:cs="Times New Roman"/>
          <w:sz w:val="24"/>
          <w:szCs w:val="24"/>
        </w:rPr>
        <w:t xml:space="preserve">. </w:t>
      </w:r>
      <w:r w:rsidR="002F07DC">
        <w:rPr>
          <w:rFonts w:ascii="Times New Roman" w:hAnsi="Times New Roman" w:cs="Times New Roman"/>
          <w:sz w:val="24"/>
          <w:szCs w:val="24"/>
        </w:rPr>
        <w:t>The most relevant differences between 2016 and 2017 demographic information are as follows:</w:t>
      </w:r>
    </w:p>
    <w:p w:rsidR="00FA6151" w:rsidRDefault="00FA6151" w:rsidP="00FA6151">
      <w:pPr>
        <w:spacing w:after="0" w:line="240" w:lineRule="auto"/>
        <w:jc w:val="both"/>
        <w:rPr>
          <w:rFonts w:ascii="Times New Roman" w:hAnsi="Times New Roman" w:cs="Times New Roman"/>
          <w:sz w:val="24"/>
          <w:szCs w:val="24"/>
        </w:rPr>
      </w:pPr>
    </w:p>
    <w:p w:rsidR="002F07DC" w:rsidRDefault="002F07DC" w:rsidP="00FA6151">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number of moderate-income census tracts decreased from 6 to 3;</w:t>
      </w:r>
    </w:p>
    <w:p w:rsidR="002F07DC" w:rsidRDefault="002F07DC" w:rsidP="00FA6151">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number of middle-income census tracts decreased from 24 to 21;</w:t>
      </w:r>
    </w:p>
    <w:p w:rsidR="002F07DC" w:rsidRDefault="002F07DC" w:rsidP="00FA6151">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number of upper-income census tracts increased from 29 to 35;</w:t>
      </w:r>
    </w:p>
    <w:p w:rsidR="002F07DC" w:rsidRDefault="002F07DC" w:rsidP="00FA6151">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percentage of owner-occupied housing units in moderate-income census tracts decreased from 5.3 percent to 1.1 percent</w:t>
      </w:r>
      <w:r w:rsidR="00AF2064">
        <w:rPr>
          <w:rFonts w:ascii="Times New Roman" w:hAnsi="Times New Roman" w:cs="Times New Roman"/>
          <w:sz w:val="24"/>
          <w:szCs w:val="24"/>
        </w:rPr>
        <w:t xml:space="preserve">. </w:t>
      </w:r>
      <w:r>
        <w:rPr>
          <w:rFonts w:ascii="Times New Roman" w:hAnsi="Times New Roman" w:cs="Times New Roman"/>
          <w:sz w:val="24"/>
          <w:szCs w:val="24"/>
        </w:rPr>
        <w:t>The change can be attributed to the change in tract classification;</w:t>
      </w:r>
    </w:p>
    <w:p w:rsidR="002F07DC" w:rsidRDefault="002F07DC" w:rsidP="00FA6151">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percentage of families below the poverty level increased from 3.8 percent to 4.0 percent.</w:t>
      </w:r>
    </w:p>
    <w:p w:rsidR="00FA6151" w:rsidRDefault="00FA6151">
      <w:pPr>
        <w:rPr>
          <w:rFonts w:ascii="Times New Roman" w:hAnsi="Times New Roman" w:cs="Times New Roman"/>
          <w:sz w:val="24"/>
          <w:szCs w:val="24"/>
        </w:rPr>
      </w:pPr>
      <w:r>
        <w:rPr>
          <w:rFonts w:ascii="Times New Roman" w:hAnsi="Times New Roman" w:cs="Times New Roman"/>
          <w:sz w:val="24"/>
          <w:szCs w:val="24"/>
        </w:rPr>
        <w:br w:type="page"/>
      </w:r>
    </w:p>
    <w:p w:rsidR="002F07DC" w:rsidRDefault="002F07DC" w:rsidP="00FA61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Demographic information for the assessment area </w:t>
      </w:r>
      <w:proofErr w:type="gramStart"/>
      <w:r>
        <w:rPr>
          <w:rFonts w:ascii="Times New Roman" w:hAnsi="Times New Roman" w:cs="Times New Roman"/>
          <w:sz w:val="24"/>
          <w:szCs w:val="24"/>
        </w:rPr>
        <w:t>is displayed</w:t>
      </w:r>
      <w:proofErr w:type="gramEnd"/>
      <w:r>
        <w:rPr>
          <w:rFonts w:ascii="Times New Roman" w:hAnsi="Times New Roman" w:cs="Times New Roman"/>
          <w:sz w:val="24"/>
          <w:szCs w:val="24"/>
        </w:rPr>
        <w:t xml:space="preserve"> in the chart below.</w:t>
      </w:r>
    </w:p>
    <w:p w:rsidR="00FA6151" w:rsidRDefault="00FA6151" w:rsidP="00FA6151">
      <w:pPr>
        <w:spacing w:after="0" w:line="240" w:lineRule="auto"/>
        <w:jc w:val="both"/>
        <w:rPr>
          <w:rFonts w:ascii="Times New Roman" w:hAnsi="Times New Roman" w:cs="Times New Roman"/>
          <w:sz w:val="24"/>
          <w:szCs w:val="24"/>
        </w:rPr>
      </w:pPr>
    </w:p>
    <w:tbl>
      <w:tblPr>
        <w:tblW w:w="9582" w:type="dxa"/>
        <w:tblCellMar>
          <w:left w:w="0" w:type="dxa"/>
          <w:right w:w="0" w:type="dxa"/>
        </w:tblCellMar>
        <w:tblLook w:val="0000" w:firstRow="0" w:lastRow="0" w:firstColumn="0" w:lastColumn="0" w:noHBand="0" w:noVBand="0"/>
      </w:tblPr>
      <w:tblGrid>
        <w:gridCol w:w="3284"/>
        <w:gridCol w:w="993"/>
        <w:gridCol w:w="1016"/>
        <w:gridCol w:w="1127"/>
        <w:gridCol w:w="1042"/>
        <w:gridCol w:w="1015"/>
        <w:gridCol w:w="1105"/>
      </w:tblGrid>
      <w:tr w:rsidR="002F07DC" w:rsidTr="00FA6151">
        <w:trPr>
          <w:trHeight w:val="175"/>
        </w:trPr>
        <w:tc>
          <w:tcPr>
            <w:tcW w:w="9582" w:type="dxa"/>
            <w:gridSpan w:val="7"/>
            <w:tcBorders>
              <w:top w:val="single" w:sz="7" w:space="0" w:color="000000"/>
              <w:left w:val="single" w:sz="7" w:space="0" w:color="000000"/>
              <w:right w:val="single" w:sz="7" w:space="0" w:color="000000"/>
            </w:tcBorders>
            <w:tcMar>
              <w:top w:w="39" w:type="dxa"/>
              <w:left w:w="39" w:type="dxa"/>
              <w:bottom w:w="39" w:type="dxa"/>
              <w:right w:w="39" w:type="dxa"/>
            </w:tcMar>
          </w:tcPr>
          <w:p w:rsidR="002F07DC" w:rsidRDefault="002F07DC" w:rsidP="00FA6151">
            <w:pPr>
              <w:spacing w:after="0" w:line="240" w:lineRule="auto"/>
              <w:jc w:val="center"/>
            </w:pPr>
            <w:r>
              <w:rPr>
                <w:rFonts w:ascii="Times New Roman" w:eastAsia="Times New Roman" w:hAnsi="Times New Roman"/>
                <w:b/>
                <w:color w:val="000000"/>
                <w:sz w:val="20"/>
              </w:rPr>
              <w:t>Demographic Information of the Assessment Area</w:t>
            </w:r>
          </w:p>
        </w:tc>
      </w:tr>
      <w:tr w:rsidR="002F07DC" w:rsidTr="00FA6151">
        <w:trPr>
          <w:trHeight w:val="265"/>
        </w:trPr>
        <w:tc>
          <w:tcPr>
            <w:tcW w:w="32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F07DC" w:rsidRDefault="002F07DC" w:rsidP="00FA6151">
            <w:pPr>
              <w:spacing w:after="0" w:line="240" w:lineRule="auto"/>
            </w:pPr>
            <w:r>
              <w:rPr>
                <w:rFonts w:ascii="Times New Roman" w:eastAsia="Times New Roman" w:hAnsi="Times New Roman"/>
                <w:b/>
                <w:color w:val="000000"/>
                <w:sz w:val="20"/>
              </w:rPr>
              <w:t>Demographic Characteristics</w:t>
            </w:r>
          </w:p>
        </w:tc>
        <w:tc>
          <w:tcPr>
            <w:tcW w:w="9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F07DC" w:rsidRDefault="002F07DC" w:rsidP="00FA6151">
            <w:pPr>
              <w:spacing w:after="0" w:line="240" w:lineRule="auto"/>
              <w:jc w:val="center"/>
            </w:pPr>
            <w:r>
              <w:rPr>
                <w:rFonts w:ascii="Times New Roman" w:eastAsia="Times New Roman" w:hAnsi="Times New Roman"/>
                <w:b/>
                <w:color w:val="000000"/>
                <w:sz w:val="20"/>
              </w:rPr>
              <w:t>#</w:t>
            </w:r>
          </w:p>
        </w:tc>
        <w:tc>
          <w:tcPr>
            <w:tcW w:w="10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F07DC" w:rsidRDefault="002F07DC" w:rsidP="00FA6151">
            <w:pPr>
              <w:spacing w:after="0" w:line="240" w:lineRule="auto"/>
              <w:jc w:val="center"/>
            </w:pPr>
            <w:r>
              <w:rPr>
                <w:rFonts w:ascii="Times New Roman" w:eastAsia="Times New Roman" w:hAnsi="Times New Roman"/>
                <w:b/>
                <w:color w:val="000000"/>
                <w:sz w:val="20"/>
              </w:rPr>
              <w:t>Low</w:t>
            </w:r>
            <w:r>
              <w:rPr>
                <w:rFonts w:ascii="Times New Roman" w:eastAsia="Times New Roman" w:hAnsi="Times New Roman"/>
                <w:b/>
                <w:color w:val="000000"/>
                <w:sz w:val="20"/>
              </w:rPr>
              <w:br/>
              <w:t xml:space="preserve"> % of #</w:t>
            </w:r>
          </w:p>
        </w:tc>
        <w:tc>
          <w:tcPr>
            <w:tcW w:w="11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F07DC" w:rsidRDefault="002F07DC" w:rsidP="00FA6151">
            <w:pPr>
              <w:spacing w:after="0" w:line="240" w:lineRule="auto"/>
              <w:jc w:val="center"/>
            </w:pPr>
            <w:r>
              <w:rPr>
                <w:rFonts w:ascii="Times New Roman" w:eastAsia="Times New Roman" w:hAnsi="Times New Roman"/>
                <w:b/>
                <w:color w:val="000000"/>
                <w:sz w:val="20"/>
              </w:rPr>
              <w:t>Moderate</w:t>
            </w:r>
            <w:r>
              <w:rPr>
                <w:rFonts w:ascii="Times New Roman" w:eastAsia="Times New Roman" w:hAnsi="Times New Roman"/>
                <w:b/>
                <w:color w:val="000000"/>
                <w:sz w:val="20"/>
              </w:rPr>
              <w:br/>
              <w:t xml:space="preserve"> % of #</w:t>
            </w:r>
          </w:p>
        </w:tc>
        <w:tc>
          <w:tcPr>
            <w:tcW w:w="10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F07DC" w:rsidRDefault="002F07DC" w:rsidP="00FA6151">
            <w:pPr>
              <w:spacing w:after="0" w:line="240" w:lineRule="auto"/>
              <w:jc w:val="center"/>
            </w:pPr>
            <w:r>
              <w:rPr>
                <w:rFonts w:ascii="Times New Roman" w:eastAsia="Times New Roman" w:hAnsi="Times New Roman"/>
                <w:b/>
                <w:color w:val="000000"/>
                <w:sz w:val="20"/>
              </w:rPr>
              <w:t>Middle</w:t>
            </w:r>
            <w:r>
              <w:rPr>
                <w:rFonts w:ascii="Times New Roman" w:eastAsia="Times New Roman" w:hAnsi="Times New Roman"/>
                <w:b/>
                <w:color w:val="000000"/>
                <w:sz w:val="20"/>
              </w:rPr>
              <w:br/>
              <w:t xml:space="preserve"> % of #</w:t>
            </w:r>
          </w:p>
        </w:tc>
        <w:tc>
          <w:tcPr>
            <w:tcW w:w="10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F07DC" w:rsidRDefault="002F07DC" w:rsidP="00FA6151">
            <w:pPr>
              <w:spacing w:after="0" w:line="240" w:lineRule="auto"/>
              <w:jc w:val="center"/>
            </w:pPr>
            <w:r>
              <w:rPr>
                <w:rFonts w:ascii="Times New Roman" w:eastAsia="Times New Roman" w:hAnsi="Times New Roman"/>
                <w:b/>
                <w:color w:val="000000"/>
                <w:sz w:val="20"/>
              </w:rPr>
              <w:t>Upper</w:t>
            </w:r>
            <w:r>
              <w:rPr>
                <w:rFonts w:ascii="Times New Roman" w:eastAsia="Times New Roman" w:hAnsi="Times New Roman"/>
                <w:b/>
                <w:color w:val="000000"/>
                <w:sz w:val="20"/>
              </w:rPr>
              <w:br/>
              <w:t>% of #</w:t>
            </w:r>
          </w:p>
        </w:tc>
        <w:tc>
          <w:tcPr>
            <w:tcW w:w="11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F07DC" w:rsidRDefault="002F07DC" w:rsidP="00FA6151">
            <w:pPr>
              <w:spacing w:after="0" w:line="240" w:lineRule="auto"/>
              <w:jc w:val="center"/>
            </w:pPr>
            <w:r>
              <w:rPr>
                <w:rFonts w:ascii="Times New Roman" w:eastAsia="Times New Roman" w:hAnsi="Times New Roman"/>
                <w:b/>
                <w:color w:val="000000"/>
                <w:sz w:val="20"/>
              </w:rPr>
              <w:t xml:space="preserve">NA* </w:t>
            </w:r>
            <w:r>
              <w:rPr>
                <w:rFonts w:ascii="Times New Roman" w:eastAsia="Times New Roman" w:hAnsi="Times New Roman"/>
                <w:b/>
                <w:color w:val="000000"/>
                <w:sz w:val="20"/>
              </w:rPr>
              <w:br/>
              <w:t>% of #</w:t>
            </w:r>
          </w:p>
        </w:tc>
      </w:tr>
      <w:tr w:rsidR="002F07DC" w:rsidTr="00FA6151">
        <w:trPr>
          <w:trHeight w:val="117"/>
        </w:trPr>
        <w:tc>
          <w:tcPr>
            <w:tcW w:w="3284"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tcPr>
          <w:p w:rsidR="002F07DC" w:rsidRDefault="002F07DC" w:rsidP="00FA6151">
            <w:pPr>
              <w:spacing w:after="0" w:line="240" w:lineRule="auto"/>
            </w:pPr>
            <w:r>
              <w:rPr>
                <w:rFonts w:ascii="Times New Roman" w:eastAsia="Times New Roman" w:hAnsi="Times New Roman"/>
                <w:color w:val="000000"/>
                <w:sz w:val="20"/>
              </w:rPr>
              <w:t>Geographies (Census Tracts)</w:t>
            </w:r>
          </w:p>
        </w:tc>
        <w:tc>
          <w:tcPr>
            <w:tcW w:w="9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Default="002F07DC" w:rsidP="00FA6151">
            <w:pPr>
              <w:spacing w:after="0" w:line="240" w:lineRule="auto"/>
              <w:jc w:val="right"/>
            </w:pPr>
            <w:r>
              <w:rPr>
                <w:rFonts w:ascii="Times New Roman" w:eastAsia="Times New Roman" w:hAnsi="Times New Roman"/>
                <w:color w:val="000000"/>
                <w:sz w:val="20"/>
              </w:rPr>
              <w:t>59</w:t>
            </w:r>
          </w:p>
        </w:tc>
        <w:tc>
          <w:tcPr>
            <w:tcW w:w="10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Default="002F07DC" w:rsidP="00FA6151">
            <w:pPr>
              <w:spacing w:after="0" w:line="240" w:lineRule="auto"/>
              <w:jc w:val="right"/>
            </w:pPr>
            <w:r>
              <w:rPr>
                <w:rFonts w:ascii="Times New Roman" w:eastAsia="Times New Roman" w:hAnsi="Times New Roman"/>
                <w:color w:val="000000"/>
                <w:sz w:val="20"/>
              </w:rPr>
              <w:t>0.0</w:t>
            </w:r>
          </w:p>
        </w:tc>
        <w:tc>
          <w:tcPr>
            <w:tcW w:w="11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Default="002F07DC" w:rsidP="00FA6151">
            <w:pPr>
              <w:spacing w:after="0" w:line="240" w:lineRule="auto"/>
              <w:jc w:val="right"/>
            </w:pPr>
            <w:r>
              <w:rPr>
                <w:rFonts w:ascii="Times New Roman" w:eastAsia="Times New Roman" w:hAnsi="Times New Roman"/>
                <w:color w:val="000000"/>
                <w:sz w:val="20"/>
              </w:rPr>
              <w:t>5.1</w:t>
            </w:r>
          </w:p>
        </w:tc>
        <w:tc>
          <w:tcPr>
            <w:tcW w:w="10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Default="002F07DC" w:rsidP="00FA6151">
            <w:pPr>
              <w:spacing w:after="0" w:line="240" w:lineRule="auto"/>
              <w:jc w:val="right"/>
            </w:pPr>
            <w:r>
              <w:rPr>
                <w:rFonts w:ascii="Times New Roman" w:eastAsia="Times New Roman" w:hAnsi="Times New Roman"/>
                <w:color w:val="000000"/>
                <w:sz w:val="20"/>
              </w:rPr>
              <w:t>35.6</w:t>
            </w:r>
          </w:p>
        </w:tc>
        <w:tc>
          <w:tcPr>
            <w:tcW w:w="10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Default="002F07DC" w:rsidP="00FA6151">
            <w:pPr>
              <w:spacing w:after="0" w:line="240" w:lineRule="auto"/>
              <w:jc w:val="right"/>
            </w:pPr>
            <w:r>
              <w:rPr>
                <w:rFonts w:ascii="Times New Roman" w:eastAsia="Times New Roman" w:hAnsi="Times New Roman"/>
                <w:color w:val="000000"/>
                <w:sz w:val="20"/>
              </w:rPr>
              <w:t>59.3</w:t>
            </w:r>
          </w:p>
        </w:tc>
        <w:tc>
          <w:tcPr>
            <w:tcW w:w="11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Default="002F07DC" w:rsidP="00FA6151">
            <w:pPr>
              <w:spacing w:after="0" w:line="240" w:lineRule="auto"/>
              <w:jc w:val="right"/>
            </w:pPr>
            <w:r>
              <w:rPr>
                <w:rFonts w:ascii="Times New Roman" w:eastAsia="Times New Roman" w:hAnsi="Times New Roman"/>
                <w:color w:val="000000"/>
                <w:sz w:val="20"/>
              </w:rPr>
              <w:t>0.0</w:t>
            </w:r>
          </w:p>
        </w:tc>
      </w:tr>
      <w:tr w:rsidR="002F07DC" w:rsidTr="00FA6151">
        <w:trPr>
          <w:trHeight w:val="117"/>
        </w:trPr>
        <w:tc>
          <w:tcPr>
            <w:tcW w:w="3284"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tcPr>
          <w:p w:rsidR="002F07DC" w:rsidRDefault="002F07DC" w:rsidP="00FA6151">
            <w:pPr>
              <w:spacing w:after="0" w:line="240" w:lineRule="auto"/>
            </w:pPr>
            <w:r>
              <w:rPr>
                <w:rFonts w:ascii="Times New Roman" w:eastAsia="Times New Roman" w:hAnsi="Times New Roman"/>
                <w:color w:val="000000"/>
                <w:sz w:val="20"/>
              </w:rPr>
              <w:t>Population by Geography</w:t>
            </w:r>
          </w:p>
        </w:tc>
        <w:tc>
          <w:tcPr>
            <w:tcW w:w="9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Default="002F07DC" w:rsidP="00FA6151">
            <w:pPr>
              <w:spacing w:after="0" w:line="240" w:lineRule="auto"/>
              <w:jc w:val="right"/>
            </w:pPr>
            <w:r>
              <w:rPr>
                <w:rFonts w:ascii="Times New Roman" w:eastAsia="Times New Roman" w:hAnsi="Times New Roman"/>
                <w:color w:val="000000"/>
                <w:sz w:val="20"/>
              </w:rPr>
              <w:t>285,628</w:t>
            </w:r>
          </w:p>
        </w:tc>
        <w:tc>
          <w:tcPr>
            <w:tcW w:w="10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Default="002F07DC" w:rsidP="00FA6151">
            <w:pPr>
              <w:spacing w:after="0" w:line="240" w:lineRule="auto"/>
              <w:jc w:val="right"/>
            </w:pPr>
            <w:r>
              <w:rPr>
                <w:rFonts w:ascii="Times New Roman" w:eastAsia="Times New Roman" w:hAnsi="Times New Roman"/>
                <w:color w:val="000000"/>
                <w:sz w:val="20"/>
              </w:rPr>
              <w:t>0.0</w:t>
            </w:r>
          </w:p>
        </w:tc>
        <w:tc>
          <w:tcPr>
            <w:tcW w:w="11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Default="002F07DC" w:rsidP="00FA6151">
            <w:pPr>
              <w:spacing w:after="0" w:line="240" w:lineRule="auto"/>
              <w:jc w:val="right"/>
            </w:pPr>
            <w:r>
              <w:rPr>
                <w:rFonts w:ascii="Times New Roman" w:eastAsia="Times New Roman" w:hAnsi="Times New Roman"/>
                <w:color w:val="000000"/>
                <w:sz w:val="20"/>
              </w:rPr>
              <w:t>3.4</w:t>
            </w:r>
          </w:p>
        </w:tc>
        <w:tc>
          <w:tcPr>
            <w:tcW w:w="10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Default="002F07DC" w:rsidP="00FA6151">
            <w:pPr>
              <w:spacing w:after="0" w:line="240" w:lineRule="auto"/>
              <w:jc w:val="right"/>
            </w:pPr>
            <w:r>
              <w:rPr>
                <w:rFonts w:ascii="Times New Roman" w:eastAsia="Times New Roman" w:hAnsi="Times New Roman"/>
                <w:color w:val="000000"/>
                <w:sz w:val="20"/>
              </w:rPr>
              <w:t>38.3</w:t>
            </w:r>
          </w:p>
        </w:tc>
        <w:tc>
          <w:tcPr>
            <w:tcW w:w="10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Default="002F07DC" w:rsidP="00FA6151">
            <w:pPr>
              <w:spacing w:after="0" w:line="240" w:lineRule="auto"/>
              <w:jc w:val="right"/>
            </w:pPr>
            <w:r>
              <w:rPr>
                <w:rFonts w:ascii="Times New Roman" w:eastAsia="Times New Roman" w:hAnsi="Times New Roman"/>
                <w:color w:val="000000"/>
                <w:sz w:val="20"/>
              </w:rPr>
              <w:t>58.3</w:t>
            </w:r>
          </w:p>
        </w:tc>
        <w:tc>
          <w:tcPr>
            <w:tcW w:w="11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Default="002F07DC" w:rsidP="00FA6151">
            <w:pPr>
              <w:spacing w:after="0" w:line="240" w:lineRule="auto"/>
              <w:jc w:val="right"/>
            </w:pPr>
            <w:r>
              <w:rPr>
                <w:rFonts w:ascii="Times New Roman" w:eastAsia="Times New Roman" w:hAnsi="Times New Roman"/>
                <w:color w:val="000000"/>
                <w:sz w:val="20"/>
              </w:rPr>
              <w:t>0.0</w:t>
            </w:r>
          </w:p>
        </w:tc>
      </w:tr>
      <w:tr w:rsidR="002F07DC" w:rsidTr="00FA6151">
        <w:trPr>
          <w:trHeight w:val="117"/>
        </w:trPr>
        <w:tc>
          <w:tcPr>
            <w:tcW w:w="3284"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tcPr>
          <w:p w:rsidR="002F07DC" w:rsidRDefault="002F07DC" w:rsidP="00FA6151">
            <w:pPr>
              <w:spacing w:after="0" w:line="240" w:lineRule="auto"/>
            </w:pPr>
            <w:r>
              <w:rPr>
                <w:rFonts w:ascii="Times New Roman" w:eastAsia="Times New Roman" w:hAnsi="Times New Roman"/>
                <w:color w:val="000000"/>
                <w:sz w:val="20"/>
              </w:rPr>
              <w:t>Housing Units by Geography</w:t>
            </w:r>
          </w:p>
        </w:tc>
        <w:tc>
          <w:tcPr>
            <w:tcW w:w="9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Default="002F07DC" w:rsidP="00FA6151">
            <w:pPr>
              <w:spacing w:after="0" w:line="240" w:lineRule="auto"/>
              <w:jc w:val="right"/>
            </w:pPr>
            <w:r>
              <w:rPr>
                <w:rFonts w:ascii="Times New Roman" w:eastAsia="Times New Roman" w:hAnsi="Times New Roman"/>
                <w:color w:val="000000"/>
                <w:sz w:val="20"/>
              </w:rPr>
              <w:t>115,557</w:t>
            </w:r>
          </w:p>
        </w:tc>
        <w:tc>
          <w:tcPr>
            <w:tcW w:w="10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Default="002F07DC" w:rsidP="00FA6151">
            <w:pPr>
              <w:spacing w:after="0" w:line="240" w:lineRule="auto"/>
              <w:jc w:val="right"/>
            </w:pPr>
            <w:r>
              <w:rPr>
                <w:rFonts w:ascii="Times New Roman" w:eastAsia="Times New Roman" w:hAnsi="Times New Roman"/>
                <w:color w:val="000000"/>
                <w:sz w:val="20"/>
              </w:rPr>
              <w:t>0.0</w:t>
            </w:r>
          </w:p>
        </w:tc>
        <w:tc>
          <w:tcPr>
            <w:tcW w:w="11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Default="002F07DC" w:rsidP="00FA6151">
            <w:pPr>
              <w:spacing w:after="0" w:line="240" w:lineRule="auto"/>
              <w:jc w:val="right"/>
            </w:pPr>
            <w:r>
              <w:rPr>
                <w:rFonts w:ascii="Times New Roman" w:eastAsia="Times New Roman" w:hAnsi="Times New Roman"/>
                <w:color w:val="000000"/>
                <w:sz w:val="20"/>
              </w:rPr>
              <w:t>4.0</w:t>
            </w:r>
          </w:p>
        </w:tc>
        <w:tc>
          <w:tcPr>
            <w:tcW w:w="10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Default="002F07DC" w:rsidP="00FA6151">
            <w:pPr>
              <w:spacing w:after="0" w:line="240" w:lineRule="auto"/>
              <w:jc w:val="right"/>
            </w:pPr>
            <w:r>
              <w:rPr>
                <w:rFonts w:ascii="Times New Roman" w:eastAsia="Times New Roman" w:hAnsi="Times New Roman"/>
                <w:color w:val="000000"/>
                <w:sz w:val="20"/>
              </w:rPr>
              <w:t>40.7</w:t>
            </w:r>
          </w:p>
        </w:tc>
        <w:tc>
          <w:tcPr>
            <w:tcW w:w="10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Default="002F07DC" w:rsidP="00FA6151">
            <w:pPr>
              <w:spacing w:after="0" w:line="240" w:lineRule="auto"/>
              <w:jc w:val="right"/>
            </w:pPr>
            <w:r>
              <w:rPr>
                <w:rFonts w:ascii="Times New Roman" w:eastAsia="Times New Roman" w:hAnsi="Times New Roman"/>
                <w:color w:val="000000"/>
                <w:sz w:val="20"/>
              </w:rPr>
              <w:t>55.4</w:t>
            </w:r>
          </w:p>
        </w:tc>
        <w:tc>
          <w:tcPr>
            <w:tcW w:w="11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Default="002F07DC" w:rsidP="00FA6151">
            <w:pPr>
              <w:spacing w:after="0" w:line="240" w:lineRule="auto"/>
              <w:jc w:val="right"/>
            </w:pPr>
            <w:r>
              <w:rPr>
                <w:rFonts w:ascii="Times New Roman" w:eastAsia="Times New Roman" w:hAnsi="Times New Roman"/>
                <w:color w:val="000000"/>
                <w:sz w:val="20"/>
              </w:rPr>
              <w:t>0.0</w:t>
            </w:r>
          </w:p>
        </w:tc>
      </w:tr>
      <w:tr w:rsidR="002F07DC" w:rsidTr="00FA6151">
        <w:trPr>
          <w:trHeight w:val="117"/>
        </w:trPr>
        <w:tc>
          <w:tcPr>
            <w:tcW w:w="3284"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tcPr>
          <w:p w:rsidR="002F07DC" w:rsidRDefault="002F07DC" w:rsidP="00FA6151">
            <w:pPr>
              <w:spacing w:after="0" w:line="240" w:lineRule="auto"/>
            </w:pPr>
            <w:r>
              <w:rPr>
                <w:rFonts w:ascii="Times New Roman" w:eastAsia="Times New Roman" w:hAnsi="Times New Roman"/>
                <w:color w:val="000000"/>
                <w:sz w:val="20"/>
              </w:rPr>
              <w:t>Owner-Occupied Units by Geography</w:t>
            </w:r>
          </w:p>
        </w:tc>
        <w:tc>
          <w:tcPr>
            <w:tcW w:w="9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Default="002F07DC" w:rsidP="00FA6151">
            <w:pPr>
              <w:spacing w:after="0" w:line="240" w:lineRule="auto"/>
              <w:jc w:val="right"/>
            </w:pPr>
            <w:r>
              <w:rPr>
                <w:rFonts w:ascii="Times New Roman" w:eastAsia="Times New Roman" w:hAnsi="Times New Roman"/>
                <w:color w:val="000000"/>
                <w:sz w:val="20"/>
              </w:rPr>
              <w:t>68,009</w:t>
            </w:r>
          </w:p>
        </w:tc>
        <w:tc>
          <w:tcPr>
            <w:tcW w:w="10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Default="002F07DC" w:rsidP="00FA6151">
            <w:pPr>
              <w:spacing w:after="0" w:line="240" w:lineRule="auto"/>
              <w:jc w:val="right"/>
            </w:pPr>
            <w:r>
              <w:rPr>
                <w:rFonts w:ascii="Times New Roman" w:eastAsia="Times New Roman" w:hAnsi="Times New Roman"/>
                <w:color w:val="000000"/>
                <w:sz w:val="20"/>
              </w:rPr>
              <w:t>0.0</w:t>
            </w:r>
          </w:p>
        </w:tc>
        <w:tc>
          <w:tcPr>
            <w:tcW w:w="11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Default="002F07DC" w:rsidP="00FA6151">
            <w:pPr>
              <w:spacing w:after="0" w:line="240" w:lineRule="auto"/>
              <w:jc w:val="right"/>
            </w:pPr>
            <w:r>
              <w:rPr>
                <w:rFonts w:ascii="Times New Roman" w:eastAsia="Times New Roman" w:hAnsi="Times New Roman"/>
                <w:color w:val="000000"/>
                <w:sz w:val="20"/>
              </w:rPr>
              <w:t>1.1</w:t>
            </w:r>
          </w:p>
        </w:tc>
        <w:tc>
          <w:tcPr>
            <w:tcW w:w="10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Default="002F07DC" w:rsidP="00FA6151">
            <w:pPr>
              <w:spacing w:after="0" w:line="240" w:lineRule="auto"/>
              <w:jc w:val="right"/>
            </w:pPr>
            <w:r>
              <w:rPr>
                <w:rFonts w:ascii="Times New Roman" w:eastAsia="Times New Roman" w:hAnsi="Times New Roman"/>
                <w:color w:val="000000"/>
                <w:sz w:val="20"/>
              </w:rPr>
              <w:t>34.0</w:t>
            </w:r>
          </w:p>
        </w:tc>
        <w:tc>
          <w:tcPr>
            <w:tcW w:w="10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Default="002F07DC" w:rsidP="00FA6151">
            <w:pPr>
              <w:spacing w:after="0" w:line="240" w:lineRule="auto"/>
              <w:jc w:val="right"/>
            </w:pPr>
            <w:r>
              <w:rPr>
                <w:rFonts w:ascii="Times New Roman" w:eastAsia="Times New Roman" w:hAnsi="Times New Roman"/>
                <w:color w:val="000000"/>
                <w:sz w:val="20"/>
              </w:rPr>
              <w:t>64.9</w:t>
            </w:r>
          </w:p>
        </w:tc>
        <w:tc>
          <w:tcPr>
            <w:tcW w:w="11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Default="002F07DC" w:rsidP="00FA6151">
            <w:pPr>
              <w:spacing w:after="0" w:line="240" w:lineRule="auto"/>
              <w:jc w:val="right"/>
            </w:pPr>
            <w:r>
              <w:rPr>
                <w:rFonts w:ascii="Times New Roman" w:eastAsia="Times New Roman" w:hAnsi="Times New Roman"/>
                <w:color w:val="000000"/>
                <w:sz w:val="20"/>
              </w:rPr>
              <w:t>0.0</w:t>
            </w:r>
          </w:p>
        </w:tc>
      </w:tr>
      <w:tr w:rsidR="002F07DC" w:rsidTr="00FA6151">
        <w:trPr>
          <w:trHeight w:val="117"/>
        </w:trPr>
        <w:tc>
          <w:tcPr>
            <w:tcW w:w="3284"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tcPr>
          <w:p w:rsidR="002F07DC" w:rsidRDefault="002F07DC" w:rsidP="00FA6151">
            <w:pPr>
              <w:spacing w:after="0" w:line="240" w:lineRule="auto"/>
            </w:pPr>
            <w:r>
              <w:rPr>
                <w:rFonts w:ascii="Times New Roman" w:eastAsia="Times New Roman" w:hAnsi="Times New Roman"/>
                <w:color w:val="000000"/>
                <w:sz w:val="20"/>
              </w:rPr>
              <w:t>Occupied Rental Units by Geography</w:t>
            </w:r>
          </w:p>
        </w:tc>
        <w:tc>
          <w:tcPr>
            <w:tcW w:w="9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Default="002F07DC" w:rsidP="00FA6151">
            <w:pPr>
              <w:spacing w:after="0" w:line="240" w:lineRule="auto"/>
              <w:jc w:val="right"/>
            </w:pPr>
            <w:r>
              <w:rPr>
                <w:rFonts w:ascii="Times New Roman" w:eastAsia="Times New Roman" w:hAnsi="Times New Roman"/>
                <w:color w:val="000000"/>
                <w:sz w:val="20"/>
              </w:rPr>
              <w:t>41,351</w:t>
            </w:r>
          </w:p>
        </w:tc>
        <w:tc>
          <w:tcPr>
            <w:tcW w:w="10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Default="002F07DC" w:rsidP="00FA6151">
            <w:pPr>
              <w:spacing w:after="0" w:line="240" w:lineRule="auto"/>
              <w:jc w:val="right"/>
            </w:pPr>
            <w:r>
              <w:rPr>
                <w:rFonts w:ascii="Times New Roman" w:eastAsia="Times New Roman" w:hAnsi="Times New Roman"/>
                <w:color w:val="000000"/>
                <w:sz w:val="20"/>
              </w:rPr>
              <w:t>0.0</w:t>
            </w:r>
          </w:p>
        </w:tc>
        <w:tc>
          <w:tcPr>
            <w:tcW w:w="11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Default="002F07DC" w:rsidP="00FA6151">
            <w:pPr>
              <w:spacing w:after="0" w:line="240" w:lineRule="auto"/>
              <w:jc w:val="right"/>
            </w:pPr>
            <w:r>
              <w:rPr>
                <w:rFonts w:ascii="Times New Roman" w:eastAsia="Times New Roman" w:hAnsi="Times New Roman"/>
                <w:color w:val="000000"/>
                <w:sz w:val="20"/>
              </w:rPr>
              <w:t>8.1</w:t>
            </w:r>
          </w:p>
        </w:tc>
        <w:tc>
          <w:tcPr>
            <w:tcW w:w="10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Default="002F07DC" w:rsidP="00FA6151">
            <w:pPr>
              <w:spacing w:after="0" w:line="240" w:lineRule="auto"/>
              <w:jc w:val="right"/>
            </w:pPr>
            <w:r>
              <w:rPr>
                <w:rFonts w:ascii="Times New Roman" w:eastAsia="Times New Roman" w:hAnsi="Times New Roman"/>
                <w:color w:val="000000"/>
                <w:sz w:val="20"/>
              </w:rPr>
              <w:t>51.5</w:t>
            </w:r>
          </w:p>
        </w:tc>
        <w:tc>
          <w:tcPr>
            <w:tcW w:w="10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Default="002F07DC" w:rsidP="00FA6151">
            <w:pPr>
              <w:spacing w:after="0" w:line="240" w:lineRule="auto"/>
              <w:jc w:val="right"/>
            </w:pPr>
            <w:r>
              <w:rPr>
                <w:rFonts w:ascii="Times New Roman" w:eastAsia="Times New Roman" w:hAnsi="Times New Roman"/>
                <w:color w:val="000000"/>
                <w:sz w:val="20"/>
              </w:rPr>
              <w:t>40.4</w:t>
            </w:r>
          </w:p>
        </w:tc>
        <w:tc>
          <w:tcPr>
            <w:tcW w:w="11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Default="002F07DC" w:rsidP="00FA6151">
            <w:pPr>
              <w:spacing w:after="0" w:line="240" w:lineRule="auto"/>
              <w:jc w:val="right"/>
            </w:pPr>
            <w:r>
              <w:rPr>
                <w:rFonts w:ascii="Times New Roman" w:eastAsia="Times New Roman" w:hAnsi="Times New Roman"/>
                <w:color w:val="000000"/>
                <w:sz w:val="20"/>
              </w:rPr>
              <w:t>0.0</w:t>
            </w:r>
          </w:p>
        </w:tc>
      </w:tr>
      <w:tr w:rsidR="002F07DC" w:rsidTr="00FA6151">
        <w:trPr>
          <w:trHeight w:val="117"/>
        </w:trPr>
        <w:tc>
          <w:tcPr>
            <w:tcW w:w="3284"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tcPr>
          <w:p w:rsidR="002F07DC" w:rsidRDefault="002F07DC" w:rsidP="00FA6151">
            <w:pPr>
              <w:spacing w:after="0" w:line="240" w:lineRule="auto"/>
            </w:pPr>
            <w:r>
              <w:rPr>
                <w:rFonts w:ascii="Times New Roman" w:eastAsia="Times New Roman" w:hAnsi="Times New Roman"/>
                <w:color w:val="000000"/>
                <w:sz w:val="20"/>
              </w:rPr>
              <w:t>Vacant Units by Geography</w:t>
            </w:r>
          </w:p>
        </w:tc>
        <w:tc>
          <w:tcPr>
            <w:tcW w:w="9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Default="002F07DC" w:rsidP="00FA6151">
            <w:pPr>
              <w:spacing w:after="0" w:line="240" w:lineRule="auto"/>
              <w:jc w:val="right"/>
            </w:pPr>
            <w:r>
              <w:rPr>
                <w:rFonts w:ascii="Times New Roman" w:eastAsia="Times New Roman" w:hAnsi="Times New Roman"/>
                <w:color w:val="000000"/>
                <w:sz w:val="20"/>
              </w:rPr>
              <w:t>6,197</w:t>
            </w:r>
          </w:p>
        </w:tc>
        <w:tc>
          <w:tcPr>
            <w:tcW w:w="10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Default="002F07DC" w:rsidP="00FA6151">
            <w:pPr>
              <w:spacing w:after="0" w:line="240" w:lineRule="auto"/>
              <w:jc w:val="right"/>
            </w:pPr>
            <w:r>
              <w:rPr>
                <w:rFonts w:ascii="Times New Roman" w:eastAsia="Times New Roman" w:hAnsi="Times New Roman"/>
                <w:color w:val="000000"/>
                <w:sz w:val="20"/>
              </w:rPr>
              <w:t>0.0</w:t>
            </w:r>
          </w:p>
        </w:tc>
        <w:tc>
          <w:tcPr>
            <w:tcW w:w="11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Default="002F07DC" w:rsidP="00FA6151">
            <w:pPr>
              <w:spacing w:after="0" w:line="240" w:lineRule="auto"/>
              <w:jc w:val="right"/>
            </w:pPr>
            <w:r>
              <w:rPr>
                <w:rFonts w:ascii="Times New Roman" w:eastAsia="Times New Roman" w:hAnsi="Times New Roman"/>
                <w:color w:val="000000"/>
                <w:sz w:val="20"/>
              </w:rPr>
              <w:t>7.8</w:t>
            </w:r>
          </w:p>
        </w:tc>
        <w:tc>
          <w:tcPr>
            <w:tcW w:w="10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Default="002F07DC" w:rsidP="00FA6151">
            <w:pPr>
              <w:spacing w:after="0" w:line="240" w:lineRule="auto"/>
              <w:jc w:val="right"/>
            </w:pPr>
            <w:r>
              <w:rPr>
                <w:rFonts w:ascii="Times New Roman" w:eastAsia="Times New Roman" w:hAnsi="Times New Roman"/>
                <w:color w:val="000000"/>
                <w:sz w:val="20"/>
              </w:rPr>
              <w:t>41.9</w:t>
            </w:r>
          </w:p>
        </w:tc>
        <w:tc>
          <w:tcPr>
            <w:tcW w:w="10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Default="002F07DC" w:rsidP="00FA6151">
            <w:pPr>
              <w:spacing w:after="0" w:line="240" w:lineRule="auto"/>
              <w:jc w:val="right"/>
            </w:pPr>
            <w:r>
              <w:rPr>
                <w:rFonts w:ascii="Times New Roman" w:eastAsia="Times New Roman" w:hAnsi="Times New Roman"/>
                <w:color w:val="000000"/>
                <w:sz w:val="20"/>
              </w:rPr>
              <w:t>50.3</w:t>
            </w:r>
          </w:p>
        </w:tc>
        <w:tc>
          <w:tcPr>
            <w:tcW w:w="11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Default="002F07DC" w:rsidP="00FA6151">
            <w:pPr>
              <w:spacing w:after="0" w:line="240" w:lineRule="auto"/>
              <w:jc w:val="right"/>
            </w:pPr>
            <w:r>
              <w:rPr>
                <w:rFonts w:ascii="Times New Roman" w:eastAsia="Times New Roman" w:hAnsi="Times New Roman"/>
                <w:color w:val="000000"/>
                <w:sz w:val="20"/>
              </w:rPr>
              <w:t>0.0</w:t>
            </w:r>
          </w:p>
        </w:tc>
      </w:tr>
      <w:tr w:rsidR="002F07DC" w:rsidTr="00FA6151">
        <w:trPr>
          <w:trHeight w:val="117"/>
        </w:trPr>
        <w:tc>
          <w:tcPr>
            <w:tcW w:w="3284"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tcPr>
          <w:p w:rsidR="002F07DC" w:rsidRDefault="002F07DC" w:rsidP="00FA6151">
            <w:pPr>
              <w:spacing w:after="0" w:line="240" w:lineRule="auto"/>
            </w:pPr>
            <w:r>
              <w:rPr>
                <w:rFonts w:ascii="Times New Roman" w:eastAsia="Times New Roman" w:hAnsi="Times New Roman"/>
                <w:color w:val="000000"/>
                <w:sz w:val="20"/>
              </w:rPr>
              <w:t>Family Distribution by Income Level</w:t>
            </w:r>
          </w:p>
        </w:tc>
        <w:tc>
          <w:tcPr>
            <w:tcW w:w="9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Default="002F07DC" w:rsidP="00FA6151">
            <w:pPr>
              <w:spacing w:after="0" w:line="240" w:lineRule="auto"/>
              <w:jc w:val="right"/>
            </w:pPr>
            <w:r>
              <w:rPr>
                <w:rFonts w:ascii="Times New Roman" w:eastAsia="Times New Roman" w:hAnsi="Times New Roman"/>
                <w:color w:val="000000"/>
                <w:sz w:val="20"/>
              </w:rPr>
              <w:t>69,132</w:t>
            </w:r>
          </w:p>
        </w:tc>
        <w:tc>
          <w:tcPr>
            <w:tcW w:w="10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Default="002F07DC" w:rsidP="00FA6151">
            <w:pPr>
              <w:spacing w:after="0" w:line="240" w:lineRule="auto"/>
              <w:jc w:val="right"/>
            </w:pPr>
            <w:r>
              <w:rPr>
                <w:rFonts w:ascii="Times New Roman" w:eastAsia="Times New Roman" w:hAnsi="Times New Roman"/>
                <w:color w:val="000000"/>
                <w:sz w:val="20"/>
              </w:rPr>
              <w:t>15.4</w:t>
            </w:r>
          </w:p>
        </w:tc>
        <w:tc>
          <w:tcPr>
            <w:tcW w:w="11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Default="002F07DC" w:rsidP="00FA6151">
            <w:pPr>
              <w:spacing w:after="0" w:line="240" w:lineRule="auto"/>
              <w:jc w:val="right"/>
            </w:pPr>
            <w:r>
              <w:rPr>
                <w:rFonts w:ascii="Times New Roman" w:eastAsia="Times New Roman" w:hAnsi="Times New Roman"/>
                <w:color w:val="000000"/>
                <w:sz w:val="20"/>
              </w:rPr>
              <w:t>12.9</w:t>
            </w:r>
          </w:p>
        </w:tc>
        <w:tc>
          <w:tcPr>
            <w:tcW w:w="10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Default="002F07DC" w:rsidP="00FA6151">
            <w:pPr>
              <w:spacing w:after="0" w:line="240" w:lineRule="auto"/>
              <w:jc w:val="right"/>
            </w:pPr>
            <w:r>
              <w:rPr>
                <w:rFonts w:ascii="Times New Roman" w:eastAsia="Times New Roman" w:hAnsi="Times New Roman"/>
                <w:color w:val="000000"/>
                <w:sz w:val="20"/>
              </w:rPr>
              <w:t>17.1</w:t>
            </w:r>
          </w:p>
        </w:tc>
        <w:tc>
          <w:tcPr>
            <w:tcW w:w="10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Default="002F07DC" w:rsidP="00FA6151">
            <w:pPr>
              <w:spacing w:after="0" w:line="240" w:lineRule="auto"/>
              <w:jc w:val="right"/>
            </w:pPr>
            <w:r>
              <w:rPr>
                <w:rFonts w:ascii="Times New Roman" w:eastAsia="Times New Roman" w:hAnsi="Times New Roman"/>
                <w:color w:val="000000"/>
                <w:sz w:val="20"/>
              </w:rPr>
              <w:t>54.6</w:t>
            </w:r>
          </w:p>
        </w:tc>
        <w:tc>
          <w:tcPr>
            <w:tcW w:w="11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Default="002F07DC" w:rsidP="00FA6151">
            <w:pPr>
              <w:spacing w:after="0" w:line="240" w:lineRule="auto"/>
              <w:jc w:val="right"/>
            </w:pPr>
            <w:r>
              <w:rPr>
                <w:rFonts w:ascii="Times New Roman" w:eastAsia="Times New Roman" w:hAnsi="Times New Roman"/>
                <w:color w:val="000000"/>
                <w:sz w:val="20"/>
              </w:rPr>
              <w:t>0.0</w:t>
            </w:r>
          </w:p>
        </w:tc>
      </w:tr>
      <w:tr w:rsidR="00FA6151" w:rsidTr="00FA6151">
        <w:trPr>
          <w:trHeight w:val="117"/>
        </w:trPr>
        <w:tc>
          <w:tcPr>
            <w:tcW w:w="4277" w:type="dxa"/>
            <w:gridSpan w:val="2"/>
            <w:tcBorders>
              <w:top w:val="single" w:sz="7" w:space="0" w:color="000000"/>
              <w:left w:val="single" w:sz="7" w:space="0" w:color="000000"/>
              <w:bottom w:val="single" w:sz="4" w:space="0" w:color="auto"/>
            </w:tcBorders>
            <w:tcMar>
              <w:top w:w="39" w:type="dxa"/>
              <w:left w:w="239" w:type="dxa"/>
              <w:bottom w:w="39" w:type="dxa"/>
              <w:right w:w="39" w:type="dxa"/>
            </w:tcMar>
          </w:tcPr>
          <w:p w:rsidR="00FA6151" w:rsidRDefault="00FA6151" w:rsidP="00FA6151">
            <w:pPr>
              <w:spacing w:after="0" w:line="240" w:lineRule="auto"/>
            </w:pPr>
            <w:r>
              <w:rPr>
                <w:rFonts w:ascii="Times New Roman" w:eastAsia="Times New Roman" w:hAnsi="Times New Roman"/>
                <w:color w:val="000000"/>
                <w:sz w:val="20"/>
              </w:rPr>
              <w:t xml:space="preserve">Median Family Income </w:t>
            </w:r>
            <w:proofErr w:type="spellStart"/>
            <w:r>
              <w:rPr>
                <w:rFonts w:ascii="Times New Roman" w:eastAsia="Times New Roman" w:hAnsi="Times New Roman"/>
                <w:color w:val="000000"/>
                <w:sz w:val="20"/>
              </w:rPr>
              <w:t>MSA</w:t>
            </w:r>
            <w:proofErr w:type="spellEnd"/>
            <w:r>
              <w:rPr>
                <w:rFonts w:ascii="Times New Roman" w:eastAsia="Times New Roman" w:hAnsi="Times New Roman"/>
                <w:color w:val="000000"/>
                <w:sz w:val="20"/>
              </w:rPr>
              <w:t xml:space="preserve"> - 15764 Cambridge-Newton-Framingham, MA MD</w:t>
            </w:r>
          </w:p>
        </w:tc>
        <w:tc>
          <w:tcPr>
            <w:tcW w:w="1016" w:type="dxa"/>
            <w:tcBorders>
              <w:top w:val="single" w:sz="7" w:space="0" w:color="000000"/>
              <w:left w:val="single" w:sz="7" w:space="0" w:color="000000"/>
              <w:bottom w:val="single" w:sz="4" w:space="0" w:color="auto"/>
            </w:tcBorders>
            <w:tcMar>
              <w:top w:w="39" w:type="dxa"/>
              <w:left w:w="39" w:type="dxa"/>
              <w:bottom w:w="39" w:type="dxa"/>
              <w:right w:w="39" w:type="dxa"/>
            </w:tcMar>
          </w:tcPr>
          <w:p w:rsidR="00FA6151" w:rsidRDefault="00FA6151" w:rsidP="00FA6151">
            <w:pPr>
              <w:spacing w:after="0" w:line="240" w:lineRule="auto"/>
              <w:jc w:val="right"/>
            </w:pPr>
            <w:r>
              <w:rPr>
                <w:rFonts w:ascii="Times New Roman" w:eastAsia="Times New Roman" w:hAnsi="Times New Roman"/>
                <w:color w:val="000000"/>
                <w:sz w:val="20"/>
              </w:rPr>
              <w:t>$100,380</w:t>
            </w:r>
          </w:p>
        </w:tc>
        <w:tc>
          <w:tcPr>
            <w:tcW w:w="3184" w:type="dxa"/>
            <w:gridSpan w:val="3"/>
            <w:tcBorders>
              <w:top w:val="single" w:sz="7" w:space="0" w:color="000000"/>
              <w:left w:val="single" w:sz="7" w:space="0" w:color="000000"/>
              <w:bottom w:val="single" w:sz="4" w:space="0" w:color="auto"/>
              <w:right w:val="single" w:sz="7" w:space="0" w:color="000000"/>
            </w:tcBorders>
            <w:tcMar>
              <w:top w:w="39" w:type="dxa"/>
              <w:left w:w="39" w:type="dxa"/>
              <w:bottom w:w="39" w:type="dxa"/>
              <w:right w:w="39" w:type="dxa"/>
            </w:tcMar>
          </w:tcPr>
          <w:p w:rsidR="00FA6151" w:rsidRDefault="00FA6151" w:rsidP="00FA6151">
            <w:pPr>
              <w:spacing w:after="0" w:line="240" w:lineRule="auto"/>
            </w:pPr>
            <w:r>
              <w:rPr>
                <w:rFonts w:ascii="Times New Roman" w:eastAsia="Times New Roman" w:hAnsi="Times New Roman"/>
                <w:color w:val="000000"/>
                <w:sz w:val="20"/>
              </w:rPr>
              <w:t>Median Housing Value</w:t>
            </w:r>
          </w:p>
        </w:tc>
        <w:tc>
          <w:tcPr>
            <w:tcW w:w="11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FA6151" w:rsidRDefault="00FA6151" w:rsidP="00FA6151">
            <w:pPr>
              <w:spacing w:after="0" w:line="240" w:lineRule="auto"/>
              <w:jc w:val="right"/>
            </w:pPr>
            <w:r>
              <w:rPr>
                <w:rFonts w:ascii="Times New Roman" w:eastAsia="Times New Roman" w:hAnsi="Times New Roman"/>
                <w:color w:val="000000"/>
                <w:sz w:val="20"/>
              </w:rPr>
              <w:t>$590,582</w:t>
            </w:r>
          </w:p>
        </w:tc>
      </w:tr>
      <w:tr w:rsidR="00FA6151" w:rsidTr="00FA6151">
        <w:trPr>
          <w:trHeight w:val="117"/>
        </w:trPr>
        <w:tc>
          <w:tcPr>
            <w:tcW w:w="4277" w:type="dxa"/>
            <w:gridSpan w:val="2"/>
            <w:tcBorders>
              <w:top w:val="single" w:sz="4" w:space="0" w:color="auto"/>
              <w:left w:val="single" w:sz="4" w:space="0" w:color="auto"/>
              <w:bottom w:val="single" w:sz="4" w:space="0" w:color="auto"/>
              <w:right w:val="single" w:sz="4" w:space="0" w:color="auto"/>
            </w:tcBorders>
            <w:tcMar>
              <w:top w:w="39" w:type="dxa"/>
              <w:left w:w="239" w:type="dxa"/>
              <w:bottom w:w="39" w:type="dxa"/>
              <w:right w:w="39" w:type="dxa"/>
            </w:tcMar>
          </w:tcPr>
          <w:p w:rsidR="00FA6151" w:rsidRDefault="00FA6151" w:rsidP="00FA6151">
            <w:pPr>
              <w:spacing w:after="0" w:line="240" w:lineRule="auto"/>
            </w:pPr>
            <w:r>
              <w:rPr>
                <w:rFonts w:ascii="Times New Roman" w:eastAsia="Times New Roman" w:hAnsi="Times New Roman"/>
                <w:color w:val="000000"/>
                <w:sz w:val="20"/>
              </w:rPr>
              <w:t>Families Below Poverty Level</w:t>
            </w:r>
          </w:p>
        </w:tc>
        <w:tc>
          <w:tcPr>
            <w:tcW w:w="1016"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FA6151" w:rsidRDefault="00FA6151" w:rsidP="00FA6151">
            <w:pPr>
              <w:spacing w:after="0" w:line="240" w:lineRule="auto"/>
              <w:jc w:val="right"/>
            </w:pPr>
            <w:r>
              <w:rPr>
                <w:rFonts w:ascii="Times New Roman" w:eastAsia="Times New Roman" w:hAnsi="Times New Roman"/>
                <w:color w:val="000000"/>
                <w:sz w:val="20"/>
              </w:rPr>
              <w:t>4.0%</w:t>
            </w:r>
          </w:p>
        </w:tc>
        <w:tc>
          <w:tcPr>
            <w:tcW w:w="3184" w:type="dxa"/>
            <w:gridSpan w:val="3"/>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FA6151" w:rsidRDefault="00FA6151" w:rsidP="00FA6151">
            <w:pPr>
              <w:spacing w:after="0" w:line="240" w:lineRule="auto"/>
            </w:pPr>
            <w:r>
              <w:rPr>
                <w:rFonts w:ascii="Times New Roman" w:eastAsia="Times New Roman" w:hAnsi="Times New Roman"/>
                <w:color w:val="000000"/>
                <w:sz w:val="20"/>
              </w:rPr>
              <w:t>Median Gross Rent</w:t>
            </w:r>
          </w:p>
        </w:tc>
        <w:tc>
          <w:tcPr>
            <w:tcW w:w="1103" w:type="dxa"/>
            <w:tcBorders>
              <w:top w:val="single" w:sz="7" w:space="0" w:color="000000"/>
              <w:left w:val="single" w:sz="4" w:space="0" w:color="auto"/>
              <w:bottom w:val="single" w:sz="7" w:space="0" w:color="000000"/>
              <w:right w:val="single" w:sz="7" w:space="0" w:color="000000"/>
            </w:tcBorders>
            <w:tcMar>
              <w:top w:w="39" w:type="dxa"/>
              <w:left w:w="39" w:type="dxa"/>
              <w:bottom w:w="39" w:type="dxa"/>
              <w:right w:w="39" w:type="dxa"/>
            </w:tcMar>
          </w:tcPr>
          <w:p w:rsidR="00FA6151" w:rsidRDefault="00FA6151" w:rsidP="00FA6151">
            <w:pPr>
              <w:spacing w:after="0" w:line="240" w:lineRule="auto"/>
              <w:jc w:val="right"/>
            </w:pPr>
            <w:r>
              <w:rPr>
                <w:rFonts w:ascii="Times New Roman" w:eastAsia="Times New Roman" w:hAnsi="Times New Roman"/>
                <w:color w:val="000000"/>
                <w:sz w:val="20"/>
              </w:rPr>
              <w:t>$1,538</w:t>
            </w:r>
          </w:p>
        </w:tc>
      </w:tr>
      <w:tr w:rsidR="00FA6151" w:rsidTr="00FA6151">
        <w:trPr>
          <w:trHeight w:val="254"/>
        </w:trPr>
        <w:tc>
          <w:tcPr>
            <w:tcW w:w="9582" w:type="dxa"/>
            <w:gridSpan w:val="7"/>
            <w:tcBorders>
              <w:left w:val="single" w:sz="7" w:space="0" w:color="000000"/>
              <w:bottom w:val="single" w:sz="7" w:space="0" w:color="000000"/>
              <w:right w:val="single" w:sz="7" w:space="0" w:color="000000"/>
            </w:tcBorders>
            <w:tcMar>
              <w:top w:w="59" w:type="dxa"/>
              <w:left w:w="39" w:type="dxa"/>
              <w:bottom w:w="39" w:type="dxa"/>
              <w:right w:w="39" w:type="dxa"/>
            </w:tcMar>
          </w:tcPr>
          <w:p w:rsidR="00FA6151" w:rsidRDefault="00FA6151" w:rsidP="00FA6151">
            <w:pPr>
              <w:spacing w:after="0" w:line="240" w:lineRule="auto"/>
            </w:pPr>
            <w:r>
              <w:rPr>
                <w:rFonts w:ascii="Times New Roman" w:eastAsia="Times New Roman" w:hAnsi="Times New Roman"/>
                <w:i/>
                <w:color w:val="000000"/>
                <w:sz w:val="16"/>
              </w:rPr>
              <w:t>Source: 2010 U.S</w:t>
            </w:r>
            <w:r w:rsidR="00AF2064">
              <w:rPr>
                <w:rFonts w:ascii="Times New Roman" w:eastAsia="Times New Roman" w:hAnsi="Times New Roman"/>
                <w:i/>
                <w:color w:val="000000"/>
                <w:sz w:val="16"/>
              </w:rPr>
              <w:t xml:space="preserve">. </w:t>
            </w:r>
            <w:r>
              <w:rPr>
                <w:rFonts w:ascii="Times New Roman" w:eastAsia="Times New Roman" w:hAnsi="Times New Roman"/>
                <w:i/>
                <w:color w:val="000000"/>
                <w:sz w:val="16"/>
              </w:rPr>
              <w:t xml:space="preserve">Census &amp; 2015 ACS Census  and 2017 </w:t>
            </w:r>
            <w:proofErr w:type="spellStart"/>
            <w:r>
              <w:rPr>
                <w:rFonts w:ascii="Times New Roman" w:eastAsia="Times New Roman" w:hAnsi="Times New Roman"/>
                <w:i/>
                <w:color w:val="000000"/>
                <w:sz w:val="16"/>
              </w:rPr>
              <w:t>D&amp;B</w:t>
            </w:r>
            <w:proofErr w:type="spellEnd"/>
            <w:r>
              <w:rPr>
                <w:rFonts w:ascii="Times New Roman" w:eastAsia="Times New Roman" w:hAnsi="Times New Roman"/>
                <w:i/>
                <w:color w:val="000000"/>
                <w:sz w:val="16"/>
              </w:rPr>
              <w:t xml:space="preserve"> Data</w:t>
            </w:r>
          </w:p>
          <w:p w:rsidR="00FA6151" w:rsidRDefault="00FA6151" w:rsidP="00FA6151">
            <w:pPr>
              <w:spacing w:after="0" w:line="240" w:lineRule="auto"/>
            </w:pPr>
            <w:r>
              <w:rPr>
                <w:rFonts w:ascii="Times New Roman" w:eastAsia="Times New Roman" w:hAnsi="Times New Roman"/>
                <w:i/>
                <w:color w:val="000000"/>
                <w:sz w:val="16"/>
              </w:rPr>
              <w:t xml:space="preserve"> (*) The NA category consists of geographies that </w:t>
            </w:r>
            <w:proofErr w:type="gramStart"/>
            <w:r>
              <w:rPr>
                <w:rFonts w:ascii="Times New Roman" w:eastAsia="Times New Roman" w:hAnsi="Times New Roman"/>
                <w:i/>
                <w:color w:val="000000"/>
                <w:sz w:val="16"/>
              </w:rPr>
              <w:t>have not been assigned</w:t>
            </w:r>
            <w:proofErr w:type="gramEnd"/>
            <w:r>
              <w:rPr>
                <w:rFonts w:ascii="Times New Roman" w:eastAsia="Times New Roman" w:hAnsi="Times New Roman"/>
                <w:i/>
                <w:color w:val="000000"/>
                <w:sz w:val="16"/>
              </w:rPr>
              <w:t xml:space="preserve"> an income classification.</w:t>
            </w:r>
          </w:p>
        </w:tc>
      </w:tr>
    </w:tbl>
    <w:p w:rsidR="00FA6151" w:rsidRDefault="00FA6151" w:rsidP="00FA6151">
      <w:pPr>
        <w:spacing w:after="0" w:line="240" w:lineRule="auto"/>
        <w:jc w:val="both"/>
        <w:rPr>
          <w:rFonts w:ascii="Times New Roman" w:hAnsi="Times New Roman" w:cs="Times New Roman"/>
          <w:sz w:val="24"/>
          <w:szCs w:val="24"/>
        </w:rPr>
      </w:pPr>
    </w:p>
    <w:p w:rsidR="002F07DC" w:rsidRDefault="002F07DC" w:rsidP="00FA61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2016 and 2017 </w:t>
      </w:r>
      <w:proofErr w:type="spellStart"/>
      <w:r>
        <w:rPr>
          <w:rFonts w:ascii="Times New Roman" w:hAnsi="Times New Roman" w:cs="Times New Roman"/>
          <w:sz w:val="24"/>
          <w:szCs w:val="24"/>
        </w:rPr>
        <w:t>FFIEC</w:t>
      </w:r>
      <w:proofErr w:type="spellEnd"/>
      <w:r>
        <w:rPr>
          <w:rFonts w:ascii="Times New Roman" w:hAnsi="Times New Roman" w:cs="Times New Roman"/>
          <w:sz w:val="24"/>
          <w:szCs w:val="24"/>
        </w:rPr>
        <w:t xml:space="preserve">-updated median family income level </w:t>
      </w:r>
      <w:proofErr w:type="gramStart"/>
      <w:r>
        <w:rPr>
          <w:rFonts w:ascii="Times New Roman" w:hAnsi="Times New Roman" w:cs="Times New Roman"/>
          <w:sz w:val="24"/>
          <w:szCs w:val="24"/>
        </w:rPr>
        <w:t>is used</w:t>
      </w:r>
      <w:proofErr w:type="gramEnd"/>
      <w:r>
        <w:rPr>
          <w:rFonts w:ascii="Times New Roman" w:hAnsi="Times New Roman" w:cs="Times New Roman"/>
          <w:sz w:val="24"/>
          <w:szCs w:val="24"/>
        </w:rPr>
        <w:t xml:space="preserve"> to analyze home mortgage loans under the borrower criterion</w:t>
      </w:r>
      <w:r w:rsidR="00AF2064">
        <w:rPr>
          <w:rFonts w:ascii="Times New Roman" w:hAnsi="Times New Roman" w:cs="Times New Roman"/>
          <w:sz w:val="24"/>
          <w:szCs w:val="24"/>
        </w:rPr>
        <w:t xml:space="preserve">. </w:t>
      </w:r>
      <w:r>
        <w:rPr>
          <w:rFonts w:ascii="Times New Roman" w:hAnsi="Times New Roman" w:cs="Times New Roman"/>
          <w:sz w:val="24"/>
          <w:szCs w:val="24"/>
        </w:rPr>
        <w:t xml:space="preserve">The low-, moderate-, middle-, and upper-income categories </w:t>
      </w:r>
      <w:proofErr w:type="gramStart"/>
      <w:r>
        <w:rPr>
          <w:rFonts w:ascii="Times New Roman" w:hAnsi="Times New Roman" w:cs="Times New Roman"/>
          <w:sz w:val="24"/>
          <w:szCs w:val="24"/>
        </w:rPr>
        <w:t>are presented</w:t>
      </w:r>
      <w:proofErr w:type="gramEnd"/>
      <w:r>
        <w:rPr>
          <w:rFonts w:ascii="Times New Roman" w:hAnsi="Times New Roman" w:cs="Times New Roman"/>
          <w:sz w:val="24"/>
          <w:szCs w:val="24"/>
        </w:rPr>
        <w:t xml:space="preserve"> in the following table</w:t>
      </w:r>
      <w:r w:rsidR="00AF2064">
        <w:rPr>
          <w:rFonts w:ascii="Times New Roman" w:hAnsi="Times New Roman" w:cs="Times New Roman"/>
          <w:sz w:val="24"/>
          <w:szCs w:val="24"/>
        </w:rPr>
        <w:t xml:space="preserve">. </w:t>
      </w:r>
      <w:r>
        <w:rPr>
          <w:rFonts w:ascii="Times New Roman" w:hAnsi="Times New Roman" w:cs="Times New Roman"/>
          <w:sz w:val="24"/>
          <w:szCs w:val="24"/>
        </w:rPr>
        <w:t xml:space="preserve">These categories </w:t>
      </w:r>
      <w:proofErr w:type="gramStart"/>
      <w:r>
        <w:rPr>
          <w:rFonts w:ascii="Times New Roman" w:hAnsi="Times New Roman" w:cs="Times New Roman"/>
          <w:sz w:val="24"/>
          <w:szCs w:val="24"/>
        </w:rPr>
        <w:t>are based</w:t>
      </w:r>
      <w:proofErr w:type="gramEnd"/>
      <w:r>
        <w:rPr>
          <w:rFonts w:ascii="Times New Roman" w:hAnsi="Times New Roman" w:cs="Times New Roman"/>
          <w:sz w:val="24"/>
          <w:szCs w:val="24"/>
        </w:rPr>
        <w:t xml:space="preserve"> on the </w:t>
      </w:r>
      <w:proofErr w:type="spellStart"/>
      <w:r>
        <w:rPr>
          <w:rFonts w:ascii="Times New Roman" w:hAnsi="Times New Roman" w:cs="Times New Roman"/>
          <w:sz w:val="24"/>
          <w:szCs w:val="24"/>
        </w:rPr>
        <w:t>FFIEC</w:t>
      </w:r>
      <w:proofErr w:type="spellEnd"/>
      <w:r>
        <w:rPr>
          <w:rFonts w:ascii="Times New Roman" w:hAnsi="Times New Roman" w:cs="Times New Roman"/>
          <w:sz w:val="24"/>
          <w:szCs w:val="24"/>
        </w:rPr>
        <w:t>-updated median family income of $98,600 in 2016 and $104,800 in 2017.</w:t>
      </w:r>
    </w:p>
    <w:p w:rsidR="00FA6151" w:rsidRDefault="00FA6151" w:rsidP="00FA6151">
      <w:pPr>
        <w:spacing w:after="0" w:line="240" w:lineRule="auto"/>
        <w:jc w:val="both"/>
        <w:rPr>
          <w:rFonts w:ascii="Times New Roman" w:hAnsi="Times New Roman" w:cs="Times New Roman"/>
          <w:sz w:val="24"/>
          <w:szCs w:val="24"/>
        </w:rPr>
      </w:pPr>
    </w:p>
    <w:tbl>
      <w:tblPr>
        <w:tblW w:w="0" w:type="auto"/>
        <w:tblCellMar>
          <w:left w:w="0" w:type="dxa"/>
          <w:right w:w="0" w:type="dxa"/>
        </w:tblCellMar>
        <w:tblLook w:val="0000" w:firstRow="0" w:lastRow="0" w:firstColumn="0" w:lastColumn="0" w:noHBand="0" w:noVBand="0"/>
      </w:tblPr>
      <w:tblGrid>
        <w:gridCol w:w="2516"/>
        <w:gridCol w:w="1326"/>
        <w:gridCol w:w="2032"/>
        <w:gridCol w:w="2123"/>
        <w:gridCol w:w="1345"/>
      </w:tblGrid>
      <w:tr w:rsidR="002F07DC" w:rsidTr="000A6F72">
        <w:trPr>
          <w:trHeight w:val="282"/>
        </w:trPr>
        <w:tc>
          <w:tcPr>
            <w:tcW w:w="10455" w:type="dxa"/>
            <w:gridSpan w:val="5"/>
            <w:tcBorders>
              <w:top w:val="single" w:sz="7" w:space="0" w:color="000000"/>
              <w:left w:val="single" w:sz="7" w:space="0" w:color="000000"/>
              <w:right w:val="single" w:sz="7" w:space="0" w:color="000000"/>
            </w:tcBorders>
            <w:tcMar>
              <w:top w:w="39" w:type="dxa"/>
              <w:left w:w="39" w:type="dxa"/>
              <w:bottom w:w="39" w:type="dxa"/>
              <w:right w:w="39" w:type="dxa"/>
            </w:tcMar>
          </w:tcPr>
          <w:p w:rsidR="002F07DC" w:rsidRDefault="002F07DC" w:rsidP="00FA6151">
            <w:pPr>
              <w:spacing w:after="0" w:line="240" w:lineRule="auto"/>
              <w:jc w:val="center"/>
            </w:pPr>
            <w:r>
              <w:rPr>
                <w:rFonts w:ascii="Times New Roman" w:eastAsia="Times New Roman" w:hAnsi="Times New Roman"/>
                <w:b/>
                <w:color w:val="000000"/>
                <w:sz w:val="20"/>
              </w:rPr>
              <w:t>Median Family Income Ranges</w:t>
            </w:r>
          </w:p>
        </w:tc>
      </w:tr>
      <w:tr w:rsidR="002F07DC" w:rsidTr="000A6F72">
        <w:trPr>
          <w:trHeight w:val="426"/>
        </w:trPr>
        <w:tc>
          <w:tcPr>
            <w:tcW w:w="28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F07DC" w:rsidRDefault="002F07DC" w:rsidP="00FA6151">
            <w:pPr>
              <w:spacing w:after="0" w:line="240" w:lineRule="auto"/>
            </w:pPr>
            <w:r>
              <w:rPr>
                <w:rFonts w:ascii="Times New Roman" w:eastAsia="Times New Roman" w:hAnsi="Times New Roman"/>
                <w:b/>
                <w:color w:val="000000"/>
                <w:sz w:val="20"/>
              </w:rPr>
              <w:t>Median Family Incomes</w:t>
            </w:r>
          </w:p>
        </w:tc>
        <w:tc>
          <w:tcPr>
            <w:tcW w:w="14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F07DC" w:rsidRDefault="002F07DC" w:rsidP="00FA6151">
            <w:pPr>
              <w:spacing w:after="0" w:line="240" w:lineRule="auto"/>
              <w:jc w:val="center"/>
            </w:pPr>
            <w:r>
              <w:rPr>
                <w:rFonts w:ascii="Times New Roman" w:eastAsia="Times New Roman" w:hAnsi="Times New Roman"/>
                <w:b/>
                <w:color w:val="000000"/>
                <w:sz w:val="20"/>
              </w:rPr>
              <w:t>Low</w:t>
            </w:r>
            <w:r>
              <w:rPr>
                <w:rFonts w:ascii="Times New Roman" w:eastAsia="Times New Roman" w:hAnsi="Times New Roman"/>
                <w:b/>
                <w:color w:val="000000"/>
                <w:sz w:val="20"/>
              </w:rPr>
              <w:br/>
              <w:t xml:space="preserve"> &lt;50% </w:t>
            </w:r>
          </w:p>
        </w:tc>
        <w:tc>
          <w:tcPr>
            <w:tcW w:w="229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F07DC" w:rsidRDefault="002F07DC" w:rsidP="00FA6151">
            <w:pPr>
              <w:spacing w:after="0" w:line="240" w:lineRule="auto"/>
              <w:jc w:val="center"/>
            </w:pPr>
            <w:r>
              <w:rPr>
                <w:rFonts w:ascii="Times New Roman" w:eastAsia="Times New Roman" w:hAnsi="Times New Roman"/>
                <w:b/>
                <w:color w:val="000000"/>
                <w:sz w:val="20"/>
              </w:rPr>
              <w:t>Moderate</w:t>
            </w:r>
            <w:r>
              <w:rPr>
                <w:rFonts w:ascii="Times New Roman" w:eastAsia="Times New Roman" w:hAnsi="Times New Roman"/>
                <w:b/>
                <w:color w:val="000000"/>
                <w:sz w:val="20"/>
              </w:rPr>
              <w:br/>
              <w:t>50% to &lt;80%</w:t>
            </w:r>
          </w:p>
        </w:tc>
        <w:tc>
          <w:tcPr>
            <w:tcW w:w="24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F07DC" w:rsidRDefault="002F07DC" w:rsidP="00FA6151">
            <w:pPr>
              <w:spacing w:after="0" w:line="240" w:lineRule="auto"/>
              <w:jc w:val="center"/>
            </w:pPr>
            <w:r>
              <w:rPr>
                <w:rFonts w:ascii="Times New Roman" w:eastAsia="Times New Roman" w:hAnsi="Times New Roman"/>
                <w:b/>
                <w:color w:val="000000"/>
                <w:sz w:val="20"/>
              </w:rPr>
              <w:t>Middle</w:t>
            </w:r>
            <w:r>
              <w:rPr>
                <w:rFonts w:ascii="Times New Roman" w:eastAsia="Times New Roman" w:hAnsi="Times New Roman"/>
                <w:b/>
                <w:color w:val="000000"/>
                <w:sz w:val="20"/>
              </w:rPr>
              <w:br/>
              <w:t>80% to &lt;120%</w:t>
            </w:r>
          </w:p>
        </w:tc>
        <w:tc>
          <w:tcPr>
            <w:tcW w:w="14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F07DC" w:rsidRDefault="002F07DC" w:rsidP="00FA6151">
            <w:pPr>
              <w:spacing w:after="0" w:line="240" w:lineRule="auto"/>
              <w:jc w:val="center"/>
            </w:pPr>
            <w:r>
              <w:rPr>
                <w:rFonts w:ascii="Times New Roman" w:eastAsia="Times New Roman" w:hAnsi="Times New Roman"/>
                <w:b/>
                <w:color w:val="000000"/>
                <w:sz w:val="20"/>
              </w:rPr>
              <w:t>Upper</w:t>
            </w:r>
            <w:r>
              <w:rPr>
                <w:rFonts w:ascii="Times New Roman" w:eastAsia="Times New Roman" w:hAnsi="Times New Roman"/>
                <w:b/>
                <w:color w:val="000000"/>
                <w:sz w:val="20"/>
              </w:rPr>
              <w:br/>
              <w:t>≥120%</w:t>
            </w:r>
          </w:p>
        </w:tc>
      </w:tr>
      <w:tr w:rsidR="002F07DC" w:rsidTr="000A6F72">
        <w:trPr>
          <w:trHeight w:val="181"/>
        </w:trPr>
        <w:tc>
          <w:tcPr>
            <w:tcW w:w="10455" w:type="dxa"/>
            <w:gridSpan w:val="5"/>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F07DC" w:rsidRDefault="002F07DC" w:rsidP="00FA6151">
            <w:pPr>
              <w:spacing w:after="0" w:line="240" w:lineRule="auto"/>
              <w:jc w:val="center"/>
            </w:pPr>
            <w:r>
              <w:rPr>
                <w:rFonts w:ascii="Times New Roman" w:eastAsia="Times New Roman" w:hAnsi="Times New Roman"/>
                <w:b/>
                <w:color w:val="000000"/>
                <w:sz w:val="20"/>
              </w:rPr>
              <w:t>Cambridge-Newton-Framingham, MA MD Median Family Income (15764)</w:t>
            </w:r>
          </w:p>
        </w:tc>
      </w:tr>
      <w:tr w:rsidR="002F07DC" w:rsidTr="000A6F72">
        <w:trPr>
          <w:trHeight w:val="188"/>
        </w:trPr>
        <w:tc>
          <w:tcPr>
            <w:tcW w:w="28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F07DC" w:rsidRDefault="002F07DC" w:rsidP="00FA6151">
            <w:pPr>
              <w:spacing w:after="0" w:line="240" w:lineRule="auto"/>
            </w:pPr>
            <w:r>
              <w:rPr>
                <w:rFonts w:ascii="Times New Roman" w:eastAsia="Times New Roman" w:hAnsi="Times New Roman"/>
                <w:color w:val="000000"/>
                <w:sz w:val="20"/>
              </w:rPr>
              <w:t>2016 ($98,600)</w:t>
            </w:r>
          </w:p>
        </w:tc>
        <w:tc>
          <w:tcPr>
            <w:tcW w:w="14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Default="002F07DC" w:rsidP="00FA6151">
            <w:pPr>
              <w:spacing w:after="0" w:line="240" w:lineRule="auto"/>
              <w:jc w:val="center"/>
            </w:pPr>
            <w:r>
              <w:rPr>
                <w:rFonts w:ascii="Times New Roman" w:eastAsia="Times New Roman" w:hAnsi="Times New Roman"/>
                <w:color w:val="000000"/>
                <w:sz w:val="20"/>
              </w:rPr>
              <w:t>&lt;$49,300</w:t>
            </w:r>
          </w:p>
        </w:tc>
        <w:tc>
          <w:tcPr>
            <w:tcW w:w="229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Default="002F07DC" w:rsidP="00FA6151">
            <w:pPr>
              <w:spacing w:after="0" w:line="240" w:lineRule="auto"/>
              <w:jc w:val="center"/>
            </w:pPr>
            <w:r>
              <w:rPr>
                <w:rFonts w:ascii="Times New Roman" w:eastAsia="Times New Roman" w:hAnsi="Times New Roman"/>
                <w:color w:val="000000"/>
                <w:sz w:val="20"/>
              </w:rPr>
              <w:t>$49,300 to &lt;$78,880</w:t>
            </w:r>
          </w:p>
        </w:tc>
        <w:tc>
          <w:tcPr>
            <w:tcW w:w="24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Default="002F07DC" w:rsidP="00FA6151">
            <w:pPr>
              <w:spacing w:after="0" w:line="240" w:lineRule="auto"/>
              <w:jc w:val="center"/>
            </w:pPr>
            <w:r>
              <w:rPr>
                <w:rFonts w:ascii="Times New Roman" w:eastAsia="Times New Roman" w:hAnsi="Times New Roman"/>
                <w:color w:val="000000"/>
                <w:sz w:val="20"/>
              </w:rPr>
              <w:t>$78,880 to &lt;$118,320</w:t>
            </w:r>
          </w:p>
        </w:tc>
        <w:tc>
          <w:tcPr>
            <w:tcW w:w="14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Default="002F07DC" w:rsidP="00FA6151">
            <w:pPr>
              <w:spacing w:after="0" w:line="240" w:lineRule="auto"/>
              <w:jc w:val="center"/>
            </w:pPr>
            <w:r>
              <w:rPr>
                <w:rFonts w:ascii="Times New Roman" w:eastAsia="Times New Roman" w:hAnsi="Times New Roman"/>
                <w:color w:val="000000"/>
                <w:sz w:val="20"/>
              </w:rPr>
              <w:t>≥$118,320</w:t>
            </w:r>
          </w:p>
        </w:tc>
      </w:tr>
      <w:tr w:rsidR="002F07DC" w:rsidTr="000A6F72">
        <w:trPr>
          <w:trHeight w:val="188"/>
        </w:trPr>
        <w:tc>
          <w:tcPr>
            <w:tcW w:w="28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F07DC" w:rsidRDefault="002F07DC" w:rsidP="00FA6151">
            <w:pPr>
              <w:spacing w:after="0" w:line="240" w:lineRule="auto"/>
            </w:pPr>
            <w:r>
              <w:rPr>
                <w:rFonts w:ascii="Times New Roman" w:eastAsia="Times New Roman" w:hAnsi="Times New Roman"/>
                <w:color w:val="000000"/>
                <w:sz w:val="20"/>
              </w:rPr>
              <w:t>2017 ($104,800)</w:t>
            </w:r>
          </w:p>
        </w:tc>
        <w:tc>
          <w:tcPr>
            <w:tcW w:w="14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Default="002F07DC" w:rsidP="00FA6151">
            <w:pPr>
              <w:spacing w:after="0" w:line="240" w:lineRule="auto"/>
              <w:jc w:val="center"/>
            </w:pPr>
            <w:r>
              <w:rPr>
                <w:rFonts w:ascii="Times New Roman" w:eastAsia="Times New Roman" w:hAnsi="Times New Roman"/>
                <w:color w:val="000000"/>
                <w:sz w:val="20"/>
              </w:rPr>
              <w:t>&lt;$52,400</w:t>
            </w:r>
          </w:p>
        </w:tc>
        <w:tc>
          <w:tcPr>
            <w:tcW w:w="229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Default="002F07DC" w:rsidP="00FA6151">
            <w:pPr>
              <w:spacing w:after="0" w:line="240" w:lineRule="auto"/>
              <w:jc w:val="center"/>
            </w:pPr>
            <w:r>
              <w:rPr>
                <w:rFonts w:ascii="Times New Roman" w:eastAsia="Times New Roman" w:hAnsi="Times New Roman"/>
                <w:color w:val="000000"/>
                <w:sz w:val="20"/>
              </w:rPr>
              <w:t>$52,400 to &lt;$83,840</w:t>
            </w:r>
          </w:p>
        </w:tc>
        <w:tc>
          <w:tcPr>
            <w:tcW w:w="24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Default="002F07DC" w:rsidP="00FA6151">
            <w:pPr>
              <w:spacing w:after="0" w:line="240" w:lineRule="auto"/>
              <w:jc w:val="center"/>
            </w:pPr>
            <w:r>
              <w:rPr>
                <w:rFonts w:ascii="Times New Roman" w:eastAsia="Times New Roman" w:hAnsi="Times New Roman"/>
                <w:color w:val="000000"/>
                <w:sz w:val="20"/>
              </w:rPr>
              <w:t>$83,840 to &lt;$125,760</w:t>
            </w:r>
          </w:p>
        </w:tc>
        <w:tc>
          <w:tcPr>
            <w:tcW w:w="14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Default="002F07DC" w:rsidP="00FA6151">
            <w:pPr>
              <w:spacing w:after="0" w:line="240" w:lineRule="auto"/>
              <w:jc w:val="center"/>
            </w:pPr>
            <w:r>
              <w:rPr>
                <w:rFonts w:ascii="Times New Roman" w:eastAsia="Times New Roman" w:hAnsi="Times New Roman"/>
                <w:color w:val="000000"/>
                <w:sz w:val="20"/>
              </w:rPr>
              <w:t>≥$125,760</w:t>
            </w:r>
          </w:p>
        </w:tc>
      </w:tr>
      <w:tr w:rsidR="002F07DC" w:rsidTr="00223EAE">
        <w:trPr>
          <w:trHeight w:val="304"/>
        </w:trPr>
        <w:tc>
          <w:tcPr>
            <w:tcW w:w="10455" w:type="dxa"/>
            <w:gridSpan w:val="5"/>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Default="002F07DC" w:rsidP="00FA6151">
            <w:pPr>
              <w:spacing w:after="0" w:line="240" w:lineRule="auto"/>
            </w:pPr>
            <w:r>
              <w:rPr>
                <w:rFonts w:ascii="Times New Roman" w:eastAsia="Times New Roman" w:hAnsi="Times New Roman"/>
                <w:i/>
                <w:color w:val="000000"/>
                <w:sz w:val="16"/>
              </w:rPr>
              <w:t xml:space="preserve">Source: </w:t>
            </w:r>
            <w:proofErr w:type="spellStart"/>
            <w:r>
              <w:rPr>
                <w:rFonts w:ascii="Times New Roman" w:eastAsia="Times New Roman" w:hAnsi="Times New Roman"/>
                <w:i/>
                <w:color w:val="000000"/>
                <w:sz w:val="16"/>
              </w:rPr>
              <w:t>FFIEC</w:t>
            </w:r>
            <w:proofErr w:type="spellEnd"/>
          </w:p>
        </w:tc>
      </w:tr>
    </w:tbl>
    <w:p w:rsidR="002F07DC" w:rsidRDefault="002F07DC" w:rsidP="00FA6151">
      <w:pPr>
        <w:spacing w:after="0" w:line="240" w:lineRule="auto"/>
        <w:jc w:val="both"/>
        <w:rPr>
          <w:rFonts w:ascii="Times New Roman" w:hAnsi="Times New Roman" w:cs="Times New Roman"/>
          <w:sz w:val="24"/>
          <w:szCs w:val="24"/>
        </w:rPr>
      </w:pPr>
    </w:p>
    <w:p w:rsidR="002F07DC" w:rsidRDefault="002F07DC" w:rsidP="00FA61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assessment area consists of 115,557 housing units with a median value of $590,582</w:t>
      </w:r>
      <w:r w:rsidR="00AF2064">
        <w:rPr>
          <w:rFonts w:ascii="Times New Roman" w:hAnsi="Times New Roman" w:cs="Times New Roman"/>
          <w:sz w:val="24"/>
          <w:szCs w:val="24"/>
        </w:rPr>
        <w:t xml:space="preserve">. </w:t>
      </w:r>
      <w:r>
        <w:rPr>
          <w:rFonts w:ascii="Times New Roman" w:hAnsi="Times New Roman" w:cs="Times New Roman"/>
          <w:sz w:val="24"/>
          <w:szCs w:val="24"/>
        </w:rPr>
        <w:t>Of these, 58.9 percent are owner-occupied, 35.6 percent are occupied rental units, and 5.4 percent are vacant.</w:t>
      </w:r>
    </w:p>
    <w:p w:rsidR="00FB350C" w:rsidRDefault="00FB350C" w:rsidP="00FA61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According to Warren Group Housing, assessment area municipalities had an average median sales price of $772,276 from 2016 – 2018</w:t>
      </w:r>
      <w:r w:rsidR="00AF2064">
        <w:rPr>
          <w:rFonts w:ascii="Times New Roman" w:hAnsi="Times New Roman" w:cs="Times New Roman"/>
          <w:sz w:val="24"/>
          <w:szCs w:val="24"/>
        </w:rPr>
        <w:t xml:space="preserve">. </w:t>
      </w:r>
      <w:r>
        <w:rPr>
          <w:rFonts w:ascii="Times New Roman" w:hAnsi="Times New Roman" w:cs="Times New Roman"/>
          <w:sz w:val="24"/>
          <w:szCs w:val="24"/>
        </w:rPr>
        <w:t>Waltham was the least expensive area, with a</w:t>
      </w:r>
      <w:r w:rsidR="0070073B">
        <w:rPr>
          <w:rFonts w:ascii="Times New Roman" w:hAnsi="Times New Roman" w:cs="Times New Roman"/>
          <w:sz w:val="24"/>
          <w:szCs w:val="24"/>
        </w:rPr>
        <w:t>n</w:t>
      </w:r>
      <w:r>
        <w:rPr>
          <w:rFonts w:ascii="Times New Roman" w:hAnsi="Times New Roman" w:cs="Times New Roman"/>
          <w:sz w:val="24"/>
          <w:szCs w:val="24"/>
        </w:rPr>
        <w:t xml:space="preserve"> average </w:t>
      </w:r>
      <w:r w:rsidR="0070073B">
        <w:rPr>
          <w:rFonts w:ascii="Times New Roman" w:hAnsi="Times New Roman" w:cs="Times New Roman"/>
          <w:sz w:val="24"/>
          <w:szCs w:val="24"/>
        </w:rPr>
        <w:t xml:space="preserve">median </w:t>
      </w:r>
      <w:r>
        <w:rPr>
          <w:rFonts w:ascii="Times New Roman" w:hAnsi="Times New Roman" w:cs="Times New Roman"/>
          <w:sz w:val="24"/>
          <w:szCs w:val="24"/>
        </w:rPr>
        <w:t xml:space="preserve">sales price of </w:t>
      </w:r>
      <w:r w:rsidR="0070073B">
        <w:rPr>
          <w:rFonts w:ascii="Times New Roman" w:hAnsi="Times New Roman" w:cs="Times New Roman"/>
          <w:sz w:val="24"/>
          <w:szCs w:val="24"/>
        </w:rPr>
        <w:t>$538,167, while Lexington had the most expensive sales price of $965,333</w:t>
      </w:r>
      <w:r w:rsidR="00FA6151">
        <w:rPr>
          <w:rFonts w:ascii="Times New Roman" w:hAnsi="Times New Roman" w:cs="Times New Roman"/>
          <w:sz w:val="24"/>
          <w:szCs w:val="24"/>
        </w:rPr>
        <w:t xml:space="preserve">. </w:t>
      </w:r>
      <w:r w:rsidR="0070073B">
        <w:rPr>
          <w:rFonts w:ascii="Times New Roman" w:hAnsi="Times New Roman" w:cs="Times New Roman"/>
          <w:sz w:val="24"/>
          <w:szCs w:val="24"/>
        </w:rPr>
        <w:t xml:space="preserve">Median home sales prices demonstrated a rising trend over the evaluation period, rising to an average median price of </w:t>
      </w:r>
      <w:r w:rsidR="00AE3E50">
        <w:rPr>
          <w:rFonts w:ascii="Times New Roman" w:hAnsi="Times New Roman" w:cs="Times New Roman"/>
          <w:sz w:val="24"/>
          <w:szCs w:val="24"/>
        </w:rPr>
        <w:t>$813,708 in 2018</w:t>
      </w:r>
      <w:r w:rsidR="00AF2064">
        <w:rPr>
          <w:rFonts w:ascii="Times New Roman" w:hAnsi="Times New Roman" w:cs="Times New Roman"/>
          <w:sz w:val="24"/>
          <w:szCs w:val="24"/>
        </w:rPr>
        <w:t xml:space="preserve">. </w:t>
      </w:r>
      <w:r w:rsidR="00AE3E50">
        <w:rPr>
          <w:rFonts w:ascii="Times New Roman" w:hAnsi="Times New Roman" w:cs="Times New Roman"/>
          <w:sz w:val="24"/>
          <w:szCs w:val="24"/>
        </w:rPr>
        <w:t xml:space="preserve">These factors suggest an expensive housing area, which may present challenges for low- and moderate-income borrowers to obtain home purchase loans, </w:t>
      </w:r>
      <w:r w:rsidR="00393D0A">
        <w:rPr>
          <w:rFonts w:ascii="Times New Roman" w:hAnsi="Times New Roman" w:cs="Times New Roman"/>
          <w:sz w:val="24"/>
          <w:szCs w:val="24"/>
        </w:rPr>
        <w:t>particularly for families earning below $52,400 per year.</w:t>
      </w:r>
    </w:p>
    <w:p w:rsidR="00FA6151" w:rsidRDefault="00FA6151" w:rsidP="00FA6151">
      <w:pPr>
        <w:spacing w:after="0" w:line="240" w:lineRule="auto"/>
        <w:jc w:val="both"/>
        <w:rPr>
          <w:rFonts w:ascii="Times New Roman" w:hAnsi="Times New Roman" w:cs="Times New Roman"/>
          <w:b/>
          <w:i/>
          <w:sz w:val="24"/>
          <w:szCs w:val="24"/>
        </w:rPr>
      </w:pPr>
    </w:p>
    <w:p w:rsidR="00FA6151" w:rsidRDefault="00FA6151" w:rsidP="00FA6151">
      <w:pPr>
        <w:spacing w:after="0" w:line="240" w:lineRule="auto"/>
        <w:jc w:val="both"/>
        <w:rPr>
          <w:rFonts w:ascii="Times New Roman" w:hAnsi="Times New Roman" w:cs="Times New Roman"/>
          <w:b/>
          <w:i/>
          <w:sz w:val="24"/>
          <w:szCs w:val="24"/>
        </w:rPr>
      </w:pPr>
    </w:p>
    <w:p w:rsidR="002F07DC" w:rsidRDefault="002F07DC" w:rsidP="00FA6151">
      <w:pPr>
        <w:spacing w:after="0" w:line="240" w:lineRule="auto"/>
        <w:jc w:val="both"/>
        <w:rPr>
          <w:rFonts w:ascii="Times New Roman" w:hAnsi="Times New Roman" w:cs="Times New Roman"/>
          <w:b/>
          <w:i/>
          <w:sz w:val="24"/>
          <w:szCs w:val="24"/>
        </w:rPr>
      </w:pPr>
      <w:r w:rsidRPr="003A595E">
        <w:rPr>
          <w:rFonts w:ascii="Times New Roman" w:hAnsi="Times New Roman" w:cs="Times New Roman"/>
          <w:b/>
          <w:i/>
          <w:sz w:val="24"/>
          <w:szCs w:val="24"/>
        </w:rPr>
        <w:lastRenderedPageBreak/>
        <w:t>Competition</w:t>
      </w:r>
    </w:p>
    <w:p w:rsidR="002F07DC" w:rsidRDefault="002F07DC" w:rsidP="00FA61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There is a high level of competition for home mortgage loans among many banks, credit unions, and non-depository mortgage lenders in the assessment area</w:t>
      </w:r>
      <w:r w:rsidR="00AF2064">
        <w:rPr>
          <w:rFonts w:ascii="Times New Roman" w:hAnsi="Times New Roman" w:cs="Times New Roman"/>
          <w:sz w:val="24"/>
          <w:szCs w:val="24"/>
        </w:rPr>
        <w:t xml:space="preserve">. </w:t>
      </w:r>
      <w:r>
        <w:rPr>
          <w:rFonts w:ascii="Times New Roman" w:hAnsi="Times New Roman" w:cs="Times New Roman"/>
          <w:sz w:val="24"/>
          <w:szCs w:val="24"/>
        </w:rPr>
        <w:t>In 2016, 349 lenders reported 11,344 originated or purchased residential mortgage loans</w:t>
      </w:r>
      <w:r w:rsidR="00AF2064">
        <w:rPr>
          <w:rFonts w:ascii="Times New Roman" w:hAnsi="Times New Roman" w:cs="Times New Roman"/>
          <w:sz w:val="24"/>
          <w:szCs w:val="24"/>
        </w:rPr>
        <w:t xml:space="preserve">. </w:t>
      </w:r>
      <w:r>
        <w:rPr>
          <w:rFonts w:ascii="Times New Roman" w:hAnsi="Times New Roman" w:cs="Times New Roman"/>
          <w:sz w:val="24"/>
          <w:szCs w:val="24"/>
        </w:rPr>
        <w:t>Watertown Savings ranked 18</w:t>
      </w:r>
      <w:r w:rsidRPr="00E63E82">
        <w:rPr>
          <w:rFonts w:ascii="Times New Roman" w:hAnsi="Times New Roman" w:cs="Times New Roman"/>
          <w:sz w:val="24"/>
          <w:szCs w:val="24"/>
          <w:vertAlign w:val="superscript"/>
        </w:rPr>
        <w:t>th</w:t>
      </w:r>
      <w:r>
        <w:rPr>
          <w:rFonts w:ascii="Times New Roman" w:hAnsi="Times New Roman" w:cs="Times New Roman"/>
          <w:sz w:val="24"/>
          <w:szCs w:val="24"/>
        </w:rPr>
        <w:t xml:space="preserve"> out of this group with a 1.4 percent market share</w:t>
      </w:r>
      <w:r w:rsidR="00AF2064">
        <w:rPr>
          <w:rFonts w:ascii="Times New Roman" w:hAnsi="Times New Roman" w:cs="Times New Roman"/>
          <w:sz w:val="24"/>
          <w:szCs w:val="24"/>
        </w:rPr>
        <w:t xml:space="preserve">. </w:t>
      </w:r>
      <w:r>
        <w:rPr>
          <w:rFonts w:ascii="Times New Roman" w:hAnsi="Times New Roman" w:cs="Times New Roman"/>
          <w:sz w:val="24"/>
          <w:szCs w:val="24"/>
        </w:rPr>
        <w:t>The competition level within the assessment area remained steady in 2017, 320 lenders originating or purchasing 7,528 residential mortgage loans</w:t>
      </w:r>
      <w:r w:rsidR="00AF2064">
        <w:rPr>
          <w:rFonts w:ascii="Times New Roman" w:hAnsi="Times New Roman" w:cs="Times New Roman"/>
          <w:sz w:val="24"/>
          <w:szCs w:val="24"/>
        </w:rPr>
        <w:t xml:space="preserve">. </w:t>
      </w:r>
      <w:r>
        <w:rPr>
          <w:rFonts w:ascii="Times New Roman" w:hAnsi="Times New Roman" w:cs="Times New Roman"/>
          <w:sz w:val="24"/>
          <w:szCs w:val="24"/>
        </w:rPr>
        <w:t>Watertown Savings ranked 17</w:t>
      </w:r>
      <w:r w:rsidRPr="00E63E82">
        <w:rPr>
          <w:rFonts w:ascii="Times New Roman" w:hAnsi="Times New Roman" w:cs="Times New Roman"/>
          <w:sz w:val="24"/>
          <w:szCs w:val="24"/>
          <w:vertAlign w:val="superscript"/>
        </w:rPr>
        <w:t>th</w:t>
      </w:r>
      <w:r>
        <w:rPr>
          <w:rFonts w:ascii="Times New Roman" w:hAnsi="Times New Roman" w:cs="Times New Roman"/>
          <w:sz w:val="24"/>
          <w:szCs w:val="24"/>
        </w:rPr>
        <w:t xml:space="preserve"> with a 1.3 percent market share.</w:t>
      </w:r>
    </w:p>
    <w:p w:rsidR="00FA6151" w:rsidRDefault="00FA6151" w:rsidP="00FA6151">
      <w:pPr>
        <w:spacing w:after="0" w:line="240" w:lineRule="auto"/>
        <w:jc w:val="both"/>
        <w:rPr>
          <w:rFonts w:ascii="Times New Roman" w:hAnsi="Times New Roman" w:cs="Times New Roman"/>
          <w:sz w:val="24"/>
          <w:szCs w:val="24"/>
        </w:rPr>
      </w:pPr>
    </w:p>
    <w:p w:rsidR="00490DA2" w:rsidRPr="003A595E" w:rsidRDefault="00490DA2" w:rsidP="00FA6151">
      <w:pPr>
        <w:spacing w:after="0" w:line="240" w:lineRule="auto"/>
        <w:jc w:val="both"/>
        <w:rPr>
          <w:rFonts w:ascii="Times New Roman" w:hAnsi="Times New Roman" w:cs="Times New Roman"/>
          <w:sz w:val="24"/>
          <w:szCs w:val="24"/>
        </w:rPr>
      </w:pPr>
      <w:r w:rsidRPr="00490DA2">
        <w:rPr>
          <w:rFonts w:ascii="Times New Roman" w:hAnsi="Times New Roman" w:cs="Times New Roman"/>
          <w:sz w:val="24"/>
          <w:szCs w:val="24"/>
        </w:rPr>
        <w:t>The assessment area is a competitive market for financial services</w:t>
      </w:r>
      <w:r w:rsidR="00AF2064">
        <w:rPr>
          <w:rFonts w:ascii="Times New Roman" w:hAnsi="Times New Roman" w:cs="Times New Roman"/>
          <w:sz w:val="24"/>
          <w:szCs w:val="24"/>
        </w:rPr>
        <w:t xml:space="preserve">. </w:t>
      </w:r>
      <w:r w:rsidRPr="00490DA2">
        <w:rPr>
          <w:rFonts w:ascii="Times New Roman" w:hAnsi="Times New Roman" w:cs="Times New Roman"/>
          <w:sz w:val="24"/>
          <w:szCs w:val="24"/>
        </w:rPr>
        <w:t>According to FDIC Deposit Market Share data as of June 30, 2018, 20 financial institutions operated 77 full-service branches within the assessment area</w:t>
      </w:r>
      <w:r w:rsidR="00AF2064">
        <w:rPr>
          <w:rFonts w:ascii="Times New Roman" w:hAnsi="Times New Roman" w:cs="Times New Roman"/>
          <w:sz w:val="24"/>
          <w:szCs w:val="24"/>
        </w:rPr>
        <w:t xml:space="preserve">. </w:t>
      </w:r>
      <w:r w:rsidRPr="00490DA2">
        <w:rPr>
          <w:rFonts w:ascii="Times New Roman" w:hAnsi="Times New Roman" w:cs="Times New Roman"/>
          <w:sz w:val="24"/>
          <w:szCs w:val="24"/>
        </w:rPr>
        <w:t xml:space="preserve">Of these institutions, Watertown Savings ranked </w:t>
      </w:r>
      <w:proofErr w:type="gramStart"/>
      <w:r w:rsidRPr="00490DA2">
        <w:rPr>
          <w:rFonts w:ascii="Times New Roman" w:hAnsi="Times New Roman" w:cs="Times New Roman"/>
          <w:sz w:val="24"/>
          <w:szCs w:val="24"/>
        </w:rPr>
        <w:t>4</w:t>
      </w:r>
      <w:r w:rsidRPr="00490DA2">
        <w:rPr>
          <w:rFonts w:ascii="Times New Roman" w:hAnsi="Times New Roman" w:cs="Times New Roman"/>
          <w:sz w:val="24"/>
          <w:szCs w:val="24"/>
          <w:vertAlign w:val="superscript"/>
        </w:rPr>
        <w:t>th</w:t>
      </w:r>
      <w:proofErr w:type="gramEnd"/>
      <w:r>
        <w:rPr>
          <w:rFonts w:ascii="Times New Roman" w:hAnsi="Times New Roman" w:cs="Times New Roman"/>
          <w:sz w:val="24"/>
          <w:szCs w:val="24"/>
        </w:rPr>
        <w:t xml:space="preserve"> </w:t>
      </w:r>
      <w:r w:rsidRPr="00490DA2">
        <w:rPr>
          <w:rFonts w:ascii="Times New Roman" w:hAnsi="Times New Roman" w:cs="Times New Roman"/>
          <w:sz w:val="24"/>
          <w:szCs w:val="24"/>
        </w:rPr>
        <w:t>with a deposit market share of 9.2%.</w:t>
      </w:r>
    </w:p>
    <w:p w:rsidR="00FA6151" w:rsidRDefault="00FA6151" w:rsidP="00FA6151">
      <w:pPr>
        <w:spacing w:after="0" w:line="240" w:lineRule="auto"/>
        <w:jc w:val="both"/>
        <w:rPr>
          <w:rFonts w:ascii="Times New Roman" w:hAnsi="Times New Roman" w:cs="Times New Roman"/>
          <w:b/>
          <w:i/>
          <w:sz w:val="24"/>
          <w:szCs w:val="24"/>
        </w:rPr>
      </w:pPr>
    </w:p>
    <w:p w:rsidR="002F07DC" w:rsidRPr="00A62875" w:rsidRDefault="002F07DC" w:rsidP="00FA6151">
      <w:pPr>
        <w:spacing w:after="0" w:line="240" w:lineRule="auto"/>
        <w:jc w:val="both"/>
        <w:rPr>
          <w:rFonts w:ascii="Times New Roman" w:hAnsi="Times New Roman" w:cs="Times New Roman"/>
          <w:b/>
          <w:i/>
          <w:sz w:val="24"/>
          <w:szCs w:val="24"/>
        </w:rPr>
      </w:pPr>
      <w:r w:rsidRPr="00A62875">
        <w:rPr>
          <w:rFonts w:ascii="Times New Roman" w:hAnsi="Times New Roman" w:cs="Times New Roman"/>
          <w:b/>
          <w:i/>
          <w:sz w:val="24"/>
          <w:szCs w:val="24"/>
        </w:rPr>
        <w:t>Community Contact</w:t>
      </w:r>
    </w:p>
    <w:p w:rsidR="00FC0AA7" w:rsidRDefault="00911D3D" w:rsidP="00FA6151">
      <w:pPr>
        <w:spacing w:after="0" w:line="240" w:lineRule="auto"/>
        <w:jc w:val="both"/>
        <w:rPr>
          <w:rFonts w:ascii="Times New Roman" w:hAnsi="Times New Roman" w:cs="Times New Roman"/>
          <w:sz w:val="24"/>
          <w:szCs w:val="24"/>
        </w:rPr>
      </w:pPr>
      <w:r w:rsidRPr="00911D3D">
        <w:rPr>
          <w:rFonts w:ascii="Times New Roman" w:hAnsi="Times New Roman" w:cs="Times New Roman"/>
          <w:sz w:val="24"/>
          <w:szCs w:val="24"/>
        </w:rPr>
        <w:t>As</w:t>
      </w:r>
      <w:r>
        <w:rPr>
          <w:rFonts w:ascii="Times New Roman" w:hAnsi="Times New Roman" w:cs="Times New Roman"/>
          <w:sz w:val="24"/>
          <w:szCs w:val="24"/>
        </w:rPr>
        <w:t xml:space="preserve"> part of the evaluation process, examiners contact third parties active in the assessment area to help assess credit and community development needs</w:t>
      </w:r>
      <w:r w:rsidR="00FA6151">
        <w:rPr>
          <w:rFonts w:ascii="Times New Roman" w:hAnsi="Times New Roman" w:cs="Times New Roman"/>
          <w:sz w:val="24"/>
          <w:szCs w:val="24"/>
        </w:rPr>
        <w:t xml:space="preserve">. </w:t>
      </w:r>
      <w:r>
        <w:rPr>
          <w:rFonts w:ascii="Times New Roman" w:hAnsi="Times New Roman" w:cs="Times New Roman"/>
          <w:sz w:val="24"/>
          <w:szCs w:val="24"/>
        </w:rPr>
        <w:t xml:space="preserve">The information obtained helps to determine </w:t>
      </w:r>
      <w:proofErr w:type="gramStart"/>
      <w:r>
        <w:rPr>
          <w:rFonts w:ascii="Times New Roman" w:hAnsi="Times New Roman" w:cs="Times New Roman"/>
          <w:sz w:val="24"/>
          <w:szCs w:val="24"/>
        </w:rPr>
        <w:t>whether local financial institutions are responsive to these needs and what credit</w:t>
      </w:r>
      <w:proofErr w:type="gramEnd"/>
      <w:r>
        <w:rPr>
          <w:rFonts w:ascii="Times New Roman" w:hAnsi="Times New Roman" w:cs="Times New Roman"/>
          <w:sz w:val="24"/>
          <w:szCs w:val="24"/>
        </w:rPr>
        <w:t xml:space="preserve"> and community development opportunities, if any, are available.</w:t>
      </w:r>
    </w:p>
    <w:p w:rsidR="00FA6151" w:rsidRDefault="00FA6151" w:rsidP="00FA6151">
      <w:pPr>
        <w:spacing w:after="0" w:line="240" w:lineRule="auto"/>
        <w:jc w:val="both"/>
        <w:rPr>
          <w:rFonts w:ascii="Times New Roman" w:hAnsi="Times New Roman" w:cs="Times New Roman"/>
          <w:sz w:val="24"/>
          <w:szCs w:val="24"/>
        </w:rPr>
      </w:pPr>
    </w:p>
    <w:p w:rsidR="008414E1" w:rsidRDefault="00583367" w:rsidP="00FA6151">
      <w:pPr>
        <w:spacing w:after="0" w:line="240" w:lineRule="auto"/>
        <w:jc w:val="both"/>
        <w:rPr>
          <w:rFonts w:ascii="Times New Roman" w:hAnsi="Times New Roman" w:cs="Times New Roman"/>
          <w:sz w:val="24"/>
          <w:szCs w:val="24"/>
        </w:rPr>
      </w:pPr>
      <w:r w:rsidRPr="008414E1">
        <w:rPr>
          <w:rFonts w:ascii="Times New Roman" w:hAnsi="Times New Roman" w:cs="Times New Roman"/>
          <w:sz w:val="24"/>
          <w:szCs w:val="24"/>
        </w:rPr>
        <w:t>Examiners</w:t>
      </w:r>
      <w:r w:rsidR="009508F4" w:rsidRPr="008414E1">
        <w:rPr>
          <w:rFonts w:ascii="Times New Roman" w:hAnsi="Times New Roman" w:cs="Times New Roman"/>
          <w:sz w:val="24"/>
          <w:szCs w:val="24"/>
        </w:rPr>
        <w:t xml:space="preserve"> co</w:t>
      </w:r>
      <w:r w:rsidR="00031669" w:rsidRPr="008414E1">
        <w:rPr>
          <w:rFonts w:ascii="Times New Roman" w:hAnsi="Times New Roman" w:cs="Times New Roman"/>
          <w:sz w:val="24"/>
          <w:szCs w:val="24"/>
        </w:rPr>
        <w:t>ntacted two</w:t>
      </w:r>
      <w:r w:rsidR="009508F4" w:rsidRPr="008414E1">
        <w:rPr>
          <w:rFonts w:ascii="Times New Roman" w:hAnsi="Times New Roman" w:cs="Times New Roman"/>
          <w:sz w:val="24"/>
          <w:szCs w:val="24"/>
        </w:rPr>
        <w:t xml:space="preserve"> organization</w:t>
      </w:r>
      <w:r w:rsidR="00031669" w:rsidRPr="008414E1">
        <w:rPr>
          <w:rFonts w:ascii="Times New Roman" w:hAnsi="Times New Roman" w:cs="Times New Roman"/>
          <w:sz w:val="24"/>
          <w:szCs w:val="24"/>
        </w:rPr>
        <w:t>s in the assessment area</w:t>
      </w:r>
      <w:r w:rsidR="00FA6151">
        <w:rPr>
          <w:rFonts w:ascii="Times New Roman" w:hAnsi="Times New Roman" w:cs="Times New Roman"/>
          <w:sz w:val="24"/>
          <w:szCs w:val="24"/>
        </w:rPr>
        <w:t>.</w:t>
      </w:r>
      <w:r w:rsidR="00B47684">
        <w:rPr>
          <w:rFonts w:ascii="Times New Roman" w:hAnsi="Times New Roman" w:cs="Times New Roman"/>
          <w:sz w:val="24"/>
          <w:szCs w:val="24"/>
        </w:rPr>
        <w:t xml:space="preserve"> </w:t>
      </w:r>
      <w:r w:rsidR="00031669" w:rsidRPr="008414E1">
        <w:rPr>
          <w:rFonts w:ascii="Times New Roman" w:hAnsi="Times New Roman" w:cs="Times New Roman"/>
          <w:sz w:val="24"/>
          <w:szCs w:val="24"/>
        </w:rPr>
        <w:t>Both contacts focus on affordable housing solutions for low- and moderate-income families</w:t>
      </w:r>
      <w:r w:rsidR="00FA6151">
        <w:rPr>
          <w:rFonts w:ascii="Times New Roman" w:hAnsi="Times New Roman" w:cs="Times New Roman"/>
          <w:sz w:val="24"/>
          <w:szCs w:val="24"/>
        </w:rPr>
        <w:t xml:space="preserve">. </w:t>
      </w:r>
      <w:r w:rsidR="008414E1" w:rsidRPr="008414E1">
        <w:rPr>
          <w:rFonts w:ascii="Times New Roman" w:hAnsi="Times New Roman" w:cs="Times New Roman"/>
          <w:sz w:val="24"/>
          <w:szCs w:val="24"/>
        </w:rPr>
        <w:t>The contacts noted that there is a growing population of housing-insecure individuals experiencing difficulty obtaining satisfactory employment due to opportunity, age or health</w:t>
      </w:r>
      <w:r w:rsidR="00AF2064">
        <w:rPr>
          <w:rFonts w:ascii="Times New Roman" w:hAnsi="Times New Roman" w:cs="Times New Roman"/>
          <w:sz w:val="24"/>
          <w:szCs w:val="24"/>
        </w:rPr>
        <w:t xml:space="preserve">. </w:t>
      </w:r>
      <w:r w:rsidR="00215AAE" w:rsidRPr="008414E1">
        <w:rPr>
          <w:rFonts w:ascii="Times New Roman" w:hAnsi="Times New Roman" w:cs="Times New Roman"/>
          <w:sz w:val="24"/>
          <w:szCs w:val="24"/>
        </w:rPr>
        <w:t xml:space="preserve">Both contacts noted the difficulty of finding or developing affordable housing in the </w:t>
      </w:r>
      <w:r w:rsidR="00AF2064" w:rsidRPr="008414E1">
        <w:rPr>
          <w:rFonts w:ascii="Times New Roman" w:hAnsi="Times New Roman" w:cs="Times New Roman"/>
          <w:sz w:val="24"/>
          <w:szCs w:val="24"/>
        </w:rPr>
        <w:t>metro west</w:t>
      </w:r>
      <w:r w:rsidR="00215AAE" w:rsidRPr="008414E1">
        <w:rPr>
          <w:rFonts w:ascii="Times New Roman" w:hAnsi="Times New Roman" w:cs="Times New Roman"/>
          <w:sz w:val="24"/>
          <w:szCs w:val="24"/>
        </w:rPr>
        <w:t xml:space="preserve"> area, due to significant investor competition for properties and land</w:t>
      </w:r>
      <w:r w:rsidR="00AF2064">
        <w:rPr>
          <w:rFonts w:ascii="Times New Roman" w:hAnsi="Times New Roman" w:cs="Times New Roman"/>
          <w:sz w:val="24"/>
          <w:szCs w:val="24"/>
        </w:rPr>
        <w:t xml:space="preserve">. </w:t>
      </w:r>
      <w:r w:rsidR="00215AAE" w:rsidRPr="008414E1">
        <w:rPr>
          <w:rFonts w:ascii="Times New Roman" w:hAnsi="Times New Roman" w:cs="Times New Roman"/>
          <w:sz w:val="24"/>
          <w:szCs w:val="24"/>
        </w:rPr>
        <w:t>For one contact, the most significant development project in the area occurred over five years ago; there have been no significant opportunities since</w:t>
      </w:r>
      <w:r w:rsidR="00B47684">
        <w:rPr>
          <w:rFonts w:ascii="Times New Roman" w:hAnsi="Times New Roman" w:cs="Times New Roman"/>
          <w:sz w:val="24"/>
          <w:szCs w:val="24"/>
        </w:rPr>
        <w:t xml:space="preserve">.  </w:t>
      </w:r>
    </w:p>
    <w:p w:rsidR="00FA6151" w:rsidRPr="008414E1" w:rsidRDefault="00FA6151" w:rsidP="00FA6151">
      <w:pPr>
        <w:spacing w:after="0" w:line="240" w:lineRule="auto"/>
        <w:jc w:val="both"/>
        <w:rPr>
          <w:rFonts w:ascii="Times New Roman" w:hAnsi="Times New Roman" w:cs="Times New Roman"/>
          <w:sz w:val="24"/>
          <w:szCs w:val="24"/>
        </w:rPr>
      </w:pPr>
    </w:p>
    <w:p w:rsidR="008420F7" w:rsidRDefault="00215AAE" w:rsidP="00FA6151">
      <w:pPr>
        <w:spacing w:after="0" w:line="240" w:lineRule="auto"/>
        <w:jc w:val="both"/>
        <w:rPr>
          <w:rFonts w:ascii="Times New Roman" w:hAnsi="Times New Roman" w:cs="Times New Roman"/>
          <w:sz w:val="24"/>
          <w:szCs w:val="24"/>
        </w:rPr>
      </w:pPr>
      <w:r w:rsidRPr="008414E1">
        <w:rPr>
          <w:rFonts w:ascii="Times New Roman" w:hAnsi="Times New Roman" w:cs="Times New Roman"/>
          <w:sz w:val="24"/>
          <w:szCs w:val="24"/>
        </w:rPr>
        <w:t xml:space="preserve">In spite of the limited lending and investment opportunities, both contacts felt the involvement from local financial institutions </w:t>
      </w:r>
      <w:r w:rsidR="00393D0A">
        <w:rPr>
          <w:rFonts w:ascii="Times New Roman" w:hAnsi="Times New Roman" w:cs="Times New Roman"/>
          <w:sz w:val="24"/>
          <w:szCs w:val="24"/>
        </w:rPr>
        <w:t>is</w:t>
      </w:r>
      <w:r w:rsidRPr="008414E1">
        <w:rPr>
          <w:rFonts w:ascii="Times New Roman" w:hAnsi="Times New Roman" w:cs="Times New Roman"/>
          <w:sz w:val="24"/>
          <w:szCs w:val="24"/>
        </w:rPr>
        <w:t xml:space="preserve"> good</w:t>
      </w:r>
      <w:r w:rsidR="00AF2064">
        <w:rPr>
          <w:rFonts w:ascii="Times New Roman" w:hAnsi="Times New Roman" w:cs="Times New Roman"/>
          <w:sz w:val="24"/>
          <w:szCs w:val="24"/>
        </w:rPr>
        <w:t xml:space="preserve">. </w:t>
      </w:r>
      <w:r w:rsidRPr="008414E1">
        <w:rPr>
          <w:rFonts w:ascii="Times New Roman" w:hAnsi="Times New Roman" w:cs="Times New Roman"/>
          <w:sz w:val="24"/>
          <w:szCs w:val="24"/>
        </w:rPr>
        <w:t>The contacts specifically mentioned Watertown as one of the most visible and responsive institutions in the area</w:t>
      </w:r>
      <w:r w:rsidR="00AF2064">
        <w:rPr>
          <w:rFonts w:ascii="Times New Roman" w:hAnsi="Times New Roman" w:cs="Times New Roman"/>
          <w:sz w:val="24"/>
          <w:szCs w:val="24"/>
        </w:rPr>
        <w:t xml:space="preserve">. </w:t>
      </w:r>
      <w:r w:rsidRPr="008414E1">
        <w:rPr>
          <w:rFonts w:ascii="Times New Roman" w:hAnsi="Times New Roman" w:cs="Times New Roman"/>
          <w:sz w:val="24"/>
          <w:szCs w:val="24"/>
        </w:rPr>
        <w:t>In terms of improvement, both contacts suggested increased community development service</w:t>
      </w:r>
      <w:r w:rsidR="00AF2064">
        <w:rPr>
          <w:rFonts w:ascii="Times New Roman" w:hAnsi="Times New Roman" w:cs="Times New Roman"/>
          <w:sz w:val="24"/>
          <w:szCs w:val="24"/>
        </w:rPr>
        <w:t xml:space="preserve">. </w:t>
      </w:r>
      <w:r w:rsidRPr="008414E1">
        <w:rPr>
          <w:rFonts w:ascii="Times New Roman" w:hAnsi="Times New Roman" w:cs="Times New Roman"/>
          <w:sz w:val="24"/>
          <w:szCs w:val="24"/>
        </w:rPr>
        <w:t>One contact noted that while financial literacy classes were good, ongoing financial coaching or mentoring appeared to be a model with more impact</w:t>
      </w:r>
      <w:r w:rsidR="00AF2064">
        <w:rPr>
          <w:rFonts w:ascii="Times New Roman" w:hAnsi="Times New Roman" w:cs="Times New Roman"/>
          <w:sz w:val="24"/>
          <w:szCs w:val="24"/>
        </w:rPr>
        <w:t xml:space="preserve">. </w:t>
      </w:r>
      <w:r w:rsidRPr="008414E1">
        <w:rPr>
          <w:rFonts w:ascii="Times New Roman" w:hAnsi="Times New Roman" w:cs="Times New Roman"/>
          <w:sz w:val="24"/>
          <w:szCs w:val="24"/>
        </w:rPr>
        <w:t>The other contact mentioned that institutions could take steps to ensure that all consumers are aware of the fee-free checking services offered</w:t>
      </w:r>
      <w:r w:rsidR="00AF2064">
        <w:rPr>
          <w:rFonts w:ascii="Times New Roman" w:hAnsi="Times New Roman" w:cs="Times New Roman"/>
          <w:sz w:val="24"/>
          <w:szCs w:val="24"/>
        </w:rPr>
        <w:t xml:space="preserve">. </w:t>
      </w:r>
      <w:r w:rsidRPr="008414E1">
        <w:rPr>
          <w:rFonts w:ascii="Times New Roman" w:hAnsi="Times New Roman" w:cs="Times New Roman"/>
          <w:sz w:val="24"/>
          <w:szCs w:val="24"/>
        </w:rPr>
        <w:t xml:space="preserve">This would be particularly helpful for the </w:t>
      </w:r>
      <w:proofErr w:type="gramStart"/>
      <w:r w:rsidRPr="008414E1">
        <w:rPr>
          <w:rFonts w:ascii="Times New Roman" w:hAnsi="Times New Roman" w:cs="Times New Roman"/>
          <w:sz w:val="24"/>
          <w:szCs w:val="24"/>
        </w:rPr>
        <w:t>underbanked,</w:t>
      </w:r>
      <w:proofErr w:type="gramEnd"/>
      <w:r w:rsidRPr="008414E1">
        <w:rPr>
          <w:rFonts w:ascii="Times New Roman" w:hAnsi="Times New Roman" w:cs="Times New Roman"/>
          <w:sz w:val="24"/>
          <w:szCs w:val="24"/>
        </w:rPr>
        <w:t xml:space="preserve"> or even vulnerable individuals that may be in accounts with fee structures that may not be advantageous</w:t>
      </w:r>
      <w:r w:rsidR="00B47684">
        <w:rPr>
          <w:rFonts w:ascii="Times New Roman" w:hAnsi="Times New Roman" w:cs="Times New Roman"/>
          <w:sz w:val="24"/>
          <w:szCs w:val="24"/>
        </w:rPr>
        <w:t xml:space="preserve">.  </w:t>
      </w:r>
    </w:p>
    <w:p w:rsidR="00FA6151" w:rsidRPr="00911D3D" w:rsidRDefault="00FA6151" w:rsidP="00FA6151">
      <w:pPr>
        <w:spacing w:after="0" w:line="240" w:lineRule="auto"/>
        <w:jc w:val="both"/>
        <w:rPr>
          <w:rFonts w:ascii="Times New Roman" w:hAnsi="Times New Roman" w:cs="Times New Roman"/>
          <w:sz w:val="24"/>
          <w:szCs w:val="24"/>
        </w:rPr>
      </w:pPr>
    </w:p>
    <w:p w:rsidR="002F07DC" w:rsidRPr="003A595E" w:rsidRDefault="002F07DC" w:rsidP="00FA6151">
      <w:pPr>
        <w:spacing w:after="0" w:line="240" w:lineRule="auto"/>
        <w:jc w:val="both"/>
        <w:rPr>
          <w:rFonts w:ascii="Times New Roman" w:hAnsi="Times New Roman" w:cs="Times New Roman"/>
          <w:b/>
          <w:i/>
          <w:sz w:val="24"/>
          <w:szCs w:val="24"/>
        </w:rPr>
      </w:pPr>
      <w:r w:rsidRPr="00A62875">
        <w:rPr>
          <w:rFonts w:ascii="Times New Roman" w:hAnsi="Times New Roman" w:cs="Times New Roman"/>
          <w:b/>
          <w:i/>
          <w:sz w:val="24"/>
          <w:szCs w:val="24"/>
        </w:rPr>
        <w:t>Credit and Community Development Needs and Opportunities</w:t>
      </w:r>
    </w:p>
    <w:p w:rsidR="008414E1" w:rsidRPr="00393D0A" w:rsidRDefault="001D675B" w:rsidP="00FA61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Considering information from the community contacts, bank management, and demographic and economic data, examiners determined that loans for affordable housing represent a primary credit need for the assessment area</w:t>
      </w:r>
      <w:r w:rsidR="00AF2064">
        <w:rPr>
          <w:rFonts w:ascii="Times New Roman" w:hAnsi="Times New Roman" w:cs="Times New Roman"/>
          <w:sz w:val="24"/>
          <w:szCs w:val="24"/>
        </w:rPr>
        <w:t xml:space="preserve">. </w:t>
      </w:r>
      <w:r>
        <w:rPr>
          <w:rFonts w:ascii="Times New Roman" w:hAnsi="Times New Roman" w:cs="Times New Roman"/>
          <w:sz w:val="24"/>
          <w:szCs w:val="24"/>
        </w:rPr>
        <w:t>The rea</w:t>
      </w:r>
      <w:r w:rsidR="00393D0A">
        <w:rPr>
          <w:rFonts w:ascii="Times New Roman" w:hAnsi="Times New Roman" w:cs="Times New Roman"/>
          <w:sz w:val="24"/>
          <w:szCs w:val="24"/>
        </w:rPr>
        <w:t>l estate market in the area is</w:t>
      </w:r>
      <w:r>
        <w:rPr>
          <w:rFonts w:ascii="Times New Roman" w:hAnsi="Times New Roman" w:cs="Times New Roman"/>
          <w:sz w:val="24"/>
          <w:szCs w:val="24"/>
        </w:rPr>
        <w:t xml:space="preserve"> competitive</w:t>
      </w:r>
      <w:r w:rsidR="00AF2064">
        <w:rPr>
          <w:rFonts w:ascii="Times New Roman" w:hAnsi="Times New Roman" w:cs="Times New Roman"/>
          <w:sz w:val="24"/>
          <w:szCs w:val="24"/>
        </w:rPr>
        <w:t xml:space="preserve">. </w:t>
      </w:r>
      <w:r>
        <w:rPr>
          <w:rFonts w:ascii="Times New Roman" w:hAnsi="Times New Roman" w:cs="Times New Roman"/>
          <w:sz w:val="24"/>
          <w:szCs w:val="24"/>
        </w:rPr>
        <w:t>As a result, real estate prices have continued to increase dramatically</w:t>
      </w:r>
      <w:r w:rsidR="00FA6151">
        <w:rPr>
          <w:rFonts w:ascii="Times New Roman" w:hAnsi="Times New Roman" w:cs="Times New Roman"/>
          <w:sz w:val="24"/>
          <w:szCs w:val="24"/>
        </w:rPr>
        <w:t>.</w:t>
      </w:r>
      <w:r w:rsidR="00B47684">
        <w:rPr>
          <w:rFonts w:ascii="Times New Roman" w:hAnsi="Times New Roman" w:cs="Times New Roman"/>
          <w:sz w:val="24"/>
          <w:szCs w:val="24"/>
        </w:rPr>
        <w:t xml:space="preserve"> </w:t>
      </w:r>
      <w:r>
        <w:rPr>
          <w:rFonts w:ascii="Times New Roman" w:hAnsi="Times New Roman" w:cs="Times New Roman"/>
          <w:sz w:val="24"/>
          <w:szCs w:val="24"/>
        </w:rPr>
        <w:t xml:space="preserve">Examiners also determined that community services for low- and moderate-income individuals, particularly </w:t>
      </w:r>
      <w:proofErr w:type="gramStart"/>
      <w:r>
        <w:rPr>
          <w:rFonts w:ascii="Times New Roman" w:hAnsi="Times New Roman" w:cs="Times New Roman"/>
          <w:sz w:val="24"/>
          <w:szCs w:val="24"/>
        </w:rPr>
        <w:t>with regards to</w:t>
      </w:r>
      <w:proofErr w:type="gramEnd"/>
      <w:r>
        <w:rPr>
          <w:rFonts w:ascii="Times New Roman" w:hAnsi="Times New Roman" w:cs="Times New Roman"/>
          <w:sz w:val="24"/>
          <w:szCs w:val="24"/>
        </w:rPr>
        <w:t xml:space="preserve"> financial education, represent a significant need in the assessment area.</w:t>
      </w:r>
    </w:p>
    <w:p w:rsidR="00FA6151" w:rsidRDefault="00FA6151" w:rsidP="00FA6151">
      <w:pPr>
        <w:spacing w:after="0" w:line="240" w:lineRule="auto"/>
        <w:rPr>
          <w:rFonts w:ascii="Times New Roman" w:hAnsi="Times New Roman" w:cs="Times New Roman"/>
          <w:b/>
          <w:sz w:val="28"/>
          <w:szCs w:val="28"/>
        </w:rPr>
      </w:pPr>
      <w:r>
        <w:rPr>
          <w:rFonts w:ascii="Times New Roman" w:hAnsi="Times New Roman" w:cs="Times New Roman"/>
          <w:b/>
          <w:sz w:val="28"/>
          <w:szCs w:val="28"/>
        </w:rPr>
        <w:br w:type="page"/>
      </w:r>
    </w:p>
    <w:p w:rsidR="002F07DC" w:rsidRDefault="002F07DC" w:rsidP="00702538">
      <w:pPr>
        <w:jc w:val="center"/>
        <w:rPr>
          <w:rFonts w:ascii="Times New Roman" w:hAnsi="Times New Roman" w:cs="Times New Roman"/>
          <w:b/>
          <w:sz w:val="28"/>
          <w:szCs w:val="28"/>
        </w:rPr>
      </w:pPr>
      <w:r>
        <w:rPr>
          <w:rFonts w:ascii="Times New Roman" w:hAnsi="Times New Roman" w:cs="Times New Roman"/>
          <w:b/>
          <w:sz w:val="28"/>
          <w:szCs w:val="28"/>
        </w:rPr>
        <w:lastRenderedPageBreak/>
        <w:t>CONCLUSIONS ON PERFORMANCE CRITERIA</w:t>
      </w:r>
    </w:p>
    <w:p w:rsidR="002F07DC" w:rsidRDefault="002F07DC" w:rsidP="00FA6151">
      <w:pPr>
        <w:jc w:val="both"/>
        <w:rPr>
          <w:rFonts w:ascii="Times New Roman" w:hAnsi="Times New Roman" w:cs="Times New Roman"/>
          <w:b/>
          <w:sz w:val="24"/>
          <w:szCs w:val="24"/>
          <w:u w:val="single"/>
        </w:rPr>
      </w:pPr>
      <w:r>
        <w:rPr>
          <w:rFonts w:ascii="Times New Roman" w:hAnsi="Times New Roman" w:cs="Times New Roman"/>
          <w:b/>
          <w:sz w:val="24"/>
          <w:szCs w:val="24"/>
          <w:u w:val="single"/>
        </w:rPr>
        <w:t>LENDING TEST</w:t>
      </w:r>
    </w:p>
    <w:p w:rsidR="002F07DC" w:rsidRDefault="002F07DC" w:rsidP="00FA6151">
      <w:pPr>
        <w:jc w:val="both"/>
        <w:rPr>
          <w:rFonts w:ascii="Times New Roman" w:hAnsi="Times New Roman" w:cs="Times New Roman"/>
          <w:sz w:val="24"/>
          <w:szCs w:val="24"/>
        </w:rPr>
      </w:pPr>
      <w:r>
        <w:rPr>
          <w:rFonts w:ascii="Times New Roman" w:hAnsi="Times New Roman" w:cs="Times New Roman"/>
          <w:sz w:val="24"/>
          <w:szCs w:val="24"/>
        </w:rPr>
        <w:t xml:space="preserve">Watertown Savings Bank demonstrated </w:t>
      </w:r>
      <w:r w:rsidR="00E7725B">
        <w:rPr>
          <w:rFonts w:ascii="Times New Roman" w:hAnsi="Times New Roman" w:cs="Times New Roman"/>
          <w:sz w:val="24"/>
          <w:szCs w:val="24"/>
        </w:rPr>
        <w:t>Good</w:t>
      </w:r>
      <w:r>
        <w:rPr>
          <w:rFonts w:ascii="Times New Roman" w:hAnsi="Times New Roman" w:cs="Times New Roman"/>
          <w:sz w:val="24"/>
          <w:szCs w:val="24"/>
        </w:rPr>
        <w:t xml:space="preserve"> performance under the Lending Test</w:t>
      </w:r>
      <w:r w:rsidR="00AF2064">
        <w:rPr>
          <w:rFonts w:ascii="Times New Roman" w:hAnsi="Times New Roman" w:cs="Times New Roman"/>
          <w:sz w:val="24"/>
          <w:szCs w:val="24"/>
        </w:rPr>
        <w:t xml:space="preserve">. </w:t>
      </w:r>
      <w:r>
        <w:rPr>
          <w:rFonts w:ascii="Times New Roman" w:hAnsi="Times New Roman" w:cs="Times New Roman"/>
          <w:sz w:val="24"/>
          <w:szCs w:val="24"/>
        </w:rPr>
        <w:t>Geographic Distribution and Borrower Profile performance support this conclusion.</w:t>
      </w:r>
    </w:p>
    <w:p w:rsidR="002F07DC" w:rsidRDefault="002F07DC" w:rsidP="00FA6151">
      <w:pPr>
        <w:jc w:val="both"/>
        <w:rPr>
          <w:rFonts w:ascii="Times New Roman" w:hAnsi="Times New Roman" w:cs="Times New Roman"/>
          <w:b/>
          <w:sz w:val="24"/>
          <w:szCs w:val="24"/>
          <w:u w:val="single"/>
        </w:rPr>
      </w:pPr>
      <w:r>
        <w:rPr>
          <w:rFonts w:ascii="Times New Roman" w:hAnsi="Times New Roman" w:cs="Times New Roman"/>
          <w:b/>
          <w:sz w:val="24"/>
          <w:szCs w:val="24"/>
          <w:u w:val="single"/>
        </w:rPr>
        <w:t>Loan-to-Deposit Ratio</w:t>
      </w:r>
    </w:p>
    <w:p w:rsidR="002F07DC" w:rsidRDefault="002F07DC" w:rsidP="00FA6151">
      <w:pPr>
        <w:jc w:val="both"/>
        <w:rPr>
          <w:rFonts w:ascii="Times New Roman" w:hAnsi="Times New Roman" w:cs="Times New Roman"/>
          <w:sz w:val="24"/>
          <w:szCs w:val="24"/>
        </w:rPr>
      </w:pPr>
      <w:r>
        <w:rPr>
          <w:rFonts w:ascii="Times New Roman" w:hAnsi="Times New Roman" w:cs="Times New Roman"/>
          <w:sz w:val="24"/>
          <w:szCs w:val="24"/>
        </w:rPr>
        <w:t xml:space="preserve">The LTD ratio is </w:t>
      </w:r>
      <w:r w:rsidRPr="00E7725B">
        <w:rPr>
          <w:rFonts w:ascii="Times New Roman" w:hAnsi="Times New Roman" w:cs="Times New Roman"/>
          <w:sz w:val="24"/>
          <w:szCs w:val="24"/>
        </w:rPr>
        <w:t>reasonable</w:t>
      </w:r>
      <w:r>
        <w:rPr>
          <w:rFonts w:ascii="Times New Roman" w:hAnsi="Times New Roman" w:cs="Times New Roman"/>
          <w:sz w:val="24"/>
          <w:szCs w:val="24"/>
        </w:rPr>
        <w:t xml:space="preserve"> given the institution’s size, financial condition, and assessment area credit needs</w:t>
      </w:r>
      <w:r w:rsidR="00AF2064">
        <w:rPr>
          <w:rFonts w:ascii="Times New Roman" w:hAnsi="Times New Roman" w:cs="Times New Roman"/>
          <w:sz w:val="24"/>
          <w:szCs w:val="24"/>
        </w:rPr>
        <w:t xml:space="preserve">. </w:t>
      </w:r>
      <w:r w:rsidR="001D27C9">
        <w:rPr>
          <w:rFonts w:ascii="Times New Roman" w:hAnsi="Times New Roman" w:cs="Times New Roman"/>
          <w:sz w:val="24"/>
          <w:szCs w:val="24"/>
        </w:rPr>
        <w:t>The bank</w:t>
      </w:r>
      <w:r>
        <w:rPr>
          <w:rFonts w:ascii="Times New Roman" w:hAnsi="Times New Roman" w:cs="Times New Roman"/>
          <w:sz w:val="24"/>
          <w:szCs w:val="24"/>
        </w:rPr>
        <w:t>’s LTD ratio, calculated from Call Report data, averaged 55.9 percent over the past nine calendar quarters from September 30, 2016 to September 30, 2018</w:t>
      </w:r>
      <w:r w:rsidR="00AF2064">
        <w:rPr>
          <w:rFonts w:ascii="Times New Roman" w:hAnsi="Times New Roman" w:cs="Times New Roman"/>
          <w:sz w:val="24"/>
          <w:szCs w:val="24"/>
        </w:rPr>
        <w:t xml:space="preserve">. </w:t>
      </w:r>
      <w:r>
        <w:rPr>
          <w:rFonts w:ascii="Times New Roman" w:hAnsi="Times New Roman" w:cs="Times New Roman"/>
          <w:sz w:val="24"/>
          <w:szCs w:val="24"/>
        </w:rPr>
        <w:t>The ratio ranged from a low of 54.8 percent as of June 30, 2017 to a high of 57.6 percent as of June 30, 2018</w:t>
      </w:r>
      <w:r w:rsidR="00AF2064">
        <w:rPr>
          <w:rFonts w:ascii="Times New Roman" w:hAnsi="Times New Roman" w:cs="Times New Roman"/>
          <w:sz w:val="24"/>
          <w:szCs w:val="24"/>
        </w:rPr>
        <w:t xml:space="preserve">. </w:t>
      </w:r>
      <w:r>
        <w:rPr>
          <w:rFonts w:ascii="Times New Roman" w:hAnsi="Times New Roman" w:cs="Times New Roman"/>
          <w:sz w:val="24"/>
          <w:szCs w:val="24"/>
        </w:rPr>
        <w:t>The ratio remained relatively stable during the evaluation period</w:t>
      </w:r>
      <w:r w:rsidR="00AF2064">
        <w:rPr>
          <w:rFonts w:ascii="Times New Roman" w:hAnsi="Times New Roman" w:cs="Times New Roman"/>
          <w:sz w:val="24"/>
          <w:szCs w:val="24"/>
        </w:rPr>
        <w:t xml:space="preserve">. </w:t>
      </w:r>
      <w:r>
        <w:rPr>
          <w:rFonts w:ascii="Times New Roman" w:hAnsi="Times New Roman" w:cs="Times New Roman"/>
          <w:sz w:val="24"/>
          <w:szCs w:val="24"/>
        </w:rPr>
        <w:t>Examiners selected comparable institutions based on their asset size, geographic location, and lending focus</w:t>
      </w:r>
      <w:r w:rsidR="00B47684">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3235"/>
        <w:gridCol w:w="2998"/>
        <w:gridCol w:w="3117"/>
      </w:tblGrid>
      <w:tr w:rsidR="002F07DC" w:rsidRPr="003A4989" w:rsidTr="000A6F72">
        <w:tc>
          <w:tcPr>
            <w:tcW w:w="9350" w:type="dxa"/>
            <w:gridSpan w:val="3"/>
          </w:tcPr>
          <w:p w:rsidR="002F07DC" w:rsidRPr="003A4989" w:rsidRDefault="002F07DC" w:rsidP="000A6F72">
            <w:pPr>
              <w:jc w:val="center"/>
              <w:rPr>
                <w:rFonts w:ascii="Times New Roman" w:hAnsi="Times New Roman" w:cs="Times New Roman"/>
                <w:b/>
                <w:sz w:val="20"/>
                <w:szCs w:val="20"/>
              </w:rPr>
            </w:pPr>
            <w:r w:rsidRPr="003A4989">
              <w:rPr>
                <w:rFonts w:ascii="Times New Roman" w:hAnsi="Times New Roman" w:cs="Times New Roman"/>
                <w:b/>
                <w:sz w:val="20"/>
                <w:szCs w:val="20"/>
              </w:rPr>
              <w:t>Loan-to-Deposit Ratio Comparison</w:t>
            </w:r>
          </w:p>
        </w:tc>
      </w:tr>
      <w:tr w:rsidR="002F07DC" w:rsidRPr="003A4989" w:rsidTr="000A6F72">
        <w:tc>
          <w:tcPr>
            <w:tcW w:w="3235" w:type="dxa"/>
          </w:tcPr>
          <w:p w:rsidR="002F07DC" w:rsidRPr="003A4989" w:rsidRDefault="002F07DC" w:rsidP="000A6F72">
            <w:pPr>
              <w:jc w:val="center"/>
              <w:rPr>
                <w:rFonts w:ascii="Times New Roman" w:hAnsi="Times New Roman" w:cs="Times New Roman"/>
                <w:b/>
                <w:sz w:val="20"/>
                <w:szCs w:val="20"/>
              </w:rPr>
            </w:pPr>
            <w:r w:rsidRPr="003A4989">
              <w:rPr>
                <w:rFonts w:ascii="Times New Roman" w:hAnsi="Times New Roman" w:cs="Times New Roman"/>
                <w:b/>
                <w:sz w:val="20"/>
                <w:szCs w:val="20"/>
              </w:rPr>
              <w:t>Institution</w:t>
            </w:r>
          </w:p>
        </w:tc>
        <w:tc>
          <w:tcPr>
            <w:tcW w:w="2998" w:type="dxa"/>
          </w:tcPr>
          <w:p w:rsidR="002F07DC" w:rsidRPr="003A4989" w:rsidRDefault="002F07DC" w:rsidP="000A6F72">
            <w:pPr>
              <w:jc w:val="center"/>
              <w:rPr>
                <w:rFonts w:ascii="Times New Roman" w:hAnsi="Times New Roman" w:cs="Times New Roman"/>
                <w:b/>
                <w:sz w:val="20"/>
                <w:szCs w:val="20"/>
              </w:rPr>
            </w:pPr>
            <w:r w:rsidRPr="003A4989">
              <w:rPr>
                <w:rFonts w:ascii="Times New Roman" w:hAnsi="Times New Roman" w:cs="Times New Roman"/>
                <w:b/>
                <w:sz w:val="20"/>
                <w:szCs w:val="20"/>
              </w:rPr>
              <w:t>Total Assets</w:t>
            </w:r>
            <w:r w:rsidR="003A4989">
              <w:rPr>
                <w:rFonts w:ascii="Times New Roman" w:hAnsi="Times New Roman" w:cs="Times New Roman"/>
                <w:b/>
                <w:sz w:val="20"/>
                <w:szCs w:val="20"/>
              </w:rPr>
              <w:t xml:space="preserve"> as of 9/30/18</w:t>
            </w:r>
          </w:p>
          <w:p w:rsidR="002F07DC" w:rsidRPr="003A4989" w:rsidRDefault="002F07DC" w:rsidP="000A6F72">
            <w:pPr>
              <w:jc w:val="center"/>
              <w:rPr>
                <w:rFonts w:ascii="Times New Roman" w:hAnsi="Times New Roman" w:cs="Times New Roman"/>
                <w:b/>
                <w:sz w:val="20"/>
                <w:szCs w:val="20"/>
              </w:rPr>
            </w:pPr>
            <w:r w:rsidRPr="003A4989">
              <w:rPr>
                <w:rFonts w:ascii="Times New Roman" w:hAnsi="Times New Roman" w:cs="Times New Roman"/>
                <w:b/>
                <w:sz w:val="20"/>
                <w:szCs w:val="20"/>
              </w:rPr>
              <w:t>$(</w:t>
            </w:r>
            <w:proofErr w:type="spellStart"/>
            <w:r w:rsidRPr="003A4989">
              <w:rPr>
                <w:rFonts w:ascii="Times New Roman" w:hAnsi="Times New Roman" w:cs="Times New Roman"/>
                <w:b/>
                <w:sz w:val="20"/>
                <w:szCs w:val="20"/>
              </w:rPr>
              <w:t>000s</w:t>
            </w:r>
            <w:proofErr w:type="spellEnd"/>
            <w:r w:rsidRPr="003A4989">
              <w:rPr>
                <w:rFonts w:ascii="Times New Roman" w:hAnsi="Times New Roman" w:cs="Times New Roman"/>
                <w:b/>
                <w:sz w:val="20"/>
                <w:szCs w:val="20"/>
              </w:rPr>
              <w:t>)</w:t>
            </w:r>
          </w:p>
        </w:tc>
        <w:tc>
          <w:tcPr>
            <w:tcW w:w="3117" w:type="dxa"/>
          </w:tcPr>
          <w:p w:rsidR="002F07DC" w:rsidRPr="003A4989" w:rsidRDefault="002F07DC" w:rsidP="000A6F72">
            <w:pPr>
              <w:jc w:val="center"/>
              <w:rPr>
                <w:rFonts w:ascii="Times New Roman" w:hAnsi="Times New Roman" w:cs="Times New Roman"/>
                <w:b/>
                <w:sz w:val="20"/>
                <w:szCs w:val="20"/>
              </w:rPr>
            </w:pPr>
            <w:r w:rsidRPr="003A4989">
              <w:rPr>
                <w:rFonts w:ascii="Times New Roman" w:hAnsi="Times New Roman" w:cs="Times New Roman"/>
                <w:b/>
                <w:sz w:val="20"/>
                <w:szCs w:val="20"/>
              </w:rPr>
              <w:t>Average LTD Ratio</w:t>
            </w:r>
          </w:p>
          <w:p w:rsidR="002F07DC" w:rsidRPr="003A4989" w:rsidRDefault="002F07DC" w:rsidP="000A6F72">
            <w:pPr>
              <w:jc w:val="center"/>
              <w:rPr>
                <w:rFonts w:ascii="Times New Roman" w:hAnsi="Times New Roman" w:cs="Times New Roman"/>
                <w:b/>
                <w:sz w:val="20"/>
                <w:szCs w:val="20"/>
              </w:rPr>
            </w:pPr>
            <w:r w:rsidRPr="003A4989">
              <w:rPr>
                <w:rFonts w:ascii="Times New Roman" w:hAnsi="Times New Roman" w:cs="Times New Roman"/>
                <w:b/>
                <w:sz w:val="20"/>
                <w:szCs w:val="20"/>
              </w:rPr>
              <w:t>(%)</w:t>
            </w:r>
          </w:p>
        </w:tc>
      </w:tr>
      <w:tr w:rsidR="002F07DC" w:rsidRPr="003A4989" w:rsidTr="000A6F72">
        <w:tc>
          <w:tcPr>
            <w:tcW w:w="3235" w:type="dxa"/>
          </w:tcPr>
          <w:p w:rsidR="002F07DC" w:rsidRPr="003A4989" w:rsidRDefault="002F07DC" w:rsidP="000A6F72">
            <w:pPr>
              <w:rPr>
                <w:rFonts w:ascii="Times New Roman" w:hAnsi="Times New Roman" w:cs="Times New Roman"/>
                <w:sz w:val="20"/>
                <w:szCs w:val="20"/>
              </w:rPr>
            </w:pPr>
            <w:r w:rsidRPr="003A4989">
              <w:rPr>
                <w:rFonts w:ascii="Times New Roman" w:hAnsi="Times New Roman" w:cs="Times New Roman"/>
                <w:sz w:val="20"/>
                <w:szCs w:val="20"/>
              </w:rPr>
              <w:t>Cambridge Trust Company</w:t>
            </w:r>
          </w:p>
        </w:tc>
        <w:tc>
          <w:tcPr>
            <w:tcW w:w="2998" w:type="dxa"/>
          </w:tcPr>
          <w:p w:rsidR="002F07DC" w:rsidRPr="003A4989" w:rsidRDefault="002F07DC" w:rsidP="000A6F72">
            <w:pPr>
              <w:jc w:val="center"/>
              <w:rPr>
                <w:rFonts w:ascii="Times New Roman" w:hAnsi="Times New Roman" w:cs="Times New Roman"/>
                <w:sz w:val="20"/>
                <w:szCs w:val="20"/>
              </w:rPr>
            </w:pPr>
            <w:r w:rsidRPr="003A4989">
              <w:rPr>
                <w:rFonts w:ascii="Times New Roman" w:hAnsi="Times New Roman" w:cs="Times New Roman"/>
                <w:sz w:val="20"/>
                <w:szCs w:val="20"/>
              </w:rPr>
              <w:t>1,998,944</w:t>
            </w:r>
          </w:p>
        </w:tc>
        <w:tc>
          <w:tcPr>
            <w:tcW w:w="3117" w:type="dxa"/>
          </w:tcPr>
          <w:p w:rsidR="002F07DC" w:rsidRPr="003A4989" w:rsidRDefault="002F07DC" w:rsidP="000A6F72">
            <w:pPr>
              <w:jc w:val="center"/>
              <w:rPr>
                <w:rFonts w:ascii="Times New Roman" w:hAnsi="Times New Roman" w:cs="Times New Roman"/>
                <w:sz w:val="20"/>
                <w:szCs w:val="20"/>
              </w:rPr>
            </w:pPr>
            <w:r w:rsidRPr="003A4989">
              <w:rPr>
                <w:rFonts w:ascii="Times New Roman" w:hAnsi="Times New Roman" w:cs="Times New Roman"/>
                <w:sz w:val="20"/>
                <w:szCs w:val="20"/>
              </w:rPr>
              <w:t>78.6</w:t>
            </w:r>
          </w:p>
        </w:tc>
      </w:tr>
      <w:tr w:rsidR="002F07DC" w:rsidRPr="003A4989" w:rsidTr="000A6F72">
        <w:tc>
          <w:tcPr>
            <w:tcW w:w="3235" w:type="dxa"/>
          </w:tcPr>
          <w:p w:rsidR="002F07DC" w:rsidRPr="003A4989" w:rsidRDefault="002F07DC" w:rsidP="000A6F72">
            <w:pPr>
              <w:rPr>
                <w:rFonts w:ascii="Times New Roman" w:hAnsi="Times New Roman" w:cs="Times New Roman"/>
                <w:sz w:val="20"/>
                <w:szCs w:val="20"/>
              </w:rPr>
            </w:pPr>
            <w:r w:rsidRPr="003A4989">
              <w:rPr>
                <w:rFonts w:ascii="Times New Roman" w:hAnsi="Times New Roman" w:cs="Times New Roman"/>
                <w:sz w:val="20"/>
                <w:szCs w:val="20"/>
              </w:rPr>
              <w:t>East Cambridge Savings Bank</w:t>
            </w:r>
          </w:p>
        </w:tc>
        <w:tc>
          <w:tcPr>
            <w:tcW w:w="2998" w:type="dxa"/>
          </w:tcPr>
          <w:p w:rsidR="002F07DC" w:rsidRPr="003A4989" w:rsidRDefault="002F07DC" w:rsidP="000A6F72">
            <w:pPr>
              <w:jc w:val="center"/>
              <w:rPr>
                <w:rFonts w:ascii="Times New Roman" w:hAnsi="Times New Roman" w:cs="Times New Roman"/>
                <w:sz w:val="20"/>
                <w:szCs w:val="20"/>
              </w:rPr>
            </w:pPr>
            <w:r w:rsidRPr="003A4989">
              <w:rPr>
                <w:rFonts w:ascii="Times New Roman" w:hAnsi="Times New Roman" w:cs="Times New Roman"/>
                <w:sz w:val="20"/>
                <w:szCs w:val="20"/>
              </w:rPr>
              <w:t>1,042,746</w:t>
            </w:r>
          </w:p>
        </w:tc>
        <w:tc>
          <w:tcPr>
            <w:tcW w:w="3117" w:type="dxa"/>
          </w:tcPr>
          <w:p w:rsidR="002F07DC" w:rsidRPr="003A4989" w:rsidRDefault="002F07DC" w:rsidP="000A6F72">
            <w:pPr>
              <w:jc w:val="center"/>
              <w:rPr>
                <w:rFonts w:ascii="Times New Roman" w:hAnsi="Times New Roman" w:cs="Times New Roman"/>
                <w:sz w:val="20"/>
                <w:szCs w:val="20"/>
              </w:rPr>
            </w:pPr>
            <w:r w:rsidRPr="003A4989">
              <w:rPr>
                <w:rFonts w:ascii="Times New Roman" w:hAnsi="Times New Roman" w:cs="Times New Roman"/>
                <w:sz w:val="20"/>
                <w:szCs w:val="20"/>
              </w:rPr>
              <w:t>92.3</w:t>
            </w:r>
          </w:p>
        </w:tc>
      </w:tr>
      <w:tr w:rsidR="002F07DC" w:rsidRPr="003A4989" w:rsidTr="000A6F72">
        <w:tc>
          <w:tcPr>
            <w:tcW w:w="3235" w:type="dxa"/>
          </w:tcPr>
          <w:p w:rsidR="002F07DC" w:rsidRPr="003A4989" w:rsidRDefault="002F07DC" w:rsidP="000A6F72">
            <w:pPr>
              <w:rPr>
                <w:rFonts w:ascii="Times New Roman" w:hAnsi="Times New Roman" w:cs="Times New Roman"/>
                <w:b/>
                <w:sz w:val="20"/>
                <w:szCs w:val="20"/>
              </w:rPr>
            </w:pPr>
            <w:r w:rsidRPr="003A4989">
              <w:rPr>
                <w:rFonts w:ascii="Times New Roman" w:hAnsi="Times New Roman" w:cs="Times New Roman"/>
                <w:b/>
                <w:sz w:val="20"/>
                <w:szCs w:val="20"/>
              </w:rPr>
              <w:t>Watertown Savings Bank</w:t>
            </w:r>
          </w:p>
        </w:tc>
        <w:tc>
          <w:tcPr>
            <w:tcW w:w="2998" w:type="dxa"/>
          </w:tcPr>
          <w:p w:rsidR="002F07DC" w:rsidRPr="003A4989" w:rsidRDefault="002F07DC" w:rsidP="000A6F72">
            <w:pPr>
              <w:jc w:val="center"/>
              <w:rPr>
                <w:rFonts w:ascii="Times New Roman" w:hAnsi="Times New Roman" w:cs="Times New Roman"/>
                <w:b/>
                <w:sz w:val="20"/>
                <w:szCs w:val="20"/>
              </w:rPr>
            </w:pPr>
            <w:r w:rsidRPr="003A4989">
              <w:rPr>
                <w:rFonts w:ascii="Times New Roman" w:hAnsi="Times New Roman" w:cs="Times New Roman"/>
                <w:b/>
                <w:sz w:val="20"/>
                <w:szCs w:val="20"/>
              </w:rPr>
              <w:t>1,163,817</w:t>
            </w:r>
          </w:p>
        </w:tc>
        <w:tc>
          <w:tcPr>
            <w:tcW w:w="3117" w:type="dxa"/>
          </w:tcPr>
          <w:p w:rsidR="002F07DC" w:rsidRPr="003A4989" w:rsidRDefault="002F07DC" w:rsidP="000A6F72">
            <w:pPr>
              <w:jc w:val="center"/>
              <w:rPr>
                <w:rFonts w:ascii="Times New Roman" w:hAnsi="Times New Roman" w:cs="Times New Roman"/>
                <w:b/>
                <w:sz w:val="20"/>
                <w:szCs w:val="20"/>
              </w:rPr>
            </w:pPr>
            <w:r w:rsidRPr="003A4989">
              <w:rPr>
                <w:rFonts w:ascii="Times New Roman" w:hAnsi="Times New Roman" w:cs="Times New Roman"/>
                <w:b/>
                <w:sz w:val="20"/>
                <w:szCs w:val="20"/>
              </w:rPr>
              <w:t>55.9</w:t>
            </w:r>
          </w:p>
        </w:tc>
      </w:tr>
      <w:tr w:rsidR="002F07DC" w:rsidRPr="003A4989" w:rsidTr="000A6F72">
        <w:tc>
          <w:tcPr>
            <w:tcW w:w="3235" w:type="dxa"/>
          </w:tcPr>
          <w:p w:rsidR="002F07DC" w:rsidRPr="003A4989" w:rsidRDefault="002F07DC" w:rsidP="000A6F72">
            <w:pPr>
              <w:rPr>
                <w:rFonts w:ascii="Times New Roman" w:hAnsi="Times New Roman" w:cs="Times New Roman"/>
                <w:sz w:val="20"/>
                <w:szCs w:val="20"/>
              </w:rPr>
            </w:pPr>
            <w:r w:rsidRPr="003A4989">
              <w:rPr>
                <w:rFonts w:ascii="Times New Roman" w:hAnsi="Times New Roman" w:cs="Times New Roman"/>
                <w:sz w:val="20"/>
                <w:szCs w:val="20"/>
              </w:rPr>
              <w:t>Wellesley Bank</w:t>
            </w:r>
          </w:p>
        </w:tc>
        <w:tc>
          <w:tcPr>
            <w:tcW w:w="2998" w:type="dxa"/>
          </w:tcPr>
          <w:p w:rsidR="002F07DC" w:rsidRPr="003A4989" w:rsidRDefault="002F07DC" w:rsidP="000A6F72">
            <w:pPr>
              <w:jc w:val="center"/>
              <w:rPr>
                <w:rFonts w:ascii="Times New Roman" w:hAnsi="Times New Roman" w:cs="Times New Roman"/>
                <w:sz w:val="20"/>
                <w:szCs w:val="20"/>
              </w:rPr>
            </w:pPr>
            <w:r w:rsidRPr="003A4989">
              <w:rPr>
                <w:rFonts w:ascii="Times New Roman" w:hAnsi="Times New Roman" w:cs="Times New Roman"/>
                <w:sz w:val="20"/>
                <w:szCs w:val="20"/>
              </w:rPr>
              <w:t>835,964</w:t>
            </w:r>
          </w:p>
        </w:tc>
        <w:tc>
          <w:tcPr>
            <w:tcW w:w="3117" w:type="dxa"/>
          </w:tcPr>
          <w:p w:rsidR="002F07DC" w:rsidRPr="003A4989" w:rsidRDefault="002F07DC" w:rsidP="000A6F72">
            <w:pPr>
              <w:jc w:val="center"/>
              <w:rPr>
                <w:rFonts w:ascii="Times New Roman" w:hAnsi="Times New Roman" w:cs="Times New Roman"/>
                <w:sz w:val="20"/>
                <w:szCs w:val="20"/>
              </w:rPr>
            </w:pPr>
            <w:r w:rsidRPr="003A4989">
              <w:rPr>
                <w:rFonts w:ascii="Times New Roman" w:hAnsi="Times New Roman" w:cs="Times New Roman"/>
                <w:sz w:val="20"/>
                <w:szCs w:val="20"/>
              </w:rPr>
              <w:t>110.3</w:t>
            </w:r>
          </w:p>
        </w:tc>
      </w:tr>
      <w:tr w:rsidR="002F07DC" w:rsidRPr="003A4989" w:rsidTr="000A6F72">
        <w:tc>
          <w:tcPr>
            <w:tcW w:w="9350" w:type="dxa"/>
            <w:gridSpan w:val="3"/>
          </w:tcPr>
          <w:p w:rsidR="002F07DC" w:rsidRPr="003A4989" w:rsidRDefault="002F07DC" w:rsidP="000A6F72">
            <w:pPr>
              <w:rPr>
                <w:rFonts w:ascii="Times New Roman" w:hAnsi="Times New Roman" w:cs="Times New Roman"/>
                <w:i/>
                <w:sz w:val="20"/>
                <w:szCs w:val="20"/>
              </w:rPr>
            </w:pPr>
            <w:r w:rsidRPr="003A4989">
              <w:rPr>
                <w:rFonts w:ascii="Times New Roman" w:hAnsi="Times New Roman" w:cs="Times New Roman"/>
                <w:i/>
                <w:sz w:val="20"/>
                <w:szCs w:val="20"/>
              </w:rPr>
              <w:t>Source: Call Report data</w:t>
            </w:r>
          </w:p>
        </w:tc>
      </w:tr>
    </w:tbl>
    <w:p w:rsidR="002F07DC" w:rsidRDefault="002F07DC" w:rsidP="00FA6151">
      <w:pPr>
        <w:spacing w:after="0" w:line="240" w:lineRule="auto"/>
        <w:jc w:val="both"/>
        <w:rPr>
          <w:rFonts w:ascii="Times New Roman" w:hAnsi="Times New Roman" w:cs="Times New Roman"/>
          <w:sz w:val="24"/>
          <w:szCs w:val="24"/>
        </w:rPr>
      </w:pPr>
    </w:p>
    <w:p w:rsidR="002F07DC" w:rsidRDefault="002F07DC" w:rsidP="00FA6151">
      <w:pPr>
        <w:spacing w:after="0" w:line="240" w:lineRule="auto"/>
        <w:jc w:val="both"/>
        <w:rPr>
          <w:rFonts w:ascii="Times New Roman" w:hAnsi="Times New Roman" w:cs="Times New Roman"/>
          <w:sz w:val="24"/>
          <w:szCs w:val="24"/>
        </w:rPr>
      </w:pPr>
      <w:r w:rsidRPr="00A9542F">
        <w:rPr>
          <w:rFonts w:ascii="Times New Roman" w:hAnsi="Times New Roman" w:cs="Times New Roman"/>
          <w:sz w:val="24"/>
          <w:szCs w:val="24"/>
        </w:rPr>
        <w:t xml:space="preserve">As illustrated above, </w:t>
      </w:r>
      <w:r w:rsidR="001D27C9">
        <w:rPr>
          <w:rFonts w:ascii="Times New Roman" w:hAnsi="Times New Roman" w:cs="Times New Roman"/>
          <w:sz w:val="24"/>
          <w:szCs w:val="24"/>
        </w:rPr>
        <w:t>the bank</w:t>
      </w:r>
      <w:r w:rsidRPr="00A9542F">
        <w:rPr>
          <w:rFonts w:ascii="Times New Roman" w:hAnsi="Times New Roman" w:cs="Times New Roman"/>
          <w:sz w:val="24"/>
          <w:szCs w:val="24"/>
        </w:rPr>
        <w:t xml:space="preserve"> has a lower LTD ratio compared to similarly situated institutions</w:t>
      </w:r>
      <w:r w:rsidR="00AF2064">
        <w:rPr>
          <w:rFonts w:ascii="Times New Roman" w:hAnsi="Times New Roman" w:cs="Times New Roman"/>
          <w:sz w:val="24"/>
          <w:szCs w:val="24"/>
        </w:rPr>
        <w:t xml:space="preserve">. </w:t>
      </w:r>
      <w:r w:rsidRPr="00A9542F">
        <w:rPr>
          <w:rFonts w:ascii="Times New Roman" w:hAnsi="Times New Roman" w:cs="Times New Roman"/>
          <w:sz w:val="24"/>
          <w:szCs w:val="24"/>
        </w:rPr>
        <w:t xml:space="preserve">In spite of the low ratio, </w:t>
      </w:r>
      <w:r w:rsidR="001D27C9">
        <w:rPr>
          <w:rFonts w:ascii="Times New Roman" w:hAnsi="Times New Roman" w:cs="Times New Roman"/>
          <w:sz w:val="24"/>
          <w:szCs w:val="24"/>
        </w:rPr>
        <w:t>the bank</w:t>
      </w:r>
      <w:r w:rsidRPr="00A9542F">
        <w:rPr>
          <w:rFonts w:ascii="Times New Roman" w:hAnsi="Times New Roman" w:cs="Times New Roman"/>
          <w:sz w:val="24"/>
          <w:szCs w:val="24"/>
        </w:rPr>
        <w:t xml:space="preserve"> maintains a reasonable lending volume </w:t>
      </w:r>
      <w:proofErr w:type="gramStart"/>
      <w:r w:rsidRPr="00A9542F">
        <w:rPr>
          <w:rFonts w:ascii="Times New Roman" w:hAnsi="Times New Roman" w:cs="Times New Roman"/>
          <w:sz w:val="24"/>
          <w:szCs w:val="24"/>
        </w:rPr>
        <w:t>in the area</w:t>
      </w:r>
      <w:r w:rsidR="00A9542F" w:rsidRPr="00A9542F">
        <w:rPr>
          <w:rFonts w:ascii="Times New Roman" w:hAnsi="Times New Roman" w:cs="Times New Roman"/>
          <w:sz w:val="24"/>
          <w:szCs w:val="24"/>
        </w:rPr>
        <w:t xml:space="preserve"> as a top 20 lender in a market area with hundreds of institutions</w:t>
      </w:r>
      <w:proofErr w:type="gramEnd"/>
      <w:r w:rsidR="00AF2064">
        <w:rPr>
          <w:rFonts w:ascii="Times New Roman" w:hAnsi="Times New Roman" w:cs="Times New Roman"/>
          <w:sz w:val="24"/>
          <w:szCs w:val="24"/>
        </w:rPr>
        <w:t xml:space="preserve">. </w:t>
      </w:r>
      <w:r w:rsidRPr="00A9542F">
        <w:rPr>
          <w:rFonts w:ascii="Times New Roman" w:hAnsi="Times New Roman" w:cs="Times New Roman"/>
          <w:sz w:val="24"/>
          <w:szCs w:val="24"/>
        </w:rPr>
        <w:t xml:space="preserve">Based on the above information and </w:t>
      </w:r>
      <w:r w:rsidR="001D27C9">
        <w:rPr>
          <w:rFonts w:ascii="Times New Roman" w:hAnsi="Times New Roman" w:cs="Times New Roman"/>
          <w:sz w:val="24"/>
          <w:szCs w:val="24"/>
        </w:rPr>
        <w:t>the bank</w:t>
      </w:r>
      <w:r w:rsidRPr="00A9542F">
        <w:rPr>
          <w:rFonts w:ascii="Times New Roman" w:hAnsi="Times New Roman" w:cs="Times New Roman"/>
          <w:sz w:val="24"/>
          <w:szCs w:val="24"/>
        </w:rPr>
        <w:t xml:space="preserve">’s capacity to lend, the capacity of other similarly situated banks, the types of loans offered by </w:t>
      </w:r>
      <w:r w:rsidR="001D27C9">
        <w:rPr>
          <w:rFonts w:ascii="Times New Roman" w:hAnsi="Times New Roman" w:cs="Times New Roman"/>
          <w:sz w:val="24"/>
          <w:szCs w:val="24"/>
        </w:rPr>
        <w:t>the bank</w:t>
      </w:r>
      <w:r w:rsidRPr="00A9542F">
        <w:rPr>
          <w:rFonts w:ascii="Times New Roman" w:hAnsi="Times New Roman" w:cs="Times New Roman"/>
          <w:sz w:val="24"/>
          <w:szCs w:val="24"/>
        </w:rPr>
        <w:t xml:space="preserve">, and the lending opportunities available, </w:t>
      </w:r>
      <w:r w:rsidR="001D27C9">
        <w:rPr>
          <w:rFonts w:ascii="Times New Roman" w:hAnsi="Times New Roman" w:cs="Times New Roman"/>
          <w:sz w:val="24"/>
          <w:szCs w:val="24"/>
        </w:rPr>
        <w:t>the bank</w:t>
      </w:r>
      <w:r w:rsidRPr="00A9542F">
        <w:rPr>
          <w:rFonts w:ascii="Times New Roman" w:hAnsi="Times New Roman" w:cs="Times New Roman"/>
          <w:sz w:val="24"/>
          <w:szCs w:val="24"/>
        </w:rPr>
        <w:t>’s LTD ratio is reasonable.</w:t>
      </w:r>
    </w:p>
    <w:p w:rsidR="00FA6151" w:rsidRPr="003B49EE" w:rsidRDefault="00FA6151" w:rsidP="00FA6151">
      <w:pPr>
        <w:spacing w:after="0" w:line="240" w:lineRule="auto"/>
        <w:jc w:val="both"/>
        <w:rPr>
          <w:rFonts w:ascii="Times New Roman" w:hAnsi="Times New Roman" w:cs="Times New Roman"/>
          <w:sz w:val="24"/>
          <w:szCs w:val="24"/>
        </w:rPr>
      </w:pPr>
    </w:p>
    <w:p w:rsidR="002F07DC" w:rsidRDefault="002F07DC" w:rsidP="00FA6151">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Assessment Area Concentration</w:t>
      </w:r>
    </w:p>
    <w:p w:rsidR="002F07DC" w:rsidRDefault="001D27C9" w:rsidP="00FA61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bank</w:t>
      </w:r>
      <w:r w:rsidR="002F07DC">
        <w:rPr>
          <w:rFonts w:ascii="Times New Roman" w:hAnsi="Times New Roman" w:cs="Times New Roman"/>
          <w:sz w:val="24"/>
          <w:szCs w:val="24"/>
        </w:rPr>
        <w:t xml:space="preserve"> made a majority of home mortgage loans, by number and dollar amount, within its assessment area</w:t>
      </w:r>
      <w:r w:rsidR="00AF2064">
        <w:rPr>
          <w:rFonts w:ascii="Times New Roman" w:hAnsi="Times New Roman" w:cs="Times New Roman"/>
          <w:sz w:val="24"/>
          <w:szCs w:val="24"/>
        </w:rPr>
        <w:t xml:space="preserve">. </w:t>
      </w:r>
      <w:r w:rsidR="002F07DC">
        <w:rPr>
          <w:rFonts w:ascii="Times New Roman" w:hAnsi="Times New Roman" w:cs="Times New Roman"/>
          <w:sz w:val="24"/>
          <w:szCs w:val="24"/>
        </w:rPr>
        <w:t xml:space="preserve">The average of the years under review </w:t>
      </w:r>
      <w:proofErr w:type="gramStart"/>
      <w:r w:rsidR="002F07DC">
        <w:rPr>
          <w:rFonts w:ascii="Times New Roman" w:hAnsi="Times New Roman" w:cs="Times New Roman"/>
          <w:sz w:val="24"/>
          <w:szCs w:val="24"/>
        </w:rPr>
        <w:t>is used</w:t>
      </w:r>
      <w:proofErr w:type="gramEnd"/>
      <w:r w:rsidR="002F07DC">
        <w:rPr>
          <w:rFonts w:ascii="Times New Roman" w:hAnsi="Times New Roman" w:cs="Times New Roman"/>
          <w:sz w:val="24"/>
          <w:szCs w:val="24"/>
        </w:rPr>
        <w:t xml:space="preserve"> to determine the percentage as shown below.</w:t>
      </w:r>
      <w:r w:rsidR="00547DB7">
        <w:rPr>
          <w:rFonts w:ascii="Times New Roman" w:hAnsi="Times New Roman" w:cs="Times New Roman"/>
          <w:sz w:val="24"/>
          <w:szCs w:val="24"/>
        </w:rPr>
        <w:t xml:space="preserve"> </w:t>
      </w:r>
    </w:p>
    <w:p w:rsidR="00FA6151" w:rsidRDefault="00FA6151" w:rsidP="00FA6151">
      <w:pPr>
        <w:spacing w:after="0" w:line="240" w:lineRule="auto"/>
        <w:jc w:val="both"/>
        <w:rPr>
          <w:rFonts w:ascii="Times New Roman" w:hAnsi="Times New Roman" w:cs="Times New Roman"/>
          <w:sz w:val="24"/>
          <w:szCs w:val="24"/>
        </w:rPr>
      </w:pPr>
    </w:p>
    <w:tbl>
      <w:tblPr>
        <w:tblW w:w="0" w:type="auto"/>
        <w:tblCellMar>
          <w:left w:w="0" w:type="dxa"/>
          <w:right w:w="0" w:type="dxa"/>
        </w:tblCellMar>
        <w:tblLook w:val="0000" w:firstRow="0" w:lastRow="0" w:firstColumn="0" w:lastColumn="0" w:noHBand="0" w:noVBand="0"/>
      </w:tblPr>
      <w:tblGrid>
        <w:gridCol w:w="1729"/>
        <w:gridCol w:w="836"/>
        <w:gridCol w:w="584"/>
        <w:gridCol w:w="836"/>
        <w:gridCol w:w="584"/>
        <w:gridCol w:w="850"/>
        <w:gridCol w:w="920"/>
        <w:gridCol w:w="584"/>
        <w:gridCol w:w="920"/>
        <w:gridCol w:w="584"/>
        <w:gridCol w:w="915"/>
      </w:tblGrid>
      <w:tr w:rsidR="002F07DC" w:rsidRPr="00DC1615" w:rsidTr="00393D0A">
        <w:trPr>
          <w:trHeight w:val="282"/>
        </w:trPr>
        <w:tc>
          <w:tcPr>
            <w:tcW w:w="9342" w:type="dxa"/>
            <w:gridSpan w:val="11"/>
            <w:tcBorders>
              <w:top w:val="single" w:sz="7" w:space="0" w:color="000000"/>
              <w:left w:val="single" w:sz="7" w:space="0" w:color="000000"/>
              <w:right w:val="single" w:sz="7" w:space="0" w:color="000000"/>
            </w:tcBorders>
            <w:tcMar>
              <w:top w:w="39" w:type="dxa"/>
              <w:left w:w="39" w:type="dxa"/>
              <w:bottom w:w="39" w:type="dxa"/>
              <w:right w:w="39" w:type="dxa"/>
            </w:tcMar>
          </w:tcPr>
          <w:p w:rsidR="002F07DC" w:rsidRPr="002F07DC" w:rsidRDefault="002F07DC" w:rsidP="00A9542F">
            <w:pPr>
              <w:spacing w:after="0"/>
              <w:jc w:val="center"/>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Lending Inside and Outside of the Assessment Area</w:t>
            </w:r>
          </w:p>
        </w:tc>
      </w:tr>
      <w:tr w:rsidR="002F07DC" w:rsidRPr="00DC1615" w:rsidTr="00393D0A">
        <w:trPr>
          <w:trHeight w:val="210"/>
        </w:trPr>
        <w:tc>
          <w:tcPr>
            <w:tcW w:w="1729" w:type="dxa"/>
            <w:tcBorders>
              <w:top w:val="single" w:sz="7" w:space="0" w:color="000000"/>
              <w:left w:val="single" w:sz="7" w:space="0" w:color="000000"/>
              <w:right w:val="single" w:sz="7" w:space="0" w:color="000000"/>
            </w:tcBorders>
            <w:tcMar>
              <w:top w:w="39" w:type="dxa"/>
              <w:left w:w="39" w:type="dxa"/>
              <w:bottom w:w="39" w:type="dxa"/>
              <w:right w:w="39" w:type="dxa"/>
            </w:tcMar>
            <w:vAlign w:val="center"/>
          </w:tcPr>
          <w:p w:rsidR="002F07DC" w:rsidRPr="002F07DC" w:rsidRDefault="002F07DC" w:rsidP="00A9542F">
            <w:pPr>
              <w:spacing w:after="0"/>
              <w:rPr>
                <w:rFonts w:ascii="Times New Roman" w:hAnsi="Times New Roman" w:cs="Times New Roman"/>
                <w:sz w:val="20"/>
                <w:szCs w:val="20"/>
              </w:rPr>
            </w:pPr>
          </w:p>
        </w:tc>
        <w:tc>
          <w:tcPr>
            <w:tcW w:w="284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F07DC" w:rsidRPr="002F07DC" w:rsidRDefault="002F07DC" w:rsidP="00A9542F">
            <w:pPr>
              <w:spacing w:after="0"/>
              <w:jc w:val="center"/>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Number of Loans</w:t>
            </w:r>
          </w:p>
        </w:tc>
        <w:tc>
          <w:tcPr>
            <w:tcW w:w="850" w:type="dxa"/>
            <w:tcBorders>
              <w:top w:val="single" w:sz="7" w:space="0" w:color="000000"/>
              <w:left w:val="single" w:sz="7" w:space="0" w:color="000000"/>
              <w:right w:val="single" w:sz="7" w:space="0" w:color="000000"/>
            </w:tcBorders>
            <w:tcMar>
              <w:top w:w="39" w:type="dxa"/>
              <w:left w:w="39" w:type="dxa"/>
              <w:bottom w:w="39" w:type="dxa"/>
              <w:right w:w="39" w:type="dxa"/>
            </w:tcMar>
            <w:vAlign w:val="center"/>
          </w:tcPr>
          <w:p w:rsidR="002F07DC" w:rsidRPr="002F07DC" w:rsidRDefault="002F07DC" w:rsidP="00A9542F">
            <w:pPr>
              <w:spacing w:after="0"/>
              <w:rPr>
                <w:rFonts w:ascii="Times New Roman" w:hAnsi="Times New Roman" w:cs="Times New Roman"/>
                <w:sz w:val="20"/>
                <w:szCs w:val="20"/>
              </w:rPr>
            </w:pPr>
          </w:p>
        </w:tc>
        <w:tc>
          <w:tcPr>
            <w:tcW w:w="3008"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F07DC" w:rsidRPr="002F07DC" w:rsidRDefault="002F07DC" w:rsidP="00A9542F">
            <w:pPr>
              <w:spacing w:after="0"/>
              <w:jc w:val="center"/>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Dollar Amount of Loans $(</w:t>
            </w:r>
            <w:proofErr w:type="spellStart"/>
            <w:r w:rsidRPr="002F07DC">
              <w:rPr>
                <w:rFonts w:ascii="Times New Roman" w:eastAsia="Times New Roman" w:hAnsi="Times New Roman" w:cs="Times New Roman"/>
                <w:b/>
                <w:color w:val="000000"/>
                <w:sz w:val="20"/>
                <w:szCs w:val="20"/>
              </w:rPr>
              <w:t>000s</w:t>
            </w:r>
            <w:proofErr w:type="spellEnd"/>
            <w:r w:rsidRPr="002F07DC">
              <w:rPr>
                <w:rFonts w:ascii="Times New Roman" w:eastAsia="Times New Roman" w:hAnsi="Times New Roman" w:cs="Times New Roman"/>
                <w:b/>
                <w:color w:val="000000"/>
                <w:sz w:val="20"/>
                <w:szCs w:val="20"/>
              </w:rPr>
              <w:t>)</w:t>
            </w:r>
          </w:p>
        </w:tc>
        <w:tc>
          <w:tcPr>
            <w:tcW w:w="915" w:type="dxa"/>
            <w:tcBorders>
              <w:top w:val="single" w:sz="7" w:space="0" w:color="000000"/>
              <w:left w:val="single" w:sz="7" w:space="0" w:color="000000"/>
              <w:right w:val="single" w:sz="7" w:space="0" w:color="000000"/>
            </w:tcBorders>
            <w:tcMar>
              <w:top w:w="39" w:type="dxa"/>
              <w:left w:w="39" w:type="dxa"/>
              <w:bottom w:w="39" w:type="dxa"/>
              <w:right w:w="39" w:type="dxa"/>
            </w:tcMar>
            <w:vAlign w:val="center"/>
          </w:tcPr>
          <w:p w:rsidR="002F07DC" w:rsidRPr="002F07DC" w:rsidRDefault="002F07DC" w:rsidP="00A9542F">
            <w:pPr>
              <w:spacing w:after="0"/>
              <w:rPr>
                <w:rFonts w:ascii="Times New Roman" w:hAnsi="Times New Roman" w:cs="Times New Roman"/>
                <w:sz w:val="20"/>
                <w:szCs w:val="20"/>
              </w:rPr>
            </w:pPr>
          </w:p>
        </w:tc>
      </w:tr>
      <w:tr w:rsidR="002F07DC" w:rsidRPr="00DC1615" w:rsidTr="00393D0A">
        <w:trPr>
          <w:trHeight w:val="210"/>
        </w:trPr>
        <w:tc>
          <w:tcPr>
            <w:tcW w:w="1729" w:type="dxa"/>
            <w:tcBorders>
              <w:left w:val="single" w:sz="7" w:space="0" w:color="000000"/>
              <w:right w:val="single" w:sz="7" w:space="0" w:color="000000"/>
            </w:tcBorders>
            <w:tcMar>
              <w:top w:w="39" w:type="dxa"/>
              <w:left w:w="39" w:type="dxa"/>
              <w:bottom w:w="39" w:type="dxa"/>
              <w:right w:w="39" w:type="dxa"/>
            </w:tcMar>
            <w:vAlign w:val="center"/>
          </w:tcPr>
          <w:p w:rsidR="002F07DC" w:rsidRPr="002F07DC" w:rsidRDefault="002F07DC" w:rsidP="00A9542F">
            <w:pPr>
              <w:spacing w:after="0"/>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Loan Category</w:t>
            </w:r>
          </w:p>
        </w:tc>
        <w:tc>
          <w:tcPr>
            <w:tcW w:w="1420"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F07DC" w:rsidRPr="002F07DC" w:rsidRDefault="002F07DC" w:rsidP="00A9542F">
            <w:pPr>
              <w:spacing w:after="0"/>
              <w:jc w:val="center"/>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Inside</w:t>
            </w:r>
          </w:p>
        </w:tc>
        <w:tc>
          <w:tcPr>
            <w:tcW w:w="1420"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F07DC" w:rsidRPr="002F07DC" w:rsidRDefault="002F07DC" w:rsidP="00A9542F">
            <w:pPr>
              <w:spacing w:after="0"/>
              <w:jc w:val="center"/>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Outside</w:t>
            </w:r>
          </w:p>
        </w:tc>
        <w:tc>
          <w:tcPr>
            <w:tcW w:w="850" w:type="dxa"/>
            <w:tcBorders>
              <w:left w:val="single" w:sz="7" w:space="0" w:color="000000"/>
              <w:right w:val="single" w:sz="7" w:space="0" w:color="000000"/>
            </w:tcBorders>
            <w:tcMar>
              <w:top w:w="0" w:type="dxa"/>
              <w:left w:w="39" w:type="dxa"/>
              <w:bottom w:w="39" w:type="dxa"/>
              <w:right w:w="39" w:type="dxa"/>
            </w:tcMar>
          </w:tcPr>
          <w:p w:rsidR="002F07DC" w:rsidRPr="002F07DC" w:rsidRDefault="002F07DC" w:rsidP="00A9542F">
            <w:pPr>
              <w:spacing w:after="0"/>
              <w:jc w:val="center"/>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Total</w:t>
            </w:r>
          </w:p>
        </w:tc>
        <w:tc>
          <w:tcPr>
            <w:tcW w:w="1504"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F07DC" w:rsidRPr="002F07DC" w:rsidRDefault="002F07DC" w:rsidP="00A9542F">
            <w:pPr>
              <w:spacing w:after="0"/>
              <w:jc w:val="center"/>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Inside</w:t>
            </w:r>
          </w:p>
        </w:tc>
        <w:tc>
          <w:tcPr>
            <w:tcW w:w="1504"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F07DC" w:rsidRPr="002F07DC" w:rsidRDefault="002F07DC" w:rsidP="00A9542F">
            <w:pPr>
              <w:spacing w:after="0"/>
              <w:jc w:val="center"/>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Outside</w:t>
            </w:r>
          </w:p>
        </w:tc>
        <w:tc>
          <w:tcPr>
            <w:tcW w:w="915" w:type="dxa"/>
            <w:tcBorders>
              <w:left w:val="single" w:sz="7" w:space="0" w:color="000000"/>
              <w:right w:val="single" w:sz="7" w:space="0" w:color="000000"/>
            </w:tcBorders>
            <w:tcMar>
              <w:top w:w="0" w:type="dxa"/>
              <w:left w:w="39" w:type="dxa"/>
              <w:bottom w:w="39" w:type="dxa"/>
              <w:right w:w="39" w:type="dxa"/>
            </w:tcMar>
          </w:tcPr>
          <w:p w:rsidR="002F07DC" w:rsidRPr="002F07DC" w:rsidRDefault="002F07DC" w:rsidP="00A9542F">
            <w:pPr>
              <w:spacing w:after="0"/>
              <w:jc w:val="center"/>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Total</w:t>
            </w:r>
          </w:p>
        </w:tc>
      </w:tr>
      <w:tr w:rsidR="002F07DC" w:rsidRPr="00DC1615" w:rsidTr="00393D0A">
        <w:trPr>
          <w:trHeight w:val="210"/>
        </w:trPr>
        <w:tc>
          <w:tcPr>
            <w:tcW w:w="1729" w:type="dxa"/>
            <w:tcBorders>
              <w:left w:val="single" w:sz="7" w:space="0" w:color="000000"/>
              <w:bottom w:val="single" w:sz="7" w:space="0" w:color="000000"/>
              <w:right w:val="single" w:sz="7" w:space="0" w:color="000000"/>
            </w:tcBorders>
            <w:tcMar>
              <w:top w:w="39" w:type="dxa"/>
              <w:left w:w="39" w:type="dxa"/>
              <w:bottom w:w="39" w:type="dxa"/>
              <w:right w:w="39" w:type="dxa"/>
            </w:tcMar>
            <w:vAlign w:val="center"/>
          </w:tcPr>
          <w:p w:rsidR="002F07DC" w:rsidRPr="002F07DC" w:rsidRDefault="002F07DC" w:rsidP="00A9542F">
            <w:pPr>
              <w:spacing w:after="0"/>
              <w:rPr>
                <w:rFonts w:ascii="Times New Roman" w:hAnsi="Times New Roman" w:cs="Times New Roman"/>
                <w:sz w:val="20"/>
                <w:szCs w:val="20"/>
              </w:rPr>
            </w:pPr>
          </w:p>
        </w:tc>
        <w:tc>
          <w:tcPr>
            <w:tcW w:w="8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F07DC" w:rsidRPr="002F07DC" w:rsidRDefault="002F07DC" w:rsidP="00A9542F">
            <w:pPr>
              <w:spacing w:after="0"/>
              <w:jc w:val="center"/>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F07DC" w:rsidRPr="002F07DC" w:rsidRDefault="002F07DC" w:rsidP="00A9542F">
            <w:pPr>
              <w:spacing w:after="0"/>
              <w:jc w:val="center"/>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w:t>
            </w:r>
          </w:p>
        </w:tc>
        <w:tc>
          <w:tcPr>
            <w:tcW w:w="8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F07DC" w:rsidRPr="002F07DC" w:rsidRDefault="002F07DC" w:rsidP="00A9542F">
            <w:pPr>
              <w:spacing w:after="0"/>
              <w:jc w:val="center"/>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F07DC" w:rsidRPr="002F07DC" w:rsidRDefault="002F07DC" w:rsidP="00A9542F">
            <w:pPr>
              <w:spacing w:after="0"/>
              <w:jc w:val="center"/>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w:t>
            </w:r>
          </w:p>
        </w:tc>
        <w:tc>
          <w:tcPr>
            <w:tcW w:w="850" w:type="dxa"/>
            <w:tcBorders>
              <w:left w:val="single" w:sz="7" w:space="0" w:color="000000"/>
              <w:bottom w:val="single" w:sz="7" w:space="0" w:color="000000"/>
              <w:right w:val="single" w:sz="7" w:space="0" w:color="000000"/>
            </w:tcBorders>
            <w:tcMar>
              <w:top w:w="0" w:type="dxa"/>
              <w:left w:w="39" w:type="dxa"/>
              <w:bottom w:w="39" w:type="dxa"/>
              <w:right w:w="39" w:type="dxa"/>
            </w:tcMar>
          </w:tcPr>
          <w:p w:rsidR="002F07DC" w:rsidRPr="002F07DC" w:rsidRDefault="002F07DC" w:rsidP="00A9542F">
            <w:pPr>
              <w:spacing w:after="0"/>
              <w:jc w:val="center"/>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w:t>
            </w:r>
          </w:p>
        </w:tc>
        <w:tc>
          <w:tcPr>
            <w:tcW w:w="9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F07DC" w:rsidRPr="002F07DC" w:rsidRDefault="002F07DC" w:rsidP="00A9542F">
            <w:pPr>
              <w:spacing w:after="0"/>
              <w:jc w:val="center"/>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F07DC" w:rsidRPr="002F07DC" w:rsidRDefault="002F07DC" w:rsidP="00A9542F">
            <w:pPr>
              <w:spacing w:after="0"/>
              <w:jc w:val="center"/>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w:t>
            </w:r>
          </w:p>
        </w:tc>
        <w:tc>
          <w:tcPr>
            <w:tcW w:w="9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F07DC" w:rsidRPr="002F07DC" w:rsidRDefault="002F07DC" w:rsidP="00A9542F">
            <w:pPr>
              <w:spacing w:after="0"/>
              <w:jc w:val="center"/>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F07DC" w:rsidRPr="002F07DC" w:rsidRDefault="002F07DC" w:rsidP="00A9542F">
            <w:pPr>
              <w:spacing w:after="0"/>
              <w:jc w:val="center"/>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w:t>
            </w:r>
          </w:p>
        </w:tc>
        <w:tc>
          <w:tcPr>
            <w:tcW w:w="915" w:type="dxa"/>
            <w:tcBorders>
              <w:left w:val="single" w:sz="7" w:space="0" w:color="000000"/>
              <w:bottom w:val="single" w:sz="7" w:space="0" w:color="000000"/>
              <w:right w:val="single" w:sz="7" w:space="0" w:color="000000"/>
            </w:tcBorders>
            <w:tcMar>
              <w:top w:w="0" w:type="dxa"/>
              <w:left w:w="39" w:type="dxa"/>
              <w:bottom w:w="39" w:type="dxa"/>
              <w:right w:w="39" w:type="dxa"/>
            </w:tcMar>
          </w:tcPr>
          <w:p w:rsidR="002F07DC" w:rsidRPr="002F07DC" w:rsidRDefault="002F07DC" w:rsidP="00A9542F">
            <w:pPr>
              <w:spacing w:after="0"/>
              <w:jc w:val="center"/>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w:t>
            </w:r>
            <w:proofErr w:type="spellStart"/>
            <w:r w:rsidRPr="002F07DC">
              <w:rPr>
                <w:rFonts w:ascii="Times New Roman" w:eastAsia="Times New Roman" w:hAnsi="Times New Roman" w:cs="Times New Roman"/>
                <w:b/>
                <w:color w:val="000000"/>
                <w:sz w:val="20"/>
                <w:szCs w:val="20"/>
              </w:rPr>
              <w:t>000s</w:t>
            </w:r>
            <w:proofErr w:type="spellEnd"/>
            <w:r w:rsidRPr="002F07DC">
              <w:rPr>
                <w:rFonts w:ascii="Times New Roman" w:eastAsia="Times New Roman" w:hAnsi="Times New Roman" w:cs="Times New Roman"/>
                <w:b/>
                <w:color w:val="000000"/>
                <w:sz w:val="20"/>
                <w:szCs w:val="20"/>
              </w:rPr>
              <w:t>)</w:t>
            </w:r>
          </w:p>
        </w:tc>
      </w:tr>
      <w:tr w:rsidR="002F07DC" w:rsidRPr="00DC1615" w:rsidTr="00393D0A">
        <w:trPr>
          <w:trHeight w:val="210"/>
        </w:trPr>
        <w:tc>
          <w:tcPr>
            <w:tcW w:w="17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F07DC" w:rsidRPr="002F07DC" w:rsidRDefault="002F07DC" w:rsidP="00A9542F">
            <w:pPr>
              <w:spacing w:after="0"/>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Home Mortgage</w:t>
            </w:r>
          </w:p>
        </w:tc>
        <w:tc>
          <w:tcPr>
            <w:tcW w:w="7613" w:type="dxa"/>
            <w:gridSpan w:val="10"/>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A9542F">
            <w:pPr>
              <w:spacing w:after="0"/>
              <w:rPr>
                <w:rFonts w:ascii="Times New Roman" w:hAnsi="Times New Roman" w:cs="Times New Roman"/>
                <w:sz w:val="20"/>
                <w:szCs w:val="20"/>
              </w:rPr>
            </w:pPr>
          </w:p>
        </w:tc>
      </w:tr>
      <w:tr w:rsidR="002F07DC" w:rsidRPr="00DC1615" w:rsidTr="00393D0A">
        <w:trPr>
          <w:trHeight w:val="181"/>
        </w:trPr>
        <w:tc>
          <w:tcPr>
            <w:tcW w:w="1729"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rsidR="002F07DC" w:rsidRPr="002F07DC" w:rsidRDefault="004C084B" w:rsidP="00A9542F">
            <w:pPr>
              <w:spacing w:after="0"/>
              <w:jc w:val="right"/>
              <w:rPr>
                <w:rFonts w:ascii="Times New Roman" w:hAnsi="Times New Roman" w:cs="Times New Roman"/>
                <w:sz w:val="20"/>
                <w:szCs w:val="20"/>
              </w:rPr>
            </w:pPr>
            <w:proofErr w:type="spellStart"/>
            <w:r>
              <w:rPr>
                <w:rFonts w:ascii="Times New Roman" w:eastAsia="Times New Roman" w:hAnsi="Times New Roman" w:cs="Times New Roman"/>
                <w:color w:val="000000"/>
                <w:sz w:val="20"/>
                <w:szCs w:val="20"/>
              </w:rPr>
              <w:t>Q3-Q4</w:t>
            </w:r>
            <w:proofErr w:type="spellEnd"/>
            <w:r>
              <w:rPr>
                <w:rFonts w:ascii="Times New Roman" w:eastAsia="Times New Roman" w:hAnsi="Times New Roman" w:cs="Times New Roman"/>
                <w:color w:val="000000"/>
                <w:sz w:val="20"/>
                <w:szCs w:val="20"/>
              </w:rPr>
              <w:t xml:space="preserve"> </w:t>
            </w:r>
            <w:r w:rsidRPr="002F07DC">
              <w:rPr>
                <w:rFonts w:ascii="Times New Roman" w:eastAsia="Times New Roman" w:hAnsi="Times New Roman" w:cs="Times New Roman"/>
                <w:color w:val="000000"/>
                <w:sz w:val="20"/>
                <w:szCs w:val="20"/>
              </w:rPr>
              <w:t>2016</w:t>
            </w:r>
          </w:p>
        </w:tc>
        <w:tc>
          <w:tcPr>
            <w:tcW w:w="8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A9542F">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67</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A9542F">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70.5</w:t>
            </w:r>
          </w:p>
        </w:tc>
        <w:tc>
          <w:tcPr>
            <w:tcW w:w="8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A9542F">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28</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A9542F">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29.5</w:t>
            </w:r>
          </w:p>
        </w:tc>
        <w:tc>
          <w:tcPr>
            <w:tcW w:w="85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A9542F">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95</w:t>
            </w:r>
          </w:p>
        </w:tc>
        <w:tc>
          <w:tcPr>
            <w:tcW w:w="9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A9542F">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24,717</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A9542F">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70.4</w:t>
            </w:r>
          </w:p>
        </w:tc>
        <w:tc>
          <w:tcPr>
            <w:tcW w:w="9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A9542F">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10,377</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A9542F">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29.6</w:t>
            </w:r>
          </w:p>
        </w:tc>
        <w:tc>
          <w:tcPr>
            <w:tcW w:w="9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A9542F">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35,094</w:t>
            </w:r>
          </w:p>
        </w:tc>
      </w:tr>
      <w:tr w:rsidR="002F07DC" w:rsidRPr="00DC1615" w:rsidTr="00393D0A">
        <w:trPr>
          <w:trHeight w:val="181"/>
        </w:trPr>
        <w:tc>
          <w:tcPr>
            <w:tcW w:w="1729"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rsidR="002F07DC" w:rsidRPr="002F07DC" w:rsidRDefault="002F07DC" w:rsidP="00A9542F">
            <w:pPr>
              <w:spacing w:after="0"/>
              <w:jc w:val="right"/>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2017</w:t>
            </w:r>
          </w:p>
        </w:tc>
        <w:tc>
          <w:tcPr>
            <w:tcW w:w="8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A9542F">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96</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A9542F">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49.0</w:t>
            </w:r>
          </w:p>
        </w:tc>
        <w:tc>
          <w:tcPr>
            <w:tcW w:w="8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A9542F">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100</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A9542F">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51.0</w:t>
            </w:r>
          </w:p>
        </w:tc>
        <w:tc>
          <w:tcPr>
            <w:tcW w:w="85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A9542F">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196</w:t>
            </w:r>
          </w:p>
        </w:tc>
        <w:tc>
          <w:tcPr>
            <w:tcW w:w="9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A9542F">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46,724</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A9542F">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52.0</w:t>
            </w:r>
          </w:p>
        </w:tc>
        <w:tc>
          <w:tcPr>
            <w:tcW w:w="9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A9542F">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43,177</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A9542F">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48.0</w:t>
            </w:r>
          </w:p>
        </w:tc>
        <w:tc>
          <w:tcPr>
            <w:tcW w:w="9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A9542F">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89,901</w:t>
            </w:r>
          </w:p>
        </w:tc>
      </w:tr>
      <w:tr w:rsidR="002F07DC" w:rsidRPr="00DC1615" w:rsidTr="00393D0A">
        <w:trPr>
          <w:trHeight w:val="210"/>
        </w:trPr>
        <w:tc>
          <w:tcPr>
            <w:tcW w:w="17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F07DC" w:rsidRPr="002F07DC" w:rsidRDefault="002F07DC" w:rsidP="00A9542F">
            <w:pPr>
              <w:spacing w:after="0"/>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Total</w:t>
            </w:r>
          </w:p>
        </w:tc>
        <w:tc>
          <w:tcPr>
            <w:tcW w:w="8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A9542F">
            <w:pPr>
              <w:spacing w:after="0"/>
              <w:jc w:val="center"/>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163</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A9542F">
            <w:pPr>
              <w:spacing w:after="0"/>
              <w:jc w:val="center"/>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56.0</w:t>
            </w:r>
          </w:p>
        </w:tc>
        <w:tc>
          <w:tcPr>
            <w:tcW w:w="8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A9542F">
            <w:pPr>
              <w:spacing w:after="0"/>
              <w:jc w:val="center"/>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128</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A9542F">
            <w:pPr>
              <w:spacing w:after="0"/>
              <w:jc w:val="center"/>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44.0</w:t>
            </w:r>
          </w:p>
        </w:tc>
        <w:tc>
          <w:tcPr>
            <w:tcW w:w="85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A9542F">
            <w:pPr>
              <w:spacing w:after="0"/>
              <w:jc w:val="center"/>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291</w:t>
            </w:r>
          </w:p>
        </w:tc>
        <w:tc>
          <w:tcPr>
            <w:tcW w:w="9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A9542F">
            <w:pPr>
              <w:spacing w:after="0"/>
              <w:jc w:val="center"/>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71,441</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A9542F">
            <w:pPr>
              <w:spacing w:after="0"/>
              <w:jc w:val="center"/>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57.2</w:t>
            </w:r>
          </w:p>
        </w:tc>
        <w:tc>
          <w:tcPr>
            <w:tcW w:w="9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A9542F">
            <w:pPr>
              <w:spacing w:after="0"/>
              <w:jc w:val="center"/>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53,554</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A9542F">
            <w:pPr>
              <w:spacing w:after="0"/>
              <w:jc w:val="center"/>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42.8</w:t>
            </w:r>
          </w:p>
        </w:tc>
        <w:tc>
          <w:tcPr>
            <w:tcW w:w="9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A9542F">
            <w:pPr>
              <w:spacing w:after="0"/>
              <w:jc w:val="center"/>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124,995</w:t>
            </w:r>
          </w:p>
        </w:tc>
      </w:tr>
      <w:tr w:rsidR="002F07DC" w:rsidRPr="00DC1615" w:rsidTr="00393D0A">
        <w:trPr>
          <w:trHeight w:val="194"/>
        </w:trPr>
        <w:tc>
          <w:tcPr>
            <w:tcW w:w="9342" w:type="dxa"/>
            <w:gridSpan w:val="11"/>
            <w:tcBorders>
              <w:top w:val="single" w:sz="7" w:space="0" w:color="000000"/>
              <w:left w:val="single" w:sz="7" w:space="0" w:color="000000"/>
              <w:bottom w:val="single" w:sz="7" w:space="0" w:color="000000"/>
              <w:right w:val="single" w:sz="7" w:space="0" w:color="000000"/>
            </w:tcBorders>
            <w:tcMar>
              <w:top w:w="59" w:type="dxa"/>
              <w:left w:w="39" w:type="dxa"/>
              <w:bottom w:w="39" w:type="dxa"/>
              <w:right w:w="39" w:type="dxa"/>
            </w:tcMar>
          </w:tcPr>
          <w:p w:rsidR="002F07DC" w:rsidRPr="002F07DC" w:rsidRDefault="002F07DC" w:rsidP="00A9542F">
            <w:pPr>
              <w:spacing w:after="0"/>
              <w:rPr>
                <w:rFonts w:ascii="Times New Roman" w:hAnsi="Times New Roman" w:cs="Times New Roman"/>
                <w:sz w:val="20"/>
                <w:szCs w:val="20"/>
              </w:rPr>
            </w:pPr>
            <w:r w:rsidRPr="002F07DC">
              <w:rPr>
                <w:rFonts w:ascii="Times New Roman" w:eastAsia="Times New Roman" w:hAnsi="Times New Roman" w:cs="Times New Roman"/>
                <w:i/>
                <w:color w:val="000000"/>
                <w:sz w:val="20"/>
                <w:szCs w:val="20"/>
              </w:rPr>
              <w:t>Source: Evaluation Period: 7/1/2016 - 12/31/2017 Bank Data</w:t>
            </w:r>
          </w:p>
        </w:tc>
      </w:tr>
    </w:tbl>
    <w:p w:rsidR="002F07DC" w:rsidRDefault="002F07DC" w:rsidP="002F07DC">
      <w:pPr>
        <w:rPr>
          <w:rFonts w:ascii="Times New Roman" w:hAnsi="Times New Roman" w:cs="Times New Roman"/>
          <w:sz w:val="24"/>
          <w:szCs w:val="24"/>
        </w:rPr>
      </w:pPr>
    </w:p>
    <w:p w:rsidR="00547DB7" w:rsidRPr="00DC1615" w:rsidRDefault="00547DB7" w:rsidP="001B4658">
      <w:pPr>
        <w:jc w:val="both"/>
        <w:rPr>
          <w:rFonts w:ascii="Times New Roman" w:hAnsi="Times New Roman" w:cs="Times New Roman"/>
          <w:sz w:val="24"/>
          <w:szCs w:val="24"/>
        </w:rPr>
      </w:pPr>
      <w:r>
        <w:rPr>
          <w:rFonts w:ascii="Times New Roman" w:hAnsi="Times New Roman" w:cs="Times New Roman"/>
          <w:sz w:val="24"/>
          <w:szCs w:val="24"/>
        </w:rPr>
        <w:lastRenderedPageBreak/>
        <w:t>The bank’s 2017 lending does not represent a majority of loans inside the assessment area</w:t>
      </w:r>
      <w:r w:rsidR="00AF2064">
        <w:rPr>
          <w:rFonts w:ascii="Times New Roman" w:hAnsi="Times New Roman" w:cs="Times New Roman"/>
          <w:sz w:val="24"/>
          <w:szCs w:val="24"/>
        </w:rPr>
        <w:t xml:space="preserve">. </w:t>
      </w:r>
      <w:r>
        <w:rPr>
          <w:rFonts w:ascii="Times New Roman" w:hAnsi="Times New Roman" w:cs="Times New Roman"/>
          <w:sz w:val="24"/>
          <w:szCs w:val="24"/>
        </w:rPr>
        <w:t xml:space="preserve">Discussions with bank management and further analysis </w:t>
      </w:r>
      <w:r w:rsidR="00CB73F6">
        <w:rPr>
          <w:rFonts w:ascii="Times New Roman" w:hAnsi="Times New Roman" w:cs="Times New Roman"/>
          <w:sz w:val="24"/>
          <w:szCs w:val="24"/>
        </w:rPr>
        <w:t>attribute</w:t>
      </w:r>
      <w:r w:rsidR="00CC3887">
        <w:rPr>
          <w:rFonts w:ascii="Times New Roman" w:hAnsi="Times New Roman" w:cs="Times New Roman"/>
          <w:sz w:val="24"/>
          <w:szCs w:val="24"/>
        </w:rPr>
        <w:t xml:space="preserve"> this performance </w:t>
      </w:r>
      <w:r w:rsidR="00CB73F6">
        <w:rPr>
          <w:rFonts w:ascii="Times New Roman" w:hAnsi="Times New Roman" w:cs="Times New Roman"/>
          <w:sz w:val="24"/>
          <w:szCs w:val="24"/>
        </w:rPr>
        <w:t>to loans purchased outside of the assessment area</w:t>
      </w:r>
      <w:r w:rsidR="00AF2064">
        <w:rPr>
          <w:rFonts w:ascii="Times New Roman" w:hAnsi="Times New Roman" w:cs="Times New Roman"/>
          <w:sz w:val="24"/>
          <w:szCs w:val="24"/>
        </w:rPr>
        <w:t xml:space="preserve">. </w:t>
      </w:r>
      <w:r w:rsidR="00CB73F6">
        <w:rPr>
          <w:rFonts w:ascii="Times New Roman" w:hAnsi="Times New Roman" w:cs="Times New Roman"/>
          <w:sz w:val="24"/>
          <w:szCs w:val="24"/>
        </w:rPr>
        <w:t xml:space="preserve">As mentioned in the previous criterion, the bank maintained a good market share within their assessment area, substantiating a strong presence in the assessment area. </w:t>
      </w:r>
    </w:p>
    <w:p w:rsidR="002F07DC" w:rsidRPr="00DC1615" w:rsidRDefault="002F07DC" w:rsidP="001B4658">
      <w:pPr>
        <w:jc w:val="both"/>
        <w:rPr>
          <w:rFonts w:ascii="Times New Roman" w:hAnsi="Times New Roman" w:cs="Times New Roman"/>
          <w:b/>
          <w:sz w:val="24"/>
          <w:szCs w:val="24"/>
          <w:u w:val="single"/>
        </w:rPr>
      </w:pPr>
      <w:r w:rsidRPr="00DC1615">
        <w:rPr>
          <w:rFonts w:ascii="Times New Roman" w:hAnsi="Times New Roman" w:cs="Times New Roman"/>
          <w:b/>
          <w:sz w:val="24"/>
          <w:szCs w:val="24"/>
          <w:u w:val="single"/>
        </w:rPr>
        <w:t>Geographic Distribution</w:t>
      </w:r>
    </w:p>
    <w:p w:rsidR="00A9542F" w:rsidRDefault="002F07DC" w:rsidP="001B4658">
      <w:pPr>
        <w:jc w:val="both"/>
        <w:rPr>
          <w:rFonts w:ascii="Times New Roman" w:hAnsi="Times New Roman" w:cs="Times New Roman"/>
          <w:sz w:val="24"/>
          <w:szCs w:val="24"/>
        </w:rPr>
      </w:pPr>
      <w:r w:rsidRPr="00E7725B">
        <w:rPr>
          <w:rFonts w:ascii="Times New Roman" w:hAnsi="Times New Roman" w:cs="Times New Roman"/>
          <w:sz w:val="24"/>
          <w:szCs w:val="24"/>
        </w:rPr>
        <w:t>The geographic distribution of loans reflects good dispersion throughout the assessment area</w:t>
      </w:r>
      <w:r w:rsidR="00AF2064">
        <w:rPr>
          <w:rFonts w:ascii="Times New Roman" w:hAnsi="Times New Roman" w:cs="Times New Roman"/>
          <w:sz w:val="24"/>
          <w:szCs w:val="24"/>
        </w:rPr>
        <w:t xml:space="preserve">. </w:t>
      </w:r>
      <w:r w:rsidR="001D27C9">
        <w:rPr>
          <w:rFonts w:ascii="Times New Roman" w:hAnsi="Times New Roman" w:cs="Times New Roman"/>
          <w:sz w:val="24"/>
          <w:szCs w:val="24"/>
        </w:rPr>
        <w:t>The bank</w:t>
      </w:r>
      <w:r w:rsidRPr="00E7725B">
        <w:rPr>
          <w:rFonts w:ascii="Times New Roman" w:hAnsi="Times New Roman" w:cs="Times New Roman"/>
          <w:sz w:val="24"/>
          <w:szCs w:val="24"/>
        </w:rPr>
        <w:t>’s good performance of home mortgage lending supports this conclusion</w:t>
      </w:r>
      <w:r w:rsidR="00AF2064">
        <w:rPr>
          <w:rFonts w:ascii="Times New Roman" w:hAnsi="Times New Roman" w:cs="Times New Roman"/>
          <w:sz w:val="24"/>
          <w:szCs w:val="24"/>
        </w:rPr>
        <w:t xml:space="preserve">. </w:t>
      </w:r>
      <w:r w:rsidRPr="00E7725B">
        <w:rPr>
          <w:rFonts w:ascii="Times New Roman" w:hAnsi="Times New Roman" w:cs="Times New Roman"/>
          <w:sz w:val="24"/>
          <w:szCs w:val="24"/>
        </w:rPr>
        <w:t xml:space="preserve">Examiners focused on the percentage by number of loans in </w:t>
      </w:r>
      <w:r w:rsidR="00A9542F" w:rsidRPr="00E7725B">
        <w:rPr>
          <w:rFonts w:ascii="Times New Roman" w:hAnsi="Times New Roman" w:cs="Times New Roman"/>
          <w:sz w:val="24"/>
          <w:szCs w:val="24"/>
        </w:rPr>
        <w:t xml:space="preserve">moderate-income census tracts in </w:t>
      </w:r>
      <w:r w:rsidRPr="00E7725B">
        <w:rPr>
          <w:rFonts w:ascii="Times New Roman" w:hAnsi="Times New Roman" w:cs="Times New Roman"/>
          <w:sz w:val="24"/>
          <w:szCs w:val="24"/>
        </w:rPr>
        <w:t>comparison to aggregate data</w:t>
      </w:r>
      <w:r w:rsidR="00B47684">
        <w:rPr>
          <w:rFonts w:ascii="Times New Roman" w:hAnsi="Times New Roman" w:cs="Times New Roman"/>
          <w:sz w:val="24"/>
          <w:szCs w:val="24"/>
        </w:rPr>
        <w:t xml:space="preserve">.  </w:t>
      </w:r>
    </w:p>
    <w:p w:rsidR="00B51B76" w:rsidRDefault="003E4D4D" w:rsidP="001B4658">
      <w:pPr>
        <w:jc w:val="both"/>
        <w:rPr>
          <w:rFonts w:ascii="Times New Roman" w:hAnsi="Times New Roman" w:cs="Times New Roman"/>
          <w:sz w:val="24"/>
          <w:szCs w:val="24"/>
        </w:rPr>
      </w:pPr>
      <w:r>
        <w:rPr>
          <w:rFonts w:ascii="Times New Roman" w:hAnsi="Times New Roman" w:cs="Times New Roman"/>
          <w:sz w:val="24"/>
          <w:szCs w:val="24"/>
        </w:rPr>
        <w:t>In 2016, lending in moderate-income census tracts was significantly above aggregate performance and the percentage of owner-occupied units</w:t>
      </w:r>
      <w:r w:rsidR="00AF2064">
        <w:rPr>
          <w:rFonts w:ascii="Times New Roman" w:hAnsi="Times New Roman" w:cs="Times New Roman"/>
          <w:sz w:val="24"/>
          <w:szCs w:val="24"/>
        </w:rPr>
        <w:t xml:space="preserve">. </w:t>
      </w:r>
      <w:r>
        <w:rPr>
          <w:rFonts w:ascii="Times New Roman" w:hAnsi="Times New Roman" w:cs="Times New Roman"/>
          <w:sz w:val="24"/>
          <w:szCs w:val="24"/>
        </w:rPr>
        <w:t>Watertown Savings surpassed aggregate performance by 8.5 percentage points and was 9.6 percentage points ahead of the demographic comparator.</w:t>
      </w:r>
    </w:p>
    <w:p w:rsidR="003E4D4D" w:rsidRDefault="003E4D4D" w:rsidP="001B4658">
      <w:pPr>
        <w:jc w:val="both"/>
        <w:rPr>
          <w:rFonts w:ascii="Times New Roman" w:hAnsi="Times New Roman" w:cs="Times New Roman"/>
          <w:sz w:val="24"/>
          <w:szCs w:val="24"/>
        </w:rPr>
      </w:pPr>
      <w:r>
        <w:rPr>
          <w:rFonts w:ascii="Times New Roman" w:hAnsi="Times New Roman" w:cs="Times New Roman"/>
          <w:sz w:val="24"/>
          <w:szCs w:val="24"/>
        </w:rPr>
        <w:t xml:space="preserve">In 2017, lending in </w:t>
      </w:r>
      <w:r w:rsidR="00FC5426">
        <w:rPr>
          <w:rFonts w:ascii="Times New Roman" w:hAnsi="Times New Roman" w:cs="Times New Roman"/>
          <w:sz w:val="24"/>
          <w:szCs w:val="24"/>
        </w:rPr>
        <w:t xml:space="preserve">moderate-income census tracts was </w:t>
      </w:r>
      <w:r w:rsidR="00393D0A">
        <w:rPr>
          <w:rFonts w:ascii="Times New Roman" w:hAnsi="Times New Roman" w:cs="Times New Roman"/>
          <w:sz w:val="24"/>
          <w:szCs w:val="24"/>
        </w:rPr>
        <w:t>more comparable to the aggregate but still le</w:t>
      </w:r>
      <w:r w:rsidR="00FC5426">
        <w:rPr>
          <w:rFonts w:ascii="Times New Roman" w:hAnsi="Times New Roman" w:cs="Times New Roman"/>
          <w:sz w:val="24"/>
          <w:szCs w:val="24"/>
        </w:rPr>
        <w:t>d the percentage of owner-occupied units</w:t>
      </w:r>
      <w:r w:rsidR="00AF2064">
        <w:rPr>
          <w:rFonts w:ascii="Times New Roman" w:hAnsi="Times New Roman" w:cs="Times New Roman"/>
          <w:sz w:val="24"/>
          <w:szCs w:val="24"/>
        </w:rPr>
        <w:t xml:space="preserve">. </w:t>
      </w:r>
      <w:r w:rsidR="00FC5426">
        <w:rPr>
          <w:rFonts w:ascii="Times New Roman" w:hAnsi="Times New Roman" w:cs="Times New Roman"/>
          <w:sz w:val="24"/>
          <w:szCs w:val="24"/>
        </w:rPr>
        <w:t xml:space="preserve">Watertown Savings trailed the aggregate </w:t>
      </w:r>
      <w:r w:rsidR="00E7725B">
        <w:rPr>
          <w:rFonts w:ascii="Times New Roman" w:hAnsi="Times New Roman" w:cs="Times New Roman"/>
          <w:sz w:val="24"/>
          <w:szCs w:val="24"/>
        </w:rPr>
        <w:t>by 0.2 percentage points and le</w:t>
      </w:r>
      <w:r w:rsidR="00FC5426">
        <w:rPr>
          <w:rFonts w:ascii="Times New Roman" w:hAnsi="Times New Roman" w:cs="Times New Roman"/>
          <w:sz w:val="24"/>
          <w:szCs w:val="24"/>
        </w:rPr>
        <w:t>d the demographic comparator by 1.0 percentage points</w:t>
      </w:r>
      <w:r w:rsidR="00AF2064">
        <w:rPr>
          <w:rFonts w:ascii="Times New Roman" w:hAnsi="Times New Roman" w:cs="Times New Roman"/>
          <w:sz w:val="24"/>
          <w:szCs w:val="24"/>
        </w:rPr>
        <w:t xml:space="preserve">. </w:t>
      </w:r>
      <w:r w:rsidR="00FC5426">
        <w:rPr>
          <w:rFonts w:ascii="Times New Roman" w:hAnsi="Times New Roman" w:cs="Times New Roman"/>
          <w:sz w:val="24"/>
          <w:szCs w:val="24"/>
        </w:rPr>
        <w:t xml:space="preserve">The change in performance </w:t>
      </w:r>
      <w:proofErr w:type="gramStart"/>
      <w:r w:rsidR="00FC5426">
        <w:rPr>
          <w:rFonts w:ascii="Times New Roman" w:hAnsi="Times New Roman" w:cs="Times New Roman"/>
          <w:sz w:val="24"/>
          <w:szCs w:val="24"/>
        </w:rPr>
        <w:t>can largely be accounted</w:t>
      </w:r>
      <w:proofErr w:type="gramEnd"/>
      <w:r w:rsidR="00FC5426">
        <w:rPr>
          <w:rFonts w:ascii="Times New Roman" w:hAnsi="Times New Roman" w:cs="Times New Roman"/>
          <w:sz w:val="24"/>
          <w:szCs w:val="24"/>
        </w:rPr>
        <w:t xml:space="preserve"> for by the </w:t>
      </w:r>
      <w:r w:rsidR="00E7725B">
        <w:rPr>
          <w:rFonts w:ascii="Times New Roman" w:hAnsi="Times New Roman" w:cs="Times New Roman"/>
          <w:sz w:val="24"/>
          <w:szCs w:val="24"/>
        </w:rPr>
        <w:t xml:space="preserve">ACS survey’s middle-income </w:t>
      </w:r>
      <w:r w:rsidR="00FC5426">
        <w:rPr>
          <w:rFonts w:ascii="Times New Roman" w:hAnsi="Times New Roman" w:cs="Times New Roman"/>
          <w:sz w:val="24"/>
          <w:szCs w:val="24"/>
        </w:rPr>
        <w:t>designation of some census tracts that had previously been considered moder</w:t>
      </w:r>
      <w:r w:rsidR="00E7725B">
        <w:rPr>
          <w:rFonts w:ascii="Times New Roman" w:hAnsi="Times New Roman" w:cs="Times New Roman"/>
          <w:sz w:val="24"/>
          <w:szCs w:val="24"/>
        </w:rPr>
        <w:t>ate-income</w:t>
      </w:r>
      <w:r w:rsidR="00FC5426">
        <w:rPr>
          <w:rFonts w:ascii="Times New Roman" w:hAnsi="Times New Roman" w:cs="Times New Roman"/>
          <w:sz w:val="24"/>
          <w:szCs w:val="24"/>
        </w:rPr>
        <w:t>.</w:t>
      </w:r>
    </w:p>
    <w:p w:rsidR="00B51B76" w:rsidRDefault="00B51B76" w:rsidP="001B4658">
      <w:pPr>
        <w:jc w:val="both"/>
        <w:rPr>
          <w:rFonts w:ascii="Times New Roman" w:hAnsi="Times New Roman" w:cs="Times New Roman"/>
          <w:sz w:val="24"/>
          <w:szCs w:val="24"/>
        </w:rPr>
      </w:pPr>
      <w:r>
        <w:rPr>
          <w:rFonts w:ascii="Times New Roman" w:hAnsi="Times New Roman" w:cs="Times New Roman"/>
          <w:sz w:val="24"/>
          <w:szCs w:val="24"/>
        </w:rPr>
        <w:t xml:space="preserve">Market share data correlates with </w:t>
      </w:r>
      <w:r w:rsidR="001D27C9">
        <w:rPr>
          <w:rFonts w:ascii="Times New Roman" w:hAnsi="Times New Roman" w:cs="Times New Roman"/>
          <w:sz w:val="24"/>
          <w:szCs w:val="24"/>
        </w:rPr>
        <w:t>the bank</w:t>
      </w:r>
      <w:r>
        <w:rPr>
          <w:rFonts w:ascii="Times New Roman" w:hAnsi="Times New Roman" w:cs="Times New Roman"/>
          <w:sz w:val="24"/>
          <w:szCs w:val="24"/>
        </w:rPr>
        <w:t>’s performance compared to the aggregate</w:t>
      </w:r>
      <w:r w:rsidR="00AF2064">
        <w:rPr>
          <w:rFonts w:ascii="Times New Roman" w:hAnsi="Times New Roman" w:cs="Times New Roman"/>
          <w:sz w:val="24"/>
          <w:szCs w:val="24"/>
        </w:rPr>
        <w:t xml:space="preserve">. </w:t>
      </w:r>
      <w:r>
        <w:rPr>
          <w:rFonts w:ascii="Times New Roman" w:hAnsi="Times New Roman" w:cs="Times New Roman"/>
          <w:sz w:val="24"/>
          <w:szCs w:val="24"/>
        </w:rPr>
        <w:t xml:space="preserve">In 2016, </w:t>
      </w:r>
      <w:r w:rsidR="001D27C9">
        <w:rPr>
          <w:rFonts w:ascii="Times New Roman" w:hAnsi="Times New Roman" w:cs="Times New Roman"/>
          <w:sz w:val="24"/>
          <w:szCs w:val="24"/>
        </w:rPr>
        <w:t>the bank</w:t>
      </w:r>
      <w:r>
        <w:rPr>
          <w:rFonts w:ascii="Times New Roman" w:hAnsi="Times New Roman" w:cs="Times New Roman"/>
          <w:sz w:val="24"/>
          <w:szCs w:val="24"/>
        </w:rPr>
        <w:t xml:space="preserve"> ranked </w:t>
      </w:r>
      <w:r w:rsidR="00AF2064">
        <w:rPr>
          <w:rFonts w:ascii="Times New Roman" w:hAnsi="Times New Roman" w:cs="Times New Roman"/>
          <w:sz w:val="24"/>
          <w:szCs w:val="24"/>
        </w:rPr>
        <w:t>seventh</w:t>
      </w:r>
      <w:r>
        <w:rPr>
          <w:rFonts w:ascii="Times New Roman" w:hAnsi="Times New Roman" w:cs="Times New Roman"/>
          <w:sz w:val="24"/>
          <w:szCs w:val="24"/>
        </w:rPr>
        <w:t xml:space="preserve"> out of 145 lenders in originating loans in </w:t>
      </w:r>
      <w:r w:rsidR="00610514">
        <w:rPr>
          <w:rFonts w:ascii="Times New Roman" w:hAnsi="Times New Roman" w:cs="Times New Roman"/>
          <w:sz w:val="24"/>
          <w:szCs w:val="24"/>
        </w:rPr>
        <w:t>moderate-i</w:t>
      </w:r>
      <w:r w:rsidR="001D5597">
        <w:rPr>
          <w:rFonts w:ascii="Times New Roman" w:hAnsi="Times New Roman" w:cs="Times New Roman"/>
          <w:sz w:val="24"/>
          <w:szCs w:val="24"/>
        </w:rPr>
        <w:t>ncome census tracts, with a 2.9</w:t>
      </w:r>
      <w:r w:rsidR="00610514">
        <w:rPr>
          <w:rFonts w:ascii="Times New Roman" w:hAnsi="Times New Roman" w:cs="Times New Roman"/>
          <w:sz w:val="24"/>
          <w:szCs w:val="24"/>
        </w:rPr>
        <w:t xml:space="preserve"> percent market share</w:t>
      </w:r>
      <w:r w:rsidR="00AF2064">
        <w:rPr>
          <w:rFonts w:ascii="Times New Roman" w:hAnsi="Times New Roman" w:cs="Times New Roman"/>
          <w:sz w:val="24"/>
          <w:szCs w:val="24"/>
        </w:rPr>
        <w:t xml:space="preserve">. </w:t>
      </w:r>
      <w:r w:rsidR="00610514">
        <w:rPr>
          <w:rFonts w:ascii="Times New Roman" w:hAnsi="Times New Roman" w:cs="Times New Roman"/>
          <w:sz w:val="24"/>
          <w:szCs w:val="24"/>
        </w:rPr>
        <w:t xml:space="preserve">This ranking was above </w:t>
      </w:r>
      <w:r w:rsidR="001D27C9">
        <w:rPr>
          <w:rFonts w:ascii="Times New Roman" w:hAnsi="Times New Roman" w:cs="Times New Roman"/>
          <w:sz w:val="24"/>
          <w:szCs w:val="24"/>
        </w:rPr>
        <w:t>the bank</w:t>
      </w:r>
      <w:r w:rsidR="00610514">
        <w:rPr>
          <w:rFonts w:ascii="Times New Roman" w:hAnsi="Times New Roman" w:cs="Times New Roman"/>
          <w:sz w:val="24"/>
          <w:szCs w:val="24"/>
        </w:rPr>
        <w:t>’s 2016 overall market share</w:t>
      </w:r>
      <w:r w:rsidR="00AF2064">
        <w:rPr>
          <w:rFonts w:ascii="Times New Roman" w:hAnsi="Times New Roman" w:cs="Times New Roman"/>
          <w:sz w:val="24"/>
          <w:szCs w:val="24"/>
        </w:rPr>
        <w:t xml:space="preserve">. </w:t>
      </w:r>
      <w:r w:rsidR="00610514">
        <w:rPr>
          <w:rFonts w:ascii="Times New Roman" w:hAnsi="Times New Roman" w:cs="Times New Roman"/>
          <w:sz w:val="24"/>
          <w:szCs w:val="24"/>
        </w:rPr>
        <w:t xml:space="preserve">In 2017, </w:t>
      </w:r>
      <w:r w:rsidR="001D27C9">
        <w:rPr>
          <w:rFonts w:ascii="Times New Roman" w:hAnsi="Times New Roman" w:cs="Times New Roman"/>
          <w:sz w:val="24"/>
          <w:szCs w:val="24"/>
        </w:rPr>
        <w:t>the bank</w:t>
      </w:r>
      <w:r w:rsidR="00610514">
        <w:rPr>
          <w:rFonts w:ascii="Times New Roman" w:hAnsi="Times New Roman" w:cs="Times New Roman"/>
          <w:sz w:val="24"/>
          <w:szCs w:val="24"/>
        </w:rPr>
        <w:t xml:space="preserve"> ranked 22</w:t>
      </w:r>
      <w:r w:rsidR="00610514" w:rsidRPr="00610514">
        <w:rPr>
          <w:rFonts w:ascii="Times New Roman" w:hAnsi="Times New Roman" w:cs="Times New Roman"/>
          <w:sz w:val="24"/>
          <w:szCs w:val="24"/>
          <w:vertAlign w:val="superscript"/>
        </w:rPr>
        <w:t>nd</w:t>
      </w:r>
      <w:r w:rsidR="00610514">
        <w:rPr>
          <w:rFonts w:ascii="Times New Roman" w:hAnsi="Times New Roman" w:cs="Times New Roman"/>
          <w:sz w:val="24"/>
          <w:szCs w:val="24"/>
        </w:rPr>
        <w:t xml:space="preserve"> out of 171 lenders in originating loans in moderate-i</w:t>
      </w:r>
      <w:r w:rsidR="001D5597">
        <w:rPr>
          <w:rFonts w:ascii="Times New Roman" w:hAnsi="Times New Roman" w:cs="Times New Roman"/>
          <w:sz w:val="24"/>
          <w:szCs w:val="24"/>
        </w:rPr>
        <w:t>ncome census tracts, with a 1.2 percent</w:t>
      </w:r>
      <w:r w:rsidR="00610514">
        <w:rPr>
          <w:rFonts w:ascii="Times New Roman" w:hAnsi="Times New Roman" w:cs="Times New Roman"/>
          <w:sz w:val="24"/>
          <w:szCs w:val="24"/>
        </w:rPr>
        <w:t xml:space="preserve"> market share</w:t>
      </w:r>
      <w:r w:rsidR="00AF2064">
        <w:rPr>
          <w:rFonts w:ascii="Times New Roman" w:hAnsi="Times New Roman" w:cs="Times New Roman"/>
          <w:sz w:val="24"/>
          <w:szCs w:val="24"/>
        </w:rPr>
        <w:t xml:space="preserve">. </w:t>
      </w:r>
      <w:r w:rsidR="00393D0A">
        <w:rPr>
          <w:rFonts w:ascii="Times New Roman" w:hAnsi="Times New Roman" w:cs="Times New Roman"/>
          <w:sz w:val="24"/>
          <w:szCs w:val="24"/>
        </w:rPr>
        <w:t xml:space="preserve">This ranking was </w:t>
      </w:r>
      <w:r w:rsidR="00610514">
        <w:rPr>
          <w:rFonts w:ascii="Times New Roman" w:hAnsi="Times New Roman" w:cs="Times New Roman"/>
          <w:sz w:val="24"/>
          <w:szCs w:val="24"/>
        </w:rPr>
        <w:t xml:space="preserve">below </w:t>
      </w:r>
      <w:r w:rsidR="001D27C9">
        <w:rPr>
          <w:rFonts w:ascii="Times New Roman" w:hAnsi="Times New Roman" w:cs="Times New Roman"/>
          <w:sz w:val="24"/>
          <w:szCs w:val="24"/>
        </w:rPr>
        <w:t>the bank</w:t>
      </w:r>
      <w:r w:rsidR="00610514">
        <w:rPr>
          <w:rFonts w:ascii="Times New Roman" w:hAnsi="Times New Roman" w:cs="Times New Roman"/>
          <w:sz w:val="24"/>
          <w:szCs w:val="24"/>
        </w:rPr>
        <w:t>’s 2017 overall market share.</w:t>
      </w:r>
    </w:p>
    <w:p w:rsidR="001B4658" w:rsidRDefault="001B4658">
      <w:pPr>
        <w:rPr>
          <w:rFonts w:ascii="Times New Roman" w:hAnsi="Times New Roman" w:cs="Times New Roman"/>
          <w:sz w:val="24"/>
          <w:szCs w:val="24"/>
        </w:rPr>
      </w:pPr>
      <w:r>
        <w:rPr>
          <w:rFonts w:ascii="Times New Roman" w:hAnsi="Times New Roman" w:cs="Times New Roman"/>
          <w:sz w:val="24"/>
          <w:szCs w:val="24"/>
        </w:rPr>
        <w:br w:type="page"/>
      </w:r>
    </w:p>
    <w:p w:rsidR="002F07DC" w:rsidRPr="00DC1615" w:rsidRDefault="002F07DC" w:rsidP="001B4658">
      <w:pPr>
        <w:jc w:val="both"/>
        <w:rPr>
          <w:rFonts w:ascii="Times New Roman" w:hAnsi="Times New Roman" w:cs="Times New Roman"/>
          <w:sz w:val="24"/>
          <w:szCs w:val="24"/>
        </w:rPr>
      </w:pPr>
      <w:r w:rsidRPr="003E4D4D">
        <w:rPr>
          <w:rFonts w:ascii="Times New Roman" w:hAnsi="Times New Roman" w:cs="Times New Roman"/>
          <w:sz w:val="24"/>
          <w:szCs w:val="24"/>
        </w:rPr>
        <w:lastRenderedPageBreak/>
        <w:t xml:space="preserve">The following table shows </w:t>
      </w:r>
      <w:r w:rsidR="001D27C9">
        <w:rPr>
          <w:rFonts w:ascii="Times New Roman" w:hAnsi="Times New Roman" w:cs="Times New Roman"/>
          <w:sz w:val="24"/>
          <w:szCs w:val="24"/>
        </w:rPr>
        <w:t>the bank</w:t>
      </w:r>
      <w:r w:rsidRPr="003E4D4D">
        <w:rPr>
          <w:rFonts w:ascii="Times New Roman" w:hAnsi="Times New Roman" w:cs="Times New Roman"/>
          <w:sz w:val="24"/>
          <w:szCs w:val="24"/>
        </w:rPr>
        <w:t>’s performance.</w:t>
      </w:r>
    </w:p>
    <w:tbl>
      <w:tblPr>
        <w:tblW w:w="0" w:type="auto"/>
        <w:tblCellMar>
          <w:left w:w="0" w:type="dxa"/>
          <w:right w:w="0" w:type="dxa"/>
        </w:tblCellMar>
        <w:tblLook w:val="0000" w:firstRow="0" w:lastRow="0" w:firstColumn="0" w:lastColumn="0" w:noHBand="0" w:noVBand="0"/>
      </w:tblPr>
      <w:tblGrid>
        <w:gridCol w:w="2501"/>
        <w:gridCol w:w="1547"/>
        <w:gridCol w:w="1427"/>
        <w:gridCol w:w="1188"/>
        <w:gridCol w:w="851"/>
        <w:gridCol w:w="1010"/>
        <w:gridCol w:w="818"/>
      </w:tblGrid>
      <w:tr w:rsidR="002F07DC" w:rsidRPr="00DC1615" w:rsidTr="00FC76D6">
        <w:trPr>
          <w:trHeight w:val="282"/>
        </w:trPr>
        <w:tc>
          <w:tcPr>
            <w:tcW w:w="9342" w:type="dxa"/>
            <w:gridSpan w:val="7"/>
            <w:tcBorders>
              <w:top w:val="single" w:sz="7" w:space="0" w:color="000000"/>
              <w:left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Geographic Distribution of Home Mortgage Loans</w:t>
            </w:r>
          </w:p>
        </w:tc>
      </w:tr>
      <w:tr w:rsidR="002F07DC" w:rsidRPr="00DC1615" w:rsidTr="00FC76D6">
        <w:trPr>
          <w:trHeight w:val="498"/>
        </w:trPr>
        <w:tc>
          <w:tcPr>
            <w:tcW w:w="25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F07DC" w:rsidRPr="002F07DC" w:rsidRDefault="002F07DC" w:rsidP="00FC76D6">
            <w:pPr>
              <w:spacing w:after="0"/>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Tract Income Level</w:t>
            </w:r>
          </w:p>
        </w:tc>
        <w:tc>
          <w:tcPr>
            <w:tcW w:w="15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 of  Owner-Occupied Housing Units</w:t>
            </w:r>
          </w:p>
        </w:tc>
        <w:tc>
          <w:tcPr>
            <w:tcW w:w="14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Aggregate Performance</w:t>
            </w:r>
            <w:r w:rsidRPr="002F07DC">
              <w:rPr>
                <w:rFonts w:ascii="Times New Roman" w:eastAsia="Times New Roman" w:hAnsi="Times New Roman" w:cs="Times New Roman"/>
                <w:b/>
                <w:color w:val="000000"/>
                <w:sz w:val="20"/>
                <w:szCs w:val="20"/>
              </w:rPr>
              <w:br/>
              <w:t>% of #</w:t>
            </w:r>
          </w:p>
        </w:tc>
        <w:tc>
          <w:tcPr>
            <w:tcW w:w="118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w:t>
            </w:r>
          </w:p>
        </w:tc>
        <w:tc>
          <w:tcPr>
            <w:tcW w:w="8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w:t>
            </w:r>
          </w:p>
        </w:tc>
        <w:tc>
          <w:tcPr>
            <w:tcW w:w="10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w:t>
            </w:r>
            <w:proofErr w:type="spellStart"/>
            <w:r w:rsidRPr="002F07DC">
              <w:rPr>
                <w:rFonts w:ascii="Times New Roman" w:eastAsia="Times New Roman" w:hAnsi="Times New Roman" w:cs="Times New Roman"/>
                <w:b/>
                <w:color w:val="000000"/>
                <w:sz w:val="20"/>
                <w:szCs w:val="20"/>
              </w:rPr>
              <w:t>000s</w:t>
            </w:r>
            <w:proofErr w:type="spellEnd"/>
            <w:r w:rsidRPr="002F07DC">
              <w:rPr>
                <w:rFonts w:ascii="Times New Roman" w:eastAsia="Times New Roman" w:hAnsi="Times New Roman" w:cs="Times New Roman"/>
                <w:b/>
                <w:color w:val="000000"/>
                <w:sz w:val="20"/>
                <w:szCs w:val="20"/>
              </w:rPr>
              <w:t>)</w:t>
            </w:r>
          </w:p>
        </w:tc>
        <w:tc>
          <w:tcPr>
            <w:tcW w:w="8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w:t>
            </w:r>
          </w:p>
        </w:tc>
      </w:tr>
      <w:tr w:rsidR="002F07DC" w:rsidRPr="00DC1615" w:rsidTr="001B4658">
        <w:trPr>
          <w:trHeight w:val="61"/>
        </w:trPr>
        <w:tc>
          <w:tcPr>
            <w:tcW w:w="25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F07DC" w:rsidRPr="002F07DC" w:rsidRDefault="002F07DC" w:rsidP="00FC76D6">
            <w:pPr>
              <w:spacing w:after="0"/>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Moderate</w:t>
            </w:r>
          </w:p>
        </w:tc>
        <w:tc>
          <w:tcPr>
            <w:tcW w:w="6841"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rPr>
                <w:rFonts w:ascii="Times New Roman" w:hAnsi="Times New Roman" w:cs="Times New Roman"/>
                <w:sz w:val="20"/>
                <w:szCs w:val="20"/>
              </w:rPr>
            </w:pPr>
          </w:p>
        </w:tc>
      </w:tr>
      <w:tr w:rsidR="002F07DC" w:rsidRPr="00DC1615" w:rsidTr="001B4658">
        <w:trPr>
          <w:trHeight w:val="24"/>
        </w:trPr>
        <w:tc>
          <w:tcPr>
            <w:tcW w:w="2501"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rsidR="002F07DC" w:rsidRPr="002F07DC" w:rsidRDefault="004C084B" w:rsidP="00FC76D6">
            <w:pPr>
              <w:spacing w:after="0"/>
              <w:jc w:val="right"/>
              <w:rPr>
                <w:rFonts w:ascii="Times New Roman" w:hAnsi="Times New Roman" w:cs="Times New Roman"/>
                <w:sz w:val="20"/>
                <w:szCs w:val="20"/>
              </w:rPr>
            </w:pPr>
            <w:proofErr w:type="spellStart"/>
            <w:r>
              <w:rPr>
                <w:rFonts w:ascii="Times New Roman" w:eastAsia="Times New Roman" w:hAnsi="Times New Roman" w:cs="Times New Roman"/>
                <w:color w:val="000000"/>
                <w:sz w:val="20"/>
                <w:szCs w:val="20"/>
              </w:rPr>
              <w:t>Q3-Q4</w:t>
            </w:r>
            <w:proofErr w:type="spellEnd"/>
            <w:r>
              <w:rPr>
                <w:rFonts w:ascii="Times New Roman" w:eastAsia="Times New Roman" w:hAnsi="Times New Roman" w:cs="Times New Roman"/>
                <w:color w:val="000000"/>
                <w:sz w:val="20"/>
                <w:szCs w:val="20"/>
              </w:rPr>
              <w:t xml:space="preserve"> </w:t>
            </w:r>
            <w:r w:rsidR="002F07DC" w:rsidRPr="002F07DC">
              <w:rPr>
                <w:rFonts w:ascii="Times New Roman" w:eastAsia="Times New Roman" w:hAnsi="Times New Roman" w:cs="Times New Roman"/>
                <w:color w:val="000000"/>
                <w:sz w:val="20"/>
                <w:szCs w:val="20"/>
              </w:rPr>
              <w:t>2016</w:t>
            </w:r>
          </w:p>
        </w:tc>
        <w:tc>
          <w:tcPr>
            <w:tcW w:w="15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5.3</w:t>
            </w:r>
          </w:p>
        </w:tc>
        <w:tc>
          <w:tcPr>
            <w:tcW w:w="14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6.4</w:t>
            </w:r>
          </w:p>
        </w:tc>
        <w:tc>
          <w:tcPr>
            <w:tcW w:w="118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10</w:t>
            </w:r>
          </w:p>
        </w:tc>
        <w:tc>
          <w:tcPr>
            <w:tcW w:w="8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14.9</w:t>
            </w:r>
          </w:p>
        </w:tc>
        <w:tc>
          <w:tcPr>
            <w:tcW w:w="10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2,877</w:t>
            </w:r>
          </w:p>
        </w:tc>
        <w:tc>
          <w:tcPr>
            <w:tcW w:w="8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11.6</w:t>
            </w:r>
          </w:p>
        </w:tc>
      </w:tr>
      <w:tr w:rsidR="002F07DC" w:rsidRPr="00DC1615" w:rsidTr="00FC76D6">
        <w:trPr>
          <w:trHeight w:val="181"/>
        </w:trPr>
        <w:tc>
          <w:tcPr>
            <w:tcW w:w="2501"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rsidR="002F07DC" w:rsidRPr="002F07DC" w:rsidRDefault="002F07DC" w:rsidP="00FC76D6">
            <w:pPr>
              <w:spacing w:after="0"/>
              <w:jc w:val="right"/>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2017</w:t>
            </w:r>
          </w:p>
        </w:tc>
        <w:tc>
          <w:tcPr>
            <w:tcW w:w="15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1.1</w:t>
            </w:r>
          </w:p>
        </w:tc>
        <w:tc>
          <w:tcPr>
            <w:tcW w:w="14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2.3</w:t>
            </w:r>
          </w:p>
        </w:tc>
        <w:tc>
          <w:tcPr>
            <w:tcW w:w="118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2</w:t>
            </w:r>
          </w:p>
        </w:tc>
        <w:tc>
          <w:tcPr>
            <w:tcW w:w="8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2.1</w:t>
            </w:r>
          </w:p>
        </w:tc>
        <w:tc>
          <w:tcPr>
            <w:tcW w:w="10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3,465</w:t>
            </w:r>
          </w:p>
        </w:tc>
        <w:tc>
          <w:tcPr>
            <w:tcW w:w="8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7.4</w:t>
            </w:r>
          </w:p>
        </w:tc>
      </w:tr>
      <w:tr w:rsidR="002F07DC" w:rsidRPr="00DC1615" w:rsidTr="00FC76D6">
        <w:trPr>
          <w:trHeight w:val="195"/>
        </w:trPr>
        <w:tc>
          <w:tcPr>
            <w:tcW w:w="25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F07DC" w:rsidRPr="002F07DC" w:rsidRDefault="002F07DC" w:rsidP="00FC76D6">
            <w:pPr>
              <w:spacing w:after="0"/>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Middle</w:t>
            </w:r>
          </w:p>
        </w:tc>
        <w:tc>
          <w:tcPr>
            <w:tcW w:w="6841"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rPr>
                <w:rFonts w:ascii="Times New Roman" w:hAnsi="Times New Roman" w:cs="Times New Roman"/>
                <w:sz w:val="20"/>
                <w:szCs w:val="20"/>
              </w:rPr>
            </w:pPr>
          </w:p>
        </w:tc>
      </w:tr>
      <w:tr w:rsidR="002F07DC" w:rsidRPr="00DC1615" w:rsidTr="00FC76D6">
        <w:trPr>
          <w:trHeight w:val="181"/>
        </w:trPr>
        <w:tc>
          <w:tcPr>
            <w:tcW w:w="2501"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rsidR="002F07DC" w:rsidRPr="002F07DC" w:rsidRDefault="004C084B" w:rsidP="004C084B">
            <w:pPr>
              <w:spacing w:after="0"/>
              <w:jc w:val="right"/>
              <w:rPr>
                <w:rFonts w:ascii="Times New Roman" w:hAnsi="Times New Roman" w:cs="Times New Roman"/>
                <w:sz w:val="20"/>
                <w:szCs w:val="20"/>
              </w:rPr>
            </w:pPr>
            <w:proofErr w:type="spellStart"/>
            <w:r>
              <w:rPr>
                <w:rFonts w:ascii="Times New Roman" w:eastAsia="Times New Roman" w:hAnsi="Times New Roman" w:cs="Times New Roman"/>
                <w:color w:val="000000"/>
                <w:sz w:val="20"/>
                <w:szCs w:val="20"/>
              </w:rPr>
              <w:t>Q3-Q4</w:t>
            </w:r>
            <w:proofErr w:type="spellEnd"/>
            <w:r>
              <w:rPr>
                <w:rFonts w:ascii="Times New Roman" w:eastAsia="Times New Roman" w:hAnsi="Times New Roman" w:cs="Times New Roman"/>
                <w:color w:val="000000"/>
                <w:sz w:val="20"/>
                <w:szCs w:val="20"/>
              </w:rPr>
              <w:t xml:space="preserve"> </w:t>
            </w:r>
            <w:r w:rsidRPr="002F07DC">
              <w:rPr>
                <w:rFonts w:ascii="Times New Roman" w:eastAsia="Times New Roman" w:hAnsi="Times New Roman" w:cs="Times New Roman"/>
                <w:color w:val="000000"/>
                <w:sz w:val="20"/>
                <w:szCs w:val="20"/>
              </w:rPr>
              <w:t>2016</w:t>
            </w:r>
          </w:p>
        </w:tc>
        <w:tc>
          <w:tcPr>
            <w:tcW w:w="15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38.0</w:t>
            </w:r>
          </w:p>
        </w:tc>
        <w:tc>
          <w:tcPr>
            <w:tcW w:w="14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42.1</w:t>
            </w:r>
          </w:p>
        </w:tc>
        <w:tc>
          <w:tcPr>
            <w:tcW w:w="118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45</w:t>
            </w:r>
          </w:p>
        </w:tc>
        <w:tc>
          <w:tcPr>
            <w:tcW w:w="8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67.2</w:t>
            </w:r>
          </w:p>
        </w:tc>
        <w:tc>
          <w:tcPr>
            <w:tcW w:w="10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15,331</w:t>
            </w:r>
          </w:p>
        </w:tc>
        <w:tc>
          <w:tcPr>
            <w:tcW w:w="8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62.0</w:t>
            </w:r>
          </w:p>
        </w:tc>
      </w:tr>
      <w:tr w:rsidR="002F07DC" w:rsidRPr="00DC1615" w:rsidTr="00FC76D6">
        <w:trPr>
          <w:trHeight w:val="181"/>
        </w:trPr>
        <w:tc>
          <w:tcPr>
            <w:tcW w:w="2501"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rsidR="002F07DC" w:rsidRPr="002F07DC" w:rsidRDefault="002F07DC" w:rsidP="00FC76D6">
            <w:pPr>
              <w:spacing w:after="0"/>
              <w:jc w:val="right"/>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2017</w:t>
            </w:r>
          </w:p>
        </w:tc>
        <w:tc>
          <w:tcPr>
            <w:tcW w:w="15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34.0</w:t>
            </w:r>
          </w:p>
        </w:tc>
        <w:tc>
          <w:tcPr>
            <w:tcW w:w="14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34.9</w:t>
            </w:r>
          </w:p>
        </w:tc>
        <w:tc>
          <w:tcPr>
            <w:tcW w:w="118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69</w:t>
            </w:r>
          </w:p>
        </w:tc>
        <w:tc>
          <w:tcPr>
            <w:tcW w:w="8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71.9</w:t>
            </w:r>
          </w:p>
        </w:tc>
        <w:tc>
          <w:tcPr>
            <w:tcW w:w="10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26,882</w:t>
            </w:r>
          </w:p>
        </w:tc>
        <w:tc>
          <w:tcPr>
            <w:tcW w:w="8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57.5</w:t>
            </w:r>
          </w:p>
        </w:tc>
      </w:tr>
      <w:tr w:rsidR="002F07DC" w:rsidRPr="00DC1615" w:rsidTr="00FC76D6">
        <w:trPr>
          <w:trHeight w:val="195"/>
        </w:trPr>
        <w:tc>
          <w:tcPr>
            <w:tcW w:w="25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F07DC" w:rsidRPr="002F07DC" w:rsidRDefault="002F07DC" w:rsidP="00FC76D6">
            <w:pPr>
              <w:spacing w:after="0"/>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Upper</w:t>
            </w:r>
          </w:p>
        </w:tc>
        <w:tc>
          <w:tcPr>
            <w:tcW w:w="6841"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rPr>
                <w:rFonts w:ascii="Times New Roman" w:hAnsi="Times New Roman" w:cs="Times New Roman"/>
                <w:sz w:val="20"/>
                <w:szCs w:val="20"/>
              </w:rPr>
            </w:pPr>
          </w:p>
        </w:tc>
      </w:tr>
      <w:tr w:rsidR="002F07DC" w:rsidRPr="00DC1615" w:rsidTr="00FC76D6">
        <w:trPr>
          <w:trHeight w:val="181"/>
        </w:trPr>
        <w:tc>
          <w:tcPr>
            <w:tcW w:w="2501"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rsidR="002F07DC" w:rsidRPr="002F07DC" w:rsidRDefault="004C084B" w:rsidP="00FC76D6">
            <w:pPr>
              <w:spacing w:after="0"/>
              <w:jc w:val="right"/>
              <w:rPr>
                <w:rFonts w:ascii="Times New Roman" w:hAnsi="Times New Roman" w:cs="Times New Roman"/>
                <w:sz w:val="20"/>
                <w:szCs w:val="20"/>
              </w:rPr>
            </w:pPr>
            <w:proofErr w:type="spellStart"/>
            <w:r>
              <w:rPr>
                <w:rFonts w:ascii="Times New Roman" w:eastAsia="Times New Roman" w:hAnsi="Times New Roman" w:cs="Times New Roman"/>
                <w:color w:val="000000"/>
                <w:sz w:val="20"/>
                <w:szCs w:val="20"/>
              </w:rPr>
              <w:t>Q3-Q4</w:t>
            </w:r>
            <w:proofErr w:type="spellEnd"/>
            <w:r>
              <w:rPr>
                <w:rFonts w:ascii="Times New Roman" w:eastAsia="Times New Roman" w:hAnsi="Times New Roman" w:cs="Times New Roman"/>
                <w:color w:val="000000"/>
                <w:sz w:val="20"/>
                <w:szCs w:val="20"/>
              </w:rPr>
              <w:t xml:space="preserve"> </w:t>
            </w:r>
            <w:r w:rsidRPr="002F07DC">
              <w:rPr>
                <w:rFonts w:ascii="Times New Roman" w:eastAsia="Times New Roman" w:hAnsi="Times New Roman" w:cs="Times New Roman"/>
                <w:color w:val="000000"/>
                <w:sz w:val="20"/>
                <w:szCs w:val="20"/>
              </w:rPr>
              <w:t>2016</w:t>
            </w:r>
          </w:p>
        </w:tc>
        <w:tc>
          <w:tcPr>
            <w:tcW w:w="15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56.6</w:t>
            </w:r>
          </w:p>
        </w:tc>
        <w:tc>
          <w:tcPr>
            <w:tcW w:w="14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51.6</w:t>
            </w:r>
          </w:p>
        </w:tc>
        <w:tc>
          <w:tcPr>
            <w:tcW w:w="118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12</w:t>
            </w:r>
          </w:p>
        </w:tc>
        <w:tc>
          <w:tcPr>
            <w:tcW w:w="8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17.9</w:t>
            </w:r>
          </w:p>
        </w:tc>
        <w:tc>
          <w:tcPr>
            <w:tcW w:w="10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6,509</w:t>
            </w:r>
          </w:p>
        </w:tc>
        <w:tc>
          <w:tcPr>
            <w:tcW w:w="8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26.3</w:t>
            </w:r>
          </w:p>
        </w:tc>
      </w:tr>
      <w:tr w:rsidR="002F07DC" w:rsidRPr="00DC1615" w:rsidTr="00FC76D6">
        <w:trPr>
          <w:trHeight w:val="181"/>
        </w:trPr>
        <w:tc>
          <w:tcPr>
            <w:tcW w:w="2501"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rsidR="002F07DC" w:rsidRPr="002F07DC" w:rsidRDefault="002F07DC" w:rsidP="00FC76D6">
            <w:pPr>
              <w:spacing w:after="0"/>
              <w:jc w:val="right"/>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2017</w:t>
            </w:r>
          </w:p>
        </w:tc>
        <w:tc>
          <w:tcPr>
            <w:tcW w:w="15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64.9</w:t>
            </w:r>
          </w:p>
        </w:tc>
        <w:tc>
          <w:tcPr>
            <w:tcW w:w="14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62.9</w:t>
            </w:r>
          </w:p>
        </w:tc>
        <w:tc>
          <w:tcPr>
            <w:tcW w:w="118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25</w:t>
            </w:r>
          </w:p>
        </w:tc>
        <w:tc>
          <w:tcPr>
            <w:tcW w:w="8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26.0</w:t>
            </w:r>
          </w:p>
        </w:tc>
        <w:tc>
          <w:tcPr>
            <w:tcW w:w="10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16,377</w:t>
            </w:r>
          </w:p>
        </w:tc>
        <w:tc>
          <w:tcPr>
            <w:tcW w:w="8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35.1</w:t>
            </w:r>
          </w:p>
        </w:tc>
      </w:tr>
      <w:tr w:rsidR="002F07DC" w:rsidRPr="00DC1615" w:rsidTr="00FC76D6">
        <w:trPr>
          <w:trHeight w:val="210"/>
        </w:trPr>
        <w:tc>
          <w:tcPr>
            <w:tcW w:w="25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F07DC" w:rsidRPr="002F07DC" w:rsidRDefault="002F07DC" w:rsidP="00FC76D6">
            <w:pPr>
              <w:spacing w:after="0"/>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Totals</w:t>
            </w:r>
          </w:p>
        </w:tc>
        <w:tc>
          <w:tcPr>
            <w:tcW w:w="6841"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rPr>
                <w:rFonts w:ascii="Times New Roman" w:hAnsi="Times New Roman" w:cs="Times New Roman"/>
                <w:sz w:val="20"/>
                <w:szCs w:val="20"/>
              </w:rPr>
            </w:pPr>
          </w:p>
        </w:tc>
      </w:tr>
      <w:tr w:rsidR="002F07DC" w:rsidRPr="00DC1615" w:rsidTr="00FC76D6">
        <w:trPr>
          <w:trHeight w:val="195"/>
        </w:trPr>
        <w:tc>
          <w:tcPr>
            <w:tcW w:w="2501"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rsidR="002F07DC" w:rsidRPr="002F07DC" w:rsidRDefault="004C084B" w:rsidP="00FC76D6">
            <w:pPr>
              <w:spacing w:after="0"/>
              <w:jc w:val="right"/>
              <w:rPr>
                <w:rFonts w:ascii="Times New Roman" w:hAnsi="Times New Roman" w:cs="Times New Roman"/>
                <w:sz w:val="20"/>
                <w:szCs w:val="20"/>
              </w:rPr>
            </w:pPr>
            <w:proofErr w:type="spellStart"/>
            <w:r>
              <w:rPr>
                <w:rFonts w:ascii="Times New Roman" w:eastAsia="Times New Roman" w:hAnsi="Times New Roman" w:cs="Times New Roman"/>
                <w:color w:val="000000"/>
                <w:sz w:val="20"/>
                <w:szCs w:val="20"/>
              </w:rPr>
              <w:t>Q3-Q4</w:t>
            </w:r>
            <w:proofErr w:type="spellEnd"/>
            <w:r>
              <w:rPr>
                <w:rFonts w:ascii="Times New Roman" w:eastAsia="Times New Roman" w:hAnsi="Times New Roman" w:cs="Times New Roman"/>
                <w:color w:val="000000"/>
                <w:sz w:val="20"/>
                <w:szCs w:val="20"/>
              </w:rPr>
              <w:t xml:space="preserve"> </w:t>
            </w:r>
            <w:r w:rsidRPr="002F07DC">
              <w:rPr>
                <w:rFonts w:ascii="Times New Roman" w:eastAsia="Times New Roman" w:hAnsi="Times New Roman" w:cs="Times New Roman"/>
                <w:color w:val="000000"/>
                <w:sz w:val="20"/>
                <w:szCs w:val="20"/>
              </w:rPr>
              <w:t>2016</w:t>
            </w:r>
          </w:p>
        </w:tc>
        <w:tc>
          <w:tcPr>
            <w:tcW w:w="15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100.0</w:t>
            </w:r>
          </w:p>
        </w:tc>
        <w:tc>
          <w:tcPr>
            <w:tcW w:w="14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100.0</w:t>
            </w:r>
          </w:p>
        </w:tc>
        <w:tc>
          <w:tcPr>
            <w:tcW w:w="118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67</w:t>
            </w:r>
          </w:p>
        </w:tc>
        <w:tc>
          <w:tcPr>
            <w:tcW w:w="8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100.0</w:t>
            </w:r>
          </w:p>
        </w:tc>
        <w:tc>
          <w:tcPr>
            <w:tcW w:w="10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24,717</w:t>
            </w:r>
          </w:p>
        </w:tc>
        <w:tc>
          <w:tcPr>
            <w:tcW w:w="8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100.0</w:t>
            </w:r>
          </w:p>
        </w:tc>
      </w:tr>
      <w:tr w:rsidR="002F07DC" w:rsidRPr="00DC1615" w:rsidTr="00FC76D6">
        <w:trPr>
          <w:trHeight w:val="195"/>
        </w:trPr>
        <w:tc>
          <w:tcPr>
            <w:tcW w:w="2501"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rsidR="002F07DC" w:rsidRPr="002F07DC" w:rsidRDefault="002F07DC" w:rsidP="00FC76D6">
            <w:pPr>
              <w:spacing w:after="0"/>
              <w:jc w:val="right"/>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2017</w:t>
            </w:r>
          </w:p>
        </w:tc>
        <w:tc>
          <w:tcPr>
            <w:tcW w:w="15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100.0</w:t>
            </w:r>
          </w:p>
        </w:tc>
        <w:tc>
          <w:tcPr>
            <w:tcW w:w="14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100.0</w:t>
            </w:r>
          </w:p>
        </w:tc>
        <w:tc>
          <w:tcPr>
            <w:tcW w:w="118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96</w:t>
            </w:r>
          </w:p>
        </w:tc>
        <w:tc>
          <w:tcPr>
            <w:tcW w:w="8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100.0</w:t>
            </w:r>
          </w:p>
        </w:tc>
        <w:tc>
          <w:tcPr>
            <w:tcW w:w="10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46,724</w:t>
            </w:r>
          </w:p>
        </w:tc>
        <w:tc>
          <w:tcPr>
            <w:tcW w:w="8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100.0</w:t>
            </w:r>
          </w:p>
        </w:tc>
      </w:tr>
      <w:tr w:rsidR="002F07DC" w:rsidRPr="00DC1615" w:rsidTr="00FC76D6">
        <w:trPr>
          <w:trHeight w:val="509"/>
        </w:trPr>
        <w:tc>
          <w:tcPr>
            <w:tcW w:w="9342" w:type="dxa"/>
            <w:gridSpan w:val="7"/>
            <w:tcBorders>
              <w:top w:val="single" w:sz="7" w:space="0" w:color="000000"/>
              <w:left w:val="single" w:sz="7" w:space="0" w:color="000000"/>
              <w:bottom w:val="single" w:sz="7" w:space="0" w:color="000000"/>
              <w:right w:val="single" w:sz="7" w:space="0" w:color="000000"/>
            </w:tcBorders>
            <w:tcMar>
              <w:top w:w="59" w:type="dxa"/>
              <w:left w:w="39" w:type="dxa"/>
              <w:bottom w:w="39" w:type="dxa"/>
              <w:right w:w="39" w:type="dxa"/>
            </w:tcMar>
          </w:tcPr>
          <w:p w:rsidR="002F07DC" w:rsidRPr="002F07DC" w:rsidRDefault="002F07DC" w:rsidP="00FC76D6">
            <w:pPr>
              <w:spacing w:after="0"/>
              <w:rPr>
                <w:rFonts w:ascii="Times New Roman" w:hAnsi="Times New Roman" w:cs="Times New Roman"/>
                <w:sz w:val="20"/>
                <w:szCs w:val="20"/>
              </w:rPr>
            </w:pPr>
            <w:proofErr w:type="gramStart"/>
            <w:r w:rsidRPr="002F07DC">
              <w:rPr>
                <w:rFonts w:ascii="Times New Roman" w:eastAsia="Times New Roman" w:hAnsi="Times New Roman" w:cs="Times New Roman"/>
                <w:i/>
                <w:color w:val="000000"/>
                <w:sz w:val="20"/>
                <w:szCs w:val="20"/>
              </w:rPr>
              <w:t>Source: 2010 U.S</w:t>
            </w:r>
            <w:r w:rsidR="00AF2064">
              <w:rPr>
                <w:rFonts w:ascii="Times New Roman" w:eastAsia="Times New Roman" w:hAnsi="Times New Roman" w:cs="Times New Roman"/>
                <w:i/>
                <w:color w:val="000000"/>
                <w:sz w:val="20"/>
                <w:szCs w:val="20"/>
              </w:rPr>
              <w:t xml:space="preserve">. </w:t>
            </w:r>
            <w:r w:rsidRPr="002F07DC">
              <w:rPr>
                <w:rFonts w:ascii="Times New Roman" w:eastAsia="Times New Roman" w:hAnsi="Times New Roman" w:cs="Times New Roman"/>
                <w:i/>
                <w:color w:val="000000"/>
                <w:sz w:val="20"/>
                <w:szCs w:val="20"/>
              </w:rPr>
              <w:t xml:space="preserve">Census &amp; 2015 ACS Census; 7/1/2016 - 12/31/2017 Bank Data, 2016 &amp; 2017 </w:t>
            </w:r>
            <w:proofErr w:type="spellStart"/>
            <w:r w:rsidRPr="002F07DC">
              <w:rPr>
                <w:rFonts w:ascii="Times New Roman" w:eastAsia="Times New Roman" w:hAnsi="Times New Roman" w:cs="Times New Roman"/>
                <w:i/>
                <w:color w:val="000000"/>
                <w:sz w:val="20"/>
                <w:szCs w:val="20"/>
              </w:rPr>
              <w:t>HMDA</w:t>
            </w:r>
            <w:proofErr w:type="spellEnd"/>
            <w:r w:rsidRPr="002F07DC">
              <w:rPr>
                <w:rFonts w:ascii="Times New Roman" w:eastAsia="Times New Roman" w:hAnsi="Times New Roman" w:cs="Times New Roman"/>
                <w:i/>
                <w:color w:val="000000"/>
                <w:sz w:val="20"/>
                <w:szCs w:val="20"/>
              </w:rPr>
              <w:t xml:space="preserve"> Aggregate Data, "--" data not available.</w:t>
            </w:r>
            <w:proofErr w:type="gramEnd"/>
          </w:p>
        </w:tc>
      </w:tr>
    </w:tbl>
    <w:p w:rsidR="002F07DC" w:rsidRPr="00DC1615" w:rsidRDefault="002F07DC" w:rsidP="002F07DC">
      <w:pPr>
        <w:rPr>
          <w:rFonts w:ascii="Times New Roman" w:hAnsi="Times New Roman" w:cs="Times New Roman"/>
          <w:sz w:val="24"/>
          <w:szCs w:val="24"/>
        </w:rPr>
      </w:pPr>
    </w:p>
    <w:p w:rsidR="002F07DC" w:rsidRPr="00DC1615" w:rsidRDefault="002F07DC" w:rsidP="001B4658">
      <w:pPr>
        <w:jc w:val="both"/>
        <w:rPr>
          <w:rFonts w:ascii="Times New Roman" w:hAnsi="Times New Roman" w:cs="Times New Roman"/>
          <w:b/>
          <w:sz w:val="24"/>
          <w:szCs w:val="24"/>
          <w:u w:val="single"/>
        </w:rPr>
      </w:pPr>
      <w:r w:rsidRPr="00DC1615">
        <w:rPr>
          <w:rFonts w:ascii="Times New Roman" w:hAnsi="Times New Roman" w:cs="Times New Roman"/>
          <w:b/>
          <w:sz w:val="24"/>
          <w:szCs w:val="24"/>
          <w:u w:val="single"/>
        </w:rPr>
        <w:t>Borrower Profile</w:t>
      </w:r>
    </w:p>
    <w:p w:rsidR="00A9542F" w:rsidRPr="00DC1615" w:rsidRDefault="002F07DC" w:rsidP="001B4658">
      <w:pPr>
        <w:jc w:val="both"/>
        <w:rPr>
          <w:rFonts w:ascii="Times New Roman" w:hAnsi="Times New Roman" w:cs="Times New Roman"/>
          <w:sz w:val="24"/>
          <w:szCs w:val="24"/>
        </w:rPr>
      </w:pPr>
      <w:r w:rsidRPr="00DC1615">
        <w:rPr>
          <w:rFonts w:ascii="Times New Roman" w:hAnsi="Times New Roman" w:cs="Times New Roman"/>
          <w:sz w:val="24"/>
          <w:szCs w:val="24"/>
        </w:rPr>
        <w:t xml:space="preserve">The distribution of borrowers reflects </w:t>
      </w:r>
      <w:r w:rsidR="000E63FF">
        <w:rPr>
          <w:rFonts w:ascii="Times New Roman" w:hAnsi="Times New Roman" w:cs="Times New Roman"/>
          <w:sz w:val="24"/>
          <w:szCs w:val="24"/>
        </w:rPr>
        <w:t>excellent</w:t>
      </w:r>
      <w:r w:rsidRPr="00DC1615">
        <w:rPr>
          <w:rFonts w:ascii="Times New Roman" w:hAnsi="Times New Roman" w:cs="Times New Roman"/>
          <w:sz w:val="24"/>
          <w:szCs w:val="24"/>
        </w:rPr>
        <w:t xml:space="preserve"> penetration among individuals of different income levels in the assessment area</w:t>
      </w:r>
      <w:r w:rsidR="00AF2064">
        <w:rPr>
          <w:rFonts w:ascii="Times New Roman" w:hAnsi="Times New Roman" w:cs="Times New Roman"/>
          <w:sz w:val="24"/>
          <w:szCs w:val="24"/>
        </w:rPr>
        <w:t xml:space="preserve">. </w:t>
      </w:r>
      <w:r w:rsidR="001D27C9">
        <w:rPr>
          <w:rFonts w:ascii="Times New Roman" w:hAnsi="Times New Roman" w:cs="Times New Roman"/>
          <w:sz w:val="24"/>
          <w:szCs w:val="24"/>
        </w:rPr>
        <w:t>The bank</w:t>
      </w:r>
      <w:r w:rsidRPr="00DC1615">
        <w:rPr>
          <w:rFonts w:ascii="Times New Roman" w:hAnsi="Times New Roman" w:cs="Times New Roman"/>
          <w:sz w:val="24"/>
          <w:szCs w:val="24"/>
        </w:rPr>
        <w:t xml:space="preserve">’s </w:t>
      </w:r>
      <w:r w:rsidRPr="00393D0A">
        <w:rPr>
          <w:rFonts w:ascii="Times New Roman" w:hAnsi="Times New Roman" w:cs="Times New Roman"/>
          <w:sz w:val="24"/>
          <w:szCs w:val="24"/>
        </w:rPr>
        <w:t>excellent</w:t>
      </w:r>
      <w:r w:rsidRPr="00DC1615">
        <w:rPr>
          <w:rFonts w:ascii="Times New Roman" w:hAnsi="Times New Roman" w:cs="Times New Roman"/>
          <w:sz w:val="24"/>
          <w:szCs w:val="24"/>
        </w:rPr>
        <w:t xml:space="preserve"> performance of home mortgage lending supports this conclusion</w:t>
      </w:r>
      <w:r w:rsidR="00AF2064">
        <w:rPr>
          <w:rFonts w:ascii="Times New Roman" w:hAnsi="Times New Roman" w:cs="Times New Roman"/>
          <w:sz w:val="24"/>
          <w:szCs w:val="24"/>
        </w:rPr>
        <w:t xml:space="preserve">. </w:t>
      </w:r>
      <w:r w:rsidRPr="00DC1615">
        <w:rPr>
          <w:rFonts w:ascii="Times New Roman" w:hAnsi="Times New Roman" w:cs="Times New Roman"/>
          <w:sz w:val="24"/>
          <w:szCs w:val="24"/>
        </w:rPr>
        <w:t>Examiners focused on the percentage by number of home mortgage loans to low- and moderate-income borrowers</w:t>
      </w:r>
      <w:r w:rsidR="00A9542F">
        <w:rPr>
          <w:rFonts w:ascii="Times New Roman" w:hAnsi="Times New Roman" w:cs="Times New Roman"/>
          <w:sz w:val="24"/>
          <w:szCs w:val="24"/>
        </w:rPr>
        <w:t xml:space="preserve"> in</w:t>
      </w:r>
      <w:r w:rsidR="00A9542F" w:rsidRPr="00DC1615">
        <w:rPr>
          <w:rFonts w:ascii="Times New Roman" w:hAnsi="Times New Roman" w:cs="Times New Roman"/>
          <w:sz w:val="24"/>
          <w:szCs w:val="24"/>
        </w:rPr>
        <w:t xml:space="preserve"> comparison to aggregate data.</w:t>
      </w:r>
    </w:p>
    <w:p w:rsidR="00393D0A" w:rsidRDefault="001D27C9" w:rsidP="001B4658">
      <w:pPr>
        <w:jc w:val="both"/>
        <w:rPr>
          <w:rFonts w:ascii="Times New Roman" w:hAnsi="Times New Roman" w:cs="Times New Roman"/>
          <w:sz w:val="24"/>
          <w:szCs w:val="24"/>
        </w:rPr>
      </w:pPr>
      <w:r>
        <w:rPr>
          <w:rFonts w:ascii="Times New Roman" w:hAnsi="Times New Roman" w:cs="Times New Roman"/>
          <w:sz w:val="24"/>
          <w:szCs w:val="24"/>
        </w:rPr>
        <w:t>The bank</w:t>
      </w:r>
      <w:r w:rsidR="00A9542F" w:rsidRPr="00DC1615">
        <w:rPr>
          <w:rFonts w:ascii="Times New Roman" w:hAnsi="Times New Roman" w:cs="Times New Roman"/>
          <w:sz w:val="24"/>
          <w:szCs w:val="24"/>
        </w:rPr>
        <w:t>’s home mortgage lending to low-income borrowers substantially exceeded aggregate performance in both 2016 and 2017</w:t>
      </w:r>
      <w:r w:rsidR="00AF2064">
        <w:rPr>
          <w:rFonts w:ascii="Times New Roman" w:hAnsi="Times New Roman" w:cs="Times New Roman"/>
          <w:sz w:val="24"/>
          <w:szCs w:val="24"/>
        </w:rPr>
        <w:t xml:space="preserve">. </w:t>
      </w:r>
      <w:r>
        <w:rPr>
          <w:rFonts w:ascii="Times New Roman" w:hAnsi="Times New Roman" w:cs="Times New Roman"/>
          <w:sz w:val="24"/>
          <w:szCs w:val="24"/>
        </w:rPr>
        <w:t>The bank</w:t>
      </w:r>
      <w:r w:rsidR="00441244">
        <w:rPr>
          <w:rFonts w:ascii="Times New Roman" w:hAnsi="Times New Roman" w:cs="Times New Roman"/>
          <w:sz w:val="24"/>
          <w:szCs w:val="24"/>
        </w:rPr>
        <w:t xml:space="preserve"> surpassed the aggregate by 15.0 percent in 2016 and by 5.2 percent in 2017</w:t>
      </w:r>
      <w:r w:rsidR="00AF2064">
        <w:rPr>
          <w:rFonts w:ascii="Times New Roman" w:hAnsi="Times New Roman" w:cs="Times New Roman"/>
          <w:sz w:val="24"/>
          <w:szCs w:val="24"/>
        </w:rPr>
        <w:t xml:space="preserve">. </w:t>
      </w:r>
      <w:r>
        <w:rPr>
          <w:rFonts w:ascii="Times New Roman" w:hAnsi="Times New Roman" w:cs="Times New Roman"/>
          <w:sz w:val="24"/>
          <w:szCs w:val="24"/>
        </w:rPr>
        <w:t>The bank</w:t>
      </w:r>
      <w:r w:rsidR="00441244">
        <w:rPr>
          <w:rFonts w:ascii="Times New Roman" w:hAnsi="Times New Roman" w:cs="Times New Roman"/>
          <w:sz w:val="24"/>
          <w:szCs w:val="24"/>
        </w:rPr>
        <w:t xml:space="preserve">’s </w:t>
      </w:r>
      <w:r w:rsidR="00AF2064">
        <w:rPr>
          <w:rFonts w:ascii="Times New Roman" w:hAnsi="Times New Roman" w:cs="Times New Roman"/>
          <w:sz w:val="24"/>
          <w:szCs w:val="24"/>
        </w:rPr>
        <w:t>performance leads</w:t>
      </w:r>
      <w:r w:rsidR="00441244">
        <w:rPr>
          <w:rFonts w:ascii="Times New Roman" w:hAnsi="Times New Roman" w:cs="Times New Roman"/>
          <w:sz w:val="24"/>
          <w:szCs w:val="24"/>
        </w:rPr>
        <w:t xml:space="preserve"> the demographic comparator by 0.8 percent in </w:t>
      </w:r>
      <w:r w:rsidR="001A5C61">
        <w:rPr>
          <w:rFonts w:ascii="Times New Roman" w:hAnsi="Times New Roman" w:cs="Times New Roman"/>
          <w:sz w:val="24"/>
          <w:szCs w:val="24"/>
        </w:rPr>
        <w:t>2016 and trail</w:t>
      </w:r>
      <w:r w:rsidR="00AF2064">
        <w:rPr>
          <w:rFonts w:ascii="Times New Roman" w:hAnsi="Times New Roman" w:cs="Times New Roman"/>
          <w:sz w:val="24"/>
          <w:szCs w:val="24"/>
        </w:rPr>
        <w:t>s</w:t>
      </w:r>
      <w:r w:rsidR="001A5C61">
        <w:rPr>
          <w:rFonts w:ascii="Times New Roman" w:hAnsi="Times New Roman" w:cs="Times New Roman"/>
          <w:sz w:val="24"/>
          <w:szCs w:val="24"/>
        </w:rPr>
        <w:t xml:space="preserve"> it in 2017 by 8.1 percent</w:t>
      </w:r>
      <w:r w:rsidR="00B47684">
        <w:rPr>
          <w:rFonts w:ascii="Times New Roman" w:hAnsi="Times New Roman" w:cs="Times New Roman"/>
          <w:sz w:val="24"/>
          <w:szCs w:val="24"/>
        </w:rPr>
        <w:t xml:space="preserve">.  </w:t>
      </w:r>
    </w:p>
    <w:p w:rsidR="00E8311C" w:rsidRDefault="001D27C9" w:rsidP="001B4658">
      <w:pPr>
        <w:jc w:val="both"/>
        <w:rPr>
          <w:rFonts w:ascii="Times New Roman" w:hAnsi="Times New Roman" w:cs="Times New Roman"/>
          <w:sz w:val="24"/>
          <w:szCs w:val="24"/>
        </w:rPr>
      </w:pPr>
      <w:r>
        <w:rPr>
          <w:rFonts w:ascii="Times New Roman" w:hAnsi="Times New Roman" w:cs="Times New Roman"/>
          <w:sz w:val="24"/>
          <w:szCs w:val="24"/>
        </w:rPr>
        <w:t>The bank</w:t>
      </w:r>
      <w:r w:rsidR="00A9542F" w:rsidRPr="00DC1615">
        <w:rPr>
          <w:rFonts w:ascii="Times New Roman" w:hAnsi="Times New Roman" w:cs="Times New Roman"/>
          <w:sz w:val="24"/>
          <w:szCs w:val="24"/>
        </w:rPr>
        <w:t>’s home mortgage lending to moderate-income borrowers substantially exceeded the aggregate in both 2016 and 2017</w:t>
      </w:r>
      <w:r w:rsidR="00AF2064">
        <w:rPr>
          <w:rFonts w:ascii="Times New Roman" w:hAnsi="Times New Roman" w:cs="Times New Roman"/>
          <w:sz w:val="24"/>
          <w:szCs w:val="24"/>
        </w:rPr>
        <w:t xml:space="preserve">. </w:t>
      </w:r>
      <w:r>
        <w:rPr>
          <w:rFonts w:ascii="Times New Roman" w:hAnsi="Times New Roman" w:cs="Times New Roman"/>
          <w:sz w:val="24"/>
          <w:szCs w:val="24"/>
        </w:rPr>
        <w:t>The bank</w:t>
      </w:r>
      <w:r w:rsidR="001A5C61">
        <w:rPr>
          <w:rFonts w:ascii="Times New Roman" w:hAnsi="Times New Roman" w:cs="Times New Roman"/>
          <w:sz w:val="24"/>
          <w:szCs w:val="24"/>
        </w:rPr>
        <w:t xml:space="preserve"> outperformed the aggregate by 9.2 percent in 2016 and by 9.8 percent in 2017</w:t>
      </w:r>
      <w:r w:rsidR="00AF2064">
        <w:rPr>
          <w:rFonts w:ascii="Times New Roman" w:hAnsi="Times New Roman" w:cs="Times New Roman"/>
          <w:sz w:val="24"/>
          <w:szCs w:val="24"/>
        </w:rPr>
        <w:t xml:space="preserve">. </w:t>
      </w:r>
      <w:r>
        <w:rPr>
          <w:rFonts w:ascii="Times New Roman" w:hAnsi="Times New Roman" w:cs="Times New Roman"/>
          <w:sz w:val="24"/>
          <w:szCs w:val="24"/>
        </w:rPr>
        <w:t>The bank</w:t>
      </w:r>
      <w:r w:rsidR="001A5C61">
        <w:rPr>
          <w:rFonts w:ascii="Times New Roman" w:hAnsi="Times New Roman" w:cs="Times New Roman"/>
          <w:sz w:val="24"/>
          <w:szCs w:val="24"/>
        </w:rPr>
        <w:t xml:space="preserve"> also exceeded the demographic comparator in both 2016 and 2017, by 2.5 percent and 4.8 percent respectively</w:t>
      </w:r>
      <w:r w:rsidR="00AF2064">
        <w:rPr>
          <w:rFonts w:ascii="Times New Roman" w:hAnsi="Times New Roman" w:cs="Times New Roman"/>
          <w:sz w:val="24"/>
          <w:szCs w:val="24"/>
        </w:rPr>
        <w:t xml:space="preserve">. </w:t>
      </w:r>
      <w:r w:rsidR="00A9542F" w:rsidRPr="00DC1615">
        <w:rPr>
          <w:rFonts w:ascii="Times New Roman" w:hAnsi="Times New Roman" w:cs="Times New Roman"/>
          <w:sz w:val="24"/>
          <w:szCs w:val="24"/>
        </w:rPr>
        <w:t>This performance is excellent considering the median housing price of $590,582 is high and makes home ownership difficult for low- and moderate-income borrowers to qualify for a mortgage</w:t>
      </w:r>
      <w:r w:rsidR="00B47684">
        <w:rPr>
          <w:rFonts w:ascii="Times New Roman" w:hAnsi="Times New Roman" w:cs="Times New Roman"/>
          <w:sz w:val="24"/>
          <w:szCs w:val="24"/>
        </w:rPr>
        <w:t xml:space="preserve">.  </w:t>
      </w:r>
    </w:p>
    <w:p w:rsidR="00A9542F" w:rsidRPr="00441244" w:rsidRDefault="00E8311C" w:rsidP="001B4658">
      <w:pPr>
        <w:jc w:val="both"/>
        <w:rPr>
          <w:rFonts w:ascii="Times New Roman" w:hAnsi="Times New Roman" w:cs="Times New Roman"/>
          <w:sz w:val="24"/>
          <w:szCs w:val="24"/>
        </w:rPr>
      </w:pPr>
      <w:r>
        <w:rPr>
          <w:rFonts w:ascii="Times New Roman" w:hAnsi="Times New Roman" w:cs="Times New Roman"/>
          <w:sz w:val="24"/>
          <w:szCs w:val="24"/>
        </w:rPr>
        <w:t xml:space="preserve">Market share data provides further </w:t>
      </w:r>
      <w:r w:rsidR="00393D0A">
        <w:rPr>
          <w:rFonts w:ascii="Times New Roman" w:hAnsi="Times New Roman" w:cs="Times New Roman"/>
          <w:sz w:val="24"/>
          <w:szCs w:val="24"/>
        </w:rPr>
        <w:t>support excellent performance</w:t>
      </w:r>
      <w:r w:rsidR="00B47684">
        <w:rPr>
          <w:rFonts w:ascii="Times New Roman" w:hAnsi="Times New Roman" w:cs="Times New Roman"/>
          <w:sz w:val="24"/>
          <w:szCs w:val="24"/>
        </w:rPr>
        <w:t>.</w:t>
      </w:r>
      <w:r w:rsidR="00393D0A">
        <w:rPr>
          <w:rFonts w:ascii="Times New Roman" w:hAnsi="Times New Roman" w:cs="Times New Roman"/>
          <w:sz w:val="24"/>
          <w:szCs w:val="24"/>
        </w:rPr>
        <w:t xml:space="preserve"> The bank consistently originated loans to low- and moderate-income borrowers at levels above its overall rank</w:t>
      </w:r>
      <w:r w:rsidR="00AF2064">
        <w:rPr>
          <w:rFonts w:ascii="Times New Roman" w:hAnsi="Times New Roman" w:cs="Times New Roman"/>
          <w:sz w:val="24"/>
          <w:szCs w:val="24"/>
        </w:rPr>
        <w:t xml:space="preserve">. </w:t>
      </w:r>
      <w:r>
        <w:rPr>
          <w:rFonts w:ascii="Times New Roman" w:hAnsi="Times New Roman" w:cs="Times New Roman"/>
          <w:sz w:val="24"/>
          <w:szCs w:val="24"/>
        </w:rPr>
        <w:t xml:space="preserve">In 2016, </w:t>
      </w:r>
      <w:r w:rsidR="001D27C9">
        <w:rPr>
          <w:rFonts w:ascii="Times New Roman" w:hAnsi="Times New Roman" w:cs="Times New Roman"/>
          <w:sz w:val="24"/>
          <w:szCs w:val="24"/>
        </w:rPr>
        <w:t>the bank</w:t>
      </w:r>
      <w:r>
        <w:rPr>
          <w:rFonts w:ascii="Times New Roman" w:hAnsi="Times New Roman" w:cs="Times New Roman"/>
          <w:sz w:val="24"/>
          <w:szCs w:val="24"/>
        </w:rPr>
        <w:t xml:space="preserve"> </w:t>
      </w:r>
      <w:r w:rsidR="00BA010C">
        <w:rPr>
          <w:rFonts w:ascii="Times New Roman" w:hAnsi="Times New Roman" w:cs="Times New Roman"/>
          <w:sz w:val="24"/>
          <w:szCs w:val="24"/>
        </w:rPr>
        <w:t xml:space="preserve">ranked </w:t>
      </w:r>
      <w:proofErr w:type="gramStart"/>
      <w:r w:rsidR="00BA010C">
        <w:rPr>
          <w:rFonts w:ascii="Times New Roman" w:hAnsi="Times New Roman" w:cs="Times New Roman"/>
          <w:sz w:val="24"/>
          <w:szCs w:val="24"/>
        </w:rPr>
        <w:t>1</w:t>
      </w:r>
      <w:r w:rsidR="00BA010C" w:rsidRPr="00BA010C">
        <w:rPr>
          <w:rFonts w:ascii="Times New Roman" w:hAnsi="Times New Roman" w:cs="Times New Roman"/>
          <w:sz w:val="24"/>
          <w:szCs w:val="24"/>
          <w:vertAlign w:val="superscript"/>
        </w:rPr>
        <w:t>st</w:t>
      </w:r>
      <w:proofErr w:type="gramEnd"/>
      <w:r w:rsidR="00BA010C">
        <w:rPr>
          <w:rFonts w:ascii="Times New Roman" w:hAnsi="Times New Roman" w:cs="Times New Roman"/>
          <w:sz w:val="24"/>
          <w:szCs w:val="24"/>
        </w:rPr>
        <w:t xml:space="preserve"> in loans to low-income borrowe</w:t>
      </w:r>
      <w:r w:rsidR="001D5597">
        <w:rPr>
          <w:rFonts w:ascii="Times New Roman" w:hAnsi="Times New Roman" w:cs="Times New Roman"/>
          <w:sz w:val="24"/>
          <w:szCs w:val="24"/>
        </w:rPr>
        <w:t>rs, with a market share of 11.6 percent</w:t>
      </w:r>
      <w:r w:rsidR="00AF2064">
        <w:rPr>
          <w:rFonts w:ascii="Times New Roman" w:hAnsi="Times New Roman" w:cs="Times New Roman"/>
          <w:sz w:val="24"/>
          <w:szCs w:val="24"/>
        </w:rPr>
        <w:t xml:space="preserve">. </w:t>
      </w:r>
      <w:r w:rsidR="001D27C9">
        <w:rPr>
          <w:rFonts w:ascii="Times New Roman" w:hAnsi="Times New Roman" w:cs="Times New Roman"/>
          <w:sz w:val="24"/>
          <w:szCs w:val="24"/>
        </w:rPr>
        <w:t xml:space="preserve">The </w:t>
      </w:r>
      <w:r w:rsidR="001D27C9">
        <w:rPr>
          <w:rFonts w:ascii="Times New Roman" w:hAnsi="Times New Roman" w:cs="Times New Roman"/>
          <w:sz w:val="24"/>
          <w:szCs w:val="24"/>
        </w:rPr>
        <w:lastRenderedPageBreak/>
        <w:t>bank</w:t>
      </w:r>
      <w:r w:rsidR="00BA010C">
        <w:rPr>
          <w:rFonts w:ascii="Times New Roman" w:hAnsi="Times New Roman" w:cs="Times New Roman"/>
          <w:sz w:val="24"/>
          <w:szCs w:val="24"/>
        </w:rPr>
        <w:t xml:space="preserve"> ranked 10</w:t>
      </w:r>
      <w:r w:rsidR="00BA010C" w:rsidRPr="00BA010C">
        <w:rPr>
          <w:rFonts w:ascii="Times New Roman" w:hAnsi="Times New Roman" w:cs="Times New Roman"/>
          <w:sz w:val="24"/>
          <w:szCs w:val="24"/>
          <w:vertAlign w:val="superscript"/>
        </w:rPr>
        <w:t>th</w:t>
      </w:r>
      <w:r w:rsidR="00BA010C">
        <w:rPr>
          <w:rFonts w:ascii="Times New Roman" w:hAnsi="Times New Roman" w:cs="Times New Roman"/>
          <w:sz w:val="24"/>
          <w:szCs w:val="24"/>
        </w:rPr>
        <w:t xml:space="preserve"> in loans to moderate-income borrowers in the</w:t>
      </w:r>
      <w:r w:rsidR="001D5597">
        <w:rPr>
          <w:rFonts w:ascii="Times New Roman" w:hAnsi="Times New Roman" w:cs="Times New Roman"/>
          <w:sz w:val="24"/>
          <w:szCs w:val="24"/>
        </w:rPr>
        <w:t xml:space="preserve"> same year, with a share of 2.6 percent</w:t>
      </w:r>
      <w:r w:rsidR="00AF2064">
        <w:rPr>
          <w:rFonts w:ascii="Times New Roman" w:hAnsi="Times New Roman" w:cs="Times New Roman"/>
          <w:sz w:val="24"/>
          <w:szCs w:val="24"/>
        </w:rPr>
        <w:t xml:space="preserve">. </w:t>
      </w:r>
      <w:r w:rsidR="00BA010C">
        <w:rPr>
          <w:rFonts w:ascii="Times New Roman" w:hAnsi="Times New Roman" w:cs="Times New Roman"/>
          <w:sz w:val="24"/>
          <w:szCs w:val="24"/>
        </w:rPr>
        <w:t xml:space="preserve">In 2017, </w:t>
      </w:r>
      <w:r w:rsidR="001D27C9">
        <w:rPr>
          <w:rFonts w:ascii="Times New Roman" w:hAnsi="Times New Roman" w:cs="Times New Roman"/>
          <w:sz w:val="24"/>
          <w:szCs w:val="24"/>
        </w:rPr>
        <w:t>the bank</w:t>
      </w:r>
      <w:r w:rsidR="00BA010C">
        <w:rPr>
          <w:rFonts w:ascii="Times New Roman" w:hAnsi="Times New Roman" w:cs="Times New Roman"/>
          <w:sz w:val="24"/>
          <w:szCs w:val="24"/>
        </w:rPr>
        <w:t xml:space="preserve"> ranked </w:t>
      </w:r>
      <w:proofErr w:type="gramStart"/>
      <w:r w:rsidR="00BA010C">
        <w:rPr>
          <w:rFonts w:ascii="Times New Roman" w:hAnsi="Times New Roman" w:cs="Times New Roman"/>
          <w:sz w:val="24"/>
          <w:szCs w:val="24"/>
        </w:rPr>
        <w:t>5</w:t>
      </w:r>
      <w:r w:rsidR="00BA010C" w:rsidRPr="00BA010C">
        <w:rPr>
          <w:rFonts w:ascii="Times New Roman" w:hAnsi="Times New Roman" w:cs="Times New Roman"/>
          <w:sz w:val="24"/>
          <w:szCs w:val="24"/>
          <w:vertAlign w:val="superscript"/>
        </w:rPr>
        <w:t>th</w:t>
      </w:r>
      <w:proofErr w:type="gramEnd"/>
      <w:r w:rsidR="00BA010C">
        <w:rPr>
          <w:rFonts w:ascii="Times New Roman" w:hAnsi="Times New Roman" w:cs="Times New Roman"/>
          <w:sz w:val="24"/>
          <w:szCs w:val="24"/>
        </w:rPr>
        <w:t xml:space="preserve"> in loans to low-income borro</w:t>
      </w:r>
      <w:r w:rsidR="001D5597">
        <w:rPr>
          <w:rFonts w:ascii="Times New Roman" w:hAnsi="Times New Roman" w:cs="Times New Roman"/>
          <w:sz w:val="24"/>
          <w:szCs w:val="24"/>
        </w:rPr>
        <w:t>wers with a market share of 4.3 percent</w:t>
      </w:r>
      <w:r w:rsidR="00AF2064">
        <w:rPr>
          <w:rFonts w:ascii="Times New Roman" w:hAnsi="Times New Roman" w:cs="Times New Roman"/>
          <w:sz w:val="24"/>
          <w:szCs w:val="24"/>
        </w:rPr>
        <w:t xml:space="preserve">. </w:t>
      </w:r>
      <w:r w:rsidR="001D27C9">
        <w:rPr>
          <w:rFonts w:ascii="Times New Roman" w:hAnsi="Times New Roman" w:cs="Times New Roman"/>
          <w:sz w:val="24"/>
          <w:szCs w:val="24"/>
        </w:rPr>
        <w:t>The bank</w:t>
      </w:r>
      <w:r w:rsidR="00BA010C">
        <w:rPr>
          <w:rFonts w:ascii="Times New Roman" w:hAnsi="Times New Roman" w:cs="Times New Roman"/>
          <w:sz w:val="24"/>
          <w:szCs w:val="24"/>
        </w:rPr>
        <w:t xml:space="preserve"> had a rank of </w:t>
      </w:r>
      <w:proofErr w:type="gramStart"/>
      <w:r w:rsidR="00BA010C">
        <w:rPr>
          <w:rFonts w:ascii="Times New Roman" w:hAnsi="Times New Roman" w:cs="Times New Roman"/>
          <w:sz w:val="24"/>
          <w:szCs w:val="24"/>
        </w:rPr>
        <w:t>9</w:t>
      </w:r>
      <w:r w:rsidR="00BA010C" w:rsidRPr="00BA010C">
        <w:rPr>
          <w:rFonts w:ascii="Times New Roman" w:hAnsi="Times New Roman" w:cs="Times New Roman"/>
          <w:sz w:val="24"/>
          <w:szCs w:val="24"/>
          <w:vertAlign w:val="superscript"/>
        </w:rPr>
        <w:t>th</w:t>
      </w:r>
      <w:proofErr w:type="gramEnd"/>
      <w:r w:rsidR="00BA010C">
        <w:rPr>
          <w:rFonts w:ascii="Times New Roman" w:hAnsi="Times New Roman" w:cs="Times New Roman"/>
          <w:sz w:val="24"/>
          <w:szCs w:val="24"/>
        </w:rPr>
        <w:t xml:space="preserve"> in loans to moderate-income borro</w:t>
      </w:r>
      <w:r w:rsidR="001D5597">
        <w:rPr>
          <w:rFonts w:ascii="Times New Roman" w:hAnsi="Times New Roman" w:cs="Times New Roman"/>
          <w:sz w:val="24"/>
          <w:szCs w:val="24"/>
        </w:rPr>
        <w:t>wers with a market share of 2.9 percent</w:t>
      </w:r>
      <w:r w:rsidR="00BA010C">
        <w:rPr>
          <w:rFonts w:ascii="Times New Roman" w:hAnsi="Times New Roman" w:cs="Times New Roman"/>
          <w:sz w:val="24"/>
          <w:szCs w:val="24"/>
        </w:rPr>
        <w:t>.</w:t>
      </w:r>
      <w:r w:rsidR="00393D0A">
        <w:rPr>
          <w:rFonts w:ascii="Times New Roman" w:hAnsi="Times New Roman" w:cs="Times New Roman"/>
          <w:sz w:val="24"/>
          <w:szCs w:val="24"/>
        </w:rPr>
        <w:t xml:space="preserve"> </w:t>
      </w:r>
    </w:p>
    <w:tbl>
      <w:tblPr>
        <w:tblW w:w="0" w:type="auto"/>
        <w:tblCellMar>
          <w:left w:w="0" w:type="dxa"/>
          <w:right w:w="0" w:type="dxa"/>
        </w:tblCellMar>
        <w:tblLook w:val="0000" w:firstRow="0" w:lastRow="0" w:firstColumn="0" w:lastColumn="0" w:noHBand="0" w:noVBand="0"/>
      </w:tblPr>
      <w:tblGrid>
        <w:gridCol w:w="2255"/>
        <w:gridCol w:w="1417"/>
        <w:gridCol w:w="1431"/>
        <w:gridCol w:w="1121"/>
        <w:gridCol w:w="991"/>
        <w:gridCol w:w="1136"/>
        <w:gridCol w:w="991"/>
      </w:tblGrid>
      <w:tr w:rsidR="002F07DC" w:rsidRPr="00DC1615" w:rsidTr="001B4658">
        <w:trPr>
          <w:trHeight w:val="34"/>
        </w:trPr>
        <w:tc>
          <w:tcPr>
            <w:tcW w:w="9342" w:type="dxa"/>
            <w:gridSpan w:val="7"/>
            <w:tcBorders>
              <w:top w:val="single" w:sz="7" w:space="0" w:color="000000"/>
              <w:left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Distribution of Home Mortgage Loans by Borrower Income Level</w:t>
            </w:r>
          </w:p>
        </w:tc>
      </w:tr>
      <w:tr w:rsidR="002F07DC" w:rsidRPr="00DC1615" w:rsidTr="00FC76D6">
        <w:trPr>
          <w:trHeight w:val="498"/>
        </w:trPr>
        <w:tc>
          <w:tcPr>
            <w:tcW w:w="22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F07DC" w:rsidRPr="002F07DC" w:rsidRDefault="002F07DC" w:rsidP="00FC76D6">
            <w:pPr>
              <w:spacing w:after="0"/>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Borrower Income Level</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 of  Families</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Aggregate Performance</w:t>
            </w:r>
            <w:r w:rsidRPr="002F07DC">
              <w:rPr>
                <w:rFonts w:ascii="Times New Roman" w:eastAsia="Times New Roman" w:hAnsi="Times New Roman" w:cs="Times New Roman"/>
                <w:b/>
                <w:color w:val="000000"/>
                <w:sz w:val="20"/>
                <w:szCs w:val="20"/>
              </w:rPr>
              <w:br/>
              <w:t>% of #</w:t>
            </w:r>
          </w:p>
        </w:tc>
        <w:tc>
          <w:tcPr>
            <w:tcW w:w="112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w:t>
            </w:r>
          </w:p>
        </w:tc>
        <w:tc>
          <w:tcPr>
            <w:tcW w:w="11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w:t>
            </w:r>
            <w:proofErr w:type="spellStart"/>
            <w:r w:rsidRPr="002F07DC">
              <w:rPr>
                <w:rFonts w:ascii="Times New Roman" w:eastAsia="Times New Roman" w:hAnsi="Times New Roman" w:cs="Times New Roman"/>
                <w:b/>
                <w:color w:val="000000"/>
                <w:sz w:val="20"/>
                <w:szCs w:val="20"/>
              </w:rPr>
              <w:t>000s</w:t>
            </w:r>
            <w:proofErr w:type="spellEnd"/>
            <w:r w:rsidRPr="002F07DC">
              <w:rPr>
                <w:rFonts w:ascii="Times New Roman" w:eastAsia="Times New Roman" w:hAnsi="Times New Roman" w:cs="Times New Roman"/>
                <w:b/>
                <w:color w:val="000000"/>
                <w:sz w:val="20"/>
                <w:szCs w:val="20"/>
              </w:rPr>
              <w:t>)</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w:t>
            </w:r>
          </w:p>
        </w:tc>
      </w:tr>
      <w:tr w:rsidR="002F07DC" w:rsidRPr="00DC1615" w:rsidTr="00FC76D6">
        <w:trPr>
          <w:trHeight w:val="181"/>
        </w:trPr>
        <w:tc>
          <w:tcPr>
            <w:tcW w:w="22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F07DC" w:rsidRPr="002F07DC" w:rsidRDefault="002F07DC" w:rsidP="00FC76D6">
            <w:pPr>
              <w:spacing w:after="0"/>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Low</w:t>
            </w:r>
          </w:p>
        </w:tc>
        <w:tc>
          <w:tcPr>
            <w:tcW w:w="7087"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rPr>
                <w:rFonts w:ascii="Times New Roman" w:hAnsi="Times New Roman" w:cs="Times New Roman"/>
                <w:sz w:val="20"/>
                <w:szCs w:val="20"/>
              </w:rPr>
            </w:pPr>
          </w:p>
        </w:tc>
      </w:tr>
      <w:tr w:rsidR="002F07DC" w:rsidRPr="00DC1615" w:rsidTr="00FC76D6">
        <w:trPr>
          <w:trHeight w:val="166"/>
        </w:trPr>
        <w:tc>
          <w:tcPr>
            <w:tcW w:w="2255"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rsidR="002F07DC" w:rsidRPr="002F07DC" w:rsidRDefault="002F07DC" w:rsidP="00FC76D6">
            <w:pPr>
              <w:spacing w:after="0"/>
              <w:jc w:val="right"/>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2016</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15.6</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1.4</w:t>
            </w:r>
          </w:p>
        </w:tc>
        <w:tc>
          <w:tcPr>
            <w:tcW w:w="112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11</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16.4</w:t>
            </w:r>
          </w:p>
        </w:tc>
        <w:tc>
          <w:tcPr>
            <w:tcW w:w="11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2,026</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8.2</w:t>
            </w:r>
          </w:p>
        </w:tc>
      </w:tr>
      <w:tr w:rsidR="002F07DC" w:rsidRPr="00DC1615" w:rsidTr="00FC76D6">
        <w:trPr>
          <w:trHeight w:val="166"/>
        </w:trPr>
        <w:tc>
          <w:tcPr>
            <w:tcW w:w="2255"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rsidR="002F07DC" w:rsidRPr="002F07DC" w:rsidRDefault="002F07DC" w:rsidP="00FC76D6">
            <w:pPr>
              <w:spacing w:after="0"/>
              <w:jc w:val="right"/>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2017</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15.4</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2.1</w:t>
            </w:r>
          </w:p>
        </w:tc>
        <w:tc>
          <w:tcPr>
            <w:tcW w:w="112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7</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7.3</w:t>
            </w:r>
          </w:p>
        </w:tc>
        <w:tc>
          <w:tcPr>
            <w:tcW w:w="11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2,039</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4.4</w:t>
            </w:r>
          </w:p>
        </w:tc>
      </w:tr>
      <w:tr w:rsidR="002F07DC" w:rsidRPr="00DC1615" w:rsidTr="00FC76D6">
        <w:trPr>
          <w:trHeight w:val="181"/>
        </w:trPr>
        <w:tc>
          <w:tcPr>
            <w:tcW w:w="22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F07DC" w:rsidRPr="002F07DC" w:rsidRDefault="002F07DC" w:rsidP="00FC76D6">
            <w:pPr>
              <w:spacing w:after="0"/>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Moderate</w:t>
            </w:r>
          </w:p>
        </w:tc>
        <w:tc>
          <w:tcPr>
            <w:tcW w:w="7087"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rPr>
                <w:rFonts w:ascii="Times New Roman" w:hAnsi="Times New Roman" w:cs="Times New Roman"/>
                <w:sz w:val="20"/>
                <w:szCs w:val="20"/>
              </w:rPr>
            </w:pPr>
          </w:p>
        </w:tc>
      </w:tr>
      <w:tr w:rsidR="002F07DC" w:rsidRPr="00DC1615" w:rsidTr="00FC76D6">
        <w:trPr>
          <w:trHeight w:val="166"/>
        </w:trPr>
        <w:tc>
          <w:tcPr>
            <w:tcW w:w="2255"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rsidR="002F07DC" w:rsidRPr="002F07DC" w:rsidRDefault="002F07DC" w:rsidP="00FC76D6">
            <w:pPr>
              <w:spacing w:after="0"/>
              <w:jc w:val="right"/>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2016</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13.9</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7.2</w:t>
            </w:r>
          </w:p>
        </w:tc>
        <w:tc>
          <w:tcPr>
            <w:tcW w:w="112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11</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16.4</w:t>
            </w:r>
          </w:p>
        </w:tc>
        <w:tc>
          <w:tcPr>
            <w:tcW w:w="11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3,392</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13.7</w:t>
            </w:r>
          </w:p>
        </w:tc>
      </w:tr>
      <w:tr w:rsidR="002F07DC" w:rsidRPr="00DC1615" w:rsidTr="00FC76D6">
        <w:trPr>
          <w:trHeight w:val="166"/>
        </w:trPr>
        <w:tc>
          <w:tcPr>
            <w:tcW w:w="2255"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rsidR="002F07DC" w:rsidRPr="002F07DC" w:rsidRDefault="002F07DC" w:rsidP="00FC76D6">
            <w:pPr>
              <w:spacing w:after="0"/>
              <w:jc w:val="right"/>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2017</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12.9</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7.9</w:t>
            </w:r>
          </w:p>
        </w:tc>
        <w:tc>
          <w:tcPr>
            <w:tcW w:w="112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17</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17.7</w:t>
            </w:r>
          </w:p>
        </w:tc>
        <w:tc>
          <w:tcPr>
            <w:tcW w:w="11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4,868</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10.4</w:t>
            </w:r>
          </w:p>
        </w:tc>
      </w:tr>
      <w:tr w:rsidR="002F07DC" w:rsidRPr="00DC1615" w:rsidTr="00FC76D6">
        <w:trPr>
          <w:trHeight w:val="181"/>
        </w:trPr>
        <w:tc>
          <w:tcPr>
            <w:tcW w:w="22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F07DC" w:rsidRPr="002F07DC" w:rsidRDefault="002F07DC" w:rsidP="00FC76D6">
            <w:pPr>
              <w:spacing w:after="0"/>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Middle</w:t>
            </w:r>
          </w:p>
        </w:tc>
        <w:tc>
          <w:tcPr>
            <w:tcW w:w="7087"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rPr>
                <w:rFonts w:ascii="Times New Roman" w:hAnsi="Times New Roman" w:cs="Times New Roman"/>
                <w:sz w:val="20"/>
                <w:szCs w:val="20"/>
              </w:rPr>
            </w:pPr>
          </w:p>
        </w:tc>
      </w:tr>
      <w:tr w:rsidR="002F07DC" w:rsidRPr="00DC1615" w:rsidTr="00FC76D6">
        <w:trPr>
          <w:trHeight w:val="166"/>
        </w:trPr>
        <w:tc>
          <w:tcPr>
            <w:tcW w:w="2255"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rsidR="002F07DC" w:rsidRPr="002F07DC" w:rsidRDefault="002F07DC" w:rsidP="00FC76D6">
            <w:pPr>
              <w:spacing w:after="0"/>
              <w:jc w:val="right"/>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2016</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18.6</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17.6</w:t>
            </w:r>
          </w:p>
        </w:tc>
        <w:tc>
          <w:tcPr>
            <w:tcW w:w="112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16</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23.9</w:t>
            </w:r>
          </w:p>
        </w:tc>
        <w:tc>
          <w:tcPr>
            <w:tcW w:w="11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4,341</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17.6</w:t>
            </w:r>
          </w:p>
        </w:tc>
      </w:tr>
      <w:tr w:rsidR="002F07DC" w:rsidRPr="00DC1615" w:rsidTr="00FC76D6">
        <w:trPr>
          <w:trHeight w:val="166"/>
        </w:trPr>
        <w:tc>
          <w:tcPr>
            <w:tcW w:w="2255"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rsidR="002F07DC" w:rsidRPr="002F07DC" w:rsidRDefault="002F07DC" w:rsidP="00FC76D6">
            <w:pPr>
              <w:spacing w:after="0"/>
              <w:jc w:val="right"/>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2017</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17.1</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16.9</w:t>
            </w:r>
          </w:p>
        </w:tc>
        <w:tc>
          <w:tcPr>
            <w:tcW w:w="112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16</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16.7</w:t>
            </w:r>
          </w:p>
        </w:tc>
        <w:tc>
          <w:tcPr>
            <w:tcW w:w="11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5,868</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12.6</w:t>
            </w:r>
          </w:p>
        </w:tc>
      </w:tr>
      <w:tr w:rsidR="002F07DC" w:rsidRPr="00DC1615" w:rsidTr="00FC76D6">
        <w:trPr>
          <w:trHeight w:val="181"/>
        </w:trPr>
        <w:tc>
          <w:tcPr>
            <w:tcW w:w="22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F07DC" w:rsidRPr="002F07DC" w:rsidRDefault="002F07DC" w:rsidP="00FC76D6">
            <w:pPr>
              <w:spacing w:after="0"/>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Upper</w:t>
            </w:r>
          </w:p>
        </w:tc>
        <w:tc>
          <w:tcPr>
            <w:tcW w:w="7087"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rPr>
                <w:rFonts w:ascii="Times New Roman" w:hAnsi="Times New Roman" w:cs="Times New Roman"/>
                <w:sz w:val="20"/>
                <w:szCs w:val="20"/>
              </w:rPr>
            </w:pPr>
          </w:p>
        </w:tc>
      </w:tr>
      <w:tr w:rsidR="002F07DC" w:rsidRPr="00DC1615" w:rsidTr="00FC76D6">
        <w:trPr>
          <w:trHeight w:val="166"/>
        </w:trPr>
        <w:tc>
          <w:tcPr>
            <w:tcW w:w="2255"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rsidR="002F07DC" w:rsidRPr="002F07DC" w:rsidRDefault="002F07DC" w:rsidP="00FC76D6">
            <w:pPr>
              <w:spacing w:after="0"/>
              <w:jc w:val="right"/>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2016</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51.9</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64.4</w:t>
            </w:r>
          </w:p>
        </w:tc>
        <w:tc>
          <w:tcPr>
            <w:tcW w:w="112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26</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38.8</w:t>
            </w:r>
          </w:p>
        </w:tc>
        <w:tc>
          <w:tcPr>
            <w:tcW w:w="11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11,491</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46.5</w:t>
            </w:r>
          </w:p>
        </w:tc>
      </w:tr>
      <w:tr w:rsidR="002F07DC" w:rsidRPr="00DC1615" w:rsidTr="00FC76D6">
        <w:trPr>
          <w:trHeight w:val="166"/>
        </w:trPr>
        <w:tc>
          <w:tcPr>
            <w:tcW w:w="2255"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rsidR="002F07DC" w:rsidRPr="002F07DC" w:rsidRDefault="002F07DC" w:rsidP="00FC76D6">
            <w:pPr>
              <w:spacing w:after="0"/>
              <w:jc w:val="right"/>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2017</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54.6</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62.8</w:t>
            </w:r>
          </w:p>
        </w:tc>
        <w:tc>
          <w:tcPr>
            <w:tcW w:w="112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45</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46.9</w:t>
            </w:r>
          </w:p>
        </w:tc>
        <w:tc>
          <w:tcPr>
            <w:tcW w:w="11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24,586</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52.6</w:t>
            </w:r>
          </w:p>
        </w:tc>
      </w:tr>
      <w:tr w:rsidR="002F07DC" w:rsidRPr="00DC1615" w:rsidTr="00FC76D6">
        <w:trPr>
          <w:trHeight w:val="181"/>
        </w:trPr>
        <w:tc>
          <w:tcPr>
            <w:tcW w:w="22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F07DC" w:rsidRPr="002F07DC" w:rsidRDefault="002F07DC" w:rsidP="00FC76D6">
            <w:pPr>
              <w:spacing w:after="0"/>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Not Available</w:t>
            </w:r>
          </w:p>
        </w:tc>
        <w:tc>
          <w:tcPr>
            <w:tcW w:w="7087"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rPr>
                <w:rFonts w:ascii="Times New Roman" w:hAnsi="Times New Roman" w:cs="Times New Roman"/>
                <w:sz w:val="20"/>
                <w:szCs w:val="20"/>
              </w:rPr>
            </w:pPr>
          </w:p>
        </w:tc>
      </w:tr>
      <w:tr w:rsidR="002F07DC" w:rsidRPr="00DC1615" w:rsidTr="00FC76D6">
        <w:trPr>
          <w:trHeight w:val="166"/>
        </w:trPr>
        <w:tc>
          <w:tcPr>
            <w:tcW w:w="2255"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rsidR="002F07DC" w:rsidRPr="002F07DC" w:rsidRDefault="002F07DC" w:rsidP="00FC76D6">
            <w:pPr>
              <w:spacing w:after="0"/>
              <w:jc w:val="right"/>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2016</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0.0</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9.3</w:t>
            </w:r>
          </w:p>
        </w:tc>
        <w:tc>
          <w:tcPr>
            <w:tcW w:w="112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3</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4.5</w:t>
            </w:r>
          </w:p>
        </w:tc>
        <w:tc>
          <w:tcPr>
            <w:tcW w:w="11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3,467</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14.0</w:t>
            </w:r>
          </w:p>
        </w:tc>
      </w:tr>
      <w:tr w:rsidR="002F07DC" w:rsidRPr="00DC1615" w:rsidTr="00FC76D6">
        <w:trPr>
          <w:trHeight w:val="166"/>
        </w:trPr>
        <w:tc>
          <w:tcPr>
            <w:tcW w:w="2255"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rsidR="002F07DC" w:rsidRPr="002F07DC" w:rsidRDefault="002F07DC" w:rsidP="00FC76D6">
            <w:pPr>
              <w:spacing w:after="0"/>
              <w:jc w:val="right"/>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2017</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0.0</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10.3</w:t>
            </w:r>
          </w:p>
        </w:tc>
        <w:tc>
          <w:tcPr>
            <w:tcW w:w="112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11</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11.5</w:t>
            </w:r>
          </w:p>
        </w:tc>
        <w:tc>
          <w:tcPr>
            <w:tcW w:w="11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9,363</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color w:val="000000"/>
                <w:sz w:val="20"/>
                <w:szCs w:val="20"/>
              </w:rPr>
              <w:t>20.0</w:t>
            </w:r>
          </w:p>
        </w:tc>
      </w:tr>
      <w:tr w:rsidR="002F07DC" w:rsidRPr="00DC1615" w:rsidTr="00FC76D6">
        <w:trPr>
          <w:trHeight w:val="181"/>
        </w:trPr>
        <w:tc>
          <w:tcPr>
            <w:tcW w:w="22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F07DC" w:rsidRPr="002F07DC" w:rsidRDefault="002F07DC" w:rsidP="00FC76D6">
            <w:pPr>
              <w:spacing w:after="0"/>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Totals</w:t>
            </w:r>
          </w:p>
        </w:tc>
        <w:tc>
          <w:tcPr>
            <w:tcW w:w="7087"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rPr>
                <w:rFonts w:ascii="Times New Roman" w:hAnsi="Times New Roman" w:cs="Times New Roman"/>
                <w:sz w:val="20"/>
                <w:szCs w:val="20"/>
              </w:rPr>
            </w:pPr>
          </w:p>
        </w:tc>
      </w:tr>
      <w:tr w:rsidR="002F07DC" w:rsidRPr="00DC1615" w:rsidTr="00FC76D6">
        <w:trPr>
          <w:trHeight w:val="181"/>
        </w:trPr>
        <w:tc>
          <w:tcPr>
            <w:tcW w:w="2255"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rsidR="002F07DC" w:rsidRPr="002F07DC" w:rsidRDefault="002F07DC" w:rsidP="00FC76D6">
            <w:pPr>
              <w:spacing w:after="0"/>
              <w:jc w:val="right"/>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2016</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100.0</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100.0</w:t>
            </w:r>
          </w:p>
        </w:tc>
        <w:tc>
          <w:tcPr>
            <w:tcW w:w="112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67</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100.0</w:t>
            </w:r>
          </w:p>
        </w:tc>
        <w:tc>
          <w:tcPr>
            <w:tcW w:w="11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24,717</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100.0</w:t>
            </w:r>
          </w:p>
        </w:tc>
      </w:tr>
      <w:tr w:rsidR="002F07DC" w:rsidRPr="00DC1615" w:rsidTr="00FC76D6">
        <w:trPr>
          <w:trHeight w:val="181"/>
        </w:trPr>
        <w:tc>
          <w:tcPr>
            <w:tcW w:w="2255"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rsidR="002F07DC" w:rsidRPr="002F07DC" w:rsidRDefault="002F07DC" w:rsidP="00FC76D6">
            <w:pPr>
              <w:spacing w:after="0"/>
              <w:jc w:val="right"/>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2017</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100.0</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100.0</w:t>
            </w:r>
          </w:p>
        </w:tc>
        <w:tc>
          <w:tcPr>
            <w:tcW w:w="112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96</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100.0</w:t>
            </w:r>
          </w:p>
        </w:tc>
        <w:tc>
          <w:tcPr>
            <w:tcW w:w="11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46,724</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2F07DC" w:rsidRPr="002F07DC" w:rsidRDefault="002F07DC" w:rsidP="00FC76D6">
            <w:pPr>
              <w:spacing w:after="0"/>
              <w:jc w:val="center"/>
              <w:rPr>
                <w:rFonts w:ascii="Times New Roman" w:hAnsi="Times New Roman" w:cs="Times New Roman"/>
                <w:sz w:val="20"/>
                <w:szCs w:val="20"/>
              </w:rPr>
            </w:pPr>
            <w:r w:rsidRPr="002F07DC">
              <w:rPr>
                <w:rFonts w:ascii="Times New Roman" w:eastAsia="Times New Roman" w:hAnsi="Times New Roman" w:cs="Times New Roman"/>
                <w:b/>
                <w:color w:val="000000"/>
                <w:sz w:val="20"/>
                <w:szCs w:val="20"/>
              </w:rPr>
              <w:t>100.0</w:t>
            </w:r>
          </w:p>
        </w:tc>
      </w:tr>
      <w:tr w:rsidR="002F07DC" w:rsidRPr="00DC1615" w:rsidTr="004E3F09">
        <w:trPr>
          <w:trHeight w:val="464"/>
        </w:trPr>
        <w:tc>
          <w:tcPr>
            <w:tcW w:w="9342" w:type="dxa"/>
            <w:gridSpan w:val="7"/>
            <w:tcBorders>
              <w:top w:val="single" w:sz="7" w:space="0" w:color="000000"/>
              <w:left w:val="single" w:sz="7" w:space="0" w:color="000000"/>
              <w:bottom w:val="single" w:sz="7" w:space="0" w:color="000000"/>
              <w:right w:val="single" w:sz="7" w:space="0" w:color="000000"/>
            </w:tcBorders>
            <w:tcMar>
              <w:top w:w="59" w:type="dxa"/>
              <w:left w:w="39" w:type="dxa"/>
              <w:bottom w:w="39" w:type="dxa"/>
              <w:right w:w="39" w:type="dxa"/>
            </w:tcMar>
          </w:tcPr>
          <w:p w:rsidR="002F07DC" w:rsidRPr="002F07DC" w:rsidRDefault="002F07DC" w:rsidP="00FC76D6">
            <w:pPr>
              <w:spacing w:after="0"/>
              <w:rPr>
                <w:rFonts w:ascii="Times New Roman" w:hAnsi="Times New Roman" w:cs="Times New Roman"/>
                <w:sz w:val="20"/>
                <w:szCs w:val="20"/>
              </w:rPr>
            </w:pPr>
            <w:proofErr w:type="gramStart"/>
            <w:r w:rsidRPr="002F07DC">
              <w:rPr>
                <w:rFonts w:ascii="Times New Roman" w:eastAsia="Times New Roman" w:hAnsi="Times New Roman" w:cs="Times New Roman"/>
                <w:i/>
                <w:color w:val="000000"/>
                <w:sz w:val="20"/>
                <w:szCs w:val="20"/>
              </w:rPr>
              <w:t>Source: 2010 U.S</w:t>
            </w:r>
            <w:r w:rsidR="00AF2064">
              <w:rPr>
                <w:rFonts w:ascii="Times New Roman" w:eastAsia="Times New Roman" w:hAnsi="Times New Roman" w:cs="Times New Roman"/>
                <w:i/>
                <w:color w:val="000000"/>
                <w:sz w:val="20"/>
                <w:szCs w:val="20"/>
              </w:rPr>
              <w:t xml:space="preserve">. </w:t>
            </w:r>
            <w:r w:rsidR="00393D0A">
              <w:rPr>
                <w:rFonts w:ascii="Times New Roman" w:eastAsia="Times New Roman" w:hAnsi="Times New Roman" w:cs="Times New Roman"/>
                <w:i/>
                <w:color w:val="000000"/>
                <w:sz w:val="20"/>
                <w:szCs w:val="20"/>
              </w:rPr>
              <w:t>Census &amp; 2015 ACS Census</w:t>
            </w:r>
            <w:r w:rsidRPr="002F07DC">
              <w:rPr>
                <w:rFonts w:ascii="Times New Roman" w:eastAsia="Times New Roman" w:hAnsi="Times New Roman" w:cs="Times New Roman"/>
                <w:i/>
                <w:color w:val="000000"/>
                <w:sz w:val="20"/>
                <w:szCs w:val="20"/>
              </w:rPr>
              <w:t xml:space="preserve">; 7/1/2016 - 12/31/2017 Bank Data, 2016 &amp; 2017 </w:t>
            </w:r>
            <w:proofErr w:type="spellStart"/>
            <w:r w:rsidRPr="002F07DC">
              <w:rPr>
                <w:rFonts w:ascii="Times New Roman" w:eastAsia="Times New Roman" w:hAnsi="Times New Roman" w:cs="Times New Roman"/>
                <w:i/>
                <w:color w:val="000000"/>
                <w:sz w:val="20"/>
                <w:szCs w:val="20"/>
              </w:rPr>
              <w:t>HMDA</w:t>
            </w:r>
            <w:proofErr w:type="spellEnd"/>
            <w:r w:rsidRPr="002F07DC">
              <w:rPr>
                <w:rFonts w:ascii="Times New Roman" w:eastAsia="Times New Roman" w:hAnsi="Times New Roman" w:cs="Times New Roman"/>
                <w:i/>
                <w:color w:val="000000"/>
                <w:sz w:val="20"/>
                <w:szCs w:val="20"/>
              </w:rPr>
              <w:t xml:space="preserve"> Aggregate Data, "--" data not available.</w:t>
            </w:r>
            <w:proofErr w:type="gramEnd"/>
          </w:p>
        </w:tc>
      </w:tr>
    </w:tbl>
    <w:p w:rsidR="002F07DC" w:rsidRPr="00DC1615" w:rsidRDefault="002F07DC" w:rsidP="002F07DC">
      <w:pPr>
        <w:rPr>
          <w:rFonts w:ascii="Times New Roman" w:hAnsi="Times New Roman" w:cs="Times New Roman"/>
          <w:sz w:val="24"/>
          <w:szCs w:val="24"/>
        </w:rPr>
      </w:pPr>
    </w:p>
    <w:p w:rsidR="002F07DC" w:rsidRPr="00DC1615" w:rsidRDefault="002F07DC" w:rsidP="001B4658">
      <w:pPr>
        <w:jc w:val="both"/>
        <w:rPr>
          <w:rFonts w:ascii="Times New Roman" w:hAnsi="Times New Roman" w:cs="Times New Roman"/>
          <w:b/>
          <w:sz w:val="24"/>
          <w:szCs w:val="24"/>
          <w:u w:val="single"/>
        </w:rPr>
      </w:pPr>
      <w:r w:rsidRPr="00DC1615">
        <w:rPr>
          <w:rFonts w:ascii="Times New Roman" w:hAnsi="Times New Roman" w:cs="Times New Roman"/>
          <w:b/>
          <w:sz w:val="24"/>
          <w:szCs w:val="24"/>
          <w:u w:val="single"/>
        </w:rPr>
        <w:t>Response to CRA-related Complaints</w:t>
      </w:r>
    </w:p>
    <w:p w:rsidR="000A6F72" w:rsidRDefault="001D27C9" w:rsidP="001B4658">
      <w:pPr>
        <w:jc w:val="both"/>
        <w:rPr>
          <w:rFonts w:ascii="Times New Roman" w:hAnsi="Times New Roman" w:cs="Times New Roman"/>
          <w:sz w:val="24"/>
          <w:szCs w:val="24"/>
        </w:rPr>
      </w:pPr>
      <w:r>
        <w:rPr>
          <w:rFonts w:ascii="Times New Roman" w:hAnsi="Times New Roman" w:cs="Times New Roman"/>
          <w:sz w:val="24"/>
          <w:szCs w:val="24"/>
        </w:rPr>
        <w:t>The bank</w:t>
      </w:r>
      <w:r w:rsidR="002F07DC" w:rsidRPr="00DC1615">
        <w:rPr>
          <w:rFonts w:ascii="Times New Roman" w:hAnsi="Times New Roman" w:cs="Times New Roman"/>
          <w:sz w:val="24"/>
          <w:szCs w:val="24"/>
        </w:rPr>
        <w:t xml:space="preserve"> did not receive any CRA-related complaints since the previous evaluation; therefore, this criterion did not affect the Lending Test rating.</w:t>
      </w:r>
    </w:p>
    <w:p w:rsidR="00AF2064" w:rsidRPr="00AF2064" w:rsidRDefault="00AF2064" w:rsidP="00AF2064">
      <w:pPr>
        <w:jc w:val="both"/>
        <w:rPr>
          <w:rFonts w:ascii="Times New Roman" w:hAnsi="Times New Roman" w:cs="Times New Roman"/>
          <w:b/>
          <w:sz w:val="24"/>
          <w:szCs w:val="24"/>
          <w:u w:val="single"/>
        </w:rPr>
      </w:pPr>
      <w:r w:rsidRPr="00AF2064">
        <w:rPr>
          <w:rFonts w:ascii="Times New Roman" w:hAnsi="Times New Roman" w:cs="Times New Roman"/>
          <w:b/>
          <w:sz w:val="24"/>
          <w:szCs w:val="24"/>
          <w:u w:val="single"/>
        </w:rPr>
        <w:t>Discriminatory or Other I</w:t>
      </w:r>
      <w:r w:rsidR="001B4658" w:rsidRPr="00AF2064">
        <w:rPr>
          <w:rFonts w:ascii="Times New Roman" w:hAnsi="Times New Roman" w:cs="Times New Roman"/>
          <w:b/>
          <w:sz w:val="24"/>
          <w:szCs w:val="24"/>
          <w:u w:val="single"/>
        </w:rPr>
        <w:t xml:space="preserve">llegal </w:t>
      </w:r>
      <w:r w:rsidRPr="00AF2064">
        <w:rPr>
          <w:rFonts w:ascii="Times New Roman" w:hAnsi="Times New Roman" w:cs="Times New Roman"/>
          <w:b/>
          <w:sz w:val="24"/>
          <w:szCs w:val="24"/>
          <w:u w:val="single"/>
        </w:rPr>
        <w:t>Credit P</w:t>
      </w:r>
      <w:r w:rsidR="001B4658" w:rsidRPr="00AF2064">
        <w:rPr>
          <w:rFonts w:ascii="Times New Roman" w:hAnsi="Times New Roman" w:cs="Times New Roman"/>
          <w:b/>
          <w:sz w:val="24"/>
          <w:szCs w:val="24"/>
          <w:u w:val="single"/>
        </w:rPr>
        <w:t xml:space="preserve">ractices </w:t>
      </w:r>
    </w:p>
    <w:p w:rsidR="001B4658" w:rsidRDefault="001B4658" w:rsidP="001B4658">
      <w:pPr>
        <w:spacing w:after="0" w:line="240" w:lineRule="auto"/>
        <w:jc w:val="both"/>
        <w:rPr>
          <w:rFonts w:ascii="Times New Roman" w:eastAsia="Calibri" w:hAnsi="Times New Roman" w:cs="Times New Roman"/>
          <w:b/>
          <w:spacing w:val="-4"/>
          <w:sz w:val="24"/>
          <w:szCs w:val="24"/>
        </w:rPr>
      </w:pPr>
      <w:r w:rsidRPr="00484F7F">
        <w:rPr>
          <w:rFonts w:ascii="Times New Roman" w:eastAsia="Times New Roman" w:hAnsi="Times New Roman" w:cs="Times New Roman"/>
          <w:sz w:val="24"/>
          <w:szCs w:val="24"/>
        </w:rPr>
        <w:t>Examiners did not identify any evidence of discriminatory or other illegal credit practices; therefore, this consideration did not affect the institution’s overall CRA rating</w:t>
      </w:r>
      <w:r>
        <w:rPr>
          <w:rFonts w:ascii="Times New Roman" w:eastAsia="Times New Roman" w:hAnsi="Times New Roman" w:cs="Times New Roman"/>
          <w:sz w:val="24"/>
          <w:szCs w:val="24"/>
        </w:rPr>
        <w:t xml:space="preserve">.  </w:t>
      </w:r>
    </w:p>
    <w:p w:rsidR="00AF2064" w:rsidRDefault="00AF2064" w:rsidP="001B4658">
      <w:pPr>
        <w:jc w:val="both"/>
        <w:rPr>
          <w:rFonts w:ascii="Times New Roman" w:hAnsi="Times New Roman" w:cs="Times New Roman"/>
          <w:b/>
          <w:sz w:val="24"/>
          <w:szCs w:val="24"/>
          <w:u w:val="single"/>
        </w:rPr>
      </w:pPr>
    </w:p>
    <w:p w:rsidR="00AF2064" w:rsidRDefault="00AF2064" w:rsidP="001B4658">
      <w:pPr>
        <w:jc w:val="both"/>
        <w:rPr>
          <w:rFonts w:ascii="Times New Roman" w:hAnsi="Times New Roman" w:cs="Times New Roman"/>
          <w:b/>
          <w:sz w:val="24"/>
          <w:szCs w:val="24"/>
          <w:u w:val="single"/>
        </w:rPr>
      </w:pPr>
    </w:p>
    <w:p w:rsidR="001B4658" w:rsidRPr="001B4658" w:rsidRDefault="001B4658" w:rsidP="001B4658">
      <w:pPr>
        <w:jc w:val="both"/>
        <w:rPr>
          <w:rFonts w:ascii="Times New Roman" w:hAnsi="Times New Roman" w:cs="Times New Roman"/>
          <w:b/>
          <w:sz w:val="24"/>
          <w:szCs w:val="24"/>
          <w:u w:val="single"/>
        </w:rPr>
      </w:pPr>
      <w:r w:rsidRPr="001B4658">
        <w:rPr>
          <w:rFonts w:ascii="Times New Roman" w:hAnsi="Times New Roman" w:cs="Times New Roman"/>
          <w:b/>
          <w:sz w:val="24"/>
          <w:szCs w:val="24"/>
          <w:u w:val="single"/>
        </w:rPr>
        <w:lastRenderedPageBreak/>
        <w:t>Fair Lending Policies and Procedures</w:t>
      </w:r>
    </w:p>
    <w:p w:rsidR="00AF2064" w:rsidRDefault="001B4658" w:rsidP="00AF2064">
      <w:pPr>
        <w:spacing w:after="0" w:line="240" w:lineRule="auto"/>
        <w:jc w:val="both"/>
        <w:rPr>
          <w:rFonts w:ascii="Times New Roman" w:eastAsia="Times New Roman" w:hAnsi="Times New Roman" w:cs="Times New Roman"/>
          <w:sz w:val="24"/>
          <w:szCs w:val="24"/>
        </w:rPr>
      </w:pPr>
      <w:r w:rsidRPr="00484F7F">
        <w:rPr>
          <w:rFonts w:ascii="Times New Roman" w:eastAsia="Times New Roman" w:hAnsi="Times New Roman" w:cs="Times New Roman"/>
          <w:sz w:val="24"/>
          <w:szCs w:val="24"/>
        </w:rPr>
        <w:t>The Division of Banks provides comments regarding the institution’s fair lending policies and procedures pursuant to Regulatory Bulletin 1.3-106</w:t>
      </w:r>
      <w:r w:rsidR="00AF2064">
        <w:rPr>
          <w:rFonts w:ascii="Times New Roman" w:eastAsia="Times New Roman" w:hAnsi="Times New Roman" w:cs="Times New Roman"/>
          <w:sz w:val="24"/>
          <w:szCs w:val="24"/>
        </w:rPr>
        <w:t xml:space="preserve">. </w:t>
      </w:r>
      <w:r w:rsidRPr="00484F7F">
        <w:rPr>
          <w:rFonts w:ascii="Times New Roman" w:eastAsia="Times New Roman" w:hAnsi="Times New Roman" w:cs="Times New Roman"/>
          <w:sz w:val="24"/>
          <w:szCs w:val="24"/>
        </w:rPr>
        <w:t>A review of the bank’s public comment file indicated the bank received no complaints pertaining to the institution’s CRA performance since the previous examination</w:t>
      </w:r>
      <w:r w:rsidR="00AF2064">
        <w:rPr>
          <w:rFonts w:ascii="Times New Roman" w:eastAsia="Times New Roman" w:hAnsi="Times New Roman" w:cs="Times New Roman"/>
          <w:sz w:val="24"/>
          <w:szCs w:val="24"/>
        </w:rPr>
        <w:t xml:space="preserve">. </w:t>
      </w:r>
      <w:r w:rsidRPr="00484F7F">
        <w:rPr>
          <w:rFonts w:ascii="Times New Roman" w:eastAsia="Times New Roman" w:hAnsi="Times New Roman" w:cs="Times New Roman"/>
          <w:sz w:val="24"/>
          <w:szCs w:val="24"/>
        </w:rPr>
        <w:t xml:space="preserve">The fair lending review </w:t>
      </w:r>
      <w:proofErr w:type="gramStart"/>
      <w:r w:rsidRPr="00484F7F">
        <w:rPr>
          <w:rFonts w:ascii="Times New Roman" w:eastAsia="Times New Roman" w:hAnsi="Times New Roman" w:cs="Times New Roman"/>
          <w:sz w:val="24"/>
          <w:szCs w:val="24"/>
        </w:rPr>
        <w:t>was conducted</w:t>
      </w:r>
      <w:proofErr w:type="gramEnd"/>
      <w:r w:rsidRPr="00484F7F">
        <w:rPr>
          <w:rFonts w:ascii="Times New Roman" w:eastAsia="Times New Roman" w:hAnsi="Times New Roman" w:cs="Times New Roman"/>
          <w:sz w:val="24"/>
          <w:szCs w:val="24"/>
        </w:rPr>
        <w:t xml:space="preserve"> in accordance with the Federal Financial Institutions Examination Council (</w:t>
      </w:r>
      <w:proofErr w:type="spellStart"/>
      <w:r w:rsidRPr="00484F7F">
        <w:rPr>
          <w:rFonts w:ascii="Times New Roman" w:eastAsia="Times New Roman" w:hAnsi="Times New Roman" w:cs="Times New Roman"/>
          <w:sz w:val="24"/>
          <w:szCs w:val="24"/>
        </w:rPr>
        <w:t>FFIEC</w:t>
      </w:r>
      <w:proofErr w:type="spellEnd"/>
      <w:r w:rsidRPr="00484F7F">
        <w:rPr>
          <w:rFonts w:ascii="Times New Roman" w:eastAsia="Times New Roman" w:hAnsi="Times New Roman" w:cs="Times New Roman"/>
          <w:sz w:val="24"/>
          <w:szCs w:val="24"/>
        </w:rPr>
        <w:t>) Interagency Fair Lending Examination Procedures</w:t>
      </w:r>
      <w:r w:rsidR="00AF2064">
        <w:rPr>
          <w:rFonts w:ascii="Times New Roman" w:eastAsia="Times New Roman" w:hAnsi="Times New Roman" w:cs="Times New Roman"/>
          <w:sz w:val="24"/>
          <w:szCs w:val="24"/>
        </w:rPr>
        <w:t xml:space="preserve">. </w:t>
      </w:r>
      <w:r w:rsidRPr="00484F7F">
        <w:rPr>
          <w:rFonts w:ascii="Times New Roman" w:eastAsia="Times New Roman" w:hAnsi="Times New Roman" w:cs="Times New Roman"/>
          <w:sz w:val="24"/>
          <w:szCs w:val="24"/>
        </w:rPr>
        <w:t>Based on these procedures, no evidence of</w:t>
      </w:r>
      <w:r w:rsidR="00AF2064">
        <w:rPr>
          <w:rFonts w:ascii="Times New Roman" w:eastAsia="Times New Roman" w:hAnsi="Times New Roman" w:cs="Times New Roman"/>
          <w:sz w:val="24"/>
          <w:szCs w:val="24"/>
        </w:rPr>
        <w:t xml:space="preserve"> disparate treatment </w:t>
      </w:r>
      <w:proofErr w:type="gramStart"/>
      <w:r w:rsidR="00AF2064">
        <w:rPr>
          <w:rFonts w:ascii="Times New Roman" w:eastAsia="Times New Roman" w:hAnsi="Times New Roman" w:cs="Times New Roman"/>
          <w:sz w:val="24"/>
          <w:szCs w:val="24"/>
        </w:rPr>
        <w:t>was noted</w:t>
      </w:r>
      <w:proofErr w:type="gramEnd"/>
      <w:r w:rsidR="00AF2064">
        <w:rPr>
          <w:rFonts w:ascii="Times New Roman" w:eastAsia="Times New Roman" w:hAnsi="Times New Roman" w:cs="Times New Roman"/>
          <w:sz w:val="24"/>
          <w:szCs w:val="24"/>
        </w:rPr>
        <w:t>.</w:t>
      </w:r>
    </w:p>
    <w:p w:rsidR="00AF2064" w:rsidRDefault="00AF2064" w:rsidP="00AF2064">
      <w:pPr>
        <w:spacing w:after="0" w:line="240" w:lineRule="auto"/>
        <w:jc w:val="both"/>
        <w:rPr>
          <w:rFonts w:ascii="Times New Roman" w:eastAsia="Times New Roman" w:hAnsi="Times New Roman" w:cs="Times New Roman"/>
          <w:sz w:val="24"/>
          <w:szCs w:val="24"/>
        </w:rPr>
      </w:pPr>
    </w:p>
    <w:p w:rsidR="001B4658" w:rsidRPr="00AF2064" w:rsidRDefault="001B4658" w:rsidP="00AF2064">
      <w:pPr>
        <w:spacing w:after="0" w:line="240" w:lineRule="auto"/>
        <w:jc w:val="both"/>
        <w:rPr>
          <w:rFonts w:ascii="Times New Roman" w:eastAsia="Times New Roman" w:hAnsi="Times New Roman" w:cs="Times New Roman"/>
          <w:sz w:val="24"/>
          <w:szCs w:val="24"/>
        </w:rPr>
      </w:pPr>
      <w:r w:rsidRPr="00AF2064">
        <w:rPr>
          <w:rFonts w:ascii="Times New Roman" w:hAnsi="Times New Roman" w:cs="Times New Roman"/>
          <w:sz w:val="24"/>
          <w:szCs w:val="24"/>
          <w:u w:val="single"/>
        </w:rPr>
        <w:t>Minority Application Flow</w:t>
      </w:r>
    </w:p>
    <w:p w:rsidR="001B4658" w:rsidRDefault="001B4658" w:rsidP="001B4658">
      <w:pPr>
        <w:spacing w:line="240" w:lineRule="auto"/>
        <w:jc w:val="both"/>
        <w:rPr>
          <w:rFonts w:ascii="Times New Roman" w:hAnsi="Times New Roman" w:cs="Times New Roman"/>
          <w:sz w:val="24"/>
          <w:szCs w:val="24"/>
        </w:rPr>
      </w:pPr>
      <w:r w:rsidRPr="00E06473">
        <w:rPr>
          <w:rFonts w:ascii="Times New Roman" w:hAnsi="Times New Roman" w:cs="Times New Roman"/>
          <w:sz w:val="24"/>
          <w:szCs w:val="24"/>
        </w:rPr>
        <w:t>According to the 2015 ACS U.S</w:t>
      </w:r>
      <w:r w:rsidR="00AF2064">
        <w:rPr>
          <w:rFonts w:ascii="Times New Roman" w:hAnsi="Times New Roman" w:cs="Times New Roman"/>
          <w:sz w:val="24"/>
          <w:szCs w:val="24"/>
        </w:rPr>
        <w:t xml:space="preserve">. </w:t>
      </w:r>
      <w:r w:rsidRPr="00E06473">
        <w:rPr>
          <w:rFonts w:ascii="Times New Roman" w:hAnsi="Times New Roman" w:cs="Times New Roman"/>
          <w:sz w:val="24"/>
          <w:szCs w:val="24"/>
        </w:rPr>
        <w:t xml:space="preserve">Census Data, in 2017 </w:t>
      </w:r>
      <w:r>
        <w:rPr>
          <w:rFonts w:ascii="Times New Roman" w:hAnsi="Times New Roman" w:cs="Times New Roman"/>
          <w:sz w:val="24"/>
          <w:szCs w:val="24"/>
        </w:rPr>
        <w:t>the bank</w:t>
      </w:r>
      <w:r w:rsidRPr="00E06473">
        <w:rPr>
          <w:rFonts w:ascii="Times New Roman" w:hAnsi="Times New Roman" w:cs="Times New Roman"/>
          <w:sz w:val="24"/>
          <w:szCs w:val="24"/>
        </w:rPr>
        <w:t>’s assessment area contained a total population of 285,628 individuals of which 26.2 percent are minorities</w:t>
      </w:r>
      <w:r w:rsidR="00AF2064">
        <w:rPr>
          <w:rFonts w:ascii="Times New Roman" w:hAnsi="Times New Roman" w:cs="Times New Roman"/>
          <w:sz w:val="24"/>
          <w:szCs w:val="24"/>
        </w:rPr>
        <w:t xml:space="preserve">. </w:t>
      </w:r>
      <w:r w:rsidRPr="00E06473">
        <w:rPr>
          <w:rFonts w:ascii="Times New Roman" w:hAnsi="Times New Roman" w:cs="Times New Roman"/>
          <w:sz w:val="24"/>
          <w:szCs w:val="24"/>
        </w:rPr>
        <w:t>The assessment area’s minority and ethnic population is 3.3 percent Black/African American, 13.0 percent Asian, 0.1 percent American Indian/Alaska Native, 0.0 percent Hawaiian/Pacific Islander, 7.1 percent Hispanic or Latino and 2.7 percent other.</w:t>
      </w:r>
    </w:p>
    <w:p w:rsidR="001B4658" w:rsidRDefault="001B4658" w:rsidP="001B4658">
      <w:pPr>
        <w:spacing w:line="240" w:lineRule="auto"/>
        <w:jc w:val="both"/>
        <w:rPr>
          <w:rFonts w:ascii="Times New Roman" w:hAnsi="Times New Roman" w:cs="Times New Roman"/>
          <w:sz w:val="24"/>
          <w:szCs w:val="24"/>
        </w:rPr>
      </w:pPr>
      <w:r>
        <w:rPr>
          <w:rFonts w:ascii="Times New Roman" w:hAnsi="Times New Roman" w:cs="Times New Roman"/>
          <w:sz w:val="24"/>
          <w:szCs w:val="24"/>
        </w:rPr>
        <w:t>The bank</w:t>
      </w:r>
      <w:r w:rsidRPr="00E06473">
        <w:rPr>
          <w:rFonts w:ascii="Times New Roman" w:hAnsi="Times New Roman" w:cs="Times New Roman"/>
          <w:sz w:val="24"/>
          <w:szCs w:val="24"/>
        </w:rPr>
        <w:t xml:space="preserve">’s level of lending </w:t>
      </w:r>
      <w:proofErr w:type="gramStart"/>
      <w:r w:rsidRPr="00E06473">
        <w:rPr>
          <w:rFonts w:ascii="Times New Roman" w:hAnsi="Times New Roman" w:cs="Times New Roman"/>
          <w:sz w:val="24"/>
          <w:szCs w:val="24"/>
        </w:rPr>
        <w:t>was compared</w:t>
      </w:r>
      <w:proofErr w:type="gramEnd"/>
      <w:r w:rsidRPr="00E06473">
        <w:rPr>
          <w:rFonts w:ascii="Times New Roman" w:hAnsi="Times New Roman" w:cs="Times New Roman"/>
          <w:sz w:val="24"/>
          <w:szCs w:val="24"/>
        </w:rPr>
        <w:t xml:space="preserve"> with aggregate lending performance levels for 2016 and 2017</w:t>
      </w:r>
      <w:r w:rsidR="00AF2064">
        <w:rPr>
          <w:rFonts w:ascii="Times New Roman" w:hAnsi="Times New Roman" w:cs="Times New Roman"/>
          <w:sz w:val="24"/>
          <w:szCs w:val="24"/>
        </w:rPr>
        <w:t xml:space="preserve">. </w:t>
      </w:r>
      <w:r w:rsidRPr="00E06473">
        <w:rPr>
          <w:rFonts w:ascii="Times New Roman" w:hAnsi="Times New Roman" w:cs="Times New Roman"/>
          <w:sz w:val="24"/>
          <w:szCs w:val="24"/>
        </w:rPr>
        <w:t xml:space="preserve">Refer to the table below for information on </w:t>
      </w:r>
      <w:r>
        <w:rPr>
          <w:rFonts w:ascii="Times New Roman" w:hAnsi="Times New Roman" w:cs="Times New Roman"/>
          <w:sz w:val="24"/>
          <w:szCs w:val="24"/>
        </w:rPr>
        <w:t>the bank</w:t>
      </w:r>
      <w:r w:rsidRPr="00E06473">
        <w:rPr>
          <w:rFonts w:ascii="Times New Roman" w:hAnsi="Times New Roman" w:cs="Times New Roman"/>
          <w:sz w:val="24"/>
          <w:szCs w:val="24"/>
        </w:rPr>
        <w:t xml:space="preserve">’s minority application flow as well as the aggregate lenders in </w:t>
      </w:r>
      <w:r>
        <w:rPr>
          <w:rFonts w:ascii="Times New Roman" w:hAnsi="Times New Roman" w:cs="Times New Roman"/>
          <w:sz w:val="24"/>
          <w:szCs w:val="24"/>
        </w:rPr>
        <w:t>the bank’s assessment area.</w:t>
      </w:r>
    </w:p>
    <w:tbl>
      <w:tblPr>
        <w:tblpPr w:leftFromText="180" w:rightFromText="180" w:vertAnchor="text" w:horzAnchor="margin" w:tblpY="-64"/>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9"/>
        <w:gridCol w:w="796"/>
        <w:gridCol w:w="1036"/>
        <w:gridCol w:w="1235"/>
        <w:gridCol w:w="761"/>
        <w:gridCol w:w="952"/>
        <w:gridCol w:w="1337"/>
      </w:tblGrid>
      <w:tr w:rsidR="001B4658" w:rsidRPr="002D3D8E" w:rsidTr="00AF2064">
        <w:trPr>
          <w:trHeight w:val="243"/>
        </w:trPr>
        <w:tc>
          <w:tcPr>
            <w:tcW w:w="9306" w:type="dxa"/>
            <w:gridSpan w:val="7"/>
          </w:tcPr>
          <w:p w:rsidR="001B4658" w:rsidRPr="002D3D8E" w:rsidRDefault="001B4658" w:rsidP="00B14ABC">
            <w:pPr>
              <w:spacing w:after="0"/>
              <w:jc w:val="center"/>
              <w:rPr>
                <w:rFonts w:ascii="Times New Roman" w:hAnsi="Times New Roman" w:cs="Times New Roman"/>
                <w:b/>
                <w:sz w:val="20"/>
                <w:szCs w:val="20"/>
              </w:rPr>
            </w:pPr>
            <w:r w:rsidRPr="002D3D8E">
              <w:rPr>
                <w:rFonts w:ascii="Times New Roman" w:hAnsi="Times New Roman" w:cs="Times New Roman"/>
                <w:b/>
                <w:sz w:val="20"/>
                <w:szCs w:val="20"/>
              </w:rPr>
              <w:t>MINORITY APPLICATION FLOW</w:t>
            </w:r>
          </w:p>
        </w:tc>
      </w:tr>
      <w:tr w:rsidR="001B4658" w:rsidRPr="002D3D8E" w:rsidTr="00AF2064">
        <w:trPr>
          <w:trHeight w:val="762"/>
        </w:trPr>
        <w:tc>
          <w:tcPr>
            <w:tcW w:w="3189" w:type="dxa"/>
            <w:vMerge w:val="restart"/>
          </w:tcPr>
          <w:p w:rsidR="001B4658" w:rsidRPr="002D3D8E" w:rsidRDefault="001B4658" w:rsidP="00B14ABC">
            <w:pPr>
              <w:keepNext/>
              <w:tabs>
                <w:tab w:val="left" w:pos="480"/>
                <w:tab w:val="left" w:pos="960"/>
                <w:tab w:val="left" w:pos="6840"/>
              </w:tabs>
              <w:spacing w:after="0"/>
              <w:jc w:val="both"/>
              <w:outlineLvl w:val="0"/>
              <w:rPr>
                <w:rFonts w:ascii="Times New Roman" w:hAnsi="Times New Roman" w:cs="Times New Roman"/>
                <w:spacing w:val="-3"/>
                <w:sz w:val="20"/>
                <w:szCs w:val="20"/>
              </w:rPr>
            </w:pPr>
          </w:p>
          <w:p w:rsidR="001B4658" w:rsidRPr="002D3D8E" w:rsidRDefault="001B4658" w:rsidP="00B14ABC">
            <w:pPr>
              <w:spacing w:after="0"/>
              <w:jc w:val="center"/>
              <w:rPr>
                <w:rFonts w:ascii="Times New Roman" w:hAnsi="Times New Roman" w:cs="Times New Roman"/>
                <w:b/>
                <w:spacing w:val="-3"/>
                <w:sz w:val="20"/>
                <w:szCs w:val="20"/>
              </w:rPr>
            </w:pPr>
            <w:r w:rsidRPr="002D3D8E">
              <w:rPr>
                <w:rFonts w:ascii="Times New Roman" w:hAnsi="Times New Roman" w:cs="Times New Roman"/>
                <w:b/>
                <w:spacing w:val="-3"/>
                <w:sz w:val="20"/>
                <w:szCs w:val="20"/>
              </w:rPr>
              <w:t>RACE</w:t>
            </w:r>
          </w:p>
        </w:tc>
        <w:tc>
          <w:tcPr>
            <w:tcW w:w="1832" w:type="dxa"/>
            <w:gridSpan w:val="2"/>
          </w:tcPr>
          <w:p w:rsidR="001B4658" w:rsidRPr="002D3D8E" w:rsidRDefault="001B4658" w:rsidP="00B14ABC">
            <w:pPr>
              <w:spacing w:after="0"/>
              <w:jc w:val="center"/>
              <w:rPr>
                <w:rFonts w:ascii="Times New Roman" w:hAnsi="Times New Roman" w:cs="Times New Roman"/>
                <w:b/>
                <w:sz w:val="20"/>
                <w:szCs w:val="20"/>
              </w:rPr>
            </w:pPr>
          </w:p>
          <w:p w:rsidR="001B4658" w:rsidRDefault="001B4658" w:rsidP="00B14ABC">
            <w:pPr>
              <w:spacing w:after="0"/>
              <w:jc w:val="center"/>
              <w:rPr>
                <w:rFonts w:ascii="Times New Roman" w:hAnsi="Times New Roman" w:cs="Times New Roman"/>
                <w:b/>
                <w:sz w:val="20"/>
                <w:szCs w:val="20"/>
              </w:rPr>
            </w:pPr>
            <w:r w:rsidRPr="002D3D8E">
              <w:rPr>
                <w:rFonts w:ascii="Times New Roman" w:hAnsi="Times New Roman" w:cs="Times New Roman"/>
                <w:b/>
                <w:sz w:val="20"/>
                <w:szCs w:val="20"/>
              </w:rPr>
              <w:t>Bank 2016</w:t>
            </w:r>
          </w:p>
          <w:p w:rsidR="001B4658" w:rsidRPr="002D3D8E" w:rsidRDefault="001B4658" w:rsidP="00B14ABC">
            <w:pPr>
              <w:spacing w:after="0"/>
              <w:jc w:val="center"/>
              <w:rPr>
                <w:rFonts w:ascii="Times New Roman" w:hAnsi="Times New Roman" w:cs="Times New Roman"/>
                <w:b/>
                <w:sz w:val="20"/>
                <w:szCs w:val="20"/>
              </w:rPr>
            </w:pPr>
            <w:r>
              <w:rPr>
                <w:rFonts w:ascii="Times New Roman" w:hAnsi="Times New Roman" w:cs="Times New Roman"/>
                <w:b/>
                <w:sz w:val="20"/>
                <w:szCs w:val="20"/>
              </w:rPr>
              <w:t>(</w:t>
            </w:r>
            <w:proofErr w:type="spellStart"/>
            <w:r>
              <w:rPr>
                <w:rFonts w:ascii="Times New Roman" w:hAnsi="Times New Roman" w:cs="Times New Roman"/>
                <w:b/>
                <w:sz w:val="20"/>
                <w:szCs w:val="20"/>
              </w:rPr>
              <w:t>Q3-Q4</w:t>
            </w:r>
            <w:proofErr w:type="spellEnd"/>
            <w:r>
              <w:rPr>
                <w:rFonts w:ascii="Times New Roman" w:hAnsi="Times New Roman" w:cs="Times New Roman"/>
                <w:b/>
                <w:sz w:val="20"/>
                <w:szCs w:val="20"/>
              </w:rPr>
              <w:t>)</w:t>
            </w:r>
          </w:p>
        </w:tc>
        <w:tc>
          <w:tcPr>
            <w:tcW w:w="1235" w:type="dxa"/>
            <w:shd w:val="clear" w:color="auto" w:fill="D9D9D9"/>
          </w:tcPr>
          <w:p w:rsidR="001B4658" w:rsidRPr="002D3D8E" w:rsidRDefault="001B4658" w:rsidP="00B14ABC">
            <w:pPr>
              <w:spacing w:after="0"/>
              <w:jc w:val="center"/>
              <w:rPr>
                <w:rFonts w:ascii="Times New Roman" w:hAnsi="Times New Roman" w:cs="Times New Roman"/>
                <w:b/>
                <w:spacing w:val="-3"/>
                <w:sz w:val="20"/>
                <w:szCs w:val="20"/>
              </w:rPr>
            </w:pPr>
            <w:r w:rsidRPr="002D3D8E">
              <w:rPr>
                <w:rFonts w:ascii="Times New Roman" w:hAnsi="Times New Roman" w:cs="Times New Roman"/>
                <w:b/>
                <w:spacing w:val="-3"/>
                <w:sz w:val="20"/>
                <w:szCs w:val="20"/>
              </w:rPr>
              <w:t>2016</w:t>
            </w:r>
          </w:p>
          <w:p w:rsidR="001B4658" w:rsidRPr="002D3D8E" w:rsidRDefault="001B4658" w:rsidP="00B14ABC">
            <w:pPr>
              <w:spacing w:after="0"/>
              <w:jc w:val="center"/>
              <w:rPr>
                <w:rFonts w:ascii="Times New Roman" w:hAnsi="Times New Roman" w:cs="Times New Roman"/>
                <w:b/>
                <w:spacing w:val="-3"/>
                <w:sz w:val="20"/>
                <w:szCs w:val="20"/>
              </w:rPr>
            </w:pPr>
            <w:r w:rsidRPr="002D3D8E">
              <w:rPr>
                <w:rFonts w:ascii="Times New Roman" w:hAnsi="Times New Roman" w:cs="Times New Roman"/>
                <w:b/>
                <w:spacing w:val="-3"/>
                <w:sz w:val="20"/>
                <w:szCs w:val="20"/>
              </w:rPr>
              <w:t>Aggregate Data</w:t>
            </w:r>
          </w:p>
        </w:tc>
        <w:tc>
          <w:tcPr>
            <w:tcW w:w="1713" w:type="dxa"/>
            <w:gridSpan w:val="2"/>
          </w:tcPr>
          <w:p w:rsidR="001B4658" w:rsidRPr="002D3D8E" w:rsidRDefault="001B4658" w:rsidP="00B14ABC">
            <w:pPr>
              <w:spacing w:after="0"/>
              <w:jc w:val="center"/>
              <w:rPr>
                <w:rFonts w:ascii="Times New Roman" w:hAnsi="Times New Roman" w:cs="Times New Roman"/>
                <w:b/>
                <w:spacing w:val="-3"/>
                <w:sz w:val="20"/>
                <w:szCs w:val="20"/>
              </w:rPr>
            </w:pPr>
          </w:p>
          <w:p w:rsidR="001B4658" w:rsidRPr="002D3D8E" w:rsidRDefault="001B4658" w:rsidP="00B14ABC">
            <w:pPr>
              <w:spacing w:after="0"/>
              <w:jc w:val="center"/>
              <w:rPr>
                <w:rFonts w:ascii="Times New Roman" w:hAnsi="Times New Roman" w:cs="Times New Roman"/>
                <w:b/>
                <w:spacing w:val="-3"/>
                <w:sz w:val="20"/>
                <w:szCs w:val="20"/>
              </w:rPr>
            </w:pPr>
            <w:r w:rsidRPr="002D3D8E">
              <w:rPr>
                <w:rFonts w:ascii="Times New Roman" w:hAnsi="Times New Roman" w:cs="Times New Roman"/>
                <w:b/>
                <w:spacing w:val="-3"/>
                <w:sz w:val="20"/>
                <w:szCs w:val="20"/>
              </w:rPr>
              <w:t>Bank 2017</w:t>
            </w:r>
          </w:p>
        </w:tc>
        <w:tc>
          <w:tcPr>
            <w:tcW w:w="1335" w:type="dxa"/>
            <w:shd w:val="clear" w:color="auto" w:fill="D9D9D9"/>
          </w:tcPr>
          <w:p w:rsidR="001B4658" w:rsidRPr="002D3D8E" w:rsidRDefault="001B4658" w:rsidP="00B14ABC">
            <w:pPr>
              <w:spacing w:after="0"/>
              <w:jc w:val="center"/>
              <w:rPr>
                <w:rFonts w:ascii="Times New Roman" w:hAnsi="Times New Roman" w:cs="Times New Roman"/>
                <w:b/>
                <w:spacing w:val="-3"/>
                <w:sz w:val="20"/>
                <w:szCs w:val="20"/>
              </w:rPr>
            </w:pPr>
            <w:r w:rsidRPr="002D3D8E">
              <w:rPr>
                <w:rFonts w:ascii="Times New Roman" w:hAnsi="Times New Roman" w:cs="Times New Roman"/>
                <w:b/>
                <w:spacing w:val="-3"/>
                <w:sz w:val="20"/>
                <w:szCs w:val="20"/>
              </w:rPr>
              <w:t>2017 Aggregate Data</w:t>
            </w:r>
          </w:p>
        </w:tc>
      </w:tr>
      <w:tr w:rsidR="001B4658" w:rsidRPr="002D3D8E" w:rsidTr="00AF2064">
        <w:trPr>
          <w:trHeight w:val="259"/>
        </w:trPr>
        <w:tc>
          <w:tcPr>
            <w:tcW w:w="3189" w:type="dxa"/>
            <w:vMerge/>
          </w:tcPr>
          <w:p w:rsidR="001B4658" w:rsidRPr="002D3D8E" w:rsidRDefault="001B4658" w:rsidP="00B14ABC">
            <w:pPr>
              <w:keepNext/>
              <w:tabs>
                <w:tab w:val="left" w:pos="480"/>
                <w:tab w:val="left" w:pos="960"/>
                <w:tab w:val="left" w:pos="6840"/>
              </w:tabs>
              <w:spacing w:after="0"/>
              <w:jc w:val="both"/>
              <w:outlineLvl w:val="0"/>
              <w:rPr>
                <w:rFonts w:ascii="Times New Roman" w:hAnsi="Times New Roman" w:cs="Times New Roman"/>
                <w:color w:val="FF0000"/>
                <w:spacing w:val="-3"/>
                <w:sz w:val="20"/>
                <w:szCs w:val="20"/>
              </w:rPr>
            </w:pPr>
          </w:p>
        </w:tc>
        <w:tc>
          <w:tcPr>
            <w:tcW w:w="796" w:type="dxa"/>
          </w:tcPr>
          <w:p w:rsidR="001B4658" w:rsidRPr="002D3D8E" w:rsidRDefault="001B4658" w:rsidP="00B14ABC">
            <w:pPr>
              <w:spacing w:after="0"/>
              <w:jc w:val="center"/>
              <w:rPr>
                <w:rFonts w:ascii="Times New Roman" w:hAnsi="Times New Roman" w:cs="Times New Roman"/>
                <w:spacing w:val="-3"/>
                <w:sz w:val="20"/>
                <w:szCs w:val="20"/>
              </w:rPr>
            </w:pPr>
            <w:r w:rsidRPr="002D3D8E">
              <w:rPr>
                <w:rFonts w:ascii="Times New Roman" w:hAnsi="Times New Roman" w:cs="Times New Roman"/>
                <w:spacing w:val="-3"/>
                <w:sz w:val="20"/>
                <w:szCs w:val="20"/>
              </w:rPr>
              <w:t>#</w:t>
            </w:r>
          </w:p>
        </w:tc>
        <w:tc>
          <w:tcPr>
            <w:tcW w:w="1035" w:type="dxa"/>
          </w:tcPr>
          <w:p w:rsidR="001B4658" w:rsidRPr="002D3D8E" w:rsidRDefault="001B4658" w:rsidP="00B14ABC">
            <w:pPr>
              <w:spacing w:after="0"/>
              <w:jc w:val="center"/>
              <w:rPr>
                <w:rFonts w:ascii="Times New Roman" w:hAnsi="Times New Roman" w:cs="Times New Roman"/>
                <w:spacing w:val="-3"/>
                <w:sz w:val="20"/>
                <w:szCs w:val="20"/>
              </w:rPr>
            </w:pPr>
            <w:r w:rsidRPr="002D3D8E">
              <w:rPr>
                <w:rFonts w:ascii="Times New Roman" w:hAnsi="Times New Roman" w:cs="Times New Roman"/>
                <w:spacing w:val="-3"/>
                <w:sz w:val="20"/>
                <w:szCs w:val="20"/>
              </w:rPr>
              <w:t>%</w:t>
            </w:r>
          </w:p>
        </w:tc>
        <w:tc>
          <w:tcPr>
            <w:tcW w:w="1235" w:type="dxa"/>
            <w:shd w:val="clear" w:color="auto" w:fill="D9D9D9"/>
          </w:tcPr>
          <w:p w:rsidR="001B4658" w:rsidRPr="002D3D8E" w:rsidRDefault="001B4658" w:rsidP="00B14ABC">
            <w:pPr>
              <w:spacing w:after="0"/>
              <w:jc w:val="center"/>
              <w:rPr>
                <w:rFonts w:ascii="Times New Roman" w:hAnsi="Times New Roman" w:cs="Times New Roman"/>
                <w:spacing w:val="-3"/>
                <w:sz w:val="20"/>
                <w:szCs w:val="20"/>
              </w:rPr>
            </w:pPr>
            <w:r w:rsidRPr="002D3D8E">
              <w:rPr>
                <w:rFonts w:ascii="Times New Roman" w:hAnsi="Times New Roman" w:cs="Times New Roman"/>
                <w:spacing w:val="-3"/>
                <w:sz w:val="20"/>
                <w:szCs w:val="20"/>
              </w:rPr>
              <w:t>%</w:t>
            </w:r>
          </w:p>
        </w:tc>
        <w:tc>
          <w:tcPr>
            <w:tcW w:w="761" w:type="dxa"/>
          </w:tcPr>
          <w:p w:rsidR="001B4658" w:rsidRPr="002D3D8E" w:rsidRDefault="001B4658" w:rsidP="00B14ABC">
            <w:pPr>
              <w:spacing w:after="0"/>
              <w:jc w:val="center"/>
              <w:rPr>
                <w:rFonts w:ascii="Times New Roman" w:hAnsi="Times New Roman" w:cs="Times New Roman"/>
                <w:spacing w:val="-3"/>
                <w:sz w:val="20"/>
                <w:szCs w:val="20"/>
              </w:rPr>
            </w:pPr>
            <w:r w:rsidRPr="002D3D8E">
              <w:rPr>
                <w:rFonts w:ascii="Times New Roman" w:hAnsi="Times New Roman" w:cs="Times New Roman"/>
                <w:spacing w:val="-3"/>
                <w:sz w:val="20"/>
                <w:szCs w:val="20"/>
              </w:rPr>
              <w:t>#</w:t>
            </w:r>
          </w:p>
        </w:tc>
        <w:tc>
          <w:tcPr>
            <w:tcW w:w="952" w:type="dxa"/>
          </w:tcPr>
          <w:p w:rsidR="001B4658" w:rsidRPr="002D3D8E" w:rsidRDefault="001B4658" w:rsidP="00B14ABC">
            <w:pPr>
              <w:spacing w:after="0"/>
              <w:jc w:val="center"/>
              <w:rPr>
                <w:rFonts w:ascii="Times New Roman" w:hAnsi="Times New Roman" w:cs="Times New Roman"/>
                <w:spacing w:val="-3"/>
                <w:sz w:val="20"/>
                <w:szCs w:val="20"/>
              </w:rPr>
            </w:pPr>
            <w:r w:rsidRPr="002D3D8E">
              <w:rPr>
                <w:rFonts w:ascii="Times New Roman" w:hAnsi="Times New Roman" w:cs="Times New Roman"/>
                <w:spacing w:val="-3"/>
                <w:sz w:val="20"/>
                <w:szCs w:val="20"/>
              </w:rPr>
              <w:t>%</w:t>
            </w:r>
          </w:p>
        </w:tc>
        <w:tc>
          <w:tcPr>
            <w:tcW w:w="1335" w:type="dxa"/>
            <w:shd w:val="clear" w:color="auto" w:fill="D9D9D9"/>
          </w:tcPr>
          <w:p w:rsidR="001B4658" w:rsidRPr="002D3D8E" w:rsidRDefault="001B4658" w:rsidP="00B14ABC">
            <w:pPr>
              <w:spacing w:after="0"/>
              <w:jc w:val="center"/>
              <w:rPr>
                <w:rFonts w:ascii="Times New Roman" w:hAnsi="Times New Roman" w:cs="Times New Roman"/>
                <w:spacing w:val="-3"/>
                <w:sz w:val="20"/>
                <w:szCs w:val="20"/>
              </w:rPr>
            </w:pPr>
            <w:r w:rsidRPr="002D3D8E">
              <w:rPr>
                <w:rFonts w:ascii="Times New Roman" w:hAnsi="Times New Roman" w:cs="Times New Roman"/>
                <w:spacing w:val="-3"/>
                <w:sz w:val="20"/>
                <w:szCs w:val="20"/>
              </w:rPr>
              <w:t>%</w:t>
            </w:r>
          </w:p>
        </w:tc>
      </w:tr>
      <w:tr w:rsidR="001B4658" w:rsidRPr="002D3D8E" w:rsidTr="00AF2064">
        <w:trPr>
          <w:trHeight w:val="243"/>
        </w:trPr>
        <w:tc>
          <w:tcPr>
            <w:tcW w:w="3189" w:type="dxa"/>
          </w:tcPr>
          <w:p w:rsidR="001B4658" w:rsidRPr="002D3D8E" w:rsidRDefault="001B4658" w:rsidP="00B14ABC">
            <w:pPr>
              <w:spacing w:after="0"/>
              <w:rPr>
                <w:rFonts w:ascii="Times New Roman" w:hAnsi="Times New Roman" w:cs="Times New Roman"/>
                <w:spacing w:val="-3"/>
                <w:sz w:val="20"/>
                <w:szCs w:val="20"/>
              </w:rPr>
            </w:pPr>
            <w:r w:rsidRPr="002D3D8E">
              <w:rPr>
                <w:rFonts w:ascii="Times New Roman" w:hAnsi="Times New Roman" w:cs="Times New Roman"/>
                <w:spacing w:val="-3"/>
                <w:sz w:val="20"/>
                <w:szCs w:val="20"/>
              </w:rPr>
              <w:t>American Indian/ Alaska Native</w:t>
            </w:r>
          </w:p>
        </w:tc>
        <w:tc>
          <w:tcPr>
            <w:tcW w:w="796" w:type="dxa"/>
          </w:tcPr>
          <w:p w:rsidR="001B4658" w:rsidRPr="002D3D8E" w:rsidRDefault="001B4658" w:rsidP="00B14ABC">
            <w:pPr>
              <w:spacing w:after="0"/>
              <w:jc w:val="center"/>
              <w:rPr>
                <w:rFonts w:ascii="Times New Roman" w:hAnsi="Times New Roman" w:cs="Times New Roman"/>
                <w:spacing w:val="-3"/>
                <w:sz w:val="20"/>
                <w:szCs w:val="20"/>
              </w:rPr>
            </w:pPr>
            <w:r w:rsidRPr="002D3D8E">
              <w:rPr>
                <w:rFonts w:ascii="Times New Roman" w:hAnsi="Times New Roman" w:cs="Times New Roman"/>
                <w:spacing w:val="-3"/>
                <w:sz w:val="20"/>
                <w:szCs w:val="20"/>
              </w:rPr>
              <w:t>0</w:t>
            </w:r>
          </w:p>
        </w:tc>
        <w:tc>
          <w:tcPr>
            <w:tcW w:w="1035" w:type="dxa"/>
          </w:tcPr>
          <w:p w:rsidR="001B4658" w:rsidRPr="002D3D8E" w:rsidRDefault="001B4658" w:rsidP="00B14ABC">
            <w:pPr>
              <w:spacing w:after="0"/>
              <w:jc w:val="center"/>
              <w:rPr>
                <w:rFonts w:ascii="Times New Roman" w:hAnsi="Times New Roman" w:cs="Times New Roman"/>
                <w:spacing w:val="-3"/>
                <w:sz w:val="20"/>
                <w:szCs w:val="20"/>
              </w:rPr>
            </w:pPr>
            <w:r w:rsidRPr="002D3D8E">
              <w:rPr>
                <w:rFonts w:ascii="Times New Roman" w:hAnsi="Times New Roman" w:cs="Times New Roman"/>
                <w:spacing w:val="-3"/>
                <w:sz w:val="20"/>
                <w:szCs w:val="20"/>
              </w:rPr>
              <w:t>0.0</w:t>
            </w:r>
          </w:p>
        </w:tc>
        <w:tc>
          <w:tcPr>
            <w:tcW w:w="1235" w:type="dxa"/>
            <w:shd w:val="clear" w:color="auto" w:fill="D9D9D9"/>
          </w:tcPr>
          <w:p w:rsidR="001B4658" w:rsidRPr="002D3D8E" w:rsidRDefault="001B4658" w:rsidP="00B14ABC">
            <w:pPr>
              <w:tabs>
                <w:tab w:val="left" w:pos="180"/>
              </w:tabs>
              <w:spacing w:after="0"/>
              <w:jc w:val="center"/>
              <w:rPr>
                <w:rFonts w:ascii="Times New Roman" w:hAnsi="Times New Roman" w:cs="Times New Roman"/>
                <w:spacing w:val="-3"/>
                <w:sz w:val="20"/>
                <w:szCs w:val="20"/>
              </w:rPr>
            </w:pPr>
            <w:r w:rsidRPr="002D3D8E">
              <w:rPr>
                <w:rFonts w:ascii="Times New Roman" w:hAnsi="Times New Roman" w:cs="Times New Roman"/>
                <w:spacing w:val="-3"/>
                <w:sz w:val="20"/>
                <w:szCs w:val="20"/>
              </w:rPr>
              <w:t>0.2</w:t>
            </w:r>
          </w:p>
        </w:tc>
        <w:tc>
          <w:tcPr>
            <w:tcW w:w="761" w:type="dxa"/>
          </w:tcPr>
          <w:p w:rsidR="001B4658" w:rsidRPr="002D3D8E" w:rsidRDefault="001B4658" w:rsidP="00B14ABC">
            <w:pPr>
              <w:spacing w:after="0"/>
              <w:jc w:val="center"/>
              <w:rPr>
                <w:rFonts w:ascii="Times New Roman" w:hAnsi="Times New Roman" w:cs="Times New Roman"/>
                <w:spacing w:val="-3"/>
                <w:sz w:val="20"/>
                <w:szCs w:val="20"/>
              </w:rPr>
            </w:pPr>
            <w:r w:rsidRPr="002D3D8E">
              <w:rPr>
                <w:rFonts w:ascii="Times New Roman" w:hAnsi="Times New Roman" w:cs="Times New Roman"/>
                <w:spacing w:val="-3"/>
                <w:sz w:val="20"/>
                <w:szCs w:val="20"/>
              </w:rPr>
              <w:t>0</w:t>
            </w:r>
          </w:p>
        </w:tc>
        <w:tc>
          <w:tcPr>
            <w:tcW w:w="952" w:type="dxa"/>
          </w:tcPr>
          <w:p w:rsidR="001B4658" w:rsidRPr="002D3D8E" w:rsidRDefault="001B4658" w:rsidP="00B14ABC">
            <w:pPr>
              <w:spacing w:after="0"/>
              <w:jc w:val="center"/>
              <w:rPr>
                <w:rFonts w:ascii="Times New Roman" w:hAnsi="Times New Roman" w:cs="Times New Roman"/>
                <w:spacing w:val="-3"/>
                <w:sz w:val="20"/>
                <w:szCs w:val="20"/>
              </w:rPr>
            </w:pPr>
            <w:r w:rsidRPr="002D3D8E">
              <w:rPr>
                <w:rFonts w:ascii="Times New Roman" w:hAnsi="Times New Roman" w:cs="Times New Roman"/>
                <w:spacing w:val="-3"/>
                <w:sz w:val="20"/>
                <w:szCs w:val="20"/>
              </w:rPr>
              <w:t>0.0</w:t>
            </w:r>
          </w:p>
        </w:tc>
        <w:tc>
          <w:tcPr>
            <w:tcW w:w="1335" w:type="dxa"/>
            <w:shd w:val="clear" w:color="auto" w:fill="D9D9D9"/>
          </w:tcPr>
          <w:p w:rsidR="001B4658" w:rsidRPr="002D3D8E" w:rsidRDefault="001B4658" w:rsidP="00B14ABC">
            <w:pPr>
              <w:spacing w:after="0"/>
              <w:jc w:val="center"/>
              <w:rPr>
                <w:rFonts w:ascii="Times New Roman" w:hAnsi="Times New Roman" w:cs="Times New Roman"/>
                <w:spacing w:val="-3"/>
                <w:sz w:val="20"/>
                <w:szCs w:val="20"/>
              </w:rPr>
            </w:pPr>
            <w:r w:rsidRPr="002D3D8E">
              <w:rPr>
                <w:rFonts w:ascii="Times New Roman" w:hAnsi="Times New Roman" w:cs="Times New Roman"/>
                <w:spacing w:val="-3"/>
                <w:sz w:val="20"/>
                <w:szCs w:val="20"/>
              </w:rPr>
              <w:t>0.2</w:t>
            </w:r>
          </w:p>
        </w:tc>
      </w:tr>
      <w:tr w:rsidR="001B4658" w:rsidRPr="002D3D8E" w:rsidTr="00AF2064">
        <w:trPr>
          <w:trHeight w:val="243"/>
        </w:trPr>
        <w:tc>
          <w:tcPr>
            <w:tcW w:w="3189" w:type="dxa"/>
          </w:tcPr>
          <w:p w:rsidR="001B4658" w:rsidRPr="002D3D8E" w:rsidRDefault="001B4658" w:rsidP="00B14ABC">
            <w:pPr>
              <w:spacing w:after="0"/>
              <w:rPr>
                <w:rFonts w:ascii="Times New Roman" w:hAnsi="Times New Roman" w:cs="Times New Roman"/>
                <w:spacing w:val="-3"/>
                <w:sz w:val="20"/>
                <w:szCs w:val="20"/>
              </w:rPr>
            </w:pPr>
            <w:r w:rsidRPr="002D3D8E">
              <w:rPr>
                <w:rFonts w:ascii="Times New Roman" w:hAnsi="Times New Roman" w:cs="Times New Roman"/>
                <w:spacing w:val="-3"/>
                <w:sz w:val="20"/>
                <w:szCs w:val="20"/>
              </w:rPr>
              <w:t>Asian</w:t>
            </w:r>
          </w:p>
        </w:tc>
        <w:tc>
          <w:tcPr>
            <w:tcW w:w="796" w:type="dxa"/>
          </w:tcPr>
          <w:p w:rsidR="001B4658" w:rsidRPr="002D3D8E" w:rsidRDefault="001B4658" w:rsidP="00B14ABC">
            <w:pPr>
              <w:spacing w:after="0"/>
              <w:jc w:val="center"/>
              <w:rPr>
                <w:rFonts w:ascii="Times New Roman" w:hAnsi="Times New Roman" w:cs="Times New Roman"/>
                <w:spacing w:val="-3"/>
                <w:sz w:val="20"/>
                <w:szCs w:val="20"/>
              </w:rPr>
            </w:pPr>
            <w:r w:rsidRPr="002D3D8E">
              <w:rPr>
                <w:rFonts w:ascii="Times New Roman" w:hAnsi="Times New Roman" w:cs="Times New Roman"/>
                <w:spacing w:val="-3"/>
                <w:sz w:val="20"/>
                <w:szCs w:val="20"/>
              </w:rPr>
              <w:t>1</w:t>
            </w:r>
          </w:p>
        </w:tc>
        <w:tc>
          <w:tcPr>
            <w:tcW w:w="1035" w:type="dxa"/>
          </w:tcPr>
          <w:p w:rsidR="001B4658" w:rsidRPr="002D3D8E" w:rsidRDefault="001B4658" w:rsidP="00B14ABC">
            <w:pPr>
              <w:spacing w:after="0"/>
              <w:jc w:val="center"/>
              <w:rPr>
                <w:rFonts w:ascii="Times New Roman" w:hAnsi="Times New Roman" w:cs="Times New Roman"/>
                <w:spacing w:val="-3"/>
                <w:sz w:val="20"/>
                <w:szCs w:val="20"/>
              </w:rPr>
            </w:pPr>
            <w:r w:rsidRPr="002D3D8E">
              <w:rPr>
                <w:rFonts w:ascii="Times New Roman" w:hAnsi="Times New Roman" w:cs="Times New Roman"/>
                <w:spacing w:val="-3"/>
                <w:sz w:val="20"/>
                <w:szCs w:val="20"/>
              </w:rPr>
              <w:t>1.4</w:t>
            </w:r>
          </w:p>
        </w:tc>
        <w:tc>
          <w:tcPr>
            <w:tcW w:w="1235" w:type="dxa"/>
            <w:shd w:val="clear" w:color="auto" w:fill="D9D9D9"/>
          </w:tcPr>
          <w:p w:rsidR="001B4658" w:rsidRPr="002D3D8E" w:rsidRDefault="001B4658" w:rsidP="00B14ABC">
            <w:pPr>
              <w:spacing w:after="0"/>
              <w:jc w:val="center"/>
              <w:rPr>
                <w:rFonts w:ascii="Times New Roman" w:hAnsi="Times New Roman" w:cs="Times New Roman"/>
                <w:spacing w:val="-3"/>
                <w:sz w:val="20"/>
                <w:szCs w:val="20"/>
              </w:rPr>
            </w:pPr>
            <w:r w:rsidRPr="002D3D8E">
              <w:rPr>
                <w:rFonts w:ascii="Times New Roman" w:hAnsi="Times New Roman" w:cs="Times New Roman"/>
                <w:spacing w:val="-3"/>
                <w:sz w:val="20"/>
                <w:szCs w:val="20"/>
              </w:rPr>
              <w:t>14.8</w:t>
            </w:r>
          </w:p>
        </w:tc>
        <w:tc>
          <w:tcPr>
            <w:tcW w:w="761" w:type="dxa"/>
          </w:tcPr>
          <w:p w:rsidR="001B4658" w:rsidRPr="002D3D8E" w:rsidRDefault="001B4658" w:rsidP="00B14ABC">
            <w:pPr>
              <w:spacing w:after="0"/>
              <w:jc w:val="center"/>
              <w:rPr>
                <w:rFonts w:ascii="Times New Roman" w:hAnsi="Times New Roman" w:cs="Times New Roman"/>
                <w:spacing w:val="-3"/>
                <w:sz w:val="20"/>
                <w:szCs w:val="20"/>
              </w:rPr>
            </w:pPr>
            <w:r w:rsidRPr="002D3D8E">
              <w:rPr>
                <w:rFonts w:ascii="Times New Roman" w:hAnsi="Times New Roman" w:cs="Times New Roman"/>
                <w:spacing w:val="-3"/>
                <w:sz w:val="20"/>
                <w:szCs w:val="20"/>
              </w:rPr>
              <w:t>3</w:t>
            </w:r>
          </w:p>
        </w:tc>
        <w:tc>
          <w:tcPr>
            <w:tcW w:w="952" w:type="dxa"/>
          </w:tcPr>
          <w:p w:rsidR="001B4658" w:rsidRPr="002D3D8E" w:rsidRDefault="001B4658" w:rsidP="00B14ABC">
            <w:pPr>
              <w:spacing w:after="0"/>
              <w:jc w:val="center"/>
              <w:rPr>
                <w:rFonts w:ascii="Times New Roman" w:hAnsi="Times New Roman" w:cs="Times New Roman"/>
                <w:spacing w:val="-3"/>
                <w:sz w:val="20"/>
                <w:szCs w:val="20"/>
              </w:rPr>
            </w:pPr>
            <w:r w:rsidRPr="002D3D8E">
              <w:rPr>
                <w:rFonts w:ascii="Times New Roman" w:hAnsi="Times New Roman" w:cs="Times New Roman"/>
                <w:spacing w:val="-3"/>
                <w:sz w:val="20"/>
                <w:szCs w:val="20"/>
              </w:rPr>
              <w:t>2.7</w:t>
            </w:r>
          </w:p>
        </w:tc>
        <w:tc>
          <w:tcPr>
            <w:tcW w:w="1335" w:type="dxa"/>
            <w:shd w:val="clear" w:color="auto" w:fill="D9D9D9"/>
          </w:tcPr>
          <w:p w:rsidR="001B4658" w:rsidRPr="002D3D8E" w:rsidRDefault="001B4658" w:rsidP="00B14ABC">
            <w:pPr>
              <w:spacing w:after="0"/>
              <w:jc w:val="center"/>
              <w:rPr>
                <w:rFonts w:ascii="Times New Roman" w:hAnsi="Times New Roman" w:cs="Times New Roman"/>
                <w:spacing w:val="-3"/>
                <w:sz w:val="20"/>
                <w:szCs w:val="20"/>
              </w:rPr>
            </w:pPr>
            <w:r w:rsidRPr="002D3D8E">
              <w:rPr>
                <w:rFonts w:ascii="Times New Roman" w:hAnsi="Times New Roman" w:cs="Times New Roman"/>
                <w:spacing w:val="-3"/>
                <w:sz w:val="20"/>
                <w:szCs w:val="20"/>
              </w:rPr>
              <w:t>15.3</w:t>
            </w:r>
          </w:p>
        </w:tc>
      </w:tr>
      <w:tr w:rsidR="001B4658" w:rsidRPr="002D3D8E" w:rsidTr="00AF2064">
        <w:trPr>
          <w:trHeight w:val="243"/>
        </w:trPr>
        <w:tc>
          <w:tcPr>
            <w:tcW w:w="3189" w:type="dxa"/>
          </w:tcPr>
          <w:p w:rsidR="001B4658" w:rsidRPr="002D3D8E" w:rsidRDefault="001B4658" w:rsidP="00B14ABC">
            <w:pPr>
              <w:spacing w:after="0"/>
              <w:rPr>
                <w:rFonts w:ascii="Times New Roman" w:hAnsi="Times New Roman" w:cs="Times New Roman"/>
                <w:spacing w:val="-3"/>
                <w:sz w:val="20"/>
                <w:szCs w:val="20"/>
              </w:rPr>
            </w:pPr>
            <w:r w:rsidRPr="002D3D8E">
              <w:rPr>
                <w:rFonts w:ascii="Times New Roman" w:hAnsi="Times New Roman" w:cs="Times New Roman"/>
                <w:spacing w:val="-3"/>
                <w:sz w:val="20"/>
                <w:szCs w:val="20"/>
              </w:rPr>
              <w:t>Black/ African American</w:t>
            </w:r>
          </w:p>
        </w:tc>
        <w:tc>
          <w:tcPr>
            <w:tcW w:w="796" w:type="dxa"/>
          </w:tcPr>
          <w:p w:rsidR="001B4658" w:rsidRPr="002D3D8E" w:rsidRDefault="001B4658" w:rsidP="00B14ABC">
            <w:pPr>
              <w:spacing w:after="0"/>
              <w:jc w:val="center"/>
              <w:rPr>
                <w:rFonts w:ascii="Times New Roman" w:hAnsi="Times New Roman" w:cs="Times New Roman"/>
                <w:spacing w:val="-3"/>
                <w:sz w:val="20"/>
                <w:szCs w:val="20"/>
              </w:rPr>
            </w:pPr>
            <w:r w:rsidRPr="002D3D8E">
              <w:rPr>
                <w:rFonts w:ascii="Times New Roman" w:hAnsi="Times New Roman" w:cs="Times New Roman"/>
                <w:spacing w:val="-3"/>
                <w:sz w:val="20"/>
                <w:szCs w:val="20"/>
              </w:rPr>
              <w:t>0</w:t>
            </w:r>
          </w:p>
        </w:tc>
        <w:tc>
          <w:tcPr>
            <w:tcW w:w="1035" w:type="dxa"/>
          </w:tcPr>
          <w:p w:rsidR="001B4658" w:rsidRPr="002D3D8E" w:rsidRDefault="001B4658" w:rsidP="00B14ABC">
            <w:pPr>
              <w:spacing w:after="0"/>
              <w:jc w:val="center"/>
              <w:rPr>
                <w:rFonts w:ascii="Times New Roman" w:hAnsi="Times New Roman" w:cs="Times New Roman"/>
                <w:spacing w:val="-3"/>
                <w:sz w:val="20"/>
                <w:szCs w:val="20"/>
              </w:rPr>
            </w:pPr>
            <w:r w:rsidRPr="002D3D8E">
              <w:rPr>
                <w:rFonts w:ascii="Times New Roman" w:hAnsi="Times New Roman" w:cs="Times New Roman"/>
                <w:spacing w:val="-3"/>
                <w:sz w:val="20"/>
                <w:szCs w:val="20"/>
              </w:rPr>
              <w:t>0.0</w:t>
            </w:r>
          </w:p>
        </w:tc>
        <w:tc>
          <w:tcPr>
            <w:tcW w:w="1235" w:type="dxa"/>
            <w:shd w:val="clear" w:color="auto" w:fill="D9D9D9"/>
          </w:tcPr>
          <w:p w:rsidR="001B4658" w:rsidRPr="002D3D8E" w:rsidRDefault="001B4658" w:rsidP="00B14ABC">
            <w:pPr>
              <w:spacing w:after="0"/>
              <w:jc w:val="center"/>
              <w:rPr>
                <w:rFonts w:ascii="Times New Roman" w:hAnsi="Times New Roman" w:cs="Times New Roman"/>
                <w:spacing w:val="-3"/>
                <w:sz w:val="20"/>
                <w:szCs w:val="20"/>
              </w:rPr>
            </w:pPr>
            <w:r w:rsidRPr="002D3D8E">
              <w:rPr>
                <w:rFonts w:ascii="Times New Roman" w:hAnsi="Times New Roman" w:cs="Times New Roman"/>
                <w:spacing w:val="-3"/>
                <w:sz w:val="20"/>
                <w:szCs w:val="20"/>
              </w:rPr>
              <w:t>0.8</w:t>
            </w:r>
          </w:p>
        </w:tc>
        <w:tc>
          <w:tcPr>
            <w:tcW w:w="761" w:type="dxa"/>
          </w:tcPr>
          <w:p w:rsidR="001B4658" w:rsidRPr="002D3D8E" w:rsidRDefault="001B4658" w:rsidP="00B14ABC">
            <w:pPr>
              <w:spacing w:after="0"/>
              <w:jc w:val="center"/>
              <w:rPr>
                <w:rFonts w:ascii="Times New Roman" w:hAnsi="Times New Roman" w:cs="Times New Roman"/>
                <w:spacing w:val="-3"/>
                <w:sz w:val="20"/>
                <w:szCs w:val="20"/>
              </w:rPr>
            </w:pPr>
            <w:r w:rsidRPr="002D3D8E">
              <w:rPr>
                <w:rFonts w:ascii="Times New Roman" w:hAnsi="Times New Roman" w:cs="Times New Roman"/>
                <w:spacing w:val="-3"/>
                <w:sz w:val="20"/>
                <w:szCs w:val="20"/>
              </w:rPr>
              <w:t>1</w:t>
            </w:r>
          </w:p>
        </w:tc>
        <w:tc>
          <w:tcPr>
            <w:tcW w:w="952" w:type="dxa"/>
          </w:tcPr>
          <w:p w:rsidR="001B4658" w:rsidRPr="002D3D8E" w:rsidRDefault="001B4658" w:rsidP="00B14ABC">
            <w:pPr>
              <w:spacing w:after="0"/>
              <w:jc w:val="center"/>
              <w:rPr>
                <w:rFonts w:ascii="Times New Roman" w:hAnsi="Times New Roman" w:cs="Times New Roman"/>
                <w:spacing w:val="-3"/>
                <w:sz w:val="20"/>
                <w:szCs w:val="20"/>
              </w:rPr>
            </w:pPr>
            <w:r w:rsidRPr="002D3D8E">
              <w:rPr>
                <w:rFonts w:ascii="Times New Roman" w:hAnsi="Times New Roman" w:cs="Times New Roman"/>
                <w:spacing w:val="-3"/>
                <w:sz w:val="20"/>
                <w:szCs w:val="20"/>
              </w:rPr>
              <w:t>0.9</w:t>
            </w:r>
          </w:p>
        </w:tc>
        <w:tc>
          <w:tcPr>
            <w:tcW w:w="1335" w:type="dxa"/>
            <w:shd w:val="clear" w:color="auto" w:fill="D9D9D9"/>
          </w:tcPr>
          <w:p w:rsidR="001B4658" w:rsidRPr="002D3D8E" w:rsidRDefault="001B4658" w:rsidP="00B14ABC">
            <w:pPr>
              <w:spacing w:after="0"/>
              <w:jc w:val="center"/>
              <w:rPr>
                <w:rFonts w:ascii="Times New Roman" w:hAnsi="Times New Roman" w:cs="Times New Roman"/>
                <w:spacing w:val="-3"/>
                <w:sz w:val="20"/>
                <w:szCs w:val="20"/>
              </w:rPr>
            </w:pPr>
            <w:r w:rsidRPr="002D3D8E">
              <w:rPr>
                <w:rFonts w:ascii="Times New Roman" w:hAnsi="Times New Roman" w:cs="Times New Roman"/>
                <w:spacing w:val="-3"/>
                <w:sz w:val="20"/>
                <w:szCs w:val="20"/>
              </w:rPr>
              <w:t>1.4</w:t>
            </w:r>
          </w:p>
        </w:tc>
      </w:tr>
      <w:tr w:rsidR="001B4658" w:rsidRPr="002D3D8E" w:rsidTr="00AF2064">
        <w:trPr>
          <w:trHeight w:val="259"/>
        </w:trPr>
        <w:tc>
          <w:tcPr>
            <w:tcW w:w="3189" w:type="dxa"/>
          </w:tcPr>
          <w:p w:rsidR="001B4658" w:rsidRPr="002D3D8E" w:rsidRDefault="001B4658" w:rsidP="00B14ABC">
            <w:pPr>
              <w:spacing w:after="0"/>
              <w:rPr>
                <w:rFonts w:ascii="Times New Roman" w:hAnsi="Times New Roman" w:cs="Times New Roman"/>
                <w:spacing w:val="-3"/>
                <w:sz w:val="20"/>
                <w:szCs w:val="20"/>
              </w:rPr>
            </w:pPr>
            <w:r w:rsidRPr="002D3D8E">
              <w:rPr>
                <w:rFonts w:ascii="Times New Roman" w:hAnsi="Times New Roman" w:cs="Times New Roman"/>
                <w:spacing w:val="-3"/>
                <w:sz w:val="20"/>
                <w:szCs w:val="20"/>
              </w:rPr>
              <w:t>Hawaiian/Pacific Islander</w:t>
            </w:r>
          </w:p>
        </w:tc>
        <w:tc>
          <w:tcPr>
            <w:tcW w:w="796" w:type="dxa"/>
          </w:tcPr>
          <w:p w:rsidR="001B4658" w:rsidRPr="002D3D8E" w:rsidRDefault="001B4658" w:rsidP="00B14ABC">
            <w:pPr>
              <w:spacing w:after="0"/>
              <w:jc w:val="center"/>
              <w:rPr>
                <w:rFonts w:ascii="Times New Roman" w:hAnsi="Times New Roman" w:cs="Times New Roman"/>
                <w:spacing w:val="-3"/>
                <w:sz w:val="20"/>
                <w:szCs w:val="20"/>
              </w:rPr>
            </w:pPr>
            <w:r w:rsidRPr="002D3D8E">
              <w:rPr>
                <w:rFonts w:ascii="Times New Roman" w:hAnsi="Times New Roman" w:cs="Times New Roman"/>
                <w:spacing w:val="-3"/>
                <w:sz w:val="20"/>
                <w:szCs w:val="20"/>
              </w:rPr>
              <w:t>0</w:t>
            </w:r>
          </w:p>
        </w:tc>
        <w:tc>
          <w:tcPr>
            <w:tcW w:w="1035" w:type="dxa"/>
          </w:tcPr>
          <w:p w:rsidR="001B4658" w:rsidRPr="002D3D8E" w:rsidRDefault="001B4658" w:rsidP="00B14ABC">
            <w:pPr>
              <w:spacing w:after="0"/>
              <w:jc w:val="center"/>
              <w:rPr>
                <w:rFonts w:ascii="Times New Roman" w:hAnsi="Times New Roman" w:cs="Times New Roman"/>
                <w:spacing w:val="-3"/>
                <w:sz w:val="20"/>
                <w:szCs w:val="20"/>
              </w:rPr>
            </w:pPr>
            <w:r w:rsidRPr="002D3D8E">
              <w:rPr>
                <w:rFonts w:ascii="Times New Roman" w:hAnsi="Times New Roman" w:cs="Times New Roman"/>
                <w:spacing w:val="-3"/>
                <w:sz w:val="20"/>
                <w:szCs w:val="20"/>
              </w:rPr>
              <w:t>0.0</w:t>
            </w:r>
          </w:p>
        </w:tc>
        <w:tc>
          <w:tcPr>
            <w:tcW w:w="1235" w:type="dxa"/>
            <w:shd w:val="clear" w:color="auto" w:fill="D9D9D9"/>
          </w:tcPr>
          <w:p w:rsidR="001B4658" w:rsidRPr="002D3D8E" w:rsidRDefault="001B4658" w:rsidP="00B14ABC">
            <w:pPr>
              <w:spacing w:after="0"/>
              <w:jc w:val="center"/>
              <w:rPr>
                <w:rFonts w:ascii="Times New Roman" w:hAnsi="Times New Roman" w:cs="Times New Roman"/>
                <w:spacing w:val="-3"/>
                <w:sz w:val="20"/>
                <w:szCs w:val="20"/>
              </w:rPr>
            </w:pPr>
            <w:r w:rsidRPr="002D3D8E">
              <w:rPr>
                <w:rFonts w:ascii="Times New Roman" w:hAnsi="Times New Roman" w:cs="Times New Roman"/>
                <w:spacing w:val="-3"/>
                <w:sz w:val="20"/>
                <w:szCs w:val="20"/>
              </w:rPr>
              <w:t>0.1</w:t>
            </w:r>
          </w:p>
        </w:tc>
        <w:tc>
          <w:tcPr>
            <w:tcW w:w="761" w:type="dxa"/>
          </w:tcPr>
          <w:p w:rsidR="001B4658" w:rsidRPr="002D3D8E" w:rsidRDefault="001B4658" w:rsidP="00B14ABC">
            <w:pPr>
              <w:spacing w:after="0"/>
              <w:jc w:val="center"/>
              <w:rPr>
                <w:rFonts w:ascii="Times New Roman" w:hAnsi="Times New Roman" w:cs="Times New Roman"/>
                <w:spacing w:val="-3"/>
                <w:sz w:val="20"/>
                <w:szCs w:val="20"/>
              </w:rPr>
            </w:pPr>
            <w:r w:rsidRPr="002D3D8E">
              <w:rPr>
                <w:rFonts w:ascii="Times New Roman" w:hAnsi="Times New Roman" w:cs="Times New Roman"/>
                <w:spacing w:val="-3"/>
                <w:sz w:val="20"/>
                <w:szCs w:val="20"/>
              </w:rPr>
              <w:t>0</w:t>
            </w:r>
          </w:p>
        </w:tc>
        <w:tc>
          <w:tcPr>
            <w:tcW w:w="952" w:type="dxa"/>
          </w:tcPr>
          <w:p w:rsidR="001B4658" w:rsidRPr="002D3D8E" w:rsidRDefault="001B4658" w:rsidP="00B14ABC">
            <w:pPr>
              <w:spacing w:after="0"/>
              <w:jc w:val="center"/>
              <w:rPr>
                <w:rFonts w:ascii="Times New Roman" w:hAnsi="Times New Roman" w:cs="Times New Roman"/>
                <w:spacing w:val="-3"/>
                <w:sz w:val="20"/>
                <w:szCs w:val="20"/>
              </w:rPr>
            </w:pPr>
            <w:r w:rsidRPr="002D3D8E">
              <w:rPr>
                <w:rFonts w:ascii="Times New Roman" w:hAnsi="Times New Roman" w:cs="Times New Roman"/>
                <w:spacing w:val="-3"/>
                <w:sz w:val="20"/>
                <w:szCs w:val="20"/>
              </w:rPr>
              <w:t>0.0</w:t>
            </w:r>
          </w:p>
        </w:tc>
        <w:tc>
          <w:tcPr>
            <w:tcW w:w="1335" w:type="dxa"/>
            <w:shd w:val="clear" w:color="auto" w:fill="D9D9D9"/>
          </w:tcPr>
          <w:p w:rsidR="001B4658" w:rsidRPr="002D3D8E" w:rsidRDefault="001B4658" w:rsidP="00B14ABC">
            <w:pPr>
              <w:spacing w:after="0"/>
              <w:jc w:val="center"/>
              <w:rPr>
                <w:rFonts w:ascii="Times New Roman" w:hAnsi="Times New Roman" w:cs="Times New Roman"/>
                <w:spacing w:val="-3"/>
                <w:sz w:val="20"/>
                <w:szCs w:val="20"/>
              </w:rPr>
            </w:pPr>
            <w:r w:rsidRPr="002D3D8E">
              <w:rPr>
                <w:rFonts w:ascii="Times New Roman" w:hAnsi="Times New Roman" w:cs="Times New Roman"/>
                <w:spacing w:val="-3"/>
                <w:sz w:val="20"/>
                <w:szCs w:val="20"/>
              </w:rPr>
              <w:t>0.1</w:t>
            </w:r>
          </w:p>
        </w:tc>
      </w:tr>
      <w:tr w:rsidR="001B4658" w:rsidRPr="002D3D8E" w:rsidTr="00AF2064">
        <w:trPr>
          <w:trHeight w:val="243"/>
        </w:trPr>
        <w:tc>
          <w:tcPr>
            <w:tcW w:w="3189" w:type="dxa"/>
          </w:tcPr>
          <w:p w:rsidR="001B4658" w:rsidRPr="002D3D8E" w:rsidRDefault="001B4658" w:rsidP="00B14ABC">
            <w:pPr>
              <w:spacing w:after="0"/>
              <w:rPr>
                <w:rFonts w:ascii="Times New Roman" w:hAnsi="Times New Roman" w:cs="Times New Roman"/>
                <w:spacing w:val="-3"/>
                <w:sz w:val="20"/>
                <w:szCs w:val="20"/>
              </w:rPr>
            </w:pPr>
            <w:r w:rsidRPr="002D3D8E">
              <w:rPr>
                <w:rFonts w:ascii="Times New Roman" w:hAnsi="Times New Roman" w:cs="Times New Roman"/>
                <w:spacing w:val="-3"/>
                <w:sz w:val="20"/>
                <w:szCs w:val="20"/>
              </w:rPr>
              <w:t>2 or more Minority</w:t>
            </w:r>
          </w:p>
        </w:tc>
        <w:tc>
          <w:tcPr>
            <w:tcW w:w="796" w:type="dxa"/>
          </w:tcPr>
          <w:p w:rsidR="001B4658" w:rsidRPr="002D3D8E" w:rsidRDefault="001B4658" w:rsidP="00B14ABC">
            <w:pPr>
              <w:spacing w:after="0"/>
              <w:jc w:val="center"/>
              <w:rPr>
                <w:rFonts w:ascii="Times New Roman" w:hAnsi="Times New Roman" w:cs="Times New Roman"/>
                <w:spacing w:val="-3"/>
                <w:sz w:val="20"/>
                <w:szCs w:val="20"/>
              </w:rPr>
            </w:pPr>
            <w:r w:rsidRPr="002D3D8E">
              <w:rPr>
                <w:rFonts w:ascii="Times New Roman" w:hAnsi="Times New Roman" w:cs="Times New Roman"/>
                <w:spacing w:val="-3"/>
                <w:sz w:val="20"/>
                <w:szCs w:val="20"/>
              </w:rPr>
              <w:t>0</w:t>
            </w:r>
          </w:p>
        </w:tc>
        <w:tc>
          <w:tcPr>
            <w:tcW w:w="1035" w:type="dxa"/>
          </w:tcPr>
          <w:p w:rsidR="001B4658" w:rsidRPr="002D3D8E" w:rsidRDefault="001B4658" w:rsidP="00B14ABC">
            <w:pPr>
              <w:spacing w:after="0"/>
              <w:jc w:val="center"/>
              <w:rPr>
                <w:rFonts w:ascii="Times New Roman" w:hAnsi="Times New Roman" w:cs="Times New Roman"/>
                <w:spacing w:val="-3"/>
                <w:sz w:val="20"/>
                <w:szCs w:val="20"/>
              </w:rPr>
            </w:pPr>
            <w:r w:rsidRPr="002D3D8E">
              <w:rPr>
                <w:rFonts w:ascii="Times New Roman" w:hAnsi="Times New Roman" w:cs="Times New Roman"/>
                <w:spacing w:val="-3"/>
                <w:sz w:val="20"/>
                <w:szCs w:val="20"/>
              </w:rPr>
              <w:t>0.0</w:t>
            </w:r>
          </w:p>
        </w:tc>
        <w:tc>
          <w:tcPr>
            <w:tcW w:w="1235" w:type="dxa"/>
            <w:shd w:val="clear" w:color="auto" w:fill="D9D9D9"/>
          </w:tcPr>
          <w:p w:rsidR="001B4658" w:rsidRPr="002D3D8E" w:rsidRDefault="001B4658" w:rsidP="00B14ABC">
            <w:pPr>
              <w:spacing w:after="0"/>
              <w:jc w:val="center"/>
              <w:rPr>
                <w:rFonts w:ascii="Times New Roman" w:hAnsi="Times New Roman" w:cs="Times New Roman"/>
                <w:spacing w:val="-3"/>
                <w:sz w:val="20"/>
                <w:szCs w:val="20"/>
              </w:rPr>
            </w:pPr>
            <w:r w:rsidRPr="002D3D8E">
              <w:rPr>
                <w:rFonts w:ascii="Times New Roman" w:hAnsi="Times New Roman" w:cs="Times New Roman"/>
                <w:spacing w:val="-3"/>
                <w:sz w:val="20"/>
                <w:szCs w:val="20"/>
              </w:rPr>
              <w:t>0.0</w:t>
            </w:r>
          </w:p>
        </w:tc>
        <w:tc>
          <w:tcPr>
            <w:tcW w:w="761" w:type="dxa"/>
          </w:tcPr>
          <w:p w:rsidR="001B4658" w:rsidRPr="002D3D8E" w:rsidRDefault="001B4658" w:rsidP="00B14ABC">
            <w:pPr>
              <w:spacing w:after="0"/>
              <w:jc w:val="center"/>
              <w:rPr>
                <w:rFonts w:ascii="Times New Roman" w:hAnsi="Times New Roman" w:cs="Times New Roman"/>
                <w:spacing w:val="-3"/>
                <w:sz w:val="20"/>
                <w:szCs w:val="20"/>
              </w:rPr>
            </w:pPr>
            <w:r w:rsidRPr="002D3D8E">
              <w:rPr>
                <w:rFonts w:ascii="Times New Roman" w:hAnsi="Times New Roman" w:cs="Times New Roman"/>
                <w:spacing w:val="-3"/>
                <w:sz w:val="20"/>
                <w:szCs w:val="20"/>
              </w:rPr>
              <w:t>1</w:t>
            </w:r>
          </w:p>
        </w:tc>
        <w:tc>
          <w:tcPr>
            <w:tcW w:w="952" w:type="dxa"/>
          </w:tcPr>
          <w:p w:rsidR="001B4658" w:rsidRPr="002D3D8E" w:rsidRDefault="001B4658" w:rsidP="00B14ABC">
            <w:pPr>
              <w:spacing w:after="0"/>
              <w:jc w:val="center"/>
              <w:rPr>
                <w:rFonts w:ascii="Times New Roman" w:hAnsi="Times New Roman" w:cs="Times New Roman"/>
                <w:spacing w:val="-3"/>
                <w:sz w:val="20"/>
                <w:szCs w:val="20"/>
              </w:rPr>
            </w:pPr>
            <w:r>
              <w:rPr>
                <w:rFonts w:ascii="Times New Roman" w:hAnsi="Times New Roman" w:cs="Times New Roman"/>
                <w:spacing w:val="-3"/>
                <w:sz w:val="20"/>
                <w:szCs w:val="20"/>
              </w:rPr>
              <w:t>0.8</w:t>
            </w:r>
          </w:p>
        </w:tc>
        <w:tc>
          <w:tcPr>
            <w:tcW w:w="1335" w:type="dxa"/>
            <w:shd w:val="clear" w:color="auto" w:fill="D9D9D9"/>
          </w:tcPr>
          <w:p w:rsidR="001B4658" w:rsidRPr="002D3D8E" w:rsidRDefault="001B4658" w:rsidP="00B14ABC">
            <w:pPr>
              <w:spacing w:after="0"/>
              <w:jc w:val="center"/>
              <w:rPr>
                <w:rFonts w:ascii="Times New Roman" w:hAnsi="Times New Roman" w:cs="Times New Roman"/>
                <w:spacing w:val="-3"/>
                <w:sz w:val="20"/>
                <w:szCs w:val="20"/>
              </w:rPr>
            </w:pPr>
            <w:r w:rsidRPr="002D3D8E">
              <w:rPr>
                <w:rFonts w:ascii="Times New Roman" w:hAnsi="Times New Roman" w:cs="Times New Roman"/>
                <w:spacing w:val="-3"/>
                <w:sz w:val="20"/>
                <w:szCs w:val="20"/>
              </w:rPr>
              <w:t>0.0</w:t>
            </w:r>
          </w:p>
        </w:tc>
      </w:tr>
      <w:tr w:rsidR="001B4658" w:rsidRPr="002D3D8E" w:rsidTr="00AF2064">
        <w:trPr>
          <w:trHeight w:val="243"/>
        </w:trPr>
        <w:tc>
          <w:tcPr>
            <w:tcW w:w="3189" w:type="dxa"/>
          </w:tcPr>
          <w:p w:rsidR="001B4658" w:rsidRPr="002D3D8E" w:rsidRDefault="001B4658" w:rsidP="00B14ABC">
            <w:pPr>
              <w:spacing w:after="0"/>
              <w:rPr>
                <w:rFonts w:ascii="Times New Roman" w:hAnsi="Times New Roman" w:cs="Times New Roman"/>
                <w:spacing w:val="-3"/>
                <w:sz w:val="20"/>
                <w:szCs w:val="20"/>
              </w:rPr>
            </w:pPr>
            <w:r w:rsidRPr="002D3D8E">
              <w:rPr>
                <w:rFonts w:ascii="Times New Roman" w:hAnsi="Times New Roman" w:cs="Times New Roman"/>
                <w:spacing w:val="-3"/>
                <w:sz w:val="20"/>
                <w:szCs w:val="20"/>
              </w:rPr>
              <w:t>Joint Race (White/Minority)</w:t>
            </w:r>
          </w:p>
        </w:tc>
        <w:tc>
          <w:tcPr>
            <w:tcW w:w="796" w:type="dxa"/>
          </w:tcPr>
          <w:p w:rsidR="001B4658" w:rsidRPr="002D3D8E" w:rsidRDefault="001B4658" w:rsidP="00B14ABC">
            <w:pPr>
              <w:spacing w:after="0"/>
              <w:jc w:val="center"/>
              <w:rPr>
                <w:rFonts w:ascii="Times New Roman" w:hAnsi="Times New Roman" w:cs="Times New Roman"/>
                <w:spacing w:val="-3"/>
                <w:sz w:val="20"/>
                <w:szCs w:val="20"/>
              </w:rPr>
            </w:pPr>
            <w:r w:rsidRPr="002D3D8E">
              <w:rPr>
                <w:rFonts w:ascii="Times New Roman" w:hAnsi="Times New Roman" w:cs="Times New Roman"/>
                <w:spacing w:val="-3"/>
                <w:sz w:val="20"/>
                <w:szCs w:val="20"/>
              </w:rPr>
              <w:t>2</w:t>
            </w:r>
          </w:p>
        </w:tc>
        <w:tc>
          <w:tcPr>
            <w:tcW w:w="1035" w:type="dxa"/>
          </w:tcPr>
          <w:p w:rsidR="001B4658" w:rsidRPr="002D3D8E" w:rsidRDefault="001B4658" w:rsidP="00B14ABC">
            <w:pPr>
              <w:spacing w:after="0"/>
              <w:jc w:val="center"/>
              <w:rPr>
                <w:rFonts w:ascii="Times New Roman" w:hAnsi="Times New Roman" w:cs="Times New Roman"/>
                <w:spacing w:val="-3"/>
                <w:sz w:val="20"/>
                <w:szCs w:val="20"/>
              </w:rPr>
            </w:pPr>
            <w:r w:rsidRPr="002D3D8E">
              <w:rPr>
                <w:rFonts w:ascii="Times New Roman" w:hAnsi="Times New Roman" w:cs="Times New Roman"/>
                <w:spacing w:val="-3"/>
                <w:sz w:val="20"/>
                <w:szCs w:val="20"/>
              </w:rPr>
              <w:t>2.8</w:t>
            </w:r>
          </w:p>
        </w:tc>
        <w:tc>
          <w:tcPr>
            <w:tcW w:w="1235" w:type="dxa"/>
            <w:shd w:val="clear" w:color="auto" w:fill="D9D9D9"/>
          </w:tcPr>
          <w:p w:rsidR="001B4658" w:rsidRPr="002D3D8E" w:rsidRDefault="001B4658" w:rsidP="00B14ABC">
            <w:pPr>
              <w:spacing w:after="0"/>
              <w:jc w:val="center"/>
              <w:rPr>
                <w:rFonts w:ascii="Times New Roman" w:hAnsi="Times New Roman" w:cs="Times New Roman"/>
                <w:spacing w:val="-3"/>
                <w:sz w:val="20"/>
                <w:szCs w:val="20"/>
              </w:rPr>
            </w:pPr>
            <w:r w:rsidRPr="002D3D8E">
              <w:rPr>
                <w:rFonts w:ascii="Times New Roman" w:hAnsi="Times New Roman" w:cs="Times New Roman"/>
                <w:spacing w:val="-3"/>
                <w:sz w:val="20"/>
                <w:szCs w:val="20"/>
              </w:rPr>
              <w:t>2.5</w:t>
            </w:r>
          </w:p>
        </w:tc>
        <w:tc>
          <w:tcPr>
            <w:tcW w:w="761" w:type="dxa"/>
          </w:tcPr>
          <w:p w:rsidR="001B4658" w:rsidRPr="002D3D8E" w:rsidRDefault="001B4658" w:rsidP="00B14ABC">
            <w:pPr>
              <w:spacing w:after="0"/>
              <w:jc w:val="center"/>
              <w:rPr>
                <w:rFonts w:ascii="Times New Roman" w:hAnsi="Times New Roman" w:cs="Times New Roman"/>
                <w:spacing w:val="-3"/>
                <w:sz w:val="20"/>
                <w:szCs w:val="20"/>
              </w:rPr>
            </w:pPr>
            <w:r w:rsidRPr="002D3D8E">
              <w:rPr>
                <w:rFonts w:ascii="Times New Roman" w:hAnsi="Times New Roman" w:cs="Times New Roman"/>
                <w:spacing w:val="-3"/>
                <w:sz w:val="20"/>
                <w:szCs w:val="20"/>
              </w:rPr>
              <w:t>1</w:t>
            </w:r>
          </w:p>
        </w:tc>
        <w:tc>
          <w:tcPr>
            <w:tcW w:w="952" w:type="dxa"/>
          </w:tcPr>
          <w:p w:rsidR="001B4658" w:rsidRPr="002D3D8E" w:rsidRDefault="001B4658" w:rsidP="00B14ABC">
            <w:pPr>
              <w:spacing w:after="0"/>
              <w:jc w:val="center"/>
              <w:rPr>
                <w:rFonts w:ascii="Times New Roman" w:hAnsi="Times New Roman" w:cs="Times New Roman"/>
                <w:spacing w:val="-3"/>
                <w:sz w:val="20"/>
                <w:szCs w:val="20"/>
              </w:rPr>
            </w:pPr>
            <w:r w:rsidRPr="002D3D8E">
              <w:rPr>
                <w:rFonts w:ascii="Times New Roman" w:hAnsi="Times New Roman" w:cs="Times New Roman"/>
                <w:spacing w:val="-3"/>
                <w:sz w:val="20"/>
                <w:szCs w:val="20"/>
              </w:rPr>
              <w:t>0.9</w:t>
            </w:r>
          </w:p>
        </w:tc>
        <w:tc>
          <w:tcPr>
            <w:tcW w:w="1335" w:type="dxa"/>
            <w:shd w:val="clear" w:color="auto" w:fill="D9D9D9"/>
          </w:tcPr>
          <w:p w:rsidR="001B4658" w:rsidRPr="002D3D8E" w:rsidRDefault="001B4658" w:rsidP="00B14ABC">
            <w:pPr>
              <w:spacing w:after="0"/>
              <w:jc w:val="center"/>
              <w:rPr>
                <w:rFonts w:ascii="Times New Roman" w:hAnsi="Times New Roman" w:cs="Times New Roman"/>
                <w:spacing w:val="-3"/>
                <w:sz w:val="20"/>
                <w:szCs w:val="20"/>
              </w:rPr>
            </w:pPr>
            <w:r w:rsidRPr="002D3D8E">
              <w:rPr>
                <w:rFonts w:ascii="Times New Roman" w:hAnsi="Times New Roman" w:cs="Times New Roman"/>
                <w:spacing w:val="-3"/>
                <w:sz w:val="20"/>
                <w:szCs w:val="20"/>
              </w:rPr>
              <w:t>2.8</w:t>
            </w:r>
          </w:p>
        </w:tc>
      </w:tr>
      <w:tr w:rsidR="001B4658" w:rsidRPr="002D3D8E" w:rsidTr="00AF2064">
        <w:trPr>
          <w:trHeight w:val="243"/>
        </w:trPr>
        <w:tc>
          <w:tcPr>
            <w:tcW w:w="3189" w:type="dxa"/>
          </w:tcPr>
          <w:p w:rsidR="001B4658" w:rsidRPr="002D3D8E" w:rsidRDefault="001B4658" w:rsidP="00B14ABC">
            <w:pPr>
              <w:spacing w:after="0"/>
              <w:jc w:val="center"/>
              <w:rPr>
                <w:rFonts w:ascii="Times New Roman" w:hAnsi="Times New Roman" w:cs="Times New Roman"/>
                <w:b/>
                <w:spacing w:val="-3"/>
                <w:sz w:val="20"/>
                <w:szCs w:val="20"/>
              </w:rPr>
            </w:pPr>
            <w:r w:rsidRPr="002D3D8E">
              <w:rPr>
                <w:rFonts w:ascii="Times New Roman" w:hAnsi="Times New Roman" w:cs="Times New Roman"/>
                <w:b/>
                <w:spacing w:val="-3"/>
                <w:sz w:val="20"/>
                <w:szCs w:val="20"/>
              </w:rPr>
              <w:t>Total Minority</w:t>
            </w:r>
          </w:p>
        </w:tc>
        <w:tc>
          <w:tcPr>
            <w:tcW w:w="796" w:type="dxa"/>
          </w:tcPr>
          <w:p w:rsidR="001B4658" w:rsidRPr="002D3D8E" w:rsidRDefault="001B4658" w:rsidP="00B14ABC">
            <w:pPr>
              <w:spacing w:after="0"/>
              <w:jc w:val="center"/>
              <w:rPr>
                <w:rFonts w:ascii="Times New Roman" w:hAnsi="Times New Roman" w:cs="Times New Roman"/>
                <w:b/>
                <w:spacing w:val="-3"/>
                <w:sz w:val="20"/>
                <w:szCs w:val="20"/>
              </w:rPr>
            </w:pPr>
            <w:r w:rsidRPr="002D3D8E">
              <w:rPr>
                <w:rFonts w:ascii="Times New Roman" w:hAnsi="Times New Roman" w:cs="Times New Roman"/>
                <w:b/>
                <w:spacing w:val="-3"/>
                <w:sz w:val="20"/>
                <w:szCs w:val="20"/>
              </w:rPr>
              <w:t>3</w:t>
            </w:r>
          </w:p>
        </w:tc>
        <w:tc>
          <w:tcPr>
            <w:tcW w:w="1035" w:type="dxa"/>
          </w:tcPr>
          <w:p w:rsidR="001B4658" w:rsidRPr="002D3D8E" w:rsidRDefault="001B4658" w:rsidP="00B14ABC">
            <w:pPr>
              <w:spacing w:after="0"/>
              <w:jc w:val="center"/>
              <w:rPr>
                <w:rFonts w:ascii="Times New Roman" w:hAnsi="Times New Roman" w:cs="Times New Roman"/>
                <w:b/>
                <w:spacing w:val="-3"/>
                <w:sz w:val="20"/>
                <w:szCs w:val="20"/>
              </w:rPr>
            </w:pPr>
            <w:r w:rsidRPr="002D3D8E">
              <w:rPr>
                <w:rFonts w:ascii="Times New Roman" w:hAnsi="Times New Roman" w:cs="Times New Roman"/>
                <w:b/>
                <w:spacing w:val="-3"/>
                <w:sz w:val="20"/>
                <w:szCs w:val="20"/>
              </w:rPr>
              <w:t>4.1</w:t>
            </w:r>
          </w:p>
        </w:tc>
        <w:tc>
          <w:tcPr>
            <w:tcW w:w="1235" w:type="dxa"/>
            <w:shd w:val="clear" w:color="auto" w:fill="D9D9D9"/>
          </w:tcPr>
          <w:p w:rsidR="001B4658" w:rsidRPr="002D3D8E" w:rsidRDefault="001B4658" w:rsidP="00B14ABC">
            <w:pPr>
              <w:spacing w:after="0"/>
              <w:jc w:val="center"/>
              <w:rPr>
                <w:rFonts w:ascii="Times New Roman" w:hAnsi="Times New Roman" w:cs="Times New Roman"/>
                <w:b/>
                <w:spacing w:val="-3"/>
                <w:sz w:val="20"/>
                <w:szCs w:val="20"/>
              </w:rPr>
            </w:pPr>
            <w:r w:rsidRPr="002D3D8E">
              <w:rPr>
                <w:rFonts w:ascii="Times New Roman" w:hAnsi="Times New Roman" w:cs="Times New Roman"/>
                <w:b/>
                <w:spacing w:val="-3"/>
                <w:sz w:val="20"/>
                <w:szCs w:val="20"/>
              </w:rPr>
              <w:t>18.4</w:t>
            </w:r>
          </w:p>
        </w:tc>
        <w:tc>
          <w:tcPr>
            <w:tcW w:w="761" w:type="dxa"/>
          </w:tcPr>
          <w:p w:rsidR="001B4658" w:rsidRPr="002D3D8E" w:rsidRDefault="001B4658" w:rsidP="00B14ABC">
            <w:pPr>
              <w:spacing w:after="0"/>
              <w:jc w:val="center"/>
              <w:rPr>
                <w:rFonts w:ascii="Times New Roman" w:hAnsi="Times New Roman" w:cs="Times New Roman"/>
                <w:b/>
                <w:spacing w:val="-3"/>
                <w:sz w:val="20"/>
                <w:szCs w:val="20"/>
              </w:rPr>
            </w:pPr>
            <w:r w:rsidRPr="002D3D8E">
              <w:rPr>
                <w:rFonts w:ascii="Times New Roman" w:hAnsi="Times New Roman" w:cs="Times New Roman"/>
                <w:b/>
                <w:spacing w:val="-3"/>
                <w:sz w:val="20"/>
                <w:szCs w:val="20"/>
              </w:rPr>
              <w:t>6</w:t>
            </w:r>
          </w:p>
        </w:tc>
        <w:tc>
          <w:tcPr>
            <w:tcW w:w="952" w:type="dxa"/>
          </w:tcPr>
          <w:p w:rsidR="001B4658" w:rsidRPr="002D3D8E" w:rsidRDefault="001B4658" w:rsidP="00B14ABC">
            <w:pPr>
              <w:spacing w:after="0"/>
              <w:jc w:val="center"/>
              <w:rPr>
                <w:rFonts w:ascii="Times New Roman" w:hAnsi="Times New Roman" w:cs="Times New Roman"/>
                <w:b/>
                <w:spacing w:val="-3"/>
                <w:sz w:val="20"/>
                <w:szCs w:val="20"/>
              </w:rPr>
            </w:pPr>
            <w:r>
              <w:rPr>
                <w:rFonts w:ascii="Times New Roman" w:hAnsi="Times New Roman" w:cs="Times New Roman"/>
                <w:b/>
                <w:spacing w:val="-3"/>
                <w:sz w:val="20"/>
                <w:szCs w:val="20"/>
              </w:rPr>
              <w:t>5.3</w:t>
            </w:r>
          </w:p>
        </w:tc>
        <w:tc>
          <w:tcPr>
            <w:tcW w:w="1335" w:type="dxa"/>
            <w:shd w:val="clear" w:color="auto" w:fill="D9D9D9"/>
          </w:tcPr>
          <w:p w:rsidR="001B4658" w:rsidRPr="002D3D8E" w:rsidRDefault="001B4658" w:rsidP="00B14ABC">
            <w:pPr>
              <w:spacing w:after="0"/>
              <w:jc w:val="center"/>
              <w:rPr>
                <w:rFonts w:ascii="Times New Roman" w:hAnsi="Times New Roman" w:cs="Times New Roman"/>
                <w:b/>
                <w:spacing w:val="-3"/>
                <w:sz w:val="20"/>
                <w:szCs w:val="20"/>
              </w:rPr>
            </w:pPr>
            <w:r>
              <w:rPr>
                <w:rFonts w:ascii="Times New Roman" w:hAnsi="Times New Roman" w:cs="Times New Roman"/>
                <w:b/>
                <w:spacing w:val="-3"/>
                <w:sz w:val="20"/>
                <w:szCs w:val="20"/>
              </w:rPr>
              <w:t>19.7</w:t>
            </w:r>
          </w:p>
        </w:tc>
      </w:tr>
      <w:tr w:rsidR="001B4658" w:rsidRPr="002D3D8E" w:rsidTr="00AF2064">
        <w:trPr>
          <w:trHeight w:val="243"/>
        </w:trPr>
        <w:tc>
          <w:tcPr>
            <w:tcW w:w="3189" w:type="dxa"/>
          </w:tcPr>
          <w:p w:rsidR="001B4658" w:rsidRPr="002D3D8E" w:rsidRDefault="001B4658" w:rsidP="00B14ABC">
            <w:pPr>
              <w:spacing w:after="0"/>
              <w:rPr>
                <w:rFonts w:ascii="Times New Roman" w:hAnsi="Times New Roman" w:cs="Times New Roman"/>
                <w:spacing w:val="-3"/>
                <w:sz w:val="20"/>
                <w:szCs w:val="20"/>
              </w:rPr>
            </w:pPr>
            <w:r w:rsidRPr="002D3D8E">
              <w:rPr>
                <w:rFonts w:ascii="Times New Roman" w:hAnsi="Times New Roman" w:cs="Times New Roman"/>
                <w:spacing w:val="-3"/>
                <w:sz w:val="20"/>
                <w:szCs w:val="20"/>
              </w:rPr>
              <w:t>White</w:t>
            </w:r>
          </w:p>
        </w:tc>
        <w:tc>
          <w:tcPr>
            <w:tcW w:w="796" w:type="dxa"/>
          </w:tcPr>
          <w:p w:rsidR="001B4658" w:rsidRPr="002D3D8E" w:rsidRDefault="001B4658" w:rsidP="00B14ABC">
            <w:pPr>
              <w:spacing w:after="0"/>
              <w:jc w:val="center"/>
              <w:rPr>
                <w:rFonts w:ascii="Times New Roman" w:hAnsi="Times New Roman" w:cs="Times New Roman"/>
                <w:spacing w:val="-3"/>
                <w:sz w:val="20"/>
                <w:szCs w:val="20"/>
              </w:rPr>
            </w:pPr>
            <w:r w:rsidRPr="002D3D8E">
              <w:rPr>
                <w:rFonts w:ascii="Times New Roman" w:hAnsi="Times New Roman" w:cs="Times New Roman"/>
                <w:spacing w:val="-3"/>
                <w:sz w:val="20"/>
                <w:szCs w:val="20"/>
              </w:rPr>
              <w:t>65</w:t>
            </w:r>
          </w:p>
        </w:tc>
        <w:tc>
          <w:tcPr>
            <w:tcW w:w="1035" w:type="dxa"/>
          </w:tcPr>
          <w:p w:rsidR="001B4658" w:rsidRPr="002D3D8E" w:rsidRDefault="001B4658" w:rsidP="00B14ABC">
            <w:pPr>
              <w:spacing w:after="0"/>
              <w:jc w:val="center"/>
              <w:rPr>
                <w:rFonts w:ascii="Times New Roman" w:hAnsi="Times New Roman" w:cs="Times New Roman"/>
                <w:spacing w:val="-3"/>
                <w:sz w:val="20"/>
                <w:szCs w:val="20"/>
              </w:rPr>
            </w:pPr>
            <w:r w:rsidRPr="002D3D8E">
              <w:rPr>
                <w:rFonts w:ascii="Times New Roman" w:hAnsi="Times New Roman" w:cs="Times New Roman"/>
                <w:spacing w:val="-3"/>
                <w:sz w:val="20"/>
                <w:szCs w:val="20"/>
              </w:rPr>
              <w:t>89.0</w:t>
            </w:r>
          </w:p>
        </w:tc>
        <w:tc>
          <w:tcPr>
            <w:tcW w:w="1235" w:type="dxa"/>
            <w:shd w:val="clear" w:color="auto" w:fill="D9D9D9"/>
          </w:tcPr>
          <w:p w:rsidR="001B4658" w:rsidRPr="002D3D8E" w:rsidRDefault="001B4658" w:rsidP="00B14ABC">
            <w:pPr>
              <w:spacing w:after="0"/>
              <w:jc w:val="center"/>
              <w:rPr>
                <w:rFonts w:ascii="Times New Roman" w:hAnsi="Times New Roman" w:cs="Times New Roman"/>
                <w:spacing w:val="-3"/>
                <w:sz w:val="20"/>
                <w:szCs w:val="20"/>
              </w:rPr>
            </w:pPr>
            <w:r w:rsidRPr="002D3D8E">
              <w:rPr>
                <w:rFonts w:ascii="Times New Roman" w:hAnsi="Times New Roman" w:cs="Times New Roman"/>
                <w:spacing w:val="-3"/>
                <w:sz w:val="20"/>
                <w:szCs w:val="20"/>
              </w:rPr>
              <w:t>62.0</w:t>
            </w:r>
          </w:p>
        </w:tc>
        <w:tc>
          <w:tcPr>
            <w:tcW w:w="761" w:type="dxa"/>
          </w:tcPr>
          <w:p w:rsidR="001B4658" w:rsidRPr="002D3D8E" w:rsidRDefault="001B4658" w:rsidP="00B14ABC">
            <w:pPr>
              <w:spacing w:after="0"/>
              <w:jc w:val="center"/>
              <w:rPr>
                <w:rFonts w:ascii="Times New Roman" w:hAnsi="Times New Roman" w:cs="Times New Roman"/>
                <w:spacing w:val="-3"/>
                <w:sz w:val="20"/>
                <w:szCs w:val="20"/>
              </w:rPr>
            </w:pPr>
            <w:r w:rsidRPr="002D3D8E">
              <w:rPr>
                <w:rFonts w:ascii="Times New Roman" w:hAnsi="Times New Roman" w:cs="Times New Roman"/>
                <w:spacing w:val="-3"/>
                <w:sz w:val="20"/>
                <w:szCs w:val="20"/>
              </w:rPr>
              <w:t>90</w:t>
            </w:r>
          </w:p>
        </w:tc>
        <w:tc>
          <w:tcPr>
            <w:tcW w:w="952" w:type="dxa"/>
          </w:tcPr>
          <w:p w:rsidR="001B4658" w:rsidRPr="002D3D8E" w:rsidRDefault="001B4658" w:rsidP="00B14ABC">
            <w:pPr>
              <w:spacing w:after="0"/>
              <w:jc w:val="center"/>
              <w:rPr>
                <w:rFonts w:ascii="Times New Roman" w:hAnsi="Times New Roman" w:cs="Times New Roman"/>
                <w:spacing w:val="-3"/>
                <w:sz w:val="20"/>
                <w:szCs w:val="20"/>
              </w:rPr>
            </w:pPr>
            <w:r w:rsidRPr="002D3D8E">
              <w:rPr>
                <w:rFonts w:ascii="Times New Roman" w:hAnsi="Times New Roman" w:cs="Times New Roman"/>
                <w:spacing w:val="-3"/>
                <w:sz w:val="20"/>
                <w:szCs w:val="20"/>
              </w:rPr>
              <w:t>80.4</w:t>
            </w:r>
          </w:p>
        </w:tc>
        <w:tc>
          <w:tcPr>
            <w:tcW w:w="1335" w:type="dxa"/>
            <w:shd w:val="clear" w:color="auto" w:fill="D9D9D9"/>
          </w:tcPr>
          <w:p w:rsidR="001B4658" w:rsidRPr="002D3D8E" w:rsidRDefault="001B4658" w:rsidP="00B14ABC">
            <w:pPr>
              <w:spacing w:after="0"/>
              <w:jc w:val="center"/>
              <w:rPr>
                <w:rFonts w:ascii="Times New Roman" w:hAnsi="Times New Roman" w:cs="Times New Roman"/>
                <w:spacing w:val="-3"/>
                <w:sz w:val="20"/>
                <w:szCs w:val="20"/>
              </w:rPr>
            </w:pPr>
            <w:r w:rsidRPr="002D3D8E">
              <w:rPr>
                <w:rFonts w:ascii="Times New Roman" w:hAnsi="Times New Roman" w:cs="Times New Roman"/>
                <w:spacing w:val="-3"/>
                <w:sz w:val="20"/>
                <w:szCs w:val="20"/>
              </w:rPr>
              <w:t>58.3</w:t>
            </w:r>
          </w:p>
        </w:tc>
      </w:tr>
      <w:tr w:rsidR="001B4658" w:rsidRPr="002D3D8E" w:rsidTr="00AF2064">
        <w:trPr>
          <w:trHeight w:val="259"/>
        </w:trPr>
        <w:tc>
          <w:tcPr>
            <w:tcW w:w="3189" w:type="dxa"/>
          </w:tcPr>
          <w:p w:rsidR="001B4658" w:rsidRPr="002D3D8E" w:rsidRDefault="001B4658" w:rsidP="00B14ABC">
            <w:pPr>
              <w:spacing w:after="0"/>
              <w:rPr>
                <w:rFonts w:ascii="Times New Roman" w:hAnsi="Times New Roman" w:cs="Times New Roman"/>
                <w:spacing w:val="-3"/>
                <w:sz w:val="20"/>
                <w:szCs w:val="20"/>
              </w:rPr>
            </w:pPr>
            <w:r w:rsidRPr="002D3D8E">
              <w:rPr>
                <w:rFonts w:ascii="Times New Roman" w:hAnsi="Times New Roman" w:cs="Times New Roman"/>
                <w:spacing w:val="-3"/>
                <w:sz w:val="20"/>
                <w:szCs w:val="20"/>
              </w:rPr>
              <w:t>Race Not Available</w:t>
            </w:r>
          </w:p>
        </w:tc>
        <w:tc>
          <w:tcPr>
            <w:tcW w:w="796" w:type="dxa"/>
          </w:tcPr>
          <w:p w:rsidR="001B4658" w:rsidRPr="002D3D8E" w:rsidRDefault="001B4658" w:rsidP="00B14ABC">
            <w:pPr>
              <w:spacing w:after="0"/>
              <w:jc w:val="center"/>
              <w:rPr>
                <w:rFonts w:ascii="Times New Roman" w:hAnsi="Times New Roman" w:cs="Times New Roman"/>
                <w:spacing w:val="-3"/>
                <w:sz w:val="20"/>
                <w:szCs w:val="20"/>
              </w:rPr>
            </w:pPr>
            <w:r w:rsidRPr="002D3D8E">
              <w:rPr>
                <w:rFonts w:ascii="Times New Roman" w:hAnsi="Times New Roman" w:cs="Times New Roman"/>
                <w:spacing w:val="-3"/>
                <w:sz w:val="20"/>
                <w:szCs w:val="20"/>
              </w:rPr>
              <w:t>5</w:t>
            </w:r>
          </w:p>
        </w:tc>
        <w:tc>
          <w:tcPr>
            <w:tcW w:w="1035" w:type="dxa"/>
          </w:tcPr>
          <w:p w:rsidR="001B4658" w:rsidRPr="002D3D8E" w:rsidRDefault="001B4658" w:rsidP="00B14ABC">
            <w:pPr>
              <w:spacing w:after="0"/>
              <w:jc w:val="center"/>
              <w:rPr>
                <w:rFonts w:ascii="Times New Roman" w:hAnsi="Times New Roman" w:cs="Times New Roman"/>
                <w:spacing w:val="-3"/>
                <w:sz w:val="20"/>
                <w:szCs w:val="20"/>
              </w:rPr>
            </w:pPr>
            <w:r w:rsidRPr="002D3D8E">
              <w:rPr>
                <w:rFonts w:ascii="Times New Roman" w:hAnsi="Times New Roman" w:cs="Times New Roman"/>
                <w:spacing w:val="-3"/>
                <w:sz w:val="20"/>
                <w:szCs w:val="20"/>
              </w:rPr>
              <w:t>6.9</w:t>
            </w:r>
          </w:p>
        </w:tc>
        <w:tc>
          <w:tcPr>
            <w:tcW w:w="1235" w:type="dxa"/>
            <w:shd w:val="clear" w:color="auto" w:fill="D9D9D9"/>
          </w:tcPr>
          <w:p w:rsidR="001B4658" w:rsidRPr="002D3D8E" w:rsidRDefault="001B4658" w:rsidP="00B14ABC">
            <w:pPr>
              <w:spacing w:after="0"/>
              <w:jc w:val="center"/>
              <w:rPr>
                <w:rFonts w:ascii="Times New Roman" w:hAnsi="Times New Roman" w:cs="Times New Roman"/>
                <w:spacing w:val="-3"/>
                <w:sz w:val="20"/>
                <w:szCs w:val="20"/>
              </w:rPr>
            </w:pPr>
            <w:r w:rsidRPr="002D3D8E">
              <w:rPr>
                <w:rFonts w:ascii="Times New Roman" w:hAnsi="Times New Roman" w:cs="Times New Roman"/>
                <w:spacing w:val="-3"/>
                <w:sz w:val="20"/>
                <w:szCs w:val="20"/>
              </w:rPr>
              <w:t>19.6</w:t>
            </w:r>
          </w:p>
        </w:tc>
        <w:tc>
          <w:tcPr>
            <w:tcW w:w="761" w:type="dxa"/>
          </w:tcPr>
          <w:p w:rsidR="001B4658" w:rsidRPr="002D3D8E" w:rsidRDefault="001B4658" w:rsidP="00B14ABC">
            <w:pPr>
              <w:spacing w:after="0"/>
              <w:jc w:val="center"/>
              <w:rPr>
                <w:rFonts w:ascii="Times New Roman" w:hAnsi="Times New Roman" w:cs="Times New Roman"/>
                <w:spacing w:val="-3"/>
                <w:sz w:val="20"/>
                <w:szCs w:val="20"/>
              </w:rPr>
            </w:pPr>
            <w:r w:rsidRPr="002D3D8E">
              <w:rPr>
                <w:rFonts w:ascii="Times New Roman" w:hAnsi="Times New Roman" w:cs="Times New Roman"/>
                <w:spacing w:val="-3"/>
                <w:sz w:val="20"/>
                <w:szCs w:val="20"/>
              </w:rPr>
              <w:t>16</w:t>
            </w:r>
          </w:p>
        </w:tc>
        <w:tc>
          <w:tcPr>
            <w:tcW w:w="952" w:type="dxa"/>
          </w:tcPr>
          <w:p w:rsidR="001B4658" w:rsidRPr="002D3D8E" w:rsidRDefault="001B4658" w:rsidP="00B14ABC">
            <w:pPr>
              <w:spacing w:after="0"/>
              <w:jc w:val="center"/>
              <w:rPr>
                <w:rFonts w:ascii="Times New Roman" w:hAnsi="Times New Roman" w:cs="Times New Roman"/>
                <w:spacing w:val="-3"/>
                <w:sz w:val="20"/>
                <w:szCs w:val="20"/>
              </w:rPr>
            </w:pPr>
            <w:r w:rsidRPr="002D3D8E">
              <w:rPr>
                <w:rFonts w:ascii="Times New Roman" w:hAnsi="Times New Roman" w:cs="Times New Roman"/>
                <w:spacing w:val="-3"/>
                <w:sz w:val="20"/>
                <w:szCs w:val="20"/>
              </w:rPr>
              <w:t>14.3</w:t>
            </w:r>
          </w:p>
        </w:tc>
        <w:tc>
          <w:tcPr>
            <w:tcW w:w="1335" w:type="dxa"/>
            <w:shd w:val="clear" w:color="auto" w:fill="D9D9D9"/>
          </w:tcPr>
          <w:p w:rsidR="001B4658" w:rsidRPr="002D3D8E" w:rsidRDefault="001B4658" w:rsidP="00B14ABC">
            <w:pPr>
              <w:spacing w:after="0"/>
              <w:jc w:val="center"/>
              <w:rPr>
                <w:rFonts w:ascii="Times New Roman" w:hAnsi="Times New Roman" w:cs="Times New Roman"/>
                <w:spacing w:val="-3"/>
                <w:sz w:val="20"/>
                <w:szCs w:val="20"/>
              </w:rPr>
            </w:pPr>
            <w:r w:rsidRPr="002D3D8E">
              <w:rPr>
                <w:rFonts w:ascii="Times New Roman" w:hAnsi="Times New Roman" w:cs="Times New Roman"/>
                <w:spacing w:val="-3"/>
                <w:sz w:val="20"/>
                <w:szCs w:val="20"/>
              </w:rPr>
              <w:t>22.0</w:t>
            </w:r>
          </w:p>
        </w:tc>
      </w:tr>
      <w:tr w:rsidR="001B4658" w:rsidRPr="002D3D8E" w:rsidTr="00AF2064">
        <w:trPr>
          <w:trHeight w:val="243"/>
        </w:trPr>
        <w:tc>
          <w:tcPr>
            <w:tcW w:w="3189" w:type="dxa"/>
          </w:tcPr>
          <w:p w:rsidR="001B4658" w:rsidRPr="002D3D8E" w:rsidRDefault="001B4658" w:rsidP="00B14ABC">
            <w:pPr>
              <w:spacing w:after="0"/>
              <w:jc w:val="center"/>
              <w:rPr>
                <w:rFonts w:ascii="Times New Roman" w:hAnsi="Times New Roman" w:cs="Times New Roman"/>
                <w:b/>
                <w:spacing w:val="-3"/>
                <w:sz w:val="20"/>
                <w:szCs w:val="20"/>
              </w:rPr>
            </w:pPr>
            <w:r w:rsidRPr="002D3D8E">
              <w:rPr>
                <w:rFonts w:ascii="Times New Roman" w:hAnsi="Times New Roman" w:cs="Times New Roman"/>
                <w:b/>
                <w:spacing w:val="-3"/>
                <w:sz w:val="20"/>
                <w:szCs w:val="20"/>
              </w:rPr>
              <w:t>Total</w:t>
            </w:r>
          </w:p>
        </w:tc>
        <w:tc>
          <w:tcPr>
            <w:tcW w:w="796" w:type="dxa"/>
          </w:tcPr>
          <w:p w:rsidR="001B4658" w:rsidRPr="002D3D8E" w:rsidRDefault="001B4658" w:rsidP="00B14ABC">
            <w:pPr>
              <w:spacing w:after="0"/>
              <w:jc w:val="center"/>
              <w:rPr>
                <w:rFonts w:ascii="Times New Roman" w:hAnsi="Times New Roman" w:cs="Times New Roman"/>
                <w:b/>
                <w:spacing w:val="-3"/>
                <w:sz w:val="20"/>
                <w:szCs w:val="20"/>
              </w:rPr>
            </w:pPr>
            <w:r w:rsidRPr="002D3D8E">
              <w:rPr>
                <w:rFonts w:ascii="Times New Roman" w:hAnsi="Times New Roman" w:cs="Times New Roman"/>
                <w:b/>
                <w:spacing w:val="-3"/>
                <w:sz w:val="20"/>
                <w:szCs w:val="20"/>
              </w:rPr>
              <w:t>73</w:t>
            </w:r>
          </w:p>
        </w:tc>
        <w:tc>
          <w:tcPr>
            <w:tcW w:w="1035" w:type="dxa"/>
          </w:tcPr>
          <w:p w:rsidR="001B4658" w:rsidRPr="002D3D8E" w:rsidRDefault="001B4658" w:rsidP="00B14ABC">
            <w:pPr>
              <w:spacing w:after="0"/>
              <w:jc w:val="center"/>
              <w:rPr>
                <w:rFonts w:ascii="Times New Roman" w:hAnsi="Times New Roman" w:cs="Times New Roman"/>
                <w:b/>
                <w:spacing w:val="-3"/>
                <w:sz w:val="20"/>
                <w:szCs w:val="20"/>
              </w:rPr>
            </w:pPr>
            <w:r w:rsidRPr="002D3D8E">
              <w:rPr>
                <w:rFonts w:ascii="Times New Roman" w:hAnsi="Times New Roman" w:cs="Times New Roman"/>
                <w:b/>
                <w:spacing w:val="-3"/>
                <w:sz w:val="20"/>
                <w:szCs w:val="20"/>
              </w:rPr>
              <w:t>100.0</w:t>
            </w:r>
          </w:p>
        </w:tc>
        <w:tc>
          <w:tcPr>
            <w:tcW w:w="1235" w:type="dxa"/>
            <w:shd w:val="clear" w:color="auto" w:fill="D9D9D9"/>
          </w:tcPr>
          <w:p w:rsidR="001B4658" w:rsidRPr="002D3D8E" w:rsidRDefault="001B4658" w:rsidP="00B14ABC">
            <w:pPr>
              <w:spacing w:after="0"/>
              <w:jc w:val="center"/>
              <w:rPr>
                <w:rFonts w:ascii="Times New Roman" w:hAnsi="Times New Roman" w:cs="Times New Roman"/>
                <w:b/>
                <w:spacing w:val="-3"/>
                <w:sz w:val="20"/>
                <w:szCs w:val="20"/>
              </w:rPr>
            </w:pPr>
            <w:r w:rsidRPr="002D3D8E">
              <w:rPr>
                <w:rFonts w:ascii="Times New Roman" w:hAnsi="Times New Roman" w:cs="Times New Roman"/>
                <w:b/>
                <w:spacing w:val="-3"/>
                <w:sz w:val="20"/>
                <w:szCs w:val="20"/>
              </w:rPr>
              <w:t>100.0</w:t>
            </w:r>
          </w:p>
        </w:tc>
        <w:tc>
          <w:tcPr>
            <w:tcW w:w="761" w:type="dxa"/>
          </w:tcPr>
          <w:p w:rsidR="001B4658" w:rsidRPr="002D3D8E" w:rsidRDefault="001B4658" w:rsidP="00B14ABC">
            <w:pPr>
              <w:spacing w:after="0"/>
              <w:jc w:val="center"/>
              <w:rPr>
                <w:rFonts w:ascii="Times New Roman" w:hAnsi="Times New Roman" w:cs="Times New Roman"/>
                <w:b/>
                <w:spacing w:val="-3"/>
                <w:sz w:val="20"/>
                <w:szCs w:val="20"/>
              </w:rPr>
            </w:pPr>
            <w:r w:rsidRPr="002D3D8E">
              <w:rPr>
                <w:rFonts w:ascii="Times New Roman" w:hAnsi="Times New Roman" w:cs="Times New Roman"/>
                <w:b/>
                <w:spacing w:val="-3"/>
                <w:sz w:val="20"/>
                <w:szCs w:val="20"/>
              </w:rPr>
              <w:t>112</w:t>
            </w:r>
          </w:p>
        </w:tc>
        <w:tc>
          <w:tcPr>
            <w:tcW w:w="952" w:type="dxa"/>
          </w:tcPr>
          <w:p w:rsidR="001B4658" w:rsidRPr="002D3D8E" w:rsidRDefault="001B4658" w:rsidP="00B14ABC">
            <w:pPr>
              <w:spacing w:after="0"/>
              <w:jc w:val="center"/>
              <w:rPr>
                <w:rFonts w:ascii="Times New Roman" w:hAnsi="Times New Roman" w:cs="Times New Roman"/>
                <w:b/>
                <w:spacing w:val="-3"/>
                <w:sz w:val="20"/>
                <w:szCs w:val="20"/>
              </w:rPr>
            </w:pPr>
            <w:r w:rsidRPr="002D3D8E">
              <w:rPr>
                <w:rFonts w:ascii="Times New Roman" w:hAnsi="Times New Roman" w:cs="Times New Roman"/>
                <w:b/>
                <w:spacing w:val="-3"/>
                <w:sz w:val="20"/>
                <w:szCs w:val="20"/>
              </w:rPr>
              <w:t>100.0</w:t>
            </w:r>
          </w:p>
        </w:tc>
        <w:tc>
          <w:tcPr>
            <w:tcW w:w="1335" w:type="dxa"/>
            <w:shd w:val="clear" w:color="auto" w:fill="D9D9D9"/>
          </w:tcPr>
          <w:p w:rsidR="001B4658" w:rsidRPr="002D3D8E" w:rsidRDefault="001B4658" w:rsidP="00B14ABC">
            <w:pPr>
              <w:spacing w:after="0"/>
              <w:jc w:val="center"/>
              <w:rPr>
                <w:rFonts w:ascii="Times New Roman" w:hAnsi="Times New Roman" w:cs="Times New Roman"/>
                <w:b/>
                <w:spacing w:val="-3"/>
                <w:sz w:val="20"/>
                <w:szCs w:val="20"/>
              </w:rPr>
            </w:pPr>
            <w:r w:rsidRPr="002D3D8E">
              <w:rPr>
                <w:rFonts w:ascii="Times New Roman" w:hAnsi="Times New Roman" w:cs="Times New Roman"/>
                <w:b/>
                <w:spacing w:val="-3"/>
                <w:sz w:val="20"/>
                <w:szCs w:val="20"/>
              </w:rPr>
              <w:t>100.0</w:t>
            </w:r>
          </w:p>
        </w:tc>
      </w:tr>
      <w:tr w:rsidR="001B4658" w:rsidRPr="002D3D8E" w:rsidTr="00AF2064">
        <w:trPr>
          <w:trHeight w:val="243"/>
        </w:trPr>
        <w:tc>
          <w:tcPr>
            <w:tcW w:w="3189" w:type="dxa"/>
          </w:tcPr>
          <w:p w:rsidR="001B4658" w:rsidRPr="002D3D8E" w:rsidRDefault="001B4658" w:rsidP="00B14ABC">
            <w:pPr>
              <w:spacing w:after="0"/>
              <w:jc w:val="center"/>
              <w:rPr>
                <w:rFonts w:ascii="Times New Roman" w:hAnsi="Times New Roman" w:cs="Times New Roman"/>
                <w:b/>
                <w:spacing w:val="-3"/>
                <w:sz w:val="20"/>
                <w:szCs w:val="20"/>
              </w:rPr>
            </w:pPr>
            <w:r w:rsidRPr="002D3D8E">
              <w:rPr>
                <w:rFonts w:ascii="Times New Roman" w:hAnsi="Times New Roman" w:cs="Times New Roman"/>
                <w:b/>
                <w:spacing w:val="-3"/>
                <w:sz w:val="20"/>
                <w:szCs w:val="20"/>
              </w:rPr>
              <w:t>ETHNICITY</w:t>
            </w:r>
          </w:p>
        </w:tc>
        <w:tc>
          <w:tcPr>
            <w:tcW w:w="796" w:type="dxa"/>
          </w:tcPr>
          <w:p w:rsidR="001B4658" w:rsidRPr="002D3D8E" w:rsidRDefault="001B4658" w:rsidP="00B14ABC">
            <w:pPr>
              <w:spacing w:after="0"/>
              <w:jc w:val="center"/>
              <w:rPr>
                <w:rFonts w:ascii="Times New Roman" w:hAnsi="Times New Roman" w:cs="Times New Roman"/>
                <w:b/>
                <w:spacing w:val="-3"/>
                <w:sz w:val="20"/>
                <w:szCs w:val="20"/>
              </w:rPr>
            </w:pPr>
          </w:p>
        </w:tc>
        <w:tc>
          <w:tcPr>
            <w:tcW w:w="1035" w:type="dxa"/>
          </w:tcPr>
          <w:p w:rsidR="001B4658" w:rsidRPr="002D3D8E" w:rsidRDefault="001B4658" w:rsidP="00B14ABC">
            <w:pPr>
              <w:spacing w:after="0"/>
              <w:jc w:val="center"/>
              <w:rPr>
                <w:rFonts w:ascii="Times New Roman" w:hAnsi="Times New Roman" w:cs="Times New Roman"/>
                <w:b/>
                <w:spacing w:val="-3"/>
                <w:sz w:val="20"/>
                <w:szCs w:val="20"/>
              </w:rPr>
            </w:pPr>
          </w:p>
        </w:tc>
        <w:tc>
          <w:tcPr>
            <w:tcW w:w="1235" w:type="dxa"/>
            <w:shd w:val="clear" w:color="auto" w:fill="D9D9D9"/>
          </w:tcPr>
          <w:p w:rsidR="001B4658" w:rsidRPr="002D3D8E" w:rsidRDefault="001B4658" w:rsidP="00B14ABC">
            <w:pPr>
              <w:spacing w:after="0"/>
              <w:jc w:val="center"/>
              <w:rPr>
                <w:rFonts w:ascii="Times New Roman" w:hAnsi="Times New Roman" w:cs="Times New Roman"/>
                <w:b/>
                <w:spacing w:val="-3"/>
                <w:sz w:val="20"/>
                <w:szCs w:val="20"/>
              </w:rPr>
            </w:pPr>
          </w:p>
        </w:tc>
        <w:tc>
          <w:tcPr>
            <w:tcW w:w="761" w:type="dxa"/>
          </w:tcPr>
          <w:p w:rsidR="001B4658" w:rsidRPr="002D3D8E" w:rsidRDefault="001B4658" w:rsidP="00B14ABC">
            <w:pPr>
              <w:spacing w:after="0"/>
              <w:jc w:val="center"/>
              <w:rPr>
                <w:rFonts w:ascii="Times New Roman" w:hAnsi="Times New Roman" w:cs="Times New Roman"/>
                <w:b/>
                <w:spacing w:val="-3"/>
                <w:sz w:val="20"/>
                <w:szCs w:val="20"/>
              </w:rPr>
            </w:pPr>
          </w:p>
        </w:tc>
        <w:tc>
          <w:tcPr>
            <w:tcW w:w="952" w:type="dxa"/>
          </w:tcPr>
          <w:p w:rsidR="001B4658" w:rsidRPr="002D3D8E" w:rsidRDefault="001B4658" w:rsidP="00B14ABC">
            <w:pPr>
              <w:spacing w:after="0"/>
              <w:jc w:val="center"/>
              <w:rPr>
                <w:rFonts w:ascii="Times New Roman" w:hAnsi="Times New Roman" w:cs="Times New Roman"/>
                <w:b/>
                <w:spacing w:val="-3"/>
                <w:sz w:val="20"/>
                <w:szCs w:val="20"/>
              </w:rPr>
            </w:pPr>
          </w:p>
        </w:tc>
        <w:tc>
          <w:tcPr>
            <w:tcW w:w="1335" w:type="dxa"/>
            <w:shd w:val="clear" w:color="auto" w:fill="D9D9D9"/>
          </w:tcPr>
          <w:p w:rsidR="001B4658" w:rsidRPr="002D3D8E" w:rsidRDefault="001B4658" w:rsidP="00B14ABC">
            <w:pPr>
              <w:spacing w:after="0"/>
              <w:jc w:val="center"/>
              <w:rPr>
                <w:rFonts w:ascii="Times New Roman" w:hAnsi="Times New Roman" w:cs="Times New Roman"/>
                <w:b/>
                <w:spacing w:val="-3"/>
                <w:sz w:val="20"/>
                <w:szCs w:val="20"/>
              </w:rPr>
            </w:pPr>
          </w:p>
        </w:tc>
      </w:tr>
      <w:tr w:rsidR="001B4658" w:rsidRPr="002D3D8E" w:rsidTr="00AF2064">
        <w:trPr>
          <w:trHeight w:val="243"/>
        </w:trPr>
        <w:tc>
          <w:tcPr>
            <w:tcW w:w="3189" w:type="dxa"/>
          </w:tcPr>
          <w:p w:rsidR="001B4658" w:rsidRPr="002D3D8E" w:rsidRDefault="001B4658" w:rsidP="00B14ABC">
            <w:pPr>
              <w:spacing w:after="0"/>
              <w:rPr>
                <w:rFonts w:ascii="Times New Roman" w:hAnsi="Times New Roman" w:cs="Times New Roman"/>
                <w:spacing w:val="-3"/>
                <w:sz w:val="20"/>
                <w:szCs w:val="20"/>
              </w:rPr>
            </w:pPr>
            <w:r w:rsidRPr="002D3D8E">
              <w:rPr>
                <w:rFonts w:ascii="Times New Roman" w:hAnsi="Times New Roman" w:cs="Times New Roman"/>
                <w:spacing w:val="-3"/>
                <w:sz w:val="20"/>
                <w:szCs w:val="20"/>
              </w:rPr>
              <w:t>Hispanic or Latino</w:t>
            </w:r>
          </w:p>
        </w:tc>
        <w:tc>
          <w:tcPr>
            <w:tcW w:w="796" w:type="dxa"/>
          </w:tcPr>
          <w:p w:rsidR="001B4658" w:rsidRPr="002D3D8E" w:rsidRDefault="001B4658" w:rsidP="00B14ABC">
            <w:pPr>
              <w:spacing w:after="0"/>
              <w:jc w:val="center"/>
              <w:rPr>
                <w:rFonts w:ascii="Times New Roman" w:hAnsi="Times New Roman" w:cs="Times New Roman"/>
                <w:b/>
                <w:spacing w:val="-3"/>
                <w:sz w:val="20"/>
                <w:szCs w:val="20"/>
              </w:rPr>
            </w:pPr>
            <w:r w:rsidRPr="002D3D8E">
              <w:rPr>
                <w:rFonts w:ascii="Times New Roman" w:hAnsi="Times New Roman" w:cs="Times New Roman"/>
                <w:b/>
                <w:spacing w:val="-3"/>
                <w:sz w:val="20"/>
                <w:szCs w:val="20"/>
              </w:rPr>
              <w:t>0</w:t>
            </w:r>
          </w:p>
        </w:tc>
        <w:tc>
          <w:tcPr>
            <w:tcW w:w="1035" w:type="dxa"/>
          </w:tcPr>
          <w:p w:rsidR="001B4658" w:rsidRPr="002D3D8E" w:rsidRDefault="001B4658" w:rsidP="00B14ABC">
            <w:pPr>
              <w:spacing w:after="0"/>
              <w:jc w:val="center"/>
              <w:rPr>
                <w:rFonts w:ascii="Times New Roman" w:hAnsi="Times New Roman" w:cs="Times New Roman"/>
                <w:b/>
                <w:spacing w:val="-3"/>
                <w:sz w:val="20"/>
                <w:szCs w:val="20"/>
              </w:rPr>
            </w:pPr>
            <w:r w:rsidRPr="002D3D8E">
              <w:rPr>
                <w:rFonts w:ascii="Times New Roman" w:hAnsi="Times New Roman" w:cs="Times New Roman"/>
                <w:b/>
                <w:spacing w:val="-3"/>
                <w:sz w:val="20"/>
                <w:szCs w:val="20"/>
              </w:rPr>
              <w:t>0.0</w:t>
            </w:r>
          </w:p>
        </w:tc>
        <w:tc>
          <w:tcPr>
            <w:tcW w:w="1235" w:type="dxa"/>
            <w:shd w:val="clear" w:color="auto" w:fill="D9D9D9"/>
          </w:tcPr>
          <w:p w:rsidR="001B4658" w:rsidRPr="002D3D8E" w:rsidRDefault="001B4658" w:rsidP="00B14ABC">
            <w:pPr>
              <w:spacing w:after="0"/>
              <w:jc w:val="center"/>
              <w:rPr>
                <w:rFonts w:ascii="Times New Roman" w:hAnsi="Times New Roman" w:cs="Times New Roman"/>
                <w:b/>
                <w:spacing w:val="-3"/>
                <w:sz w:val="20"/>
                <w:szCs w:val="20"/>
              </w:rPr>
            </w:pPr>
            <w:r w:rsidRPr="002D3D8E">
              <w:rPr>
                <w:rFonts w:ascii="Times New Roman" w:hAnsi="Times New Roman" w:cs="Times New Roman"/>
                <w:b/>
                <w:spacing w:val="-3"/>
                <w:sz w:val="20"/>
                <w:szCs w:val="20"/>
              </w:rPr>
              <w:t>1.8</w:t>
            </w:r>
          </w:p>
        </w:tc>
        <w:tc>
          <w:tcPr>
            <w:tcW w:w="761" w:type="dxa"/>
          </w:tcPr>
          <w:p w:rsidR="001B4658" w:rsidRPr="002D3D8E" w:rsidRDefault="001B4658" w:rsidP="00B14ABC">
            <w:pPr>
              <w:spacing w:after="0"/>
              <w:jc w:val="center"/>
              <w:rPr>
                <w:rFonts w:ascii="Times New Roman" w:hAnsi="Times New Roman" w:cs="Times New Roman"/>
                <w:b/>
                <w:spacing w:val="-3"/>
                <w:sz w:val="20"/>
                <w:szCs w:val="20"/>
              </w:rPr>
            </w:pPr>
            <w:r w:rsidRPr="002D3D8E">
              <w:rPr>
                <w:rFonts w:ascii="Times New Roman" w:hAnsi="Times New Roman" w:cs="Times New Roman"/>
                <w:b/>
                <w:spacing w:val="-3"/>
                <w:sz w:val="20"/>
                <w:szCs w:val="20"/>
              </w:rPr>
              <w:t>0</w:t>
            </w:r>
          </w:p>
        </w:tc>
        <w:tc>
          <w:tcPr>
            <w:tcW w:w="952" w:type="dxa"/>
          </w:tcPr>
          <w:p w:rsidR="001B4658" w:rsidRPr="002D3D8E" w:rsidRDefault="001B4658" w:rsidP="00B14ABC">
            <w:pPr>
              <w:spacing w:after="0"/>
              <w:jc w:val="center"/>
              <w:rPr>
                <w:rFonts w:ascii="Times New Roman" w:hAnsi="Times New Roman" w:cs="Times New Roman"/>
                <w:b/>
                <w:spacing w:val="-3"/>
                <w:sz w:val="20"/>
                <w:szCs w:val="20"/>
              </w:rPr>
            </w:pPr>
            <w:r w:rsidRPr="002D3D8E">
              <w:rPr>
                <w:rFonts w:ascii="Times New Roman" w:hAnsi="Times New Roman" w:cs="Times New Roman"/>
                <w:b/>
                <w:spacing w:val="-3"/>
                <w:sz w:val="20"/>
                <w:szCs w:val="20"/>
              </w:rPr>
              <w:t>0.0</w:t>
            </w:r>
          </w:p>
        </w:tc>
        <w:tc>
          <w:tcPr>
            <w:tcW w:w="1335" w:type="dxa"/>
            <w:shd w:val="clear" w:color="auto" w:fill="D9D9D9"/>
          </w:tcPr>
          <w:p w:rsidR="001B4658" w:rsidRPr="002D3D8E" w:rsidRDefault="001B4658" w:rsidP="00B14ABC">
            <w:pPr>
              <w:spacing w:after="0"/>
              <w:jc w:val="center"/>
              <w:rPr>
                <w:rFonts w:ascii="Times New Roman" w:hAnsi="Times New Roman" w:cs="Times New Roman"/>
                <w:b/>
                <w:spacing w:val="-3"/>
                <w:sz w:val="20"/>
                <w:szCs w:val="20"/>
              </w:rPr>
            </w:pPr>
            <w:r>
              <w:rPr>
                <w:rFonts w:ascii="Times New Roman" w:hAnsi="Times New Roman" w:cs="Times New Roman"/>
                <w:b/>
                <w:spacing w:val="-3"/>
                <w:sz w:val="20"/>
                <w:szCs w:val="20"/>
              </w:rPr>
              <w:t>2.3</w:t>
            </w:r>
          </w:p>
        </w:tc>
      </w:tr>
      <w:tr w:rsidR="001B4658" w:rsidRPr="002D3D8E" w:rsidTr="00AF2064">
        <w:trPr>
          <w:trHeight w:val="243"/>
        </w:trPr>
        <w:tc>
          <w:tcPr>
            <w:tcW w:w="3189" w:type="dxa"/>
          </w:tcPr>
          <w:p w:rsidR="001B4658" w:rsidRPr="002D3D8E" w:rsidRDefault="001B4658" w:rsidP="00B14ABC">
            <w:pPr>
              <w:spacing w:after="0"/>
              <w:rPr>
                <w:rFonts w:ascii="Times New Roman" w:hAnsi="Times New Roman" w:cs="Times New Roman"/>
                <w:spacing w:val="-3"/>
                <w:sz w:val="20"/>
                <w:szCs w:val="20"/>
              </w:rPr>
            </w:pPr>
            <w:r w:rsidRPr="002D3D8E">
              <w:rPr>
                <w:rFonts w:ascii="Times New Roman" w:hAnsi="Times New Roman" w:cs="Times New Roman"/>
                <w:spacing w:val="-3"/>
                <w:sz w:val="20"/>
                <w:szCs w:val="20"/>
              </w:rPr>
              <w:t>Joint (</w:t>
            </w:r>
            <w:proofErr w:type="spellStart"/>
            <w:r w:rsidRPr="002D3D8E">
              <w:rPr>
                <w:rFonts w:ascii="Times New Roman" w:hAnsi="Times New Roman" w:cs="Times New Roman"/>
                <w:spacing w:val="-3"/>
                <w:sz w:val="20"/>
                <w:szCs w:val="20"/>
              </w:rPr>
              <w:t>Hisp</w:t>
            </w:r>
            <w:proofErr w:type="spellEnd"/>
            <w:r w:rsidRPr="002D3D8E">
              <w:rPr>
                <w:rFonts w:ascii="Times New Roman" w:hAnsi="Times New Roman" w:cs="Times New Roman"/>
                <w:spacing w:val="-3"/>
                <w:sz w:val="20"/>
                <w:szCs w:val="20"/>
              </w:rPr>
              <w:t>/</w:t>
            </w:r>
            <w:proofErr w:type="spellStart"/>
            <w:r w:rsidRPr="002D3D8E">
              <w:rPr>
                <w:rFonts w:ascii="Times New Roman" w:hAnsi="Times New Roman" w:cs="Times New Roman"/>
                <w:spacing w:val="-3"/>
                <w:sz w:val="20"/>
                <w:szCs w:val="20"/>
              </w:rPr>
              <w:t>Lat</w:t>
            </w:r>
            <w:proofErr w:type="spellEnd"/>
            <w:r w:rsidRPr="002D3D8E">
              <w:rPr>
                <w:rFonts w:ascii="Times New Roman" w:hAnsi="Times New Roman" w:cs="Times New Roman"/>
                <w:spacing w:val="-3"/>
                <w:sz w:val="20"/>
                <w:szCs w:val="20"/>
              </w:rPr>
              <w:t xml:space="preserve"> /Not </w:t>
            </w:r>
            <w:proofErr w:type="spellStart"/>
            <w:r w:rsidRPr="002D3D8E">
              <w:rPr>
                <w:rFonts w:ascii="Times New Roman" w:hAnsi="Times New Roman" w:cs="Times New Roman"/>
                <w:spacing w:val="-3"/>
                <w:sz w:val="20"/>
                <w:szCs w:val="20"/>
              </w:rPr>
              <w:t>Hisp</w:t>
            </w:r>
            <w:proofErr w:type="spellEnd"/>
            <w:r w:rsidRPr="002D3D8E">
              <w:rPr>
                <w:rFonts w:ascii="Times New Roman" w:hAnsi="Times New Roman" w:cs="Times New Roman"/>
                <w:spacing w:val="-3"/>
                <w:sz w:val="20"/>
                <w:szCs w:val="20"/>
              </w:rPr>
              <w:t>/</w:t>
            </w:r>
            <w:proofErr w:type="spellStart"/>
            <w:r w:rsidRPr="002D3D8E">
              <w:rPr>
                <w:rFonts w:ascii="Times New Roman" w:hAnsi="Times New Roman" w:cs="Times New Roman"/>
                <w:spacing w:val="-3"/>
                <w:sz w:val="20"/>
                <w:szCs w:val="20"/>
              </w:rPr>
              <w:t>Lat</w:t>
            </w:r>
            <w:proofErr w:type="spellEnd"/>
            <w:r w:rsidRPr="002D3D8E">
              <w:rPr>
                <w:rFonts w:ascii="Times New Roman" w:hAnsi="Times New Roman" w:cs="Times New Roman"/>
                <w:spacing w:val="-3"/>
                <w:sz w:val="20"/>
                <w:szCs w:val="20"/>
              </w:rPr>
              <w:t>)</w:t>
            </w:r>
          </w:p>
        </w:tc>
        <w:tc>
          <w:tcPr>
            <w:tcW w:w="796" w:type="dxa"/>
          </w:tcPr>
          <w:p w:rsidR="001B4658" w:rsidRPr="002D3D8E" w:rsidRDefault="001B4658" w:rsidP="00B14ABC">
            <w:pPr>
              <w:spacing w:after="0"/>
              <w:jc w:val="center"/>
              <w:rPr>
                <w:rFonts w:ascii="Times New Roman" w:hAnsi="Times New Roman" w:cs="Times New Roman"/>
                <w:b/>
                <w:spacing w:val="-3"/>
                <w:sz w:val="20"/>
                <w:szCs w:val="20"/>
              </w:rPr>
            </w:pPr>
            <w:r w:rsidRPr="002D3D8E">
              <w:rPr>
                <w:rFonts w:ascii="Times New Roman" w:hAnsi="Times New Roman" w:cs="Times New Roman"/>
                <w:b/>
                <w:spacing w:val="-3"/>
                <w:sz w:val="20"/>
                <w:szCs w:val="20"/>
              </w:rPr>
              <w:t>0</w:t>
            </w:r>
          </w:p>
        </w:tc>
        <w:tc>
          <w:tcPr>
            <w:tcW w:w="1035" w:type="dxa"/>
          </w:tcPr>
          <w:p w:rsidR="001B4658" w:rsidRPr="002D3D8E" w:rsidRDefault="001B4658" w:rsidP="00B14ABC">
            <w:pPr>
              <w:spacing w:after="0"/>
              <w:jc w:val="center"/>
              <w:rPr>
                <w:rFonts w:ascii="Times New Roman" w:hAnsi="Times New Roman" w:cs="Times New Roman"/>
                <w:b/>
                <w:spacing w:val="-3"/>
                <w:sz w:val="20"/>
                <w:szCs w:val="20"/>
              </w:rPr>
            </w:pPr>
            <w:r w:rsidRPr="002D3D8E">
              <w:rPr>
                <w:rFonts w:ascii="Times New Roman" w:hAnsi="Times New Roman" w:cs="Times New Roman"/>
                <w:b/>
                <w:spacing w:val="-3"/>
                <w:sz w:val="20"/>
                <w:szCs w:val="20"/>
              </w:rPr>
              <w:t>0.0</w:t>
            </w:r>
          </w:p>
        </w:tc>
        <w:tc>
          <w:tcPr>
            <w:tcW w:w="1235" w:type="dxa"/>
            <w:shd w:val="clear" w:color="auto" w:fill="D9D9D9"/>
          </w:tcPr>
          <w:p w:rsidR="001B4658" w:rsidRPr="002D3D8E" w:rsidRDefault="001B4658" w:rsidP="00B14ABC">
            <w:pPr>
              <w:spacing w:after="0"/>
              <w:jc w:val="center"/>
              <w:rPr>
                <w:rFonts w:ascii="Times New Roman" w:hAnsi="Times New Roman" w:cs="Times New Roman"/>
                <w:b/>
                <w:spacing w:val="-3"/>
                <w:sz w:val="20"/>
                <w:szCs w:val="20"/>
              </w:rPr>
            </w:pPr>
            <w:r>
              <w:rPr>
                <w:rFonts w:ascii="Times New Roman" w:hAnsi="Times New Roman" w:cs="Times New Roman"/>
                <w:b/>
                <w:spacing w:val="-3"/>
                <w:sz w:val="20"/>
                <w:szCs w:val="20"/>
              </w:rPr>
              <w:t>1.1</w:t>
            </w:r>
          </w:p>
        </w:tc>
        <w:tc>
          <w:tcPr>
            <w:tcW w:w="761" w:type="dxa"/>
          </w:tcPr>
          <w:p w:rsidR="001B4658" w:rsidRPr="002D3D8E" w:rsidRDefault="001B4658" w:rsidP="00B14ABC">
            <w:pPr>
              <w:spacing w:after="0"/>
              <w:jc w:val="center"/>
              <w:rPr>
                <w:rFonts w:ascii="Times New Roman" w:hAnsi="Times New Roman" w:cs="Times New Roman"/>
                <w:b/>
                <w:spacing w:val="-3"/>
                <w:sz w:val="20"/>
                <w:szCs w:val="20"/>
              </w:rPr>
            </w:pPr>
            <w:r>
              <w:rPr>
                <w:rFonts w:ascii="Times New Roman" w:hAnsi="Times New Roman" w:cs="Times New Roman"/>
                <w:b/>
                <w:spacing w:val="-3"/>
                <w:sz w:val="20"/>
                <w:szCs w:val="20"/>
              </w:rPr>
              <w:t>4</w:t>
            </w:r>
          </w:p>
        </w:tc>
        <w:tc>
          <w:tcPr>
            <w:tcW w:w="952" w:type="dxa"/>
          </w:tcPr>
          <w:p w:rsidR="001B4658" w:rsidRPr="002D3D8E" w:rsidRDefault="001B4658" w:rsidP="00B14ABC">
            <w:pPr>
              <w:spacing w:after="0"/>
              <w:jc w:val="center"/>
              <w:rPr>
                <w:rFonts w:ascii="Times New Roman" w:hAnsi="Times New Roman" w:cs="Times New Roman"/>
                <w:b/>
                <w:spacing w:val="-3"/>
                <w:sz w:val="20"/>
                <w:szCs w:val="20"/>
              </w:rPr>
            </w:pPr>
            <w:r>
              <w:rPr>
                <w:rFonts w:ascii="Times New Roman" w:hAnsi="Times New Roman" w:cs="Times New Roman"/>
                <w:b/>
                <w:spacing w:val="-3"/>
                <w:sz w:val="20"/>
                <w:szCs w:val="20"/>
              </w:rPr>
              <w:t>3.6</w:t>
            </w:r>
          </w:p>
        </w:tc>
        <w:tc>
          <w:tcPr>
            <w:tcW w:w="1335" w:type="dxa"/>
            <w:shd w:val="clear" w:color="auto" w:fill="D9D9D9"/>
          </w:tcPr>
          <w:p w:rsidR="001B4658" w:rsidRPr="002D3D8E" w:rsidRDefault="001B4658" w:rsidP="00B14ABC">
            <w:pPr>
              <w:spacing w:after="0"/>
              <w:jc w:val="center"/>
              <w:rPr>
                <w:rFonts w:ascii="Times New Roman" w:hAnsi="Times New Roman" w:cs="Times New Roman"/>
                <w:b/>
                <w:spacing w:val="-3"/>
                <w:sz w:val="20"/>
                <w:szCs w:val="20"/>
              </w:rPr>
            </w:pPr>
            <w:r w:rsidRPr="002D3D8E">
              <w:rPr>
                <w:rFonts w:ascii="Times New Roman" w:hAnsi="Times New Roman" w:cs="Times New Roman"/>
                <w:b/>
                <w:spacing w:val="-3"/>
                <w:sz w:val="20"/>
                <w:szCs w:val="20"/>
              </w:rPr>
              <w:t>1.3</w:t>
            </w:r>
          </w:p>
        </w:tc>
      </w:tr>
      <w:tr w:rsidR="001B4658" w:rsidRPr="002D3D8E" w:rsidTr="00AF2064">
        <w:trPr>
          <w:trHeight w:val="259"/>
        </w:trPr>
        <w:tc>
          <w:tcPr>
            <w:tcW w:w="3189" w:type="dxa"/>
          </w:tcPr>
          <w:p w:rsidR="001B4658" w:rsidRPr="002D3D8E" w:rsidRDefault="001B4658" w:rsidP="00B14ABC">
            <w:pPr>
              <w:spacing w:after="0"/>
              <w:rPr>
                <w:rFonts w:ascii="Times New Roman" w:hAnsi="Times New Roman" w:cs="Times New Roman"/>
                <w:spacing w:val="-3"/>
                <w:sz w:val="20"/>
                <w:szCs w:val="20"/>
              </w:rPr>
            </w:pPr>
            <w:r w:rsidRPr="002D3D8E">
              <w:rPr>
                <w:rFonts w:ascii="Times New Roman" w:hAnsi="Times New Roman" w:cs="Times New Roman"/>
                <w:spacing w:val="-3"/>
                <w:sz w:val="20"/>
                <w:szCs w:val="20"/>
              </w:rPr>
              <w:t>Not Hispanic or Latino</w:t>
            </w:r>
          </w:p>
        </w:tc>
        <w:tc>
          <w:tcPr>
            <w:tcW w:w="796" w:type="dxa"/>
          </w:tcPr>
          <w:p w:rsidR="001B4658" w:rsidRPr="002D3D8E" w:rsidRDefault="001B4658" w:rsidP="00B14ABC">
            <w:pPr>
              <w:spacing w:after="0"/>
              <w:jc w:val="center"/>
              <w:rPr>
                <w:rFonts w:ascii="Times New Roman" w:hAnsi="Times New Roman" w:cs="Times New Roman"/>
                <w:spacing w:val="-3"/>
                <w:sz w:val="20"/>
                <w:szCs w:val="20"/>
              </w:rPr>
            </w:pPr>
            <w:r w:rsidRPr="002D3D8E">
              <w:rPr>
                <w:rFonts w:ascii="Times New Roman" w:hAnsi="Times New Roman" w:cs="Times New Roman"/>
                <w:spacing w:val="-3"/>
                <w:sz w:val="20"/>
                <w:szCs w:val="20"/>
              </w:rPr>
              <w:t>67</w:t>
            </w:r>
          </w:p>
        </w:tc>
        <w:tc>
          <w:tcPr>
            <w:tcW w:w="1035" w:type="dxa"/>
          </w:tcPr>
          <w:p w:rsidR="001B4658" w:rsidRPr="002D3D8E" w:rsidRDefault="001B4658" w:rsidP="00B14ABC">
            <w:pPr>
              <w:spacing w:after="0"/>
              <w:jc w:val="center"/>
              <w:rPr>
                <w:rFonts w:ascii="Times New Roman" w:hAnsi="Times New Roman" w:cs="Times New Roman"/>
                <w:spacing w:val="-3"/>
                <w:sz w:val="20"/>
                <w:szCs w:val="20"/>
              </w:rPr>
            </w:pPr>
            <w:r w:rsidRPr="002D3D8E">
              <w:rPr>
                <w:rFonts w:ascii="Times New Roman" w:hAnsi="Times New Roman" w:cs="Times New Roman"/>
                <w:spacing w:val="-3"/>
                <w:sz w:val="20"/>
                <w:szCs w:val="20"/>
              </w:rPr>
              <w:t>91.8</w:t>
            </w:r>
          </w:p>
        </w:tc>
        <w:tc>
          <w:tcPr>
            <w:tcW w:w="1235" w:type="dxa"/>
            <w:shd w:val="clear" w:color="auto" w:fill="D9D9D9"/>
          </w:tcPr>
          <w:p w:rsidR="001B4658" w:rsidRPr="002D3D8E" w:rsidRDefault="001B4658" w:rsidP="00B14ABC">
            <w:pPr>
              <w:spacing w:after="0"/>
              <w:jc w:val="center"/>
              <w:rPr>
                <w:rFonts w:ascii="Times New Roman" w:hAnsi="Times New Roman" w:cs="Times New Roman"/>
                <w:spacing w:val="-3"/>
                <w:sz w:val="20"/>
                <w:szCs w:val="20"/>
              </w:rPr>
            </w:pPr>
            <w:r w:rsidRPr="002D3D8E">
              <w:rPr>
                <w:rFonts w:ascii="Times New Roman" w:hAnsi="Times New Roman" w:cs="Times New Roman"/>
                <w:spacing w:val="-3"/>
                <w:sz w:val="20"/>
                <w:szCs w:val="20"/>
              </w:rPr>
              <w:t>77.7</w:t>
            </w:r>
          </w:p>
        </w:tc>
        <w:tc>
          <w:tcPr>
            <w:tcW w:w="761" w:type="dxa"/>
          </w:tcPr>
          <w:p w:rsidR="001B4658" w:rsidRPr="002D3D8E" w:rsidRDefault="001B4658" w:rsidP="00B14ABC">
            <w:pPr>
              <w:spacing w:after="0"/>
              <w:jc w:val="center"/>
              <w:rPr>
                <w:rFonts w:ascii="Times New Roman" w:hAnsi="Times New Roman" w:cs="Times New Roman"/>
                <w:spacing w:val="-3"/>
                <w:sz w:val="20"/>
                <w:szCs w:val="20"/>
              </w:rPr>
            </w:pPr>
            <w:r w:rsidRPr="002D3D8E">
              <w:rPr>
                <w:rFonts w:ascii="Times New Roman" w:hAnsi="Times New Roman" w:cs="Times New Roman"/>
                <w:spacing w:val="-3"/>
                <w:sz w:val="20"/>
                <w:szCs w:val="20"/>
              </w:rPr>
              <w:t>91</w:t>
            </w:r>
          </w:p>
        </w:tc>
        <w:tc>
          <w:tcPr>
            <w:tcW w:w="952" w:type="dxa"/>
          </w:tcPr>
          <w:p w:rsidR="001B4658" w:rsidRPr="002D3D8E" w:rsidRDefault="001B4658" w:rsidP="00B14ABC">
            <w:pPr>
              <w:spacing w:after="0"/>
              <w:jc w:val="center"/>
              <w:rPr>
                <w:rFonts w:ascii="Times New Roman" w:hAnsi="Times New Roman" w:cs="Times New Roman"/>
                <w:spacing w:val="-3"/>
                <w:sz w:val="20"/>
                <w:szCs w:val="20"/>
              </w:rPr>
            </w:pPr>
            <w:r w:rsidRPr="002D3D8E">
              <w:rPr>
                <w:rFonts w:ascii="Times New Roman" w:hAnsi="Times New Roman" w:cs="Times New Roman"/>
                <w:spacing w:val="-3"/>
                <w:sz w:val="20"/>
                <w:szCs w:val="20"/>
              </w:rPr>
              <w:t>81.3</w:t>
            </w:r>
          </w:p>
        </w:tc>
        <w:tc>
          <w:tcPr>
            <w:tcW w:w="1335" w:type="dxa"/>
            <w:shd w:val="clear" w:color="auto" w:fill="D9D9D9"/>
          </w:tcPr>
          <w:p w:rsidR="001B4658" w:rsidRPr="002D3D8E" w:rsidRDefault="001B4658" w:rsidP="00B14ABC">
            <w:pPr>
              <w:spacing w:after="0"/>
              <w:jc w:val="center"/>
              <w:rPr>
                <w:rFonts w:ascii="Times New Roman" w:hAnsi="Times New Roman" w:cs="Times New Roman"/>
                <w:spacing w:val="-3"/>
                <w:sz w:val="20"/>
                <w:szCs w:val="20"/>
              </w:rPr>
            </w:pPr>
            <w:r>
              <w:rPr>
                <w:rFonts w:ascii="Times New Roman" w:hAnsi="Times New Roman" w:cs="Times New Roman"/>
                <w:spacing w:val="-3"/>
                <w:sz w:val="20"/>
                <w:szCs w:val="20"/>
              </w:rPr>
              <w:t>75.1</w:t>
            </w:r>
          </w:p>
        </w:tc>
      </w:tr>
      <w:tr w:rsidR="001B4658" w:rsidRPr="002D3D8E" w:rsidTr="00AF2064">
        <w:trPr>
          <w:trHeight w:val="243"/>
        </w:trPr>
        <w:tc>
          <w:tcPr>
            <w:tcW w:w="3189" w:type="dxa"/>
          </w:tcPr>
          <w:p w:rsidR="001B4658" w:rsidRPr="002D3D8E" w:rsidRDefault="001B4658" w:rsidP="00B14ABC">
            <w:pPr>
              <w:spacing w:after="0"/>
              <w:rPr>
                <w:rFonts w:ascii="Times New Roman" w:hAnsi="Times New Roman" w:cs="Times New Roman"/>
                <w:spacing w:val="-3"/>
                <w:sz w:val="20"/>
                <w:szCs w:val="20"/>
              </w:rPr>
            </w:pPr>
            <w:r w:rsidRPr="002D3D8E">
              <w:rPr>
                <w:rFonts w:ascii="Times New Roman" w:hAnsi="Times New Roman" w:cs="Times New Roman"/>
                <w:spacing w:val="-3"/>
                <w:sz w:val="20"/>
                <w:szCs w:val="20"/>
              </w:rPr>
              <w:t>Ethnicity Not Available</w:t>
            </w:r>
          </w:p>
        </w:tc>
        <w:tc>
          <w:tcPr>
            <w:tcW w:w="796" w:type="dxa"/>
          </w:tcPr>
          <w:p w:rsidR="001B4658" w:rsidRPr="002D3D8E" w:rsidRDefault="001B4658" w:rsidP="00B14ABC">
            <w:pPr>
              <w:spacing w:after="0"/>
              <w:jc w:val="center"/>
              <w:rPr>
                <w:rFonts w:ascii="Times New Roman" w:hAnsi="Times New Roman" w:cs="Times New Roman"/>
                <w:spacing w:val="-3"/>
                <w:sz w:val="20"/>
                <w:szCs w:val="20"/>
              </w:rPr>
            </w:pPr>
            <w:r w:rsidRPr="002D3D8E">
              <w:rPr>
                <w:rFonts w:ascii="Times New Roman" w:hAnsi="Times New Roman" w:cs="Times New Roman"/>
                <w:spacing w:val="-3"/>
                <w:sz w:val="20"/>
                <w:szCs w:val="20"/>
              </w:rPr>
              <w:t>6</w:t>
            </w:r>
          </w:p>
        </w:tc>
        <w:tc>
          <w:tcPr>
            <w:tcW w:w="1035" w:type="dxa"/>
          </w:tcPr>
          <w:p w:rsidR="001B4658" w:rsidRPr="002D3D8E" w:rsidRDefault="001B4658" w:rsidP="00B14ABC">
            <w:pPr>
              <w:spacing w:after="0"/>
              <w:jc w:val="center"/>
              <w:rPr>
                <w:rFonts w:ascii="Times New Roman" w:hAnsi="Times New Roman" w:cs="Times New Roman"/>
                <w:spacing w:val="-3"/>
                <w:sz w:val="20"/>
                <w:szCs w:val="20"/>
              </w:rPr>
            </w:pPr>
            <w:r w:rsidRPr="002D3D8E">
              <w:rPr>
                <w:rFonts w:ascii="Times New Roman" w:hAnsi="Times New Roman" w:cs="Times New Roman"/>
                <w:spacing w:val="-3"/>
                <w:sz w:val="20"/>
                <w:szCs w:val="20"/>
              </w:rPr>
              <w:t>8.2</w:t>
            </w:r>
          </w:p>
        </w:tc>
        <w:tc>
          <w:tcPr>
            <w:tcW w:w="1235" w:type="dxa"/>
            <w:shd w:val="clear" w:color="auto" w:fill="D9D9D9"/>
          </w:tcPr>
          <w:p w:rsidR="001B4658" w:rsidRPr="002D3D8E" w:rsidRDefault="001B4658" w:rsidP="00B14ABC">
            <w:pPr>
              <w:spacing w:after="0"/>
              <w:jc w:val="center"/>
              <w:rPr>
                <w:rFonts w:ascii="Times New Roman" w:hAnsi="Times New Roman" w:cs="Times New Roman"/>
                <w:spacing w:val="-3"/>
                <w:sz w:val="20"/>
                <w:szCs w:val="20"/>
              </w:rPr>
            </w:pPr>
            <w:r w:rsidRPr="002D3D8E">
              <w:rPr>
                <w:rFonts w:ascii="Times New Roman" w:hAnsi="Times New Roman" w:cs="Times New Roman"/>
                <w:spacing w:val="-3"/>
                <w:sz w:val="20"/>
                <w:szCs w:val="20"/>
              </w:rPr>
              <w:t>19.4</w:t>
            </w:r>
          </w:p>
        </w:tc>
        <w:tc>
          <w:tcPr>
            <w:tcW w:w="761" w:type="dxa"/>
          </w:tcPr>
          <w:p w:rsidR="001B4658" w:rsidRPr="002D3D8E" w:rsidRDefault="001B4658" w:rsidP="00B14ABC">
            <w:pPr>
              <w:spacing w:after="0"/>
              <w:jc w:val="center"/>
              <w:rPr>
                <w:rFonts w:ascii="Times New Roman" w:hAnsi="Times New Roman" w:cs="Times New Roman"/>
                <w:spacing w:val="-3"/>
                <w:sz w:val="20"/>
                <w:szCs w:val="20"/>
              </w:rPr>
            </w:pPr>
            <w:r w:rsidRPr="002D3D8E">
              <w:rPr>
                <w:rFonts w:ascii="Times New Roman" w:hAnsi="Times New Roman" w:cs="Times New Roman"/>
                <w:spacing w:val="-3"/>
                <w:sz w:val="20"/>
                <w:szCs w:val="20"/>
              </w:rPr>
              <w:t>17</w:t>
            </w:r>
          </w:p>
        </w:tc>
        <w:tc>
          <w:tcPr>
            <w:tcW w:w="952" w:type="dxa"/>
          </w:tcPr>
          <w:p w:rsidR="001B4658" w:rsidRPr="002D3D8E" w:rsidRDefault="001B4658" w:rsidP="00B14ABC">
            <w:pPr>
              <w:spacing w:after="0"/>
              <w:jc w:val="center"/>
              <w:rPr>
                <w:rFonts w:ascii="Times New Roman" w:hAnsi="Times New Roman" w:cs="Times New Roman"/>
                <w:spacing w:val="-3"/>
                <w:sz w:val="20"/>
                <w:szCs w:val="20"/>
              </w:rPr>
            </w:pPr>
            <w:r>
              <w:rPr>
                <w:rFonts w:ascii="Times New Roman" w:hAnsi="Times New Roman" w:cs="Times New Roman"/>
                <w:spacing w:val="-3"/>
                <w:sz w:val="20"/>
                <w:szCs w:val="20"/>
              </w:rPr>
              <w:t>15.3</w:t>
            </w:r>
          </w:p>
        </w:tc>
        <w:tc>
          <w:tcPr>
            <w:tcW w:w="1335" w:type="dxa"/>
            <w:shd w:val="clear" w:color="auto" w:fill="D9D9D9"/>
          </w:tcPr>
          <w:p w:rsidR="001B4658" w:rsidRPr="002D3D8E" w:rsidRDefault="001B4658" w:rsidP="00B14ABC">
            <w:pPr>
              <w:spacing w:after="0"/>
              <w:jc w:val="center"/>
              <w:rPr>
                <w:rFonts w:ascii="Times New Roman" w:hAnsi="Times New Roman" w:cs="Times New Roman"/>
                <w:spacing w:val="-3"/>
                <w:sz w:val="20"/>
                <w:szCs w:val="20"/>
              </w:rPr>
            </w:pPr>
            <w:r w:rsidRPr="002D3D8E">
              <w:rPr>
                <w:rFonts w:ascii="Times New Roman" w:hAnsi="Times New Roman" w:cs="Times New Roman"/>
                <w:spacing w:val="-3"/>
                <w:sz w:val="20"/>
                <w:szCs w:val="20"/>
              </w:rPr>
              <w:t>21.3</w:t>
            </w:r>
          </w:p>
        </w:tc>
      </w:tr>
      <w:tr w:rsidR="001B4658" w:rsidRPr="002D3D8E" w:rsidTr="00AF2064">
        <w:trPr>
          <w:trHeight w:val="243"/>
        </w:trPr>
        <w:tc>
          <w:tcPr>
            <w:tcW w:w="3189" w:type="dxa"/>
          </w:tcPr>
          <w:p w:rsidR="001B4658" w:rsidRPr="002D3D8E" w:rsidRDefault="001B4658" w:rsidP="00B14ABC">
            <w:pPr>
              <w:spacing w:after="0"/>
              <w:jc w:val="center"/>
              <w:rPr>
                <w:rFonts w:ascii="Times New Roman" w:hAnsi="Times New Roman" w:cs="Times New Roman"/>
                <w:b/>
                <w:spacing w:val="-3"/>
                <w:sz w:val="20"/>
                <w:szCs w:val="20"/>
              </w:rPr>
            </w:pPr>
            <w:r w:rsidRPr="002D3D8E">
              <w:rPr>
                <w:rFonts w:ascii="Times New Roman" w:hAnsi="Times New Roman" w:cs="Times New Roman"/>
                <w:b/>
                <w:spacing w:val="-3"/>
                <w:sz w:val="20"/>
                <w:szCs w:val="20"/>
              </w:rPr>
              <w:t>Total</w:t>
            </w:r>
          </w:p>
        </w:tc>
        <w:tc>
          <w:tcPr>
            <w:tcW w:w="796" w:type="dxa"/>
          </w:tcPr>
          <w:p w:rsidR="001B4658" w:rsidRPr="002D3D8E" w:rsidRDefault="001B4658" w:rsidP="00B14ABC">
            <w:pPr>
              <w:spacing w:after="0"/>
              <w:jc w:val="center"/>
              <w:rPr>
                <w:rFonts w:ascii="Times New Roman" w:hAnsi="Times New Roman" w:cs="Times New Roman"/>
                <w:b/>
                <w:spacing w:val="-3"/>
                <w:sz w:val="20"/>
                <w:szCs w:val="20"/>
              </w:rPr>
            </w:pPr>
            <w:r w:rsidRPr="002D3D8E">
              <w:rPr>
                <w:rFonts w:ascii="Times New Roman" w:hAnsi="Times New Roman" w:cs="Times New Roman"/>
                <w:b/>
                <w:spacing w:val="-3"/>
                <w:sz w:val="20"/>
                <w:szCs w:val="20"/>
              </w:rPr>
              <w:t>73</w:t>
            </w:r>
          </w:p>
        </w:tc>
        <w:tc>
          <w:tcPr>
            <w:tcW w:w="1035" w:type="dxa"/>
          </w:tcPr>
          <w:p w:rsidR="001B4658" w:rsidRPr="002D3D8E" w:rsidRDefault="001B4658" w:rsidP="00B14ABC">
            <w:pPr>
              <w:spacing w:after="0"/>
              <w:jc w:val="center"/>
              <w:rPr>
                <w:rFonts w:ascii="Times New Roman" w:hAnsi="Times New Roman" w:cs="Times New Roman"/>
                <w:b/>
                <w:spacing w:val="-3"/>
                <w:sz w:val="20"/>
                <w:szCs w:val="20"/>
              </w:rPr>
            </w:pPr>
            <w:r w:rsidRPr="002D3D8E">
              <w:rPr>
                <w:rFonts w:ascii="Times New Roman" w:hAnsi="Times New Roman" w:cs="Times New Roman"/>
                <w:b/>
                <w:spacing w:val="-3"/>
                <w:sz w:val="20"/>
                <w:szCs w:val="20"/>
              </w:rPr>
              <w:t>100.0</w:t>
            </w:r>
          </w:p>
        </w:tc>
        <w:tc>
          <w:tcPr>
            <w:tcW w:w="1235" w:type="dxa"/>
            <w:shd w:val="clear" w:color="auto" w:fill="D9D9D9"/>
          </w:tcPr>
          <w:p w:rsidR="001B4658" w:rsidRPr="002D3D8E" w:rsidRDefault="001B4658" w:rsidP="00B14ABC">
            <w:pPr>
              <w:spacing w:after="0"/>
              <w:jc w:val="center"/>
              <w:rPr>
                <w:rFonts w:ascii="Times New Roman" w:hAnsi="Times New Roman" w:cs="Times New Roman"/>
                <w:b/>
                <w:spacing w:val="-3"/>
                <w:sz w:val="20"/>
                <w:szCs w:val="20"/>
              </w:rPr>
            </w:pPr>
            <w:r w:rsidRPr="002D3D8E">
              <w:rPr>
                <w:rFonts w:ascii="Times New Roman" w:hAnsi="Times New Roman" w:cs="Times New Roman"/>
                <w:b/>
                <w:spacing w:val="-3"/>
                <w:sz w:val="20"/>
                <w:szCs w:val="20"/>
              </w:rPr>
              <w:t>100.0</w:t>
            </w:r>
          </w:p>
        </w:tc>
        <w:tc>
          <w:tcPr>
            <w:tcW w:w="761" w:type="dxa"/>
          </w:tcPr>
          <w:p w:rsidR="001B4658" w:rsidRPr="002D3D8E" w:rsidRDefault="001B4658" w:rsidP="00B14ABC">
            <w:pPr>
              <w:spacing w:after="0"/>
              <w:jc w:val="center"/>
              <w:rPr>
                <w:rFonts w:ascii="Times New Roman" w:hAnsi="Times New Roman" w:cs="Times New Roman"/>
                <w:b/>
                <w:spacing w:val="-3"/>
                <w:sz w:val="20"/>
                <w:szCs w:val="20"/>
              </w:rPr>
            </w:pPr>
            <w:r w:rsidRPr="002D3D8E">
              <w:rPr>
                <w:rFonts w:ascii="Times New Roman" w:hAnsi="Times New Roman" w:cs="Times New Roman"/>
                <w:b/>
                <w:spacing w:val="-3"/>
                <w:sz w:val="20"/>
                <w:szCs w:val="20"/>
              </w:rPr>
              <w:t>112</w:t>
            </w:r>
          </w:p>
        </w:tc>
        <w:tc>
          <w:tcPr>
            <w:tcW w:w="952" w:type="dxa"/>
          </w:tcPr>
          <w:p w:rsidR="001B4658" w:rsidRPr="002D3D8E" w:rsidRDefault="001B4658" w:rsidP="00B14ABC">
            <w:pPr>
              <w:spacing w:after="0"/>
              <w:jc w:val="center"/>
              <w:rPr>
                <w:rFonts w:ascii="Times New Roman" w:hAnsi="Times New Roman" w:cs="Times New Roman"/>
                <w:b/>
                <w:spacing w:val="-3"/>
                <w:sz w:val="20"/>
                <w:szCs w:val="20"/>
              </w:rPr>
            </w:pPr>
            <w:r w:rsidRPr="002D3D8E">
              <w:rPr>
                <w:rFonts w:ascii="Times New Roman" w:hAnsi="Times New Roman" w:cs="Times New Roman"/>
                <w:b/>
                <w:spacing w:val="-3"/>
                <w:sz w:val="20"/>
                <w:szCs w:val="20"/>
              </w:rPr>
              <w:t>100.0</w:t>
            </w:r>
          </w:p>
        </w:tc>
        <w:tc>
          <w:tcPr>
            <w:tcW w:w="1335" w:type="dxa"/>
            <w:shd w:val="clear" w:color="auto" w:fill="D9D9D9"/>
          </w:tcPr>
          <w:p w:rsidR="001B4658" w:rsidRPr="002D3D8E" w:rsidRDefault="001B4658" w:rsidP="00B14ABC">
            <w:pPr>
              <w:spacing w:after="0"/>
              <w:jc w:val="center"/>
              <w:rPr>
                <w:rFonts w:ascii="Times New Roman" w:hAnsi="Times New Roman" w:cs="Times New Roman"/>
                <w:b/>
                <w:spacing w:val="-3"/>
                <w:sz w:val="20"/>
                <w:szCs w:val="20"/>
              </w:rPr>
            </w:pPr>
            <w:r w:rsidRPr="002D3D8E">
              <w:rPr>
                <w:rFonts w:ascii="Times New Roman" w:hAnsi="Times New Roman" w:cs="Times New Roman"/>
                <w:b/>
                <w:spacing w:val="-3"/>
                <w:sz w:val="20"/>
                <w:szCs w:val="20"/>
              </w:rPr>
              <w:t>100.0</w:t>
            </w:r>
          </w:p>
        </w:tc>
      </w:tr>
    </w:tbl>
    <w:p w:rsidR="00AF2064" w:rsidRDefault="00AF2064" w:rsidP="001B4658">
      <w:pPr>
        <w:spacing w:line="240" w:lineRule="auto"/>
        <w:rPr>
          <w:rFonts w:ascii="Times New Roman" w:hAnsi="Times New Roman" w:cs="Times New Roman"/>
          <w:sz w:val="24"/>
          <w:szCs w:val="24"/>
          <w:highlight w:val="yellow"/>
        </w:rPr>
      </w:pPr>
    </w:p>
    <w:p w:rsidR="001B4658" w:rsidRPr="00E06473" w:rsidRDefault="001B4658" w:rsidP="00AF2064">
      <w:pPr>
        <w:spacing w:line="240" w:lineRule="auto"/>
        <w:jc w:val="both"/>
        <w:rPr>
          <w:rFonts w:ascii="Times New Roman" w:hAnsi="Times New Roman" w:cs="Times New Roman"/>
          <w:sz w:val="24"/>
          <w:szCs w:val="24"/>
          <w:highlight w:val="yellow"/>
        </w:rPr>
      </w:pPr>
      <w:r w:rsidRPr="00E06473">
        <w:rPr>
          <w:rFonts w:ascii="Times New Roman" w:hAnsi="Times New Roman" w:cs="Times New Roman"/>
          <w:sz w:val="24"/>
          <w:szCs w:val="24"/>
        </w:rPr>
        <w:t xml:space="preserve">In 2016, </w:t>
      </w:r>
      <w:r>
        <w:rPr>
          <w:rFonts w:ascii="Times New Roman" w:hAnsi="Times New Roman" w:cs="Times New Roman"/>
          <w:sz w:val="24"/>
          <w:szCs w:val="24"/>
        </w:rPr>
        <w:t>the bank</w:t>
      </w:r>
      <w:r w:rsidRPr="00E06473">
        <w:rPr>
          <w:rFonts w:ascii="Times New Roman" w:hAnsi="Times New Roman" w:cs="Times New Roman"/>
          <w:sz w:val="24"/>
          <w:szCs w:val="24"/>
        </w:rPr>
        <w:t xml:space="preserve"> received 73 </w:t>
      </w:r>
      <w:proofErr w:type="spellStart"/>
      <w:r w:rsidRPr="00E06473">
        <w:rPr>
          <w:rFonts w:ascii="Times New Roman" w:hAnsi="Times New Roman" w:cs="Times New Roman"/>
          <w:sz w:val="24"/>
          <w:szCs w:val="24"/>
        </w:rPr>
        <w:t>HMDA</w:t>
      </w:r>
      <w:proofErr w:type="spellEnd"/>
      <w:r w:rsidRPr="00E06473">
        <w:rPr>
          <w:rFonts w:ascii="Times New Roman" w:hAnsi="Times New Roman" w:cs="Times New Roman"/>
          <w:sz w:val="24"/>
          <w:szCs w:val="24"/>
        </w:rPr>
        <w:t xml:space="preserve"> reportable loan applications within its assessment area</w:t>
      </w:r>
      <w:r w:rsidR="00AF2064">
        <w:rPr>
          <w:rFonts w:ascii="Times New Roman" w:hAnsi="Times New Roman" w:cs="Times New Roman"/>
          <w:sz w:val="24"/>
          <w:szCs w:val="24"/>
        </w:rPr>
        <w:t xml:space="preserve">. </w:t>
      </w:r>
      <w:r w:rsidRPr="00E06473">
        <w:rPr>
          <w:rFonts w:ascii="Times New Roman" w:hAnsi="Times New Roman" w:cs="Times New Roman"/>
          <w:sz w:val="24"/>
          <w:szCs w:val="24"/>
        </w:rPr>
        <w:t xml:space="preserve">Of these applications, 3 or 4.1 </w:t>
      </w:r>
      <w:r w:rsidR="00323993" w:rsidRPr="00E06473">
        <w:rPr>
          <w:rFonts w:ascii="Times New Roman" w:hAnsi="Times New Roman" w:cs="Times New Roman"/>
          <w:sz w:val="24"/>
          <w:szCs w:val="24"/>
        </w:rPr>
        <w:t>percent</w:t>
      </w:r>
      <w:r w:rsidRPr="00E06473">
        <w:rPr>
          <w:rFonts w:ascii="Times New Roman" w:hAnsi="Times New Roman" w:cs="Times New Roman"/>
          <w:sz w:val="24"/>
          <w:szCs w:val="24"/>
        </w:rPr>
        <w:t xml:space="preserve"> </w:t>
      </w:r>
      <w:proofErr w:type="gramStart"/>
      <w:r w:rsidRPr="00E06473">
        <w:rPr>
          <w:rFonts w:ascii="Times New Roman" w:hAnsi="Times New Roman" w:cs="Times New Roman"/>
          <w:sz w:val="24"/>
          <w:szCs w:val="24"/>
        </w:rPr>
        <w:t>were received</w:t>
      </w:r>
      <w:proofErr w:type="gramEnd"/>
      <w:r w:rsidRPr="00E06473">
        <w:rPr>
          <w:rFonts w:ascii="Times New Roman" w:hAnsi="Times New Roman" w:cs="Times New Roman"/>
          <w:sz w:val="24"/>
          <w:szCs w:val="24"/>
        </w:rPr>
        <w:t xml:space="preserve"> from racial minority applicants, of which </w:t>
      </w:r>
      <w:r w:rsidR="00AF2064" w:rsidRPr="00E06473">
        <w:rPr>
          <w:rFonts w:ascii="Times New Roman" w:hAnsi="Times New Roman" w:cs="Times New Roman"/>
          <w:sz w:val="24"/>
          <w:szCs w:val="24"/>
        </w:rPr>
        <w:t>23</w:t>
      </w:r>
      <w:r w:rsidRPr="00E06473">
        <w:rPr>
          <w:rFonts w:ascii="Times New Roman" w:hAnsi="Times New Roman" w:cs="Times New Roman"/>
          <w:sz w:val="24"/>
          <w:szCs w:val="24"/>
        </w:rPr>
        <w:t xml:space="preserve"> or 100.0 percent resulted in originations</w:t>
      </w:r>
      <w:r w:rsidR="00AF2064">
        <w:rPr>
          <w:rFonts w:ascii="Times New Roman" w:hAnsi="Times New Roman" w:cs="Times New Roman"/>
          <w:sz w:val="24"/>
          <w:szCs w:val="24"/>
        </w:rPr>
        <w:t xml:space="preserve">. </w:t>
      </w:r>
      <w:r>
        <w:rPr>
          <w:rFonts w:ascii="Times New Roman" w:hAnsi="Times New Roman" w:cs="Times New Roman"/>
          <w:sz w:val="24"/>
          <w:szCs w:val="24"/>
        </w:rPr>
        <w:t xml:space="preserve">The aggregate received </w:t>
      </w:r>
      <w:r w:rsidRPr="00E06473">
        <w:rPr>
          <w:rFonts w:ascii="Times New Roman" w:hAnsi="Times New Roman" w:cs="Times New Roman"/>
          <w:sz w:val="24"/>
          <w:szCs w:val="24"/>
        </w:rPr>
        <w:t>18.4 percent</w:t>
      </w:r>
      <w:r>
        <w:rPr>
          <w:rFonts w:ascii="Times New Roman" w:hAnsi="Times New Roman" w:cs="Times New Roman"/>
          <w:sz w:val="24"/>
          <w:szCs w:val="24"/>
        </w:rPr>
        <w:t xml:space="preserve"> of applications</w:t>
      </w:r>
      <w:r w:rsidRPr="00E06473">
        <w:rPr>
          <w:rFonts w:ascii="Times New Roman" w:hAnsi="Times New Roman" w:cs="Times New Roman"/>
          <w:sz w:val="24"/>
          <w:szCs w:val="24"/>
        </w:rPr>
        <w:t xml:space="preserve"> from </w:t>
      </w:r>
      <w:r>
        <w:rPr>
          <w:rFonts w:ascii="Times New Roman" w:hAnsi="Times New Roman" w:cs="Times New Roman"/>
          <w:sz w:val="24"/>
          <w:szCs w:val="24"/>
        </w:rPr>
        <w:t xml:space="preserve">racial </w:t>
      </w:r>
      <w:r w:rsidRPr="00E06473">
        <w:rPr>
          <w:rFonts w:ascii="Times New Roman" w:hAnsi="Times New Roman" w:cs="Times New Roman"/>
          <w:sz w:val="24"/>
          <w:szCs w:val="24"/>
        </w:rPr>
        <w:t>minority</w:t>
      </w:r>
      <w:r>
        <w:rPr>
          <w:rFonts w:ascii="Times New Roman" w:hAnsi="Times New Roman" w:cs="Times New Roman"/>
          <w:sz w:val="24"/>
          <w:szCs w:val="24"/>
        </w:rPr>
        <w:t xml:space="preserve"> applicants and originated</w:t>
      </w:r>
      <w:r w:rsidRPr="00E06473">
        <w:rPr>
          <w:rFonts w:ascii="Times New Roman" w:hAnsi="Times New Roman" w:cs="Times New Roman"/>
          <w:sz w:val="24"/>
          <w:szCs w:val="24"/>
        </w:rPr>
        <w:t xml:space="preserve"> 76.4 percent</w:t>
      </w:r>
      <w:r w:rsidR="00AF2064">
        <w:rPr>
          <w:rFonts w:ascii="Times New Roman" w:hAnsi="Times New Roman" w:cs="Times New Roman"/>
          <w:sz w:val="24"/>
          <w:szCs w:val="24"/>
        </w:rPr>
        <w:t xml:space="preserve">. </w:t>
      </w:r>
      <w:r>
        <w:rPr>
          <w:rFonts w:ascii="Times New Roman" w:hAnsi="Times New Roman" w:cs="Times New Roman"/>
          <w:sz w:val="24"/>
          <w:szCs w:val="24"/>
        </w:rPr>
        <w:t>The bank received no 2016 applications from ethnic minority applicants</w:t>
      </w:r>
      <w:r w:rsidRPr="00E06473">
        <w:rPr>
          <w:rFonts w:ascii="Times New Roman" w:hAnsi="Times New Roman" w:cs="Times New Roman"/>
          <w:sz w:val="24"/>
          <w:szCs w:val="24"/>
        </w:rPr>
        <w:t xml:space="preserve"> within its assessment area percent versus the aggregate </w:t>
      </w:r>
      <w:r>
        <w:rPr>
          <w:rFonts w:ascii="Times New Roman" w:hAnsi="Times New Roman" w:cs="Times New Roman"/>
          <w:sz w:val="24"/>
          <w:szCs w:val="24"/>
        </w:rPr>
        <w:t>ethnic minority application flow of 2.9 percent</w:t>
      </w:r>
      <w:r w:rsidRPr="00E06473">
        <w:rPr>
          <w:rFonts w:ascii="Times New Roman" w:hAnsi="Times New Roman" w:cs="Times New Roman"/>
          <w:sz w:val="24"/>
          <w:szCs w:val="24"/>
        </w:rPr>
        <w:t>.</w:t>
      </w:r>
    </w:p>
    <w:p w:rsidR="001B4658" w:rsidRPr="00E06473" w:rsidRDefault="001B4658" w:rsidP="00AF2064">
      <w:pPr>
        <w:spacing w:line="240" w:lineRule="auto"/>
        <w:jc w:val="both"/>
        <w:rPr>
          <w:rFonts w:ascii="Times New Roman" w:hAnsi="Times New Roman" w:cs="Times New Roman"/>
          <w:color w:val="FF0000"/>
          <w:sz w:val="24"/>
          <w:szCs w:val="24"/>
        </w:rPr>
      </w:pPr>
      <w:r w:rsidRPr="00E06473">
        <w:rPr>
          <w:rFonts w:ascii="Times New Roman" w:hAnsi="Times New Roman" w:cs="Times New Roman"/>
          <w:sz w:val="24"/>
          <w:szCs w:val="24"/>
        </w:rPr>
        <w:lastRenderedPageBreak/>
        <w:t xml:space="preserve">In 2017, </w:t>
      </w:r>
      <w:r>
        <w:rPr>
          <w:rFonts w:ascii="Times New Roman" w:hAnsi="Times New Roman" w:cs="Times New Roman"/>
          <w:sz w:val="24"/>
          <w:szCs w:val="24"/>
        </w:rPr>
        <w:t>the bank</w:t>
      </w:r>
      <w:r w:rsidRPr="00E06473">
        <w:rPr>
          <w:rFonts w:ascii="Times New Roman" w:hAnsi="Times New Roman" w:cs="Times New Roman"/>
          <w:sz w:val="24"/>
          <w:szCs w:val="24"/>
        </w:rPr>
        <w:t xml:space="preserve"> received 112 </w:t>
      </w:r>
      <w:proofErr w:type="spellStart"/>
      <w:r w:rsidRPr="00E06473">
        <w:rPr>
          <w:rFonts w:ascii="Times New Roman" w:hAnsi="Times New Roman" w:cs="Times New Roman"/>
          <w:sz w:val="24"/>
          <w:szCs w:val="24"/>
        </w:rPr>
        <w:t>HMDA</w:t>
      </w:r>
      <w:proofErr w:type="spellEnd"/>
      <w:r w:rsidRPr="00E06473">
        <w:rPr>
          <w:rFonts w:ascii="Times New Roman" w:hAnsi="Times New Roman" w:cs="Times New Roman"/>
          <w:sz w:val="24"/>
          <w:szCs w:val="24"/>
        </w:rPr>
        <w:t xml:space="preserve"> reportable loan applications within its assessment area</w:t>
      </w:r>
      <w:r w:rsidR="00AF2064">
        <w:rPr>
          <w:rFonts w:ascii="Times New Roman" w:hAnsi="Times New Roman" w:cs="Times New Roman"/>
          <w:sz w:val="24"/>
          <w:szCs w:val="24"/>
        </w:rPr>
        <w:t xml:space="preserve">. </w:t>
      </w:r>
      <w:r>
        <w:rPr>
          <w:rFonts w:ascii="Times New Roman" w:hAnsi="Times New Roman" w:cs="Times New Roman"/>
          <w:sz w:val="24"/>
          <w:szCs w:val="24"/>
        </w:rPr>
        <w:t>Of these applications, 6, or 5.3</w:t>
      </w:r>
      <w:r w:rsidRPr="00E06473">
        <w:rPr>
          <w:rFonts w:ascii="Times New Roman" w:hAnsi="Times New Roman" w:cs="Times New Roman"/>
          <w:sz w:val="24"/>
          <w:szCs w:val="24"/>
        </w:rPr>
        <w:t xml:space="preserve"> percent, </w:t>
      </w:r>
      <w:proofErr w:type="gramStart"/>
      <w:r w:rsidRPr="00E06473">
        <w:rPr>
          <w:rFonts w:ascii="Times New Roman" w:hAnsi="Times New Roman" w:cs="Times New Roman"/>
          <w:sz w:val="24"/>
          <w:szCs w:val="24"/>
        </w:rPr>
        <w:t>were received</w:t>
      </w:r>
      <w:proofErr w:type="gramEnd"/>
      <w:r w:rsidRPr="00E06473">
        <w:rPr>
          <w:rFonts w:ascii="Times New Roman" w:hAnsi="Times New Roman" w:cs="Times New Roman"/>
          <w:sz w:val="24"/>
          <w:szCs w:val="24"/>
        </w:rPr>
        <w:t xml:space="preserve"> from racial minority applicants, of which </w:t>
      </w:r>
      <w:r w:rsidR="00AF2064" w:rsidRPr="00E06473">
        <w:rPr>
          <w:rFonts w:ascii="Times New Roman" w:hAnsi="Times New Roman" w:cs="Times New Roman"/>
          <w:sz w:val="24"/>
          <w:szCs w:val="24"/>
        </w:rPr>
        <w:t>4</w:t>
      </w:r>
      <w:r w:rsidRPr="00E06473">
        <w:rPr>
          <w:rFonts w:ascii="Times New Roman" w:hAnsi="Times New Roman" w:cs="Times New Roman"/>
          <w:sz w:val="24"/>
          <w:szCs w:val="24"/>
        </w:rPr>
        <w:t xml:space="preserve"> or 66.7 percent resulted in originations</w:t>
      </w:r>
      <w:r w:rsidR="00AF2064">
        <w:rPr>
          <w:rFonts w:ascii="Times New Roman" w:hAnsi="Times New Roman" w:cs="Times New Roman"/>
          <w:sz w:val="24"/>
          <w:szCs w:val="24"/>
        </w:rPr>
        <w:t xml:space="preserve">. </w:t>
      </w:r>
      <w:r w:rsidRPr="00E06473">
        <w:rPr>
          <w:rFonts w:ascii="Times New Roman" w:hAnsi="Times New Roman" w:cs="Times New Roman"/>
          <w:sz w:val="24"/>
          <w:szCs w:val="24"/>
        </w:rPr>
        <w:t xml:space="preserve">The aggregate received 19.8 percent </w:t>
      </w:r>
      <w:r>
        <w:rPr>
          <w:rFonts w:ascii="Times New Roman" w:hAnsi="Times New Roman" w:cs="Times New Roman"/>
          <w:sz w:val="24"/>
          <w:szCs w:val="24"/>
        </w:rPr>
        <w:t xml:space="preserve">of its applications from racial </w:t>
      </w:r>
      <w:r w:rsidRPr="00E06473">
        <w:rPr>
          <w:rFonts w:ascii="Times New Roman" w:hAnsi="Times New Roman" w:cs="Times New Roman"/>
          <w:sz w:val="24"/>
          <w:szCs w:val="24"/>
        </w:rPr>
        <w:t>minority app</w:t>
      </w:r>
      <w:r>
        <w:rPr>
          <w:rFonts w:ascii="Times New Roman" w:hAnsi="Times New Roman" w:cs="Times New Roman"/>
          <w:sz w:val="24"/>
          <w:szCs w:val="24"/>
        </w:rPr>
        <w:t>licants and originated</w:t>
      </w:r>
      <w:r w:rsidRPr="00E06473">
        <w:rPr>
          <w:rFonts w:ascii="Times New Roman" w:hAnsi="Times New Roman" w:cs="Times New Roman"/>
          <w:sz w:val="24"/>
          <w:szCs w:val="24"/>
        </w:rPr>
        <w:t xml:space="preserve"> 76.3 percent</w:t>
      </w:r>
      <w:r w:rsidR="00AF2064">
        <w:rPr>
          <w:rFonts w:ascii="Times New Roman" w:hAnsi="Times New Roman" w:cs="Times New Roman"/>
          <w:sz w:val="24"/>
          <w:szCs w:val="24"/>
        </w:rPr>
        <w:t xml:space="preserve">. </w:t>
      </w:r>
      <w:r w:rsidRPr="00E06473">
        <w:rPr>
          <w:rFonts w:ascii="Times New Roman" w:hAnsi="Times New Roman" w:cs="Times New Roman"/>
          <w:sz w:val="24"/>
          <w:szCs w:val="24"/>
        </w:rPr>
        <w:t xml:space="preserve">For the same year, </w:t>
      </w:r>
      <w:r>
        <w:rPr>
          <w:rFonts w:ascii="Times New Roman" w:hAnsi="Times New Roman" w:cs="Times New Roman"/>
          <w:sz w:val="24"/>
          <w:szCs w:val="24"/>
        </w:rPr>
        <w:t>the bank</w:t>
      </w:r>
      <w:r w:rsidRPr="00E06473">
        <w:rPr>
          <w:rFonts w:ascii="Times New Roman" w:hAnsi="Times New Roman" w:cs="Times New Roman"/>
          <w:sz w:val="24"/>
          <w:szCs w:val="24"/>
        </w:rPr>
        <w:t xml:space="preserve"> also received 4 or 3.6 perce</w:t>
      </w:r>
      <w:r>
        <w:rPr>
          <w:rFonts w:ascii="Times New Roman" w:hAnsi="Times New Roman" w:cs="Times New Roman"/>
          <w:sz w:val="24"/>
          <w:szCs w:val="24"/>
        </w:rPr>
        <w:t xml:space="preserve">nt of applications from ethnic minority consumers </w:t>
      </w:r>
      <w:r w:rsidRPr="00E06473">
        <w:rPr>
          <w:rFonts w:ascii="Times New Roman" w:hAnsi="Times New Roman" w:cs="Times New Roman"/>
          <w:sz w:val="24"/>
          <w:szCs w:val="24"/>
        </w:rPr>
        <w:t>within its assessment area</w:t>
      </w:r>
      <w:r>
        <w:rPr>
          <w:rFonts w:ascii="Times New Roman" w:hAnsi="Times New Roman" w:cs="Times New Roman"/>
          <w:sz w:val="24"/>
          <w:szCs w:val="24"/>
        </w:rPr>
        <w:t xml:space="preserve">, all of which </w:t>
      </w:r>
      <w:proofErr w:type="gramStart"/>
      <w:r>
        <w:rPr>
          <w:rFonts w:ascii="Times New Roman" w:hAnsi="Times New Roman" w:cs="Times New Roman"/>
          <w:sz w:val="24"/>
          <w:szCs w:val="24"/>
        </w:rPr>
        <w:t>were originated</w:t>
      </w:r>
      <w:proofErr w:type="gramEnd"/>
      <w:r w:rsidR="00AF2064">
        <w:rPr>
          <w:rFonts w:ascii="Times New Roman" w:hAnsi="Times New Roman" w:cs="Times New Roman"/>
          <w:sz w:val="24"/>
          <w:szCs w:val="24"/>
        </w:rPr>
        <w:t xml:space="preserve">. </w:t>
      </w:r>
      <w:r>
        <w:rPr>
          <w:rFonts w:ascii="Times New Roman" w:hAnsi="Times New Roman" w:cs="Times New Roman"/>
          <w:sz w:val="24"/>
          <w:szCs w:val="24"/>
        </w:rPr>
        <w:t xml:space="preserve">This compares favorably to </w:t>
      </w:r>
      <w:r w:rsidRPr="00E06473">
        <w:rPr>
          <w:rFonts w:ascii="Times New Roman" w:hAnsi="Times New Roman" w:cs="Times New Roman"/>
          <w:sz w:val="24"/>
          <w:szCs w:val="24"/>
        </w:rPr>
        <w:t>the aggregate</w:t>
      </w:r>
      <w:r>
        <w:rPr>
          <w:rFonts w:ascii="Times New Roman" w:hAnsi="Times New Roman" w:cs="Times New Roman"/>
          <w:sz w:val="24"/>
          <w:szCs w:val="24"/>
        </w:rPr>
        <w:t xml:space="preserve"> ethnic minority application flow of 3.6 percent and an origination rate of 64.4 percent</w:t>
      </w:r>
      <w:r w:rsidRPr="00E06473">
        <w:rPr>
          <w:rFonts w:ascii="Times New Roman" w:hAnsi="Times New Roman" w:cs="Times New Roman"/>
          <w:sz w:val="24"/>
          <w:szCs w:val="24"/>
        </w:rPr>
        <w:t>.</w:t>
      </w:r>
    </w:p>
    <w:p w:rsidR="001B4658" w:rsidRPr="00E06473" w:rsidRDefault="001B4658" w:rsidP="00AF2064">
      <w:pPr>
        <w:spacing w:line="240" w:lineRule="auto"/>
        <w:jc w:val="both"/>
        <w:rPr>
          <w:rFonts w:ascii="Times New Roman" w:hAnsi="Times New Roman" w:cs="Times New Roman"/>
          <w:sz w:val="24"/>
          <w:szCs w:val="24"/>
        </w:rPr>
      </w:pPr>
      <w:r w:rsidRPr="00E06473">
        <w:rPr>
          <w:rFonts w:ascii="Times New Roman" w:hAnsi="Times New Roman" w:cs="Times New Roman"/>
          <w:sz w:val="24"/>
          <w:szCs w:val="24"/>
        </w:rPr>
        <w:t xml:space="preserve">Application flow for racial </w:t>
      </w:r>
      <w:r>
        <w:rPr>
          <w:rFonts w:ascii="Times New Roman" w:hAnsi="Times New Roman" w:cs="Times New Roman"/>
          <w:sz w:val="24"/>
          <w:szCs w:val="24"/>
        </w:rPr>
        <w:t xml:space="preserve">and ethnic </w:t>
      </w:r>
      <w:r w:rsidRPr="00E06473">
        <w:rPr>
          <w:rFonts w:ascii="Times New Roman" w:hAnsi="Times New Roman" w:cs="Times New Roman"/>
          <w:sz w:val="24"/>
          <w:szCs w:val="24"/>
        </w:rPr>
        <w:t xml:space="preserve">minorities in 2016 and 2017 </w:t>
      </w:r>
      <w:r>
        <w:rPr>
          <w:rFonts w:ascii="Times New Roman" w:hAnsi="Times New Roman" w:cs="Times New Roman"/>
          <w:sz w:val="24"/>
          <w:szCs w:val="24"/>
        </w:rPr>
        <w:t>trended below</w:t>
      </w:r>
      <w:r w:rsidRPr="00E06473">
        <w:rPr>
          <w:rFonts w:ascii="Times New Roman" w:hAnsi="Times New Roman" w:cs="Times New Roman"/>
          <w:sz w:val="24"/>
          <w:szCs w:val="24"/>
        </w:rPr>
        <w:t xml:space="preserve"> aggregate data</w:t>
      </w:r>
      <w:r>
        <w:rPr>
          <w:rFonts w:ascii="Times New Roman" w:hAnsi="Times New Roman" w:cs="Times New Roman"/>
          <w:sz w:val="24"/>
          <w:szCs w:val="24"/>
        </w:rPr>
        <w:t xml:space="preserve">, </w:t>
      </w:r>
      <w:r w:rsidRPr="00095222">
        <w:rPr>
          <w:rFonts w:ascii="Times New Roman" w:hAnsi="Times New Roman" w:cs="Times New Roman"/>
          <w:sz w:val="24"/>
          <w:szCs w:val="24"/>
        </w:rPr>
        <w:t xml:space="preserve">specifically in </w:t>
      </w:r>
      <w:r>
        <w:rPr>
          <w:rFonts w:ascii="Times New Roman" w:hAnsi="Times New Roman" w:cs="Times New Roman"/>
          <w:sz w:val="24"/>
          <w:szCs w:val="24"/>
        </w:rPr>
        <w:t>A</w:t>
      </w:r>
      <w:r w:rsidRPr="00095222">
        <w:rPr>
          <w:rFonts w:ascii="Times New Roman" w:hAnsi="Times New Roman" w:cs="Times New Roman"/>
          <w:sz w:val="24"/>
          <w:szCs w:val="24"/>
        </w:rPr>
        <w:t>sian applicants</w:t>
      </w:r>
      <w:r w:rsidR="00AF2064" w:rsidRPr="00095222">
        <w:rPr>
          <w:rFonts w:ascii="Times New Roman" w:hAnsi="Times New Roman" w:cs="Times New Roman"/>
          <w:sz w:val="24"/>
          <w:szCs w:val="24"/>
        </w:rPr>
        <w:t xml:space="preserve">. </w:t>
      </w:r>
      <w:r>
        <w:rPr>
          <w:rFonts w:ascii="Times New Roman" w:hAnsi="Times New Roman" w:cs="Times New Roman"/>
          <w:sz w:val="24"/>
          <w:szCs w:val="24"/>
        </w:rPr>
        <w:t>The bank exhibited signs of improvement among ethnic minority applicants in 2017</w:t>
      </w:r>
      <w:r w:rsidR="00AF2064">
        <w:rPr>
          <w:rFonts w:ascii="Times New Roman" w:hAnsi="Times New Roman" w:cs="Times New Roman"/>
          <w:sz w:val="24"/>
          <w:szCs w:val="24"/>
        </w:rPr>
        <w:t xml:space="preserve">. </w:t>
      </w:r>
      <w:r>
        <w:rPr>
          <w:rFonts w:ascii="Times New Roman" w:hAnsi="Times New Roman" w:cs="Times New Roman"/>
          <w:sz w:val="24"/>
          <w:szCs w:val="24"/>
        </w:rPr>
        <w:t>T</w:t>
      </w:r>
      <w:r w:rsidRPr="00095222">
        <w:rPr>
          <w:rFonts w:ascii="Times New Roman" w:hAnsi="Times New Roman" w:cs="Times New Roman"/>
          <w:sz w:val="24"/>
          <w:szCs w:val="24"/>
        </w:rPr>
        <w:t>he bank</w:t>
      </w:r>
      <w:r>
        <w:rPr>
          <w:rFonts w:ascii="Times New Roman" w:hAnsi="Times New Roman" w:cs="Times New Roman"/>
          <w:sz w:val="24"/>
          <w:szCs w:val="24"/>
        </w:rPr>
        <w:t xml:space="preserve"> has exhibited a commitment to monitoring its lending trends </w:t>
      </w:r>
      <w:proofErr w:type="gramStart"/>
      <w:r>
        <w:rPr>
          <w:rFonts w:ascii="Times New Roman" w:hAnsi="Times New Roman" w:cs="Times New Roman"/>
          <w:sz w:val="24"/>
          <w:szCs w:val="24"/>
        </w:rPr>
        <w:t>to better ensure</w:t>
      </w:r>
      <w:proofErr w:type="gramEnd"/>
      <w:r w:rsidRPr="00095222">
        <w:rPr>
          <w:rFonts w:ascii="Times New Roman" w:hAnsi="Times New Roman" w:cs="Times New Roman"/>
          <w:sz w:val="24"/>
          <w:szCs w:val="24"/>
        </w:rPr>
        <w:t xml:space="preserve"> that individuals of all backgrounds f</w:t>
      </w:r>
      <w:r>
        <w:rPr>
          <w:rFonts w:ascii="Times New Roman" w:hAnsi="Times New Roman" w:cs="Times New Roman"/>
          <w:sz w:val="24"/>
          <w:szCs w:val="24"/>
        </w:rPr>
        <w:t>eel welcome to apply for credit</w:t>
      </w:r>
      <w:r w:rsidR="00AF2064">
        <w:rPr>
          <w:rFonts w:ascii="Times New Roman" w:hAnsi="Times New Roman" w:cs="Times New Roman"/>
          <w:sz w:val="24"/>
          <w:szCs w:val="24"/>
        </w:rPr>
        <w:t xml:space="preserve">. </w:t>
      </w:r>
      <w:r>
        <w:rPr>
          <w:rFonts w:ascii="Times New Roman" w:hAnsi="Times New Roman" w:cs="Times New Roman"/>
          <w:sz w:val="24"/>
          <w:szCs w:val="24"/>
        </w:rPr>
        <w:t xml:space="preserve">It </w:t>
      </w:r>
      <w:proofErr w:type="gramStart"/>
      <w:r>
        <w:rPr>
          <w:rFonts w:ascii="Times New Roman" w:hAnsi="Times New Roman" w:cs="Times New Roman"/>
          <w:sz w:val="24"/>
          <w:szCs w:val="24"/>
        </w:rPr>
        <w:t>was noted</w:t>
      </w:r>
      <w:proofErr w:type="gramEnd"/>
      <w:r>
        <w:rPr>
          <w:rFonts w:ascii="Times New Roman" w:hAnsi="Times New Roman" w:cs="Times New Roman"/>
          <w:sz w:val="24"/>
          <w:szCs w:val="24"/>
        </w:rPr>
        <w:t xml:space="preserve"> that the community organizations contacted expressed similar difficulty reaching out to the Asian demographic in the area</w:t>
      </w:r>
      <w:r w:rsidR="00AF2064">
        <w:rPr>
          <w:rFonts w:ascii="Times New Roman" w:hAnsi="Times New Roman" w:cs="Times New Roman"/>
          <w:sz w:val="24"/>
          <w:szCs w:val="24"/>
        </w:rPr>
        <w:t xml:space="preserve">. </w:t>
      </w:r>
      <w:r>
        <w:rPr>
          <w:rFonts w:ascii="Times New Roman" w:hAnsi="Times New Roman" w:cs="Times New Roman"/>
          <w:sz w:val="24"/>
          <w:szCs w:val="24"/>
        </w:rPr>
        <w:t>Additionally, e</w:t>
      </w:r>
      <w:r w:rsidRPr="00E06473">
        <w:rPr>
          <w:rFonts w:ascii="Times New Roman" w:hAnsi="Times New Roman" w:cs="Times New Roman"/>
          <w:sz w:val="24"/>
          <w:szCs w:val="24"/>
        </w:rPr>
        <w:t>xaminers considered the concentration of</w:t>
      </w:r>
      <w:r>
        <w:rPr>
          <w:rFonts w:ascii="Times New Roman" w:hAnsi="Times New Roman" w:cs="Times New Roman"/>
          <w:sz w:val="24"/>
          <w:szCs w:val="24"/>
        </w:rPr>
        <w:t xml:space="preserve"> Asian market share </w:t>
      </w:r>
      <w:r w:rsidRPr="00E06473">
        <w:rPr>
          <w:rFonts w:ascii="Times New Roman" w:hAnsi="Times New Roman" w:cs="Times New Roman"/>
          <w:sz w:val="24"/>
          <w:szCs w:val="24"/>
        </w:rPr>
        <w:t>among large national banks and mortgage companies</w:t>
      </w:r>
      <w:r w:rsidR="00AF2064">
        <w:rPr>
          <w:rFonts w:ascii="Times New Roman" w:hAnsi="Times New Roman" w:cs="Times New Roman"/>
          <w:sz w:val="24"/>
          <w:szCs w:val="24"/>
        </w:rPr>
        <w:t xml:space="preserve">. </w:t>
      </w:r>
      <w:r>
        <w:rPr>
          <w:rFonts w:ascii="Times New Roman" w:hAnsi="Times New Roman" w:cs="Times New Roman"/>
          <w:sz w:val="24"/>
          <w:szCs w:val="24"/>
        </w:rPr>
        <w:t>Due to the bank’s</w:t>
      </w:r>
      <w:r w:rsidRPr="00095222">
        <w:rPr>
          <w:rFonts w:ascii="Times New Roman" w:hAnsi="Times New Roman" w:cs="Times New Roman"/>
          <w:sz w:val="24"/>
          <w:szCs w:val="24"/>
        </w:rPr>
        <w:t xml:space="preserve"> </w:t>
      </w:r>
      <w:r>
        <w:rPr>
          <w:rFonts w:ascii="Times New Roman" w:hAnsi="Times New Roman" w:cs="Times New Roman"/>
          <w:sz w:val="24"/>
          <w:szCs w:val="24"/>
        </w:rPr>
        <w:t>current fair lending controls</w:t>
      </w:r>
      <w:r w:rsidRPr="00095222">
        <w:rPr>
          <w:rFonts w:ascii="Times New Roman" w:hAnsi="Times New Roman" w:cs="Times New Roman"/>
          <w:sz w:val="24"/>
          <w:szCs w:val="24"/>
        </w:rPr>
        <w:t>,</w:t>
      </w:r>
      <w:r>
        <w:rPr>
          <w:rFonts w:ascii="Times New Roman" w:hAnsi="Times New Roman" w:cs="Times New Roman"/>
          <w:sz w:val="24"/>
          <w:szCs w:val="24"/>
        </w:rPr>
        <w:t xml:space="preserve"> and the competitive market for racial minority applicants, </w:t>
      </w:r>
      <w:r w:rsidRPr="00095222">
        <w:rPr>
          <w:rFonts w:ascii="Times New Roman" w:hAnsi="Times New Roman" w:cs="Times New Roman"/>
          <w:sz w:val="24"/>
          <w:szCs w:val="24"/>
        </w:rPr>
        <w:t>the bank’s minority application flow is adequate.</w:t>
      </w:r>
      <w:r>
        <w:rPr>
          <w:rFonts w:ascii="Times New Roman" w:hAnsi="Times New Roman" w:cs="Times New Roman"/>
          <w:sz w:val="24"/>
          <w:szCs w:val="24"/>
        </w:rPr>
        <w:t xml:space="preserve">  </w:t>
      </w:r>
    </w:p>
    <w:p w:rsidR="00484F7F" w:rsidRDefault="00484F7F" w:rsidP="00AF2064">
      <w:pPr>
        <w:spacing w:after="0" w:line="240" w:lineRule="auto"/>
        <w:jc w:val="both"/>
        <w:rPr>
          <w:rFonts w:ascii="Times New Roman" w:eastAsia="Times New Roman" w:hAnsi="Times New Roman" w:cs="Times New Roman"/>
          <w:b/>
          <w:sz w:val="24"/>
          <w:szCs w:val="24"/>
          <w:u w:val="single"/>
        </w:rPr>
      </w:pPr>
    </w:p>
    <w:p w:rsidR="00ED09B1" w:rsidRPr="00ED09B1" w:rsidRDefault="00ED09B1" w:rsidP="00AF2064">
      <w:pPr>
        <w:spacing w:after="0" w:line="240" w:lineRule="auto"/>
        <w:jc w:val="both"/>
        <w:rPr>
          <w:rFonts w:ascii="Times New Roman" w:eastAsia="Times New Roman" w:hAnsi="Times New Roman" w:cs="Times New Roman"/>
          <w:sz w:val="24"/>
          <w:szCs w:val="24"/>
        </w:rPr>
      </w:pPr>
      <w:r w:rsidRPr="00ED09B1">
        <w:rPr>
          <w:rFonts w:ascii="Times New Roman" w:eastAsia="Times New Roman" w:hAnsi="Times New Roman" w:cs="Times New Roman"/>
          <w:b/>
          <w:sz w:val="24"/>
          <w:szCs w:val="24"/>
          <w:u w:val="single"/>
        </w:rPr>
        <w:t>COMMUNITY DEVELOPMENT TEST</w:t>
      </w:r>
    </w:p>
    <w:p w:rsidR="00ED09B1" w:rsidRPr="00ED09B1" w:rsidRDefault="00ED09B1" w:rsidP="00AF2064">
      <w:pPr>
        <w:spacing w:after="0" w:line="240" w:lineRule="auto"/>
        <w:jc w:val="both"/>
        <w:rPr>
          <w:rFonts w:ascii="Times New Roman" w:eastAsia="Times New Roman" w:hAnsi="Times New Roman" w:cs="Times New Roman"/>
          <w:sz w:val="24"/>
          <w:szCs w:val="24"/>
        </w:rPr>
      </w:pPr>
    </w:p>
    <w:p w:rsidR="00ED09B1" w:rsidRDefault="00ED09B1" w:rsidP="00AF206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Watertown Savings Bank</w:t>
      </w:r>
      <w:r w:rsidRPr="00ED09B1">
        <w:rPr>
          <w:rFonts w:ascii="Times New Roman" w:eastAsia="Times New Roman" w:hAnsi="Times New Roman" w:cs="Times New Roman"/>
          <w:sz w:val="24"/>
          <w:szCs w:val="24"/>
        </w:rPr>
        <w:t xml:space="preserve"> demonstrated good responsiveness to the assessment area’s community development needs through community development </w:t>
      </w:r>
      <w:r>
        <w:rPr>
          <w:rFonts w:ascii="Times New Roman" w:eastAsia="Times New Roman" w:hAnsi="Times New Roman" w:cs="Times New Roman"/>
          <w:sz w:val="24"/>
          <w:szCs w:val="24"/>
        </w:rPr>
        <w:t xml:space="preserve">investments and </w:t>
      </w:r>
      <w:r w:rsidRPr="00ED09B1">
        <w:rPr>
          <w:rFonts w:ascii="Times New Roman" w:eastAsia="Times New Roman" w:hAnsi="Times New Roman" w:cs="Times New Roman"/>
          <w:sz w:val="24"/>
          <w:szCs w:val="24"/>
        </w:rPr>
        <w:t>services</w:t>
      </w:r>
      <w:r w:rsidR="00AF2064">
        <w:rPr>
          <w:rFonts w:ascii="Times New Roman" w:eastAsia="Times New Roman" w:hAnsi="Times New Roman" w:cs="Times New Roman"/>
          <w:sz w:val="24"/>
          <w:szCs w:val="24"/>
        </w:rPr>
        <w:t xml:space="preserve">. </w:t>
      </w:r>
      <w:r w:rsidRPr="00ED09B1">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bank </w:t>
      </w:r>
      <w:proofErr w:type="gramStart"/>
      <w:r w:rsidRPr="00ED09B1">
        <w:rPr>
          <w:rFonts w:ascii="Times New Roman" w:eastAsia="Times New Roman" w:hAnsi="Times New Roman" w:cs="Times New Roman"/>
          <w:sz w:val="24"/>
          <w:szCs w:val="24"/>
        </w:rPr>
        <w:t>was</w:t>
      </w:r>
      <w:r>
        <w:rPr>
          <w:rFonts w:ascii="Times New Roman" w:eastAsia="Times New Roman" w:hAnsi="Times New Roman" w:cs="Times New Roman"/>
          <w:sz w:val="24"/>
          <w:szCs w:val="24"/>
        </w:rPr>
        <w:t xml:space="preserve"> recognized</w:t>
      </w:r>
      <w:proofErr w:type="gramEnd"/>
      <w:r>
        <w:rPr>
          <w:rFonts w:ascii="Times New Roman" w:eastAsia="Times New Roman" w:hAnsi="Times New Roman" w:cs="Times New Roman"/>
          <w:sz w:val="24"/>
          <w:szCs w:val="24"/>
        </w:rPr>
        <w:t xml:space="preserve"> by community contacts as responsive in</w:t>
      </w:r>
      <w:r w:rsidRPr="00ED09B1">
        <w:rPr>
          <w:rFonts w:ascii="Times New Roman" w:eastAsia="Times New Roman" w:hAnsi="Times New Roman" w:cs="Times New Roman"/>
          <w:sz w:val="24"/>
          <w:szCs w:val="24"/>
        </w:rPr>
        <w:t xml:space="preserve"> meeting the needs of its co</w:t>
      </w:r>
      <w:r>
        <w:rPr>
          <w:rFonts w:ascii="Times New Roman" w:eastAsia="Times New Roman" w:hAnsi="Times New Roman" w:cs="Times New Roman"/>
          <w:sz w:val="24"/>
          <w:szCs w:val="24"/>
        </w:rPr>
        <w:t>mmunity, exemplified by</w:t>
      </w:r>
      <w:r w:rsidRPr="00ED09B1">
        <w:rPr>
          <w:rFonts w:ascii="Times New Roman" w:eastAsia="Times New Roman" w:hAnsi="Times New Roman" w:cs="Times New Roman"/>
          <w:sz w:val="24"/>
          <w:szCs w:val="24"/>
        </w:rPr>
        <w:t xml:space="preserve"> services initiated during the evaluation period</w:t>
      </w:r>
      <w:r>
        <w:rPr>
          <w:rFonts w:ascii="Times New Roman" w:eastAsia="Times New Roman" w:hAnsi="Times New Roman" w:cs="Times New Roman"/>
          <w:sz w:val="24"/>
          <w:szCs w:val="24"/>
        </w:rPr>
        <w:t xml:space="preserve"> and investments that still have a strong impact today</w:t>
      </w:r>
      <w:r w:rsidR="00AF2064">
        <w:rPr>
          <w:rFonts w:ascii="Times New Roman" w:eastAsia="Times New Roman" w:hAnsi="Times New Roman" w:cs="Times New Roman"/>
          <w:sz w:val="24"/>
          <w:szCs w:val="24"/>
        </w:rPr>
        <w:t xml:space="preserve">. </w:t>
      </w:r>
      <w:r w:rsidRPr="00ED09B1">
        <w:rPr>
          <w:rFonts w:ascii="Times New Roman" w:eastAsia="Times New Roman" w:hAnsi="Times New Roman" w:cs="Times New Roman"/>
          <w:sz w:val="24"/>
          <w:szCs w:val="24"/>
        </w:rPr>
        <w:t>Examiners also considered the institution’s capacity and the need and availability of such opportunities</w:t>
      </w:r>
    </w:p>
    <w:p w:rsidR="00ED09B1" w:rsidRPr="00ED09B1" w:rsidRDefault="00ED09B1" w:rsidP="00AF2064">
      <w:pPr>
        <w:widowControl w:val="0"/>
        <w:spacing w:after="0" w:line="240" w:lineRule="auto"/>
        <w:jc w:val="both"/>
        <w:rPr>
          <w:rFonts w:ascii="Times New Roman" w:eastAsia="Times New Roman" w:hAnsi="Times New Roman" w:cs="Times New Roman"/>
          <w:b/>
          <w:bCs/>
          <w:sz w:val="24"/>
          <w:szCs w:val="24"/>
          <w:u w:val="single"/>
        </w:rPr>
      </w:pPr>
      <w:r w:rsidRPr="00ED09B1">
        <w:rPr>
          <w:rFonts w:ascii="Times New Roman" w:eastAsia="Times New Roman" w:hAnsi="Times New Roman" w:cs="Times New Roman"/>
          <w:b/>
          <w:bCs/>
          <w:sz w:val="24"/>
          <w:szCs w:val="24"/>
          <w:u w:val="single"/>
        </w:rPr>
        <w:t>Qualified Investments</w:t>
      </w:r>
    </w:p>
    <w:p w:rsidR="00ED09B1" w:rsidRPr="00ED09B1" w:rsidRDefault="00ED09B1" w:rsidP="00AF2064">
      <w:pPr>
        <w:widowControl w:val="0"/>
        <w:spacing w:after="0" w:line="240" w:lineRule="auto"/>
        <w:jc w:val="both"/>
        <w:rPr>
          <w:rFonts w:ascii="Times New Roman" w:eastAsia="Times New Roman" w:hAnsi="Times New Roman" w:cs="Times New Roman"/>
          <w:sz w:val="24"/>
          <w:szCs w:val="24"/>
        </w:rPr>
      </w:pPr>
    </w:p>
    <w:p w:rsidR="00393D0A" w:rsidRDefault="00ED09B1" w:rsidP="00AF2064">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Watertown Savings Bank made 190</w:t>
      </w:r>
      <w:r w:rsidRPr="00ED09B1">
        <w:rPr>
          <w:rFonts w:ascii="Times New Roman" w:eastAsia="Times New Roman" w:hAnsi="Times New Roman" w:cs="Times New Roman"/>
          <w:sz w:val="24"/>
          <w:szCs w:val="24"/>
        </w:rPr>
        <w:t xml:space="preserve"> qualified investments totaling approximately $</w:t>
      </w:r>
      <w:r>
        <w:rPr>
          <w:rFonts w:ascii="Times New Roman" w:eastAsia="Times New Roman" w:hAnsi="Times New Roman" w:cs="Times New Roman"/>
          <w:sz w:val="24"/>
          <w:szCs w:val="24"/>
        </w:rPr>
        <w:t>52.2</w:t>
      </w:r>
      <w:r w:rsidR="00C15473">
        <w:rPr>
          <w:rFonts w:ascii="Times New Roman" w:eastAsia="Times New Roman" w:hAnsi="Times New Roman" w:cs="Times New Roman"/>
          <w:sz w:val="24"/>
          <w:szCs w:val="24"/>
        </w:rPr>
        <w:t xml:space="preserve"> million, approximately 4.5</w:t>
      </w:r>
      <w:r w:rsidRPr="00ED09B1">
        <w:rPr>
          <w:rFonts w:ascii="Times New Roman" w:eastAsia="Times New Roman" w:hAnsi="Times New Roman" w:cs="Times New Roman"/>
          <w:sz w:val="24"/>
          <w:szCs w:val="24"/>
        </w:rPr>
        <w:t xml:space="preserve"> percent of average total assets since the last evaluation</w:t>
      </w:r>
      <w:r w:rsidR="00AF20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Affordable housing</w:t>
      </w:r>
      <w:r w:rsidRPr="00ED09B1">
        <w:rPr>
          <w:rFonts w:ascii="Times New Roman" w:eastAsia="Times New Roman" w:hAnsi="Times New Roman" w:cs="Times New Roman"/>
          <w:sz w:val="24"/>
          <w:szCs w:val="24"/>
        </w:rPr>
        <w:t xml:space="preserve"> represented the primary investment by dollar amount, while community services to low- and moderate-income individuals represented the greatest number of donations</w:t>
      </w:r>
      <w:r w:rsidR="00AF2064" w:rsidRPr="00ED09B1">
        <w:rPr>
          <w:rFonts w:ascii="Times New Roman" w:eastAsia="Times New Roman" w:hAnsi="Times New Roman" w:cs="Times New Roman"/>
          <w:sz w:val="24"/>
          <w:szCs w:val="24"/>
        </w:rPr>
        <w:t>.</w:t>
      </w:r>
      <w:r w:rsidR="00AF2064">
        <w:rPr>
          <w:rFonts w:ascii="Times New Roman" w:eastAsia="Times New Roman" w:hAnsi="Times New Roman" w:cs="Times New Roman"/>
          <w:sz w:val="24"/>
          <w:szCs w:val="24"/>
        </w:rPr>
        <w:t xml:space="preserve"> </w:t>
      </w:r>
      <w:r w:rsidR="00393D0A" w:rsidRPr="00ED09B1">
        <w:rPr>
          <w:rFonts w:ascii="Times New Roman" w:eastAsia="Times New Roman" w:hAnsi="Times New Roman" w:cs="Times New Roman"/>
          <w:sz w:val="24"/>
          <w:szCs w:val="24"/>
        </w:rPr>
        <w:t>The following table details qualified investments by year and purpose.</w:t>
      </w:r>
    </w:p>
    <w:p w:rsidR="00393D0A" w:rsidRPr="00ED09B1" w:rsidRDefault="00393D0A" w:rsidP="001B4658">
      <w:pPr>
        <w:widowControl w:val="0"/>
        <w:spacing w:after="0" w:line="240" w:lineRule="auto"/>
        <w:jc w:val="both"/>
        <w:rPr>
          <w:rFonts w:ascii="Times New Roman" w:eastAsia="Times New Roman" w:hAnsi="Times New Roman" w:cs="Times New Roman"/>
          <w:sz w:val="24"/>
          <w:szCs w:val="24"/>
          <w:highlight w:val="yellow"/>
        </w:rPr>
      </w:pPr>
    </w:p>
    <w:tbl>
      <w:tblPr>
        <w:tblW w:w="9530" w:type="dxa"/>
        <w:tblInd w:w="-9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790"/>
        <w:gridCol w:w="540"/>
        <w:gridCol w:w="1170"/>
        <w:gridCol w:w="540"/>
        <w:gridCol w:w="900"/>
        <w:gridCol w:w="450"/>
        <w:gridCol w:w="1170"/>
        <w:gridCol w:w="360"/>
        <w:gridCol w:w="720"/>
        <w:gridCol w:w="450"/>
        <w:gridCol w:w="1440"/>
      </w:tblGrid>
      <w:tr w:rsidR="00393D0A" w:rsidRPr="0064489E" w:rsidTr="00AF2064">
        <w:trPr>
          <w:trHeight w:val="305"/>
        </w:trPr>
        <w:tc>
          <w:tcPr>
            <w:tcW w:w="9530" w:type="dxa"/>
            <w:gridSpan w:val="11"/>
            <w:tcBorders>
              <w:top w:val="single" w:sz="4" w:space="0" w:color="auto"/>
              <w:left w:val="single" w:sz="4" w:space="0" w:color="auto"/>
              <w:right w:val="single" w:sz="4" w:space="0" w:color="auto"/>
            </w:tcBorders>
            <w:vAlign w:val="center"/>
          </w:tcPr>
          <w:p w:rsidR="00393D0A" w:rsidRPr="00393D0A" w:rsidRDefault="00393D0A" w:rsidP="0011644A">
            <w:pPr>
              <w:tabs>
                <w:tab w:val="left" w:pos="-1080"/>
              </w:tabs>
              <w:spacing w:after="0" w:line="240" w:lineRule="auto"/>
              <w:jc w:val="center"/>
              <w:rPr>
                <w:rFonts w:ascii="Times New Roman" w:eastAsia="Times New Roman" w:hAnsi="Times New Roman" w:cs="Times New Roman"/>
                <w:b/>
                <w:bCs/>
                <w:color w:val="000000"/>
                <w:sz w:val="20"/>
                <w:szCs w:val="20"/>
              </w:rPr>
            </w:pPr>
            <w:r w:rsidRPr="00393D0A">
              <w:rPr>
                <w:rFonts w:ascii="Times New Roman" w:eastAsia="Times New Roman" w:hAnsi="Times New Roman" w:cs="Times New Roman"/>
                <w:b/>
                <w:bCs/>
                <w:color w:val="000000"/>
                <w:sz w:val="20"/>
                <w:szCs w:val="20"/>
              </w:rPr>
              <w:t>Qualified Investments</w:t>
            </w:r>
          </w:p>
        </w:tc>
      </w:tr>
      <w:tr w:rsidR="00393D0A" w:rsidRPr="0064489E" w:rsidTr="00AF2064">
        <w:trPr>
          <w:trHeight w:val="288"/>
        </w:trPr>
        <w:tc>
          <w:tcPr>
            <w:tcW w:w="1790" w:type="dxa"/>
            <w:vMerge w:val="restart"/>
            <w:tcBorders>
              <w:left w:val="single" w:sz="4" w:space="0" w:color="auto"/>
              <w:bottom w:val="single" w:sz="8" w:space="0" w:color="auto"/>
            </w:tcBorders>
            <w:vAlign w:val="center"/>
          </w:tcPr>
          <w:p w:rsidR="00393D0A" w:rsidRPr="0064489E" w:rsidRDefault="00393D0A" w:rsidP="0011644A">
            <w:pPr>
              <w:tabs>
                <w:tab w:val="left" w:pos="-1080"/>
              </w:tabs>
              <w:spacing w:after="0" w:line="240" w:lineRule="auto"/>
              <w:rPr>
                <w:rFonts w:ascii="Times New Roman" w:eastAsia="Times New Roman" w:hAnsi="Times New Roman" w:cs="Times New Roman"/>
                <w:b/>
                <w:color w:val="000000"/>
                <w:sz w:val="20"/>
                <w:szCs w:val="20"/>
              </w:rPr>
            </w:pPr>
            <w:r w:rsidRPr="0064489E">
              <w:rPr>
                <w:rFonts w:ascii="Times New Roman" w:eastAsia="Times New Roman" w:hAnsi="Times New Roman" w:cs="Times New Roman"/>
                <w:b/>
                <w:color w:val="000000"/>
                <w:sz w:val="20"/>
                <w:szCs w:val="20"/>
              </w:rPr>
              <w:t>Activity Year</w:t>
            </w:r>
          </w:p>
        </w:tc>
        <w:tc>
          <w:tcPr>
            <w:tcW w:w="1710" w:type="dxa"/>
            <w:gridSpan w:val="2"/>
            <w:vAlign w:val="center"/>
          </w:tcPr>
          <w:p w:rsidR="00393D0A" w:rsidRPr="0064489E" w:rsidRDefault="00393D0A" w:rsidP="0011644A">
            <w:pPr>
              <w:tabs>
                <w:tab w:val="left" w:pos="-1080"/>
              </w:tabs>
              <w:spacing w:after="0" w:line="240" w:lineRule="auto"/>
              <w:jc w:val="center"/>
              <w:rPr>
                <w:rFonts w:ascii="Times New Roman" w:eastAsia="Times New Roman" w:hAnsi="Times New Roman" w:cs="Times New Roman"/>
                <w:b/>
                <w:bCs/>
                <w:color w:val="000000"/>
                <w:sz w:val="20"/>
                <w:szCs w:val="20"/>
              </w:rPr>
            </w:pPr>
            <w:r w:rsidRPr="0064489E">
              <w:rPr>
                <w:rFonts w:ascii="Times New Roman" w:eastAsia="Times New Roman" w:hAnsi="Times New Roman" w:cs="Times New Roman"/>
                <w:b/>
                <w:bCs/>
                <w:color w:val="000000"/>
                <w:sz w:val="20"/>
                <w:szCs w:val="20"/>
              </w:rPr>
              <w:t>Affordable Housing</w:t>
            </w:r>
          </w:p>
        </w:tc>
        <w:tc>
          <w:tcPr>
            <w:tcW w:w="1440" w:type="dxa"/>
            <w:gridSpan w:val="2"/>
            <w:vAlign w:val="center"/>
          </w:tcPr>
          <w:p w:rsidR="00393D0A" w:rsidRPr="0064489E" w:rsidRDefault="00393D0A" w:rsidP="0011644A">
            <w:pPr>
              <w:tabs>
                <w:tab w:val="left" w:pos="-1080"/>
              </w:tabs>
              <w:spacing w:after="0" w:line="240" w:lineRule="auto"/>
              <w:jc w:val="center"/>
              <w:rPr>
                <w:rFonts w:ascii="Times New Roman" w:eastAsia="Times New Roman" w:hAnsi="Times New Roman" w:cs="Times New Roman"/>
                <w:b/>
                <w:bCs/>
                <w:color w:val="000000"/>
                <w:sz w:val="20"/>
                <w:szCs w:val="20"/>
              </w:rPr>
            </w:pPr>
            <w:r w:rsidRPr="0064489E">
              <w:rPr>
                <w:rFonts w:ascii="Times New Roman" w:eastAsia="Times New Roman" w:hAnsi="Times New Roman" w:cs="Times New Roman"/>
                <w:b/>
                <w:bCs/>
                <w:color w:val="000000"/>
                <w:sz w:val="20"/>
                <w:szCs w:val="20"/>
              </w:rPr>
              <w:t>Community Services</w:t>
            </w:r>
          </w:p>
        </w:tc>
        <w:tc>
          <w:tcPr>
            <w:tcW w:w="1620" w:type="dxa"/>
            <w:gridSpan w:val="2"/>
            <w:vAlign w:val="center"/>
          </w:tcPr>
          <w:p w:rsidR="00393D0A" w:rsidRPr="0064489E" w:rsidRDefault="00393D0A" w:rsidP="0011644A">
            <w:pPr>
              <w:tabs>
                <w:tab w:val="left" w:pos="-1080"/>
              </w:tabs>
              <w:spacing w:after="0" w:line="240" w:lineRule="auto"/>
              <w:jc w:val="center"/>
              <w:rPr>
                <w:rFonts w:ascii="Times New Roman" w:eastAsia="Times New Roman" w:hAnsi="Times New Roman" w:cs="Times New Roman"/>
                <w:b/>
                <w:bCs/>
                <w:color w:val="000000"/>
                <w:sz w:val="20"/>
                <w:szCs w:val="20"/>
              </w:rPr>
            </w:pPr>
            <w:r w:rsidRPr="0064489E">
              <w:rPr>
                <w:rFonts w:ascii="Times New Roman" w:eastAsia="Times New Roman" w:hAnsi="Times New Roman" w:cs="Times New Roman"/>
                <w:b/>
                <w:bCs/>
                <w:color w:val="000000"/>
                <w:sz w:val="20"/>
                <w:szCs w:val="20"/>
              </w:rPr>
              <w:t>Economic Development</w:t>
            </w:r>
          </w:p>
        </w:tc>
        <w:tc>
          <w:tcPr>
            <w:tcW w:w="1080" w:type="dxa"/>
            <w:gridSpan w:val="2"/>
            <w:vAlign w:val="center"/>
          </w:tcPr>
          <w:p w:rsidR="00393D0A" w:rsidRPr="0064489E" w:rsidRDefault="00393D0A" w:rsidP="0011644A">
            <w:pPr>
              <w:tabs>
                <w:tab w:val="left" w:pos="-1080"/>
              </w:tabs>
              <w:spacing w:after="0" w:line="240" w:lineRule="auto"/>
              <w:jc w:val="center"/>
              <w:rPr>
                <w:rFonts w:ascii="Times New Roman" w:eastAsia="Times New Roman" w:hAnsi="Times New Roman" w:cs="Times New Roman"/>
                <w:b/>
                <w:bCs/>
                <w:color w:val="000000"/>
                <w:sz w:val="20"/>
                <w:szCs w:val="20"/>
              </w:rPr>
            </w:pPr>
            <w:r w:rsidRPr="0064489E">
              <w:rPr>
                <w:rFonts w:ascii="Times New Roman" w:eastAsia="Times New Roman" w:hAnsi="Times New Roman" w:cs="Times New Roman"/>
                <w:b/>
                <w:bCs/>
                <w:color w:val="000000"/>
                <w:sz w:val="20"/>
                <w:szCs w:val="20"/>
              </w:rPr>
              <w:t>Revitalize</w:t>
            </w:r>
          </w:p>
          <w:p w:rsidR="00393D0A" w:rsidRPr="0064489E" w:rsidRDefault="00393D0A" w:rsidP="0011644A">
            <w:pPr>
              <w:tabs>
                <w:tab w:val="left" w:pos="-1080"/>
              </w:tabs>
              <w:spacing w:after="0" w:line="240" w:lineRule="auto"/>
              <w:jc w:val="center"/>
              <w:rPr>
                <w:rFonts w:ascii="Times New Roman" w:eastAsia="Times New Roman" w:hAnsi="Times New Roman" w:cs="Times New Roman"/>
                <w:b/>
                <w:bCs/>
                <w:color w:val="000000"/>
                <w:sz w:val="20"/>
                <w:szCs w:val="20"/>
              </w:rPr>
            </w:pPr>
            <w:r w:rsidRPr="0064489E">
              <w:rPr>
                <w:rFonts w:ascii="Times New Roman" w:eastAsia="Times New Roman" w:hAnsi="Times New Roman" w:cs="Times New Roman"/>
                <w:b/>
                <w:bCs/>
                <w:color w:val="000000"/>
                <w:sz w:val="20"/>
                <w:szCs w:val="20"/>
              </w:rPr>
              <w:t>Or Stabilize</w:t>
            </w:r>
          </w:p>
        </w:tc>
        <w:tc>
          <w:tcPr>
            <w:tcW w:w="1890" w:type="dxa"/>
            <w:gridSpan w:val="2"/>
            <w:tcBorders>
              <w:right w:val="single" w:sz="4" w:space="0" w:color="auto"/>
            </w:tcBorders>
            <w:vAlign w:val="center"/>
          </w:tcPr>
          <w:p w:rsidR="00393D0A" w:rsidRPr="0064489E" w:rsidRDefault="00393D0A" w:rsidP="0011644A">
            <w:pPr>
              <w:tabs>
                <w:tab w:val="left" w:pos="-1080"/>
              </w:tabs>
              <w:spacing w:after="0" w:line="240" w:lineRule="auto"/>
              <w:jc w:val="center"/>
              <w:rPr>
                <w:rFonts w:ascii="Times New Roman" w:eastAsia="Times New Roman" w:hAnsi="Times New Roman" w:cs="Times New Roman"/>
                <w:b/>
                <w:color w:val="000000"/>
                <w:sz w:val="20"/>
                <w:szCs w:val="20"/>
              </w:rPr>
            </w:pPr>
            <w:r w:rsidRPr="0064489E">
              <w:rPr>
                <w:rFonts w:ascii="Times New Roman" w:eastAsia="Times New Roman" w:hAnsi="Times New Roman" w:cs="Times New Roman"/>
                <w:b/>
                <w:color w:val="000000"/>
                <w:sz w:val="20"/>
                <w:szCs w:val="20"/>
              </w:rPr>
              <w:t>Totals</w:t>
            </w:r>
          </w:p>
        </w:tc>
      </w:tr>
      <w:tr w:rsidR="00393D0A" w:rsidRPr="0064489E" w:rsidTr="00AF2064">
        <w:trPr>
          <w:trHeight w:val="288"/>
        </w:trPr>
        <w:tc>
          <w:tcPr>
            <w:tcW w:w="1790" w:type="dxa"/>
            <w:vMerge/>
            <w:tcBorders>
              <w:top w:val="single" w:sz="12" w:space="0" w:color="auto"/>
              <w:left w:val="single" w:sz="4" w:space="0" w:color="auto"/>
              <w:bottom w:val="single" w:sz="8" w:space="0" w:color="auto"/>
            </w:tcBorders>
            <w:vAlign w:val="center"/>
          </w:tcPr>
          <w:p w:rsidR="00393D0A" w:rsidRPr="0064489E" w:rsidRDefault="00393D0A" w:rsidP="0011644A">
            <w:pPr>
              <w:tabs>
                <w:tab w:val="left" w:pos="-1080"/>
              </w:tabs>
              <w:spacing w:after="0" w:line="240" w:lineRule="auto"/>
              <w:jc w:val="center"/>
              <w:rPr>
                <w:rFonts w:ascii="Times New Roman" w:eastAsia="Times New Roman" w:hAnsi="Times New Roman" w:cs="Times New Roman"/>
                <w:color w:val="000000"/>
                <w:sz w:val="20"/>
                <w:szCs w:val="20"/>
              </w:rPr>
            </w:pPr>
          </w:p>
        </w:tc>
        <w:tc>
          <w:tcPr>
            <w:tcW w:w="540" w:type="dxa"/>
            <w:tcBorders>
              <w:bottom w:val="single" w:sz="8" w:space="0" w:color="auto"/>
            </w:tcBorders>
            <w:vAlign w:val="center"/>
          </w:tcPr>
          <w:p w:rsidR="00393D0A" w:rsidRPr="0064489E" w:rsidRDefault="00393D0A" w:rsidP="0011644A">
            <w:pPr>
              <w:tabs>
                <w:tab w:val="left" w:pos="-1080"/>
              </w:tabs>
              <w:spacing w:after="0" w:line="240" w:lineRule="auto"/>
              <w:jc w:val="center"/>
              <w:rPr>
                <w:rFonts w:ascii="Times New Roman" w:eastAsia="Times New Roman" w:hAnsi="Times New Roman" w:cs="Times New Roman"/>
                <w:b/>
                <w:color w:val="000000"/>
                <w:sz w:val="20"/>
                <w:szCs w:val="20"/>
              </w:rPr>
            </w:pPr>
            <w:r w:rsidRPr="0064489E">
              <w:rPr>
                <w:rFonts w:ascii="Times New Roman" w:eastAsia="Times New Roman" w:hAnsi="Times New Roman" w:cs="Times New Roman"/>
                <w:b/>
                <w:color w:val="000000"/>
                <w:sz w:val="20"/>
                <w:szCs w:val="20"/>
              </w:rPr>
              <w:t>#</w:t>
            </w:r>
          </w:p>
        </w:tc>
        <w:tc>
          <w:tcPr>
            <w:tcW w:w="1170" w:type="dxa"/>
            <w:tcBorders>
              <w:bottom w:val="single" w:sz="8" w:space="0" w:color="auto"/>
            </w:tcBorders>
            <w:vAlign w:val="center"/>
          </w:tcPr>
          <w:p w:rsidR="00393D0A" w:rsidRPr="0064489E" w:rsidRDefault="00393D0A" w:rsidP="0011644A">
            <w:pPr>
              <w:tabs>
                <w:tab w:val="left" w:pos="-1080"/>
              </w:tabs>
              <w:spacing w:after="0" w:line="240" w:lineRule="auto"/>
              <w:jc w:val="center"/>
              <w:rPr>
                <w:rFonts w:ascii="Times New Roman" w:eastAsia="Times New Roman" w:hAnsi="Times New Roman" w:cs="Times New Roman"/>
                <w:b/>
                <w:color w:val="000000"/>
                <w:sz w:val="20"/>
                <w:szCs w:val="20"/>
              </w:rPr>
            </w:pPr>
            <w:r w:rsidRPr="0064489E">
              <w:rPr>
                <w:rFonts w:ascii="Times New Roman" w:eastAsia="Times New Roman" w:hAnsi="Times New Roman" w:cs="Times New Roman"/>
                <w:b/>
                <w:color w:val="000000"/>
                <w:sz w:val="20"/>
                <w:szCs w:val="20"/>
              </w:rPr>
              <w:t>$</w:t>
            </w:r>
          </w:p>
        </w:tc>
        <w:tc>
          <w:tcPr>
            <w:tcW w:w="540" w:type="dxa"/>
            <w:tcBorders>
              <w:bottom w:val="single" w:sz="8" w:space="0" w:color="auto"/>
            </w:tcBorders>
            <w:vAlign w:val="center"/>
          </w:tcPr>
          <w:p w:rsidR="00393D0A" w:rsidRPr="0064489E" w:rsidRDefault="00393D0A" w:rsidP="0011644A">
            <w:pPr>
              <w:tabs>
                <w:tab w:val="left" w:pos="-1080"/>
              </w:tabs>
              <w:spacing w:after="0" w:line="240" w:lineRule="auto"/>
              <w:jc w:val="center"/>
              <w:rPr>
                <w:rFonts w:ascii="Times New Roman" w:eastAsia="Times New Roman" w:hAnsi="Times New Roman" w:cs="Times New Roman"/>
                <w:b/>
                <w:color w:val="000000"/>
                <w:sz w:val="20"/>
                <w:szCs w:val="20"/>
              </w:rPr>
            </w:pPr>
            <w:r w:rsidRPr="0064489E">
              <w:rPr>
                <w:rFonts w:ascii="Times New Roman" w:eastAsia="Times New Roman" w:hAnsi="Times New Roman" w:cs="Times New Roman"/>
                <w:b/>
                <w:color w:val="000000"/>
                <w:sz w:val="20"/>
                <w:szCs w:val="20"/>
              </w:rPr>
              <w:t>#</w:t>
            </w:r>
          </w:p>
        </w:tc>
        <w:tc>
          <w:tcPr>
            <w:tcW w:w="900" w:type="dxa"/>
            <w:tcBorders>
              <w:bottom w:val="single" w:sz="8" w:space="0" w:color="auto"/>
            </w:tcBorders>
            <w:vAlign w:val="center"/>
          </w:tcPr>
          <w:p w:rsidR="00393D0A" w:rsidRPr="0064489E" w:rsidRDefault="00393D0A" w:rsidP="0011644A">
            <w:pPr>
              <w:tabs>
                <w:tab w:val="left" w:pos="-1080"/>
              </w:tabs>
              <w:spacing w:after="0" w:line="240" w:lineRule="auto"/>
              <w:jc w:val="center"/>
              <w:rPr>
                <w:rFonts w:ascii="Times New Roman" w:eastAsia="Times New Roman" w:hAnsi="Times New Roman" w:cs="Times New Roman"/>
                <w:b/>
                <w:color w:val="000000"/>
                <w:sz w:val="20"/>
                <w:szCs w:val="20"/>
              </w:rPr>
            </w:pPr>
            <w:r w:rsidRPr="0064489E">
              <w:rPr>
                <w:rFonts w:ascii="Times New Roman" w:eastAsia="Times New Roman" w:hAnsi="Times New Roman" w:cs="Times New Roman"/>
                <w:b/>
                <w:color w:val="000000"/>
                <w:sz w:val="20"/>
                <w:szCs w:val="20"/>
              </w:rPr>
              <w:t>$</w:t>
            </w:r>
          </w:p>
        </w:tc>
        <w:tc>
          <w:tcPr>
            <w:tcW w:w="450" w:type="dxa"/>
            <w:tcBorders>
              <w:bottom w:val="single" w:sz="8" w:space="0" w:color="auto"/>
            </w:tcBorders>
            <w:vAlign w:val="center"/>
          </w:tcPr>
          <w:p w:rsidR="00393D0A" w:rsidRPr="0064489E" w:rsidRDefault="00393D0A" w:rsidP="0011644A">
            <w:pPr>
              <w:tabs>
                <w:tab w:val="left" w:pos="-1080"/>
              </w:tabs>
              <w:spacing w:after="0" w:line="240" w:lineRule="auto"/>
              <w:jc w:val="center"/>
              <w:rPr>
                <w:rFonts w:ascii="Times New Roman" w:eastAsia="Times New Roman" w:hAnsi="Times New Roman" w:cs="Times New Roman"/>
                <w:b/>
                <w:color w:val="000000"/>
                <w:sz w:val="20"/>
                <w:szCs w:val="20"/>
              </w:rPr>
            </w:pPr>
            <w:r w:rsidRPr="0064489E">
              <w:rPr>
                <w:rFonts w:ascii="Times New Roman" w:eastAsia="Times New Roman" w:hAnsi="Times New Roman" w:cs="Times New Roman"/>
                <w:b/>
                <w:color w:val="000000"/>
                <w:sz w:val="20"/>
                <w:szCs w:val="20"/>
              </w:rPr>
              <w:t>#</w:t>
            </w:r>
          </w:p>
        </w:tc>
        <w:tc>
          <w:tcPr>
            <w:tcW w:w="1170" w:type="dxa"/>
            <w:tcBorders>
              <w:bottom w:val="single" w:sz="8" w:space="0" w:color="auto"/>
            </w:tcBorders>
            <w:vAlign w:val="center"/>
          </w:tcPr>
          <w:p w:rsidR="00393D0A" w:rsidRPr="0064489E" w:rsidRDefault="00393D0A" w:rsidP="0011644A">
            <w:pPr>
              <w:tabs>
                <w:tab w:val="left" w:pos="-1080"/>
              </w:tabs>
              <w:spacing w:after="0" w:line="240" w:lineRule="auto"/>
              <w:jc w:val="center"/>
              <w:rPr>
                <w:rFonts w:ascii="Times New Roman" w:eastAsia="Times New Roman" w:hAnsi="Times New Roman" w:cs="Times New Roman"/>
                <w:b/>
                <w:color w:val="000000"/>
                <w:sz w:val="20"/>
                <w:szCs w:val="20"/>
              </w:rPr>
            </w:pPr>
            <w:r w:rsidRPr="0064489E">
              <w:rPr>
                <w:rFonts w:ascii="Times New Roman" w:eastAsia="Times New Roman" w:hAnsi="Times New Roman" w:cs="Times New Roman"/>
                <w:b/>
                <w:color w:val="000000"/>
                <w:sz w:val="20"/>
                <w:szCs w:val="20"/>
              </w:rPr>
              <w:t>$</w:t>
            </w:r>
          </w:p>
        </w:tc>
        <w:tc>
          <w:tcPr>
            <w:tcW w:w="360" w:type="dxa"/>
            <w:tcBorders>
              <w:bottom w:val="single" w:sz="8" w:space="0" w:color="auto"/>
            </w:tcBorders>
            <w:vAlign w:val="center"/>
          </w:tcPr>
          <w:p w:rsidR="00393D0A" w:rsidRPr="0064489E" w:rsidRDefault="00393D0A" w:rsidP="0011644A">
            <w:pPr>
              <w:tabs>
                <w:tab w:val="left" w:pos="-1080"/>
              </w:tabs>
              <w:spacing w:after="0" w:line="240" w:lineRule="auto"/>
              <w:jc w:val="center"/>
              <w:rPr>
                <w:rFonts w:ascii="Times New Roman" w:eastAsia="Times New Roman" w:hAnsi="Times New Roman" w:cs="Times New Roman"/>
                <w:b/>
                <w:color w:val="000000"/>
                <w:sz w:val="20"/>
                <w:szCs w:val="20"/>
              </w:rPr>
            </w:pPr>
            <w:r w:rsidRPr="0064489E">
              <w:rPr>
                <w:rFonts w:ascii="Times New Roman" w:eastAsia="Times New Roman" w:hAnsi="Times New Roman" w:cs="Times New Roman"/>
                <w:b/>
                <w:color w:val="000000"/>
                <w:sz w:val="20"/>
                <w:szCs w:val="20"/>
              </w:rPr>
              <w:t>#</w:t>
            </w:r>
          </w:p>
        </w:tc>
        <w:tc>
          <w:tcPr>
            <w:tcW w:w="720" w:type="dxa"/>
            <w:tcBorders>
              <w:bottom w:val="single" w:sz="8" w:space="0" w:color="auto"/>
            </w:tcBorders>
            <w:vAlign w:val="center"/>
          </w:tcPr>
          <w:p w:rsidR="00393D0A" w:rsidRPr="0064489E" w:rsidRDefault="00393D0A" w:rsidP="0011644A">
            <w:pPr>
              <w:tabs>
                <w:tab w:val="left" w:pos="-1080"/>
              </w:tabs>
              <w:spacing w:after="0" w:line="240" w:lineRule="auto"/>
              <w:jc w:val="center"/>
              <w:rPr>
                <w:rFonts w:ascii="Times New Roman" w:eastAsia="Times New Roman" w:hAnsi="Times New Roman" w:cs="Times New Roman"/>
                <w:b/>
                <w:color w:val="000000"/>
                <w:sz w:val="20"/>
                <w:szCs w:val="20"/>
              </w:rPr>
            </w:pPr>
            <w:r w:rsidRPr="0064489E">
              <w:rPr>
                <w:rFonts w:ascii="Times New Roman" w:eastAsia="Times New Roman" w:hAnsi="Times New Roman" w:cs="Times New Roman"/>
                <w:b/>
                <w:color w:val="000000"/>
                <w:sz w:val="20"/>
                <w:szCs w:val="20"/>
              </w:rPr>
              <w:t>$</w:t>
            </w:r>
          </w:p>
        </w:tc>
        <w:tc>
          <w:tcPr>
            <w:tcW w:w="450" w:type="dxa"/>
            <w:tcBorders>
              <w:bottom w:val="single" w:sz="8" w:space="0" w:color="auto"/>
            </w:tcBorders>
            <w:vAlign w:val="center"/>
          </w:tcPr>
          <w:p w:rsidR="00393D0A" w:rsidRPr="0064489E" w:rsidRDefault="00393D0A" w:rsidP="0011644A">
            <w:pPr>
              <w:tabs>
                <w:tab w:val="left" w:pos="-1080"/>
              </w:tabs>
              <w:spacing w:after="0" w:line="240" w:lineRule="auto"/>
              <w:jc w:val="center"/>
              <w:rPr>
                <w:rFonts w:ascii="Times New Roman" w:eastAsia="Times New Roman" w:hAnsi="Times New Roman" w:cs="Times New Roman"/>
                <w:b/>
                <w:color w:val="000000"/>
                <w:sz w:val="20"/>
                <w:szCs w:val="20"/>
              </w:rPr>
            </w:pPr>
            <w:r w:rsidRPr="0064489E">
              <w:rPr>
                <w:rFonts w:ascii="Times New Roman" w:eastAsia="Times New Roman" w:hAnsi="Times New Roman" w:cs="Times New Roman"/>
                <w:b/>
                <w:color w:val="000000"/>
                <w:sz w:val="20"/>
                <w:szCs w:val="20"/>
              </w:rPr>
              <w:t>#</w:t>
            </w:r>
          </w:p>
        </w:tc>
        <w:tc>
          <w:tcPr>
            <w:tcW w:w="1440" w:type="dxa"/>
            <w:tcBorders>
              <w:bottom w:val="single" w:sz="8" w:space="0" w:color="auto"/>
              <w:right w:val="single" w:sz="4" w:space="0" w:color="auto"/>
            </w:tcBorders>
            <w:vAlign w:val="center"/>
          </w:tcPr>
          <w:p w:rsidR="00393D0A" w:rsidRPr="0064489E" w:rsidRDefault="00393D0A" w:rsidP="0011644A">
            <w:pPr>
              <w:tabs>
                <w:tab w:val="left" w:pos="-1080"/>
              </w:tabs>
              <w:spacing w:after="0" w:line="240" w:lineRule="auto"/>
              <w:jc w:val="center"/>
              <w:rPr>
                <w:rFonts w:ascii="Times New Roman" w:eastAsia="Times New Roman" w:hAnsi="Times New Roman" w:cs="Times New Roman"/>
                <w:b/>
                <w:color w:val="000000"/>
                <w:sz w:val="20"/>
                <w:szCs w:val="20"/>
              </w:rPr>
            </w:pPr>
            <w:r w:rsidRPr="0064489E">
              <w:rPr>
                <w:rFonts w:ascii="Times New Roman" w:eastAsia="Times New Roman" w:hAnsi="Times New Roman" w:cs="Times New Roman"/>
                <w:b/>
                <w:color w:val="000000"/>
                <w:sz w:val="20"/>
                <w:szCs w:val="20"/>
              </w:rPr>
              <w:t>$</w:t>
            </w:r>
          </w:p>
        </w:tc>
      </w:tr>
      <w:tr w:rsidR="00393D0A" w:rsidRPr="0064489E" w:rsidTr="00AF2064">
        <w:trPr>
          <w:trHeight w:val="288"/>
        </w:trPr>
        <w:tc>
          <w:tcPr>
            <w:tcW w:w="1790" w:type="dxa"/>
            <w:tcBorders>
              <w:top w:val="single" w:sz="8" w:space="0" w:color="auto"/>
              <w:left w:val="single" w:sz="4" w:space="0" w:color="auto"/>
            </w:tcBorders>
            <w:vAlign w:val="center"/>
          </w:tcPr>
          <w:p w:rsidR="00393D0A" w:rsidRPr="0064489E" w:rsidRDefault="00393D0A" w:rsidP="0011644A">
            <w:pPr>
              <w:tabs>
                <w:tab w:val="left" w:pos="-1080"/>
              </w:tabs>
              <w:spacing w:after="0" w:line="240" w:lineRule="auto"/>
              <w:rPr>
                <w:rFonts w:ascii="Times New Roman" w:eastAsia="Times New Roman" w:hAnsi="Times New Roman" w:cs="Times New Roman"/>
                <w:color w:val="000000"/>
                <w:sz w:val="20"/>
                <w:szCs w:val="20"/>
              </w:rPr>
            </w:pPr>
            <w:r w:rsidRPr="0064489E">
              <w:rPr>
                <w:rFonts w:ascii="Times New Roman" w:eastAsia="Times New Roman" w:hAnsi="Times New Roman" w:cs="Times New Roman"/>
                <w:color w:val="000000"/>
                <w:sz w:val="20"/>
                <w:szCs w:val="20"/>
              </w:rPr>
              <w:t>Prior Period</w:t>
            </w:r>
          </w:p>
        </w:tc>
        <w:tc>
          <w:tcPr>
            <w:tcW w:w="540" w:type="dxa"/>
            <w:tcBorders>
              <w:top w:val="single" w:sz="8" w:space="0" w:color="auto"/>
            </w:tcBorders>
            <w:vAlign w:val="center"/>
          </w:tcPr>
          <w:p w:rsidR="00393D0A" w:rsidRPr="0064489E" w:rsidRDefault="00393D0A" w:rsidP="0011644A">
            <w:pPr>
              <w:tabs>
                <w:tab w:val="left" w:pos="-1080"/>
                <w:tab w:val="right" w:pos="196"/>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57</w:t>
            </w:r>
          </w:p>
        </w:tc>
        <w:tc>
          <w:tcPr>
            <w:tcW w:w="1170" w:type="dxa"/>
            <w:tcBorders>
              <w:top w:val="single" w:sz="8" w:space="0" w:color="auto"/>
            </w:tcBorders>
            <w:vAlign w:val="center"/>
          </w:tcPr>
          <w:p w:rsidR="00393D0A" w:rsidRPr="0064489E" w:rsidRDefault="00393D0A" w:rsidP="0011644A">
            <w:pPr>
              <w:tabs>
                <w:tab w:val="left" w:pos="-1080"/>
                <w:tab w:val="right" w:pos="493"/>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21,262,419</w:t>
            </w:r>
          </w:p>
        </w:tc>
        <w:tc>
          <w:tcPr>
            <w:tcW w:w="540" w:type="dxa"/>
            <w:tcBorders>
              <w:top w:val="single" w:sz="8" w:space="0" w:color="auto"/>
            </w:tcBorders>
            <w:vAlign w:val="center"/>
          </w:tcPr>
          <w:p w:rsidR="00393D0A" w:rsidRPr="0064489E" w:rsidRDefault="00393D0A" w:rsidP="0011644A">
            <w:pPr>
              <w:tabs>
                <w:tab w:val="left" w:pos="-1080"/>
                <w:tab w:val="right" w:pos="223"/>
              </w:tabs>
              <w:spacing w:after="0" w:line="240" w:lineRule="auto"/>
              <w:ind w:right="-61"/>
              <w:rPr>
                <w:rFonts w:ascii="Times New Roman" w:eastAsia="Times New Roman" w:hAnsi="Times New Roman" w:cs="Times New Roman"/>
                <w:color w:val="000000"/>
                <w:sz w:val="20"/>
                <w:szCs w:val="20"/>
              </w:rPr>
            </w:pPr>
          </w:p>
        </w:tc>
        <w:tc>
          <w:tcPr>
            <w:tcW w:w="900" w:type="dxa"/>
            <w:tcBorders>
              <w:top w:val="single" w:sz="8" w:space="0" w:color="auto"/>
            </w:tcBorders>
            <w:vAlign w:val="center"/>
          </w:tcPr>
          <w:p w:rsidR="00393D0A" w:rsidRPr="0064489E" w:rsidRDefault="00393D0A" w:rsidP="0011644A">
            <w:pPr>
              <w:tabs>
                <w:tab w:val="left" w:pos="-1080"/>
                <w:tab w:val="right" w:pos="475"/>
              </w:tabs>
              <w:spacing w:after="0" w:line="240" w:lineRule="auto"/>
              <w:rPr>
                <w:rFonts w:ascii="Times New Roman" w:eastAsia="Times New Roman" w:hAnsi="Times New Roman" w:cs="Times New Roman"/>
                <w:color w:val="000000"/>
                <w:sz w:val="20"/>
                <w:szCs w:val="20"/>
              </w:rPr>
            </w:pPr>
          </w:p>
        </w:tc>
        <w:tc>
          <w:tcPr>
            <w:tcW w:w="450" w:type="dxa"/>
            <w:tcBorders>
              <w:top w:val="single" w:sz="8" w:space="0" w:color="auto"/>
            </w:tcBorders>
            <w:vAlign w:val="center"/>
          </w:tcPr>
          <w:p w:rsidR="00393D0A" w:rsidRPr="0064489E" w:rsidRDefault="00393D0A" w:rsidP="0011644A">
            <w:pPr>
              <w:tabs>
                <w:tab w:val="left" w:pos="-1080"/>
                <w:tab w:val="right" w:pos="258"/>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p>
        </w:tc>
        <w:tc>
          <w:tcPr>
            <w:tcW w:w="1170" w:type="dxa"/>
            <w:tcBorders>
              <w:top w:val="single" w:sz="8" w:space="0" w:color="auto"/>
            </w:tcBorders>
            <w:vAlign w:val="center"/>
          </w:tcPr>
          <w:p w:rsidR="00393D0A" w:rsidRPr="0064489E" w:rsidRDefault="00393D0A" w:rsidP="0011644A">
            <w:pPr>
              <w:tabs>
                <w:tab w:val="left" w:pos="-1080"/>
                <w:tab w:val="right" w:pos="486"/>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7,480,372</w:t>
            </w:r>
          </w:p>
        </w:tc>
        <w:tc>
          <w:tcPr>
            <w:tcW w:w="360" w:type="dxa"/>
            <w:tcBorders>
              <w:top w:val="single" w:sz="8" w:space="0" w:color="auto"/>
            </w:tcBorders>
            <w:vAlign w:val="center"/>
          </w:tcPr>
          <w:p w:rsidR="00393D0A" w:rsidRPr="0064489E" w:rsidRDefault="00393D0A" w:rsidP="0011644A">
            <w:pPr>
              <w:tabs>
                <w:tab w:val="left" w:pos="-1080"/>
                <w:tab w:val="right" w:pos="212"/>
              </w:tabs>
              <w:spacing w:after="0" w:line="240" w:lineRule="auto"/>
              <w:rPr>
                <w:rFonts w:ascii="Times New Roman" w:eastAsia="Times New Roman" w:hAnsi="Times New Roman" w:cs="Times New Roman"/>
                <w:color w:val="000000"/>
                <w:sz w:val="20"/>
                <w:szCs w:val="20"/>
              </w:rPr>
            </w:pPr>
          </w:p>
        </w:tc>
        <w:tc>
          <w:tcPr>
            <w:tcW w:w="720" w:type="dxa"/>
            <w:tcBorders>
              <w:top w:val="single" w:sz="8" w:space="0" w:color="auto"/>
            </w:tcBorders>
            <w:vAlign w:val="center"/>
          </w:tcPr>
          <w:p w:rsidR="00393D0A" w:rsidRPr="0064489E" w:rsidRDefault="00393D0A" w:rsidP="0011644A">
            <w:pPr>
              <w:tabs>
                <w:tab w:val="left" w:pos="-1080"/>
                <w:tab w:val="right" w:pos="583"/>
              </w:tabs>
              <w:spacing w:after="0" w:line="240" w:lineRule="auto"/>
              <w:rPr>
                <w:rFonts w:ascii="Times New Roman" w:eastAsia="Times New Roman" w:hAnsi="Times New Roman" w:cs="Times New Roman"/>
                <w:color w:val="000000"/>
                <w:sz w:val="20"/>
                <w:szCs w:val="20"/>
              </w:rPr>
            </w:pPr>
          </w:p>
        </w:tc>
        <w:tc>
          <w:tcPr>
            <w:tcW w:w="450" w:type="dxa"/>
            <w:tcBorders>
              <w:top w:val="single" w:sz="8" w:space="0" w:color="auto"/>
            </w:tcBorders>
            <w:vAlign w:val="center"/>
          </w:tcPr>
          <w:p w:rsidR="00393D0A" w:rsidRPr="0064489E" w:rsidRDefault="00393D0A" w:rsidP="0011644A">
            <w:pPr>
              <w:tabs>
                <w:tab w:val="left" w:pos="-1080"/>
                <w:tab w:val="right" w:pos="300"/>
              </w:tabs>
              <w:spacing w:after="0" w:line="240" w:lineRule="auto"/>
              <w:ind w:right="-94"/>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78</w:t>
            </w:r>
          </w:p>
        </w:tc>
        <w:tc>
          <w:tcPr>
            <w:tcW w:w="1440" w:type="dxa"/>
            <w:tcBorders>
              <w:top w:val="single" w:sz="8" w:space="0" w:color="auto"/>
              <w:right w:val="single" w:sz="4" w:space="0" w:color="auto"/>
            </w:tcBorders>
            <w:vAlign w:val="center"/>
          </w:tcPr>
          <w:p w:rsidR="00393D0A" w:rsidRPr="0064489E" w:rsidRDefault="00393D0A" w:rsidP="0011644A">
            <w:pPr>
              <w:tabs>
                <w:tab w:val="left" w:pos="-1080"/>
                <w:tab w:val="right" w:pos="547"/>
              </w:tabs>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28,742,791</w:t>
            </w:r>
          </w:p>
        </w:tc>
      </w:tr>
      <w:tr w:rsidR="00393D0A" w:rsidRPr="0064489E" w:rsidTr="00AF2064">
        <w:trPr>
          <w:trHeight w:val="288"/>
        </w:trPr>
        <w:tc>
          <w:tcPr>
            <w:tcW w:w="1790" w:type="dxa"/>
            <w:tcBorders>
              <w:left w:val="single" w:sz="4" w:space="0" w:color="auto"/>
            </w:tcBorders>
            <w:vAlign w:val="center"/>
          </w:tcPr>
          <w:p w:rsidR="00393D0A" w:rsidRPr="0064489E" w:rsidRDefault="00393D0A" w:rsidP="0011644A">
            <w:pPr>
              <w:tabs>
                <w:tab w:val="left" w:pos="-108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9/26/</w:t>
            </w:r>
            <w:r w:rsidRPr="0064489E">
              <w:rPr>
                <w:rFonts w:ascii="Times New Roman" w:eastAsia="Times New Roman" w:hAnsi="Times New Roman" w:cs="Times New Roman"/>
                <w:color w:val="000000"/>
                <w:sz w:val="20"/>
                <w:szCs w:val="20"/>
              </w:rPr>
              <w:t>2016</w:t>
            </w:r>
            <w:r>
              <w:rPr>
                <w:rFonts w:ascii="Times New Roman" w:eastAsia="Times New Roman" w:hAnsi="Times New Roman" w:cs="Times New Roman"/>
                <w:color w:val="000000"/>
                <w:sz w:val="20"/>
                <w:szCs w:val="20"/>
              </w:rPr>
              <w:t>-12/31/16</w:t>
            </w:r>
          </w:p>
        </w:tc>
        <w:tc>
          <w:tcPr>
            <w:tcW w:w="540" w:type="dxa"/>
            <w:vAlign w:val="center"/>
          </w:tcPr>
          <w:p w:rsidR="00393D0A" w:rsidRPr="0064489E" w:rsidRDefault="00393D0A" w:rsidP="0011644A">
            <w:pPr>
              <w:tabs>
                <w:tab w:val="left" w:pos="-1080"/>
                <w:tab w:val="right" w:pos="196"/>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170" w:type="dxa"/>
            <w:vAlign w:val="center"/>
          </w:tcPr>
          <w:p w:rsidR="00393D0A" w:rsidRPr="0064489E" w:rsidRDefault="00393D0A" w:rsidP="0011644A">
            <w:pPr>
              <w:tabs>
                <w:tab w:val="left" w:pos="-1080"/>
                <w:tab w:val="right" w:pos="493"/>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4,076,533</w:t>
            </w:r>
          </w:p>
        </w:tc>
        <w:tc>
          <w:tcPr>
            <w:tcW w:w="540" w:type="dxa"/>
            <w:vAlign w:val="center"/>
          </w:tcPr>
          <w:p w:rsidR="00393D0A" w:rsidRPr="0064489E" w:rsidRDefault="00393D0A" w:rsidP="0011644A">
            <w:pPr>
              <w:tabs>
                <w:tab w:val="left" w:pos="-1080"/>
                <w:tab w:val="right" w:pos="223"/>
              </w:tabs>
              <w:spacing w:after="0" w:line="240" w:lineRule="auto"/>
              <w:ind w:right="-6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900" w:type="dxa"/>
            <w:vAlign w:val="center"/>
          </w:tcPr>
          <w:p w:rsidR="00393D0A" w:rsidRPr="0064489E" w:rsidRDefault="00393D0A" w:rsidP="0011644A">
            <w:pPr>
              <w:tabs>
                <w:tab w:val="left" w:pos="-1080"/>
                <w:tab w:val="right" w:pos="475"/>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7,300</w:t>
            </w:r>
          </w:p>
        </w:tc>
        <w:tc>
          <w:tcPr>
            <w:tcW w:w="450" w:type="dxa"/>
            <w:vAlign w:val="center"/>
          </w:tcPr>
          <w:p w:rsidR="00393D0A" w:rsidRPr="0064489E" w:rsidRDefault="00393D0A" w:rsidP="0011644A">
            <w:pPr>
              <w:tabs>
                <w:tab w:val="left" w:pos="-1080"/>
                <w:tab w:val="right" w:pos="258"/>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170" w:type="dxa"/>
            <w:vAlign w:val="center"/>
          </w:tcPr>
          <w:p w:rsidR="00393D0A" w:rsidRPr="0064489E" w:rsidRDefault="00393D0A" w:rsidP="0011644A">
            <w:pPr>
              <w:tabs>
                <w:tab w:val="left" w:pos="-1080"/>
                <w:tab w:val="right" w:pos="486"/>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864,894</w:t>
            </w:r>
          </w:p>
        </w:tc>
        <w:tc>
          <w:tcPr>
            <w:tcW w:w="360" w:type="dxa"/>
            <w:vAlign w:val="center"/>
          </w:tcPr>
          <w:p w:rsidR="00393D0A" w:rsidRPr="0064489E" w:rsidRDefault="00393D0A" w:rsidP="0011644A">
            <w:pPr>
              <w:tabs>
                <w:tab w:val="left" w:pos="-1080"/>
                <w:tab w:val="right" w:pos="212"/>
              </w:tabs>
              <w:spacing w:after="0" w:line="240" w:lineRule="auto"/>
              <w:rPr>
                <w:rFonts w:ascii="Times New Roman" w:eastAsia="Times New Roman" w:hAnsi="Times New Roman" w:cs="Times New Roman"/>
                <w:color w:val="000000"/>
                <w:sz w:val="20"/>
                <w:szCs w:val="20"/>
              </w:rPr>
            </w:pPr>
          </w:p>
        </w:tc>
        <w:tc>
          <w:tcPr>
            <w:tcW w:w="720" w:type="dxa"/>
            <w:vAlign w:val="center"/>
          </w:tcPr>
          <w:p w:rsidR="00393D0A" w:rsidRPr="0064489E" w:rsidRDefault="00393D0A" w:rsidP="0011644A">
            <w:pPr>
              <w:tabs>
                <w:tab w:val="left" w:pos="-1080"/>
                <w:tab w:val="right" w:pos="583"/>
              </w:tabs>
              <w:spacing w:after="0" w:line="240" w:lineRule="auto"/>
              <w:rPr>
                <w:rFonts w:ascii="Times New Roman" w:eastAsia="Times New Roman" w:hAnsi="Times New Roman" w:cs="Times New Roman"/>
                <w:color w:val="000000"/>
                <w:sz w:val="20"/>
                <w:szCs w:val="20"/>
              </w:rPr>
            </w:pPr>
          </w:p>
        </w:tc>
        <w:tc>
          <w:tcPr>
            <w:tcW w:w="450" w:type="dxa"/>
            <w:vAlign w:val="center"/>
          </w:tcPr>
          <w:p w:rsidR="00393D0A" w:rsidRPr="0064489E" w:rsidRDefault="00393D0A" w:rsidP="0011644A">
            <w:pPr>
              <w:tabs>
                <w:tab w:val="left" w:pos="-1080"/>
                <w:tab w:val="right" w:pos="300"/>
              </w:tabs>
              <w:spacing w:after="0" w:line="240" w:lineRule="auto"/>
              <w:ind w:right="-94"/>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10</w:t>
            </w:r>
          </w:p>
        </w:tc>
        <w:tc>
          <w:tcPr>
            <w:tcW w:w="1440" w:type="dxa"/>
            <w:tcBorders>
              <w:right w:val="single" w:sz="4" w:space="0" w:color="auto"/>
            </w:tcBorders>
            <w:vAlign w:val="center"/>
          </w:tcPr>
          <w:p w:rsidR="00393D0A" w:rsidRPr="0064489E" w:rsidRDefault="00393D0A" w:rsidP="0011644A">
            <w:pPr>
              <w:tabs>
                <w:tab w:val="left" w:pos="-1080"/>
                <w:tab w:val="right" w:pos="547"/>
              </w:tabs>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4,948,727</w:t>
            </w:r>
          </w:p>
        </w:tc>
      </w:tr>
      <w:tr w:rsidR="00393D0A" w:rsidRPr="0064489E" w:rsidTr="00AF2064">
        <w:trPr>
          <w:trHeight w:val="288"/>
        </w:trPr>
        <w:tc>
          <w:tcPr>
            <w:tcW w:w="1790" w:type="dxa"/>
            <w:tcBorders>
              <w:left w:val="single" w:sz="4" w:space="0" w:color="auto"/>
            </w:tcBorders>
            <w:vAlign w:val="center"/>
          </w:tcPr>
          <w:p w:rsidR="00393D0A" w:rsidRPr="0064489E" w:rsidRDefault="00393D0A" w:rsidP="0011644A">
            <w:pPr>
              <w:tabs>
                <w:tab w:val="left" w:pos="-1080"/>
              </w:tabs>
              <w:spacing w:after="0" w:line="240" w:lineRule="auto"/>
              <w:rPr>
                <w:rFonts w:ascii="Times New Roman" w:eastAsia="Times New Roman" w:hAnsi="Times New Roman" w:cs="Times New Roman"/>
                <w:color w:val="000000"/>
                <w:sz w:val="20"/>
                <w:szCs w:val="20"/>
              </w:rPr>
            </w:pPr>
            <w:r w:rsidRPr="0064489E">
              <w:rPr>
                <w:rFonts w:ascii="Times New Roman" w:eastAsia="Times New Roman" w:hAnsi="Times New Roman" w:cs="Times New Roman"/>
                <w:color w:val="000000"/>
                <w:sz w:val="20"/>
                <w:szCs w:val="20"/>
              </w:rPr>
              <w:t>2017</w:t>
            </w:r>
          </w:p>
        </w:tc>
        <w:tc>
          <w:tcPr>
            <w:tcW w:w="540" w:type="dxa"/>
            <w:vAlign w:val="center"/>
          </w:tcPr>
          <w:p w:rsidR="00393D0A" w:rsidRPr="0064489E" w:rsidRDefault="00393D0A" w:rsidP="0011644A">
            <w:pPr>
              <w:tabs>
                <w:tab w:val="left" w:pos="-1080"/>
                <w:tab w:val="right" w:pos="196"/>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1170" w:type="dxa"/>
            <w:vAlign w:val="center"/>
          </w:tcPr>
          <w:p w:rsidR="00393D0A" w:rsidRPr="0064489E" w:rsidRDefault="00393D0A" w:rsidP="0011644A">
            <w:pPr>
              <w:tabs>
                <w:tab w:val="left" w:pos="-1080"/>
                <w:tab w:val="right" w:pos="493"/>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10,036,515</w:t>
            </w:r>
          </w:p>
        </w:tc>
        <w:tc>
          <w:tcPr>
            <w:tcW w:w="540" w:type="dxa"/>
            <w:vAlign w:val="center"/>
          </w:tcPr>
          <w:p w:rsidR="00393D0A" w:rsidRPr="0064489E" w:rsidRDefault="00393D0A" w:rsidP="0011644A">
            <w:pPr>
              <w:tabs>
                <w:tab w:val="left" w:pos="-1080"/>
                <w:tab w:val="right" w:pos="223"/>
              </w:tabs>
              <w:spacing w:after="0" w:line="240" w:lineRule="auto"/>
              <w:ind w:right="-6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w:t>
            </w:r>
          </w:p>
        </w:tc>
        <w:tc>
          <w:tcPr>
            <w:tcW w:w="900" w:type="dxa"/>
            <w:vAlign w:val="center"/>
          </w:tcPr>
          <w:p w:rsidR="00393D0A" w:rsidRPr="0064489E" w:rsidRDefault="00393D0A" w:rsidP="0011644A">
            <w:pPr>
              <w:tabs>
                <w:tab w:val="left" w:pos="-1080"/>
                <w:tab w:val="right" w:pos="475"/>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76,664</w:t>
            </w:r>
          </w:p>
        </w:tc>
        <w:tc>
          <w:tcPr>
            <w:tcW w:w="450" w:type="dxa"/>
            <w:vAlign w:val="center"/>
          </w:tcPr>
          <w:p w:rsidR="00393D0A" w:rsidRPr="0064489E" w:rsidRDefault="00393D0A" w:rsidP="0011644A">
            <w:pPr>
              <w:tabs>
                <w:tab w:val="left" w:pos="-1080"/>
                <w:tab w:val="right" w:pos="258"/>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170" w:type="dxa"/>
            <w:vAlign w:val="center"/>
          </w:tcPr>
          <w:p w:rsidR="00393D0A" w:rsidRPr="0064489E" w:rsidRDefault="00393D0A" w:rsidP="0011644A">
            <w:pPr>
              <w:tabs>
                <w:tab w:val="left" w:pos="-1080"/>
                <w:tab w:val="right" w:pos="486"/>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3,134,546</w:t>
            </w:r>
          </w:p>
        </w:tc>
        <w:tc>
          <w:tcPr>
            <w:tcW w:w="360" w:type="dxa"/>
            <w:vAlign w:val="center"/>
          </w:tcPr>
          <w:p w:rsidR="00393D0A" w:rsidRPr="0064489E" w:rsidRDefault="00393D0A" w:rsidP="0011644A">
            <w:pPr>
              <w:tabs>
                <w:tab w:val="left" w:pos="-1080"/>
                <w:tab w:val="right" w:pos="212"/>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720" w:type="dxa"/>
            <w:vAlign w:val="center"/>
          </w:tcPr>
          <w:p w:rsidR="00393D0A" w:rsidRPr="0064489E" w:rsidRDefault="00393D0A" w:rsidP="0011644A">
            <w:pPr>
              <w:tabs>
                <w:tab w:val="left" w:pos="-1080"/>
                <w:tab w:val="right" w:pos="583"/>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6,789</w:t>
            </w:r>
          </w:p>
        </w:tc>
        <w:tc>
          <w:tcPr>
            <w:tcW w:w="450" w:type="dxa"/>
            <w:vAlign w:val="center"/>
          </w:tcPr>
          <w:p w:rsidR="00393D0A" w:rsidRPr="0064489E" w:rsidRDefault="00393D0A" w:rsidP="0011644A">
            <w:pPr>
              <w:tabs>
                <w:tab w:val="left" w:pos="-1080"/>
                <w:tab w:val="right" w:pos="300"/>
              </w:tabs>
              <w:spacing w:after="0" w:line="240" w:lineRule="auto"/>
              <w:ind w:right="-94"/>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63</w:t>
            </w:r>
          </w:p>
        </w:tc>
        <w:tc>
          <w:tcPr>
            <w:tcW w:w="1440" w:type="dxa"/>
            <w:tcBorders>
              <w:right w:val="single" w:sz="4" w:space="0" w:color="auto"/>
            </w:tcBorders>
            <w:vAlign w:val="center"/>
          </w:tcPr>
          <w:p w:rsidR="00393D0A" w:rsidRPr="0064489E" w:rsidRDefault="00393D0A" w:rsidP="0011644A">
            <w:pPr>
              <w:tabs>
                <w:tab w:val="left" w:pos="-1080"/>
                <w:tab w:val="right" w:pos="547"/>
              </w:tabs>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13,254,514</w:t>
            </w:r>
          </w:p>
        </w:tc>
      </w:tr>
      <w:tr w:rsidR="00393D0A" w:rsidRPr="0064489E" w:rsidTr="00AF2064">
        <w:trPr>
          <w:trHeight w:val="288"/>
        </w:trPr>
        <w:tc>
          <w:tcPr>
            <w:tcW w:w="1790" w:type="dxa"/>
            <w:tcBorders>
              <w:left w:val="single" w:sz="4" w:space="0" w:color="auto"/>
              <w:bottom w:val="single" w:sz="4" w:space="0" w:color="auto"/>
            </w:tcBorders>
            <w:vAlign w:val="center"/>
          </w:tcPr>
          <w:p w:rsidR="00393D0A" w:rsidRPr="0064489E" w:rsidRDefault="00393D0A" w:rsidP="0011644A">
            <w:pPr>
              <w:tabs>
                <w:tab w:val="left" w:pos="-1080"/>
              </w:tabs>
              <w:spacing w:after="0" w:line="240" w:lineRule="auto"/>
              <w:rPr>
                <w:rFonts w:ascii="Times New Roman" w:eastAsia="Times New Roman" w:hAnsi="Times New Roman" w:cs="Times New Roman"/>
                <w:color w:val="000000"/>
                <w:sz w:val="20"/>
                <w:szCs w:val="20"/>
              </w:rPr>
            </w:pPr>
            <w:r w:rsidRPr="0064489E">
              <w:rPr>
                <w:rFonts w:ascii="Times New Roman" w:eastAsia="Times New Roman" w:hAnsi="Times New Roman" w:cs="Times New Roman"/>
                <w:color w:val="000000"/>
                <w:sz w:val="20"/>
                <w:szCs w:val="20"/>
              </w:rPr>
              <w:t>2018</w:t>
            </w:r>
          </w:p>
        </w:tc>
        <w:tc>
          <w:tcPr>
            <w:tcW w:w="540" w:type="dxa"/>
            <w:tcBorders>
              <w:bottom w:val="single" w:sz="4" w:space="0" w:color="auto"/>
            </w:tcBorders>
            <w:vAlign w:val="center"/>
          </w:tcPr>
          <w:p w:rsidR="00393D0A" w:rsidRPr="0064489E" w:rsidRDefault="00393D0A" w:rsidP="0011644A">
            <w:pPr>
              <w:tabs>
                <w:tab w:val="left" w:pos="-1080"/>
                <w:tab w:val="right" w:pos="196"/>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1170" w:type="dxa"/>
            <w:tcBorders>
              <w:bottom w:val="single" w:sz="4" w:space="0" w:color="auto"/>
            </w:tcBorders>
            <w:vAlign w:val="center"/>
          </w:tcPr>
          <w:p w:rsidR="00393D0A" w:rsidRPr="0064489E" w:rsidRDefault="00393D0A" w:rsidP="0011644A">
            <w:pPr>
              <w:tabs>
                <w:tab w:val="left" w:pos="-1080"/>
                <w:tab w:val="right" w:pos="493"/>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5,046,938</w:t>
            </w:r>
          </w:p>
        </w:tc>
        <w:tc>
          <w:tcPr>
            <w:tcW w:w="540" w:type="dxa"/>
            <w:tcBorders>
              <w:bottom w:val="single" w:sz="4" w:space="0" w:color="auto"/>
            </w:tcBorders>
            <w:vAlign w:val="center"/>
          </w:tcPr>
          <w:p w:rsidR="00393D0A" w:rsidRPr="0064489E" w:rsidRDefault="00393D0A" w:rsidP="0011644A">
            <w:pPr>
              <w:tabs>
                <w:tab w:val="left" w:pos="-1080"/>
                <w:tab w:val="right" w:pos="223"/>
              </w:tabs>
              <w:spacing w:after="0" w:line="240" w:lineRule="auto"/>
              <w:ind w:right="-6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w:t>
            </w:r>
          </w:p>
        </w:tc>
        <w:tc>
          <w:tcPr>
            <w:tcW w:w="900" w:type="dxa"/>
            <w:tcBorders>
              <w:bottom w:val="single" w:sz="4" w:space="0" w:color="auto"/>
            </w:tcBorders>
            <w:vAlign w:val="center"/>
          </w:tcPr>
          <w:p w:rsidR="00393D0A" w:rsidRPr="0064489E" w:rsidRDefault="00393D0A" w:rsidP="0011644A">
            <w:pPr>
              <w:tabs>
                <w:tab w:val="left" w:pos="-1080"/>
                <w:tab w:val="right" w:pos="475"/>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172,385</w:t>
            </w:r>
          </w:p>
        </w:tc>
        <w:tc>
          <w:tcPr>
            <w:tcW w:w="450" w:type="dxa"/>
            <w:tcBorders>
              <w:bottom w:val="single" w:sz="4" w:space="0" w:color="auto"/>
            </w:tcBorders>
            <w:vAlign w:val="center"/>
          </w:tcPr>
          <w:p w:rsidR="00393D0A" w:rsidRPr="0064489E" w:rsidRDefault="00393D0A" w:rsidP="0011644A">
            <w:pPr>
              <w:tabs>
                <w:tab w:val="left" w:pos="-1080"/>
                <w:tab w:val="right" w:pos="258"/>
              </w:tabs>
              <w:spacing w:after="0" w:line="240" w:lineRule="auto"/>
              <w:rPr>
                <w:rFonts w:ascii="Times New Roman" w:eastAsia="Times New Roman" w:hAnsi="Times New Roman" w:cs="Times New Roman"/>
                <w:color w:val="000000"/>
                <w:sz w:val="20"/>
                <w:szCs w:val="20"/>
              </w:rPr>
            </w:pPr>
          </w:p>
        </w:tc>
        <w:tc>
          <w:tcPr>
            <w:tcW w:w="1170" w:type="dxa"/>
            <w:tcBorders>
              <w:bottom w:val="single" w:sz="4" w:space="0" w:color="auto"/>
            </w:tcBorders>
            <w:vAlign w:val="center"/>
          </w:tcPr>
          <w:p w:rsidR="00393D0A" w:rsidRPr="0064489E" w:rsidRDefault="00393D0A" w:rsidP="0011644A">
            <w:pPr>
              <w:tabs>
                <w:tab w:val="left" w:pos="-1080"/>
                <w:tab w:val="right" w:pos="486"/>
              </w:tabs>
              <w:spacing w:after="0" w:line="240" w:lineRule="auto"/>
              <w:rPr>
                <w:rFonts w:ascii="Times New Roman" w:eastAsia="Times New Roman" w:hAnsi="Times New Roman" w:cs="Times New Roman"/>
                <w:color w:val="000000"/>
                <w:sz w:val="20"/>
                <w:szCs w:val="20"/>
              </w:rPr>
            </w:pPr>
          </w:p>
        </w:tc>
        <w:tc>
          <w:tcPr>
            <w:tcW w:w="360" w:type="dxa"/>
            <w:tcBorders>
              <w:bottom w:val="single" w:sz="4" w:space="0" w:color="auto"/>
            </w:tcBorders>
            <w:vAlign w:val="center"/>
          </w:tcPr>
          <w:p w:rsidR="00393D0A" w:rsidRPr="0064489E" w:rsidRDefault="00393D0A" w:rsidP="0011644A">
            <w:pPr>
              <w:tabs>
                <w:tab w:val="left" w:pos="-1080"/>
                <w:tab w:val="right" w:pos="212"/>
              </w:tabs>
              <w:spacing w:after="0" w:line="240" w:lineRule="auto"/>
              <w:rPr>
                <w:rFonts w:ascii="Times New Roman" w:eastAsia="Times New Roman" w:hAnsi="Times New Roman" w:cs="Times New Roman"/>
                <w:color w:val="000000"/>
                <w:sz w:val="20"/>
                <w:szCs w:val="20"/>
              </w:rPr>
            </w:pPr>
          </w:p>
        </w:tc>
        <w:tc>
          <w:tcPr>
            <w:tcW w:w="720" w:type="dxa"/>
            <w:tcBorders>
              <w:bottom w:val="single" w:sz="4" w:space="0" w:color="auto"/>
            </w:tcBorders>
            <w:vAlign w:val="center"/>
          </w:tcPr>
          <w:p w:rsidR="00393D0A" w:rsidRPr="0064489E" w:rsidRDefault="00393D0A" w:rsidP="0011644A">
            <w:pPr>
              <w:tabs>
                <w:tab w:val="left" w:pos="-1080"/>
                <w:tab w:val="right" w:pos="583"/>
              </w:tabs>
              <w:spacing w:after="0" w:line="240" w:lineRule="auto"/>
              <w:rPr>
                <w:rFonts w:ascii="Times New Roman" w:eastAsia="Times New Roman" w:hAnsi="Times New Roman" w:cs="Times New Roman"/>
                <w:color w:val="000000"/>
                <w:sz w:val="20"/>
                <w:szCs w:val="20"/>
              </w:rPr>
            </w:pPr>
          </w:p>
        </w:tc>
        <w:tc>
          <w:tcPr>
            <w:tcW w:w="450" w:type="dxa"/>
            <w:tcBorders>
              <w:bottom w:val="single" w:sz="4" w:space="0" w:color="auto"/>
            </w:tcBorders>
            <w:vAlign w:val="center"/>
          </w:tcPr>
          <w:p w:rsidR="00393D0A" w:rsidRPr="0064489E" w:rsidRDefault="00393D0A" w:rsidP="0011644A">
            <w:pPr>
              <w:tabs>
                <w:tab w:val="left" w:pos="-1080"/>
                <w:tab w:val="right" w:pos="300"/>
              </w:tabs>
              <w:spacing w:after="0" w:line="240" w:lineRule="auto"/>
              <w:ind w:right="-94"/>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39</w:t>
            </w:r>
          </w:p>
        </w:tc>
        <w:tc>
          <w:tcPr>
            <w:tcW w:w="1440" w:type="dxa"/>
            <w:tcBorders>
              <w:bottom w:val="single" w:sz="4" w:space="0" w:color="auto"/>
              <w:right w:val="single" w:sz="4" w:space="0" w:color="auto"/>
            </w:tcBorders>
            <w:vAlign w:val="center"/>
          </w:tcPr>
          <w:p w:rsidR="00393D0A" w:rsidRPr="0064489E" w:rsidRDefault="00393D0A" w:rsidP="0011644A">
            <w:pPr>
              <w:tabs>
                <w:tab w:val="left" w:pos="-1080"/>
                <w:tab w:val="right" w:pos="547"/>
              </w:tabs>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5,219,323</w:t>
            </w:r>
          </w:p>
        </w:tc>
      </w:tr>
      <w:tr w:rsidR="00393D0A" w:rsidRPr="0064489E" w:rsidTr="00AF2064">
        <w:trPr>
          <w:trHeight w:val="288"/>
        </w:trPr>
        <w:tc>
          <w:tcPr>
            <w:tcW w:w="1790" w:type="dxa"/>
            <w:tcBorders>
              <w:top w:val="single" w:sz="4" w:space="0" w:color="auto"/>
              <w:left w:val="single" w:sz="4" w:space="0" w:color="auto"/>
              <w:bottom w:val="single" w:sz="4" w:space="0" w:color="auto"/>
            </w:tcBorders>
            <w:vAlign w:val="center"/>
          </w:tcPr>
          <w:p w:rsidR="00393D0A" w:rsidRPr="0064489E" w:rsidRDefault="00393D0A" w:rsidP="0011644A">
            <w:pPr>
              <w:tabs>
                <w:tab w:val="left" w:pos="-1080"/>
              </w:tabs>
              <w:spacing w:after="0" w:line="240" w:lineRule="auto"/>
              <w:rPr>
                <w:rFonts w:ascii="Times New Roman" w:eastAsia="Times New Roman" w:hAnsi="Times New Roman" w:cs="Times New Roman"/>
                <w:b/>
                <w:bCs/>
                <w:color w:val="000000"/>
                <w:sz w:val="20"/>
                <w:szCs w:val="20"/>
              </w:rPr>
            </w:pPr>
            <w:r w:rsidRPr="0064489E">
              <w:rPr>
                <w:rFonts w:ascii="Times New Roman" w:eastAsia="Times New Roman" w:hAnsi="Times New Roman" w:cs="Times New Roman"/>
                <w:b/>
                <w:bCs/>
                <w:color w:val="000000"/>
                <w:sz w:val="20"/>
                <w:szCs w:val="20"/>
              </w:rPr>
              <w:t>Totals</w:t>
            </w:r>
          </w:p>
        </w:tc>
        <w:tc>
          <w:tcPr>
            <w:tcW w:w="540" w:type="dxa"/>
            <w:tcBorders>
              <w:top w:val="single" w:sz="4" w:space="0" w:color="auto"/>
              <w:bottom w:val="single" w:sz="4" w:space="0" w:color="auto"/>
            </w:tcBorders>
            <w:vAlign w:val="center"/>
          </w:tcPr>
          <w:p w:rsidR="00393D0A" w:rsidRPr="0064489E" w:rsidRDefault="00393D0A" w:rsidP="0011644A">
            <w:pPr>
              <w:tabs>
                <w:tab w:val="left" w:pos="-1080"/>
                <w:tab w:val="right" w:pos="196"/>
              </w:tabs>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77</w:t>
            </w:r>
          </w:p>
        </w:tc>
        <w:tc>
          <w:tcPr>
            <w:tcW w:w="1170" w:type="dxa"/>
            <w:tcBorders>
              <w:top w:val="single" w:sz="4" w:space="0" w:color="auto"/>
              <w:bottom w:val="single" w:sz="4" w:space="0" w:color="auto"/>
            </w:tcBorders>
            <w:vAlign w:val="center"/>
          </w:tcPr>
          <w:p w:rsidR="00393D0A" w:rsidRPr="0064489E" w:rsidRDefault="00393D0A" w:rsidP="0011644A">
            <w:pPr>
              <w:tabs>
                <w:tab w:val="left" w:pos="-1080"/>
                <w:tab w:val="right" w:pos="493"/>
              </w:tabs>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40,422,405</w:t>
            </w:r>
          </w:p>
        </w:tc>
        <w:tc>
          <w:tcPr>
            <w:tcW w:w="540" w:type="dxa"/>
            <w:tcBorders>
              <w:top w:val="single" w:sz="4" w:space="0" w:color="auto"/>
              <w:bottom w:val="single" w:sz="4" w:space="0" w:color="auto"/>
            </w:tcBorders>
            <w:vAlign w:val="center"/>
          </w:tcPr>
          <w:p w:rsidR="00393D0A" w:rsidRPr="0064489E" w:rsidRDefault="00393D0A" w:rsidP="0011644A">
            <w:pPr>
              <w:tabs>
                <w:tab w:val="left" w:pos="-1080"/>
                <w:tab w:val="right" w:pos="223"/>
              </w:tabs>
              <w:spacing w:after="0" w:line="240" w:lineRule="auto"/>
              <w:ind w:right="-61"/>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84</w:t>
            </w:r>
          </w:p>
        </w:tc>
        <w:tc>
          <w:tcPr>
            <w:tcW w:w="900" w:type="dxa"/>
            <w:tcBorders>
              <w:top w:val="single" w:sz="4" w:space="0" w:color="auto"/>
              <w:bottom w:val="single" w:sz="4" w:space="0" w:color="auto"/>
            </w:tcBorders>
            <w:vAlign w:val="center"/>
          </w:tcPr>
          <w:p w:rsidR="00393D0A" w:rsidRPr="0064489E" w:rsidRDefault="00393D0A" w:rsidP="0011644A">
            <w:pPr>
              <w:tabs>
                <w:tab w:val="left" w:pos="-1080"/>
                <w:tab w:val="right" w:pos="475"/>
              </w:tabs>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256,349</w:t>
            </w:r>
          </w:p>
        </w:tc>
        <w:tc>
          <w:tcPr>
            <w:tcW w:w="450" w:type="dxa"/>
            <w:tcBorders>
              <w:top w:val="single" w:sz="4" w:space="0" w:color="auto"/>
              <w:bottom w:val="single" w:sz="4" w:space="0" w:color="auto"/>
            </w:tcBorders>
            <w:vAlign w:val="center"/>
          </w:tcPr>
          <w:p w:rsidR="00393D0A" w:rsidRPr="0064489E" w:rsidRDefault="00393D0A" w:rsidP="0011644A">
            <w:pPr>
              <w:tabs>
                <w:tab w:val="left" w:pos="-1080"/>
                <w:tab w:val="right" w:pos="258"/>
              </w:tabs>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27</w:t>
            </w:r>
          </w:p>
        </w:tc>
        <w:tc>
          <w:tcPr>
            <w:tcW w:w="1170" w:type="dxa"/>
            <w:tcBorders>
              <w:top w:val="single" w:sz="4" w:space="0" w:color="auto"/>
              <w:bottom w:val="single" w:sz="4" w:space="0" w:color="auto"/>
            </w:tcBorders>
            <w:vAlign w:val="center"/>
          </w:tcPr>
          <w:p w:rsidR="00393D0A" w:rsidRPr="0064489E" w:rsidRDefault="00393D0A" w:rsidP="0011644A">
            <w:pPr>
              <w:tabs>
                <w:tab w:val="left" w:pos="-1080"/>
                <w:tab w:val="right" w:pos="486"/>
              </w:tabs>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11,479,812</w:t>
            </w:r>
          </w:p>
        </w:tc>
        <w:tc>
          <w:tcPr>
            <w:tcW w:w="360" w:type="dxa"/>
            <w:tcBorders>
              <w:top w:val="single" w:sz="4" w:space="0" w:color="auto"/>
              <w:bottom w:val="single" w:sz="4" w:space="0" w:color="auto"/>
            </w:tcBorders>
            <w:vAlign w:val="center"/>
          </w:tcPr>
          <w:p w:rsidR="00393D0A" w:rsidRPr="0064489E" w:rsidRDefault="00393D0A" w:rsidP="0011644A">
            <w:pPr>
              <w:tabs>
                <w:tab w:val="left" w:pos="-1080"/>
                <w:tab w:val="right" w:pos="212"/>
              </w:tabs>
              <w:spacing w:after="0" w:line="240" w:lineRule="auto"/>
              <w:ind w:right="-79"/>
              <w:rPr>
                <w:rFonts w:ascii="Times New Roman" w:eastAsia="Times New Roman" w:hAnsi="Times New Roman" w:cs="Times New Roman"/>
                <w:b/>
                <w:bCs/>
                <w:color w:val="000000"/>
                <w:sz w:val="20"/>
                <w:szCs w:val="20"/>
              </w:rPr>
            </w:pPr>
            <w:r w:rsidRPr="0064489E">
              <w:rPr>
                <w:rFonts w:ascii="Times New Roman" w:eastAsia="Times New Roman" w:hAnsi="Times New Roman" w:cs="Times New Roman"/>
                <w:b/>
                <w:bCs/>
                <w:color w:val="000000"/>
                <w:sz w:val="20"/>
                <w:szCs w:val="20"/>
              </w:rPr>
              <w:t>2</w:t>
            </w:r>
          </w:p>
        </w:tc>
        <w:tc>
          <w:tcPr>
            <w:tcW w:w="720" w:type="dxa"/>
            <w:tcBorders>
              <w:top w:val="single" w:sz="4" w:space="0" w:color="auto"/>
              <w:bottom w:val="single" w:sz="4" w:space="0" w:color="auto"/>
            </w:tcBorders>
            <w:vAlign w:val="center"/>
          </w:tcPr>
          <w:p w:rsidR="00393D0A" w:rsidRPr="0064489E" w:rsidRDefault="00393D0A" w:rsidP="0011644A">
            <w:pPr>
              <w:tabs>
                <w:tab w:val="left" w:pos="-1080"/>
                <w:tab w:val="right" w:pos="583"/>
              </w:tabs>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6,789</w:t>
            </w:r>
          </w:p>
        </w:tc>
        <w:tc>
          <w:tcPr>
            <w:tcW w:w="450" w:type="dxa"/>
            <w:tcBorders>
              <w:top w:val="single" w:sz="4" w:space="0" w:color="auto"/>
              <w:bottom w:val="single" w:sz="4" w:space="0" w:color="auto"/>
            </w:tcBorders>
            <w:vAlign w:val="center"/>
          </w:tcPr>
          <w:p w:rsidR="00393D0A" w:rsidRPr="0064489E" w:rsidRDefault="00393D0A" w:rsidP="0011644A">
            <w:pPr>
              <w:tabs>
                <w:tab w:val="left" w:pos="-1080"/>
                <w:tab w:val="right" w:pos="300"/>
              </w:tabs>
              <w:spacing w:after="0" w:line="240" w:lineRule="auto"/>
              <w:ind w:right="-94"/>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190</w:t>
            </w:r>
          </w:p>
        </w:tc>
        <w:tc>
          <w:tcPr>
            <w:tcW w:w="1440" w:type="dxa"/>
            <w:tcBorders>
              <w:top w:val="single" w:sz="4" w:space="0" w:color="auto"/>
              <w:bottom w:val="single" w:sz="4" w:space="0" w:color="auto"/>
              <w:right w:val="single" w:sz="4" w:space="0" w:color="auto"/>
            </w:tcBorders>
            <w:vAlign w:val="center"/>
          </w:tcPr>
          <w:p w:rsidR="00393D0A" w:rsidRPr="0064489E" w:rsidRDefault="00393D0A" w:rsidP="0011644A">
            <w:pPr>
              <w:tabs>
                <w:tab w:val="left" w:pos="-1080"/>
                <w:tab w:val="right" w:pos="547"/>
              </w:tabs>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52,165,355</w:t>
            </w:r>
          </w:p>
        </w:tc>
      </w:tr>
    </w:tbl>
    <w:p w:rsidR="00AF2064" w:rsidRPr="00AF2064" w:rsidRDefault="00AF2064" w:rsidP="001B4658">
      <w:pPr>
        <w:widowControl w:val="0"/>
        <w:spacing w:after="0" w:line="240" w:lineRule="auto"/>
        <w:jc w:val="both"/>
        <w:rPr>
          <w:rFonts w:ascii="Times New Roman" w:eastAsia="Times New Roman" w:hAnsi="Times New Roman" w:cs="Times New Roman"/>
          <w:i/>
          <w:sz w:val="16"/>
          <w:szCs w:val="16"/>
        </w:rPr>
      </w:pPr>
      <w:r w:rsidRPr="00AF2064">
        <w:rPr>
          <w:rFonts w:ascii="Times New Roman" w:eastAsia="Times New Roman" w:hAnsi="Times New Roman" w:cs="Times New Roman"/>
          <w:i/>
          <w:sz w:val="16"/>
          <w:szCs w:val="16"/>
        </w:rPr>
        <w:t>Source:  Bank records</w:t>
      </w:r>
    </w:p>
    <w:p w:rsidR="00ED09B1" w:rsidRPr="00393D0A" w:rsidRDefault="00393D0A" w:rsidP="001B4658">
      <w:pPr>
        <w:widowControl w:val="0"/>
        <w:spacing w:after="0" w:line="240" w:lineRule="auto"/>
        <w:jc w:val="both"/>
        <w:rPr>
          <w:rFonts w:ascii="Times New Roman" w:eastAsia="Times New Roman" w:hAnsi="Times New Roman" w:cs="Times New Roman"/>
          <w:b/>
          <w:i/>
          <w:sz w:val="24"/>
          <w:szCs w:val="24"/>
        </w:rPr>
      </w:pPr>
      <w:r w:rsidRPr="00393D0A">
        <w:rPr>
          <w:rFonts w:ascii="Times New Roman" w:eastAsia="Times New Roman" w:hAnsi="Times New Roman" w:cs="Times New Roman"/>
          <w:b/>
          <w:i/>
          <w:sz w:val="24"/>
          <w:szCs w:val="24"/>
        </w:rPr>
        <w:lastRenderedPageBreak/>
        <w:t>Equity and Security Investments</w:t>
      </w:r>
    </w:p>
    <w:p w:rsidR="00393D0A" w:rsidRPr="00ED09B1" w:rsidRDefault="00393D0A" w:rsidP="001B4658">
      <w:pPr>
        <w:widowControl w:val="0"/>
        <w:spacing w:after="0" w:line="240" w:lineRule="auto"/>
        <w:jc w:val="both"/>
        <w:rPr>
          <w:rFonts w:ascii="Times New Roman" w:eastAsia="Times New Roman" w:hAnsi="Times New Roman" w:cs="Times New Roman"/>
          <w:sz w:val="24"/>
          <w:szCs w:val="24"/>
          <w:highlight w:val="yellow"/>
        </w:rPr>
      </w:pPr>
    </w:p>
    <w:p w:rsidR="00E52302" w:rsidRDefault="00ED09B1" w:rsidP="001B4658">
      <w:pPr>
        <w:widowControl w:val="0"/>
        <w:spacing w:after="0" w:line="240" w:lineRule="auto"/>
        <w:jc w:val="both"/>
        <w:rPr>
          <w:rFonts w:ascii="Times New Roman" w:eastAsia="Times New Roman" w:hAnsi="Times New Roman" w:cs="Times New Roman"/>
          <w:sz w:val="24"/>
          <w:szCs w:val="24"/>
        </w:rPr>
      </w:pPr>
      <w:r w:rsidRPr="00ED09B1">
        <w:rPr>
          <w:rFonts w:ascii="Times New Roman" w:eastAsia="Times New Roman" w:hAnsi="Times New Roman" w:cs="Times New Roman"/>
          <w:sz w:val="24"/>
          <w:szCs w:val="24"/>
        </w:rPr>
        <w:t xml:space="preserve">The </w:t>
      </w:r>
      <w:r w:rsidR="00E67737">
        <w:rPr>
          <w:rFonts w:ascii="Times New Roman" w:eastAsia="Times New Roman" w:hAnsi="Times New Roman" w:cs="Times New Roman"/>
          <w:sz w:val="24"/>
          <w:szCs w:val="24"/>
        </w:rPr>
        <w:t>bank</w:t>
      </w:r>
      <w:r w:rsidRPr="00ED09B1">
        <w:rPr>
          <w:rFonts w:ascii="Times New Roman" w:eastAsia="Times New Roman" w:hAnsi="Times New Roman" w:cs="Times New Roman"/>
          <w:sz w:val="24"/>
          <w:szCs w:val="24"/>
        </w:rPr>
        <w:t xml:space="preserve"> committed approximately $</w:t>
      </w:r>
      <w:r w:rsidR="00E67737">
        <w:rPr>
          <w:rFonts w:ascii="Times New Roman" w:eastAsia="Times New Roman" w:hAnsi="Times New Roman" w:cs="Times New Roman"/>
          <w:sz w:val="24"/>
          <w:szCs w:val="24"/>
        </w:rPr>
        <w:t>51.9</w:t>
      </w:r>
      <w:r w:rsidRPr="00ED09B1">
        <w:rPr>
          <w:rFonts w:ascii="Times New Roman" w:eastAsia="Times New Roman" w:hAnsi="Times New Roman" w:cs="Times New Roman"/>
          <w:sz w:val="24"/>
          <w:szCs w:val="24"/>
        </w:rPr>
        <w:t xml:space="preserve"> million in the form of </w:t>
      </w:r>
      <w:r w:rsidR="00FB4789">
        <w:rPr>
          <w:rFonts w:ascii="Times New Roman" w:eastAsia="Times New Roman" w:hAnsi="Times New Roman" w:cs="Times New Roman"/>
          <w:sz w:val="24"/>
          <w:szCs w:val="24"/>
        </w:rPr>
        <w:t>security</w:t>
      </w:r>
      <w:r w:rsidRPr="00ED09B1">
        <w:rPr>
          <w:rFonts w:ascii="Times New Roman" w:eastAsia="Times New Roman" w:hAnsi="Times New Roman" w:cs="Times New Roman"/>
          <w:sz w:val="24"/>
          <w:szCs w:val="24"/>
        </w:rPr>
        <w:t xml:space="preserve"> investments</w:t>
      </w:r>
      <w:r w:rsidR="00AF2064">
        <w:rPr>
          <w:rFonts w:ascii="Times New Roman" w:eastAsia="Times New Roman" w:hAnsi="Times New Roman" w:cs="Times New Roman"/>
          <w:sz w:val="24"/>
          <w:szCs w:val="24"/>
        </w:rPr>
        <w:t xml:space="preserve">. </w:t>
      </w:r>
      <w:r w:rsidR="00FB4789">
        <w:rPr>
          <w:rFonts w:ascii="Times New Roman" w:eastAsia="Times New Roman" w:hAnsi="Times New Roman" w:cs="Times New Roman"/>
          <w:sz w:val="24"/>
          <w:szCs w:val="24"/>
        </w:rPr>
        <w:t>One security investment was for the 2013 rehabilitation of a Watertown affordable housing project</w:t>
      </w:r>
      <w:r w:rsidR="00AF2064">
        <w:rPr>
          <w:rFonts w:ascii="Times New Roman" w:eastAsia="Times New Roman" w:hAnsi="Times New Roman" w:cs="Times New Roman"/>
          <w:sz w:val="24"/>
          <w:szCs w:val="24"/>
        </w:rPr>
        <w:t xml:space="preserve">. </w:t>
      </w:r>
      <w:r w:rsidR="00FB4789">
        <w:rPr>
          <w:rFonts w:ascii="Times New Roman" w:eastAsia="Times New Roman" w:hAnsi="Times New Roman" w:cs="Times New Roman"/>
          <w:sz w:val="24"/>
          <w:szCs w:val="24"/>
        </w:rPr>
        <w:t>While this was a prior period investment, a recent community contact identified this as a project that still has a significant impact on the affordable housing stock in Watertown</w:t>
      </w:r>
      <w:r w:rsidR="00AF2064">
        <w:rPr>
          <w:rFonts w:ascii="Times New Roman" w:eastAsia="Times New Roman" w:hAnsi="Times New Roman" w:cs="Times New Roman"/>
          <w:sz w:val="24"/>
          <w:szCs w:val="24"/>
        </w:rPr>
        <w:t xml:space="preserve">. </w:t>
      </w:r>
      <w:r w:rsidR="00FB4789">
        <w:rPr>
          <w:rFonts w:ascii="Times New Roman" w:eastAsia="Times New Roman" w:hAnsi="Times New Roman" w:cs="Times New Roman"/>
          <w:sz w:val="24"/>
          <w:szCs w:val="24"/>
        </w:rPr>
        <w:t>The current book value of the investment totaled $415,000</w:t>
      </w:r>
      <w:r w:rsidR="00E52302">
        <w:rPr>
          <w:rFonts w:ascii="Times New Roman" w:eastAsia="Times New Roman" w:hAnsi="Times New Roman" w:cs="Times New Roman"/>
          <w:sz w:val="24"/>
          <w:szCs w:val="24"/>
        </w:rPr>
        <w:t>.</w:t>
      </w:r>
    </w:p>
    <w:p w:rsidR="00E52302" w:rsidRDefault="00E52302" w:rsidP="001B4658">
      <w:pPr>
        <w:widowControl w:val="0"/>
        <w:spacing w:after="0" w:line="240" w:lineRule="auto"/>
        <w:jc w:val="both"/>
        <w:rPr>
          <w:rFonts w:ascii="Times New Roman" w:eastAsia="Times New Roman" w:hAnsi="Times New Roman" w:cs="Times New Roman"/>
          <w:sz w:val="24"/>
          <w:szCs w:val="24"/>
        </w:rPr>
      </w:pPr>
    </w:p>
    <w:p w:rsidR="00ED09B1" w:rsidRPr="00ED09B1" w:rsidRDefault="00E52302" w:rsidP="001B4658">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remaining $51.5 million in security investments were </w:t>
      </w:r>
      <w:proofErr w:type="spellStart"/>
      <w:r>
        <w:rPr>
          <w:rFonts w:ascii="Times New Roman" w:eastAsia="Times New Roman" w:hAnsi="Times New Roman" w:cs="Times New Roman"/>
          <w:sz w:val="24"/>
          <w:szCs w:val="24"/>
        </w:rPr>
        <w:t>Ginnie</w:t>
      </w:r>
      <w:proofErr w:type="spellEnd"/>
      <w:r>
        <w:rPr>
          <w:rFonts w:ascii="Times New Roman" w:eastAsia="Times New Roman" w:hAnsi="Times New Roman" w:cs="Times New Roman"/>
          <w:sz w:val="24"/>
          <w:szCs w:val="24"/>
        </w:rPr>
        <w:t xml:space="preserve"> Mae and SBA Securities</w:t>
      </w:r>
      <w:r w:rsidR="00AF2064">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Ginnie</w:t>
      </w:r>
      <w:proofErr w:type="spellEnd"/>
      <w:r>
        <w:rPr>
          <w:rFonts w:ascii="Times New Roman" w:eastAsia="Times New Roman" w:hAnsi="Times New Roman" w:cs="Times New Roman"/>
          <w:sz w:val="24"/>
          <w:szCs w:val="24"/>
        </w:rPr>
        <w:t xml:space="preserve"> Mae Securities </w:t>
      </w:r>
      <w:proofErr w:type="gramStart"/>
      <w:r>
        <w:rPr>
          <w:rFonts w:ascii="Times New Roman" w:eastAsia="Times New Roman" w:hAnsi="Times New Roman" w:cs="Times New Roman"/>
          <w:sz w:val="24"/>
          <w:szCs w:val="24"/>
        </w:rPr>
        <w:t>are geared</w:t>
      </w:r>
      <w:proofErr w:type="gramEnd"/>
      <w:r>
        <w:rPr>
          <w:rFonts w:ascii="Times New Roman" w:eastAsia="Times New Roman" w:hAnsi="Times New Roman" w:cs="Times New Roman"/>
          <w:sz w:val="24"/>
          <w:szCs w:val="24"/>
        </w:rPr>
        <w:t xml:space="preserve"> to expand affordable housing markets through FHA, HUD, and Community Facilities projects</w:t>
      </w:r>
      <w:r w:rsidR="00AF20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SBA Securities expand economic development by financing small businesses as defined by the Small Business Administration</w:t>
      </w:r>
      <w:r w:rsidR="00AF20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While these were nationwide investments, both </w:t>
      </w:r>
      <w:r w:rsidR="00B377D0">
        <w:rPr>
          <w:rFonts w:ascii="Times New Roman" w:eastAsia="Times New Roman" w:hAnsi="Times New Roman" w:cs="Times New Roman"/>
          <w:sz w:val="24"/>
          <w:szCs w:val="24"/>
        </w:rPr>
        <w:t xml:space="preserve">vehicles </w:t>
      </w:r>
      <w:proofErr w:type="gramStart"/>
      <w:r w:rsidR="00B377D0">
        <w:rPr>
          <w:rFonts w:ascii="Times New Roman" w:eastAsia="Times New Roman" w:hAnsi="Times New Roman" w:cs="Times New Roman"/>
          <w:sz w:val="24"/>
          <w:szCs w:val="24"/>
        </w:rPr>
        <w:t>impacted</w:t>
      </w:r>
      <w:proofErr w:type="gramEnd"/>
      <w:r w:rsidR="00B377D0">
        <w:rPr>
          <w:rFonts w:ascii="Times New Roman" w:eastAsia="Times New Roman" w:hAnsi="Times New Roman" w:cs="Times New Roman"/>
          <w:sz w:val="24"/>
          <w:szCs w:val="24"/>
        </w:rPr>
        <w:t xml:space="preserve"> the regional area including the assessment area</w:t>
      </w:r>
      <w:r w:rsidR="00AF20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Approximately $28.3 million in securities were from prior evaluation periods, while $23.1 million </w:t>
      </w:r>
      <w:proofErr w:type="gramStart"/>
      <w:r>
        <w:rPr>
          <w:rFonts w:ascii="Times New Roman" w:eastAsia="Times New Roman" w:hAnsi="Times New Roman" w:cs="Times New Roman"/>
          <w:sz w:val="24"/>
          <w:szCs w:val="24"/>
        </w:rPr>
        <w:t>was originated</w:t>
      </w:r>
      <w:proofErr w:type="gramEnd"/>
      <w:r>
        <w:rPr>
          <w:rFonts w:ascii="Times New Roman" w:eastAsia="Times New Roman" w:hAnsi="Times New Roman" w:cs="Times New Roman"/>
          <w:sz w:val="24"/>
          <w:szCs w:val="24"/>
        </w:rPr>
        <w:t xml:space="preserve"> during the current evaluation period.</w:t>
      </w:r>
    </w:p>
    <w:p w:rsidR="00ED09B1" w:rsidRPr="00ED09B1" w:rsidRDefault="00ED09B1" w:rsidP="001B4658">
      <w:pPr>
        <w:widowControl w:val="0"/>
        <w:spacing w:after="0" w:line="240" w:lineRule="auto"/>
        <w:jc w:val="both"/>
        <w:rPr>
          <w:rFonts w:ascii="Times New Roman" w:eastAsia="Times New Roman" w:hAnsi="Times New Roman" w:cs="Times New Roman"/>
          <w:sz w:val="24"/>
          <w:szCs w:val="24"/>
        </w:rPr>
      </w:pPr>
      <w:r w:rsidRPr="00ED09B1">
        <w:rPr>
          <w:rFonts w:ascii="Times New Roman" w:eastAsia="Times New Roman" w:hAnsi="Times New Roman" w:cs="Times New Roman"/>
          <w:sz w:val="24"/>
          <w:szCs w:val="24"/>
        </w:rPr>
        <w:t xml:space="preserve">    </w:t>
      </w:r>
    </w:p>
    <w:p w:rsidR="00095222" w:rsidRPr="00393D0A" w:rsidRDefault="00095222" w:rsidP="001B4658">
      <w:pPr>
        <w:widowControl w:val="0"/>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Donations and Grants</w:t>
      </w:r>
    </w:p>
    <w:p w:rsidR="00095222" w:rsidRDefault="00095222" w:rsidP="001B4658">
      <w:pPr>
        <w:widowControl w:val="0"/>
        <w:spacing w:after="0" w:line="240" w:lineRule="auto"/>
        <w:jc w:val="both"/>
        <w:rPr>
          <w:rFonts w:ascii="Times New Roman" w:eastAsia="Times New Roman" w:hAnsi="Times New Roman" w:cs="Times New Roman"/>
          <w:sz w:val="24"/>
          <w:szCs w:val="24"/>
        </w:rPr>
      </w:pPr>
    </w:p>
    <w:p w:rsidR="006F6042" w:rsidRDefault="00B377D0" w:rsidP="001B4658">
      <w:pPr>
        <w:widowControl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Additional</w:t>
      </w:r>
      <w:r w:rsidR="00ED09B1" w:rsidRPr="00ED09B1">
        <w:rPr>
          <w:rFonts w:ascii="Times New Roman" w:eastAsia="Times New Roman" w:hAnsi="Times New Roman" w:cs="Times New Roman"/>
          <w:sz w:val="24"/>
          <w:szCs w:val="24"/>
        </w:rPr>
        <w:t xml:space="preserve"> qualified investments occurred in the form of grants to local organizations, totaling $</w:t>
      </w:r>
      <w:r w:rsidR="00D94B67">
        <w:rPr>
          <w:rFonts w:ascii="Times New Roman" w:eastAsia="Times New Roman" w:hAnsi="Times New Roman" w:cs="Times New Roman"/>
          <w:sz w:val="24"/>
          <w:szCs w:val="24"/>
        </w:rPr>
        <w:t>289,288</w:t>
      </w:r>
      <w:r w:rsidR="00AF2064">
        <w:rPr>
          <w:rFonts w:ascii="Times New Roman" w:eastAsia="Times New Roman" w:hAnsi="Times New Roman" w:cs="Times New Roman"/>
          <w:sz w:val="24"/>
          <w:szCs w:val="24"/>
        </w:rPr>
        <w:t xml:space="preserve">. </w:t>
      </w:r>
      <w:r w:rsidR="006F6042">
        <w:rPr>
          <w:rFonts w:ascii="Times New Roman" w:hAnsi="Times New Roman" w:cs="Times New Roman"/>
          <w:sz w:val="24"/>
          <w:szCs w:val="24"/>
        </w:rPr>
        <w:t xml:space="preserve">The following are examples of organizations that received qualified donations through </w:t>
      </w:r>
      <w:r w:rsidR="001D27C9">
        <w:rPr>
          <w:rFonts w:ascii="Times New Roman" w:hAnsi="Times New Roman" w:cs="Times New Roman"/>
          <w:sz w:val="24"/>
          <w:szCs w:val="24"/>
        </w:rPr>
        <w:t>the bank</w:t>
      </w:r>
      <w:r w:rsidR="006F6042">
        <w:rPr>
          <w:rFonts w:ascii="Times New Roman" w:hAnsi="Times New Roman" w:cs="Times New Roman"/>
          <w:sz w:val="24"/>
          <w:szCs w:val="24"/>
        </w:rPr>
        <w:t xml:space="preserve"> during the evaluation period.</w:t>
      </w:r>
    </w:p>
    <w:p w:rsidR="00095222" w:rsidRPr="00095222" w:rsidRDefault="00095222" w:rsidP="001B4658">
      <w:pPr>
        <w:widowControl w:val="0"/>
        <w:spacing w:after="0" w:line="240" w:lineRule="auto"/>
        <w:jc w:val="both"/>
        <w:rPr>
          <w:rFonts w:ascii="Times New Roman" w:eastAsia="Times New Roman" w:hAnsi="Times New Roman" w:cs="Times New Roman"/>
          <w:sz w:val="24"/>
          <w:szCs w:val="24"/>
        </w:rPr>
      </w:pPr>
    </w:p>
    <w:p w:rsidR="006F6042" w:rsidRDefault="008C5AFF" w:rsidP="001B4658">
      <w:pPr>
        <w:pStyle w:val="ListParagraph"/>
        <w:numPr>
          <w:ilvl w:val="0"/>
          <w:numId w:val="3"/>
        </w:numPr>
        <w:spacing w:after="0"/>
        <w:jc w:val="both"/>
        <w:rPr>
          <w:rFonts w:ascii="Times New Roman" w:hAnsi="Times New Roman" w:cs="Times New Roman"/>
          <w:sz w:val="24"/>
          <w:szCs w:val="24"/>
        </w:rPr>
      </w:pPr>
      <w:proofErr w:type="spellStart"/>
      <w:r>
        <w:rPr>
          <w:rFonts w:ascii="Times New Roman" w:hAnsi="Times New Roman" w:cs="Times New Roman"/>
          <w:b/>
          <w:sz w:val="24"/>
          <w:szCs w:val="24"/>
        </w:rPr>
        <w:t>MetroWest</w:t>
      </w:r>
      <w:proofErr w:type="spellEnd"/>
      <w:r>
        <w:rPr>
          <w:rFonts w:ascii="Times New Roman" w:hAnsi="Times New Roman" w:cs="Times New Roman"/>
          <w:b/>
          <w:sz w:val="24"/>
          <w:szCs w:val="24"/>
        </w:rPr>
        <w:t xml:space="preserve"> Collaborative Development, Inc</w:t>
      </w:r>
      <w:r w:rsidR="00B47684">
        <w:rPr>
          <w:rFonts w:ascii="Times New Roman" w:hAnsi="Times New Roman" w:cs="Times New Roman"/>
          <w:b/>
          <w:sz w:val="24"/>
          <w:szCs w:val="24"/>
        </w:rPr>
        <w:t>.</w:t>
      </w:r>
      <w:r w:rsidR="006F6042" w:rsidRPr="000015B8">
        <w:rPr>
          <w:rFonts w:ascii="Times New Roman" w:hAnsi="Times New Roman" w:cs="Times New Roman"/>
          <w:b/>
          <w:sz w:val="24"/>
          <w:szCs w:val="24"/>
        </w:rPr>
        <w:t xml:space="preserve"> –</w:t>
      </w:r>
      <w:r w:rsidR="006F6042">
        <w:rPr>
          <w:rFonts w:ascii="Times New Roman" w:hAnsi="Times New Roman" w:cs="Times New Roman"/>
          <w:sz w:val="24"/>
          <w:szCs w:val="24"/>
        </w:rPr>
        <w:t xml:space="preserve"> </w:t>
      </w:r>
      <w:r>
        <w:rPr>
          <w:rFonts w:ascii="Times New Roman" w:hAnsi="Times New Roman" w:cs="Times New Roman"/>
          <w:sz w:val="24"/>
          <w:szCs w:val="24"/>
        </w:rPr>
        <w:t>This Newton-based community development organization advocates and develops affordable housing in the area</w:t>
      </w:r>
      <w:r w:rsidR="00AF2064">
        <w:rPr>
          <w:rFonts w:ascii="Times New Roman" w:hAnsi="Times New Roman" w:cs="Times New Roman"/>
          <w:sz w:val="24"/>
          <w:szCs w:val="24"/>
        </w:rPr>
        <w:t xml:space="preserve">. </w:t>
      </w:r>
      <w:r w:rsidR="007130F4">
        <w:rPr>
          <w:rFonts w:ascii="Times New Roman" w:hAnsi="Times New Roman" w:cs="Times New Roman"/>
          <w:sz w:val="24"/>
          <w:szCs w:val="24"/>
        </w:rPr>
        <w:t xml:space="preserve">The organization provides services for low-income individuals, whether they </w:t>
      </w:r>
      <w:r w:rsidR="00AF2064">
        <w:rPr>
          <w:rFonts w:ascii="Times New Roman" w:hAnsi="Times New Roman" w:cs="Times New Roman"/>
          <w:sz w:val="24"/>
          <w:szCs w:val="24"/>
        </w:rPr>
        <w:t>are</w:t>
      </w:r>
      <w:r w:rsidR="007130F4">
        <w:rPr>
          <w:rFonts w:ascii="Times New Roman" w:hAnsi="Times New Roman" w:cs="Times New Roman"/>
          <w:sz w:val="24"/>
          <w:szCs w:val="24"/>
        </w:rPr>
        <w:t xml:space="preserve"> prospective homeowners or renters</w:t>
      </w:r>
      <w:r w:rsidR="00AF2064">
        <w:rPr>
          <w:rFonts w:ascii="Times New Roman" w:hAnsi="Times New Roman" w:cs="Times New Roman"/>
          <w:sz w:val="24"/>
          <w:szCs w:val="24"/>
        </w:rPr>
        <w:t xml:space="preserve">. </w:t>
      </w:r>
      <w:r>
        <w:rPr>
          <w:rFonts w:ascii="Times New Roman" w:hAnsi="Times New Roman" w:cs="Times New Roman"/>
          <w:sz w:val="24"/>
          <w:szCs w:val="24"/>
        </w:rPr>
        <w:t>The aim is to build support for Community Development through with partners and constituents</w:t>
      </w:r>
      <w:r w:rsidR="00AF2064">
        <w:rPr>
          <w:rFonts w:ascii="Times New Roman" w:hAnsi="Times New Roman" w:cs="Times New Roman"/>
          <w:sz w:val="24"/>
          <w:szCs w:val="24"/>
        </w:rPr>
        <w:t xml:space="preserve">. </w:t>
      </w:r>
      <w:r w:rsidR="007130F4">
        <w:rPr>
          <w:rFonts w:ascii="Times New Roman" w:hAnsi="Times New Roman" w:cs="Times New Roman"/>
          <w:sz w:val="24"/>
          <w:szCs w:val="24"/>
        </w:rPr>
        <w:t xml:space="preserve">The bank </w:t>
      </w:r>
      <w:proofErr w:type="gramStart"/>
      <w:r w:rsidR="007130F4">
        <w:rPr>
          <w:rFonts w:ascii="Times New Roman" w:hAnsi="Times New Roman" w:cs="Times New Roman"/>
          <w:sz w:val="24"/>
          <w:szCs w:val="24"/>
        </w:rPr>
        <w:t>made a donation</w:t>
      </w:r>
      <w:proofErr w:type="gramEnd"/>
      <w:r w:rsidR="007130F4">
        <w:rPr>
          <w:rFonts w:ascii="Times New Roman" w:hAnsi="Times New Roman" w:cs="Times New Roman"/>
          <w:sz w:val="24"/>
          <w:szCs w:val="24"/>
        </w:rPr>
        <w:t xml:space="preserve"> to this organization in 2017.</w:t>
      </w:r>
    </w:p>
    <w:p w:rsidR="008C5AFF" w:rsidRDefault="008C5AFF" w:rsidP="001B4658">
      <w:pPr>
        <w:pStyle w:val="ListParagraph"/>
        <w:spacing w:after="0"/>
        <w:jc w:val="both"/>
        <w:rPr>
          <w:rFonts w:ascii="Times New Roman" w:hAnsi="Times New Roman" w:cs="Times New Roman"/>
          <w:sz w:val="24"/>
          <w:szCs w:val="24"/>
        </w:rPr>
      </w:pPr>
    </w:p>
    <w:p w:rsidR="007130F4" w:rsidRPr="00D05F38" w:rsidRDefault="007130F4" w:rsidP="001B4658">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b/>
          <w:sz w:val="24"/>
          <w:szCs w:val="24"/>
        </w:rPr>
        <w:t>St</w:t>
      </w:r>
      <w:r w:rsidR="00323993">
        <w:rPr>
          <w:rFonts w:ascii="Times New Roman" w:hAnsi="Times New Roman" w:cs="Times New Roman"/>
          <w:b/>
          <w:sz w:val="24"/>
          <w:szCs w:val="24"/>
        </w:rPr>
        <w:t xml:space="preserve">. </w:t>
      </w:r>
      <w:r>
        <w:rPr>
          <w:rFonts w:ascii="Times New Roman" w:hAnsi="Times New Roman" w:cs="Times New Roman"/>
          <w:b/>
          <w:sz w:val="24"/>
          <w:szCs w:val="24"/>
        </w:rPr>
        <w:t xml:space="preserve">Patrick: </w:t>
      </w:r>
      <w:proofErr w:type="spellStart"/>
      <w:r>
        <w:rPr>
          <w:rFonts w:ascii="Times New Roman" w:hAnsi="Times New Roman" w:cs="Times New Roman"/>
          <w:b/>
          <w:sz w:val="24"/>
          <w:szCs w:val="24"/>
        </w:rPr>
        <w:t>SVDP</w:t>
      </w:r>
      <w:proofErr w:type="spellEnd"/>
      <w:r>
        <w:rPr>
          <w:rFonts w:ascii="Times New Roman" w:hAnsi="Times New Roman" w:cs="Times New Roman"/>
          <w:b/>
          <w:sz w:val="24"/>
          <w:szCs w:val="24"/>
        </w:rPr>
        <w:t xml:space="preserve"> Food Pantry</w:t>
      </w:r>
      <w:r w:rsidR="006F6042">
        <w:rPr>
          <w:rFonts w:ascii="Times New Roman" w:hAnsi="Times New Roman" w:cs="Times New Roman"/>
          <w:b/>
          <w:sz w:val="24"/>
          <w:szCs w:val="24"/>
        </w:rPr>
        <w:t xml:space="preserve"> –</w:t>
      </w:r>
      <w:r w:rsidR="006F6042">
        <w:rPr>
          <w:rFonts w:ascii="Times New Roman" w:hAnsi="Times New Roman" w:cs="Times New Roman"/>
          <w:sz w:val="24"/>
          <w:szCs w:val="24"/>
        </w:rPr>
        <w:t xml:space="preserve"> </w:t>
      </w:r>
      <w:r>
        <w:rPr>
          <w:rFonts w:ascii="Times New Roman" w:hAnsi="Times New Roman" w:cs="Times New Roman"/>
          <w:sz w:val="24"/>
          <w:szCs w:val="24"/>
        </w:rPr>
        <w:t>This Watertown non-profit provides food for individuals in need</w:t>
      </w:r>
      <w:r w:rsidR="00323993">
        <w:rPr>
          <w:rFonts w:ascii="Times New Roman" w:hAnsi="Times New Roman" w:cs="Times New Roman"/>
          <w:sz w:val="24"/>
          <w:szCs w:val="24"/>
        </w:rPr>
        <w:t xml:space="preserve">. </w:t>
      </w:r>
      <w:r w:rsidR="001D27C9">
        <w:rPr>
          <w:rFonts w:ascii="Times New Roman" w:hAnsi="Times New Roman" w:cs="Times New Roman"/>
          <w:sz w:val="24"/>
          <w:szCs w:val="24"/>
        </w:rPr>
        <w:t>The bank</w:t>
      </w:r>
      <w:r w:rsidR="006F6042">
        <w:rPr>
          <w:rFonts w:ascii="Times New Roman" w:hAnsi="Times New Roman" w:cs="Times New Roman"/>
          <w:sz w:val="24"/>
          <w:szCs w:val="24"/>
        </w:rPr>
        <w:t xml:space="preserve"> </w:t>
      </w:r>
      <w:proofErr w:type="gramStart"/>
      <w:r w:rsidR="006F6042">
        <w:rPr>
          <w:rFonts w:ascii="Times New Roman" w:hAnsi="Times New Roman" w:cs="Times New Roman"/>
          <w:sz w:val="24"/>
          <w:szCs w:val="24"/>
        </w:rPr>
        <w:t xml:space="preserve">made </w:t>
      </w:r>
      <w:r>
        <w:rPr>
          <w:rFonts w:ascii="Times New Roman" w:hAnsi="Times New Roman" w:cs="Times New Roman"/>
          <w:sz w:val="24"/>
          <w:szCs w:val="24"/>
        </w:rPr>
        <w:t xml:space="preserve">annual </w:t>
      </w:r>
      <w:r w:rsidR="006F6042">
        <w:rPr>
          <w:rFonts w:ascii="Times New Roman" w:hAnsi="Times New Roman" w:cs="Times New Roman"/>
          <w:sz w:val="24"/>
          <w:szCs w:val="24"/>
        </w:rPr>
        <w:t>donat</w:t>
      </w:r>
      <w:r>
        <w:rPr>
          <w:rFonts w:ascii="Times New Roman" w:hAnsi="Times New Roman" w:cs="Times New Roman"/>
          <w:sz w:val="24"/>
          <w:szCs w:val="24"/>
        </w:rPr>
        <w:t>ions</w:t>
      </w:r>
      <w:proofErr w:type="gramEnd"/>
      <w:r>
        <w:rPr>
          <w:rFonts w:ascii="Times New Roman" w:hAnsi="Times New Roman" w:cs="Times New Roman"/>
          <w:sz w:val="24"/>
          <w:szCs w:val="24"/>
        </w:rPr>
        <w:t xml:space="preserve"> to the organization in</w:t>
      </w:r>
      <w:r w:rsidR="006F6042">
        <w:rPr>
          <w:rFonts w:ascii="Times New Roman" w:hAnsi="Times New Roman" w:cs="Times New Roman"/>
          <w:sz w:val="24"/>
          <w:szCs w:val="24"/>
        </w:rPr>
        <w:t xml:space="preserve"> 2017 and 2018</w:t>
      </w:r>
      <w:r>
        <w:rPr>
          <w:rFonts w:ascii="Times New Roman" w:hAnsi="Times New Roman" w:cs="Times New Roman"/>
          <w:sz w:val="24"/>
          <w:szCs w:val="24"/>
        </w:rPr>
        <w:t xml:space="preserve"> as part of their “Customer Choice” philanthropic initiative</w:t>
      </w:r>
      <w:r w:rsidR="006F6042">
        <w:rPr>
          <w:rFonts w:ascii="Times New Roman" w:hAnsi="Times New Roman" w:cs="Times New Roman"/>
          <w:sz w:val="24"/>
          <w:szCs w:val="24"/>
        </w:rPr>
        <w:t>.</w:t>
      </w:r>
    </w:p>
    <w:p w:rsidR="007130F4" w:rsidRPr="007130F4" w:rsidRDefault="007130F4" w:rsidP="001B4658">
      <w:pPr>
        <w:pStyle w:val="ListParagraph"/>
        <w:spacing w:after="0"/>
        <w:jc w:val="both"/>
        <w:rPr>
          <w:rFonts w:ascii="Times New Roman" w:hAnsi="Times New Roman" w:cs="Times New Roman"/>
          <w:sz w:val="24"/>
          <w:szCs w:val="24"/>
        </w:rPr>
      </w:pPr>
    </w:p>
    <w:p w:rsidR="008C5AFF" w:rsidRDefault="007130F4" w:rsidP="001B4658">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b/>
          <w:sz w:val="24"/>
          <w:szCs w:val="24"/>
        </w:rPr>
        <w:t>American Red Cross: Hurricane Harvey</w:t>
      </w:r>
      <w:r w:rsidR="006F6042">
        <w:rPr>
          <w:rFonts w:ascii="Times New Roman" w:hAnsi="Times New Roman" w:cs="Times New Roman"/>
          <w:b/>
          <w:sz w:val="24"/>
          <w:szCs w:val="24"/>
        </w:rPr>
        <w:t xml:space="preserve"> </w:t>
      </w:r>
      <w:r>
        <w:rPr>
          <w:rFonts w:ascii="Times New Roman" w:hAnsi="Times New Roman" w:cs="Times New Roman"/>
          <w:b/>
          <w:sz w:val="24"/>
          <w:szCs w:val="24"/>
        </w:rPr>
        <w:t>–</w:t>
      </w:r>
      <w:r w:rsidR="006F6042">
        <w:rPr>
          <w:rFonts w:ascii="Times New Roman" w:hAnsi="Times New Roman" w:cs="Times New Roman"/>
          <w:b/>
          <w:sz w:val="24"/>
          <w:szCs w:val="24"/>
        </w:rPr>
        <w:t xml:space="preserve"> </w:t>
      </w:r>
      <w:r>
        <w:rPr>
          <w:rFonts w:ascii="Times New Roman" w:hAnsi="Times New Roman" w:cs="Times New Roman"/>
          <w:sz w:val="24"/>
          <w:szCs w:val="24"/>
        </w:rPr>
        <w:t xml:space="preserve">Declared a national emergency in August of 2017, </w:t>
      </w:r>
      <w:r w:rsidR="00E95DC5">
        <w:rPr>
          <w:rFonts w:ascii="Times New Roman" w:hAnsi="Times New Roman" w:cs="Times New Roman"/>
          <w:sz w:val="24"/>
          <w:szCs w:val="24"/>
        </w:rPr>
        <w:t>the Red Cross responded to the needs of the disaster area in Texas</w:t>
      </w:r>
      <w:r w:rsidR="00323993">
        <w:rPr>
          <w:rFonts w:ascii="Times New Roman" w:hAnsi="Times New Roman" w:cs="Times New Roman"/>
          <w:sz w:val="24"/>
          <w:szCs w:val="24"/>
        </w:rPr>
        <w:t xml:space="preserve">. </w:t>
      </w:r>
      <w:r w:rsidR="00E95DC5">
        <w:rPr>
          <w:rFonts w:ascii="Times New Roman" w:hAnsi="Times New Roman" w:cs="Times New Roman"/>
          <w:sz w:val="24"/>
          <w:szCs w:val="24"/>
        </w:rPr>
        <w:t>The bank utilized an employee match program and donated to the Red Cross to support their revitalization efforts in 2017.</w:t>
      </w:r>
    </w:p>
    <w:p w:rsidR="008C5AFF" w:rsidRPr="008C5AFF" w:rsidRDefault="008C5AFF" w:rsidP="001B4658">
      <w:pPr>
        <w:spacing w:after="0"/>
        <w:jc w:val="both"/>
        <w:rPr>
          <w:rFonts w:ascii="Times New Roman" w:hAnsi="Times New Roman" w:cs="Times New Roman"/>
          <w:sz w:val="24"/>
          <w:szCs w:val="24"/>
        </w:rPr>
      </w:pPr>
    </w:p>
    <w:p w:rsidR="006F6042" w:rsidRDefault="006F6042" w:rsidP="001B4658">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b/>
          <w:sz w:val="24"/>
          <w:szCs w:val="24"/>
        </w:rPr>
        <w:t xml:space="preserve">REACH Beyond Domestic Violence - </w:t>
      </w:r>
      <w:r>
        <w:rPr>
          <w:rFonts w:ascii="Times New Roman" w:hAnsi="Times New Roman" w:cs="Times New Roman"/>
          <w:sz w:val="24"/>
          <w:szCs w:val="24"/>
        </w:rPr>
        <w:t>REACH is a non-profit organization focused on addressing domestic violence through both intervention and prevention services</w:t>
      </w:r>
      <w:r w:rsidR="00323993">
        <w:rPr>
          <w:rFonts w:ascii="Times New Roman" w:hAnsi="Times New Roman" w:cs="Times New Roman"/>
          <w:sz w:val="24"/>
          <w:szCs w:val="24"/>
        </w:rPr>
        <w:t xml:space="preserve">. </w:t>
      </w:r>
      <w:r>
        <w:rPr>
          <w:rFonts w:ascii="Times New Roman" w:hAnsi="Times New Roman" w:cs="Times New Roman"/>
          <w:sz w:val="24"/>
          <w:szCs w:val="24"/>
        </w:rPr>
        <w:t>REACH is located in Waltham</w:t>
      </w:r>
      <w:r w:rsidR="00323993">
        <w:rPr>
          <w:rFonts w:ascii="Times New Roman" w:hAnsi="Times New Roman" w:cs="Times New Roman"/>
          <w:sz w:val="24"/>
          <w:szCs w:val="24"/>
        </w:rPr>
        <w:t xml:space="preserve">. </w:t>
      </w:r>
      <w:r>
        <w:rPr>
          <w:rFonts w:ascii="Times New Roman" w:hAnsi="Times New Roman" w:cs="Times New Roman"/>
          <w:sz w:val="24"/>
          <w:szCs w:val="24"/>
        </w:rPr>
        <w:t xml:space="preserve">REACH received donations from </w:t>
      </w:r>
      <w:r w:rsidR="001D27C9">
        <w:rPr>
          <w:rFonts w:ascii="Times New Roman" w:hAnsi="Times New Roman" w:cs="Times New Roman"/>
          <w:sz w:val="24"/>
          <w:szCs w:val="24"/>
        </w:rPr>
        <w:t>the bank</w:t>
      </w:r>
      <w:r>
        <w:rPr>
          <w:rFonts w:ascii="Times New Roman" w:hAnsi="Times New Roman" w:cs="Times New Roman"/>
          <w:sz w:val="24"/>
          <w:szCs w:val="24"/>
        </w:rPr>
        <w:t xml:space="preserve"> in 2017 and 2018.</w:t>
      </w:r>
    </w:p>
    <w:p w:rsidR="00E95DC5" w:rsidRPr="00E95DC5" w:rsidRDefault="00E95DC5" w:rsidP="001B4658">
      <w:pPr>
        <w:pStyle w:val="ListParagraph"/>
        <w:spacing w:after="0"/>
        <w:jc w:val="both"/>
        <w:rPr>
          <w:rFonts w:ascii="Times New Roman" w:hAnsi="Times New Roman" w:cs="Times New Roman"/>
          <w:sz w:val="24"/>
          <w:szCs w:val="24"/>
        </w:rPr>
      </w:pPr>
    </w:p>
    <w:p w:rsidR="00275E6E" w:rsidRPr="00D05F38" w:rsidRDefault="00E95DC5" w:rsidP="001B4658">
      <w:pPr>
        <w:pStyle w:val="ListParagraph"/>
        <w:numPr>
          <w:ilvl w:val="0"/>
          <w:numId w:val="3"/>
        </w:numPr>
        <w:spacing w:after="0"/>
        <w:jc w:val="both"/>
        <w:rPr>
          <w:rFonts w:ascii="Times New Roman" w:hAnsi="Times New Roman" w:cs="Times New Roman"/>
          <w:b/>
          <w:sz w:val="24"/>
          <w:szCs w:val="24"/>
        </w:rPr>
      </w:pPr>
      <w:r w:rsidRPr="00E95DC5">
        <w:rPr>
          <w:rFonts w:ascii="Times New Roman" w:hAnsi="Times New Roman" w:cs="Times New Roman"/>
          <w:b/>
          <w:sz w:val="24"/>
          <w:szCs w:val="24"/>
        </w:rPr>
        <w:t>More than Words</w:t>
      </w:r>
      <w:r>
        <w:rPr>
          <w:rFonts w:ascii="Times New Roman" w:hAnsi="Times New Roman" w:cs="Times New Roman"/>
          <w:b/>
          <w:sz w:val="24"/>
          <w:szCs w:val="24"/>
        </w:rPr>
        <w:t xml:space="preserve"> </w:t>
      </w:r>
      <w:r>
        <w:rPr>
          <w:rFonts w:ascii="Times New Roman" w:hAnsi="Times New Roman" w:cs="Times New Roman"/>
          <w:sz w:val="24"/>
          <w:szCs w:val="24"/>
        </w:rPr>
        <w:t>– A nonprofit social enterprise, the organization focuses on building skills of the most vulnerable youth in the Greater Boston area</w:t>
      </w:r>
      <w:r w:rsidR="00323993">
        <w:rPr>
          <w:rFonts w:ascii="Times New Roman" w:hAnsi="Times New Roman" w:cs="Times New Roman"/>
          <w:sz w:val="24"/>
          <w:szCs w:val="24"/>
        </w:rPr>
        <w:t xml:space="preserve">. </w:t>
      </w:r>
      <w:r>
        <w:rPr>
          <w:rFonts w:ascii="Times New Roman" w:hAnsi="Times New Roman" w:cs="Times New Roman"/>
          <w:sz w:val="24"/>
          <w:szCs w:val="24"/>
        </w:rPr>
        <w:t xml:space="preserve">This includes the homeless, court-involved, or foster care </w:t>
      </w:r>
      <w:r w:rsidR="00275E6E">
        <w:rPr>
          <w:rFonts w:ascii="Times New Roman" w:hAnsi="Times New Roman" w:cs="Times New Roman"/>
          <w:sz w:val="24"/>
          <w:szCs w:val="24"/>
        </w:rPr>
        <w:t>recipients</w:t>
      </w:r>
      <w:r w:rsidR="00323993">
        <w:rPr>
          <w:rFonts w:ascii="Times New Roman" w:hAnsi="Times New Roman" w:cs="Times New Roman"/>
          <w:sz w:val="24"/>
          <w:szCs w:val="24"/>
        </w:rPr>
        <w:t xml:space="preserve">. </w:t>
      </w:r>
      <w:r>
        <w:rPr>
          <w:rFonts w:ascii="Times New Roman" w:hAnsi="Times New Roman" w:cs="Times New Roman"/>
          <w:sz w:val="24"/>
          <w:szCs w:val="24"/>
        </w:rPr>
        <w:t xml:space="preserve">These individuals </w:t>
      </w:r>
      <w:proofErr w:type="gramStart"/>
      <w:r>
        <w:rPr>
          <w:rFonts w:ascii="Times New Roman" w:hAnsi="Times New Roman" w:cs="Times New Roman"/>
          <w:sz w:val="24"/>
          <w:szCs w:val="24"/>
        </w:rPr>
        <w:t>are given</w:t>
      </w:r>
      <w:proofErr w:type="gramEnd"/>
      <w:r>
        <w:rPr>
          <w:rFonts w:ascii="Times New Roman" w:hAnsi="Times New Roman" w:cs="Times New Roman"/>
          <w:sz w:val="24"/>
          <w:szCs w:val="24"/>
        </w:rPr>
        <w:t xml:space="preserve"> employment in the </w:t>
      </w:r>
      <w:r>
        <w:rPr>
          <w:rFonts w:ascii="Times New Roman" w:hAnsi="Times New Roman" w:cs="Times New Roman"/>
          <w:sz w:val="24"/>
          <w:szCs w:val="24"/>
        </w:rPr>
        <w:lastRenderedPageBreak/>
        <w:t>bookselling business, and are provided with workforce development skill through workshops, site visits and mentoring</w:t>
      </w:r>
      <w:r w:rsidR="00323993">
        <w:rPr>
          <w:rFonts w:ascii="Times New Roman" w:hAnsi="Times New Roman" w:cs="Times New Roman"/>
          <w:sz w:val="24"/>
          <w:szCs w:val="24"/>
        </w:rPr>
        <w:t xml:space="preserve">. </w:t>
      </w:r>
      <w:r w:rsidR="00275E6E">
        <w:rPr>
          <w:rFonts w:ascii="Times New Roman" w:hAnsi="Times New Roman" w:cs="Times New Roman"/>
          <w:sz w:val="24"/>
          <w:szCs w:val="24"/>
        </w:rPr>
        <w:t xml:space="preserve">The bank </w:t>
      </w:r>
      <w:proofErr w:type="gramStart"/>
      <w:r w:rsidR="00275E6E">
        <w:rPr>
          <w:rFonts w:ascii="Times New Roman" w:hAnsi="Times New Roman" w:cs="Times New Roman"/>
          <w:sz w:val="24"/>
          <w:szCs w:val="24"/>
        </w:rPr>
        <w:t>made donations</w:t>
      </w:r>
      <w:proofErr w:type="gramEnd"/>
      <w:r w:rsidR="00275E6E">
        <w:rPr>
          <w:rFonts w:ascii="Times New Roman" w:hAnsi="Times New Roman" w:cs="Times New Roman"/>
          <w:sz w:val="24"/>
          <w:szCs w:val="24"/>
        </w:rPr>
        <w:t xml:space="preserve"> to this organization in 2017 and 2018.</w:t>
      </w:r>
    </w:p>
    <w:p w:rsidR="00275E6E" w:rsidRPr="00275E6E" w:rsidRDefault="00275E6E" w:rsidP="001B4658">
      <w:pPr>
        <w:pStyle w:val="ListParagraph"/>
        <w:spacing w:after="0"/>
        <w:jc w:val="both"/>
        <w:rPr>
          <w:rFonts w:ascii="Times New Roman" w:hAnsi="Times New Roman" w:cs="Times New Roman"/>
          <w:b/>
          <w:sz w:val="24"/>
          <w:szCs w:val="24"/>
        </w:rPr>
      </w:pPr>
    </w:p>
    <w:p w:rsidR="006F6042" w:rsidRDefault="006F6042" w:rsidP="001B4658">
      <w:pPr>
        <w:pStyle w:val="ListParagraph"/>
        <w:numPr>
          <w:ilvl w:val="0"/>
          <w:numId w:val="3"/>
        </w:numPr>
        <w:spacing w:after="0"/>
        <w:jc w:val="both"/>
        <w:rPr>
          <w:rFonts w:ascii="Times New Roman" w:hAnsi="Times New Roman" w:cs="Times New Roman"/>
          <w:sz w:val="24"/>
          <w:szCs w:val="24"/>
        </w:rPr>
      </w:pPr>
      <w:proofErr w:type="spellStart"/>
      <w:r>
        <w:rPr>
          <w:rFonts w:ascii="Times New Roman" w:hAnsi="Times New Roman" w:cs="Times New Roman"/>
          <w:b/>
          <w:sz w:val="24"/>
          <w:szCs w:val="24"/>
        </w:rPr>
        <w:t>Chesterbrook</w:t>
      </w:r>
      <w:proofErr w:type="spellEnd"/>
      <w:r>
        <w:rPr>
          <w:rFonts w:ascii="Times New Roman" w:hAnsi="Times New Roman" w:cs="Times New Roman"/>
          <w:b/>
          <w:sz w:val="24"/>
          <w:szCs w:val="24"/>
        </w:rPr>
        <w:t xml:space="preserve"> Community Foundation, Inc</w:t>
      </w:r>
      <w:r w:rsidR="00323993">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The foundation provides mentoring, academic support, and after-school and evening programs to children and teens living in public housing in Waltham</w:t>
      </w:r>
      <w:r w:rsidR="00323993">
        <w:rPr>
          <w:rFonts w:ascii="Times New Roman" w:hAnsi="Times New Roman" w:cs="Times New Roman"/>
          <w:sz w:val="24"/>
          <w:szCs w:val="24"/>
        </w:rPr>
        <w:t xml:space="preserve">. </w:t>
      </w:r>
      <w:r w:rsidR="001D27C9">
        <w:rPr>
          <w:rFonts w:ascii="Times New Roman" w:hAnsi="Times New Roman" w:cs="Times New Roman"/>
          <w:sz w:val="24"/>
          <w:szCs w:val="24"/>
        </w:rPr>
        <w:t>The bank</w:t>
      </w:r>
      <w:r>
        <w:rPr>
          <w:rFonts w:ascii="Times New Roman" w:hAnsi="Times New Roman" w:cs="Times New Roman"/>
          <w:sz w:val="24"/>
          <w:szCs w:val="24"/>
        </w:rPr>
        <w:t xml:space="preserve"> </w:t>
      </w:r>
      <w:proofErr w:type="gramStart"/>
      <w:r>
        <w:rPr>
          <w:rFonts w:ascii="Times New Roman" w:hAnsi="Times New Roman" w:cs="Times New Roman"/>
          <w:sz w:val="24"/>
          <w:szCs w:val="24"/>
        </w:rPr>
        <w:t>made donations</w:t>
      </w:r>
      <w:proofErr w:type="gramEnd"/>
      <w:r>
        <w:rPr>
          <w:rFonts w:ascii="Times New Roman" w:hAnsi="Times New Roman" w:cs="Times New Roman"/>
          <w:sz w:val="24"/>
          <w:szCs w:val="24"/>
        </w:rPr>
        <w:t xml:space="preserve"> to the foundation in 2017 and 2018.</w:t>
      </w:r>
    </w:p>
    <w:p w:rsidR="00D05F38" w:rsidRDefault="00D05F38" w:rsidP="001B4658">
      <w:pPr>
        <w:pStyle w:val="ListParagraph"/>
        <w:spacing w:after="0"/>
        <w:jc w:val="both"/>
        <w:rPr>
          <w:rFonts w:ascii="Times New Roman" w:hAnsi="Times New Roman" w:cs="Times New Roman"/>
          <w:sz w:val="24"/>
          <w:szCs w:val="24"/>
        </w:rPr>
      </w:pPr>
    </w:p>
    <w:p w:rsidR="006F1309" w:rsidRPr="006F1309" w:rsidRDefault="00D05F38" w:rsidP="001B4658">
      <w:pPr>
        <w:pStyle w:val="ListParagraph"/>
        <w:numPr>
          <w:ilvl w:val="0"/>
          <w:numId w:val="3"/>
        </w:numPr>
        <w:spacing w:after="0"/>
        <w:jc w:val="both"/>
        <w:rPr>
          <w:rFonts w:ascii="Times New Roman" w:hAnsi="Times New Roman" w:cs="Times New Roman"/>
          <w:sz w:val="24"/>
          <w:szCs w:val="24"/>
        </w:rPr>
      </w:pPr>
      <w:proofErr w:type="gramStart"/>
      <w:r>
        <w:rPr>
          <w:rFonts w:ascii="Times New Roman" w:hAnsi="Times New Roman" w:cs="Times New Roman"/>
          <w:b/>
          <w:sz w:val="24"/>
          <w:szCs w:val="24"/>
        </w:rPr>
        <w:t xml:space="preserve">Boys and Girls Clubs – </w:t>
      </w:r>
      <w:r>
        <w:rPr>
          <w:rFonts w:ascii="Times New Roman" w:hAnsi="Times New Roman" w:cs="Times New Roman"/>
          <w:sz w:val="24"/>
          <w:szCs w:val="24"/>
        </w:rPr>
        <w:t>Multiple Boys and Girls clubs in the area (Newton, Waltham, and Watertown) focus on providing</w:t>
      </w:r>
      <w:r w:rsidR="00095222">
        <w:rPr>
          <w:rFonts w:ascii="Times New Roman" w:hAnsi="Times New Roman" w:cs="Times New Roman"/>
          <w:sz w:val="24"/>
          <w:szCs w:val="24"/>
        </w:rPr>
        <w:t xml:space="preserve"> academic and enrichment</w:t>
      </w:r>
      <w:r>
        <w:rPr>
          <w:rFonts w:ascii="Times New Roman" w:hAnsi="Times New Roman" w:cs="Times New Roman"/>
          <w:sz w:val="24"/>
          <w:szCs w:val="24"/>
        </w:rPr>
        <w:t xml:space="preserve"> support services for low- and moderate-income youth</w:t>
      </w:r>
      <w:r w:rsidR="00323993">
        <w:rPr>
          <w:rFonts w:ascii="Times New Roman" w:hAnsi="Times New Roman" w:cs="Times New Roman"/>
          <w:sz w:val="24"/>
          <w:szCs w:val="24"/>
        </w:rPr>
        <w:t>.</w:t>
      </w:r>
      <w:proofErr w:type="gramEnd"/>
      <w:r w:rsidR="00323993">
        <w:rPr>
          <w:rFonts w:ascii="Times New Roman" w:hAnsi="Times New Roman" w:cs="Times New Roman"/>
          <w:sz w:val="24"/>
          <w:szCs w:val="24"/>
        </w:rPr>
        <w:t xml:space="preserve"> </w:t>
      </w:r>
      <w:r>
        <w:rPr>
          <w:rFonts w:ascii="Times New Roman" w:hAnsi="Times New Roman" w:cs="Times New Roman"/>
          <w:sz w:val="24"/>
          <w:szCs w:val="24"/>
        </w:rPr>
        <w:t xml:space="preserve">The bank </w:t>
      </w:r>
      <w:proofErr w:type="gramStart"/>
      <w:r>
        <w:rPr>
          <w:rFonts w:ascii="Times New Roman" w:hAnsi="Times New Roman" w:cs="Times New Roman"/>
          <w:sz w:val="24"/>
          <w:szCs w:val="24"/>
        </w:rPr>
        <w:t>made multiple donations</w:t>
      </w:r>
      <w:proofErr w:type="gramEnd"/>
      <w:r>
        <w:rPr>
          <w:rFonts w:ascii="Times New Roman" w:hAnsi="Times New Roman" w:cs="Times New Roman"/>
          <w:sz w:val="24"/>
          <w:szCs w:val="24"/>
        </w:rPr>
        <w:t xml:space="preserve"> to these qualified organizations in 2016, 2017, and 2018, providing essential funds.</w:t>
      </w:r>
    </w:p>
    <w:p w:rsidR="006F1309" w:rsidRDefault="006F1309" w:rsidP="001B4658">
      <w:pPr>
        <w:pStyle w:val="ListParagraph"/>
        <w:spacing w:after="0"/>
        <w:jc w:val="both"/>
        <w:rPr>
          <w:rFonts w:ascii="Times New Roman" w:hAnsi="Times New Roman" w:cs="Times New Roman"/>
          <w:sz w:val="24"/>
          <w:szCs w:val="24"/>
        </w:rPr>
      </w:pPr>
    </w:p>
    <w:p w:rsidR="00B9568A" w:rsidRPr="00B9568A" w:rsidRDefault="00B9568A" w:rsidP="001B4658">
      <w:pPr>
        <w:spacing w:after="0" w:line="240" w:lineRule="auto"/>
        <w:jc w:val="both"/>
        <w:rPr>
          <w:rFonts w:ascii="Times New Roman" w:eastAsia="Times New Roman" w:hAnsi="Times New Roman" w:cs="Times New Roman"/>
          <w:b/>
          <w:bCs/>
          <w:color w:val="000000"/>
          <w:sz w:val="24"/>
          <w:szCs w:val="24"/>
          <w:u w:val="single"/>
        </w:rPr>
      </w:pPr>
      <w:r w:rsidRPr="00B9568A">
        <w:rPr>
          <w:rFonts w:ascii="Times New Roman" w:eastAsia="Times New Roman" w:hAnsi="Times New Roman" w:cs="Times New Roman"/>
          <w:b/>
          <w:bCs/>
          <w:color w:val="000000"/>
          <w:sz w:val="24"/>
          <w:szCs w:val="24"/>
          <w:u w:val="single"/>
        </w:rPr>
        <w:t>Community Development Services</w:t>
      </w:r>
    </w:p>
    <w:p w:rsidR="00B9568A" w:rsidRPr="00B9568A" w:rsidRDefault="00B9568A" w:rsidP="001B4658">
      <w:pPr>
        <w:spacing w:after="0" w:line="240" w:lineRule="auto"/>
        <w:jc w:val="both"/>
        <w:rPr>
          <w:rFonts w:ascii="Times New Roman" w:eastAsia="Times New Roman" w:hAnsi="Times New Roman" w:cs="Times New Roman"/>
          <w:color w:val="000000"/>
          <w:sz w:val="24"/>
          <w:szCs w:val="24"/>
        </w:rPr>
      </w:pPr>
    </w:p>
    <w:p w:rsidR="00B9568A" w:rsidRPr="00B9568A" w:rsidRDefault="00B9568A" w:rsidP="001B4658">
      <w:pPr>
        <w:spacing w:after="0" w:line="240" w:lineRule="auto"/>
        <w:jc w:val="both"/>
        <w:rPr>
          <w:rFonts w:ascii="Times New Roman" w:eastAsia="Times New Roman" w:hAnsi="Times New Roman" w:cs="Times New Roman"/>
          <w:color w:val="000000"/>
          <w:sz w:val="24"/>
          <w:szCs w:val="24"/>
        </w:rPr>
      </w:pPr>
      <w:r w:rsidRPr="00B9568A">
        <w:rPr>
          <w:rFonts w:ascii="Times New Roman" w:eastAsia="Times New Roman" w:hAnsi="Times New Roman" w:cs="Times New Roman"/>
          <w:color w:val="000000"/>
          <w:sz w:val="24"/>
          <w:szCs w:val="24"/>
        </w:rPr>
        <w:t>During the evaluation per</w:t>
      </w:r>
      <w:r>
        <w:rPr>
          <w:rFonts w:ascii="Times New Roman" w:eastAsia="Times New Roman" w:hAnsi="Times New Roman" w:cs="Times New Roman"/>
          <w:color w:val="000000"/>
          <w:sz w:val="24"/>
          <w:szCs w:val="24"/>
        </w:rPr>
        <w:t>iod, bank employees provided 54</w:t>
      </w:r>
      <w:r w:rsidRPr="00B9568A">
        <w:rPr>
          <w:rFonts w:ascii="Times New Roman" w:eastAsia="Times New Roman" w:hAnsi="Times New Roman" w:cs="Times New Roman"/>
          <w:color w:val="000000"/>
          <w:sz w:val="24"/>
          <w:szCs w:val="24"/>
        </w:rPr>
        <w:t xml:space="preserve"> instances of financial expertise or technical assistance to </w:t>
      </w:r>
      <w:r w:rsidR="00E9258E">
        <w:rPr>
          <w:rFonts w:ascii="Times New Roman" w:eastAsia="Times New Roman" w:hAnsi="Times New Roman" w:cs="Times New Roman"/>
          <w:color w:val="000000"/>
          <w:sz w:val="24"/>
          <w:szCs w:val="24"/>
        </w:rPr>
        <w:t>18</w:t>
      </w:r>
      <w:r w:rsidRPr="00B9568A">
        <w:rPr>
          <w:rFonts w:ascii="Times New Roman" w:eastAsia="Times New Roman" w:hAnsi="Times New Roman" w:cs="Times New Roman"/>
          <w:color w:val="000000"/>
          <w:sz w:val="24"/>
          <w:szCs w:val="24"/>
        </w:rPr>
        <w:t xml:space="preserve"> different community development-related organizations in the assessment area</w:t>
      </w:r>
      <w:r w:rsidR="00B47684">
        <w:rPr>
          <w:rFonts w:ascii="Times New Roman" w:eastAsia="Times New Roman" w:hAnsi="Times New Roman" w:cs="Times New Roman"/>
          <w:color w:val="000000"/>
          <w:sz w:val="24"/>
          <w:szCs w:val="24"/>
        </w:rPr>
        <w:t xml:space="preserve">.  </w:t>
      </w:r>
    </w:p>
    <w:p w:rsidR="00B9568A" w:rsidRPr="00B9568A" w:rsidRDefault="00B9568A" w:rsidP="001B4658">
      <w:pPr>
        <w:spacing w:after="0" w:line="240" w:lineRule="auto"/>
        <w:jc w:val="both"/>
        <w:rPr>
          <w:rFonts w:ascii="Times New Roman" w:eastAsia="Times New Roman" w:hAnsi="Times New Roman" w:cs="Times New Roman"/>
          <w:color w:val="000000"/>
          <w:sz w:val="24"/>
          <w:szCs w:val="24"/>
        </w:rPr>
      </w:pPr>
    </w:p>
    <w:p w:rsidR="00B9568A" w:rsidRPr="00B9568A" w:rsidRDefault="00B9568A" w:rsidP="001B4658">
      <w:pPr>
        <w:spacing w:after="0" w:line="240" w:lineRule="auto"/>
        <w:jc w:val="both"/>
        <w:rPr>
          <w:rFonts w:ascii="Times New Roman" w:eastAsia="Times New Roman" w:hAnsi="Times New Roman" w:cs="Times New Roman"/>
          <w:sz w:val="24"/>
          <w:szCs w:val="24"/>
        </w:rPr>
      </w:pPr>
      <w:r w:rsidRPr="00B9568A">
        <w:rPr>
          <w:rFonts w:ascii="Times New Roman" w:eastAsia="Times New Roman" w:hAnsi="Times New Roman" w:cs="Times New Roman"/>
          <w:sz w:val="24"/>
          <w:szCs w:val="24"/>
        </w:rPr>
        <w:t>Below are notable examples of the bank’s community development services:</w:t>
      </w:r>
    </w:p>
    <w:p w:rsidR="00B9568A" w:rsidRPr="00B9568A" w:rsidRDefault="00B9568A" w:rsidP="001B4658">
      <w:pPr>
        <w:spacing w:after="0" w:line="240" w:lineRule="auto"/>
        <w:jc w:val="both"/>
        <w:rPr>
          <w:rFonts w:ascii="Times New Roman" w:eastAsia="Times New Roman" w:hAnsi="Times New Roman" w:cs="Times New Roman"/>
          <w:sz w:val="24"/>
          <w:szCs w:val="24"/>
        </w:rPr>
      </w:pPr>
    </w:p>
    <w:p w:rsidR="00B9568A" w:rsidRDefault="00B9568A" w:rsidP="001B4658">
      <w:pPr>
        <w:spacing w:after="0" w:line="240" w:lineRule="auto"/>
        <w:ind w:right="-180"/>
        <w:jc w:val="both"/>
        <w:rPr>
          <w:rFonts w:ascii="Times New Roman" w:eastAsia="Times New Roman" w:hAnsi="Times New Roman" w:cs="Times New Roman"/>
          <w:b/>
          <w:i/>
          <w:color w:val="000000"/>
          <w:sz w:val="24"/>
          <w:szCs w:val="24"/>
        </w:rPr>
      </w:pPr>
      <w:r w:rsidRPr="00B9568A">
        <w:rPr>
          <w:rFonts w:ascii="Times New Roman" w:eastAsia="Times New Roman" w:hAnsi="Times New Roman" w:cs="Times New Roman"/>
          <w:b/>
          <w:i/>
          <w:color w:val="000000"/>
          <w:sz w:val="24"/>
          <w:szCs w:val="24"/>
        </w:rPr>
        <w:t>Employee Involvement</w:t>
      </w:r>
    </w:p>
    <w:p w:rsidR="00C530B9" w:rsidRDefault="00C530B9" w:rsidP="001B4658">
      <w:pPr>
        <w:spacing w:after="0" w:line="240" w:lineRule="auto"/>
        <w:ind w:right="-180"/>
        <w:jc w:val="both"/>
        <w:rPr>
          <w:rFonts w:ascii="Times New Roman" w:eastAsia="Times New Roman" w:hAnsi="Times New Roman" w:cs="Times New Roman"/>
          <w:bCs/>
          <w:iCs/>
          <w:color w:val="000000"/>
          <w:sz w:val="24"/>
          <w:szCs w:val="24"/>
        </w:rPr>
      </w:pPr>
    </w:p>
    <w:p w:rsidR="00D05F38" w:rsidRDefault="00D05F38" w:rsidP="001B4658">
      <w:pPr>
        <w:spacing w:after="0" w:line="240" w:lineRule="auto"/>
        <w:ind w:right="-180"/>
        <w:jc w:val="both"/>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Employees have used their time and ability on behalf of the bank in service of local community organizations</w:t>
      </w:r>
      <w:r w:rsidR="00323993">
        <w:rPr>
          <w:rFonts w:ascii="Times New Roman" w:eastAsia="Times New Roman" w:hAnsi="Times New Roman" w:cs="Times New Roman"/>
          <w:bCs/>
          <w:iCs/>
          <w:color w:val="000000"/>
          <w:sz w:val="24"/>
          <w:szCs w:val="24"/>
        </w:rPr>
        <w:t xml:space="preserve">. </w:t>
      </w:r>
      <w:r>
        <w:rPr>
          <w:rFonts w:ascii="Times New Roman" w:eastAsia="Times New Roman" w:hAnsi="Times New Roman" w:cs="Times New Roman"/>
          <w:bCs/>
          <w:iCs/>
          <w:color w:val="000000"/>
          <w:sz w:val="24"/>
          <w:szCs w:val="24"/>
        </w:rPr>
        <w:t>These efforts all aligned with employee areas of technical expertise</w:t>
      </w:r>
      <w:r w:rsidR="00323993">
        <w:rPr>
          <w:rFonts w:ascii="Times New Roman" w:eastAsia="Times New Roman" w:hAnsi="Times New Roman" w:cs="Times New Roman"/>
          <w:bCs/>
          <w:iCs/>
          <w:color w:val="000000"/>
          <w:sz w:val="24"/>
          <w:szCs w:val="24"/>
        </w:rPr>
        <w:t xml:space="preserve">. </w:t>
      </w:r>
      <w:r>
        <w:rPr>
          <w:rFonts w:ascii="Times New Roman" w:eastAsia="Times New Roman" w:hAnsi="Times New Roman" w:cs="Times New Roman"/>
          <w:bCs/>
          <w:iCs/>
          <w:color w:val="000000"/>
          <w:sz w:val="24"/>
          <w:szCs w:val="24"/>
        </w:rPr>
        <w:t>The following are notable examples of individual employee services:</w:t>
      </w:r>
    </w:p>
    <w:p w:rsidR="00D05F38" w:rsidRPr="00D05F38" w:rsidRDefault="00D05F38" w:rsidP="001B4658">
      <w:pPr>
        <w:spacing w:after="0" w:line="240" w:lineRule="auto"/>
        <w:ind w:right="-180"/>
        <w:jc w:val="both"/>
        <w:rPr>
          <w:rFonts w:ascii="Times New Roman" w:eastAsia="Times New Roman" w:hAnsi="Times New Roman" w:cs="Times New Roman"/>
          <w:bCs/>
          <w:iCs/>
          <w:color w:val="000000"/>
          <w:sz w:val="24"/>
          <w:szCs w:val="24"/>
        </w:rPr>
      </w:pPr>
    </w:p>
    <w:p w:rsidR="00B9568A" w:rsidRPr="00B9568A" w:rsidRDefault="00D05F38" w:rsidP="001B4658">
      <w:pPr>
        <w:numPr>
          <w:ilvl w:val="0"/>
          <w:numId w:val="7"/>
        </w:numPr>
        <w:spacing w:after="0" w:line="240" w:lineRule="auto"/>
        <w:ind w:right="-180"/>
        <w:jc w:val="both"/>
        <w:rPr>
          <w:rFonts w:ascii="Times New Roman" w:eastAsia="Times New Roman" w:hAnsi="Times New Roman" w:cs="Times New Roman"/>
          <w:b/>
          <w:bCs/>
          <w:i/>
          <w:iCs/>
          <w:color w:val="000000"/>
          <w:sz w:val="24"/>
          <w:szCs w:val="24"/>
        </w:rPr>
      </w:pPr>
      <w:r w:rsidRPr="00D05F38">
        <w:rPr>
          <w:rFonts w:ascii="Times New Roman" w:eastAsia="Times New Roman" w:hAnsi="Times New Roman" w:cs="Times New Roman"/>
          <w:b/>
          <w:bCs/>
          <w:iCs/>
          <w:color w:val="000000"/>
          <w:sz w:val="24"/>
          <w:szCs w:val="24"/>
        </w:rPr>
        <w:t>Brigham House</w:t>
      </w:r>
      <w:r>
        <w:rPr>
          <w:rFonts w:ascii="Times New Roman" w:eastAsia="Times New Roman" w:hAnsi="Times New Roman" w:cs="Times New Roman"/>
          <w:bCs/>
          <w:iCs/>
          <w:color w:val="000000"/>
          <w:sz w:val="24"/>
          <w:szCs w:val="24"/>
        </w:rPr>
        <w:t xml:space="preserve"> - </w:t>
      </w:r>
      <w:r w:rsidR="00B9568A" w:rsidRPr="00B9568A">
        <w:rPr>
          <w:rFonts w:ascii="Times New Roman" w:eastAsia="Times New Roman" w:hAnsi="Times New Roman" w:cs="Times New Roman"/>
          <w:bCs/>
          <w:iCs/>
          <w:color w:val="000000"/>
          <w:sz w:val="24"/>
          <w:szCs w:val="24"/>
        </w:rPr>
        <w:t xml:space="preserve">An Assistant Vice President </w:t>
      </w:r>
      <w:r w:rsidR="000F4DAF">
        <w:rPr>
          <w:rFonts w:ascii="Times New Roman" w:eastAsia="Times New Roman" w:hAnsi="Times New Roman" w:cs="Times New Roman"/>
          <w:bCs/>
          <w:iCs/>
          <w:color w:val="000000"/>
          <w:sz w:val="24"/>
          <w:szCs w:val="24"/>
        </w:rPr>
        <w:t>and an Assistant Branch Manager provide serve as periodic personal bankers to the residents of the Brigham House</w:t>
      </w:r>
      <w:r w:rsidR="00323993">
        <w:rPr>
          <w:rFonts w:ascii="Times New Roman" w:eastAsia="Times New Roman" w:hAnsi="Times New Roman" w:cs="Times New Roman"/>
          <w:bCs/>
          <w:iCs/>
          <w:color w:val="000000"/>
          <w:sz w:val="24"/>
          <w:szCs w:val="24"/>
        </w:rPr>
        <w:t xml:space="preserve">. </w:t>
      </w:r>
      <w:r w:rsidR="000F4DAF">
        <w:rPr>
          <w:rFonts w:ascii="Times New Roman" w:eastAsia="Times New Roman" w:hAnsi="Times New Roman" w:cs="Times New Roman"/>
          <w:bCs/>
          <w:iCs/>
          <w:color w:val="000000"/>
          <w:sz w:val="24"/>
          <w:szCs w:val="24"/>
        </w:rPr>
        <w:t>The Brigham House is an assisted living facility primarily occupied by low- and moderate income individuals</w:t>
      </w:r>
      <w:r w:rsidR="00323993">
        <w:rPr>
          <w:rFonts w:ascii="Times New Roman" w:eastAsia="Times New Roman" w:hAnsi="Times New Roman" w:cs="Times New Roman"/>
          <w:bCs/>
          <w:iCs/>
          <w:color w:val="000000"/>
          <w:sz w:val="24"/>
          <w:szCs w:val="24"/>
        </w:rPr>
        <w:t xml:space="preserve">. </w:t>
      </w:r>
      <w:r w:rsidR="000F4DAF">
        <w:rPr>
          <w:rFonts w:ascii="Times New Roman" w:eastAsia="Times New Roman" w:hAnsi="Times New Roman" w:cs="Times New Roman"/>
          <w:bCs/>
          <w:iCs/>
          <w:color w:val="000000"/>
          <w:sz w:val="24"/>
          <w:szCs w:val="24"/>
        </w:rPr>
        <w:t>The bank volunteers provide monthly basic banking services and in special cases offer specialized financial assistance.</w:t>
      </w:r>
    </w:p>
    <w:p w:rsidR="00B9568A" w:rsidRPr="00B9568A" w:rsidRDefault="00B9568A" w:rsidP="001B4658">
      <w:pPr>
        <w:spacing w:after="0" w:line="240" w:lineRule="auto"/>
        <w:ind w:left="720" w:right="-180"/>
        <w:jc w:val="both"/>
        <w:rPr>
          <w:rFonts w:ascii="Times New Roman" w:eastAsia="Times New Roman" w:hAnsi="Times New Roman" w:cs="Times New Roman"/>
          <w:b/>
          <w:bCs/>
          <w:i/>
          <w:iCs/>
          <w:color w:val="000000"/>
          <w:sz w:val="24"/>
          <w:szCs w:val="24"/>
        </w:rPr>
      </w:pPr>
    </w:p>
    <w:p w:rsidR="00606686" w:rsidRDefault="00D05F38" w:rsidP="001B4658">
      <w:pPr>
        <w:numPr>
          <w:ilvl w:val="0"/>
          <w:numId w:val="7"/>
        </w:numPr>
        <w:spacing w:after="0" w:line="240" w:lineRule="auto"/>
        <w:ind w:right="-180"/>
        <w:jc w:val="both"/>
        <w:rPr>
          <w:rFonts w:ascii="Times New Roman" w:eastAsia="Times New Roman" w:hAnsi="Times New Roman" w:cs="Times New Roman"/>
          <w:b/>
          <w:bCs/>
          <w:i/>
          <w:iCs/>
          <w:color w:val="000000"/>
          <w:sz w:val="24"/>
          <w:szCs w:val="24"/>
        </w:rPr>
      </w:pPr>
      <w:proofErr w:type="spellStart"/>
      <w:r w:rsidRPr="00D05F38">
        <w:rPr>
          <w:rFonts w:ascii="Times New Roman" w:eastAsia="Times New Roman" w:hAnsi="Times New Roman" w:cs="Times New Roman"/>
          <w:b/>
          <w:bCs/>
          <w:iCs/>
          <w:color w:val="000000"/>
          <w:sz w:val="24"/>
          <w:szCs w:val="24"/>
        </w:rPr>
        <w:t>Springwell</w:t>
      </w:r>
      <w:proofErr w:type="spellEnd"/>
      <w:r w:rsidRPr="00D05F38">
        <w:rPr>
          <w:rFonts w:ascii="Times New Roman" w:eastAsia="Times New Roman" w:hAnsi="Times New Roman" w:cs="Times New Roman"/>
          <w:b/>
          <w:bCs/>
          <w:iCs/>
          <w:color w:val="000000"/>
          <w:sz w:val="24"/>
          <w:szCs w:val="24"/>
        </w:rPr>
        <w:t xml:space="preserve"> Money Management</w:t>
      </w:r>
      <w:r>
        <w:rPr>
          <w:rFonts w:ascii="Times New Roman" w:eastAsia="Times New Roman" w:hAnsi="Times New Roman" w:cs="Times New Roman"/>
          <w:bCs/>
          <w:iCs/>
          <w:color w:val="000000"/>
          <w:sz w:val="24"/>
          <w:szCs w:val="24"/>
        </w:rPr>
        <w:t xml:space="preserve"> - </w:t>
      </w:r>
      <w:r w:rsidR="000F4DAF">
        <w:rPr>
          <w:rFonts w:ascii="Times New Roman" w:eastAsia="Times New Roman" w:hAnsi="Times New Roman" w:cs="Times New Roman"/>
          <w:bCs/>
          <w:iCs/>
          <w:color w:val="000000"/>
          <w:sz w:val="24"/>
          <w:szCs w:val="24"/>
        </w:rPr>
        <w:t xml:space="preserve">A </w:t>
      </w:r>
      <w:r w:rsidR="00B9568A" w:rsidRPr="00B9568A">
        <w:rPr>
          <w:rFonts w:ascii="Times New Roman" w:eastAsia="Times New Roman" w:hAnsi="Times New Roman" w:cs="Times New Roman"/>
          <w:bCs/>
          <w:iCs/>
          <w:color w:val="000000"/>
          <w:sz w:val="24"/>
          <w:szCs w:val="24"/>
        </w:rPr>
        <w:t>Vice President</w:t>
      </w:r>
      <w:r w:rsidR="000F4DAF">
        <w:rPr>
          <w:rFonts w:ascii="Times New Roman" w:eastAsia="Times New Roman" w:hAnsi="Times New Roman" w:cs="Times New Roman"/>
          <w:bCs/>
          <w:iCs/>
          <w:color w:val="000000"/>
          <w:sz w:val="24"/>
          <w:szCs w:val="24"/>
        </w:rPr>
        <w:t xml:space="preserve"> and Branch Manager</w:t>
      </w:r>
      <w:r w:rsidR="00B9568A" w:rsidRPr="00B9568A">
        <w:rPr>
          <w:rFonts w:ascii="Times New Roman" w:eastAsia="Times New Roman" w:hAnsi="Times New Roman" w:cs="Times New Roman"/>
          <w:bCs/>
          <w:iCs/>
          <w:color w:val="000000"/>
          <w:sz w:val="24"/>
          <w:szCs w:val="24"/>
        </w:rPr>
        <w:t xml:space="preserve"> </w:t>
      </w:r>
      <w:r w:rsidR="000F4DAF">
        <w:rPr>
          <w:rFonts w:ascii="Times New Roman" w:eastAsia="Times New Roman" w:hAnsi="Times New Roman" w:cs="Times New Roman"/>
          <w:bCs/>
          <w:iCs/>
          <w:color w:val="000000"/>
          <w:sz w:val="24"/>
          <w:szCs w:val="24"/>
        </w:rPr>
        <w:t xml:space="preserve">of the bank serves on </w:t>
      </w:r>
      <w:r>
        <w:rPr>
          <w:rFonts w:ascii="Times New Roman" w:eastAsia="Times New Roman" w:hAnsi="Times New Roman" w:cs="Times New Roman"/>
          <w:bCs/>
          <w:iCs/>
          <w:color w:val="000000"/>
          <w:sz w:val="24"/>
          <w:szCs w:val="24"/>
        </w:rPr>
        <w:t>the</w:t>
      </w:r>
      <w:r w:rsidR="000F4DAF">
        <w:rPr>
          <w:rFonts w:ascii="Times New Roman" w:eastAsia="Times New Roman" w:hAnsi="Times New Roman" w:cs="Times New Roman"/>
          <w:bCs/>
          <w:iCs/>
          <w:color w:val="000000"/>
          <w:sz w:val="24"/>
          <w:szCs w:val="24"/>
        </w:rPr>
        <w:t xml:space="preserve"> Board</w:t>
      </w:r>
      <w:r w:rsidR="00323993">
        <w:rPr>
          <w:rFonts w:ascii="Times New Roman" w:eastAsia="Times New Roman" w:hAnsi="Times New Roman" w:cs="Times New Roman"/>
          <w:bCs/>
          <w:iCs/>
          <w:color w:val="000000"/>
          <w:sz w:val="24"/>
          <w:szCs w:val="24"/>
        </w:rPr>
        <w:t xml:space="preserve">. </w:t>
      </w:r>
      <w:r w:rsidR="000F4DAF">
        <w:rPr>
          <w:rFonts w:ascii="Times New Roman" w:eastAsia="Times New Roman" w:hAnsi="Times New Roman" w:cs="Times New Roman"/>
          <w:bCs/>
          <w:iCs/>
          <w:color w:val="000000"/>
          <w:sz w:val="24"/>
          <w:szCs w:val="24"/>
        </w:rPr>
        <w:t xml:space="preserve">The goal of the </w:t>
      </w:r>
      <w:proofErr w:type="spellStart"/>
      <w:r w:rsidR="000F4DAF">
        <w:rPr>
          <w:rFonts w:ascii="Times New Roman" w:eastAsia="Times New Roman" w:hAnsi="Times New Roman" w:cs="Times New Roman"/>
          <w:bCs/>
          <w:iCs/>
          <w:color w:val="000000"/>
          <w:sz w:val="24"/>
          <w:szCs w:val="24"/>
        </w:rPr>
        <w:t>Springwell</w:t>
      </w:r>
      <w:proofErr w:type="spellEnd"/>
      <w:r w:rsidR="000F4DAF">
        <w:rPr>
          <w:rFonts w:ascii="Times New Roman" w:eastAsia="Times New Roman" w:hAnsi="Times New Roman" w:cs="Times New Roman"/>
          <w:bCs/>
          <w:iCs/>
          <w:color w:val="000000"/>
          <w:sz w:val="24"/>
          <w:szCs w:val="24"/>
        </w:rPr>
        <w:t xml:space="preserve"> Money Management program is to assist vulnerable low-income seniors with financial management tasks, including paying bills, budgeting and acting as a financial representative</w:t>
      </w:r>
      <w:r w:rsidR="00323993">
        <w:rPr>
          <w:rFonts w:ascii="Times New Roman" w:eastAsia="Times New Roman" w:hAnsi="Times New Roman" w:cs="Times New Roman"/>
          <w:bCs/>
          <w:iCs/>
          <w:color w:val="000000"/>
          <w:sz w:val="24"/>
          <w:szCs w:val="24"/>
        </w:rPr>
        <w:t xml:space="preserve">. </w:t>
      </w:r>
      <w:r w:rsidR="000F4DAF">
        <w:rPr>
          <w:rFonts w:ascii="Times New Roman" w:eastAsia="Times New Roman" w:hAnsi="Times New Roman" w:cs="Times New Roman"/>
          <w:bCs/>
          <w:iCs/>
          <w:color w:val="000000"/>
          <w:sz w:val="24"/>
          <w:szCs w:val="24"/>
        </w:rPr>
        <w:t xml:space="preserve">In addition to advisory role on the Board, the bank employee also </w:t>
      </w:r>
      <w:r w:rsidR="00EC56EB">
        <w:rPr>
          <w:rFonts w:ascii="Times New Roman" w:eastAsia="Times New Roman" w:hAnsi="Times New Roman" w:cs="Times New Roman"/>
          <w:bCs/>
          <w:iCs/>
          <w:color w:val="000000"/>
          <w:sz w:val="24"/>
          <w:szCs w:val="24"/>
        </w:rPr>
        <w:t xml:space="preserve">provides training for the </w:t>
      </w:r>
      <w:proofErr w:type="spellStart"/>
      <w:r w:rsidR="00EC56EB">
        <w:rPr>
          <w:rFonts w:ascii="Times New Roman" w:eastAsia="Times New Roman" w:hAnsi="Times New Roman" w:cs="Times New Roman"/>
          <w:bCs/>
          <w:iCs/>
          <w:color w:val="000000"/>
          <w:sz w:val="24"/>
          <w:szCs w:val="24"/>
        </w:rPr>
        <w:t>Springwell</w:t>
      </w:r>
      <w:proofErr w:type="spellEnd"/>
      <w:r w:rsidR="00EC56EB">
        <w:rPr>
          <w:rFonts w:ascii="Times New Roman" w:eastAsia="Times New Roman" w:hAnsi="Times New Roman" w:cs="Times New Roman"/>
          <w:bCs/>
          <w:iCs/>
          <w:color w:val="000000"/>
          <w:sz w:val="24"/>
          <w:szCs w:val="24"/>
        </w:rPr>
        <w:t xml:space="preserve"> volunteers regarding online banking and helps establish their financial representative status in some cases</w:t>
      </w:r>
      <w:r w:rsidR="00B47684">
        <w:rPr>
          <w:rFonts w:ascii="Times New Roman" w:eastAsia="Times New Roman" w:hAnsi="Times New Roman" w:cs="Times New Roman"/>
          <w:bCs/>
          <w:iCs/>
          <w:color w:val="000000"/>
          <w:sz w:val="24"/>
          <w:szCs w:val="24"/>
        </w:rPr>
        <w:t xml:space="preserve">.  </w:t>
      </w:r>
    </w:p>
    <w:p w:rsidR="00606686" w:rsidRDefault="00606686" w:rsidP="001B4658">
      <w:pPr>
        <w:pStyle w:val="ListParagraph"/>
        <w:jc w:val="both"/>
        <w:rPr>
          <w:rFonts w:ascii="Times New Roman" w:eastAsia="Times New Roman" w:hAnsi="Times New Roman" w:cs="Times New Roman"/>
          <w:bCs/>
          <w:iCs/>
          <w:color w:val="000000"/>
          <w:sz w:val="24"/>
          <w:szCs w:val="24"/>
        </w:rPr>
      </w:pPr>
    </w:p>
    <w:p w:rsidR="00B9568A" w:rsidRPr="00606686" w:rsidRDefault="00D05F38" w:rsidP="001B4658">
      <w:pPr>
        <w:numPr>
          <w:ilvl w:val="0"/>
          <w:numId w:val="7"/>
        </w:numPr>
        <w:spacing w:after="0" w:line="240" w:lineRule="auto"/>
        <w:ind w:right="-180"/>
        <w:jc w:val="both"/>
        <w:rPr>
          <w:rFonts w:ascii="Times New Roman" w:eastAsia="Times New Roman" w:hAnsi="Times New Roman" w:cs="Times New Roman"/>
          <w:b/>
          <w:bCs/>
          <w:i/>
          <w:iCs/>
          <w:color w:val="000000"/>
          <w:sz w:val="24"/>
          <w:szCs w:val="24"/>
        </w:rPr>
      </w:pPr>
      <w:r w:rsidRPr="00D05F38">
        <w:rPr>
          <w:rFonts w:ascii="Times New Roman" w:eastAsia="Times New Roman" w:hAnsi="Times New Roman" w:cs="Times New Roman"/>
          <w:b/>
          <w:bCs/>
          <w:iCs/>
          <w:color w:val="000000"/>
          <w:sz w:val="24"/>
          <w:szCs w:val="24"/>
        </w:rPr>
        <w:t>The Marshall Home Fund</w:t>
      </w:r>
      <w:r>
        <w:rPr>
          <w:rFonts w:ascii="Times New Roman" w:eastAsia="Times New Roman" w:hAnsi="Times New Roman" w:cs="Times New Roman"/>
          <w:bCs/>
          <w:iCs/>
          <w:color w:val="000000"/>
          <w:sz w:val="24"/>
          <w:szCs w:val="24"/>
        </w:rPr>
        <w:t xml:space="preserve"> - </w:t>
      </w:r>
      <w:r w:rsidR="00606686">
        <w:rPr>
          <w:rFonts w:ascii="Times New Roman" w:eastAsia="Times New Roman" w:hAnsi="Times New Roman" w:cs="Times New Roman"/>
          <w:bCs/>
          <w:iCs/>
          <w:color w:val="000000"/>
          <w:sz w:val="24"/>
          <w:szCs w:val="24"/>
        </w:rPr>
        <w:t xml:space="preserve">A Bank </w:t>
      </w:r>
      <w:r w:rsidR="00606686" w:rsidRPr="00606686">
        <w:rPr>
          <w:rFonts w:ascii="Times New Roman" w:eastAsia="Times New Roman" w:hAnsi="Times New Roman" w:cs="Times New Roman"/>
          <w:bCs/>
          <w:iCs/>
          <w:color w:val="000000"/>
          <w:sz w:val="24"/>
          <w:szCs w:val="24"/>
        </w:rPr>
        <w:t>Vice President of Marketing ser</w:t>
      </w:r>
      <w:r w:rsidR="00606686">
        <w:rPr>
          <w:rFonts w:ascii="Times New Roman" w:eastAsia="Times New Roman" w:hAnsi="Times New Roman" w:cs="Times New Roman"/>
          <w:bCs/>
          <w:iCs/>
          <w:color w:val="000000"/>
          <w:sz w:val="24"/>
          <w:szCs w:val="24"/>
        </w:rPr>
        <w:t>ved as</w:t>
      </w:r>
      <w:r w:rsidR="00606686" w:rsidRPr="00606686">
        <w:rPr>
          <w:rFonts w:ascii="Times New Roman" w:eastAsia="Times New Roman" w:hAnsi="Times New Roman" w:cs="Times New Roman"/>
          <w:bCs/>
          <w:iCs/>
          <w:color w:val="000000"/>
          <w:sz w:val="24"/>
          <w:szCs w:val="24"/>
        </w:rPr>
        <w:t xml:space="preserve"> Co-President</w:t>
      </w:r>
      <w:r w:rsidR="00606686">
        <w:rPr>
          <w:rFonts w:ascii="Times New Roman" w:eastAsia="Times New Roman" w:hAnsi="Times New Roman" w:cs="Times New Roman"/>
          <w:bCs/>
          <w:iCs/>
          <w:color w:val="000000"/>
          <w:sz w:val="24"/>
          <w:szCs w:val="24"/>
        </w:rPr>
        <w:t xml:space="preserve"> of </w:t>
      </w:r>
      <w:r>
        <w:rPr>
          <w:rFonts w:ascii="Times New Roman" w:eastAsia="Times New Roman" w:hAnsi="Times New Roman" w:cs="Times New Roman"/>
          <w:bCs/>
          <w:iCs/>
          <w:color w:val="000000"/>
          <w:sz w:val="24"/>
          <w:szCs w:val="24"/>
        </w:rPr>
        <w:t>the organization during the evaluation period</w:t>
      </w:r>
      <w:r w:rsidR="00323993">
        <w:rPr>
          <w:rFonts w:ascii="Times New Roman" w:eastAsia="Times New Roman" w:hAnsi="Times New Roman" w:cs="Times New Roman"/>
          <w:bCs/>
          <w:iCs/>
          <w:color w:val="000000"/>
          <w:sz w:val="24"/>
          <w:szCs w:val="24"/>
        </w:rPr>
        <w:t xml:space="preserve">. </w:t>
      </w:r>
      <w:r w:rsidR="00606686" w:rsidRPr="00606686">
        <w:rPr>
          <w:rFonts w:ascii="Times New Roman" w:eastAsia="Times New Roman" w:hAnsi="Times New Roman" w:cs="Times New Roman"/>
          <w:bCs/>
          <w:iCs/>
          <w:color w:val="000000"/>
          <w:sz w:val="24"/>
          <w:szCs w:val="24"/>
        </w:rPr>
        <w:t>This fund is committed to assisting those in need to receive the health, housing, and other essential services that they require to maintain their safety and comfort</w:t>
      </w:r>
      <w:r w:rsidR="00323993">
        <w:rPr>
          <w:rFonts w:ascii="Times New Roman" w:eastAsia="Times New Roman" w:hAnsi="Times New Roman" w:cs="Times New Roman"/>
          <w:bCs/>
          <w:iCs/>
          <w:color w:val="000000"/>
          <w:sz w:val="24"/>
          <w:szCs w:val="24"/>
        </w:rPr>
        <w:t xml:space="preserve">. </w:t>
      </w:r>
      <w:r w:rsidR="00606686" w:rsidRPr="00606686">
        <w:rPr>
          <w:rFonts w:ascii="Times New Roman" w:eastAsia="Times New Roman" w:hAnsi="Times New Roman" w:cs="Times New Roman"/>
          <w:bCs/>
          <w:iCs/>
          <w:color w:val="000000"/>
          <w:sz w:val="24"/>
          <w:szCs w:val="24"/>
        </w:rPr>
        <w:t xml:space="preserve">This organization works cooperatively with other social service </w:t>
      </w:r>
      <w:r w:rsidR="00606686" w:rsidRPr="00606686">
        <w:rPr>
          <w:rFonts w:ascii="Times New Roman" w:eastAsia="Times New Roman" w:hAnsi="Times New Roman" w:cs="Times New Roman"/>
          <w:bCs/>
          <w:iCs/>
          <w:color w:val="000000"/>
          <w:sz w:val="24"/>
          <w:szCs w:val="24"/>
        </w:rPr>
        <w:lastRenderedPageBreak/>
        <w:t>agencies</w:t>
      </w:r>
      <w:r w:rsidR="00606686">
        <w:rPr>
          <w:rFonts w:ascii="Times New Roman" w:eastAsia="Times New Roman" w:hAnsi="Times New Roman" w:cs="Times New Roman"/>
          <w:bCs/>
          <w:iCs/>
          <w:color w:val="000000"/>
          <w:sz w:val="24"/>
          <w:szCs w:val="24"/>
        </w:rPr>
        <w:t xml:space="preserve">, local and state government </w:t>
      </w:r>
      <w:r w:rsidR="00606686" w:rsidRPr="00606686">
        <w:rPr>
          <w:rFonts w:ascii="Times New Roman" w:eastAsia="Times New Roman" w:hAnsi="Times New Roman" w:cs="Times New Roman"/>
          <w:bCs/>
          <w:iCs/>
          <w:color w:val="000000"/>
          <w:sz w:val="24"/>
          <w:szCs w:val="24"/>
        </w:rPr>
        <w:t xml:space="preserve">officials, and the community at large to support the elderly </w:t>
      </w:r>
      <w:r w:rsidR="00606686">
        <w:rPr>
          <w:rFonts w:ascii="Times New Roman" w:eastAsia="Times New Roman" w:hAnsi="Times New Roman" w:cs="Times New Roman"/>
          <w:bCs/>
          <w:iCs/>
          <w:color w:val="000000"/>
          <w:sz w:val="24"/>
          <w:szCs w:val="24"/>
        </w:rPr>
        <w:t>to the best of its ability</w:t>
      </w:r>
      <w:r w:rsidR="00B47684">
        <w:rPr>
          <w:rFonts w:ascii="Times New Roman" w:eastAsia="Times New Roman" w:hAnsi="Times New Roman" w:cs="Times New Roman"/>
          <w:bCs/>
          <w:iCs/>
          <w:color w:val="000000"/>
          <w:sz w:val="24"/>
          <w:szCs w:val="24"/>
        </w:rPr>
        <w:t xml:space="preserve">.  </w:t>
      </w:r>
    </w:p>
    <w:p w:rsidR="00606686" w:rsidRPr="00606686" w:rsidRDefault="00606686" w:rsidP="001B4658">
      <w:pPr>
        <w:spacing w:after="0" w:line="240" w:lineRule="auto"/>
        <w:ind w:right="-180"/>
        <w:jc w:val="both"/>
        <w:rPr>
          <w:rFonts w:ascii="Times New Roman" w:eastAsia="Times New Roman" w:hAnsi="Times New Roman" w:cs="Times New Roman"/>
          <w:b/>
          <w:bCs/>
          <w:i/>
          <w:iCs/>
          <w:color w:val="000000"/>
          <w:sz w:val="24"/>
          <w:szCs w:val="24"/>
        </w:rPr>
      </w:pPr>
    </w:p>
    <w:p w:rsidR="00B9568A" w:rsidRPr="00F21415" w:rsidRDefault="00D05F38" w:rsidP="001B4658">
      <w:pPr>
        <w:numPr>
          <w:ilvl w:val="0"/>
          <w:numId w:val="7"/>
        </w:numPr>
        <w:spacing w:after="0" w:line="240" w:lineRule="auto"/>
        <w:ind w:right="-180"/>
        <w:jc w:val="both"/>
        <w:rPr>
          <w:rFonts w:ascii="Times New Roman" w:eastAsia="Times New Roman" w:hAnsi="Times New Roman" w:cs="Times New Roman"/>
          <w:b/>
          <w:bCs/>
          <w:i/>
          <w:iCs/>
          <w:color w:val="000000"/>
          <w:sz w:val="24"/>
          <w:szCs w:val="24"/>
        </w:rPr>
      </w:pPr>
      <w:r w:rsidRPr="00D05F38">
        <w:rPr>
          <w:rFonts w:ascii="Times New Roman" w:eastAsia="Times New Roman" w:hAnsi="Times New Roman" w:cs="Times New Roman"/>
          <w:b/>
          <w:bCs/>
          <w:iCs/>
          <w:color w:val="000000"/>
          <w:sz w:val="24"/>
          <w:szCs w:val="24"/>
        </w:rPr>
        <w:t>Watertown Housing Partnership</w:t>
      </w:r>
      <w:r>
        <w:rPr>
          <w:rFonts w:ascii="Times New Roman" w:eastAsia="Times New Roman" w:hAnsi="Times New Roman" w:cs="Times New Roman"/>
          <w:bCs/>
          <w:iCs/>
          <w:color w:val="000000"/>
          <w:sz w:val="24"/>
          <w:szCs w:val="24"/>
        </w:rPr>
        <w:t xml:space="preserve"> - </w:t>
      </w:r>
      <w:r w:rsidR="00B66E34">
        <w:rPr>
          <w:rFonts w:ascii="Times New Roman" w:eastAsia="Times New Roman" w:hAnsi="Times New Roman" w:cs="Times New Roman"/>
          <w:bCs/>
          <w:iCs/>
          <w:color w:val="000000"/>
          <w:sz w:val="24"/>
          <w:szCs w:val="24"/>
        </w:rPr>
        <w:t>The Watertown Housing Partnership is responsible for overseeing the development and preservation of affordable housing in the municipality</w:t>
      </w:r>
      <w:r w:rsidR="00323993">
        <w:rPr>
          <w:rFonts w:ascii="Times New Roman" w:eastAsia="Times New Roman" w:hAnsi="Times New Roman" w:cs="Times New Roman"/>
          <w:bCs/>
          <w:iCs/>
          <w:color w:val="000000"/>
          <w:sz w:val="24"/>
          <w:szCs w:val="24"/>
        </w:rPr>
        <w:t xml:space="preserve">. </w:t>
      </w:r>
      <w:r w:rsidR="00B66E34">
        <w:rPr>
          <w:rFonts w:ascii="Times New Roman" w:eastAsia="Times New Roman" w:hAnsi="Times New Roman" w:cs="Times New Roman"/>
          <w:bCs/>
          <w:iCs/>
          <w:color w:val="000000"/>
          <w:sz w:val="24"/>
          <w:szCs w:val="24"/>
        </w:rPr>
        <w:t>Services include oversight of the town zoning provisions, affordable housing advocacy, and administering public funds delegated for housing</w:t>
      </w:r>
      <w:r w:rsidR="00323993">
        <w:rPr>
          <w:rFonts w:ascii="Times New Roman" w:eastAsia="Times New Roman" w:hAnsi="Times New Roman" w:cs="Times New Roman"/>
          <w:bCs/>
          <w:iCs/>
          <w:color w:val="000000"/>
          <w:sz w:val="24"/>
          <w:szCs w:val="24"/>
        </w:rPr>
        <w:t xml:space="preserve">. </w:t>
      </w:r>
      <w:r>
        <w:rPr>
          <w:rFonts w:ascii="Times New Roman" w:eastAsia="Times New Roman" w:hAnsi="Times New Roman" w:cs="Times New Roman"/>
          <w:bCs/>
          <w:iCs/>
          <w:color w:val="000000"/>
          <w:sz w:val="24"/>
          <w:szCs w:val="24"/>
        </w:rPr>
        <w:t>A Senior Vice President of the Bank serves as a Board Member of the organization.</w:t>
      </w:r>
    </w:p>
    <w:p w:rsidR="00F21415" w:rsidRDefault="00F21415" w:rsidP="001B4658">
      <w:pPr>
        <w:pStyle w:val="ListParagraph"/>
        <w:jc w:val="both"/>
        <w:rPr>
          <w:rFonts w:ascii="Times New Roman" w:eastAsia="Times New Roman" w:hAnsi="Times New Roman" w:cs="Times New Roman"/>
          <w:b/>
          <w:bCs/>
          <w:i/>
          <w:iCs/>
          <w:color w:val="000000"/>
          <w:sz w:val="24"/>
          <w:szCs w:val="24"/>
        </w:rPr>
      </w:pPr>
    </w:p>
    <w:p w:rsidR="00F21415" w:rsidRPr="00B9568A" w:rsidRDefault="00D05F38" w:rsidP="001B4658">
      <w:pPr>
        <w:numPr>
          <w:ilvl w:val="0"/>
          <w:numId w:val="7"/>
        </w:numPr>
        <w:spacing w:after="0" w:line="240" w:lineRule="auto"/>
        <w:ind w:right="-180"/>
        <w:jc w:val="both"/>
        <w:rPr>
          <w:rFonts w:ascii="Times New Roman" w:eastAsia="Times New Roman" w:hAnsi="Times New Roman" w:cs="Times New Roman"/>
          <w:b/>
          <w:bCs/>
          <w:i/>
          <w:iCs/>
          <w:color w:val="000000"/>
          <w:sz w:val="24"/>
          <w:szCs w:val="24"/>
        </w:rPr>
      </w:pPr>
      <w:r w:rsidRPr="00D05F38">
        <w:rPr>
          <w:rFonts w:ascii="Times New Roman" w:eastAsia="Times New Roman" w:hAnsi="Times New Roman" w:cs="Times New Roman"/>
          <w:b/>
          <w:bCs/>
          <w:iCs/>
          <w:color w:val="000000"/>
          <w:sz w:val="24"/>
          <w:szCs w:val="24"/>
        </w:rPr>
        <w:t>Watertown Boys and Girls Club</w:t>
      </w:r>
      <w:r>
        <w:rPr>
          <w:rFonts w:ascii="Times New Roman" w:eastAsia="Times New Roman" w:hAnsi="Times New Roman" w:cs="Times New Roman"/>
          <w:bCs/>
          <w:iCs/>
          <w:color w:val="000000"/>
          <w:sz w:val="24"/>
          <w:szCs w:val="24"/>
        </w:rPr>
        <w:t xml:space="preserve"> – This organization</w:t>
      </w:r>
      <w:r w:rsidR="00F21415">
        <w:rPr>
          <w:rFonts w:ascii="Times New Roman" w:eastAsia="Times New Roman" w:hAnsi="Times New Roman" w:cs="Times New Roman"/>
          <w:bCs/>
          <w:iCs/>
          <w:color w:val="000000"/>
          <w:sz w:val="24"/>
          <w:szCs w:val="24"/>
        </w:rPr>
        <w:t xml:space="preserve"> provides academic support and enrichment for young people in need</w:t>
      </w:r>
      <w:r w:rsidR="00323993">
        <w:rPr>
          <w:rFonts w:ascii="Times New Roman" w:eastAsia="Times New Roman" w:hAnsi="Times New Roman" w:cs="Times New Roman"/>
          <w:bCs/>
          <w:iCs/>
          <w:color w:val="000000"/>
          <w:sz w:val="24"/>
          <w:szCs w:val="24"/>
        </w:rPr>
        <w:t xml:space="preserve">. </w:t>
      </w:r>
      <w:r w:rsidR="00F21415">
        <w:rPr>
          <w:rFonts w:ascii="Times New Roman" w:eastAsia="Times New Roman" w:hAnsi="Times New Roman" w:cs="Times New Roman"/>
          <w:bCs/>
          <w:iCs/>
          <w:color w:val="000000"/>
          <w:sz w:val="24"/>
          <w:szCs w:val="24"/>
        </w:rPr>
        <w:t>The majority of individuals who attend the Watertown Boys and Girls Club come from low- and moderate-income families</w:t>
      </w:r>
      <w:r w:rsidR="00323993">
        <w:rPr>
          <w:rFonts w:ascii="Times New Roman" w:eastAsia="Times New Roman" w:hAnsi="Times New Roman" w:cs="Times New Roman"/>
          <w:bCs/>
          <w:iCs/>
          <w:color w:val="000000"/>
          <w:sz w:val="24"/>
          <w:szCs w:val="24"/>
        </w:rPr>
        <w:t xml:space="preserve">. </w:t>
      </w:r>
      <w:r>
        <w:rPr>
          <w:rFonts w:ascii="Times New Roman" w:eastAsia="Times New Roman" w:hAnsi="Times New Roman" w:cs="Times New Roman"/>
          <w:bCs/>
          <w:iCs/>
          <w:color w:val="000000"/>
          <w:sz w:val="24"/>
          <w:szCs w:val="24"/>
        </w:rPr>
        <w:t>The President of the Bank serves on the Board of the Watertown Boys and Girls Club.</w:t>
      </w:r>
    </w:p>
    <w:p w:rsidR="00B9568A" w:rsidRPr="00B9568A" w:rsidRDefault="00B9568A" w:rsidP="001B4658">
      <w:pPr>
        <w:widowControl w:val="0"/>
        <w:spacing w:after="0" w:line="240" w:lineRule="auto"/>
        <w:ind w:left="720"/>
        <w:jc w:val="both"/>
        <w:rPr>
          <w:rFonts w:ascii="Times New Roman" w:eastAsia="Times New Roman" w:hAnsi="Times New Roman" w:cs="Times New Roman"/>
          <w:bCs/>
          <w:iCs/>
          <w:color w:val="000000"/>
          <w:sz w:val="24"/>
          <w:szCs w:val="24"/>
        </w:rPr>
      </w:pPr>
    </w:p>
    <w:p w:rsidR="00B9568A" w:rsidRPr="00B9568A" w:rsidRDefault="00D05F38" w:rsidP="001B4658">
      <w:pPr>
        <w:numPr>
          <w:ilvl w:val="0"/>
          <w:numId w:val="7"/>
        </w:numPr>
        <w:spacing w:after="0" w:line="240" w:lineRule="auto"/>
        <w:ind w:right="-180"/>
        <w:jc w:val="both"/>
        <w:rPr>
          <w:rFonts w:ascii="Times New Roman" w:eastAsia="Times New Roman" w:hAnsi="Times New Roman" w:cs="Times New Roman"/>
          <w:b/>
          <w:bCs/>
          <w:i/>
          <w:iCs/>
          <w:color w:val="000000"/>
          <w:sz w:val="24"/>
          <w:szCs w:val="24"/>
        </w:rPr>
      </w:pPr>
      <w:r w:rsidRPr="00D05F38">
        <w:rPr>
          <w:rFonts w:ascii="Times New Roman" w:eastAsia="Times New Roman" w:hAnsi="Times New Roman" w:cs="Times New Roman"/>
          <w:b/>
          <w:bCs/>
          <w:iCs/>
          <w:color w:val="000000"/>
          <w:sz w:val="24"/>
          <w:szCs w:val="24"/>
        </w:rPr>
        <w:t>Friends of Waltham Seniors</w:t>
      </w:r>
      <w:r>
        <w:rPr>
          <w:rFonts w:ascii="Times New Roman" w:eastAsia="Times New Roman" w:hAnsi="Times New Roman" w:cs="Times New Roman"/>
          <w:bCs/>
          <w:iCs/>
          <w:color w:val="000000"/>
          <w:sz w:val="24"/>
          <w:szCs w:val="24"/>
        </w:rPr>
        <w:t xml:space="preserve"> - </w:t>
      </w:r>
      <w:r w:rsidR="00B9568A" w:rsidRPr="00B9568A">
        <w:rPr>
          <w:rFonts w:ascii="Times New Roman" w:eastAsia="Times New Roman" w:hAnsi="Times New Roman" w:cs="Times New Roman"/>
          <w:bCs/>
          <w:iCs/>
          <w:color w:val="000000"/>
          <w:sz w:val="24"/>
          <w:szCs w:val="24"/>
        </w:rPr>
        <w:t xml:space="preserve">A </w:t>
      </w:r>
      <w:r w:rsidR="00F21415">
        <w:rPr>
          <w:rFonts w:ascii="Times New Roman" w:eastAsia="Times New Roman" w:hAnsi="Times New Roman" w:cs="Times New Roman"/>
          <w:bCs/>
          <w:iCs/>
          <w:color w:val="000000"/>
          <w:sz w:val="24"/>
          <w:szCs w:val="24"/>
        </w:rPr>
        <w:t>Community Relations Vice President of the bank</w:t>
      </w:r>
      <w:r w:rsidR="00B9568A" w:rsidRPr="00B9568A">
        <w:rPr>
          <w:rFonts w:ascii="Times New Roman" w:eastAsia="Times New Roman" w:hAnsi="Times New Roman" w:cs="Times New Roman"/>
          <w:bCs/>
          <w:iCs/>
          <w:color w:val="000000"/>
          <w:sz w:val="24"/>
          <w:szCs w:val="24"/>
        </w:rPr>
        <w:t xml:space="preserve"> serves as a </w:t>
      </w:r>
      <w:r w:rsidR="00044E36">
        <w:rPr>
          <w:rFonts w:ascii="Times New Roman" w:eastAsia="Times New Roman" w:hAnsi="Times New Roman" w:cs="Times New Roman"/>
          <w:bCs/>
          <w:iCs/>
          <w:color w:val="000000"/>
          <w:sz w:val="24"/>
          <w:szCs w:val="24"/>
        </w:rPr>
        <w:t xml:space="preserve">clerk on the Board of the </w:t>
      </w:r>
      <w:r>
        <w:rPr>
          <w:rFonts w:ascii="Times New Roman" w:eastAsia="Times New Roman" w:hAnsi="Times New Roman" w:cs="Times New Roman"/>
          <w:bCs/>
          <w:iCs/>
          <w:color w:val="000000"/>
          <w:sz w:val="24"/>
          <w:szCs w:val="24"/>
        </w:rPr>
        <w:t>organization</w:t>
      </w:r>
      <w:r w:rsidR="00323993">
        <w:rPr>
          <w:rFonts w:ascii="Times New Roman" w:eastAsia="Times New Roman" w:hAnsi="Times New Roman" w:cs="Times New Roman"/>
          <w:bCs/>
          <w:iCs/>
          <w:color w:val="000000"/>
          <w:sz w:val="24"/>
          <w:szCs w:val="24"/>
        </w:rPr>
        <w:t xml:space="preserve">. </w:t>
      </w:r>
      <w:r w:rsidR="00044E36">
        <w:rPr>
          <w:rFonts w:ascii="Times New Roman" w:eastAsia="Times New Roman" w:hAnsi="Times New Roman" w:cs="Times New Roman"/>
          <w:bCs/>
          <w:iCs/>
          <w:color w:val="000000"/>
          <w:sz w:val="24"/>
          <w:szCs w:val="24"/>
        </w:rPr>
        <w:t xml:space="preserve">The </w:t>
      </w:r>
      <w:r w:rsidR="00323993">
        <w:rPr>
          <w:rFonts w:ascii="Times New Roman" w:eastAsia="Times New Roman" w:hAnsi="Times New Roman" w:cs="Times New Roman"/>
          <w:bCs/>
          <w:iCs/>
          <w:color w:val="000000"/>
          <w:sz w:val="24"/>
          <w:szCs w:val="24"/>
        </w:rPr>
        <w:t>organization aims</w:t>
      </w:r>
      <w:r w:rsidR="00044E36">
        <w:rPr>
          <w:rFonts w:ascii="Times New Roman" w:eastAsia="Times New Roman" w:hAnsi="Times New Roman" w:cs="Times New Roman"/>
          <w:bCs/>
          <w:iCs/>
          <w:color w:val="000000"/>
          <w:sz w:val="24"/>
          <w:szCs w:val="24"/>
        </w:rPr>
        <w:t xml:space="preserve"> to support low-income seniors with essentials, including, furniture, meals, and fuel and heating assistance.</w:t>
      </w:r>
    </w:p>
    <w:p w:rsidR="00B9568A" w:rsidRPr="00B9568A" w:rsidRDefault="00B9568A" w:rsidP="001B4658">
      <w:pPr>
        <w:widowControl w:val="0"/>
        <w:spacing w:after="0" w:line="240" w:lineRule="auto"/>
        <w:ind w:left="720"/>
        <w:jc w:val="both"/>
        <w:rPr>
          <w:rFonts w:ascii="Times New Roman" w:eastAsia="Times New Roman" w:hAnsi="Times New Roman" w:cs="Times New Roman"/>
          <w:b/>
          <w:bCs/>
          <w:i/>
          <w:iCs/>
          <w:color w:val="000000"/>
          <w:sz w:val="24"/>
          <w:szCs w:val="24"/>
        </w:rPr>
      </w:pPr>
    </w:p>
    <w:p w:rsidR="00B9568A" w:rsidRPr="00B9568A" w:rsidRDefault="00B9568A" w:rsidP="001B4658">
      <w:pPr>
        <w:spacing w:after="0" w:line="240" w:lineRule="auto"/>
        <w:ind w:right="-180"/>
        <w:jc w:val="both"/>
        <w:rPr>
          <w:rFonts w:ascii="Times New Roman" w:eastAsia="Times New Roman" w:hAnsi="Times New Roman" w:cs="Times New Roman"/>
          <w:b/>
          <w:bCs/>
          <w:i/>
          <w:iCs/>
          <w:color w:val="000000"/>
          <w:sz w:val="24"/>
          <w:szCs w:val="24"/>
        </w:rPr>
      </w:pPr>
      <w:r w:rsidRPr="00B9568A">
        <w:rPr>
          <w:rFonts w:ascii="Times New Roman" w:eastAsia="Times New Roman" w:hAnsi="Times New Roman" w:cs="Times New Roman"/>
          <w:b/>
          <w:bCs/>
          <w:i/>
          <w:iCs/>
          <w:color w:val="000000"/>
          <w:sz w:val="24"/>
          <w:szCs w:val="24"/>
        </w:rPr>
        <w:t>Financial Education and Support</w:t>
      </w:r>
    </w:p>
    <w:p w:rsidR="00B9568A" w:rsidRPr="00B9568A" w:rsidRDefault="00B9568A" w:rsidP="001B4658">
      <w:pPr>
        <w:spacing w:after="0" w:line="240" w:lineRule="auto"/>
        <w:ind w:right="-180"/>
        <w:jc w:val="both"/>
        <w:rPr>
          <w:rFonts w:ascii="Times New Roman" w:eastAsia="Times New Roman" w:hAnsi="Times New Roman" w:cs="Times New Roman"/>
          <w:color w:val="000000"/>
          <w:sz w:val="24"/>
          <w:szCs w:val="24"/>
        </w:rPr>
      </w:pPr>
      <w:r w:rsidRPr="00B9568A">
        <w:rPr>
          <w:rFonts w:ascii="Times New Roman" w:eastAsia="Times New Roman" w:hAnsi="Times New Roman" w:cs="Times New Roman"/>
          <w:color w:val="000000"/>
          <w:sz w:val="24"/>
          <w:szCs w:val="24"/>
        </w:rPr>
        <w:t xml:space="preserve">The bank also </w:t>
      </w:r>
      <w:proofErr w:type="gramStart"/>
      <w:r w:rsidRPr="00B9568A">
        <w:rPr>
          <w:rFonts w:ascii="Times New Roman" w:eastAsia="Times New Roman" w:hAnsi="Times New Roman" w:cs="Times New Roman"/>
          <w:color w:val="000000"/>
          <w:sz w:val="24"/>
          <w:szCs w:val="24"/>
        </w:rPr>
        <w:t>provided</w:t>
      </w:r>
      <w:proofErr w:type="gramEnd"/>
      <w:r w:rsidRPr="00B9568A">
        <w:rPr>
          <w:rFonts w:ascii="Times New Roman" w:eastAsia="Times New Roman" w:hAnsi="Times New Roman" w:cs="Times New Roman"/>
          <w:color w:val="000000"/>
          <w:sz w:val="24"/>
          <w:szCs w:val="24"/>
        </w:rPr>
        <w:t xml:space="preserve"> </w:t>
      </w:r>
      <w:proofErr w:type="gramStart"/>
      <w:r w:rsidRPr="00B9568A">
        <w:rPr>
          <w:rFonts w:ascii="Times New Roman" w:eastAsia="Times New Roman" w:hAnsi="Times New Roman" w:cs="Times New Roman"/>
          <w:color w:val="000000"/>
          <w:sz w:val="24"/>
          <w:szCs w:val="24"/>
        </w:rPr>
        <w:t>educat</w:t>
      </w:r>
      <w:r w:rsidR="00F21415">
        <w:rPr>
          <w:rFonts w:ascii="Times New Roman" w:eastAsia="Times New Roman" w:hAnsi="Times New Roman" w:cs="Times New Roman"/>
          <w:color w:val="000000"/>
          <w:sz w:val="24"/>
          <w:szCs w:val="24"/>
        </w:rPr>
        <w:t>ional workshops to local organizations</w:t>
      </w:r>
      <w:r w:rsidRPr="00B9568A">
        <w:rPr>
          <w:rFonts w:ascii="Times New Roman" w:eastAsia="Times New Roman" w:hAnsi="Times New Roman" w:cs="Times New Roman"/>
          <w:color w:val="000000"/>
          <w:sz w:val="24"/>
          <w:szCs w:val="24"/>
        </w:rPr>
        <w:t>, serving a primary community development need</w:t>
      </w:r>
      <w:proofErr w:type="gramEnd"/>
      <w:r w:rsidRPr="00B9568A">
        <w:rPr>
          <w:rFonts w:ascii="Times New Roman" w:eastAsia="Times New Roman" w:hAnsi="Times New Roman" w:cs="Times New Roman"/>
          <w:color w:val="000000"/>
          <w:sz w:val="24"/>
          <w:szCs w:val="24"/>
        </w:rPr>
        <w:t xml:space="preserve"> within the assessment area</w:t>
      </w:r>
      <w:r w:rsidR="00323993">
        <w:rPr>
          <w:rFonts w:ascii="Times New Roman" w:eastAsia="Times New Roman" w:hAnsi="Times New Roman" w:cs="Times New Roman"/>
          <w:color w:val="000000"/>
          <w:sz w:val="24"/>
          <w:szCs w:val="24"/>
        </w:rPr>
        <w:t xml:space="preserve">. </w:t>
      </w:r>
      <w:r w:rsidRPr="00B9568A">
        <w:rPr>
          <w:rFonts w:ascii="Times New Roman" w:eastAsia="Times New Roman" w:hAnsi="Times New Roman" w:cs="Times New Roman"/>
          <w:color w:val="000000"/>
          <w:sz w:val="24"/>
          <w:szCs w:val="24"/>
        </w:rPr>
        <w:t>The workshops provided financial literacy covering multiple topics</w:t>
      </w:r>
      <w:r w:rsidR="00323993">
        <w:rPr>
          <w:rFonts w:ascii="Times New Roman" w:eastAsia="Times New Roman" w:hAnsi="Times New Roman" w:cs="Times New Roman"/>
          <w:color w:val="000000"/>
          <w:sz w:val="24"/>
          <w:szCs w:val="24"/>
        </w:rPr>
        <w:t xml:space="preserve">. </w:t>
      </w:r>
      <w:r w:rsidRPr="00B9568A">
        <w:rPr>
          <w:rFonts w:ascii="Times New Roman" w:eastAsia="Times New Roman" w:hAnsi="Times New Roman" w:cs="Times New Roman"/>
          <w:color w:val="000000"/>
          <w:sz w:val="24"/>
          <w:szCs w:val="24"/>
        </w:rPr>
        <w:t xml:space="preserve">A description of the workshops </w:t>
      </w:r>
      <w:proofErr w:type="gramStart"/>
      <w:r w:rsidRPr="00B9568A">
        <w:rPr>
          <w:rFonts w:ascii="Times New Roman" w:eastAsia="Times New Roman" w:hAnsi="Times New Roman" w:cs="Times New Roman"/>
          <w:color w:val="000000"/>
          <w:sz w:val="24"/>
          <w:szCs w:val="24"/>
        </w:rPr>
        <w:t>is listed</w:t>
      </w:r>
      <w:proofErr w:type="gramEnd"/>
      <w:r w:rsidRPr="00B9568A">
        <w:rPr>
          <w:rFonts w:ascii="Times New Roman" w:eastAsia="Times New Roman" w:hAnsi="Times New Roman" w:cs="Times New Roman"/>
          <w:color w:val="000000"/>
          <w:sz w:val="24"/>
          <w:szCs w:val="24"/>
        </w:rPr>
        <w:t xml:space="preserve"> below.</w:t>
      </w:r>
    </w:p>
    <w:p w:rsidR="00B9568A" w:rsidRPr="00B9568A" w:rsidRDefault="00B9568A" w:rsidP="001B4658">
      <w:pPr>
        <w:spacing w:after="0" w:line="240" w:lineRule="auto"/>
        <w:ind w:right="-180"/>
        <w:jc w:val="both"/>
        <w:rPr>
          <w:rFonts w:ascii="Times New Roman" w:eastAsia="Times New Roman" w:hAnsi="Times New Roman" w:cs="Times New Roman"/>
          <w:color w:val="000000"/>
          <w:sz w:val="24"/>
          <w:szCs w:val="24"/>
        </w:rPr>
      </w:pPr>
    </w:p>
    <w:p w:rsidR="00B9568A" w:rsidRPr="00B9568A" w:rsidRDefault="00E2715F" w:rsidP="001B4658">
      <w:pPr>
        <w:widowControl w:val="0"/>
        <w:numPr>
          <w:ilvl w:val="0"/>
          <w:numId w:val="8"/>
        </w:numPr>
        <w:spacing w:after="0" w:line="240" w:lineRule="auto"/>
        <w:ind w:right="-180"/>
        <w:jc w:val="both"/>
        <w:rPr>
          <w:rFonts w:ascii="Courier" w:eastAsia="Times New Roman" w:hAnsi="Courier" w:cs="Courier"/>
          <w:color w:val="000000"/>
          <w:sz w:val="24"/>
          <w:szCs w:val="24"/>
        </w:rPr>
      </w:pPr>
      <w:r w:rsidRPr="00E2715F">
        <w:rPr>
          <w:rFonts w:ascii="Times New Roman" w:eastAsia="Times New Roman" w:hAnsi="Times New Roman" w:cs="Times New Roman"/>
          <w:b/>
          <w:color w:val="000000"/>
          <w:sz w:val="24"/>
          <w:szCs w:val="24"/>
        </w:rPr>
        <w:t>Waltham Alliance for Teaching, Community Organizing, and Housing (WATCH)</w:t>
      </w:r>
      <w:r>
        <w:rPr>
          <w:rFonts w:ascii="Times New Roman" w:eastAsia="Times New Roman" w:hAnsi="Times New Roman" w:cs="Times New Roman"/>
          <w:color w:val="000000"/>
          <w:sz w:val="24"/>
          <w:szCs w:val="24"/>
        </w:rPr>
        <w:t xml:space="preserve"> – A community development corporation centered on empowerment of vulnerable individuals, WATCH aims to expand affordable housing and services for those most in need</w:t>
      </w:r>
      <w:r w:rsidR="00323993">
        <w:rPr>
          <w:rFonts w:ascii="Times New Roman" w:eastAsia="Times New Roman" w:hAnsi="Times New Roman" w:cs="Times New Roman"/>
          <w:color w:val="000000"/>
          <w:sz w:val="24"/>
          <w:szCs w:val="24"/>
        </w:rPr>
        <w:t xml:space="preserve">. </w:t>
      </w:r>
      <w:r w:rsidR="00B9568A" w:rsidRPr="00B9568A">
        <w:rPr>
          <w:rFonts w:ascii="Times New Roman" w:eastAsia="Times New Roman" w:hAnsi="Times New Roman" w:cs="Times New Roman"/>
          <w:color w:val="000000"/>
          <w:sz w:val="24"/>
          <w:szCs w:val="24"/>
        </w:rPr>
        <w:t xml:space="preserve">During the examination period, the bank </w:t>
      </w:r>
      <w:r>
        <w:rPr>
          <w:rFonts w:ascii="Times New Roman" w:eastAsia="Times New Roman" w:hAnsi="Times New Roman" w:cs="Times New Roman"/>
          <w:color w:val="000000"/>
          <w:sz w:val="24"/>
          <w:szCs w:val="24"/>
        </w:rPr>
        <w:t>collaborated with the organization and provided lending staff for the First Time Homebuyer Class</w:t>
      </w:r>
      <w:r w:rsidR="0032399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 lending staff detailed the mortgage application process for low-income individuals pursuing affordable housing</w:t>
      </w:r>
      <w:r w:rsidR="00B9568A" w:rsidRPr="00B9568A">
        <w:rPr>
          <w:rFonts w:ascii="Times New Roman" w:eastAsia="Times New Roman" w:hAnsi="Times New Roman" w:cs="Times New Roman"/>
          <w:color w:val="000000"/>
          <w:sz w:val="24"/>
          <w:szCs w:val="24"/>
        </w:rPr>
        <w:t>.</w:t>
      </w:r>
    </w:p>
    <w:p w:rsidR="00B9568A" w:rsidRPr="00B9568A" w:rsidRDefault="00B9568A" w:rsidP="001B4658">
      <w:pPr>
        <w:widowControl w:val="0"/>
        <w:spacing w:after="0" w:line="240" w:lineRule="auto"/>
        <w:ind w:left="720" w:right="-180"/>
        <w:jc w:val="both"/>
        <w:rPr>
          <w:rFonts w:ascii="Courier" w:eastAsia="Times New Roman" w:hAnsi="Courier" w:cs="Courier"/>
          <w:color w:val="000000"/>
          <w:sz w:val="24"/>
          <w:szCs w:val="24"/>
        </w:rPr>
      </w:pPr>
      <w:r w:rsidRPr="00B9568A">
        <w:rPr>
          <w:rFonts w:ascii="Times New Roman" w:eastAsia="Times New Roman" w:hAnsi="Times New Roman" w:cs="Times New Roman"/>
          <w:color w:val="000000"/>
          <w:sz w:val="24"/>
          <w:szCs w:val="24"/>
        </w:rPr>
        <w:t xml:space="preserve"> </w:t>
      </w:r>
    </w:p>
    <w:p w:rsidR="001D4199" w:rsidRDefault="00E2715F" w:rsidP="001B4658">
      <w:pPr>
        <w:widowControl w:val="0"/>
        <w:numPr>
          <w:ilvl w:val="0"/>
          <w:numId w:val="8"/>
        </w:numPr>
        <w:spacing w:after="0" w:line="240" w:lineRule="auto"/>
        <w:ind w:right="-180"/>
        <w:jc w:val="both"/>
        <w:rPr>
          <w:rFonts w:ascii="Courier" w:eastAsia="Times New Roman" w:hAnsi="Courier" w:cs="Courier"/>
          <w:color w:val="000000"/>
          <w:sz w:val="24"/>
          <w:szCs w:val="24"/>
        </w:rPr>
      </w:pPr>
      <w:r w:rsidRPr="00E2715F">
        <w:rPr>
          <w:rFonts w:ascii="Times New Roman" w:eastAsia="Times New Roman" w:hAnsi="Times New Roman" w:cs="Times New Roman"/>
          <w:b/>
          <w:color w:val="000000"/>
          <w:sz w:val="24"/>
          <w:szCs w:val="24"/>
        </w:rPr>
        <w:t xml:space="preserve">Housing Corporation of Arlington </w:t>
      </w:r>
      <w:r>
        <w:rPr>
          <w:rFonts w:ascii="Times New Roman" w:eastAsia="Times New Roman" w:hAnsi="Times New Roman" w:cs="Times New Roman"/>
          <w:color w:val="000000"/>
          <w:sz w:val="24"/>
          <w:szCs w:val="24"/>
        </w:rPr>
        <w:t xml:space="preserve">– </w:t>
      </w:r>
      <w:r w:rsidR="001D4199">
        <w:rPr>
          <w:rFonts w:ascii="Times New Roman" w:eastAsia="Times New Roman" w:hAnsi="Times New Roman" w:cs="Times New Roman"/>
          <w:color w:val="000000"/>
          <w:sz w:val="24"/>
          <w:szCs w:val="24"/>
        </w:rPr>
        <w:t>The Housing Corporation of Arlington aims to meet the needs of low- and moderate-income residents</w:t>
      </w:r>
      <w:r w:rsidR="0032399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Four bank employees conducted </w:t>
      </w:r>
      <w:r w:rsidR="001D4199">
        <w:rPr>
          <w:rFonts w:ascii="Times New Roman" w:eastAsia="Times New Roman" w:hAnsi="Times New Roman" w:cs="Times New Roman"/>
          <w:color w:val="000000"/>
          <w:sz w:val="24"/>
          <w:szCs w:val="24"/>
        </w:rPr>
        <w:t>two financial workshops on site for clientele from 2017 to 2018</w:t>
      </w:r>
      <w:r w:rsidR="00323993">
        <w:rPr>
          <w:rFonts w:ascii="Times New Roman" w:eastAsia="Times New Roman" w:hAnsi="Times New Roman" w:cs="Times New Roman"/>
          <w:color w:val="000000"/>
          <w:sz w:val="24"/>
          <w:szCs w:val="24"/>
        </w:rPr>
        <w:t xml:space="preserve">. </w:t>
      </w:r>
      <w:r w:rsidR="001D4199">
        <w:rPr>
          <w:rFonts w:ascii="Times New Roman" w:eastAsia="Times New Roman" w:hAnsi="Times New Roman" w:cs="Times New Roman"/>
          <w:color w:val="000000"/>
          <w:sz w:val="24"/>
          <w:szCs w:val="24"/>
        </w:rPr>
        <w:t>The workshop covered financial topics including, managing credit, budgeting, and fraud prevention</w:t>
      </w:r>
      <w:r w:rsidR="00B47684">
        <w:rPr>
          <w:rFonts w:ascii="Times New Roman" w:eastAsia="Times New Roman" w:hAnsi="Times New Roman" w:cs="Times New Roman"/>
          <w:color w:val="000000"/>
          <w:sz w:val="24"/>
          <w:szCs w:val="24"/>
        </w:rPr>
        <w:t xml:space="preserve">.  </w:t>
      </w:r>
    </w:p>
    <w:p w:rsidR="00437740" w:rsidRPr="00437740" w:rsidRDefault="00437740" w:rsidP="001B4658">
      <w:pPr>
        <w:widowControl w:val="0"/>
        <w:spacing w:after="0" w:line="240" w:lineRule="auto"/>
        <w:ind w:left="720" w:right="-180"/>
        <w:jc w:val="both"/>
        <w:rPr>
          <w:rFonts w:ascii="Courier" w:eastAsia="Times New Roman" w:hAnsi="Courier" w:cs="Courier"/>
          <w:color w:val="000000"/>
          <w:sz w:val="24"/>
          <w:szCs w:val="24"/>
        </w:rPr>
      </w:pPr>
    </w:p>
    <w:p w:rsidR="001D4199" w:rsidRPr="00B9568A" w:rsidRDefault="00323993" w:rsidP="001B4658">
      <w:pPr>
        <w:widowControl w:val="0"/>
        <w:numPr>
          <w:ilvl w:val="0"/>
          <w:numId w:val="8"/>
        </w:numPr>
        <w:spacing w:after="0" w:line="240" w:lineRule="auto"/>
        <w:ind w:right="-180"/>
        <w:jc w:val="both"/>
        <w:rPr>
          <w:rFonts w:ascii="Courier" w:eastAsia="Times New Roman" w:hAnsi="Courier" w:cs="Courier"/>
          <w:color w:val="000000"/>
          <w:sz w:val="24"/>
          <w:szCs w:val="24"/>
        </w:rPr>
      </w:pPr>
      <w:proofErr w:type="gramStart"/>
      <w:r>
        <w:rPr>
          <w:rFonts w:ascii="Times New Roman" w:eastAsia="Times New Roman" w:hAnsi="Times New Roman" w:cs="Times New Roman"/>
          <w:b/>
          <w:color w:val="000000"/>
          <w:sz w:val="24"/>
          <w:szCs w:val="24"/>
        </w:rPr>
        <w:t>Opportunities for Inclusion</w:t>
      </w:r>
      <w:r w:rsidRPr="00E2715F">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This organization provides</w:t>
      </w:r>
      <w:proofErr w:type="gramEnd"/>
      <w:r w:rsidR="00437740">
        <w:rPr>
          <w:rFonts w:ascii="Times New Roman" w:eastAsia="Times New Roman" w:hAnsi="Times New Roman" w:cs="Times New Roman"/>
          <w:color w:val="000000"/>
          <w:sz w:val="24"/>
          <w:szCs w:val="24"/>
        </w:rPr>
        <w:t xml:space="preserve"> individuals with intellectual and developmental disabilities with the tools, skills and resources to become as self-sufficient as possible</w:t>
      </w:r>
      <w:r>
        <w:rPr>
          <w:rFonts w:ascii="Times New Roman" w:eastAsia="Times New Roman" w:hAnsi="Times New Roman" w:cs="Times New Roman"/>
          <w:color w:val="000000"/>
          <w:sz w:val="24"/>
          <w:szCs w:val="24"/>
        </w:rPr>
        <w:t xml:space="preserve">. </w:t>
      </w:r>
      <w:r w:rsidR="00437740">
        <w:rPr>
          <w:rFonts w:ascii="Times New Roman" w:eastAsia="Times New Roman" w:hAnsi="Times New Roman" w:cs="Times New Roman"/>
          <w:color w:val="000000"/>
          <w:sz w:val="24"/>
          <w:szCs w:val="24"/>
        </w:rPr>
        <w:t>The Chief Financial Officer provided five workshops during the evaluation period</w:t>
      </w:r>
      <w:r>
        <w:rPr>
          <w:rFonts w:ascii="Times New Roman" w:eastAsia="Times New Roman" w:hAnsi="Times New Roman" w:cs="Times New Roman"/>
          <w:color w:val="000000"/>
          <w:sz w:val="24"/>
          <w:szCs w:val="24"/>
        </w:rPr>
        <w:t xml:space="preserve">. </w:t>
      </w:r>
      <w:r w:rsidR="00437740">
        <w:rPr>
          <w:rFonts w:ascii="Times New Roman" w:eastAsia="Times New Roman" w:hAnsi="Times New Roman" w:cs="Times New Roman"/>
          <w:color w:val="000000"/>
          <w:sz w:val="24"/>
          <w:szCs w:val="24"/>
        </w:rPr>
        <w:t>The workshop encouraged basic budgeting and banking skills.</w:t>
      </w:r>
    </w:p>
    <w:p w:rsidR="00B9568A" w:rsidRPr="00B9568A" w:rsidRDefault="00B9568A" w:rsidP="001B4658">
      <w:pPr>
        <w:spacing w:after="0" w:line="240" w:lineRule="auto"/>
        <w:ind w:right="-180"/>
        <w:jc w:val="both"/>
        <w:rPr>
          <w:rFonts w:ascii="Times New Roman" w:eastAsia="Times New Roman" w:hAnsi="Times New Roman" w:cs="Times New Roman"/>
          <w:color w:val="000000"/>
          <w:sz w:val="24"/>
          <w:szCs w:val="24"/>
          <w:highlight w:val="yellow"/>
        </w:rPr>
      </w:pPr>
    </w:p>
    <w:p w:rsidR="00B9568A" w:rsidRDefault="00B9568A" w:rsidP="001B4658">
      <w:pPr>
        <w:spacing w:after="0" w:line="240" w:lineRule="auto"/>
        <w:ind w:right="-180"/>
        <w:jc w:val="both"/>
        <w:rPr>
          <w:rFonts w:ascii="Times New Roman" w:eastAsia="Times New Roman" w:hAnsi="Times New Roman" w:cs="Times New Roman"/>
          <w:b/>
          <w:i/>
          <w:color w:val="000000"/>
          <w:sz w:val="24"/>
          <w:szCs w:val="24"/>
        </w:rPr>
      </w:pPr>
      <w:r w:rsidRPr="00B9568A">
        <w:rPr>
          <w:rFonts w:ascii="Times New Roman" w:eastAsia="Times New Roman" w:hAnsi="Times New Roman" w:cs="Times New Roman"/>
          <w:b/>
          <w:i/>
          <w:color w:val="000000"/>
          <w:sz w:val="24"/>
          <w:szCs w:val="24"/>
        </w:rPr>
        <w:t>Other Services</w:t>
      </w:r>
    </w:p>
    <w:p w:rsidR="00B04A09" w:rsidRPr="00B9568A" w:rsidRDefault="00B04A09" w:rsidP="001B4658">
      <w:pPr>
        <w:spacing w:after="0" w:line="240" w:lineRule="auto"/>
        <w:ind w:right="-180"/>
        <w:jc w:val="both"/>
        <w:rPr>
          <w:rFonts w:ascii="Times New Roman" w:eastAsia="Times New Roman" w:hAnsi="Times New Roman" w:cs="Times New Roman"/>
          <w:b/>
          <w:i/>
          <w:color w:val="000000"/>
          <w:sz w:val="24"/>
          <w:szCs w:val="24"/>
        </w:rPr>
      </w:pPr>
    </w:p>
    <w:p w:rsidR="006F1309" w:rsidRPr="006F1309" w:rsidRDefault="006F1309" w:rsidP="001B4658">
      <w:pPr>
        <w:widowControl w:val="0"/>
        <w:numPr>
          <w:ilvl w:val="0"/>
          <w:numId w:val="9"/>
        </w:numPr>
        <w:spacing w:after="0" w:line="240" w:lineRule="auto"/>
        <w:ind w:right="-180"/>
        <w:jc w:val="both"/>
        <w:rPr>
          <w:rFonts w:ascii="Courier" w:eastAsia="Times New Roman" w:hAnsi="Courier" w:cs="Courier"/>
          <w:color w:val="000000"/>
          <w:sz w:val="24"/>
          <w:szCs w:val="24"/>
        </w:rPr>
      </w:pPr>
      <w:r w:rsidRPr="006F1309">
        <w:rPr>
          <w:rFonts w:ascii="Times New Roman" w:eastAsia="Times New Roman" w:hAnsi="Times New Roman" w:cs="Times New Roman"/>
          <w:b/>
          <w:color w:val="000000"/>
          <w:sz w:val="24"/>
          <w:szCs w:val="24"/>
        </w:rPr>
        <w:t>Branch Collections</w:t>
      </w:r>
      <w:r>
        <w:rPr>
          <w:rFonts w:ascii="Times New Roman" w:eastAsia="Times New Roman" w:hAnsi="Times New Roman" w:cs="Times New Roman"/>
          <w:color w:val="000000"/>
          <w:sz w:val="24"/>
          <w:szCs w:val="24"/>
        </w:rPr>
        <w:t xml:space="preserve"> - </w:t>
      </w:r>
      <w:r w:rsidRPr="006F1309">
        <w:rPr>
          <w:rFonts w:ascii="Times New Roman" w:eastAsia="Times New Roman" w:hAnsi="Times New Roman" w:cs="Times New Roman"/>
          <w:color w:val="000000"/>
          <w:sz w:val="24"/>
          <w:szCs w:val="24"/>
        </w:rPr>
        <w:t>During the evaluation period, the bank utilized its branch network as collection points for broader charitable endeavors</w:t>
      </w:r>
      <w:r w:rsidR="00323993">
        <w:rPr>
          <w:rFonts w:ascii="Times New Roman" w:eastAsia="Times New Roman" w:hAnsi="Times New Roman" w:cs="Times New Roman"/>
          <w:color w:val="000000"/>
          <w:sz w:val="24"/>
          <w:szCs w:val="24"/>
        </w:rPr>
        <w:t xml:space="preserve">. </w:t>
      </w:r>
      <w:proofErr w:type="gramStart"/>
      <w:r w:rsidRPr="006F1309">
        <w:rPr>
          <w:rFonts w:ascii="Times New Roman" w:eastAsia="Times New Roman" w:hAnsi="Times New Roman" w:cs="Times New Roman"/>
          <w:color w:val="000000"/>
          <w:sz w:val="24"/>
          <w:szCs w:val="24"/>
        </w:rPr>
        <w:t>As a result</w:t>
      </w:r>
      <w:proofErr w:type="gramEnd"/>
      <w:r w:rsidRPr="006F1309">
        <w:rPr>
          <w:rFonts w:ascii="Times New Roman" w:eastAsia="Times New Roman" w:hAnsi="Times New Roman" w:cs="Times New Roman"/>
          <w:color w:val="000000"/>
          <w:sz w:val="24"/>
          <w:szCs w:val="24"/>
        </w:rPr>
        <w:t xml:space="preserve"> of the bank’s efforts, customers were able to contribute to initiatives, including Coats for Kids and More than Words</w:t>
      </w:r>
      <w:r w:rsidR="00323993">
        <w:rPr>
          <w:rFonts w:ascii="Times New Roman" w:eastAsia="Times New Roman" w:hAnsi="Times New Roman" w:cs="Times New Roman"/>
          <w:color w:val="000000"/>
          <w:sz w:val="24"/>
          <w:szCs w:val="24"/>
        </w:rPr>
        <w:t xml:space="preserve">. </w:t>
      </w:r>
      <w:r w:rsidRPr="006F1309">
        <w:rPr>
          <w:rFonts w:ascii="Times New Roman" w:eastAsia="Times New Roman" w:hAnsi="Times New Roman" w:cs="Times New Roman"/>
          <w:color w:val="000000"/>
          <w:sz w:val="24"/>
          <w:szCs w:val="24"/>
        </w:rPr>
        <w:t xml:space="preserve">In </w:t>
      </w:r>
      <w:r w:rsidRPr="006F1309">
        <w:rPr>
          <w:rFonts w:ascii="Times New Roman" w:eastAsia="Times New Roman" w:hAnsi="Times New Roman" w:cs="Times New Roman"/>
          <w:color w:val="000000"/>
          <w:sz w:val="24"/>
          <w:szCs w:val="24"/>
        </w:rPr>
        <w:lastRenderedPageBreak/>
        <w:t>addition to collecting the goods, bank staff also organized and distributed the collected items to the proper organizations.</w:t>
      </w:r>
    </w:p>
    <w:p w:rsidR="008C5AFF" w:rsidRPr="008C5AFF" w:rsidRDefault="006F1309" w:rsidP="001B4658">
      <w:pPr>
        <w:widowControl w:val="0"/>
        <w:spacing w:after="0" w:line="240" w:lineRule="auto"/>
        <w:ind w:left="720" w:right="-180"/>
        <w:jc w:val="both"/>
        <w:rPr>
          <w:rFonts w:ascii="Courier" w:eastAsia="Times New Roman" w:hAnsi="Courier" w:cs="Courier"/>
          <w:b/>
          <w:color w:val="000000"/>
          <w:sz w:val="24"/>
          <w:szCs w:val="24"/>
        </w:rPr>
      </w:pPr>
      <w:r>
        <w:rPr>
          <w:rFonts w:ascii="Times New Roman" w:eastAsia="Times New Roman" w:hAnsi="Times New Roman" w:cs="Times New Roman"/>
          <w:b/>
          <w:color w:val="000000"/>
          <w:sz w:val="24"/>
          <w:szCs w:val="24"/>
        </w:rPr>
        <w:t xml:space="preserve"> </w:t>
      </w:r>
    </w:p>
    <w:p w:rsidR="00B9568A" w:rsidRPr="00B9568A" w:rsidRDefault="006F1309" w:rsidP="001B4658">
      <w:pPr>
        <w:widowControl w:val="0"/>
        <w:numPr>
          <w:ilvl w:val="0"/>
          <w:numId w:val="9"/>
        </w:numPr>
        <w:spacing w:after="0" w:line="240" w:lineRule="auto"/>
        <w:ind w:right="-180"/>
        <w:jc w:val="both"/>
        <w:rPr>
          <w:rFonts w:ascii="Courier" w:eastAsia="Times New Roman" w:hAnsi="Courier" w:cs="Courier"/>
          <w:b/>
          <w:color w:val="000000"/>
          <w:sz w:val="24"/>
          <w:szCs w:val="24"/>
        </w:rPr>
      </w:pPr>
      <w:r w:rsidRPr="006F1309">
        <w:rPr>
          <w:rFonts w:ascii="Times New Roman" w:eastAsia="Times New Roman" w:hAnsi="Times New Roman" w:cs="Times New Roman"/>
          <w:b/>
          <w:color w:val="000000"/>
          <w:sz w:val="24"/>
          <w:szCs w:val="24"/>
        </w:rPr>
        <w:t xml:space="preserve">Interest on Lawyer’s Trust Accounts </w:t>
      </w:r>
      <w:r>
        <w:rPr>
          <w:rFonts w:ascii="Times New Roman" w:eastAsia="Times New Roman" w:hAnsi="Times New Roman" w:cs="Times New Roman"/>
          <w:b/>
          <w:color w:val="000000"/>
          <w:sz w:val="24"/>
          <w:szCs w:val="24"/>
        </w:rPr>
        <w:t>(</w:t>
      </w:r>
      <w:proofErr w:type="spellStart"/>
      <w:r>
        <w:rPr>
          <w:rFonts w:ascii="Times New Roman" w:eastAsia="Times New Roman" w:hAnsi="Times New Roman" w:cs="Times New Roman"/>
          <w:b/>
          <w:color w:val="000000"/>
          <w:sz w:val="24"/>
          <w:szCs w:val="24"/>
        </w:rPr>
        <w:t>IOLTA</w:t>
      </w:r>
      <w:proofErr w:type="spellEnd"/>
      <w:r>
        <w:rPr>
          <w:rFonts w:ascii="Times New Roman" w:eastAsia="Times New Roman" w:hAnsi="Times New Roman" w:cs="Times New Roman"/>
          <w:b/>
          <w:color w:val="000000"/>
          <w:sz w:val="24"/>
          <w:szCs w:val="24"/>
        </w:rPr>
        <w:t>) -</w:t>
      </w:r>
      <w:r w:rsidRPr="006F1309">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The bank participated in the program during the evaluation period</w:t>
      </w:r>
      <w:r w:rsidR="00323993">
        <w:rPr>
          <w:rFonts w:ascii="Times New Roman" w:eastAsia="Times New Roman" w:hAnsi="Times New Roman" w:cs="Times New Roman"/>
          <w:color w:val="000000"/>
          <w:sz w:val="24"/>
          <w:szCs w:val="24"/>
        </w:rPr>
        <w:t xml:space="preserve">. </w:t>
      </w:r>
      <w:r w:rsidR="00B9568A" w:rsidRPr="00B9568A">
        <w:rPr>
          <w:rFonts w:ascii="Times New Roman" w:eastAsia="Times New Roman" w:hAnsi="Times New Roman" w:cs="Times New Roman"/>
          <w:color w:val="000000"/>
          <w:sz w:val="24"/>
          <w:szCs w:val="24"/>
        </w:rPr>
        <w:t xml:space="preserve">Interest earned on </w:t>
      </w:r>
      <w:proofErr w:type="spellStart"/>
      <w:r w:rsidR="00B9568A" w:rsidRPr="00B9568A">
        <w:rPr>
          <w:rFonts w:ascii="Times New Roman" w:eastAsia="Times New Roman" w:hAnsi="Times New Roman" w:cs="Times New Roman"/>
          <w:color w:val="000000"/>
          <w:sz w:val="24"/>
          <w:szCs w:val="24"/>
        </w:rPr>
        <w:t>IOLTA</w:t>
      </w:r>
      <w:proofErr w:type="spellEnd"/>
      <w:r w:rsidR="00B9568A" w:rsidRPr="00B9568A">
        <w:rPr>
          <w:rFonts w:ascii="Times New Roman" w:eastAsia="Times New Roman" w:hAnsi="Times New Roman" w:cs="Times New Roman"/>
          <w:color w:val="000000"/>
          <w:sz w:val="24"/>
          <w:szCs w:val="24"/>
        </w:rPr>
        <w:t xml:space="preserve"> accounts </w:t>
      </w:r>
      <w:proofErr w:type="gramStart"/>
      <w:r w:rsidR="00B9568A" w:rsidRPr="00B9568A">
        <w:rPr>
          <w:rFonts w:ascii="Times New Roman" w:eastAsia="Times New Roman" w:hAnsi="Times New Roman" w:cs="Times New Roman"/>
          <w:color w:val="000000"/>
          <w:sz w:val="24"/>
          <w:szCs w:val="24"/>
        </w:rPr>
        <w:t>is sent to be utilized</w:t>
      </w:r>
      <w:proofErr w:type="gramEnd"/>
      <w:r w:rsidR="00B9568A" w:rsidRPr="00B9568A">
        <w:rPr>
          <w:rFonts w:ascii="Times New Roman" w:eastAsia="Times New Roman" w:hAnsi="Times New Roman" w:cs="Times New Roman"/>
          <w:color w:val="000000"/>
          <w:sz w:val="24"/>
          <w:szCs w:val="24"/>
        </w:rPr>
        <w:t xml:space="preserve"> to help fund improvements in the administration of justice and delivery of legal services to low-income clients</w:t>
      </w:r>
      <w:r w:rsidR="00323993">
        <w:rPr>
          <w:rFonts w:ascii="Times New Roman" w:eastAsia="Times New Roman" w:hAnsi="Times New Roman" w:cs="Times New Roman"/>
          <w:color w:val="000000"/>
          <w:sz w:val="24"/>
          <w:szCs w:val="24"/>
        </w:rPr>
        <w:t xml:space="preserve">. </w:t>
      </w:r>
      <w:r w:rsidR="00B9568A" w:rsidRPr="00B9568A">
        <w:rPr>
          <w:rFonts w:ascii="Times New Roman" w:eastAsia="Times New Roman" w:hAnsi="Times New Roman" w:cs="Times New Roman"/>
          <w:color w:val="000000"/>
          <w:sz w:val="24"/>
          <w:szCs w:val="24"/>
        </w:rPr>
        <w:t xml:space="preserve">The low-income residents of Massachusetts who depend on </w:t>
      </w:r>
      <w:proofErr w:type="spellStart"/>
      <w:r w:rsidR="00B9568A" w:rsidRPr="00B9568A">
        <w:rPr>
          <w:rFonts w:ascii="Times New Roman" w:eastAsia="Times New Roman" w:hAnsi="Times New Roman" w:cs="Times New Roman"/>
          <w:color w:val="000000"/>
          <w:sz w:val="24"/>
          <w:szCs w:val="24"/>
        </w:rPr>
        <w:t>IOLTA</w:t>
      </w:r>
      <w:proofErr w:type="spellEnd"/>
      <w:r w:rsidR="00B9568A" w:rsidRPr="00B9568A">
        <w:rPr>
          <w:rFonts w:ascii="Times New Roman" w:eastAsia="Times New Roman" w:hAnsi="Times New Roman" w:cs="Times New Roman"/>
          <w:color w:val="000000"/>
          <w:sz w:val="24"/>
          <w:szCs w:val="24"/>
        </w:rPr>
        <w:t>-funded legal assistance have pressing non-criminal legal needs that can sometime affect safety or survival itself</w:t>
      </w:r>
      <w:r w:rsidR="00323993">
        <w:rPr>
          <w:rFonts w:ascii="Times New Roman" w:eastAsia="Times New Roman" w:hAnsi="Times New Roman" w:cs="Times New Roman"/>
          <w:color w:val="000000"/>
          <w:sz w:val="24"/>
          <w:szCs w:val="24"/>
        </w:rPr>
        <w:t xml:space="preserve">. </w:t>
      </w:r>
      <w:r w:rsidR="00B9568A" w:rsidRPr="00B9568A">
        <w:rPr>
          <w:rFonts w:ascii="Times New Roman" w:eastAsia="Times New Roman" w:hAnsi="Times New Roman" w:cs="Times New Roman"/>
          <w:color w:val="000000"/>
          <w:sz w:val="24"/>
          <w:szCs w:val="24"/>
        </w:rPr>
        <w:t xml:space="preserve">The bank’s </w:t>
      </w:r>
      <w:proofErr w:type="spellStart"/>
      <w:r w:rsidR="00E62D07">
        <w:rPr>
          <w:rFonts w:ascii="Times New Roman" w:eastAsia="Times New Roman" w:hAnsi="Times New Roman" w:cs="Times New Roman"/>
          <w:color w:val="000000"/>
          <w:sz w:val="24"/>
          <w:szCs w:val="24"/>
        </w:rPr>
        <w:t>IOLTA</w:t>
      </w:r>
      <w:proofErr w:type="spellEnd"/>
      <w:r w:rsidR="00E62D07">
        <w:rPr>
          <w:rFonts w:ascii="Times New Roman" w:eastAsia="Times New Roman" w:hAnsi="Times New Roman" w:cs="Times New Roman"/>
          <w:color w:val="000000"/>
          <w:sz w:val="24"/>
          <w:szCs w:val="24"/>
        </w:rPr>
        <w:t xml:space="preserve"> program generated $7,492 </w:t>
      </w:r>
      <w:r w:rsidR="00B9568A" w:rsidRPr="00B9568A">
        <w:rPr>
          <w:rFonts w:ascii="Times New Roman" w:eastAsia="Times New Roman" w:hAnsi="Times New Roman" w:cs="Times New Roman"/>
          <w:color w:val="000000"/>
          <w:sz w:val="24"/>
          <w:szCs w:val="24"/>
        </w:rPr>
        <w:t>during the evaluation period.</w:t>
      </w:r>
    </w:p>
    <w:p w:rsidR="00B9568A" w:rsidRPr="00B9568A" w:rsidRDefault="00B9568A" w:rsidP="001B4658">
      <w:pPr>
        <w:widowControl w:val="0"/>
        <w:spacing w:after="0" w:line="240" w:lineRule="auto"/>
        <w:ind w:left="720" w:right="-180"/>
        <w:jc w:val="both"/>
        <w:rPr>
          <w:rFonts w:ascii="Courier" w:eastAsia="Times New Roman" w:hAnsi="Courier" w:cs="Courier"/>
          <w:b/>
          <w:color w:val="000000"/>
          <w:sz w:val="24"/>
          <w:szCs w:val="24"/>
        </w:rPr>
      </w:pPr>
    </w:p>
    <w:p w:rsidR="00B9568A" w:rsidRPr="00B9568A" w:rsidRDefault="006F1309" w:rsidP="001B4658">
      <w:pPr>
        <w:widowControl w:val="0"/>
        <w:numPr>
          <w:ilvl w:val="0"/>
          <w:numId w:val="9"/>
        </w:numPr>
        <w:spacing w:after="0" w:line="240" w:lineRule="auto"/>
        <w:ind w:right="-180"/>
        <w:jc w:val="both"/>
        <w:rPr>
          <w:rFonts w:ascii="Times New Roman" w:eastAsia="Times New Roman" w:hAnsi="Times New Roman" w:cs="Times New Roman"/>
          <w:b/>
          <w:color w:val="000000"/>
          <w:sz w:val="24"/>
          <w:szCs w:val="24"/>
        </w:rPr>
      </w:pPr>
      <w:r w:rsidRPr="006F1309">
        <w:rPr>
          <w:rFonts w:ascii="Times New Roman" w:eastAsia="Times New Roman" w:hAnsi="Times New Roman" w:cs="Times New Roman"/>
          <w:b/>
          <w:color w:val="000000"/>
          <w:sz w:val="24"/>
          <w:szCs w:val="24"/>
        </w:rPr>
        <w:t>Free Checking Account</w:t>
      </w:r>
      <w:r>
        <w:rPr>
          <w:rFonts w:ascii="Times New Roman" w:eastAsia="Times New Roman" w:hAnsi="Times New Roman" w:cs="Times New Roman"/>
          <w:color w:val="000000"/>
          <w:sz w:val="24"/>
          <w:szCs w:val="24"/>
        </w:rPr>
        <w:t xml:space="preserve"> - </w:t>
      </w:r>
      <w:r w:rsidR="00B9568A" w:rsidRPr="00B9568A">
        <w:rPr>
          <w:rFonts w:ascii="Times New Roman" w:eastAsia="Times New Roman" w:hAnsi="Times New Roman" w:cs="Times New Roman"/>
          <w:color w:val="000000"/>
          <w:sz w:val="24"/>
          <w:szCs w:val="24"/>
        </w:rPr>
        <w:t>The bank offer</w:t>
      </w:r>
      <w:r w:rsidR="00E62D07">
        <w:rPr>
          <w:rFonts w:ascii="Times New Roman" w:eastAsia="Times New Roman" w:hAnsi="Times New Roman" w:cs="Times New Roman"/>
          <w:color w:val="000000"/>
          <w:sz w:val="24"/>
          <w:szCs w:val="24"/>
        </w:rPr>
        <w:t>s a low cost checking account</w:t>
      </w:r>
      <w:r w:rsidR="00B9568A" w:rsidRPr="00B9568A">
        <w:rPr>
          <w:rFonts w:ascii="Times New Roman" w:eastAsia="Times New Roman" w:hAnsi="Times New Roman" w:cs="Times New Roman"/>
          <w:color w:val="000000"/>
          <w:sz w:val="24"/>
          <w:szCs w:val="24"/>
        </w:rPr>
        <w:t xml:space="preserve"> product that meet the Basic Banking in Massachusetts guidelines set forth by the Massachusetts Community and Banking Council (</w:t>
      </w:r>
      <w:proofErr w:type="spellStart"/>
      <w:r w:rsidR="00B9568A" w:rsidRPr="00B9568A">
        <w:rPr>
          <w:rFonts w:ascii="Times New Roman" w:eastAsia="Times New Roman" w:hAnsi="Times New Roman" w:cs="Times New Roman"/>
          <w:color w:val="000000"/>
          <w:sz w:val="24"/>
          <w:szCs w:val="24"/>
        </w:rPr>
        <w:t>MCBC</w:t>
      </w:r>
      <w:proofErr w:type="spellEnd"/>
      <w:r w:rsidR="00B9568A" w:rsidRPr="00B9568A">
        <w:rPr>
          <w:rFonts w:ascii="Times New Roman" w:eastAsia="Times New Roman" w:hAnsi="Times New Roman" w:cs="Times New Roman"/>
          <w:color w:val="000000"/>
          <w:sz w:val="24"/>
          <w:szCs w:val="24"/>
        </w:rPr>
        <w:t>)</w:t>
      </w:r>
      <w:r w:rsidR="00323993">
        <w:rPr>
          <w:rFonts w:ascii="Times New Roman" w:eastAsia="Times New Roman" w:hAnsi="Times New Roman" w:cs="Times New Roman"/>
          <w:color w:val="000000"/>
          <w:sz w:val="24"/>
          <w:szCs w:val="24"/>
        </w:rPr>
        <w:t xml:space="preserve">. </w:t>
      </w:r>
      <w:r w:rsidR="00B9568A" w:rsidRPr="00B9568A">
        <w:rPr>
          <w:rFonts w:ascii="Times New Roman" w:eastAsia="Times New Roman" w:hAnsi="Times New Roman" w:cs="Times New Roman"/>
          <w:color w:val="000000"/>
          <w:sz w:val="24"/>
          <w:szCs w:val="24"/>
        </w:rPr>
        <w:t xml:space="preserve">This </w:t>
      </w:r>
      <w:r w:rsidR="00323993" w:rsidRPr="00B9568A">
        <w:rPr>
          <w:rFonts w:ascii="Times New Roman" w:eastAsia="Times New Roman" w:hAnsi="Times New Roman" w:cs="Times New Roman"/>
          <w:color w:val="000000"/>
          <w:sz w:val="24"/>
          <w:szCs w:val="24"/>
        </w:rPr>
        <w:t>statewide</w:t>
      </w:r>
      <w:r w:rsidR="00B9568A" w:rsidRPr="00B9568A">
        <w:rPr>
          <w:rFonts w:ascii="Times New Roman" w:eastAsia="Times New Roman" w:hAnsi="Times New Roman" w:cs="Times New Roman"/>
          <w:color w:val="000000"/>
          <w:sz w:val="24"/>
          <w:szCs w:val="24"/>
        </w:rPr>
        <w:t xml:space="preserve"> program </w:t>
      </w:r>
      <w:proofErr w:type="gramStart"/>
      <w:r w:rsidR="00B9568A" w:rsidRPr="00B9568A">
        <w:rPr>
          <w:rFonts w:ascii="Times New Roman" w:eastAsia="Times New Roman" w:hAnsi="Times New Roman" w:cs="Times New Roman"/>
          <w:color w:val="000000"/>
          <w:sz w:val="24"/>
          <w:szCs w:val="24"/>
        </w:rPr>
        <w:t>is designed</w:t>
      </w:r>
      <w:proofErr w:type="gramEnd"/>
      <w:r w:rsidR="00B9568A" w:rsidRPr="00B9568A">
        <w:rPr>
          <w:rFonts w:ascii="Times New Roman" w:eastAsia="Times New Roman" w:hAnsi="Times New Roman" w:cs="Times New Roman"/>
          <w:color w:val="000000"/>
          <w:sz w:val="24"/>
          <w:szCs w:val="24"/>
        </w:rPr>
        <w:t xml:space="preserve"> to offer low-cost checking and savings accounts to low- and moderate-income individuals.</w:t>
      </w:r>
    </w:p>
    <w:p w:rsidR="00B9568A" w:rsidRPr="00B9568A" w:rsidRDefault="00B9568A" w:rsidP="001B4658">
      <w:pPr>
        <w:widowControl w:val="0"/>
        <w:spacing w:after="0" w:line="240" w:lineRule="auto"/>
        <w:ind w:left="720"/>
        <w:jc w:val="both"/>
        <w:rPr>
          <w:rFonts w:ascii="Courier" w:eastAsia="Times New Roman" w:hAnsi="Courier" w:cs="Courier"/>
          <w:color w:val="000000"/>
          <w:sz w:val="24"/>
          <w:szCs w:val="24"/>
        </w:rPr>
      </w:pPr>
    </w:p>
    <w:p w:rsidR="00F035DE" w:rsidRDefault="006F1309" w:rsidP="001B4658">
      <w:pPr>
        <w:widowControl w:val="0"/>
        <w:numPr>
          <w:ilvl w:val="0"/>
          <w:numId w:val="9"/>
        </w:numPr>
        <w:spacing w:after="0" w:line="240" w:lineRule="auto"/>
        <w:ind w:right="-180"/>
        <w:jc w:val="both"/>
        <w:rPr>
          <w:rFonts w:ascii="Times New Roman" w:eastAsia="Times New Roman" w:hAnsi="Times New Roman" w:cs="Times New Roman"/>
          <w:color w:val="000000"/>
          <w:sz w:val="24"/>
          <w:szCs w:val="24"/>
        </w:rPr>
      </w:pPr>
      <w:r w:rsidRPr="006F1309">
        <w:rPr>
          <w:rFonts w:ascii="Times New Roman" w:eastAsia="Times New Roman" w:hAnsi="Times New Roman" w:cs="Times New Roman"/>
          <w:b/>
          <w:color w:val="000000"/>
          <w:sz w:val="24"/>
          <w:szCs w:val="24"/>
        </w:rPr>
        <w:t>Branch Location</w:t>
      </w:r>
      <w:r>
        <w:rPr>
          <w:rFonts w:ascii="Times New Roman" w:eastAsia="Times New Roman" w:hAnsi="Times New Roman" w:cs="Times New Roman"/>
          <w:color w:val="000000"/>
          <w:sz w:val="24"/>
          <w:szCs w:val="24"/>
        </w:rPr>
        <w:t xml:space="preserve"> - </w:t>
      </w:r>
      <w:r w:rsidR="008C5AFF">
        <w:rPr>
          <w:rFonts w:ascii="Times New Roman" w:eastAsia="Times New Roman" w:hAnsi="Times New Roman" w:cs="Times New Roman"/>
          <w:color w:val="000000"/>
          <w:sz w:val="24"/>
          <w:szCs w:val="24"/>
        </w:rPr>
        <w:t>Watertown Savings B</w:t>
      </w:r>
      <w:r w:rsidR="00E62D07">
        <w:rPr>
          <w:rFonts w:ascii="Times New Roman" w:eastAsia="Times New Roman" w:hAnsi="Times New Roman" w:cs="Times New Roman"/>
          <w:color w:val="000000"/>
          <w:sz w:val="24"/>
          <w:szCs w:val="24"/>
        </w:rPr>
        <w:t xml:space="preserve">ank operated two branches </w:t>
      </w:r>
      <w:r w:rsidR="00B9568A" w:rsidRPr="00B9568A">
        <w:rPr>
          <w:rFonts w:ascii="Times New Roman" w:eastAsia="Times New Roman" w:hAnsi="Times New Roman" w:cs="Times New Roman"/>
          <w:color w:val="000000"/>
          <w:sz w:val="24"/>
          <w:szCs w:val="24"/>
        </w:rPr>
        <w:t>in moderate-income census tracts of the assessment area</w:t>
      </w:r>
      <w:r w:rsidR="00323993">
        <w:rPr>
          <w:rFonts w:ascii="Times New Roman" w:eastAsia="Times New Roman" w:hAnsi="Times New Roman" w:cs="Times New Roman"/>
          <w:color w:val="000000"/>
          <w:sz w:val="24"/>
          <w:szCs w:val="24"/>
        </w:rPr>
        <w:t xml:space="preserve">. </w:t>
      </w:r>
      <w:r w:rsidR="00B9568A" w:rsidRPr="00B9568A">
        <w:rPr>
          <w:rFonts w:ascii="Times New Roman" w:eastAsia="Times New Roman" w:hAnsi="Times New Roman" w:cs="Times New Roman"/>
          <w:color w:val="000000"/>
          <w:sz w:val="24"/>
          <w:szCs w:val="24"/>
        </w:rPr>
        <w:t>These branches and ATMs demonstrate the availability of banking services to low- and moderate-income individuals</w:t>
      </w:r>
      <w:r w:rsidR="00B47684">
        <w:rPr>
          <w:rFonts w:ascii="Times New Roman" w:eastAsia="Times New Roman" w:hAnsi="Times New Roman" w:cs="Times New Roman"/>
          <w:color w:val="000000"/>
          <w:sz w:val="24"/>
          <w:szCs w:val="24"/>
        </w:rPr>
        <w:t xml:space="preserve">.  </w:t>
      </w:r>
    </w:p>
    <w:p w:rsidR="00F035DE" w:rsidRDefault="00F035D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F035DE" w:rsidRPr="00F035DE" w:rsidRDefault="00F035DE" w:rsidP="00F035DE">
      <w:pPr>
        <w:jc w:val="center"/>
        <w:rPr>
          <w:rFonts w:ascii="Times New Roman" w:hAnsi="Times New Roman" w:cs="Times New Roman"/>
          <w:b/>
          <w:bCs/>
          <w:sz w:val="28"/>
          <w:szCs w:val="28"/>
        </w:rPr>
      </w:pPr>
      <w:r w:rsidRPr="00F035DE">
        <w:rPr>
          <w:rFonts w:ascii="Times New Roman" w:hAnsi="Times New Roman" w:cs="Times New Roman"/>
          <w:b/>
          <w:bCs/>
          <w:sz w:val="28"/>
          <w:szCs w:val="28"/>
        </w:rPr>
        <w:lastRenderedPageBreak/>
        <w:t>GLOSSARY</w:t>
      </w:r>
    </w:p>
    <w:p w:rsidR="00F035DE" w:rsidRPr="00F035DE" w:rsidRDefault="00F035DE" w:rsidP="00F035DE">
      <w:pPr>
        <w:spacing w:after="0" w:line="240" w:lineRule="auto"/>
        <w:jc w:val="both"/>
        <w:rPr>
          <w:rFonts w:ascii="Times New Roman" w:hAnsi="Times New Roman" w:cs="Times New Roman"/>
          <w:sz w:val="24"/>
          <w:szCs w:val="24"/>
        </w:rPr>
      </w:pPr>
      <w:r w:rsidRPr="00F035DE">
        <w:rPr>
          <w:rFonts w:ascii="Times New Roman" w:hAnsi="Times New Roman" w:cs="Times New Roman"/>
          <w:b/>
          <w:bCs/>
          <w:sz w:val="24"/>
          <w:szCs w:val="24"/>
        </w:rPr>
        <w:t>Aggregate Lending:</w:t>
      </w:r>
      <w:r w:rsidRPr="00F035DE">
        <w:rPr>
          <w:rFonts w:ascii="Times New Roman" w:hAnsi="Times New Roman" w:cs="Times New Roman"/>
          <w:sz w:val="24"/>
          <w:szCs w:val="24"/>
        </w:rPr>
        <w:t xml:space="preserve">  The number of loans originated and purchased by all reporting lenders in specified income categories as a percentage of the aggregate number of loans originated and purchased by all reporting lenders in the metropolitan area/assessment area.</w:t>
      </w:r>
    </w:p>
    <w:p w:rsidR="00F035DE" w:rsidRPr="00F035DE" w:rsidRDefault="00F035DE" w:rsidP="00F035DE">
      <w:pPr>
        <w:spacing w:after="0" w:line="240" w:lineRule="auto"/>
        <w:jc w:val="both"/>
        <w:rPr>
          <w:rFonts w:ascii="Times New Roman" w:hAnsi="Times New Roman" w:cs="Times New Roman"/>
          <w:b/>
          <w:bCs/>
          <w:sz w:val="24"/>
          <w:szCs w:val="24"/>
        </w:rPr>
      </w:pPr>
    </w:p>
    <w:p w:rsidR="00F035DE" w:rsidRPr="00F035DE" w:rsidRDefault="00F035DE" w:rsidP="00F035DE">
      <w:pPr>
        <w:spacing w:after="0" w:line="240" w:lineRule="auto"/>
        <w:jc w:val="both"/>
        <w:rPr>
          <w:rFonts w:ascii="Times New Roman" w:hAnsi="Times New Roman" w:cs="Times New Roman"/>
          <w:i/>
          <w:iCs/>
          <w:sz w:val="24"/>
          <w:szCs w:val="24"/>
        </w:rPr>
      </w:pPr>
      <w:r w:rsidRPr="00F035DE">
        <w:rPr>
          <w:rFonts w:ascii="Times New Roman" w:hAnsi="Times New Roman" w:cs="Times New Roman"/>
          <w:b/>
          <w:bCs/>
          <w:sz w:val="24"/>
          <w:szCs w:val="24"/>
        </w:rPr>
        <w:t xml:space="preserve">Area Median Income:  </w:t>
      </w:r>
      <w:r w:rsidRPr="00F035DE">
        <w:rPr>
          <w:rFonts w:ascii="Times New Roman" w:hAnsi="Times New Roman" w:cs="Times New Roman"/>
          <w:sz w:val="24"/>
          <w:szCs w:val="24"/>
        </w:rPr>
        <w:t xml:space="preserve">The median family income for the </w:t>
      </w:r>
      <w:proofErr w:type="spellStart"/>
      <w:r w:rsidRPr="00F035DE">
        <w:rPr>
          <w:rFonts w:ascii="Times New Roman" w:hAnsi="Times New Roman" w:cs="Times New Roman"/>
          <w:sz w:val="24"/>
          <w:szCs w:val="24"/>
        </w:rPr>
        <w:t>MSA</w:t>
      </w:r>
      <w:proofErr w:type="spellEnd"/>
      <w:r w:rsidRPr="00F035DE">
        <w:rPr>
          <w:rFonts w:ascii="Times New Roman" w:hAnsi="Times New Roman" w:cs="Times New Roman"/>
          <w:sz w:val="24"/>
          <w:szCs w:val="24"/>
        </w:rPr>
        <w:t xml:space="preserve">, if a person or geography is located in an </w:t>
      </w:r>
      <w:proofErr w:type="spellStart"/>
      <w:r w:rsidRPr="00F035DE">
        <w:rPr>
          <w:rFonts w:ascii="Times New Roman" w:hAnsi="Times New Roman" w:cs="Times New Roman"/>
          <w:sz w:val="24"/>
          <w:szCs w:val="24"/>
        </w:rPr>
        <w:t>MSA</w:t>
      </w:r>
      <w:proofErr w:type="spellEnd"/>
      <w:proofErr w:type="gramStart"/>
      <w:r w:rsidRPr="00F035DE">
        <w:rPr>
          <w:rFonts w:ascii="Times New Roman" w:hAnsi="Times New Roman" w:cs="Times New Roman"/>
          <w:sz w:val="24"/>
          <w:szCs w:val="24"/>
        </w:rPr>
        <w:t>;</w:t>
      </w:r>
      <w:proofErr w:type="gramEnd"/>
      <w:r w:rsidRPr="00F035DE">
        <w:rPr>
          <w:rFonts w:ascii="Times New Roman" w:hAnsi="Times New Roman" w:cs="Times New Roman"/>
          <w:sz w:val="24"/>
          <w:szCs w:val="24"/>
        </w:rPr>
        <w:t xml:space="preserve"> or the statewide nonmetropolitan median family income, if a person or geography is located outside an </w:t>
      </w:r>
      <w:proofErr w:type="spellStart"/>
      <w:r w:rsidRPr="00F035DE">
        <w:rPr>
          <w:rFonts w:ascii="Times New Roman" w:hAnsi="Times New Roman" w:cs="Times New Roman"/>
          <w:sz w:val="24"/>
          <w:szCs w:val="24"/>
        </w:rPr>
        <w:t>MSA</w:t>
      </w:r>
      <w:proofErr w:type="spellEnd"/>
      <w:r w:rsidRPr="00F035DE">
        <w:rPr>
          <w:rFonts w:ascii="Times New Roman" w:hAnsi="Times New Roman" w:cs="Times New Roman"/>
          <w:i/>
          <w:iCs/>
          <w:sz w:val="24"/>
          <w:szCs w:val="24"/>
        </w:rPr>
        <w:t>.</w:t>
      </w:r>
    </w:p>
    <w:p w:rsidR="00F035DE" w:rsidRPr="00F035DE" w:rsidRDefault="00F035DE" w:rsidP="00F035DE">
      <w:pPr>
        <w:spacing w:after="0" w:line="240" w:lineRule="auto"/>
        <w:jc w:val="both"/>
        <w:rPr>
          <w:rFonts w:ascii="Times New Roman" w:hAnsi="Times New Roman" w:cs="Times New Roman"/>
          <w:b/>
          <w:bCs/>
          <w:sz w:val="24"/>
          <w:szCs w:val="24"/>
        </w:rPr>
      </w:pPr>
    </w:p>
    <w:p w:rsidR="00F035DE" w:rsidRPr="00F035DE" w:rsidRDefault="00F035DE" w:rsidP="00F035DE">
      <w:pPr>
        <w:spacing w:after="0" w:line="240" w:lineRule="auto"/>
        <w:jc w:val="both"/>
        <w:rPr>
          <w:rFonts w:ascii="Times New Roman" w:hAnsi="Times New Roman" w:cs="Times New Roman"/>
          <w:sz w:val="24"/>
          <w:szCs w:val="24"/>
        </w:rPr>
      </w:pPr>
      <w:r w:rsidRPr="00F035DE">
        <w:rPr>
          <w:rFonts w:ascii="Times New Roman" w:hAnsi="Times New Roman" w:cs="Times New Roman"/>
          <w:b/>
          <w:bCs/>
          <w:sz w:val="24"/>
          <w:szCs w:val="24"/>
        </w:rPr>
        <w:t>Assessment Area:</w:t>
      </w:r>
      <w:r w:rsidRPr="00F035DE">
        <w:rPr>
          <w:rFonts w:ascii="Times New Roman" w:hAnsi="Times New Roman" w:cs="Times New Roman"/>
          <w:sz w:val="24"/>
          <w:szCs w:val="24"/>
        </w:rPr>
        <w:t xml:space="preserve">  A geographic area delineated by the bank under the requirements of the Community Reinvestment Act.</w:t>
      </w:r>
    </w:p>
    <w:p w:rsidR="00F035DE" w:rsidRPr="00F035DE" w:rsidRDefault="00F035DE" w:rsidP="00F035DE">
      <w:pPr>
        <w:spacing w:after="0" w:line="240" w:lineRule="auto"/>
        <w:jc w:val="both"/>
        <w:rPr>
          <w:rFonts w:ascii="Times New Roman" w:hAnsi="Times New Roman" w:cs="Times New Roman"/>
          <w:b/>
          <w:bCs/>
          <w:sz w:val="24"/>
          <w:szCs w:val="24"/>
        </w:rPr>
      </w:pPr>
    </w:p>
    <w:p w:rsidR="00F035DE" w:rsidRPr="00F035DE" w:rsidRDefault="00F035DE" w:rsidP="00F035DE">
      <w:pPr>
        <w:spacing w:after="0" w:line="240" w:lineRule="auto"/>
        <w:jc w:val="both"/>
        <w:rPr>
          <w:rFonts w:ascii="Times New Roman" w:hAnsi="Times New Roman" w:cs="Times New Roman"/>
          <w:sz w:val="24"/>
          <w:szCs w:val="24"/>
        </w:rPr>
      </w:pPr>
      <w:proofErr w:type="gramStart"/>
      <w:r>
        <w:rPr>
          <w:rFonts w:ascii="Times New Roman" w:hAnsi="Times New Roman" w:cs="Times New Roman"/>
          <w:b/>
          <w:bCs/>
          <w:sz w:val="24"/>
          <w:szCs w:val="24"/>
        </w:rPr>
        <w:t xml:space="preserve">Census Tract: </w:t>
      </w:r>
      <w:r w:rsidRPr="00F035DE">
        <w:rPr>
          <w:rFonts w:ascii="Times New Roman" w:hAnsi="Times New Roman" w:cs="Times New Roman"/>
          <w:sz w:val="24"/>
          <w:szCs w:val="24"/>
        </w:rPr>
        <w:t>A small, relatively permanent statistical subdivision of a county or equivalent entity.</w:t>
      </w:r>
      <w:proofErr w:type="gramEnd"/>
      <w:r w:rsidRPr="00F035DE">
        <w:rPr>
          <w:rFonts w:ascii="Times New Roman" w:hAnsi="Times New Roman" w:cs="Times New Roman"/>
          <w:sz w:val="24"/>
          <w:szCs w:val="24"/>
        </w:rPr>
        <w:t xml:space="preserve"> The primary purpose of census tracts is to provide a stable set of geographic units for the presentation of statistical data. Census tracts generally have a population size between 1,200 and 8,000 people, with an optimum size of 4,000 people. Census tract boundaries generally follow visible and identifiable features, but they may follow nonvisible legal boundaries in some instances. State and county boundaries always are census tract boundaries.  </w:t>
      </w:r>
    </w:p>
    <w:p w:rsidR="00F035DE" w:rsidRPr="00F035DE" w:rsidRDefault="00F035DE" w:rsidP="00F035DE">
      <w:pPr>
        <w:spacing w:after="0" w:line="240" w:lineRule="auto"/>
        <w:jc w:val="both"/>
        <w:rPr>
          <w:rFonts w:ascii="Times New Roman" w:hAnsi="Times New Roman" w:cs="Times New Roman"/>
          <w:b/>
          <w:bCs/>
          <w:sz w:val="24"/>
          <w:szCs w:val="24"/>
        </w:rPr>
      </w:pPr>
    </w:p>
    <w:p w:rsidR="00F035DE" w:rsidRPr="00F035DE" w:rsidRDefault="00F035DE" w:rsidP="00F035DE">
      <w:pPr>
        <w:widowControl w:val="0"/>
        <w:spacing w:after="0" w:line="240" w:lineRule="auto"/>
        <w:jc w:val="both"/>
        <w:rPr>
          <w:rFonts w:ascii="Times New Roman" w:hAnsi="Times New Roman" w:cs="Times New Roman"/>
          <w:sz w:val="24"/>
          <w:szCs w:val="24"/>
        </w:rPr>
      </w:pPr>
      <w:r w:rsidRPr="00F035DE">
        <w:rPr>
          <w:rFonts w:ascii="Times New Roman" w:hAnsi="Times New Roman" w:cs="Times New Roman"/>
          <w:b/>
          <w:bCs/>
          <w:sz w:val="24"/>
          <w:szCs w:val="24"/>
        </w:rPr>
        <w:t xml:space="preserve">Combined Statistical Area (CSA):  </w:t>
      </w:r>
      <w:r w:rsidRPr="00F035DE">
        <w:rPr>
          <w:rFonts w:ascii="Times New Roman" w:hAnsi="Times New Roman" w:cs="Times New Roman"/>
          <w:sz w:val="24"/>
          <w:szCs w:val="24"/>
        </w:rPr>
        <w:t xml:space="preserve">A combination of several adjacent metropolitan statistical areas or </w:t>
      </w:r>
      <w:proofErr w:type="spellStart"/>
      <w:r w:rsidRPr="00F035DE">
        <w:rPr>
          <w:rFonts w:ascii="Times New Roman" w:hAnsi="Times New Roman" w:cs="Times New Roman"/>
          <w:sz w:val="24"/>
          <w:szCs w:val="24"/>
        </w:rPr>
        <w:t>micropolitan</w:t>
      </w:r>
      <w:proofErr w:type="spellEnd"/>
      <w:r w:rsidRPr="00F035DE">
        <w:rPr>
          <w:rFonts w:ascii="Times New Roman" w:hAnsi="Times New Roman" w:cs="Times New Roman"/>
          <w:sz w:val="24"/>
          <w:szCs w:val="24"/>
        </w:rPr>
        <w:t xml:space="preserve"> statistical areas or a mix of the two, which </w:t>
      </w:r>
      <w:proofErr w:type="gramStart"/>
      <w:r w:rsidRPr="00F035DE">
        <w:rPr>
          <w:rFonts w:ascii="Times New Roman" w:hAnsi="Times New Roman" w:cs="Times New Roman"/>
          <w:sz w:val="24"/>
          <w:szCs w:val="24"/>
        </w:rPr>
        <w:t>are linked</w:t>
      </w:r>
      <w:proofErr w:type="gramEnd"/>
      <w:r w:rsidRPr="00F035DE">
        <w:rPr>
          <w:rFonts w:ascii="Times New Roman" w:hAnsi="Times New Roman" w:cs="Times New Roman"/>
          <w:sz w:val="24"/>
          <w:szCs w:val="24"/>
        </w:rPr>
        <w:t xml:space="preserve"> by economic ties.  </w:t>
      </w:r>
    </w:p>
    <w:p w:rsidR="00F035DE" w:rsidRPr="00F035DE" w:rsidRDefault="00F035DE" w:rsidP="00F035DE">
      <w:pPr>
        <w:spacing w:after="0" w:line="240" w:lineRule="auto"/>
        <w:jc w:val="both"/>
        <w:rPr>
          <w:rFonts w:ascii="Times New Roman" w:hAnsi="Times New Roman" w:cs="Times New Roman"/>
          <w:sz w:val="24"/>
          <w:szCs w:val="24"/>
        </w:rPr>
      </w:pPr>
    </w:p>
    <w:p w:rsidR="00F035DE" w:rsidRPr="00F035DE" w:rsidRDefault="00F035DE" w:rsidP="00F035DE">
      <w:pPr>
        <w:spacing w:after="0" w:line="240" w:lineRule="auto"/>
        <w:jc w:val="both"/>
        <w:rPr>
          <w:rFonts w:ascii="Times New Roman" w:hAnsi="Times New Roman" w:cs="Times New Roman"/>
          <w:sz w:val="24"/>
          <w:szCs w:val="24"/>
        </w:rPr>
      </w:pPr>
      <w:r w:rsidRPr="00F035DE">
        <w:rPr>
          <w:rFonts w:ascii="Times New Roman" w:hAnsi="Times New Roman" w:cs="Times New Roman"/>
          <w:b/>
          <w:bCs/>
          <w:sz w:val="24"/>
          <w:szCs w:val="24"/>
        </w:rPr>
        <w:t xml:space="preserve">Community Development:  </w:t>
      </w:r>
      <w:r w:rsidRPr="00F035DE">
        <w:rPr>
          <w:rFonts w:ascii="Times New Roman" w:hAnsi="Times New Roman" w:cs="Times New Roman"/>
          <w:sz w:val="24"/>
          <w:szCs w:val="24"/>
        </w:rPr>
        <w:t>For loans, investments, and services to qualify as community development activities, their primary purpose must:</w:t>
      </w:r>
    </w:p>
    <w:p w:rsidR="00F035DE" w:rsidRPr="00F035DE" w:rsidRDefault="00F035DE" w:rsidP="00F035DE">
      <w:pPr>
        <w:tabs>
          <w:tab w:val="left" w:pos="720"/>
        </w:tabs>
        <w:spacing w:after="0" w:line="240" w:lineRule="auto"/>
        <w:ind w:left="720" w:hanging="360"/>
        <w:jc w:val="both"/>
        <w:rPr>
          <w:rFonts w:ascii="Times New Roman" w:hAnsi="Times New Roman" w:cs="Times New Roman"/>
          <w:sz w:val="24"/>
          <w:szCs w:val="24"/>
        </w:rPr>
      </w:pPr>
      <w:r w:rsidRPr="00F035DE">
        <w:rPr>
          <w:rFonts w:ascii="Times New Roman" w:hAnsi="Times New Roman" w:cs="Times New Roman"/>
          <w:sz w:val="24"/>
          <w:szCs w:val="24"/>
        </w:rPr>
        <w:t>(1)</w:t>
      </w:r>
      <w:r w:rsidRPr="00F035DE">
        <w:rPr>
          <w:rFonts w:ascii="Times New Roman" w:hAnsi="Times New Roman" w:cs="Times New Roman"/>
          <w:sz w:val="24"/>
          <w:szCs w:val="24"/>
        </w:rPr>
        <w:tab/>
        <w:t>Support affordable housing for low- and moderate-income individuals</w:t>
      </w:r>
      <w:proofErr w:type="gramStart"/>
      <w:r w:rsidRPr="00F035DE">
        <w:rPr>
          <w:rFonts w:ascii="Times New Roman" w:hAnsi="Times New Roman" w:cs="Times New Roman"/>
          <w:sz w:val="24"/>
          <w:szCs w:val="24"/>
        </w:rPr>
        <w:t>;</w:t>
      </w:r>
      <w:proofErr w:type="gramEnd"/>
      <w:r w:rsidRPr="00F035DE">
        <w:rPr>
          <w:rFonts w:ascii="Times New Roman" w:hAnsi="Times New Roman" w:cs="Times New Roman"/>
          <w:sz w:val="24"/>
          <w:szCs w:val="24"/>
        </w:rPr>
        <w:t xml:space="preserve"> </w:t>
      </w:r>
    </w:p>
    <w:p w:rsidR="00F035DE" w:rsidRPr="00F035DE" w:rsidRDefault="00F035DE" w:rsidP="00F035DE">
      <w:pPr>
        <w:tabs>
          <w:tab w:val="left" w:pos="720"/>
        </w:tabs>
        <w:spacing w:after="0" w:line="240" w:lineRule="auto"/>
        <w:ind w:left="720" w:hanging="360"/>
        <w:jc w:val="both"/>
        <w:rPr>
          <w:rFonts w:ascii="Times New Roman" w:hAnsi="Times New Roman" w:cs="Times New Roman"/>
          <w:sz w:val="24"/>
          <w:szCs w:val="24"/>
        </w:rPr>
      </w:pPr>
      <w:r w:rsidRPr="00F035DE">
        <w:rPr>
          <w:rFonts w:ascii="Times New Roman" w:hAnsi="Times New Roman" w:cs="Times New Roman"/>
          <w:sz w:val="24"/>
          <w:szCs w:val="24"/>
        </w:rPr>
        <w:t>(2)</w:t>
      </w:r>
      <w:r w:rsidRPr="00F035DE">
        <w:rPr>
          <w:rFonts w:ascii="Times New Roman" w:hAnsi="Times New Roman" w:cs="Times New Roman"/>
          <w:sz w:val="24"/>
          <w:szCs w:val="24"/>
        </w:rPr>
        <w:tab/>
        <w:t>Target community services toward low- and moderate-income individuals</w:t>
      </w:r>
      <w:proofErr w:type="gramStart"/>
      <w:r w:rsidRPr="00F035DE">
        <w:rPr>
          <w:rFonts w:ascii="Times New Roman" w:hAnsi="Times New Roman" w:cs="Times New Roman"/>
          <w:sz w:val="24"/>
          <w:szCs w:val="24"/>
        </w:rPr>
        <w:t>;</w:t>
      </w:r>
      <w:proofErr w:type="gramEnd"/>
      <w:r w:rsidRPr="00F035DE">
        <w:rPr>
          <w:rFonts w:ascii="Times New Roman" w:hAnsi="Times New Roman" w:cs="Times New Roman"/>
          <w:sz w:val="24"/>
          <w:szCs w:val="24"/>
        </w:rPr>
        <w:t xml:space="preserve"> </w:t>
      </w:r>
    </w:p>
    <w:p w:rsidR="00F035DE" w:rsidRPr="00F035DE" w:rsidRDefault="00F035DE" w:rsidP="00F035DE">
      <w:pPr>
        <w:tabs>
          <w:tab w:val="left" w:pos="720"/>
        </w:tabs>
        <w:spacing w:after="0" w:line="240" w:lineRule="auto"/>
        <w:ind w:left="720" w:hanging="360"/>
        <w:jc w:val="both"/>
        <w:rPr>
          <w:rFonts w:ascii="Times New Roman" w:hAnsi="Times New Roman" w:cs="Times New Roman"/>
          <w:sz w:val="24"/>
          <w:szCs w:val="24"/>
        </w:rPr>
      </w:pPr>
      <w:r w:rsidRPr="00F035DE">
        <w:rPr>
          <w:rFonts w:ascii="Times New Roman" w:hAnsi="Times New Roman" w:cs="Times New Roman"/>
          <w:sz w:val="24"/>
          <w:szCs w:val="24"/>
        </w:rPr>
        <w:t>(3)</w:t>
      </w:r>
      <w:r w:rsidRPr="00F035DE">
        <w:rPr>
          <w:rFonts w:ascii="Times New Roman" w:hAnsi="Times New Roman" w:cs="Times New Roman"/>
          <w:sz w:val="24"/>
          <w:szCs w:val="24"/>
        </w:rPr>
        <w:tab/>
        <w:t>Promote economic development by financing small businesses or farms</w:t>
      </w:r>
      <w:proofErr w:type="gramStart"/>
      <w:r w:rsidRPr="00F035DE">
        <w:rPr>
          <w:rFonts w:ascii="Times New Roman" w:hAnsi="Times New Roman" w:cs="Times New Roman"/>
          <w:sz w:val="24"/>
          <w:szCs w:val="24"/>
        </w:rPr>
        <w:t>;</w:t>
      </w:r>
      <w:proofErr w:type="gramEnd"/>
      <w:r w:rsidRPr="00F035DE">
        <w:rPr>
          <w:rFonts w:ascii="Times New Roman" w:hAnsi="Times New Roman" w:cs="Times New Roman"/>
          <w:sz w:val="24"/>
          <w:szCs w:val="24"/>
        </w:rPr>
        <w:t xml:space="preserve"> </w:t>
      </w:r>
    </w:p>
    <w:p w:rsidR="00F035DE" w:rsidRPr="00F035DE" w:rsidRDefault="00F035DE" w:rsidP="00F035DE">
      <w:pPr>
        <w:tabs>
          <w:tab w:val="left" w:pos="720"/>
        </w:tabs>
        <w:spacing w:after="0" w:line="240" w:lineRule="auto"/>
        <w:ind w:left="720" w:hanging="360"/>
        <w:jc w:val="both"/>
        <w:rPr>
          <w:rFonts w:ascii="Times New Roman" w:hAnsi="Times New Roman" w:cs="Times New Roman"/>
          <w:sz w:val="24"/>
          <w:szCs w:val="24"/>
        </w:rPr>
      </w:pPr>
      <w:r w:rsidRPr="00F035DE">
        <w:rPr>
          <w:rFonts w:ascii="Times New Roman" w:hAnsi="Times New Roman" w:cs="Times New Roman"/>
          <w:sz w:val="24"/>
          <w:szCs w:val="24"/>
        </w:rPr>
        <w:t>(4)</w:t>
      </w:r>
      <w:r w:rsidRPr="00F035DE">
        <w:rPr>
          <w:rFonts w:ascii="Times New Roman" w:hAnsi="Times New Roman" w:cs="Times New Roman"/>
          <w:sz w:val="24"/>
          <w:szCs w:val="24"/>
        </w:rPr>
        <w:tab/>
        <w:t>Provide activities that revitalize or stabilize low- and moderate-income geographies, designated disaster areas, or distressed or underserved nonmetropolitan middle-income geographies; or</w:t>
      </w:r>
    </w:p>
    <w:p w:rsidR="00F035DE" w:rsidRPr="00F035DE" w:rsidRDefault="00F035DE" w:rsidP="00F035DE">
      <w:pPr>
        <w:tabs>
          <w:tab w:val="left" w:pos="720"/>
        </w:tabs>
        <w:spacing w:after="0" w:line="240" w:lineRule="auto"/>
        <w:ind w:left="720" w:hanging="360"/>
        <w:jc w:val="both"/>
        <w:rPr>
          <w:rFonts w:ascii="Times New Roman" w:hAnsi="Times New Roman" w:cs="Times New Roman"/>
          <w:sz w:val="24"/>
          <w:szCs w:val="24"/>
        </w:rPr>
      </w:pPr>
      <w:r w:rsidRPr="00F035DE">
        <w:rPr>
          <w:rFonts w:ascii="Times New Roman" w:hAnsi="Times New Roman" w:cs="Times New Roman"/>
          <w:sz w:val="24"/>
          <w:szCs w:val="24"/>
        </w:rPr>
        <w:t>(5)</w:t>
      </w:r>
      <w:r w:rsidRPr="00F035DE">
        <w:rPr>
          <w:rFonts w:ascii="Times New Roman" w:hAnsi="Times New Roman" w:cs="Times New Roman"/>
          <w:sz w:val="24"/>
          <w:szCs w:val="24"/>
        </w:rPr>
        <w:tab/>
        <w:t>Enable or facilitate projects or activities that address needs regarding foreclosed or abandoned residential properties in designated target areas.</w:t>
      </w:r>
    </w:p>
    <w:p w:rsidR="00F035DE" w:rsidRPr="00F035DE" w:rsidRDefault="00F035DE" w:rsidP="00F035DE">
      <w:pPr>
        <w:spacing w:after="0" w:line="240" w:lineRule="auto"/>
        <w:jc w:val="both"/>
        <w:rPr>
          <w:rFonts w:ascii="Times New Roman" w:hAnsi="Times New Roman" w:cs="Times New Roman"/>
          <w:sz w:val="24"/>
          <w:szCs w:val="24"/>
        </w:rPr>
      </w:pPr>
    </w:p>
    <w:p w:rsidR="00F035DE" w:rsidRPr="00F035DE" w:rsidRDefault="00F035DE" w:rsidP="00F035DE">
      <w:pPr>
        <w:spacing w:after="0" w:line="240" w:lineRule="auto"/>
        <w:jc w:val="both"/>
        <w:rPr>
          <w:rFonts w:ascii="Times New Roman" w:hAnsi="Times New Roman" w:cs="Times New Roman"/>
          <w:sz w:val="24"/>
          <w:szCs w:val="24"/>
        </w:rPr>
      </w:pPr>
      <w:r w:rsidRPr="00F035DE">
        <w:rPr>
          <w:rFonts w:ascii="Times New Roman" w:hAnsi="Times New Roman" w:cs="Times New Roman"/>
          <w:b/>
          <w:bCs/>
          <w:sz w:val="24"/>
          <w:szCs w:val="24"/>
        </w:rPr>
        <w:t xml:space="preserve">Community Development Corporation (CDC):  </w:t>
      </w:r>
      <w:r w:rsidRPr="00F035DE">
        <w:rPr>
          <w:rFonts w:ascii="Times New Roman" w:hAnsi="Times New Roman" w:cs="Times New Roman"/>
          <w:sz w:val="24"/>
          <w:szCs w:val="24"/>
        </w:rPr>
        <w:t xml:space="preserve">A CDC allows banks and holding companies to make equity type of investments in community development projects. Bank CDCs can develop innovative debt instruments or provide near-equity investments tailored to the development needs of the community. Bank CDCs </w:t>
      </w:r>
      <w:proofErr w:type="gramStart"/>
      <w:r w:rsidRPr="00F035DE">
        <w:rPr>
          <w:rFonts w:ascii="Times New Roman" w:hAnsi="Times New Roman" w:cs="Times New Roman"/>
          <w:sz w:val="24"/>
          <w:szCs w:val="24"/>
        </w:rPr>
        <w:t>are also tailored</w:t>
      </w:r>
      <w:proofErr w:type="gramEnd"/>
      <w:r w:rsidRPr="00F035DE">
        <w:rPr>
          <w:rFonts w:ascii="Times New Roman" w:hAnsi="Times New Roman" w:cs="Times New Roman"/>
          <w:sz w:val="24"/>
          <w:szCs w:val="24"/>
        </w:rPr>
        <w:t xml:space="preserve"> to their financial and marketing needs. A CDC may purchase, own, rehabilitate, construct, manage, and sell real property. </w:t>
      </w:r>
      <w:proofErr w:type="gramStart"/>
      <w:r w:rsidRPr="00F035DE">
        <w:rPr>
          <w:rFonts w:ascii="Times New Roman" w:hAnsi="Times New Roman" w:cs="Times New Roman"/>
          <w:sz w:val="24"/>
          <w:szCs w:val="24"/>
        </w:rPr>
        <w:t>Also</w:t>
      </w:r>
      <w:proofErr w:type="gramEnd"/>
      <w:r w:rsidRPr="00F035DE">
        <w:rPr>
          <w:rFonts w:ascii="Times New Roman" w:hAnsi="Times New Roman" w:cs="Times New Roman"/>
          <w:sz w:val="24"/>
          <w:szCs w:val="24"/>
        </w:rPr>
        <w:t xml:space="preserve">, it may make equity or debt investments in development projects and in local businesses. The CDC activities </w:t>
      </w:r>
      <w:proofErr w:type="gramStart"/>
      <w:r w:rsidRPr="00F035DE">
        <w:rPr>
          <w:rFonts w:ascii="Times New Roman" w:hAnsi="Times New Roman" w:cs="Times New Roman"/>
          <w:sz w:val="24"/>
          <w:szCs w:val="24"/>
        </w:rPr>
        <w:t>are expected</w:t>
      </w:r>
      <w:proofErr w:type="gramEnd"/>
      <w:r w:rsidRPr="00F035DE">
        <w:rPr>
          <w:rFonts w:ascii="Times New Roman" w:hAnsi="Times New Roman" w:cs="Times New Roman"/>
          <w:sz w:val="24"/>
          <w:szCs w:val="24"/>
        </w:rPr>
        <w:t xml:space="preserve"> to directly benefit low- and moderate-income groups, and the investment dollars should not represent an undue risk on the banking organization.  </w:t>
      </w:r>
    </w:p>
    <w:p w:rsidR="00F035DE" w:rsidRPr="00F035DE" w:rsidRDefault="00F035DE" w:rsidP="00F035DE">
      <w:pPr>
        <w:spacing w:after="0" w:line="240" w:lineRule="auto"/>
        <w:jc w:val="both"/>
        <w:rPr>
          <w:rFonts w:ascii="Times New Roman" w:hAnsi="Times New Roman" w:cs="Times New Roman"/>
          <w:sz w:val="24"/>
          <w:szCs w:val="24"/>
        </w:rPr>
      </w:pPr>
    </w:p>
    <w:p w:rsidR="00F035DE" w:rsidRPr="00F035DE" w:rsidRDefault="00F035DE" w:rsidP="00F035DE">
      <w:pPr>
        <w:pStyle w:val="HTMLPreformatted"/>
        <w:jc w:val="both"/>
        <w:rPr>
          <w:rFonts w:ascii="Times New Roman" w:hAnsi="Times New Roman"/>
          <w:b/>
          <w:bCs/>
          <w:sz w:val="24"/>
          <w:szCs w:val="24"/>
        </w:rPr>
      </w:pPr>
    </w:p>
    <w:p w:rsidR="00F035DE" w:rsidRPr="00F035DE" w:rsidRDefault="00F035DE" w:rsidP="00F035DE">
      <w:pPr>
        <w:pStyle w:val="HTMLPreformatted"/>
        <w:jc w:val="both"/>
        <w:rPr>
          <w:rFonts w:ascii="Times New Roman" w:hAnsi="Times New Roman"/>
          <w:sz w:val="24"/>
          <w:szCs w:val="24"/>
        </w:rPr>
      </w:pPr>
      <w:r w:rsidRPr="00F035DE">
        <w:rPr>
          <w:rFonts w:ascii="Times New Roman" w:hAnsi="Times New Roman"/>
          <w:b/>
          <w:bCs/>
          <w:sz w:val="24"/>
          <w:szCs w:val="24"/>
        </w:rPr>
        <w:t>Community Development Financial Institutions (</w:t>
      </w:r>
      <w:proofErr w:type="spellStart"/>
      <w:r w:rsidRPr="00F035DE">
        <w:rPr>
          <w:rFonts w:ascii="Times New Roman" w:hAnsi="Times New Roman"/>
          <w:b/>
          <w:bCs/>
          <w:sz w:val="24"/>
          <w:szCs w:val="24"/>
        </w:rPr>
        <w:t>CDFIs</w:t>
      </w:r>
      <w:proofErr w:type="spellEnd"/>
      <w:r w:rsidRPr="00F035DE">
        <w:rPr>
          <w:rFonts w:ascii="Times New Roman" w:hAnsi="Times New Roman"/>
          <w:b/>
          <w:bCs/>
          <w:sz w:val="24"/>
          <w:szCs w:val="24"/>
        </w:rPr>
        <w:t>):</w:t>
      </w:r>
      <w:r w:rsidRPr="00F035DE">
        <w:rPr>
          <w:rFonts w:ascii="Times New Roman" w:hAnsi="Times New Roman"/>
          <w:sz w:val="24"/>
          <w:szCs w:val="24"/>
        </w:rPr>
        <w:t xml:space="preserve">  </w:t>
      </w:r>
      <w:proofErr w:type="spellStart"/>
      <w:r w:rsidRPr="00F035DE">
        <w:rPr>
          <w:rFonts w:ascii="Times New Roman" w:hAnsi="Times New Roman"/>
          <w:sz w:val="24"/>
          <w:szCs w:val="24"/>
        </w:rPr>
        <w:t>CDFIs</w:t>
      </w:r>
      <w:proofErr w:type="spellEnd"/>
      <w:r w:rsidRPr="00F035DE">
        <w:rPr>
          <w:rFonts w:ascii="Times New Roman" w:hAnsi="Times New Roman"/>
          <w:sz w:val="24"/>
          <w:szCs w:val="24"/>
        </w:rPr>
        <w:t xml:space="preserve"> are private intermediaries (either for profit or nonprofit) with community development as their primary mission. A </w:t>
      </w:r>
      <w:proofErr w:type="spellStart"/>
      <w:r w:rsidRPr="00F035DE">
        <w:rPr>
          <w:rFonts w:ascii="Times New Roman" w:hAnsi="Times New Roman"/>
          <w:sz w:val="24"/>
          <w:szCs w:val="24"/>
        </w:rPr>
        <w:t>CDFI</w:t>
      </w:r>
      <w:proofErr w:type="spellEnd"/>
      <w:r w:rsidRPr="00F035DE">
        <w:rPr>
          <w:rFonts w:ascii="Times New Roman" w:hAnsi="Times New Roman"/>
          <w:sz w:val="24"/>
          <w:szCs w:val="24"/>
        </w:rPr>
        <w:t xml:space="preserve"> facilitates the flow of lending and investment capital into distressed communities and to </w:t>
      </w:r>
      <w:r w:rsidRPr="00F035DE">
        <w:rPr>
          <w:rFonts w:ascii="Times New Roman" w:hAnsi="Times New Roman"/>
          <w:sz w:val="24"/>
          <w:szCs w:val="24"/>
        </w:rPr>
        <w:lastRenderedPageBreak/>
        <w:t xml:space="preserve">individuals who have been unable to take advantage of the services offered by traditional financial institutions. Some basic types of </w:t>
      </w:r>
      <w:proofErr w:type="spellStart"/>
      <w:r w:rsidRPr="00F035DE">
        <w:rPr>
          <w:rFonts w:ascii="Times New Roman" w:hAnsi="Times New Roman"/>
          <w:sz w:val="24"/>
          <w:szCs w:val="24"/>
        </w:rPr>
        <w:t>CDFIs</w:t>
      </w:r>
      <w:proofErr w:type="spellEnd"/>
      <w:r w:rsidRPr="00F035DE">
        <w:rPr>
          <w:rFonts w:ascii="Times New Roman" w:hAnsi="Times New Roman"/>
          <w:sz w:val="24"/>
          <w:szCs w:val="24"/>
        </w:rPr>
        <w:t xml:space="preserve"> include community development banks, </w:t>
      </w:r>
      <w:proofErr w:type="gramStart"/>
      <w:r w:rsidRPr="00F035DE">
        <w:rPr>
          <w:rFonts w:ascii="Times New Roman" w:hAnsi="Times New Roman"/>
          <w:sz w:val="24"/>
          <w:szCs w:val="24"/>
        </w:rPr>
        <w:t>community development loan funds</w:t>
      </w:r>
      <w:proofErr w:type="gramEnd"/>
      <w:r w:rsidRPr="00F035DE">
        <w:rPr>
          <w:rFonts w:ascii="Times New Roman" w:hAnsi="Times New Roman"/>
          <w:sz w:val="24"/>
          <w:szCs w:val="24"/>
        </w:rPr>
        <w:t xml:space="preserve">, community development credit unions, micro enterprise funds, and community development venture capital funds.  </w:t>
      </w:r>
    </w:p>
    <w:p w:rsidR="00F035DE" w:rsidRPr="00F035DE" w:rsidRDefault="00F035DE" w:rsidP="00F035DE">
      <w:pPr>
        <w:pStyle w:val="HTMLPreformatted"/>
        <w:jc w:val="both"/>
        <w:rPr>
          <w:rFonts w:ascii="Times New Roman" w:hAnsi="Times New Roman"/>
          <w:sz w:val="24"/>
          <w:szCs w:val="24"/>
        </w:rPr>
      </w:pPr>
    </w:p>
    <w:p w:rsidR="00F035DE" w:rsidRPr="00F035DE" w:rsidRDefault="00F035DE" w:rsidP="00F035DE">
      <w:pPr>
        <w:pStyle w:val="HTMLPreformatted"/>
        <w:jc w:val="both"/>
        <w:rPr>
          <w:rFonts w:ascii="Times New Roman" w:hAnsi="Times New Roman"/>
          <w:sz w:val="24"/>
          <w:szCs w:val="24"/>
        </w:rPr>
      </w:pPr>
      <w:r w:rsidRPr="00F035DE">
        <w:rPr>
          <w:rFonts w:ascii="Times New Roman" w:hAnsi="Times New Roman"/>
          <w:sz w:val="24"/>
          <w:szCs w:val="24"/>
        </w:rPr>
        <w:t xml:space="preserve">A certified </w:t>
      </w:r>
      <w:proofErr w:type="spellStart"/>
      <w:r w:rsidRPr="00F035DE">
        <w:rPr>
          <w:rFonts w:ascii="Times New Roman" w:hAnsi="Times New Roman"/>
          <w:sz w:val="24"/>
          <w:szCs w:val="24"/>
        </w:rPr>
        <w:t>CDFI</w:t>
      </w:r>
      <w:proofErr w:type="spellEnd"/>
      <w:r w:rsidRPr="00F035DE">
        <w:rPr>
          <w:rFonts w:ascii="Times New Roman" w:hAnsi="Times New Roman"/>
          <w:sz w:val="24"/>
          <w:szCs w:val="24"/>
        </w:rPr>
        <w:t xml:space="preserve"> must meet eligibility requirements. These requirements include the following:</w:t>
      </w:r>
    </w:p>
    <w:p w:rsidR="00F035DE" w:rsidRPr="00F035DE" w:rsidRDefault="00F035DE" w:rsidP="00F035DE">
      <w:pPr>
        <w:pStyle w:val="HTMLPreformatted"/>
        <w:numPr>
          <w:ilvl w:val="0"/>
          <w:numId w:val="12"/>
        </w:numPr>
        <w:jc w:val="both"/>
        <w:rPr>
          <w:rFonts w:ascii="Times New Roman" w:hAnsi="Times New Roman"/>
          <w:sz w:val="24"/>
          <w:szCs w:val="24"/>
        </w:rPr>
      </w:pPr>
      <w:r w:rsidRPr="00F035DE">
        <w:rPr>
          <w:rFonts w:ascii="Times New Roman" w:hAnsi="Times New Roman"/>
          <w:sz w:val="24"/>
          <w:szCs w:val="24"/>
        </w:rPr>
        <w:t xml:space="preserve">Having a primary mission of promoting community development; </w:t>
      </w:r>
    </w:p>
    <w:p w:rsidR="00F035DE" w:rsidRPr="00F035DE" w:rsidRDefault="00F035DE" w:rsidP="00F035DE">
      <w:pPr>
        <w:pStyle w:val="HTMLPreformatted"/>
        <w:numPr>
          <w:ilvl w:val="0"/>
          <w:numId w:val="12"/>
        </w:numPr>
        <w:jc w:val="both"/>
        <w:rPr>
          <w:rFonts w:ascii="Times New Roman" w:hAnsi="Times New Roman"/>
          <w:sz w:val="24"/>
          <w:szCs w:val="24"/>
        </w:rPr>
      </w:pPr>
      <w:r w:rsidRPr="00F035DE">
        <w:rPr>
          <w:rFonts w:ascii="Times New Roman" w:hAnsi="Times New Roman"/>
          <w:sz w:val="24"/>
          <w:szCs w:val="24"/>
        </w:rPr>
        <w:t xml:space="preserve">Serving an investment area or target population; </w:t>
      </w:r>
    </w:p>
    <w:p w:rsidR="00F035DE" w:rsidRPr="00F035DE" w:rsidRDefault="00F035DE" w:rsidP="00F035DE">
      <w:pPr>
        <w:pStyle w:val="HTMLPreformatted"/>
        <w:numPr>
          <w:ilvl w:val="0"/>
          <w:numId w:val="12"/>
        </w:numPr>
        <w:jc w:val="both"/>
        <w:rPr>
          <w:rFonts w:ascii="Times New Roman" w:hAnsi="Times New Roman"/>
          <w:sz w:val="24"/>
          <w:szCs w:val="24"/>
        </w:rPr>
      </w:pPr>
      <w:r w:rsidRPr="00F035DE">
        <w:rPr>
          <w:rFonts w:ascii="Times New Roman" w:hAnsi="Times New Roman"/>
          <w:sz w:val="24"/>
          <w:szCs w:val="24"/>
        </w:rPr>
        <w:t xml:space="preserve">Providing development services; </w:t>
      </w:r>
    </w:p>
    <w:p w:rsidR="00F035DE" w:rsidRPr="00F035DE" w:rsidRDefault="00F035DE" w:rsidP="00F035DE">
      <w:pPr>
        <w:pStyle w:val="HTMLPreformatted"/>
        <w:numPr>
          <w:ilvl w:val="0"/>
          <w:numId w:val="12"/>
        </w:numPr>
        <w:jc w:val="both"/>
        <w:rPr>
          <w:rFonts w:ascii="Times New Roman" w:hAnsi="Times New Roman"/>
          <w:sz w:val="24"/>
          <w:szCs w:val="24"/>
        </w:rPr>
      </w:pPr>
      <w:r w:rsidRPr="00F035DE">
        <w:rPr>
          <w:rFonts w:ascii="Times New Roman" w:hAnsi="Times New Roman"/>
          <w:sz w:val="24"/>
          <w:szCs w:val="24"/>
        </w:rPr>
        <w:t xml:space="preserve">Maintaining accountability to residents of its investment area or targeted population through representation on its governing board of directors, or by other means; </w:t>
      </w:r>
    </w:p>
    <w:p w:rsidR="00F035DE" w:rsidRPr="00F035DE" w:rsidRDefault="00F035DE" w:rsidP="00F035DE">
      <w:pPr>
        <w:pStyle w:val="HTMLPreformatted"/>
        <w:numPr>
          <w:ilvl w:val="0"/>
          <w:numId w:val="12"/>
        </w:numPr>
        <w:jc w:val="both"/>
        <w:rPr>
          <w:rFonts w:ascii="Times New Roman" w:hAnsi="Times New Roman"/>
          <w:sz w:val="24"/>
          <w:szCs w:val="24"/>
        </w:rPr>
      </w:pPr>
      <w:proofErr w:type="gramStart"/>
      <w:r w:rsidRPr="00F035DE">
        <w:rPr>
          <w:rFonts w:ascii="Times New Roman" w:hAnsi="Times New Roman"/>
          <w:sz w:val="24"/>
          <w:szCs w:val="24"/>
        </w:rPr>
        <w:t>Not constituting an agency or instrumentality of the United States, of any state or political subdivision of a state.</w:t>
      </w:r>
      <w:proofErr w:type="gramEnd"/>
    </w:p>
    <w:p w:rsidR="00F035DE" w:rsidRPr="00F035DE" w:rsidRDefault="00F035DE" w:rsidP="00F035DE">
      <w:pPr>
        <w:pStyle w:val="HTMLPreformatted"/>
        <w:jc w:val="both"/>
        <w:rPr>
          <w:rFonts w:ascii="Times New Roman" w:hAnsi="Times New Roman"/>
          <w:b/>
          <w:bCs/>
          <w:sz w:val="24"/>
          <w:szCs w:val="24"/>
        </w:rPr>
      </w:pPr>
    </w:p>
    <w:p w:rsidR="00F035DE" w:rsidRPr="00F035DE" w:rsidRDefault="00F035DE" w:rsidP="00F035DE">
      <w:pPr>
        <w:pStyle w:val="HTMLPreformatted"/>
        <w:jc w:val="both"/>
        <w:rPr>
          <w:rFonts w:ascii="Times New Roman" w:hAnsi="Times New Roman"/>
          <w:sz w:val="24"/>
          <w:szCs w:val="24"/>
        </w:rPr>
      </w:pPr>
      <w:r w:rsidRPr="00F035DE">
        <w:rPr>
          <w:rFonts w:ascii="Times New Roman" w:hAnsi="Times New Roman"/>
          <w:b/>
          <w:bCs/>
          <w:sz w:val="24"/>
          <w:szCs w:val="24"/>
        </w:rPr>
        <w:t>Community Development Loan:</w:t>
      </w:r>
      <w:r w:rsidRPr="00F035DE">
        <w:rPr>
          <w:rFonts w:ascii="Times New Roman" w:hAnsi="Times New Roman"/>
          <w:sz w:val="24"/>
          <w:szCs w:val="24"/>
        </w:rPr>
        <w:t xml:space="preserve">  A loan that </w:t>
      </w:r>
    </w:p>
    <w:p w:rsidR="00F035DE" w:rsidRPr="00F035DE" w:rsidRDefault="00F035DE" w:rsidP="00F035DE">
      <w:pPr>
        <w:pStyle w:val="HTMLPreformatted"/>
        <w:ind w:left="720" w:hanging="360"/>
        <w:jc w:val="both"/>
        <w:rPr>
          <w:rFonts w:ascii="Times New Roman" w:hAnsi="Times New Roman"/>
          <w:sz w:val="24"/>
          <w:szCs w:val="24"/>
        </w:rPr>
      </w:pPr>
      <w:r w:rsidRPr="00F035DE">
        <w:rPr>
          <w:rFonts w:ascii="Times New Roman" w:hAnsi="Times New Roman"/>
          <w:sz w:val="24"/>
          <w:szCs w:val="24"/>
        </w:rPr>
        <w:t xml:space="preserve">(1) Has as its primary purpose community development; and </w:t>
      </w:r>
    </w:p>
    <w:p w:rsidR="00F035DE" w:rsidRPr="00F035DE" w:rsidRDefault="00F035DE" w:rsidP="00F035DE">
      <w:pPr>
        <w:pStyle w:val="HTMLPreformatted"/>
        <w:ind w:left="720" w:hanging="360"/>
        <w:jc w:val="both"/>
        <w:rPr>
          <w:rFonts w:ascii="Times New Roman" w:hAnsi="Times New Roman"/>
          <w:sz w:val="24"/>
          <w:szCs w:val="24"/>
        </w:rPr>
      </w:pPr>
      <w:r w:rsidRPr="00F035DE">
        <w:rPr>
          <w:rFonts w:ascii="Times New Roman" w:hAnsi="Times New Roman"/>
          <w:sz w:val="24"/>
          <w:szCs w:val="24"/>
        </w:rPr>
        <w:t xml:space="preserve">(2) Except in the case of a wholesale or limited purpose bank:  </w:t>
      </w:r>
    </w:p>
    <w:p w:rsidR="00F035DE" w:rsidRPr="00F035DE" w:rsidRDefault="00F035DE" w:rsidP="00F035DE">
      <w:pPr>
        <w:pStyle w:val="HTMLPreformatted"/>
        <w:ind w:left="1080" w:hanging="360"/>
        <w:jc w:val="both"/>
        <w:rPr>
          <w:rFonts w:ascii="Times New Roman" w:hAnsi="Times New Roman"/>
          <w:sz w:val="24"/>
          <w:szCs w:val="24"/>
        </w:rPr>
      </w:pPr>
      <w:r w:rsidRPr="00F035DE">
        <w:rPr>
          <w:rFonts w:ascii="Times New Roman" w:hAnsi="Times New Roman"/>
          <w:sz w:val="24"/>
          <w:szCs w:val="24"/>
        </w:rPr>
        <w:t>(</w:t>
      </w:r>
      <w:proofErr w:type="spellStart"/>
      <w:r w:rsidRPr="00F035DE">
        <w:rPr>
          <w:rFonts w:ascii="Times New Roman" w:hAnsi="Times New Roman"/>
          <w:sz w:val="24"/>
          <w:szCs w:val="24"/>
        </w:rPr>
        <w:t>i</w:t>
      </w:r>
      <w:proofErr w:type="spellEnd"/>
      <w:r w:rsidRPr="00F035DE">
        <w:rPr>
          <w:rFonts w:ascii="Times New Roman" w:hAnsi="Times New Roman"/>
          <w:sz w:val="24"/>
          <w:szCs w:val="24"/>
        </w:rPr>
        <w:t xml:space="preserve">) Has not been reported or collected by the bank or an affiliate for consideration in the bank’s assessment area as a home mortgage, small business, small farm, or consumer loan, unless it is a multifamily dwelling loan (as described in Appendix A to Part 203 of this title); and </w:t>
      </w:r>
    </w:p>
    <w:p w:rsidR="00F035DE" w:rsidRPr="00F035DE" w:rsidRDefault="00F035DE" w:rsidP="00F035DE">
      <w:pPr>
        <w:pStyle w:val="HTMLPreformatted"/>
        <w:ind w:left="1080" w:hanging="360"/>
        <w:jc w:val="both"/>
        <w:rPr>
          <w:rFonts w:ascii="Times New Roman" w:hAnsi="Times New Roman"/>
          <w:sz w:val="24"/>
          <w:szCs w:val="24"/>
        </w:rPr>
      </w:pPr>
      <w:proofErr w:type="gramStart"/>
      <w:r w:rsidRPr="00F035DE">
        <w:rPr>
          <w:rFonts w:ascii="Times New Roman" w:hAnsi="Times New Roman"/>
          <w:sz w:val="24"/>
          <w:szCs w:val="24"/>
        </w:rPr>
        <w:t>(ii) Benefits the bank’s assessment area(s) or a broader statewide or regional area including the bank’s assessment area(s).</w:t>
      </w:r>
      <w:proofErr w:type="gramEnd"/>
      <w:r w:rsidRPr="00F035DE">
        <w:rPr>
          <w:rFonts w:ascii="Times New Roman" w:hAnsi="Times New Roman"/>
          <w:sz w:val="24"/>
          <w:szCs w:val="24"/>
        </w:rPr>
        <w:t xml:space="preserve">   </w:t>
      </w:r>
    </w:p>
    <w:p w:rsidR="00F035DE" w:rsidRPr="00F035DE" w:rsidRDefault="00F035DE" w:rsidP="00F035DE">
      <w:pPr>
        <w:pStyle w:val="HTMLPreformatted"/>
        <w:jc w:val="both"/>
        <w:rPr>
          <w:rFonts w:ascii="Times New Roman" w:hAnsi="Times New Roman"/>
          <w:b/>
          <w:bCs/>
          <w:sz w:val="24"/>
          <w:szCs w:val="24"/>
        </w:rPr>
      </w:pPr>
    </w:p>
    <w:p w:rsidR="00F035DE" w:rsidRPr="00F035DE" w:rsidRDefault="00F035DE" w:rsidP="00F035DE">
      <w:pPr>
        <w:pStyle w:val="HTMLPreformatted"/>
        <w:jc w:val="both"/>
        <w:rPr>
          <w:rFonts w:ascii="Times New Roman" w:hAnsi="Times New Roman"/>
          <w:sz w:val="24"/>
          <w:szCs w:val="24"/>
        </w:rPr>
      </w:pPr>
      <w:r w:rsidRPr="00F035DE">
        <w:rPr>
          <w:rFonts w:ascii="Times New Roman" w:hAnsi="Times New Roman"/>
          <w:b/>
          <w:bCs/>
          <w:sz w:val="24"/>
          <w:szCs w:val="24"/>
        </w:rPr>
        <w:t>Community Development Service:</w:t>
      </w:r>
      <w:r w:rsidRPr="00F035DE">
        <w:rPr>
          <w:rFonts w:ascii="Times New Roman" w:hAnsi="Times New Roman"/>
          <w:sz w:val="24"/>
          <w:szCs w:val="24"/>
        </w:rPr>
        <w:t xml:space="preserve">  A service that </w:t>
      </w:r>
    </w:p>
    <w:p w:rsidR="00F035DE" w:rsidRPr="00F035DE" w:rsidRDefault="00F035DE" w:rsidP="00F035DE">
      <w:pPr>
        <w:pStyle w:val="HTMLPreformatted"/>
        <w:ind w:left="720" w:hanging="360"/>
        <w:jc w:val="both"/>
        <w:rPr>
          <w:rFonts w:ascii="Times New Roman" w:hAnsi="Times New Roman"/>
          <w:sz w:val="24"/>
          <w:szCs w:val="24"/>
        </w:rPr>
      </w:pPr>
      <w:r w:rsidRPr="00F035DE">
        <w:rPr>
          <w:rFonts w:ascii="Times New Roman" w:hAnsi="Times New Roman"/>
          <w:sz w:val="24"/>
          <w:szCs w:val="24"/>
        </w:rPr>
        <w:t xml:space="preserve">(1) </w:t>
      </w:r>
      <w:proofErr w:type="gramStart"/>
      <w:r w:rsidRPr="00F035DE">
        <w:rPr>
          <w:rFonts w:ascii="Times New Roman" w:hAnsi="Times New Roman"/>
          <w:sz w:val="24"/>
          <w:szCs w:val="24"/>
        </w:rPr>
        <w:t>Has</w:t>
      </w:r>
      <w:proofErr w:type="gramEnd"/>
      <w:r w:rsidRPr="00F035DE">
        <w:rPr>
          <w:rFonts w:ascii="Times New Roman" w:hAnsi="Times New Roman"/>
          <w:sz w:val="24"/>
          <w:szCs w:val="24"/>
        </w:rPr>
        <w:t xml:space="preserve"> as its primary purpose community development; </w:t>
      </w:r>
    </w:p>
    <w:p w:rsidR="00F035DE" w:rsidRPr="00F035DE" w:rsidRDefault="00F035DE" w:rsidP="00F035DE">
      <w:pPr>
        <w:pStyle w:val="HTMLPreformatted"/>
        <w:ind w:left="720" w:hanging="360"/>
        <w:jc w:val="both"/>
        <w:rPr>
          <w:rFonts w:ascii="Times New Roman" w:hAnsi="Times New Roman"/>
          <w:sz w:val="24"/>
          <w:szCs w:val="24"/>
        </w:rPr>
      </w:pPr>
      <w:r w:rsidRPr="00F035DE">
        <w:rPr>
          <w:rFonts w:ascii="Times New Roman" w:hAnsi="Times New Roman"/>
          <w:sz w:val="24"/>
          <w:szCs w:val="24"/>
        </w:rPr>
        <w:t xml:space="preserve">(2) Is related to the provision of </w:t>
      </w:r>
      <w:r w:rsidRPr="00F035DE">
        <w:rPr>
          <w:rFonts w:ascii="Times New Roman" w:hAnsi="Times New Roman"/>
          <w:sz w:val="24"/>
          <w:szCs w:val="24"/>
          <w:u w:val="single"/>
        </w:rPr>
        <w:t>financial</w:t>
      </w:r>
      <w:r w:rsidRPr="00F035DE">
        <w:rPr>
          <w:rFonts w:ascii="Times New Roman" w:hAnsi="Times New Roman"/>
          <w:sz w:val="24"/>
          <w:szCs w:val="24"/>
        </w:rPr>
        <w:t xml:space="preserve"> services; and </w:t>
      </w:r>
    </w:p>
    <w:p w:rsidR="00F035DE" w:rsidRPr="00F035DE" w:rsidRDefault="00F035DE" w:rsidP="00F035DE">
      <w:pPr>
        <w:pStyle w:val="HTMLPreformatted"/>
        <w:ind w:left="720" w:hanging="360"/>
        <w:jc w:val="both"/>
        <w:rPr>
          <w:rFonts w:ascii="Times New Roman" w:hAnsi="Times New Roman"/>
          <w:sz w:val="24"/>
          <w:szCs w:val="24"/>
        </w:rPr>
      </w:pPr>
      <w:r w:rsidRPr="00F035DE">
        <w:rPr>
          <w:rFonts w:ascii="Times New Roman" w:hAnsi="Times New Roman"/>
          <w:sz w:val="24"/>
          <w:szCs w:val="24"/>
        </w:rPr>
        <w:t xml:space="preserve">(3) Has not been considered in the evaluation of the bank’s retail banking services under § 345.24(d).  </w:t>
      </w:r>
    </w:p>
    <w:p w:rsidR="00F035DE" w:rsidRPr="00F035DE" w:rsidRDefault="00F035DE" w:rsidP="00F035DE">
      <w:pPr>
        <w:spacing w:after="0" w:line="240" w:lineRule="auto"/>
        <w:jc w:val="both"/>
        <w:rPr>
          <w:rFonts w:ascii="Times New Roman" w:hAnsi="Times New Roman" w:cs="Times New Roman"/>
          <w:b/>
          <w:bCs/>
          <w:sz w:val="24"/>
          <w:szCs w:val="24"/>
        </w:rPr>
      </w:pPr>
    </w:p>
    <w:p w:rsidR="00F035DE" w:rsidRPr="00F035DE" w:rsidRDefault="00F035DE" w:rsidP="00F035DE">
      <w:pPr>
        <w:spacing w:after="0" w:line="240" w:lineRule="auto"/>
        <w:jc w:val="both"/>
        <w:rPr>
          <w:rFonts w:ascii="Times New Roman" w:hAnsi="Times New Roman" w:cs="Times New Roman"/>
          <w:b/>
          <w:bCs/>
          <w:sz w:val="24"/>
          <w:szCs w:val="24"/>
        </w:rPr>
      </w:pPr>
      <w:proofErr w:type="gramStart"/>
      <w:r w:rsidRPr="00F035DE">
        <w:rPr>
          <w:rFonts w:ascii="Times New Roman" w:hAnsi="Times New Roman" w:cs="Times New Roman"/>
          <w:b/>
          <w:bCs/>
          <w:sz w:val="24"/>
          <w:szCs w:val="24"/>
        </w:rPr>
        <w:t>Consumer L</w:t>
      </w:r>
      <w:r>
        <w:rPr>
          <w:rFonts w:ascii="Times New Roman" w:hAnsi="Times New Roman" w:cs="Times New Roman"/>
          <w:b/>
          <w:bCs/>
          <w:sz w:val="24"/>
          <w:szCs w:val="24"/>
        </w:rPr>
        <w:t xml:space="preserve">oan(s): </w:t>
      </w:r>
      <w:r w:rsidRPr="00F035DE">
        <w:rPr>
          <w:rFonts w:ascii="Times New Roman" w:hAnsi="Times New Roman" w:cs="Times New Roman"/>
          <w:sz w:val="24"/>
          <w:szCs w:val="24"/>
        </w:rPr>
        <w:t>A loan(s) to one or more individuals for household, family, or other personal expenditures.</w:t>
      </w:r>
      <w:proofErr w:type="gramEnd"/>
      <w:r w:rsidRPr="00F035DE">
        <w:rPr>
          <w:rFonts w:ascii="Times New Roman" w:hAnsi="Times New Roman" w:cs="Times New Roman"/>
          <w:sz w:val="24"/>
          <w:szCs w:val="24"/>
        </w:rPr>
        <w:t xml:space="preserve"> A consumer loan does not include a home mortgage, small business, or small farm loan. This definition includes the following categories: motor vehicle loans, credit card loans, home equity loans, other secured consumer loans, and other unsecured consumer loans.</w:t>
      </w:r>
    </w:p>
    <w:p w:rsidR="00F035DE" w:rsidRPr="00F035DE" w:rsidRDefault="00F035DE" w:rsidP="00F035DE">
      <w:pPr>
        <w:spacing w:after="0" w:line="240" w:lineRule="auto"/>
        <w:jc w:val="both"/>
        <w:rPr>
          <w:rFonts w:ascii="Times New Roman" w:hAnsi="Times New Roman" w:cs="Times New Roman"/>
          <w:b/>
          <w:bCs/>
          <w:sz w:val="24"/>
          <w:szCs w:val="24"/>
        </w:rPr>
      </w:pPr>
    </w:p>
    <w:p w:rsidR="00F035DE" w:rsidRPr="00F035DE" w:rsidRDefault="00F035DE" w:rsidP="00F035DE">
      <w:pPr>
        <w:spacing w:after="0" w:line="240" w:lineRule="auto"/>
        <w:jc w:val="both"/>
        <w:rPr>
          <w:rFonts w:ascii="Times New Roman" w:hAnsi="Times New Roman" w:cs="Times New Roman"/>
          <w:sz w:val="24"/>
          <w:szCs w:val="24"/>
        </w:rPr>
      </w:pPr>
      <w:r w:rsidRPr="00F035DE">
        <w:rPr>
          <w:rFonts w:ascii="Times New Roman" w:hAnsi="Times New Roman" w:cs="Times New Roman"/>
          <w:b/>
          <w:bCs/>
          <w:sz w:val="24"/>
          <w:szCs w:val="24"/>
        </w:rPr>
        <w:t>Core Based Statistical Area (</w:t>
      </w:r>
      <w:proofErr w:type="spellStart"/>
      <w:r w:rsidRPr="00F035DE">
        <w:rPr>
          <w:rFonts w:ascii="Times New Roman" w:hAnsi="Times New Roman" w:cs="Times New Roman"/>
          <w:b/>
          <w:bCs/>
          <w:sz w:val="24"/>
          <w:szCs w:val="24"/>
        </w:rPr>
        <w:t>CBSA</w:t>
      </w:r>
      <w:proofErr w:type="spellEnd"/>
      <w:r w:rsidRPr="00F035DE">
        <w:rPr>
          <w:rFonts w:ascii="Times New Roman" w:hAnsi="Times New Roman" w:cs="Times New Roman"/>
          <w:b/>
          <w:bCs/>
          <w:sz w:val="24"/>
          <w:szCs w:val="24"/>
        </w:rPr>
        <w:t xml:space="preserve">):  </w:t>
      </w:r>
      <w:r w:rsidRPr="00F035DE">
        <w:rPr>
          <w:rFonts w:ascii="Times New Roman" w:hAnsi="Times New Roman" w:cs="Times New Roman"/>
          <w:sz w:val="24"/>
          <w:szCs w:val="24"/>
        </w:rPr>
        <w:t xml:space="preserve">The county or counties or equivalent entities associated with at least one core (urbanized area or urban cluster) of at least 10,000 population, plus adjacent counties having a high degree of social and economic integration with the core as measured through commuting ties with the counties associated with the core. Metropolitan and </w:t>
      </w:r>
      <w:proofErr w:type="spellStart"/>
      <w:r w:rsidRPr="00F035DE">
        <w:rPr>
          <w:rFonts w:ascii="Times New Roman" w:hAnsi="Times New Roman" w:cs="Times New Roman"/>
          <w:sz w:val="24"/>
          <w:szCs w:val="24"/>
        </w:rPr>
        <w:t>Micropolitan</w:t>
      </w:r>
      <w:proofErr w:type="spellEnd"/>
      <w:r w:rsidRPr="00F035DE">
        <w:rPr>
          <w:rFonts w:ascii="Times New Roman" w:hAnsi="Times New Roman" w:cs="Times New Roman"/>
          <w:sz w:val="24"/>
          <w:szCs w:val="24"/>
        </w:rPr>
        <w:t xml:space="preserve"> Statistical Areas are the two categories of </w:t>
      </w:r>
      <w:proofErr w:type="spellStart"/>
      <w:r w:rsidRPr="00F035DE">
        <w:rPr>
          <w:rFonts w:ascii="Times New Roman" w:hAnsi="Times New Roman" w:cs="Times New Roman"/>
          <w:sz w:val="24"/>
          <w:szCs w:val="24"/>
        </w:rPr>
        <w:t>CBSAs</w:t>
      </w:r>
      <w:proofErr w:type="spellEnd"/>
      <w:r w:rsidRPr="00F035DE">
        <w:rPr>
          <w:rFonts w:ascii="Times New Roman" w:hAnsi="Times New Roman" w:cs="Times New Roman"/>
          <w:sz w:val="24"/>
          <w:szCs w:val="24"/>
        </w:rPr>
        <w:t xml:space="preserve">.  </w:t>
      </w:r>
    </w:p>
    <w:p w:rsidR="00F035DE" w:rsidRPr="00F035DE" w:rsidRDefault="00F035DE" w:rsidP="00F035DE">
      <w:pPr>
        <w:pStyle w:val="HTMLPreformatted"/>
        <w:jc w:val="both"/>
        <w:rPr>
          <w:rFonts w:ascii="Times New Roman" w:hAnsi="Times New Roman"/>
          <w:sz w:val="24"/>
          <w:szCs w:val="24"/>
        </w:rPr>
      </w:pPr>
    </w:p>
    <w:p w:rsidR="00F035DE" w:rsidRPr="00F035DE" w:rsidRDefault="00F035DE" w:rsidP="00F035DE">
      <w:pPr>
        <w:pStyle w:val="HTMLPreformatted"/>
        <w:jc w:val="both"/>
        <w:rPr>
          <w:rFonts w:ascii="Times New Roman" w:hAnsi="Times New Roman"/>
          <w:sz w:val="24"/>
          <w:szCs w:val="24"/>
        </w:rPr>
      </w:pPr>
      <w:r w:rsidRPr="00F035DE">
        <w:rPr>
          <w:rFonts w:ascii="Times New Roman" w:hAnsi="Times New Roman"/>
          <w:b/>
          <w:bCs/>
          <w:sz w:val="24"/>
          <w:szCs w:val="24"/>
        </w:rPr>
        <w:t>Distressed Middle-Income Nonmetropolitan Geographies</w:t>
      </w:r>
      <w:r w:rsidRPr="00F035DE">
        <w:rPr>
          <w:rFonts w:ascii="Times New Roman" w:hAnsi="Times New Roman"/>
          <w:sz w:val="24"/>
          <w:szCs w:val="24"/>
        </w:rPr>
        <w:t xml:space="preserve">:  A nonmetropolitan middle-income geography will be designated as distressed if it is in a county that meets one or more of the following triggers:  </w:t>
      </w:r>
    </w:p>
    <w:p w:rsidR="00F035DE" w:rsidRPr="00F035DE" w:rsidRDefault="00F035DE" w:rsidP="00F035DE">
      <w:pPr>
        <w:pStyle w:val="HTMLPreformatted"/>
        <w:ind w:left="720" w:hanging="360"/>
        <w:jc w:val="both"/>
        <w:rPr>
          <w:rFonts w:ascii="Times New Roman" w:hAnsi="Times New Roman"/>
          <w:sz w:val="24"/>
          <w:szCs w:val="24"/>
        </w:rPr>
      </w:pPr>
      <w:r w:rsidRPr="00F035DE">
        <w:rPr>
          <w:rFonts w:ascii="Times New Roman" w:hAnsi="Times New Roman"/>
          <w:sz w:val="24"/>
          <w:szCs w:val="24"/>
        </w:rPr>
        <w:t xml:space="preserve">(1) An unemployment rate of at least 1.5 times the national average; </w:t>
      </w:r>
    </w:p>
    <w:p w:rsidR="00F035DE" w:rsidRPr="00F035DE" w:rsidRDefault="00F035DE" w:rsidP="00F035DE">
      <w:pPr>
        <w:pStyle w:val="HTMLPreformatted"/>
        <w:ind w:left="720" w:hanging="360"/>
        <w:jc w:val="both"/>
        <w:rPr>
          <w:rFonts w:ascii="Times New Roman" w:hAnsi="Times New Roman"/>
          <w:sz w:val="24"/>
          <w:szCs w:val="24"/>
        </w:rPr>
      </w:pPr>
      <w:r w:rsidRPr="00F035DE">
        <w:rPr>
          <w:rFonts w:ascii="Times New Roman" w:hAnsi="Times New Roman"/>
          <w:sz w:val="24"/>
          <w:szCs w:val="24"/>
        </w:rPr>
        <w:t>(2) A poverty rate of 20 percent or more; or</w:t>
      </w:r>
    </w:p>
    <w:p w:rsidR="00F035DE" w:rsidRPr="00F035DE" w:rsidRDefault="00F035DE" w:rsidP="00F035DE">
      <w:pPr>
        <w:pStyle w:val="HTMLPreformatted"/>
        <w:ind w:left="720" w:hanging="360"/>
        <w:jc w:val="both"/>
        <w:rPr>
          <w:rFonts w:ascii="Times New Roman" w:hAnsi="Times New Roman"/>
          <w:b/>
          <w:bCs/>
          <w:sz w:val="24"/>
          <w:szCs w:val="24"/>
        </w:rPr>
      </w:pPr>
      <w:r w:rsidRPr="00F035DE">
        <w:rPr>
          <w:rFonts w:ascii="Times New Roman" w:hAnsi="Times New Roman"/>
          <w:sz w:val="24"/>
          <w:szCs w:val="24"/>
        </w:rPr>
        <w:lastRenderedPageBreak/>
        <w:t xml:space="preserve">(3) A population loss of 10 percent or more between the previous and most recent decennial census or a net migration loss of 5 percent or more over the 5-year period preceding the most recent census.  </w:t>
      </w:r>
    </w:p>
    <w:p w:rsidR="00F035DE" w:rsidRPr="00F035DE" w:rsidRDefault="00F035DE" w:rsidP="00F035DE">
      <w:pPr>
        <w:spacing w:after="0" w:line="240" w:lineRule="auto"/>
        <w:jc w:val="both"/>
        <w:rPr>
          <w:rFonts w:ascii="Times New Roman" w:hAnsi="Times New Roman" w:cs="Times New Roman"/>
          <w:sz w:val="24"/>
          <w:szCs w:val="24"/>
        </w:rPr>
      </w:pPr>
    </w:p>
    <w:p w:rsidR="00F035DE" w:rsidRPr="00F035DE" w:rsidRDefault="00F035DE" w:rsidP="00F035DE">
      <w:pPr>
        <w:spacing w:after="0" w:line="240" w:lineRule="auto"/>
        <w:jc w:val="both"/>
        <w:rPr>
          <w:rFonts w:ascii="Times New Roman" w:hAnsi="Times New Roman" w:cs="Times New Roman"/>
          <w:sz w:val="24"/>
          <w:szCs w:val="24"/>
        </w:rPr>
      </w:pPr>
      <w:r w:rsidRPr="00F035DE">
        <w:rPr>
          <w:rFonts w:ascii="Times New Roman" w:hAnsi="Times New Roman" w:cs="Times New Roman"/>
          <w:b/>
          <w:bCs/>
          <w:sz w:val="24"/>
          <w:szCs w:val="24"/>
        </w:rPr>
        <w:t>Family:</w:t>
      </w:r>
      <w:r w:rsidRPr="00F035DE">
        <w:rPr>
          <w:rFonts w:ascii="Times New Roman" w:hAnsi="Times New Roman" w:cs="Times New Roman"/>
          <w:sz w:val="24"/>
          <w:szCs w:val="24"/>
        </w:rPr>
        <w:t xml:space="preserve">  Includes a householder and one or more other persons living in the same household who </w:t>
      </w:r>
      <w:proofErr w:type="gramStart"/>
      <w:r w:rsidRPr="00F035DE">
        <w:rPr>
          <w:rFonts w:ascii="Times New Roman" w:hAnsi="Times New Roman" w:cs="Times New Roman"/>
          <w:sz w:val="24"/>
          <w:szCs w:val="24"/>
        </w:rPr>
        <w:t>are related</w:t>
      </w:r>
      <w:proofErr w:type="gramEnd"/>
      <w:r w:rsidRPr="00F035DE">
        <w:rPr>
          <w:rFonts w:ascii="Times New Roman" w:hAnsi="Times New Roman" w:cs="Times New Roman"/>
          <w:sz w:val="24"/>
          <w:szCs w:val="24"/>
        </w:rPr>
        <w:t xml:space="preserve"> to the householder by birth, marriage, or adoption. The number of family households always equals the number of families; however, a family household may also include non-relatives living with the family. Families </w:t>
      </w:r>
      <w:proofErr w:type="gramStart"/>
      <w:r w:rsidRPr="00F035DE">
        <w:rPr>
          <w:rFonts w:ascii="Times New Roman" w:hAnsi="Times New Roman" w:cs="Times New Roman"/>
          <w:sz w:val="24"/>
          <w:szCs w:val="24"/>
        </w:rPr>
        <w:t>are classified</w:t>
      </w:r>
      <w:proofErr w:type="gramEnd"/>
      <w:r w:rsidRPr="00F035DE">
        <w:rPr>
          <w:rFonts w:ascii="Times New Roman" w:hAnsi="Times New Roman" w:cs="Times New Roman"/>
          <w:sz w:val="24"/>
          <w:szCs w:val="24"/>
        </w:rPr>
        <w:t xml:space="preserve"> by type as either a married-couple family or other family. Other family is further classified into “male householder” (a family with a male householder and no wife present) or “female householder” (a family with a female householder and no husband present).</w:t>
      </w:r>
    </w:p>
    <w:p w:rsidR="00F035DE" w:rsidRPr="00F035DE" w:rsidRDefault="00F035DE" w:rsidP="00F035DE">
      <w:pPr>
        <w:spacing w:after="0" w:line="240" w:lineRule="auto"/>
        <w:jc w:val="both"/>
        <w:rPr>
          <w:rFonts w:ascii="Times New Roman" w:hAnsi="Times New Roman" w:cs="Times New Roman"/>
          <w:sz w:val="24"/>
          <w:szCs w:val="24"/>
        </w:rPr>
      </w:pPr>
    </w:p>
    <w:p w:rsidR="00F035DE" w:rsidRPr="00F035DE" w:rsidRDefault="00F035DE" w:rsidP="00F035DE">
      <w:pPr>
        <w:spacing w:after="0" w:line="240" w:lineRule="auto"/>
        <w:jc w:val="both"/>
        <w:rPr>
          <w:rFonts w:ascii="Times New Roman" w:hAnsi="Times New Roman" w:cs="Times New Roman"/>
          <w:sz w:val="24"/>
          <w:szCs w:val="24"/>
        </w:rPr>
      </w:pPr>
      <w:r w:rsidRPr="00F035DE">
        <w:rPr>
          <w:rFonts w:ascii="Times New Roman" w:hAnsi="Times New Roman" w:cs="Times New Roman"/>
          <w:b/>
          <w:bCs/>
          <w:sz w:val="24"/>
          <w:szCs w:val="24"/>
        </w:rPr>
        <w:t>Family Income:</w:t>
      </w:r>
      <w:r w:rsidRPr="00F035DE">
        <w:rPr>
          <w:rFonts w:ascii="Times New Roman" w:hAnsi="Times New Roman" w:cs="Times New Roman"/>
          <w:sz w:val="24"/>
          <w:szCs w:val="24"/>
        </w:rPr>
        <w:t xml:space="preserve">  Includes the income of all members of a family that are age 15 and older.</w:t>
      </w:r>
    </w:p>
    <w:p w:rsidR="00F035DE" w:rsidRPr="00F035DE" w:rsidRDefault="00F035DE" w:rsidP="00F035DE">
      <w:pPr>
        <w:spacing w:after="0" w:line="240" w:lineRule="auto"/>
        <w:jc w:val="both"/>
        <w:rPr>
          <w:rFonts w:ascii="Times New Roman" w:hAnsi="Times New Roman" w:cs="Times New Roman"/>
          <w:b/>
          <w:bCs/>
          <w:sz w:val="24"/>
          <w:szCs w:val="24"/>
        </w:rPr>
      </w:pPr>
    </w:p>
    <w:p w:rsidR="00F035DE" w:rsidRPr="00F035DE" w:rsidRDefault="00F035DE" w:rsidP="00F035DE">
      <w:pPr>
        <w:spacing w:after="0" w:line="240" w:lineRule="auto"/>
        <w:jc w:val="both"/>
        <w:rPr>
          <w:rFonts w:ascii="Times New Roman" w:hAnsi="Times New Roman" w:cs="Times New Roman"/>
          <w:sz w:val="24"/>
          <w:szCs w:val="24"/>
        </w:rPr>
      </w:pPr>
      <w:proofErr w:type="spellStart"/>
      <w:r w:rsidRPr="00F035DE">
        <w:rPr>
          <w:rFonts w:ascii="Times New Roman" w:hAnsi="Times New Roman" w:cs="Times New Roman"/>
          <w:b/>
          <w:bCs/>
          <w:sz w:val="24"/>
          <w:szCs w:val="24"/>
        </w:rPr>
        <w:t>FFIEC</w:t>
      </w:r>
      <w:proofErr w:type="spellEnd"/>
      <w:r w:rsidRPr="00F035DE">
        <w:rPr>
          <w:rFonts w:ascii="Times New Roman" w:hAnsi="Times New Roman" w:cs="Times New Roman"/>
          <w:b/>
          <w:bCs/>
          <w:sz w:val="24"/>
          <w:szCs w:val="24"/>
        </w:rPr>
        <w:t xml:space="preserve">-Estimated Income Data:  </w:t>
      </w:r>
      <w:r w:rsidRPr="00F035DE">
        <w:rPr>
          <w:rFonts w:ascii="Times New Roman" w:hAnsi="Times New Roman" w:cs="Times New Roman"/>
          <w:sz w:val="24"/>
          <w:szCs w:val="24"/>
        </w:rPr>
        <w:t>The Federal Financial Institutions Examination Council (</w:t>
      </w:r>
      <w:proofErr w:type="spellStart"/>
      <w:r w:rsidRPr="00F035DE">
        <w:rPr>
          <w:rFonts w:ascii="Times New Roman" w:hAnsi="Times New Roman" w:cs="Times New Roman"/>
          <w:sz w:val="24"/>
          <w:szCs w:val="24"/>
        </w:rPr>
        <w:t>FFIEC</w:t>
      </w:r>
      <w:proofErr w:type="spellEnd"/>
      <w:r w:rsidRPr="00F035DE">
        <w:rPr>
          <w:rFonts w:ascii="Times New Roman" w:hAnsi="Times New Roman" w:cs="Times New Roman"/>
          <w:sz w:val="24"/>
          <w:szCs w:val="24"/>
        </w:rPr>
        <w:t xml:space="preserve">) issues annual estimates, which update median family income from the metropolitan and nonmetropolitan areas. The </w:t>
      </w:r>
      <w:proofErr w:type="spellStart"/>
      <w:r w:rsidRPr="00F035DE">
        <w:rPr>
          <w:rFonts w:ascii="Times New Roman" w:hAnsi="Times New Roman" w:cs="Times New Roman"/>
          <w:sz w:val="24"/>
          <w:szCs w:val="24"/>
        </w:rPr>
        <w:t>FFIEC</w:t>
      </w:r>
      <w:proofErr w:type="spellEnd"/>
      <w:r w:rsidRPr="00F035DE">
        <w:rPr>
          <w:rFonts w:ascii="Times New Roman" w:hAnsi="Times New Roman" w:cs="Times New Roman"/>
          <w:sz w:val="24"/>
          <w:szCs w:val="24"/>
        </w:rPr>
        <w:t xml:space="preserve"> uses American Community Survey data and factors in information from other sources to arrive at an annual estimate that more closely reflects current economic conditions.</w:t>
      </w:r>
    </w:p>
    <w:p w:rsidR="00F035DE" w:rsidRPr="00F035DE" w:rsidRDefault="00F035DE" w:rsidP="00F035DE">
      <w:pPr>
        <w:spacing w:after="0" w:line="240" w:lineRule="auto"/>
        <w:jc w:val="both"/>
        <w:rPr>
          <w:rFonts w:ascii="Times New Roman" w:hAnsi="Times New Roman" w:cs="Times New Roman"/>
          <w:sz w:val="24"/>
          <w:szCs w:val="24"/>
        </w:rPr>
      </w:pPr>
    </w:p>
    <w:p w:rsidR="00F035DE" w:rsidRPr="00F035DE" w:rsidRDefault="00F035DE" w:rsidP="00F035DE">
      <w:pPr>
        <w:spacing w:after="0" w:line="240" w:lineRule="auto"/>
        <w:jc w:val="both"/>
        <w:rPr>
          <w:rFonts w:ascii="Times New Roman" w:hAnsi="Times New Roman" w:cs="Times New Roman"/>
          <w:sz w:val="24"/>
          <w:szCs w:val="24"/>
        </w:rPr>
      </w:pPr>
      <w:r w:rsidRPr="00F035DE">
        <w:rPr>
          <w:rFonts w:ascii="Times New Roman" w:hAnsi="Times New Roman" w:cs="Times New Roman"/>
          <w:b/>
          <w:bCs/>
          <w:sz w:val="24"/>
          <w:szCs w:val="24"/>
        </w:rPr>
        <w:t xml:space="preserve">Full-Scope Review:  </w:t>
      </w:r>
      <w:r w:rsidRPr="00F035DE">
        <w:rPr>
          <w:rFonts w:ascii="Times New Roman" w:hAnsi="Times New Roman" w:cs="Times New Roman"/>
          <w:sz w:val="24"/>
          <w:szCs w:val="24"/>
        </w:rPr>
        <w:t xml:space="preserve">A full-scope review </w:t>
      </w:r>
      <w:proofErr w:type="gramStart"/>
      <w:r w:rsidRPr="00F035DE">
        <w:rPr>
          <w:rFonts w:ascii="Times New Roman" w:hAnsi="Times New Roman" w:cs="Times New Roman"/>
          <w:sz w:val="24"/>
          <w:szCs w:val="24"/>
        </w:rPr>
        <w:t>is accomplished</w:t>
      </w:r>
      <w:proofErr w:type="gramEnd"/>
      <w:r w:rsidRPr="00F035DE">
        <w:rPr>
          <w:rFonts w:ascii="Times New Roman" w:hAnsi="Times New Roman" w:cs="Times New Roman"/>
          <w:sz w:val="24"/>
          <w:szCs w:val="24"/>
        </w:rPr>
        <w:t xml:space="preserve"> when examiners complete all applicable interagency examination procedures for an assessment area. Performance under applicable tests is analyzed considering performance context, quantitative factors (for example, geographic distribution, borrower profile, and total number and dollar amount of investments), and qualitative factors (for example, innovativeness, complexity, and responsiveness).</w:t>
      </w:r>
    </w:p>
    <w:p w:rsidR="00F035DE" w:rsidRPr="00F035DE" w:rsidRDefault="00F035DE" w:rsidP="00F035DE">
      <w:pPr>
        <w:spacing w:after="0" w:line="240" w:lineRule="auto"/>
        <w:jc w:val="both"/>
        <w:rPr>
          <w:rFonts w:ascii="Times New Roman" w:hAnsi="Times New Roman" w:cs="Times New Roman"/>
          <w:sz w:val="24"/>
          <w:szCs w:val="24"/>
        </w:rPr>
      </w:pPr>
    </w:p>
    <w:p w:rsidR="00F035DE" w:rsidRPr="00F035DE" w:rsidRDefault="00F035DE" w:rsidP="00F035DE">
      <w:pPr>
        <w:spacing w:after="0" w:line="240" w:lineRule="auto"/>
        <w:jc w:val="both"/>
        <w:rPr>
          <w:rFonts w:ascii="Times New Roman" w:hAnsi="Times New Roman" w:cs="Times New Roman"/>
          <w:sz w:val="24"/>
          <w:szCs w:val="24"/>
        </w:rPr>
      </w:pPr>
      <w:proofErr w:type="gramStart"/>
      <w:r w:rsidRPr="00F035DE">
        <w:rPr>
          <w:rFonts w:ascii="Times New Roman" w:hAnsi="Times New Roman" w:cs="Times New Roman"/>
          <w:b/>
          <w:bCs/>
          <w:sz w:val="24"/>
          <w:szCs w:val="24"/>
        </w:rPr>
        <w:t xml:space="preserve">Geography:  </w:t>
      </w:r>
      <w:r w:rsidRPr="00F035DE">
        <w:rPr>
          <w:rFonts w:ascii="Times New Roman" w:hAnsi="Times New Roman" w:cs="Times New Roman"/>
          <w:sz w:val="24"/>
          <w:szCs w:val="24"/>
        </w:rPr>
        <w:t>A census tract delineated by the United States Bureau of the Census in the most recent decennial census.</w:t>
      </w:r>
      <w:proofErr w:type="gramEnd"/>
    </w:p>
    <w:p w:rsidR="00F035DE" w:rsidRPr="00F035DE" w:rsidRDefault="00F035DE" w:rsidP="00F035DE">
      <w:pPr>
        <w:spacing w:after="0" w:line="240" w:lineRule="auto"/>
        <w:jc w:val="both"/>
        <w:rPr>
          <w:rFonts w:ascii="Times New Roman" w:hAnsi="Times New Roman" w:cs="Times New Roman"/>
          <w:b/>
          <w:bCs/>
          <w:sz w:val="24"/>
          <w:szCs w:val="24"/>
        </w:rPr>
      </w:pPr>
    </w:p>
    <w:p w:rsidR="00F035DE" w:rsidRPr="00F035DE" w:rsidRDefault="00F035DE" w:rsidP="00F035DE">
      <w:pPr>
        <w:spacing w:after="0" w:line="240" w:lineRule="auto"/>
        <w:jc w:val="both"/>
        <w:rPr>
          <w:rFonts w:ascii="Times New Roman" w:hAnsi="Times New Roman" w:cs="Times New Roman"/>
          <w:sz w:val="24"/>
          <w:szCs w:val="24"/>
        </w:rPr>
      </w:pPr>
      <w:r w:rsidRPr="00F035DE">
        <w:rPr>
          <w:rFonts w:ascii="Times New Roman" w:hAnsi="Times New Roman" w:cs="Times New Roman"/>
          <w:b/>
          <w:bCs/>
          <w:sz w:val="24"/>
          <w:szCs w:val="24"/>
        </w:rPr>
        <w:t>Home Mortgage Disclosure Act (</w:t>
      </w:r>
      <w:proofErr w:type="spellStart"/>
      <w:r w:rsidRPr="00F035DE">
        <w:rPr>
          <w:rFonts w:ascii="Times New Roman" w:hAnsi="Times New Roman" w:cs="Times New Roman"/>
          <w:b/>
          <w:bCs/>
          <w:sz w:val="24"/>
          <w:szCs w:val="24"/>
        </w:rPr>
        <w:t>HMDA</w:t>
      </w:r>
      <w:proofErr w:type="spellEnd"/>
      <w:r w:rsidRPr="00F035DE">
        <w:rPr>
          <w:rFonts w:ascii="Times New Roman" w:hAnsi="Times New Roman" w:cs="Times New Roman"/>
          <w:b/>
          <w:bCs/>
          <w:sz w:val="24"/>
          <w:szCs w:val="24"/>
        </w:rPr>
        <w:t xml:space="preserve">):  </w:t>
      </w:r>
      <w:r w:rsidRPr="00F035DE">
        <w:rPr>
          <w:rFonts w:ascii="Times New Roman" w:hAnsi="Times New Roman" w:cs="Times New Roman"/>
          <w:sz w:val="24"/>
          <w:szCs w:val="24"/>
        </w:rPr>
        <w:t>The statute that requires certain mortgage lenders that do business or have banking offices in a metropolitan statistical area to file annual summary reports of their mortgage lending activity. The reports include such data as the race, gender, and the income of applicants; the amount of loan requested; and the disposition of the application (approved, denied, and withdrawn).</w:t>
      </w:r>
    </w:p>
    <w:p w:rsidR="00F035DE" w:rsidRPr="00F035DE" w:rsidRDefault="00F035DE" w:rsidP="00F035DE">
      <w:pPr>
        <w:spacing w:after="0" w:line="240" w:lineRule="auto"/>
        <w:jc w:val="both"/>
        <w:rPr>
          <w:rFonts w:ascii="Times New Roman" w:hAnsi="Times New Roman" w:cs="Times New Roman"/>
          <w:b/>
          <w:bCs/>
          <w:sz w:val="24"/>
          <w:szCs w:val="24"/>
        </w:rPr>
      </w:pPr>
    </w:p>
    <w:p w:rsidR="00F035DE" w:rsidRPr="00F035DE" w:rsidRDefault="00F035DE" w:rsidP="00F035DE">
      <w:pPr>
        <w:spacing w:after="0" w:line="240" w:lineRule="auto"/>
        <w:jc w:val="both"/>
        <w:rPr>
          <w:rFonts w:ascii="Times New Roman" w:hAnsi="Times New Roman" w:cs="Times New Roman"/>
          <w:sz w:val="24"/>
          <w:szCs w:val="24"/>
        </w:rPr>
      </w:pPr>
      <w:proofErr w:type="gramStart"/>
      <w:r w:rsidRPr="00F035DE">
        <w:rPr>
          <w:rFonts w:ascii="Times New Roman" w:hAnsi="Times New Roman" w:cs="Times New Roman"/>
          <w:b/>
          <w:bCs/>
          <w:sz w:val="24"/>
          <w:szCs w:val="24"/>
        </w:rPr>
        <w:t>Home Mortgage Disclosure Loan Application Register (</w:t>
      </w:r>
      <w:proofErr w:type="spellStart"/>
      <w:r w:rsidRPr="00F035DE">
        <w:rPr>
          <w:rFonts w:ascii="Times New Roman" w:hAnsi="Times New Roman" w:cs="Times New Roman"/>
          <w:b/>
          <w:bCs/>
          <w:sz w:val="24"/>
          <w:szCs w:val="24"/>
        </w:rPr>
        <w:t>HMDA</w:t>
      </w:r>
      <w:proofErr w:type="spellEnd"/>
      <w:r w:rsidRPr="00F035DE">
        <w:rPr>
          <w:rFonts w:ascii="Times New Roman" w:hAnsi="Times New Roman" w:cs="Times New Roman"/>
          <w:b/>
          <w:bCs/>
          <w:sz w:val="24"/>
          <w:szCs w:val="24"/>
        </w:rPr>
        <w:t xml:space="preserve"> LAR):</w:t>
      </w:r>
      <w:r w:rsidRPr="00F035DE">
        <w:rPr>
          <w:rFonts w:ascii="Times New Roman" w:hAnsi="Times New Roman" w:cs="Times New Roman"/>
          <w:sz w:val="24"/>
          <w:szCs w:val="24"/>
        </w:rPr>
        <w:t xml:space="preserve">  The </w:t>
      </w:r>
      <w:proofErr w:type="spellStart"/>
      <w:r w:rsidRPr="00F035DE">
        <w:rPr>
          <w:rFonts w:ascii="Times New Roman" w:hAnsi="Times New Roman" w:cs="Times New Roman"/>
          <w:sz w:val="24"/>
          <w:szCs w:val="24"/>
        </w:rPr>
        <w:t>HMDA</w:t>
      </w:r>
      <w:proofErr w:type="spellEnd"/>
      <w:r w:rsidRPr="00F035DE">
        <w:rPr>
          <w:rFonts w:ascii="Times New Roman" w:hAnsi="Times New Roman" w:cs="Times New Roman"/>
          <w:sz w:val="24"/>
          <w:szCs w:val="24"/>
        </w:rPr>
        <w:t xml:space="preserve"> </w:t>
      </w:r>
      <w:proofErr w:type="spellStart"/>
      <w:r w:rsidRPr="00F035DE">
        <w:rPr>
          <w:rFonts w:ascii="Times New Roman" w:hAnsi="Times New Roman" w:cs="Times New Roman"/>
          <w:sz w:val="24"/>
          <w:szCs w:val="24"/>
        </w:rPr>
        <w:t>LARs</w:t>
      </w:r>
      <w:proofErr w:type="spellEnd"/>
      <w:r w:rsidRPr="00F035DE">
        <w:rPr>
          <w:rFonts w:ascii="Times New Roman" w:hAnsi="Times New Roman" w:cs="Times New Roman"/>
          <w:sz w:val="24"/>
          <w:szCs w:val="24"/>
        </w:rPr>
        <w:t xml:space="preserve"> record all applications received for residential purchase, refinance, home improvement, and temporary-to-permanent construction loans.</w:t>
      </w:r>
      <w:proofErr w:type="gramEnd"/>
    </w:p>
    <w:p w:rsidR="00F035DE" w:rsidRPr="00F035DE" w:rsidRDefault="00F035DE" w:rsidP="00F035DE">
      <w:pPr>
        <w:spacing w:after="0" w:line="240" w:lineRule="auto"/>
        <w:jc w:val="both"/>
        <w:rPr>
          <w:rFonts w:ascii="Times New Roman" w:hAnsi="Times New Roman" w:cs="Times New Roman"/>
          <w:sz w:val="24"/>
          <w:szCs w:val="24"/>
        </w:rPr>
      </w:pPr>
    </w:p>
    <w:p w:rsidR="00F035DE" w:rsidRPr="00F035DE" w:rsidRDefault="00F035DE" w:rsidP="00F035DE">
      <w:pPr>
        <w:pStyle w:val="BodyText"/>
        <w:spacing w:after="0"/>
        <w:jc w:val="both"/>
        <w:rPr>
          <w:rFonts w:ascii="Times New Roman" w:hAnsi="Times New Roman"/>
          <w:sz w:val="24"/>
          <w:szCs w:val="24"/>
        </w:rPr>
      </w:pPr>
      <w:r w:rsidRPr="00F035DE">
        <w:rPr>
          <w:rFonts w:ascii="Times New Roman" w:hAnsi="Times New Roman"/>
          <w:b/>
          <w:sz w:val="24"/>
          <w:szCs w:val="24"/>
        </w:rPr>
        <w:t>Home Mortgage Loans:</w:t>
      </w:r>
      <w:r w:rsidRPr="00F035DE">
        <w:rPr>
          <w:rFonts w:ascii="Times New Roman" w:hAnsi="Times New Roman"/>
          <w:sz w:val="24"/>
          <w:szCs w:val="24"/>
        </w:rPr>
        <w:t xml:space="preserve">  Includes home purchase and home improvement loans as defined in the </w:t>
      </w:r>
      <w:proofErr w:type="spellStart"/>
      <w:r w:rsidRPr="00F035DE">
        <w:rPr>
          <w:rFonts w:ascii="Times New Roman" w:hAnsi="Times New Roman"/>
          <w:sz w:val="24"/>
          <w:szCs w:val="24"/>
        </w:rPr>
        <w:t>HMDA</w:t>
      </w:r>
      <w:proofErr w:type="spellEnd"/>
      <w:r w:rsidRPr="00F035DE">
        <w:rPr>
          <w:rFonts w:ascii="Times New Roman" w:hAnsi="Times New Roman"/>
          <w:sz w:val="24"/>
          <w:szCs w:val="24"/>
        </w:rPr>
        <w:t xml:space="preserve"> regulation. This definition also includes multi-family (five or more families) dwelling loans, loans to purchase manufactured homes, and refinancing of home improvement and home purchase loans.</w:t>
      </w:r>
    </w:p>
    <w:p w:rsidR="00F035DE" w:rsidRPr="00F035DE" w:rsidRDefault="00F035DE" w:rsidP="00F035DE">
      <w:pPr>
        <w:pStyle w:val="BodyText"/>
        <w:spacing w:after="0"/>
        <w:jc w:val="both"/>
        <w:rPr>
          <w:rFonts w:ascii="Times New Roman" w:hAnsi="Times New Roman"/>
          <w:sz w:val="24"/>
          <w:szCs w:val="24"/>
        </w:rPr>
      </w:pPr>
    </w:p>
    <w:p w:rsidR="00F035DE" w:rsidRPr="00F035DE" w:rsidRDefault="00F035DE" w:rsidP="00F035DE">
      <w:pPr>
        <w:spacing w:after="0" w:line="240" w:lineRule="auto"/>
        <w:jc w:val="both"/>
        <w:rPr>
          <w:rFonts w:ascii="Times New Roman" w:hAnsi="Times New Roman" w:cs="Times New Roman"/>
          <w:sz w:val="24"/>
          <w:szCs w:val="24"/>
        </w:rPr>
      </w:pPr>
      <w:r w:rsidRPr="00F035DE">
        <w:rPr>
          <w:rFonts w:ascii="Times New Roman" w:hAnsi="Times New Roman" w:cs="Times New Roman"/>
          <w:b/>
          <w:bCs/>
          <w:sz w:val="24"/>
          <w:szCs w:val="24"/>
        </w:rPr>
        <w:lastRenderedPageBreak/>
        <w:t>Household:</w:t>
      </w:r>
      <w:r w:rsidRPr="00F035DE">
        <w:rPr>
          <w:rFonts w:ascii="Times New Roman" w:hAnsi="Times New Roman" w:cs="Times New Roman"/>
          <w:sz w:val="24"/>
          <w:szCs w:val="24"/>
        </w:rPr>
        <w:t xml:space="preserve">  Includes all persons occupying a housing unit. Persons not living in households are classified as living </w:t>
      </w:r>
      <w:proofErr w:type="gramStart"/>
      <w:r w:rsidRPr="00F035DE">
        <w:rPr>
          <w:rFonts w:ascii="Times New Roman" w:hAnsi="Times New Roman" w:cs="Times New Roman"/>
          <w:sz w:val="24"/>
          <w:szCs w:val="24"/>
        </w:rPr>
        <w:t>in group</w:t>
      </w:r>
      <w:proofErr w:type="gramEnd"/>
      <w:r w:rsidRPr="00F035DE">
        <w:rPr>
          <w:rFonts w:ascii="Times New Roman" w:hAnsi="Times New Roman" w:cs="Times New Roman"/>
          <w:sz w:val="24"/>
          <w:szCs w:val="24"/>
        </w:rPr>
        <w:t xml:space="preserve"> quarters. In 100 percent tabulations, the count of households always equals the count of occupied housing units.</w:t>
      </w:r>
    </w:p>
    <w:p w:rsidR="00F035DE" w:rsidRPr="00F035DE" w:rsidRDefault="00F035DE" w:rsidP="00F035DE">
      <w:pPr>
        <w:spacing w:after="0" w:line="240" w:lineRule="auto"/>
        <w:jc w:val="both"/>
        <w:rPr>
          <w:rFonts w:ascii="Times New Roman" w:hAnsi="Times New Roman" w:cs="Times New Roman"/>
          <w:sz w:val="24"/>
          <w:szCs w:val="24"/>
        </w:rPr>
      </w:pPr>
    </w:p>
    <w:p w:rsidR="00F035DE" w:rsidRPr="00F035DE" w:rsidRDefault="00F035DE" w:rsidP="00F035DE">
      <w:pPr>
        <w:spacing w:after="0" w:line="240" w:lineRule="auto"/>
        <w:jc w:val="both"/>
        <w:rPr>
          <w:rFonts w:ascii="Times New Roman" w:hAnsi="Times New Roman" w:cs="Times New Roman"/>
          <w:sz w:val="24"/>
          <w:szCs w:val="24"/>
        </w:rPr>
      </w:pPr>
      <w:r w:rsidRPr="00F035DE">
        <w:rPr>
          <w:rFonts w:ascii="Times New Roman" w:hAnsi="Times New Roman" w:cs="Times New Roman"/>
          <w:b/>
          <w:bCs/>
          <w:sz w:val="24"/>
          <w:szCs w:val="24"/>
        </w:rPr>
        <w:t>Household Income:</w:t>
      </w:r>
      <w:r w:rsidRPr="00F035DE">
        <w:rPr>
          <w:rFonts w:ascii="Times New Roman" w:hAnsi="Times New Roman" w:cs="Times New Roman"/>
          <w:sz w:val="24"/>
          <w:szCs w:val="24"/>
        </w:rPr>
        <w:t xml:space="preserve">  Includes the income of the householder and all other persons that are age 15 and older in the household, whether related to the householder or not. Because many households are only one person, median household income is usually less than median family income.</w:t>
      </w:r>
    </w:p>
    <w:p w:rsidR="00F035DE" w:rsidRPr="00F035DE" w:rsidRDefault="00F035DE" w:rsidP="00F035DE">
      <w:pPr>
        <w:spacing w:after="0" w:line="240" w:lineRule="auto"/>
        <w:jc w:val="both"/>
        <w:rPr>
          <w:rFonts w:ascii="Times New Roman" w:hAnsi="Times New Roman" w:cs="Times New Roman"/>
          <w:sz w:val="24"/>
          <w:szCs w:val="24"/>
        </w:rPr>
      </w:pPr>
    </w:p>
    <w:p w:rsidR="00F035DE" w:rsidRPr="00F035DE" w:rsidRDefault="00F035DE" w:rsidP="00F035DE">
      <w:pPr>
        <w:spacing w:after="0" w:line="240" w:lineRule="auto"/>
        <w:jc w:val="both"/>
        <w:rPr>
          <w:rFonts w:ascii="Times New Roman" w:hAnsi="Times New Roman" w:cs="Times New Roman"/>
          <w:sz w:val="24"/>
          <w:szCs w:val="24"/>
        </w:rPr>
      </w:pPr>
      <w:r w:rsidRPr="00F035DE">
        <w:rPr>
          <w:rFonts w:ascii="Times New Roman" w:hAnsi="Times New Roman" w:cs="Times New Roman"/>
          <w:b/>
          <w:bCs/>
          <w:sz w:val="24"/>
          <w:szCs w:val="24"/>
        </w:rPr>
        <w:t xml:space="preserve">Housing Unit:  </w:t>
      </w:r>
      <w:r w:rsidRPr="00F035DE">
        <w:rPr>
          <w:rFonts w:ascii="Times New Roman" w:hAnsi="Times New Roman" w:cs="Times New Roman"/>
          <w:sz w:val="24"/>
          <w:szCs w:val="24"/>
        </w:rPr>
        <w:t xml:space="preserve">Includes a house, an apartment, a mobile home, a group of rooms, or a single room that </w:t>
      </w:r>
      <w:proofErr w:type="gramStart"/>
      <w:r w:rsidRPr="00F035DE">
        <w:rPr>
          <w:rFonts w:ascii="Times New Roman" w:hAnsi="Times New Roman" w:cs="Times New Roman"/>
          <w:sz w:val="24"/>
          <w:szCs w:val="24"/>
        </w:rPr>
        <w:t>is occupied</w:t>
      </w:r>
      <w:proofErr w:type="gramEnd"/>
      <w:r w:rsidRPr="00F035DE">
        <w:rPr>
          <w:rFonts w:ascii="Times New Roman" w:hAnsi="Times New Roman" w:cs="Times New Roman"/>
          <w:sz w:val="24"/>
          <w:szCs w:val="24"/>
        </w:rPr>
        <w:t xml:space="preserve"> as separate living quarters.</w:t>
      </w:r>
    </w:p>
    <w:p w:rsidR="00F035DE" w:rsidRPr="00F035DE" w:rsidRDefault="00F035DE" w:rsidP="00F035DE">
      <w:pPr>
        <w:spacing w:after="0" w:line="240" w:lineRule="auto"/>
        <w:jc w:val="both"/>
        <w:rPr>
          <w:rFonts w:ascii="Times New Roman" w:hAnsi="Times New Roman" w:cs="Times New Roman"/>
          <w:b/>
          <w:bCs/>
          <w:sz w:val="24"/>
          <w:szCs w:val="24"/>
        </w:rPr>
      </w:pPr>
    </w:p>
    <w:p w:rsidR="00F035DE" w:rsidRPr="00F035DE" w:rsidRDefault="00F035DE" w:rsidP="00F035DE">
      <w:pPr>
        <w:spacing w:after="0" w:line="240" w:lineRule="auto"/>
        <w:jc w:val="both"/>
        <w:rPr>
          <w:rFonts w:ascii="Times New Roman" w:hAnsi="Times New Roman" w:cs="Times New Roman"/>
          <w:sz w:val="24"/>
          <w:szCs w:val="24"/>
        </w:rPr>
      </w:pPr>
      <w:r w:rsidRPr="00F035DE">
        <w:rPr>
          <w:rFonts w:ascii="Times New Roman" w:hAnsi="Times New Roman" w:cs="Times New Roman"/>
          <w:b/>
          <w:bCs/>
          <w:sz w:val="24"/>
          <w:szCs w:val="24"/>
        </w:rPr>
        <w:t xml:space="preserve">Limited-Scope Review:  </w:t>
      </w:r>
      <w:r w:rsidRPr="00F035DE">
        <w:rPr>
          <w:rFonts w:ascii="Times New Roman" w:hAnsi="Times New Roman" w:cs="Times New Roman"/>
          <w:sz w:val="24"/>
          <w:szCs w:val="24"/>
        </w:rPr>
        <w:t xml:space="preserve">A limited scope review </w:t>
      </w:r>
      <w:proofErr w:type="gramStart"/>
      <w:r w:rsidRPr="00F035DE">
        <w:rPr>
          <w:rFonts w:ascii="Times New Roman" w:hAnsi="Times New Roman" w:cs="Times New Roman"/>
          <w:sz w:val="24"/>
          <w:szCs w:val="24"/>
        </w:rPr>
        <w:t>is accomplished</w:t>
      </w:r>
      <w:proofErr w:type="gramEnd"/>
      <w:r w:rsidRPr="00F035DE">
        <w:rPr>
          <w:rFonts w:ascii="Times New Roman" w:hAnsi="Times New Roman" w:cs="Times New Roman"/>
          <w:sz w:val="24"/>
          <w:szCs w:val="24"/>
        </w:rPr>
        <w:t xml:space="preserve"> when examiners do not complete all applicable interagency examination procedures for an assessment area.  </w:t>
      </w:r>
    </w:p>
    <w:p w:rsidR="00F035DE" w:rsidRPr="00F035DE" w:rsidRDefault="00F035DE" w:rsidP="00F035DE">
      <w:pPr>
        <w:spacing w:after="0" w:line="240" w:lineRule="auto"/>
        <w:jc w:val="both"/>
        <w:rPr>
          <w:rFonts w:ascii="Times New Roman" w:hAnsi="Times New Roman" w:cs="Times New Roman"/>
          <w:sz w:val="24"/>
          <w:szCs w:val="24"/>
        </w:rPr>
      </w:pPr>
      <w:r w:rsidRPr="00F035DE">
        <w:rPr>
          <w:rFonts w:ascii="Times New Roman" w:hAnsi="Times New Roman" w:cs="Times New Roman"/>
          <w:sz w:val="24"/>
          <w:szCs w:val="24"/>
        </w:rPr>
        <w:t xml:space="preserve">Performance under applicable tests </w:t>
      </w:r>
      <w:proofErr w:type="gramStart"/>
      <w:r w:rsidRPr="00F035DE">
        <w:rPr>
          <w:rFonts w:ascii="Times New Roman" w:hAnsi="Times New Roman" w:cs="Times New Roman"/>
          <w:sz w:val="24"/>
          <w:szCs w:val="24"/>
        </w:rPr>
        <w:t>is often analyzed</w:t>
      </w:r>
      <w:proofErr w:type="gramEnd"/>
      <w:r w:rsidRPr="00F035DE">
        <w:rPr>
          <w:rFonts w:ascii="Times New Roman" w:hAnsi="Times New Roman" w:cs="Times New Roman"/>
          <w:sz w:val="24"/>
          <w:szCs w:val="24"/>
        </w:rPr>
        <w:t xml:space="preserve"> using only quantitative factors (for example, geographic distribution, borrower profile, total number and dollar amount of investments, and branch distribution).</w:t>
      </w:r>
    </w:p>
    <w:p w:rsidR="00F035DE" w:rsidRPr="00F035DE" w:rsidRDefault="00F035DE" w:rsidP="00F035DE">
      <w:pPr>
        <w:spacing w:after="0" w:line="240" w:lineRule="auto"/>
        <w:jc w:val="both"/>
        <w:rPr>
          <w:rFonts w:ascii="Times New Roman" w:hAnsi="Times New Roman" w:cs="Times New Roman"/>
          <w:sz w:val="24"/>
          <w:szCs w:val="24"/>
        </w:rPr>
      </w:pPr>
    </w:p>
    <w:p w:rsidR="00F035DE" w:rsidRPr="00F035DE" w:rsidRDefault="00F035DE" w:rsidP="00F035DE">
      <w:pPr>
        <w:spacing w:after="0" w:line="240" w:lineRule="auto"/>
        <w:jc w:val="both"/>
        <w:rPr>
          <w:rFonts w:ascii="Times New Roman" w:hAnsi="Times New Roman" w:cs="Times New Roman"/>
          <w:sz w:val="24"/>
          <w:szCs w:val="24"/>
        </w:rPr>
      </w:pPr>
      <w:proofErr w:type="gramStart"/>
      <w:r w:rsidRPr="00F035DE">
        <w:rPr>
          <w:rFonts w:ascii="Times New Roman" w:hAnsi="Times New Roman" w:cs="Times New Roman"/>
          <w:b/>
          <w:bCs/>
          <w:sz w:val="24"/>
          <w:szCs w:val="24"/>
        </w:rPr>
        <w:t xml:space="preserve">Low-Income:  </w:t>
      </w:r>
      <w:r w:rsidRPr="00F035DE">
        <w:rPr>
          <w:rFonts w:ascii="Times New Roman" w:hAnsi="Times New Roman" w:cs="Times New Roman"/>
          <w:sz w:val="24"/>
          <w:szCs w:val="24"/>
        </w:rPr>
        <w:t>Individual income that is less than 50 percent of the area median income, or a median family income that is less than 50 percent in the case of a geography.</w:t>
      </w:r>
      <w:proofErr w:type="gramEnd"/>
      <w:r w:rsidRPr="00F035DE">
        <w:rPr>
          <w:rFonts w:ascii="Times New Roman" w:hAnsi="Times New Roman" w:cs="Times New Roman"/>
          <w:sz w:val="24"/>
          <w:szCs w:val="24"/>
        </w:rPr>
        <w:t xml:space="preserve">  </w:t>
      </w:r>
    </w:p>
    <w:p w:rsidR="00F035DE" w:rsidRPr="00F035DE" w:rsidRDefault="00F035DE" w:rsidP="00F035DE">
      <w:pPr>
        <w:spacing w:after="0" w:line="240" w:lineRule="auto"/>
        <w:jc w:val="both"/>
        <w:rPr>
          <w:rFonts w:ascii="Times New Roman" w:hAnsi="Times New Roman" w:cs="Times New Roman"/>
          <w:b/>
          <w:bCs/>
          <w:sz w:val="24"/>
          <w:szCs w:val="24"/>
        </w:rPr>
      </w:pPr>
    </w:p>
    <w:p w:rsidR="00F035DE" w:rsidRPr="00F035DE" w:rsidRDefault="00F035DE" w:rsidP="00F035DE">
      <w:pPr>
        <w:spacing w:after="0" w:line="240" w:lineRule="auto"/>
        <w:jc w:val="both"/>
        <w:rPr>
          <w:rFonts w:ascii="Times New Roman" w:hAnsi="Times New Roman" w:cs="Times New Roman"/>
          <w:sz w:val="24"/>
          <w:szCs w:val="24"/>
        </w:rPr>
      </w:pPr>
      <w:r w:rsidRPr="00F035DE">
        <w:rPr>
          <w:rFonts w:ascii="Times New Roman" w:hAnsi="Times New Roman" w:cs="Times New Roman"/>
          <w:b/>
          <w:bCs/>
          <w:sz w:val="24"/>
          <w:szCs w:val="24"/>
        </w:rPr>
        <w:t>Low Income Housing Tax Credit:</w:t>
      </w:r>
      <w:r w:rsidRPr="00F035DE">
        <w:rPr>
          <w:rFonts w:ascii="Times New Roman" w:hAnsi="Times New Roman" w:cs="Times New Roman"/>
          <w:sz w:val="24"/>
          <w:szCs w:val="24"/>
        </w:rPr>
        <w:t xml:space="preserve">  The Low-Income Housing Tax Credit Program is a housing program contained within the Internal Revenue Code of 1986, as amended. </w:t>
      </w:r>
      <w:proofErr w:type="gramStart"/>
      <w:r w:rsidRPr="00F035DE">
        <w:rPr>
          <w:rFonts w:ascii="Times New Roman" w:hAnsi="Times New Roman" w:cs="Times New Roman"/>
          <w:sz w:val="24"/>
          <w:szCs w:val="24"/>
        </w:rPr>
        <w:t>It is administered by the U.S. Department of the Treasury and the Internal Revenue Service</w:t>
      </w:r>
      <w:proofErr w:type="gramEnd"/>
      <w:r w:rsidRPr="00F035DE">
        <w:rPr>
          <w:rFonts w:ascii="Times New Roman" w:hAnsi="Times New Roman" w:cs="Times New Roman"/>
          <w:sz w:val="24"/>
          <w:szCs w:val="24"/>
        </w:rPr>
        <w:t>. The U.S. Treasury Department distributes low-income housing tax credits to housing credit agencies through the Internal Revenue Service. The housing agencies allocate tax credits on a competitive basis.</w:t>
      </w:r>
    </w:p>
    <w:p w:rsidR="00F035DE" w:rsidRPr="00F035DE" w:rsidRDefault="00F035DE" w:rsidP="00F035DE">
      <w:pPr>
        <w:spacing w:after="0" w:line="240" w:lineRule="auto"/>
        <w:jc w:val="both"/>
        <w:rPr>
          <w:rFonts w:ascii="Times New Roman" w:hAnsi="Times New Roman" w:cs="Times New Roman"/>
          <w:sz w:val="24"/>
          <w:szCs w:val="24"/>
        </w:rPr>
      </w:pPr>
      <w:r w:rsidRPr="00F035DE">
        <w:rPr>
          <w:rFonts w:ascii="Times New Roman" w:hAnsi="Times New Roman" w:cs="Times New Roman"/>
          <w:sz w:val="24"/>
          <w:szCs w:val="24"/>
        </w:rPr>
        <w:t xml:space="preserve">  </w:t>
      </w:r>
    </w:p>
    <w:p w:rsidR="00F035DE" w:rsidRPr="00F035DE" w:rsidRDefault="00F035DE" w:rsidP="00F035DE">
      <w:pPr>
        <w:spacing w:after="0" w:line="240" w:lineRule="auto"/>
        <w:jc w:val="both"/>
        <w:rPr>
          <w:rFonts w:ascii="Times New Roman" w:hAnsi="Times New Roman" w:cs="Times New Roman"/>
          <w:b/>
          <w:bCs/>
          <w:sz w:val="24"/>
          <w:szCs w:val="24"/>
        </w:rPr>
      </w:pPr>
      <w:r w:rsidRPr="00F035DE">
        <w:rPr>
          <w:rFonts w:ascii="Times New Roman" w:hAnsi="Times New Roman" w:cs="Times New Roman"/>
          <w:sz w:val="24"/>
          <w:szCs w:val="24"/>
        </w:rPr>
        <w:t xml:space="preserve">Developers who acquire, rehabilitate, or construct low-income rental housing may keep their tax credits. </w:t>
      </w:r>
      <w:proofErr w:type="gramStart"/>
      <w:r w:rsidRPr="00F035DE">
        <w:rPr>
          <w:rFonts w:ascii="Times New Roman" w:hAnsi="Times New Roman" w:cs="Times New Roman"/>
          <w:sz w:val="24"/>
          <w:szCs w:val="24"/>
        </w:rPr>
        <w:t>Or</w:t>
      </w:r>
      <w:proofErr w:type="gramEnd"/>
      <w:r w:rsidRPr="00F035DE">
        <w:rPr>
          <w:rFonts w:ascii="Times New Roman" w:hAnsi="Times New Roman" w:cs="Times New Roman"/>
          <w:sz w:val="24"/>
          <w:szCs w:val="24"/>
        </w:rPr>
        <w:t xml:space="preserve">, they may sell them to corporations or investor groups, who, as owners of these properties, will be able to reduce their own federal tax payments. The credit </w:t>
      </w:r>
      <w:proofErr w:type="gramStart"/>
      <w:r w:rsidRPr="00F035DE">
        <w:rPr>
          <w:rFonts w:ascii="Times New Roman" w:hAnsi="Times New Roman" w:cs="Times New Roman"/>
          <w:sz w:val="24"/>
          <w:szCs w:val="24"/>
        </w:rPr>
        <w:t>can be claimed</w:t>
      </w:r>
      <w:proofErr w:type="gramEnd"/>
      <w:r w:rsidRPr="00F035DE">
        <w:rPr>
          <w:rFonts w:ascii="Times New Roman" w:hAnsi="Times New Roman" w:cs="Times New Roman"/>
          <w:sz w:val="24"/>
          <w:szCs w:val="24"/>
        </w:rPr>
        <w:t xml:space="preserve"> annually for ten consecutive years. For a project to be eligible, the developer must set aside a specific percentage of units for occupancy by low-income residents. The set-aside requirement remains throughout the compliance period, usually 30 years.  </w:t>
      </w:r>
    </w:p>
    <w:p w:rsidR="00F035DE" w:rsidRPr="00F035DE" w:rsidRDefault="00F035DE" w:rsidP="00F035DE">
      <w:pPr>
        <w:spacing w:after="0" w:line="240" w:lineRule="auto"/>
        <w:jc w:val="both"/>
        <w:rPr>
          <w:rFonts w:ascii="Times New Roman" w:hAnsi="Times New Roman" w:cs="Times New Roman"/>
          <w:b/>
          <w:bCs/>
          <w:sz w:val="24"/>
          <w:szCs w:val="24"/>
        </w:rPr>
      </w:pPr>
    </w:p>
    <w:p w:rsidR="00F035DE" w:rsidRPr="00F035DE" w:rsidRDefault="00F035DE" w:rsidP="00F035DE">
      <w:pPr>
        <w:spacing w:after="0" w:line="240" w:lineRule="auto"/>
        <w:jc w:val="both"/>
        <w:rPr>
          <w:rFonts w:ascii="Times New Roman" w:hAnsi="Times New Roman" w:cs="Times New Roman"/>
          <w:sz w:val="24"/>
          <w:szCs w:val="24"/>
        </w:rPr>
      </w:pPr>
      <w:r w:rsidRPr="00F035DE">
        <w:rPr>
          <w:rFonts w:ascii="Times New Roman" w:hAnsi="Times New Roman" w:cs="Times New Roman"/>
          <w:b/>
          <w:bCs/>
          <w:sz w:val="24"/>
          <w:szCs w:val="24"/>
        </w:rPr>
        <w:t xml:space="preserve">Market Share:  </w:t>
      </w:r>
      <w:r w:rsidRPr="00F035DE">
        <w:rPr>
          <w:rFonts w:ascii="Times New Roman" w:hAnsi="Times New Roman" w:cs="Times New Roman"/>
          <w:sz w:val="24"/>
          <w:szCs w:val="24"/>
        </w:rPr>
        <w:t>The number of loans originated and purchased by the institution as a percentage of the aggregate number of loans originated and purchased by all reporting lenders in the metropolitan area/assessment area.</w:t>
      </w:r>
    </w:p>
    <w:p w:rsidR="00F035DE" w:rsidRPr="00F035DE" w:rsidRDefault="00F035DE" w:rsidP="00F035DE">
      <w:pPr>
        <w:spacing w:after="0" w:line="240" w:lineRule="auto"/>
        <w:jc w:val="both"/>
        <w:rPr>
          <w:rFonts w:ascii="Times New Roman" w:hAnsi="Times New Roman" w:cs="Times New Roman"/>
          <w:b/>
          <w:bCs/>
          <w:sz w:val="24"/>
          <w:szCs w:val="24"/>
        </w:rPr>
      </w:pPr>
    </w:p>
    <w:p w:rsidR="00F035DE" w:rsidRPr="00F035DE" w:rsidRDefault="00F035DE" w:rsidP="00F035DE">
      <w:pPr>
        <w:spacing w:after="0" w:line="240" w:lineRule="auto"/>
        <w:jc w:val="both"/>
        <w:rPr>
          <w:rFonts w:ascii="Times New Roman" w:hAnsi="Times New Roman" w:cs="Times New Roman"/>
          <w:sz w:val="24"/>
          <w:szCs w:val="24"/>
        </w:rPr>
      </w:pPr>
      <w:r w:rsidRPr="00F035DE">
        <w:rPr>
          <w:rFonts w:ascii="Times New Roman" w:hAnsi="Times New Roman" w:cs="Times New Roman"/>
          <w:b/>
          <w:bCs/>
          <w:sz w:val="24"/>
          <w:szCs w:val="24"/>
        </w:rPr>
        <w:t xml:space="preserve">Median Income:  </w:t>
      </w:r>
      <w:r w:rsidRPr="00F035DE">
        <w:rPr>
          <w:rFonts w:ascii="Times New Roman" w:hAnsi="Times New Roman" w:cs="Times New Roman"/>
          <w:sz w:val="24"/>
          <w:szCs w:val="24"/>
        </w:rPr>
        <w:t xml:space="preserve">The median income divides the income distribution into two equal parts, </w:t>
      </w:r>
      <w:proofErr w:type="gramStart"/>
      <w:r w:rsidRPr="00F035DE">
        <w:rPr>
          <w:rFonts w:ascii="Times New Roman" w:hAnsi="Times New Roman" w:cs="Times New Roman"/>
          <w:sz w:val="24"/>
          <w:szCs w:val="24"/>
        </w:rPr>
        <w:t>one having</w:t>
      </w:r>
      <w:proofErr w:type="gramEnd"/>
      <w:r w:rsidRPr="00F035DE">
        <w:rPr>
          <w:rFonts w:ascii="Times New Roman" w:hAnsi="Times New Roman" w:cs="Times New Roman"/>
          <w:sz w:val="24"/>
          <w:szCs w:val="24"/>
        </w:rPr>
        <w:t xml:space="preserve"> incomes above the median and other having incomes below the median.</w:t>
      </w:r>
    </w:p>
    <w:p w:rsidR="00F035DE" w:rsidRPr="00F035DE" w:rsidRDefault="00F035DE" w:rsidP="00F035DE">
      <w:pPr>
        <w:spacing w:after="0" w:line="240" w:lineRule="auto"/>
        <w:jc w:val="both"/>
        <w:rPr>
          <w:rFonts w:ascii="Times New Roman" w:hAnsi="Times New Roman" w:cs="Times New Roman"/>
          <w:sz w:val="24"/>
          <w:szCs w:val="24"/>
        </w:rPr>
      </w:pPr>
    </w:p>
    <w:p w:rsidR="00F035DE" w:rsidRPr="00F035DE" w:rsidRDefault="00F035DE" w:rsidP="00F035DE">
      <w:pPr>
        <w:spacing w:after="0" w:line="240" w:lineRule="auto"/>
        <w:jc w:val="both"/>
        <w:rPr>
          <w:rFonts w:ascii="Times New Roman" w:hAnsi="Times New Roman" w:cs="Times New Roman"/>
          <w:sz w:val="24"/>
          <w:szCs w:val="24"/>
        </w:rPr>
      </w:pPr>
      <w:proofErr w:type="gramStart"/>
      <w:r w:rsidRPr="00F035DE">
        <w:rPr>
          <w:rFonts w:ascii="Times New Roman" w:hAnsi="Times New Roman" w:cs="Times New Roman"/>
          <w:b/>
          <w:bCs/>
          <w:sz w:val="24"/>
          <w:szCs w:val="24"/>
        </w:rPr>
        <w:t xml:space="preserve">Metropolitan Division (MD):  </w:t>
      </w:r>
      <w:r w:rsidRPr="00F035DE">
        <w:rPr>
          <w:rFonts w:ascii="Times New Roman" w:hAnsi="Times New Roman" w:cs="Times New Roman"/>
          <w:sz w:val="24"/>
          <w:szCs w:val="24"/>
        </w:rPr>
        <w:t xml:space="preserve">A county or group of counties within a </w:t>
      </w:r>
      <w:proofErr w:type="spellStart"/>
      <w:r w:rsidRPr="00F035DE">
        <w:rPr>
          <w:rFonts w:ascii="Times New Roman" w:hAnsi="Times New Roman" w:cs="Times New Roman"/>
          <w:sz w:val="24"/>
          <w:szCs w:val="24"/>
        </w:rPr>
        <w:t>CBSA</w:t>
      </w:r>
      <w:proofErr w:type="spellEnd"/>
      <w:r w:rsidRPr="00F035DE">
        <w:rPr>
          <w:rFonts w:ascii="Times New Roman" w:hAnsi="Times New Roman" w:cs="Times New Roman"/>
          <w:sz w:val="24"/>
          <w:szCs w:val="24"/>
        </w:rPr>
        <w:t xml:space="preserve"> that contain(s) an urbanized area with a population of at least 2.5 million.</w:t>
      </w:r>
      <w:proofErr w:type="gramEnd"/>
      <w:r w:rsidRPr="00F035DE">
        <w:rPr>
          <w:rFonts w:ascii="Times New Roman" w:hAnsi="Times New Roman" w:cs="Times New Roman"/>
          <w:sz w:val="24"/>
          <w:szCs w:val="24"/>
        </w:rPr>
        <w:t xml:space="preserve"> A MD is one or more main/secondary counties representing an employment center or centers, plus adjacent counties associated with the main/secondary county or counties through commuting ties.  </w:t>
      </w:r>
    </w:p>
    <w:p w:rsidR="00F035DE" w:rsidRPr="00F035DE" w:rsidRDefault="00F035DE" w:rsidP="00F035DE">
      <w:pPr>
        <w:spacing w:after="0" w:line="240" w:lineRule="auto"/>
        <w:jc w:val="both"/>
        <w:rPr>
          <w:rFonts w:ascii="Times New Roman" w:hAnsi="Times New Roman" w:cs="Times New Roman"/>
          <w:b/>
          <w:bCs/>
          <w:sz w:val="24"/>
          <w:szCs w:val="24"/>
        </w:rPr>
      </w:pPr>
    </w:p>
    <w:p w:rsidR="00F035DE" w:rsidRPr="00F035DE" w:rsidRDefault="00F035DE" w:rsidP="00F035DE">
      <w:pPr>
        <w:spacing w:after="0" w:line="240" w:lineRule="auto"/>
        <w:jc w:val="both"/>
        <w:rPr>
          <w:rFonts w:ascii="Times New Roman" w:hAnsi="Times New Roman" w:cs="Times New Roman"/>
          <w:sz w:val="24"/>
          <w:szCs w:val="24"/>
        </w:rPr>
      </w:pPr>
      <w:r w:rsidRPr="00F035DE">
        <w:rPr>
          <w:rFonts w:ascii="Times New Roman" w:hAnsi="Times New Roman" w:cs="Times New Roman"/>
          <w:b/>
          <w:bCs/>
          <w:sz w:val="24"/>
          <w:szCs w:val="24"/>
        </w:rPr>
        <w:lastRenderedPageBreak/>
        <w:t>Metropolitan Statistical Area (</w:t>
      </w:r>
      <w:proofErr w:type="spellStart"/>
      <w:r w:rsidRPr="00F035DE">
        <w:rPr>
          <w:rFonts w:ascii="Times New Roman" w:hAnsi="Times New Roman" w:cs="Times New Roman"/>
          <w:b/>
          <w:bCs/>
          <w:sz w:val="24"/>
          <w:szCs w:val="24"/>
        </w:rPr>
        <w:t>MSA</w:t>
      </w:r>
      <w:proofErr w:type="spellEnd"/>
      <w:r w:rsidRPr="00F035DE">
        <w:rPr>
          <w:rFonts w:ascii="Times New Roman" w:hAnsi="Times New Roman" w:cs="Times New Roman"/>
          <w:b/>
          <w:bCs/>
          <w:sz w:val="24"/>
          <w:szCs w:val="24"/>
        </w:rPr>
        <w:t xml:space="preserve">):  </w:t>
      </w:r>
      <w:proofErr w:type="spellStart"/>
      <w:r w:rsidRPr="00F035DE">
        <w:rPr>
          <w:rFonts w:ascii="Times New Roman" w:hAnsi="Times New Roman" w:cs="Times New Roman"/>
          <w:sz w:val="24"/>
          <w:szCs w:val="24"/>
        </w:rPr>
        <w:t>CBSA</w:t>
      </w:r>
      <w:proofErr w:type="spellEnd"/>
      <w:r w:rsidRPr="00F035DE">
        <w:rPr>
          <w:rFonts w:ascii="Times New Roman" w:hAnsi="Times New Roman" w:cs="Times New Roman"/>
          <w:sz w:val="24"/>
          <w:szCs w:val="24"/>
        </w:rPr>
        <w:t xml:space="preserve"> associated with at least one urbanized area having a population of at least 50,000. The </w:t>
      </w:r>
      <w:proofErr w:type="spellStart"/>
      <w:r w:rsidRPr="00F035DE">
        <w:rPr>
          <w:rFonts w:ascii="Times New Roman" w:hAnsi="Times New Roman" w:cs="Times New Roman"/>
          <w:sz w:val="24"/>
          <w:szCs w:val="24"/>
        </w:rPr>
        <w:t>MSA</w:t>
      </w:r>
      <w:proofErr w:type="spellEnd"/>
      <w:r w:rsidRPr="00F035DE">
        <w:rPr>
          <w:rFonts w:ascii="Times New Roman" w:hAnsi="Times New Roman" w:cs="Times New Roman"/>
          <w:sz w:val="24"/>
          <w:szCs w:val="24"/>
        </w:rPr>
        <w:t xml:space="preserve"> comprises the central county or counties or equivalent entities containing the core, plus adjacent outlying counties having a high degree of social and economic integration with the central county or counties as measured through commuting.  </w:t>
      </w:r>
    </w:p>
    <w:p w:rsidR="00F035DE" w:rsidRPr="00F035DE" w:rsidRDefault="00F035DE" w:rsidP="00F035DE">
      <w:pPr>
        <w:spacing w:after="0" w:line="240" w:lineRule="auto"/>
        <w:jc w:val="both"/>
        <w:rPr>
          <w:rFonts w:ascii="Times New Roman" w:hAnsi="Times New Roman" w:cs="Times New Roman"/>
          <w:sz w:val="24"/>
          <w:szCs w:val="24"/>
        </w:rPr>
      </w:pPr>
    </w:p>
    <w:p w:rsidR="00F035DE" w:rsidRPr="00F035DE" w:rsidRDefault="00F035DE" w:rsidP="00F035DE">
      <w:pPr>
        <w:spacing w:after="0" w:line="240" w:lineRule="auto"/>
        <w:jc w:val="both"/>
        <w:rPr>
          <w:rFonts w:ascii="Times New Roman" w:hAnsi="Times New Roman" w:cs="Times New Roman"/>
          <w:sz w:val="24"/>
          <w:szCs w:val="24"/>
        </w:rPr>
      </w:pPr>
      <w:proofErr w:type="spellStart"/>
      <w:r w:rsidRPr="00F035DE">
        <w:rPr>
          <w:rFonts w:ascii="Times New Roman" w:hAnsi="Times New Roman" w:cs="Times New Roman"/>
          <w:b/>
          <w:bCs/>
          <w:sz w:val="24"/>
          <w:szCs w:val="24"/>
        </w:rPr>
        <w:t>Micropolitan</w:t>
      </w:r>
      <w:proofErr w:type="spellEnd"/>
      <w:r w:rsidRPr="00F035DE">
        <w:rPr>
          <w:rFonts w:ascii="Times New Roman" w:hAnsi="Times New Roman" w:cs="Times New Roman"/>
          <w:b/>
          <w:bCs/>
          <w:sz w:val="24"/>
          <w:szCs w:val="24"/>
        </w:rPr>
        <w:t xml:space="preserve"> Statistical Area:  </w:t>
      </w:r>
      <w:proofErr w:type="spellStart"/>
      <w:r w:rsidRPr="00F035DE">
        <w:rPr>
          <w:rFonts w:ascii="Times New Roman" w:hAnsi="Times New Roman" w:cs="Times New Roman"/>
          <w:sz w:val="24"/>
          <w:szCs w:val="24"/>
        </w:rPr>
        <w:t>CBSA</w:t>
      </w:r>
      <w:proofErr w:type="spellEnd"/>
      <w:r w:rsidRPr="00F035DE">
        <w:rPr>
          <w:rFonts w:ascii="Times New Roman" w:hAnsi="Times New Roman" w:cs="Times New Roman"/>
          <w:sz w:val="24"/>
          <w:szCs w:val="24"/>
        </w:rPr>
        <w:t xml:space="preserve"> associated with at least one urbanized area having a population of at least 10,000, but less than 50,000.</w:t>
      </w:r>
    </w:p>
    <w:p w:rsidR="00F035DE" w:rsidRPr="00F035DE" w:rsidRDefault="00F035DE" w:rsidP="00F035DE">
      <w:pPr>
        <w:spacing w:after="0" w:line="240" w:lineRule="auto"/>
        <w:jc w:val="both"/>
        <w:rPr>
          <w:rFonts w:ascii="Times New Roman" w:hAnsi="Times New Roman" w:cs="Times New Roman"/>
          <w:b/>
          <w:bCs/>
          <w:sz w:val="24"/>
          <w:szCs w:val="24"/>
        </w:rPr>
      </w:pPr>
    </w:p>
    <w:p w:rsidR="00F035DE" w:rsidRPr="00F035DE" w:rsidRDefault="00F035DE" w:rsidP="00F035DE">
      <w:pPr>
        <w:spacing w:after="0" w:line="240" w:lineRule="auto"/>
        <w:jc w:val="both"/>
        <w:rPr>
          <w:rFonts w:ascii="Times New Roman" w:hAnsi="Times New Roman" w:cs="Times New Roman"/>
          <w:sz w:val="24"/>
          <w:szCs w:val="24"/>
        </w:rPr>
      </w:pPr>
      <w:r w:rsidRPr="00F035DE">
        <w:rPr>
          <w:rFonts w:ascii="Times New Roman" w:hAnsi="Times New Roman" w:cs="Times New Roman"/>
          <w:b/>
          <w:bCs/>
          <w:sz w:val="24"/>
          <w:szCs w:val="24"/>
        </w:rPr>
        <w:t xml:space="preserve">Middle-Income:  </w:t>
      </w:r>
      <w:r w:rsidRPr="00F035DE">
        <w:rPr>
          <w:rFonts w:ascii="Times New Roman" w:hAnsi="Times New Roman" w:cs="Times New Roman"/>
          <w:sz w:val="24"/>
          <w:szCs w:val="24"/>
        </w:rPr>
        <w:t>Individual income that is at least 80 percent and less than 120 percent of the area median income, or a median family income that is at least 80 and less than 120 percent in the case of a geography.</w:t>
      </w:r>
    </w:p>
    <w:p w:rsidR="00F035DE" w:rsidRPr="00F035DE" w:rsidRDefault="00F035DE" w:rsidP="00F035DE">
      <w:pPr>
        <w:spacing w:after="0" w:line="240" w:lineRule="auto"/>
        <w:jc w:val="both"/>
        <w:rPr>
          <w:rFonts w:ascii="Times New Roman" w:hAnsi="Times New Roman" w:cs="Times New Roman"/>
          <w:sz w:val="24"/>
          <w:szCs w:val="24"/>
        </w:rPr>
      </w:pPr>
    </w:p>
    <w:p w:rsidR="00F035DE" w:rsidRPr="00F035DE" w:rsidRDefault="00F035DE" w:rsidP="00F035DE">
      <w:pPr>
        <w:spacing w:after="0" w:line="240" w:lineRule="auto"/>
        <w:jc w:val="both"/>
        <w:rPr>
          <w:rFonts w:ascii="Times New Roman" w:hAnsi="Times New Roman" w:cs="Times New Roman"/>
          <w:b/>
          <w:bCs/>
          <w:sz w:val="24"/>
          <w:szCs w:val="24"/>
        </w:rPr>
      </w:pPr>
      <w:r w:rsidRPr="00F035DE">
        <w:rPr>
          <w:rFonts w:ascii="Times New Roman" w:hAnsi="Times New Roman" w:cs="Times New Roman"/>
          <w:b/>
          <w:bCs/>
          <w:sz w:val="24"/>
          <w:szCs w:val="24"/>
        </w:rPr>
        <w:t>Moderate-Income:</w:t>
      </w:r>
      <w:r w:rsidRPr="00F035DE">
        <w:rPr>
          <w:rFonts w:ascii="Times New Roman" w:hAnsi="Times New Roman" w:cs="Times New Roman"/>
          <w:sz w:val="24"/>
          <w:szCs w:val="24"/>
        </w:rPr>
        <w:t xml:space="preserve">  Individual income that is at least 50 percent and less than 80 percent of the area median income, or a median family income that is at least 50 and less than 80 percent in the case of a geography.</w:t>
      </w:r>
    </w:p>
    <w:p w:rsidR="00F035DE" w:rsidRPr="00F035DE" w:rsidRDefault="00F035DE" w:rsidP="00F035DE">
      <w:pPr>
        <w:spacing w:after="0" w:line="240" w:lineRule="auto"/>
        <w:jc w:val="both"/>
        <w:rPr>
          <w:rFonts w:ascii="Times New Roman" w:hAnsi="Times New Roman" w:cs="Times New Roman"/>
          <w:b/>
          <w:bCs/>
          <w:sz w:val="24"/>
          <w:szCs w:val="24"/>
        </w:rPr>
      </w:pPr>
    </w:p>
    <w:p w:rsidR="00F035DE" w:rsidRPr="00F035DE" w:rsidRDefault="00F035DE" w:rsidP="00F035DE">
      <w:pPr>
        <w:spacing w:after="0" w:line="240" w:lineRule="auto"/>
        <w:jc w:val="both"/>
        <w:rPr>
          <w:rFonts w:ascii="Times New Roman" w:hAnsi="Times New Roman" w:cs="Times New Roman"/>
          <w:sz w:val="24"/>
          <w:szCs w:val="24"/>
        </w:rPr>
      </w:pPr>
      <w:r w:rsidRPr="00F035DE">
        <w:rPr>
          <w:rFonts w:ascii="Times New Roman" w:hAnsi="Times New Roman" w:cs="Times New Roman"/>
          <w:b/>
          <w:bCs/>
          <w:sz w:val="24"/>
          <w:szCs w:val="24"/>
        </w:rPr>
        <w:t xml:space="preserve">Multi-family:  </w:t>
      </w:r>
      <w:r w:rsidRPr="00F035DE">
        <w:rPr>
          <w:rFonts w:ascii="Times New Roman" w:hAnsi="Times New Roman" w:cs="Times New Roman"/>
          <w:sz w:val="24"/>
          <w:szCs w:val="24"/>
        </w:rPr>
        <w:t>Refers to</w:t>
      </w:r>
      <w:r w:rsidRPr="00F035DE">
        <w:rPr>
          <w:rFonts w:ascii="Times New Roman" w:hAnsi="Times New Roman" w:cs="Times New Roman"/>
          <w:b/>
          <w:bCs/>
          <w:sz w:val="24"/>
          <w:szCs w:val="24"/>
        </w:rPr>
        <w:t xml:space="preserve"> </w:t>
      </w:r>
      <w:r w:rsidRPr="00F035DE">
        <w:rPr>
          <w:rFonts w:ascii="Times New Roman" w:hAnsi="Times New Roman" w:cs="Times New Roman"/>
          <w:sz w:val="24"/>
          <w:szCs w:val="24"/>
        </w:rPr>
        <w:t>a residential structure that contains five or more units.</w:t>
      </w:r>
    </w:p>
    <w:p w:rsidR="00F035DE" w:rsidRPr="00F035DE" w:rsidRDefault="00F035DE" w:rsidP="00F035DE">
      <w:pPr>
        <w:spacing w:after="0" w:line="240" w:lineRule="auto"/>
        <w:jc w:val="both"/>
        <w:rPr>
          <w:rFonts w:ascii="Times New Roman" w:hAnsi="Times New Roman" w:cs="Times New Roman"/>
          <w:b/>
          <w:bCs/>
          <w:sz w:val="24"/>
          <w:szCs w:val="24"/>
        </w:rPr>
      </w:pPr>
    </w:p>
    <w:p w:rsidR="00F035DE" w:rsidRPr="00F035DE" w:rsidRDefault="00F035DE" w:rsidP="00F035DE">
      <w:pPr>
        <w:spacing w:after="0" w:line="240" w:lineRule="auto"/>
        <w:jc w:val="both"/>
        <w:rPr>
          <w:rFonts w:ascii="Times New Roman" w:hAnsi="Times New Roman" w:cs="Times New Roman"/>
          <w:sz w:val="24"/>
          <w:szCs w:val="24"/>
        </w:rPr>
      </w:pPr>
      <w:proofErr w:type="gramStart"/>
      <w:r w:rsidRPr="00F035DE">
        <w:rPr>
          <w:rFonts w:ascii="Times New Roman" w:hAnsi="Times New Roman" w:cs="Times New Roman"/>
          <w:b/>
          <w:bCs/>
          <w:sz w:val="24"/>
          <w:szCs w:val="24"/>
        </w:rPr>
        <w:t>Nonmetropolitan Area:</w:t>
      </w:r>
      <w:r w:rsidRPr="00F035DE">
        <w:rPr>
          <w:rFonts w:ascii="Times New Roman" w:hAnsi="Times New Roman" w:cs="Times New Roman"/>
          <w:sz w:val="24"/>
          <w:szCs w:val="24"/>
        </w:rPr>
        <w:t xml:space="preserve">  All areas outside of metropolitan areas.</w:t>
      </w:r>
      <w:proofErr w:type="gramEnd"/>
      <w:r w:rsidRPr="00F035DE">
        <w:rPr>
          <w:rFonts w:ascii="Times New Roman" w:hAnsi="Times New Roman" w:cs="Times New Roman"/>
          <w:sz w:val="24"/>
          <w:szCs w:val="24"/>
        </w:rPr>
        <w:t xml:space="preserve"> The definition of nonmetropolitan area is not consistent with the definition of rural areas. Urban and rural classifications cut across the other hierarchies. For example, there is generally urban and rural territory within metropolitan and nonmetropolitan areas.</w:t>
      </w:r>
    </w:p>
    <w:p w:rsidR="00F035DE" w:rsidRPr="00F035DE" w:rsidRDefault="00F035DE" w:rsidP="00F035DE">
      <w:pPr>
        <w:spacing w:after="0" w:line="240" w:lineRule="auto"/>
        <w:jc w:val="both"/>
        <w:rPr>
          <w:rFonts w:ascii="Times New Roman" w:hAnsi="Times New Roman" w:cs="Times New Roman"/>
          <w:b/>
          <w:bCs/>
          <w:sz w:val="24"/>
          <w:szCs w:val="24"/>
        </w:rPr>
      </w:pPr>
    </w:p>
    <w:p w:rsidR="00F035DE" w:rsidRPr="00F035DE" w:rsidRDefault="00F035DE" w:rsidP="00F035DE">
      <w:pPr>
        <w:spacing w:after="0" w:line="240" w:lineRule="auto"/>
        <w:jc w:val="both"/>
        <w:rPr>
          <w:rFonts w:ascii="Times New Roman" w:hAnsi="Times New Roman" w:cs="Times New Roman"/>
          <w:sz w:val="24"/>
          <w:szCs w:val="24"/>
        </w:rPr>
      </w:pPr>
      <w:r w:rsidRPr="00F035DE">
        <w:rPr>
          <w:rFonts w:ascii="Times New Roman" w:hAnsi="Times New Roman" w:cs="Times New Roman"/>
          <w:b/>
          <w:bCs/>
          <w:sz w:val="24"/>
          <w:szCs w:val="24"/>
        </w:rPr>
        <w:t>Owner-Occupied Units:</w:t>
      </w:r>
      <w:r w:rsidRPr="00F035DE">
        <w:rPr>
          <w:rFonts w:ascii="Times New Roman" w:hAnsi="Times New Roman" w:cs="Times New Roman"/>
          <w:sz w:val="24"/>
          <w:szCs w:val="24"/>
        </w:rPr>
        <w:t xml:space="preserve">  Includes units occupied by the owner or co-owner, even if the unit </w:t>
      </w:r>
      <w:proofErr w:type="gramStart"/>
      <w:r w:rsidRPr="00F035DE">
        <w:rPr>
          <w:rFonts w:ascii="Times New Roman" w:hAnsi="Times New Roman" w:cs="Times New Roman"/>
          <w:sz w:val="24"/>
          <w:szCs w:val="24"/>
        </w:rPr>
        <w:t>has not been fully paid for</w:t>
      </w:r>
      <w:proofErr w:type="gramEnd"/>
      <w:r w:rsidRPr="00F035DE">
        <w:rPr>
          <w:rFonts w:ascii="Times New Roman" w:hAnsi="Times New Roman" w:cs="Times New Roman"/>
          <w:sz w:val="24"/>
          <w:szCs w:val="24"/>
        </w:rPr>
        <w:t xml:space="preserve"> or is mortgaged.</w:t>
      </w:r>
    </w:p>
    <w:p w:rsidR="00F035DE" w:rsidRPr="00F035DE" w:rsidRDefault="00F035DE" w:rsidP="00F035DE">
      <w:pPr>
        <w:spacing w:after="0" w:line="240" w:lineRule="auto"/>
        <w:jc w:val="both"/>
        <w:rPr>
          <w:rFonts w:ascii="Times New Roman" w:hAnsi="Times New Roman" w:cs="Times New Roman"/>
          <w:b/>
          <w:bCs/>
          <w:sz w:val="24"/>
          <w:szCs w:val="24"/>
        </w:rPr>
      </w:pPr>
    </w:p>
    <w:p w:rsidR="00F035DE" w:rsidRPr="00F035DE" w:rsidRDefault="00F035DE" w:rsidP="00F035DE">
      <w:pPr>
        <w:spacing w:after="0" w:line="240" w:lineRule="auto"/>
        <w:jc w:val="both"/>
        <w:rPr>
          <w:rFonts w:ascii="Times New Roman" w:hAnsi="Times New Roman" w:cs="Times New Roman"/>
          <w:bCs/>
          <w:sz w:val="24"/>
          <w:szCs w:val="24"/>
        </w:rPr>
      </w:pPr>
      <w:r w:rsidRPr="00F035DE">
        <w:rPr>
          <w:rFonts w:ascii="Times New Roman" w:hAnsi="Times New Roman" w:cs="Times New Roman"/>
          <w:b/>
          <w:bCs/>
          <w:sz w:val="24"/>
          <w:szCs w:val="24"/>
        </w:rPr>
        <w:t xml:space="preserve">Qualified Investment:  </w:t>
      </w:r>
      <w:r w:rsidRPr="00F035DE">
        <w:rPr>
          <w:rFonts w:ascii="Times New Roman" w:hAnsi="Times New Roman" w:cs="Times New Roman"/>
          <w:bCs/>
          <w:sz w:val="24"/>
          <w:szCs w:val="24"/>
        </w:rPr>
        <w:t>A lawful investment, deposit, membership share, or grant that has as its primary purpose community development.</w:t>
      </w:r>
    </w:p>
    <w:p w:rsidR="00F035DE" w:rsidRPr="00F035DE" w:rsidRDefault="00F035DE" w:rsidP="00F035DE">
      <w:pPr>
        <w:spacing w:after="0" w:line="240" w:lineRule="auto"/>
        <w:jc w:val="both"/>
        <w:rPr>
          <w:rFonts w:ascii="Times New Roman" w:hAnsi="Times New Roman" w:cs="Times New Roman"/>
          <w:b/>
          <w:bCs/>
          <w:sz w:val="24"/>
          <w:szCs w:val="24"/>
        </w:rPr>
      </w:pPr>
    </w:p>
    <w:p w:rsidR="00F035DE" w:rsidRPr="00F035DE" w:rsidRDefault="00F035DE" w:rsidP="00F035DE">
      <w:pPr>
        <w:spacing w:after="0" w:line="240" w:lineRule="auto"/>
        <w:jc w:val="both"/>
        <w:rPr>
          <w:rFonts w:ascii="Times New Roman" w:hAnsi="Times New Roman" w:cs="Times New Roman"/>
          <w:snapToGrid w:val="0"/>
          <w:sz w:val="24"/>
          <w:szCs w:val="24"/>
        </w:rPr>
      </w:pPr>
      <w:r w:rsidRPr="00F035DE">
        <w:rPr>
          <w:rFonts w:ascii="Times New Roman" w:hAnsi="Times New Roman" w:cs="Times New Roman"/>
          <w:b/>
          <w:bCs/>
          <w:sz w:val="24"/>
          <w:szCs w:val="24"/>
        </w:rPr>
        <w:t>Rated Area:</w:t>
      </w:r>
      <w:r w:rsidRPr="00F035DE">
        <w:rPr>
          <w:rFonts w:ascii="Times New Roman" w:hAnsi="Times New Roman" w:cs="Times New Roman"/>
          <w:sz w:val="24"/>
          <w:szCs w:val="24"/>
        </w:rPr>
        <w:t xml:space="preserve">  </w:t>
      </w:r>
      <w:r w:rsidRPr="00F035DE">
        <w:rPr>
          <w:rFonts w:ascii="Times New Roman" w:hAnsi="Times New Roman" w:cs="Times New Roman"/>
          <w:snapToGrid w:val="0"/>
          <w:sz w:val="24"/>
          <w:szCs w:val="24"/>
        </w:rPr>
        <w:t>A rated area is a state or multistate metropolitan area. For an institution with domestic branches in only one state, the institution’s CRA rating would be the state rating</w:t>
      </w:r>
      <w:proofErr w:type="gramStart"/>
      <w:r w:rsidRPr="00F035DE">
        <w:rPr>
          <w:rFonts w:ascii="Times New Roman" w:hAnsi="Times New Roman" w:cs="Times New Roman"/>
          <w:snapToGrid w:val="0"/>
          <w:sz w:val="24"/>
          <w:szCs w:val="24"/>
        </w:rPr>
        <w:t xml:space="preserve">.  </w:t>
      </w:r>
      <w:proofErr w:type="gramEnd"/>
      <w:r w:rsidRPr="00F035DE">
        <w:rPr>
          <w:rFonts w:ascii="Times New Roman" w:hAnsi="Times New Roman" w:cs="Times New Roman"/>
          <w:snapToGrid w:val="0"/>
          <w:sz w:val="24"/>
          <w:szCs w:val="24"/>
        </w:rPr>
        <w:t>If an institution maintains domestic branches in more than one state, the institution will receive a rating for each state in which those branches are located</w:t>
      </w:r>
      <w:proofErr w:type="gramStart"/>
      <w:r w:rsidRPr="00F035DE">
        <w:rPr>
          <w:rFonts w:ascii="Times New Roman" w:hAnsi="Times New Roman" w:cs="Times New Roman"/>
          <w:snapToGrid w:val="0"/>
          <w:sz w:val="24"/>
          <w:szCs w:val="24"/>
        </w:rPr>
        <w:t xml:space="preserve">.  </w:t>
      </w:r>
      <w:proofErr w:type="gramEnd"/>
      <w:r w:rsidRPr="00F035DE">
        <w:rPr>
          <w:rFonts w:ascii="Times New Roman" w:hAnsi="Times New Roman" w:cs="Times New Roman"/>
          <w:snapToGrid w:val="0"/>
          <w:sz w:val="24"/>
          <w:szCs w:val="24"/>
        </w:rPr>
        <w:t xml:space="preserve">If an institution maintains domestic branches in two or more states within a multistate metropolitan area, the institution will receive a rating for the multistate metropolitan area.  </w:t>
      </w:r>
    </w:p>
    <w:p w:rsidR="00F035DE" w:rsidRPr="00F035DE" w:rsidRDefault="00F035DE" w:rsidP="00F035DE">
      <w:pPr>
        <w:spacing w:after="0" w:line="240" w:lineRule="auto"/>
        <w:jc w:val="both"/>
        <w:rPr>
          <w:rFonts w:ascii="Times New Roman" w:hAnsi="Times New Roman" w:cs="Times New Roman"/>
          <w:sz w:val="24"/>
          <w:szCs w:val="24"/>
        </w:rPr>
      </w:pPr>
    </w:p>
    <w:p w:rsidR="00F035DE" w:rsidRPr="00F035DE" w:rsidRDefault="00F035DE" w:rsidP="00F035DE">
      <w:pPr>
        <w:spacing w:after="0" w:line="240" w:lineRule="auto"/>
        <w:jc w:val="both"/>
        <w:rPr>
          <w:rFonts w:ascii="Times New Roman" w:hAnsi="Times New Roman" w:cs="Times New Roman"/>
          <w:sz w:val="24"/>
          <w:szCs w:val="24"/>
        </w:rPr>
      </w:pPr>
      <w:r w:rsidRPr="00F035DE">
        <w:rPr>
          <w:rFonts w:ascii="Times New Roman" w:hAnsi="Times New Roman" w:cs="Times New Roman"/>
          <w:b/>
          <w:bCs/>
          <w:sz w:val="24"/>
          <w:szCs w:val="24"/>
        </w:rPr>
        <w:t>Rural Area:</w:t>
      </w:r>
      <w:r w:rsidRPr="00F035DE">
        <w:rPr>
          <w:rFonts w:ascii="Times New Roman" w:hAnsi="Times New Roman" w:cs="Times New Roman"/>
          <w:sz w:val="24"/>
          <w:szCs w:val="24"/>
        </w:rPr>
        <w:t xml:space="preserve">  Territories, populations, and housing units that </w:t>
      </w:r>
      <w:proofErr w:type="gramStart"/>
      <w:r w:rsidRPr="00F035DE">
        <w:rPr>
          <w:rFonts w:ascii="Times New Roman" w:hAnsi="Times New Roman" w:cs="Times New Roman"/>
          <w:sz w:val="24"/>
          <w:szCs w:val="24"/>
        </w:rPr>
        <w:t>are not classified</w:t>
      </w:r>
      <w:proofErr w:type="gramEnd"/>
      <w:r w:rsidRPr="00F035DE">
        <w:rPr>
          <w:rFonts w:ascii="Times New Roman" w:hAnsi="Times New Roman" w:cs="Times New Roman"/>
          <w:sz w:val="24"/>
          <w:szCs w:val="24"/>
        </w:rPr>
        <w:t xml:space="preserve"> as urban.</w:t>
      </w:r>
    </w:p>
    <w:p w:rsidR="00F035DE" w:rsidRPr="00F035DE" w:rsidRDefault="00F035DE" w:rsidP="00F035DE">
      <w:pPr>
        <w:spacing w:after="0" w:line="240" w:lineRule="auto"/>
        <w:jc w:val="both"/>
        <w:rPr>
          <w:rFonts w:ascii="Times New Roman" w:hAnsi="Times New Roman" w:cs="Times New Roman"/>
          <w:b/>
          <w:bCs/>
          <w:sz w:val="24"/>
          <w:szCs w:val="24"/>
        </w:rPr>
      </w:pPr>
    </w:p>
    <w:p w:rsidR="00F035DE" w:rsidRPr="00F035DE" w:rsidRDefault="00F035DE" w:rsidP="00F035DE">
      <w:pPr>
        <w:pStyle w:val="NormalWeb"/>
        <w:spacing w:before="0" w:beforeAutospacing="0" w:after="0" w:afterAutospacing="0"/>
        <w:jc w:val="both"/>
      </w:pPr>
      <w:r w:rsidRPr="00F035DE">
        <w:rPr>
          <w:b/>
          <w:bCs/>
        </w:rPr>
        <w:t>Small Business Investment Company (</w:t>
      </w:r>
      <w:proofErr w:type="spellStart"/>
      <w:r w:rsidRPr="00F035DE">
        <w:rPr>
          <w:b/>
          <w:bCs/>
        </w:rPr>
        <w:t>SBIC</w:t>
      </w:r>
      <w:proofErr w:type="spellEnd"/>
      <w:r w:rsidRPr="00F035DE">
        <w:rPr>
          <w:b/>
          <w:bCs/>
        </w:rPr>
        <w:t xml:space="preserve">):  </w:t>
      </w:r>
      <w:proofErr w:type="spellStart"/>
      <w:r w:rsidRPr="00F035DE">
        <w:t>SBICs</w:t>
      </w:r>
      <w:proofErr w:type="spellEnd"/>
      <w:r w:rsidRPr="00F035DE">
        <w:t xml:space="preserve"> are privately-owned investment companies which are licensed and regulated by the Small Business Administration (SBA)</w:t>
      </w:r>
      <w:proofErr w:type="gramStart"/>
      <w:r w:rsidRPr="00F035DE">
        <w:t xml:space="preserve">.  </w:t>
      </w:r>
      <w:proofErr w:type="spellStart"/>
      <w:proofErr w:type="gramEnd"/>
      <w:r w:rsidRPr="00F035DE">
        <w:t>SBICs</w:t>
      </w:r>
      <w:proofErr w:type="spellEnd"/>
      <w:r w:rsidRPr="00F035DE">
        <w:t xml:space="preserve"> provide long-term loans and/or venture capital to small firms</w:t>
      </w:r>
      <w:proofErr w:type="gramStart"/>
      <w:r w:rsidRPr="00F035DE">
        <w:t xml:space="preserve">.  </w:t>
      </w:r>
      <w:proofErr w:type="gramEnd"/>
      <w:r w:rsidRPr="00F035DE">
        <w:t xml:space="preserve">Because money for venture or risk investments is difficult for small firms to obtain, SBA provides assistance to </w:t>
      </w:r>
      <w:proofErr w:type="spellStart"/>
      <w:r w:rsidRPr="00F035DE">
        <w:t>SBICs</w:t>
      </w:r>
      <w:proofErr w:type="spellEnd"/>
      <w:r w:rsidRPr="00F035DE">
        <w:t xml:space="preserve"> to stimulate and supplement the flow of private equity and long-term loan funds to small companies</w:t>
      </w:r>
      <w:proofErr w:type="gramStart"/>
      <w:r w:rsidRPr="00F035DE">
        <w:t xml:space="preserve">.  </w:t>
      </w:r>
      <w:proofErr w:type="gramEnd"/>
      <w:r w:rsidRPr="00F035DE">
        <w:t xml:space="preserve">Venture capitalists participate in the </w:t>
      </w:r>
      <w:proofErr w:type="spellStart"/>
      <w:r w:rsidRPr="00F035DE">
        <w:t>SBIC</w:t>
      </w:r>
      <w:proofErr w:type="spellEnd"/>
      <w:r w:rsidRPr="00F035DE">
        <w:t xml:space="preserve"> program to supplement their own private capital with funds borrowed at favorable rates through SBA’s guarantee of </w:t>
      </w:r>
      <w:proofErr w:type="spellStart"/>
      <w:r w:rsidRPr="00F035DE">
        <w:t>SBIC</w:t>
      </w:r>
      <w:proofErr w:type="spellEnd"/>
      <w:r w:rsidRPr="00F035DE">
        <w:t xml:space="preserve"> debentures</w:t>
      </w:r>
      <w:proofErr w:type="gramStart"/>
      <w:r w:rsidRPr="00F035DE">
        <w:t xml:space="preserve">.  </w:t>
      </w:r>
      <w:proofErr w:type="gramEnd"/>
      <w:r w:rsidRPr="00F035DE">
        <w:t xml:space="preserve">These </w:t>
      </w:r>
      <w:proofErr w:type="spellStart"/>
      <w:r w:rsidRPr="00F035DE">
        <w:t>SBIC</w:t>
      </w:r>
      <w:proofErr w:type="spellEnd"/>
      <w:r w:rsidRPr="00F035DE">
        <w:t xml:space="preserve"> debentures are then sold to private investors</w:t>
      </w:r>
      <w:proofErr w:type="gramStart"/>
      <w:r w:rsidRPr="00F035DE">
        <w:t xml:space="preserve">.  </w:t>
      </w:r>
      <w:proofErr w:type="gramEnd"/>
      <w:r w:rsidRPr="00F035DE">
        <w:t xml:space="preserve">An </w:t>
      </w:r>
      <w:proofErr w:type="spellStart"/>
      <w:r w:rsidRPr="00F035DE">
        <w:t>SBIC’s</w:t>
      </w:r>
      <w:proofErr w:type="spellEnd"/>
      <w:r w:rsidRPr="00F035DE">
        <w:t xml:space="preserve"> success is linked to the growth and profitability of </w:t>
      </w:r>
      <w:r w:rsidRPr="00F035DE">
        <w:lastRenderedPageBreak/>
        <w:t>the companies that it finances</w:t>
      </w:r>
      <w:proofErr w:type="gramStart"/>
      <w:r w:rsidRPr="00F035DE">
        <w:t xml:space="preserve">.  </w:t>
      </w:r>
      <w:proofErr w:type="gramEnd"/>
      <w:r w:rsidRPr="00F035DE">
        <w:t xml:space="preserve">Therefore, some </w:t>
      </w:r>
      <w:proofErr w:type="spellStart"/>
      <w:r w:rsidRPr="00F035DE">
        <w:t>SBICs</w:t>
      </w:r>
      <w:proofErr w:type="spellEnd"/>
      <w:r w:rsidRPr="00F035DE">
        <w:t xml:space="preserve"> primarily assist businesses with significant growth potential, such as new firms in innovative industries</w:t>
      </w:r>
      <w:proofErr w:type="gramStart"/>
      <w:r w:rsidRPr="00F035DE">
        <w:t xml:space="preserve">.  </w:t>
      </w:r>
      <w:proofErr w:type="spellStart"/>
      <w:proofErr w:type="gramEnd"/>
      <w:r w:rsidRPr="00F035DE">
        <w:t>SBICs</w:t>
      </w:r>
      <w:proofErr w:type="spellEnd"/>
      <w:r w:rsidRPr="00F035DE">
        <w:t xml:space="preserve"> finance small firms by providing straight loans and/or equity-type investments</w:t>
      </w:r>
      <w:proofErr w:type="gramStart"/>
      <w:r w:rsidRPr="00F035DE">
        <w:t xml:space="preserve">.  </w:t>
      </w:r>
      <w:proofErr w:type="gramEnd"/>
      <w:r w:rsidRPr="00F035DE">
        <w:t xml:space="preserve">This kind of financing gives them partial ownership of those businesses and the possibility of sharing in the companies’ profits as they grow and prosper.  </w:t>
      </w:r>
    </w:p>
    <w:p w:rsidR="00F035DE" w:rsidRPr="00F035DE" w:rsidRDefault="00F035DE" w:rsidP="00F035DE">
      <w:pPr>
        <w:pStyle w:val="NormalWeb"/>
        <w:spacing w:before="0" w:beforeAutospacing="0" w:after="0" w:afterAutospacing="0"/>
        <w:jc w:val="both"/>
      </w:pPr>
    </w:p>
    <w:p w:rsidR="00F035DE" w:rsidRPr="00F035DE" w:rsidRDefault="00F035DE" w:rsidP="00F035DE">
      <w:pPr>
        <w:spacing w:after="0" w:line="240" w:lineRule="auto"/>
        <w:jc w:val="both"/>
        <w:rPr>
          <w:rFonts w:ascii="Times New Roman" w:hAnsi="Times New Roman" w:cs="Times New Roman"/>
          <w:sz w:val="24"/>
          <w:szCs w:val="24"/>
        </w:rPr>
      </w:pPr>
      <w:r w:rsidRPr="00F035DE">
        <w:rPr>
          <w:rFonts w:ascii="Times New Roman" w:hAnsi="Times New Roman" w:cs="Times New Roman"/>
          <w:b/>
          <w:bCs/>
          <w:sz w:val="24"/>
          <w:szCs w:val="24"/>
        </w:rPr>
        <w:t>Small Business Loan:</w:t>
      </w:r>
      <w:r w:rsidRPr="00F035DE">
        <w:rPr>
          <w:rFonts w:ascii="Times New Roman" w:hAnsi="Times New Roman" w:cs="Times New Roman"/>
          <w:sz w:val="24"/>
          <w:szCs w:val="24"/>
        </w:rPr>
        <w:t xml:space="preserve">  A loan included in “loans to small businesses” as defined in the Consolidated Report of Condition and Income (Call Report)</w:t>
      </w:r>
      <w:proofErr w:type="gramStart"/>
      <w:r w:rsidRPr="00F035DE">
        <w:rPr>
          <w:rFonts w:ascii="Times New Roman" w:hAnsi="Times New Roman" w:cs="Times New Roman"/>
          <w:sz w:val="24"/>
          <w:szCs w:val="24"/>
        </w:rPr>
        <w:t xml:space="preserve">.  </w:t>
      </w:r>
      <w:proofErr w:type="gramEnd"/>
      <w:r w:rsidRPr="00F035DE">
        <w:rPr>
          <w:rFonts w:ascii="Times New Roman" w:hAnsi="Times New Roman" w:cs="Times New Roman"/>
          <w:sz w:val="24"/>
          <w:szCs w:val="24"/>
        </w:rPr>
        <w:t xml:space="preserve">These loans have original amounts of $1 million or less and are </w:t>
      </w:r>
      <w:proofErr w:type="gramStart"/>
      <w:r w:rsidRPr="00F035DE">
        <w:rPr>
          <w:rFonts w:ascii="Times New Roman" w:hAnsi="Times New Roman" w:cs="Times New Roman"/>
          <w:sz w:val="24"/>
          <w:szCs w:val="24"/>
        </w:rPr>
        <w:t>either secured</w:t>
      </w:r>
      <w:proofErr w:type="gramEnd"/>
      <w:r w:rsidRPr="00F035DE">
        <w:rPr>
          <w:rFonts w:ascii="Times New Roman" w:hAnsi="Times New Roman" w:cs="Times New Roman"/>
          <w:sz w:val="24"/>
          <w:szCs w:val="24"/>
        </w:rPr>
        <w:t xml:space="preserve"> by nonfarm nonresidential properties or are classified as commercial and industrial loans.</w:t>
      </w:r>
    </w:p>
    <w:p w:rsidR="00F035DE" w:rsidRPr="00F035DE" w:rsidRDefault="00F035DE" w:rsidP="00F035DE">
      <w:pPr>
        <w:spacing w:after="0" w:line="240" w:lineRule="auto"/>
        <w:jc w:val="both"/>
        <w:rPr>
          <w:rFonts w:ascii="Times New Roman" w:hAnsi="Times New Roman" w:cs="Times New Roman"/>
          <w:b/>
          <w:bCs/>
          <w:sz w:val="24"/>
          <w:szCs w:val="24"/>
        </w:rPr>
      </w:pPr>
    </w:p>
    <w:p w:rsidR="00F035DE" w:rsidRPr="00F035DE" w:rsidRDefault="00F035DE" w:rsidP="00F035DE">
      <w:pPr>
        <w:spacing w:after="0" w:line="240" w:lineRule="auto"/>
        <w:jc w:val="both"/>
        <w:rPr>
          <w:rFonts w:ascii="Times New Roman" w:hAnsi="Times New Roman" w:cs="Times New Roman"/>
          <w:sz w:val="24"/>
          <w:szCs w:val="24"/>
        </w:rPr>
      </w:pPr>
      <w:r w:rsidRPr="00F035DE">
        <w:rPr>
          <w:rFonts w:ascii="Times New Roman" w:hAnsi="Times New Roman" w:cs="Times New Roman"/>
          <w:b/>
          <w:bCs/>
          <w:sz w:val="24"/>
          <w:szCs w:val="24"/>
        </w:rPr>
        <w:t xml:space="preserve">Small Farm Loan:  </w:t>
      </w:r>
      <w:r w:rsidRPr="00F035DE">
        <w:rPr>
          <w:rFonts w:ascii="Times New Roman" w:hAnsi="Times New Roman" w:cs="Times New Roman"/>
          <w:sz w:val="24"/>
          <w:szCs w:val="24"/>
        </w:rPr>
        <w:t>A loan included in “loans to small farms” as defined in the instructions for preparation of the Consolidated Report of Condition and Income (Call Report)</w:t>
      </w:r>
      <w:proofErr w:type="gramStart"/>
      <w:r w:rsidRPr="00F035DE">
        <w:rPr>
          <w:rFonts w:ascii="Times New Roman" w:hAnsi="Times New Roman" w:cs="Times New Roman"/>
          <w:sz w:val="24"/>
          <w:szCs w:val="24"/>
        </w:rPr>
        <w:t xml:space="preserve">.  </w:t>
      </w:r>
      <w:proofErr w:type="gramEnd"/>
      <w:r w:rsidRPr="00F035DE">
        <w:rPr>
          <w:rFonts w:ascii="Times New Roman" w:hAnsi="Times New Roman" w:cs="Times New Roman"/>
          <w:sz w:val="24"/>
          <w:szCs w:val="24"/>
        </w:rPr>
        <w:t xml:space="preserve">These loans have original amounts of $500,000 or less and are </w:t>
      </w:r>
      <w:proofErr w:type="gramStart"/>
      <w:r w:rsidRPr="00F035DE">
        <w:rPr>
          <w:rFonts w:ascii="Times New Roman" w:hAnsi="Times New Roman" w:cs="Times New Roman"/>
          <w:sz w:val="24"/>
          <w:szCs w:val="24"/>
        </w:rPr>
        <w:t>either secured</w:t>
      </w:r>
      <w:proofErr w:type="gramEnd"/>
      <w:r w:rsidRPr="00F035DE">
        <w:rPr>
          <w:rFonts w:ascii="Times New Roman" w:hAnsi="Times New Roman" w:cs="Times New Roman"/>
          <w:sz w:val="24"/>
          <w:szCs w:val="24"/>
        </w:rPr>
        <w:t xml:space="preserve"> by farmland, including farm residential and other improvements, or are classified as loans to finance agricultural production and other loans to farmers.</w:t>
      </w:r>
    </w:p>
    <w:p w:rsidR="00F035DE" w:rsidRPr="00F035DE" w:rsidRDefault="00F035DE" w:rsidP="00F035DE">
      <w:pPr>
        <w:spacing w:after="0" w:line="240" w:lineRule="auto"/>
        <w:jc w:val="both"/>
        <w:rPr>
          <w:rFonts w:ascii="Times New Roman" w:hAnsi="Times New Roman" w:cs="Times New Roman"/>
          <w:b/>
          <w:bCs/>
          <w:sz w:val="24"/>
          <w:szCs w:val="24"/>
        </w:rPr>
      </w:pPr>
    </w:p>
    <w:p w:rsidR="00F035DE" w:rsidRPr="00F035DE" w:rsidRDefault="00F035DE" w:rsidP="00F035DE">
      <w:pPr>
        <w:spacing w:after="0" w:line="240" w:lineRule="auto"/>
        <w:jc w:val="both"/>
        <w:rPr>
          <w:rFonts w:ascii="Times New Roman" w:hAnsi="Times New Roman" w:cs="Times New Roman"/>
          <w:sz w:val="24"/>
          <w:szCs w:val="24"/>
        </w:rPr>
      </w:pPr>
      <w:r w:rsidRPr="00F035DE">
        <w:rPr>
          <w:rFonts w:ascii="Times New Roman" w:hAnsi="Times New Roman" w:cs="Times New Roman"/>
          <w:b/>
          <w:bCs/>
          <w:sz w:val="24"/>
          <w:szCs w:val="24"/>
        </w:rPr>
        <w:t>Underserved Middle-Income Nonmetropolitan Geographies:</w:t>
      </w:r>
      <w:r w:rsidRPr="00F035DE">
        <w:rPr>
          <w:rFonts w:ascii="Times New Roman" w:hAnsi="Times New Roman" w:cs="Times New Roman"/>
          <w:sz w:val="24"/>
          <w:szCs w:val="24"/>
        </w:rPr>
        <w:t xml:space="preserve">  A nonmetropolitan middle-income geography will be designated as underserved if it meets criteria for population size, density, and dispersion indicating the area’s population is sufficiently small, thin, and distant from a population center that the tract is likely to have difficulty financing the fixed costs of meeting essential community needs.  </w:t>
      </w:r>
    </w:p>
    <w:p w:rsidR="00F035DE" w:rsidRPr="00F035DE" w:rsidRDefault="00F035DE" w:rsidP="00F035DE">
      <w:pPr>
        <w:spacing w:after="0" w:line="240" w:lineRule="auto"/>
        <w:jc w:val="both"/>
        <w:rPr>
          <w:rFonts w:ascii="Times New Roman" w:hAnsi="Times New Roman" w:cs="Times New Roman"/>
          <w:b/>
          <w:bCs/>
          <w:sz w:val="24"/>
          <w:szCs w:val="24"/>
        </w:rPr>
      </w:pPr>
    </w:p>
    <w:p w:rsidR="00F035DE" w:rsidRPr="00F035DE" w:rsidRDefault="00F035DE" w:rsidP="00F035DE">
      <w:pPr>
        <w:spacing w:after="0" w:line="240" w:lineRule="auto"/>
        <w:jc w:val="both"/>
        <w:rPr>
          <w:rFonts w:ascii="Times New Roman" w:hAnsi="Times New Roman" w:cs="Times New Roman"/>
          <w:sz w:val="24"/>
          <w:szCs w:val="24"/>
        </w:rPr>
      </w:pPr>
      <w:proofErr w:type="gramStart"/>
      <w:r w:rsidRPr="00F035DE">
        <w:rPr>
          <w:rFonts w:ascii="Times New Roman" w:hAnsi="Times New Roman" w:cs="Times New Roman"/>
          <w:b/>
          <w:bCs/>
          <w:sz w:val="24"/>
          <w:szCs w:val="24"/>
        </w:rPr>
        <w:t>Upper-Income:</w:t>
      </w:r>
      <w:r w:rsidRPr="00F035DE">
        <w:rPr>
          <w:rFonts w:ascii="Times New Roman" w:hAnsi="Times New Roman" w:cs="Times New Roman"/>
          <w:sz w:val="24"/>
          <w:szCs w:val="24"/>
        </w:rPr>
        <w:t xml:space="preserve">  Individual income that is 120 percent or more of the area median income, or a median family income that is 120 percent or more in the case of a geography.</w:t>
      </w:r>
      <w:proofErr w:type="gramEnd"/>
      <w:r w:rsidRPr="00F035DE">
        <w:rPr>
          <w:rFonts w:ascii="Times New Roman" w:hAnsi="Times New Roman" w:cs="Times New Roman"/>
          <w:sz w:val="24"/>
          <w:szCs w:val="24"/>
        </w:rPr>
        <w:t xml:space="preserve">  </w:t>
      </w:r>
    </w:p>
    <w:p w:rsidR="00F035DE" w:rsidRPr="00F035DE" w:rsidRDefault="00F035DE" w:rsidP="00F035DE">
      <w:pPr>
        <w:spacing w:after="0" w:line="240" w:lineRule="auto"/>
        <w:jc w:val="both"/>
        <w:rPr>
          <w:rFonts w:ascii="Times New Roman" w:hAnsi="Times New Roman" w:cs="Times New Roman"/>
          <w:b/>
          <w:bCs/>
          <w:sz w:val="24"/>
          <w:szCs w:val="24"/>
        </w:rPr>
      </w:pPr>
    </w:p>
    <w:p w:rsidR="00F035DE" w:rsidRPr="00F035DE" w:rsidRDefault="00F035DE" w:rsidP="00F035DE">
      <w:pPr>
        <w:spacing w:after="0" w:line="240" w:lineRule="auto"/>
        <w:jc w:val="both"/>
        <w:rPr>
          <w:rFonts w:ascii="Times New Roman" w:hAnsi="Times New Roman" w:cs="Times New Roman"/>
          <w:sz w:val="24"/>
          <w:szCs w:val="24"/>
        </w:rPr>
      </w:pPr>
      <w:r w:rsidRPr="00F035DE">
        <w:rPr>
          <w:rFonts w:ascii="Times New Roman" w:hAnsi="Times New Roman" w:cs="Times New Roman"/>
          <w:b/>
          <w:bCs/>
          <w:sz w:val="24"/>
          <w:szCs w:val="24"/>
        </w:rPr>
        <w:t>Urban</w:t>
      </w:r>
      <w:r w:rsidRPr="00F035DE">
        <w:rPr>
          <w:rFonts w:ascii="Times New Roman" w:hAnsi="Times New Roman" w:cs="Times New Roman"/>
          <w:sz w:val="24"/>
          <w:szCs w:val="24"/>
        </w:rPr>
        <w:t xml:space="preserve"> </w:t>
      </w:r>
      <w:r w:rsidRPr="00F035DE">
        <w:rPr>
          <w:rFonts w:ascii="Times New Roman" w:hAnsi="Times New Roman" w:cs="Times New Roman"/>
          <w:b/>
          <w:bCs/>
          <w:sz w:val="24"/>
          <w:szCs w:val="24"/>
        </w:rPr>
        <w:t xml:space="preserve">Area:  </w:t>
      </w:r>
      <w:r w:rsidRPr="00F035DE">
        <w:rPr>
          <w:rFonts w:ascii="Times New Roman" w:hAnsi="Times New Roman" w:cs="Times New Roman"/>
          <w:sz w:val="24"/>
          <w:szCs w:val="24"/>
        </w:rPr>
        <w:t>All territories, populations, and housing units in urbanized areas and in places of 2,500 or more persons outside urbanized areas</w:t>
      </w:r>
      <w:proofErr w:type="gramStart"/>
      <w:r w:rsidRPr="00F035DE">
        <w:rPr>
          <w:rFonts w:ascii="Times New Roman" w:hAnsi="Times New Roman" w:cs="Times New Roman"/>
          <w:sz w:val="24"/>
          <w:szCs w:val="24"/>
        </w:rPr>
        <w:t xml:space="preserve">.  </w:t>
      </w:r>
      <w:proofErr w:type="gramEnd"/>
      <w:r w:rsidRPr="00F035DE">
        <w:rPr>
          <w:rFonts w:ascii="Times New Roman" w:hAnsi="Times New Roman" w:cs="Times New Roman"/>
          <w:sz w:val="24"/>
          <w:szCs w:val="24"/>
        </w:rPr>
        <w:t xml:space="preserve">More specifically, “urban” consists of territory, persons, and housing units in places of 2,500 or more persons incorporated as cities, villages, boroughs (except in Alaska and New York), and towns (except in the New England states, New York, and Wisconsin).  </w:t>
      </w:r>
    </w:p>
    <w:p w:rsidR="00F035DE" w:rsidRPr="00F035DE" w:rsidRDefault="00F035DE" w:rsidP="00F035DE">
      <w:pPr>
        <w:spacing w:after="0" w:line="240" w:lineRule="auto"/>
        <w:jc w:val="both"/>
        <w:rPr>
          <w:rFonts w:ascii="Times New Roman" w:hAnsi="Times New Roman" w:cs="Times New Roman"/>
          <w:sz w:val="24"/>
          <w:szCs w:val="24"/>
        </w:rPr>
      </w:pPr>
    </w:p>
    <w:p w:rsidR="00F035DE" w:rsidRPr="00F035DE" w:rsidRDefault="00F035DE" w:rsidP="00F035DE">
      <w:pPr>
        <w:spacing w:after="0" w:line="240" w:lineRule="auto"/>
        <w:jc w:val="both"/>
        <w:rPr>
          <w:rFonts w:ascii="Times New Roman" w:hAnsi="Times New Roman" w:cs="Times New Roman"/>
          <w:sz w:val="24"/>
          <w:szCs w:val="24"/>
        </w:rPr>
      </w:pPr>
      <w:r w:rsidRPr="00F035DE">
        <w:rPr>
          <w:rFonts w:ascii="Times New Roman" w:hAnsi="Times New Roman" w:cs="Times New Roman"/>
          <w:sz w:val="24"/>
          <w:szCs w:val="24"/>
        </w:rPr>
        <w:t>“Urban” excludes the rural portions of “extended cities”; census designated place of 2,500 or more persons; and other territory, incorporated or unincorporated, including in urbanized areas.</w:t>
      </w:r>
    </w:p>
    <w:p w:rsidR="00F035DE" w:rsidRPr="00F035DE" w:rsidRDefault="00F035DE" w:rsidP="00F035DE">
      <w:pPr>
        <w:spacing w:after="0" w:line="240" w:lineRule="auto"/>
        <w:rPr>
          <w:rFonts w:ascii="Times New Roman" w:hAnsi="Times New Roman" w:cs="Times New Roman"/>
        </w:rPr>
      </w:pPr>
      <w:r w:rsidRPr="00F035DE">
        <w:rPr>
          <w:rFonts w:ascii="Times New Roman" w:hAnsi="Times New Roman" w:cs="Times New Roman"/>
        </w:rPr>
        <w:br w:type="page"/>
      </w:r>
    </w:p>
    <w:p w:rsidR="00F035DE" w:rsidRPr="00F035DE" w:rsidRDefault="00F035DE" w:rsidP="00F035DE">
      <w:pPr>
        <w:tabs>
          <w:tab w:val="center" w:pos="4680"/>
        </w:tabs>
        <w:spacing w:after="0" w:line="240" w:lineRule="auto"/>
        <w:jc w:val="center"/>
        <w:rPr>
          <w:rFonts w:ascii="Times New Roman" w:hAnsi="Times New Roman" w:cs="Times New Roman"/>
          <w:b/>
          <w:spacing w:val="-4"/>
          <w:sz w:val="28"/>
          <w:szCs w:val="28"/>
        </w:rPr>
      </w:pPr>
      <w:r w:rsidRPr="00F035DE">
        <w:rPr>
          <w:rFonts w:ascii="Times New Roman" w:hAnsi="Times New Roman" w:cs="Times New Roman"/>
          <w:b/>
          <w:spacing w:val="-4"/>
          <w:sz w:val="28"/>
          <w:szCs w:val="28"/>
        </w:rPr>
        <w:lastRenderedPageBreak/>
        <w:t>PERFORMANCE EVALUATION DISCLOSURE GUIDE</w:t>
      </w:r>
    </w:p>
    <w:p w:rsidR="00F035DE" w:rsidRPr="00F035DE" w:rsidRDefault="00F035DE" w:rsidP="00F035DE">
      <w:pPr>
        <w:tabs>
          <w:tab w:val="center" w:pos="4680"/>
        </w:tabs>
        <w:spacing w:after="0" w:line="240" w:lineRule="auto"/>
        <w:jc w:val="both"/>
        <w:rPr>
          <w:rFonts w:ascii="Times New Roman" w:hAnsi="Times New Roman" w:cs="Times New Roman"/>
          <w:b/>
          <w:spacing w:val="-3"/>
          <w:sz w:val="28"/>
          <w:szCs w:val="28"/>
        </w:rPr>
      </w:pPr>
    </w:p>
    <w:p w:rsidR="00F035DE" w:rsidRPr="00F035DE" w:rsidRDefault="00F035DE" w:rsidP="00F035DE">
      <w:pPr>
        <w:tabs>
          <w:tab w:val="left" w:pos="720"/>
          <w:tab w:val="left" w:pos="1320"/>
          <w:tab w:val="left" w:pos="1680"/>
        </w:tabs>
        <w:spacing w:after="0" w:line="240" w:lineRule="auto"/>
        <w:jc w:val="both"/>
        <w:rPr>
          <w:rFonts w:ascii="Times New Roman" w:hAnsi="Times New Roman" w:cs="Times New Roman"/>
          <w:spacing w:val="-3"/>
          <w:sz w:val="24"/>
          <w:szCs w:val="24"/>
        </w:rPr>
      </w:pPr>
      <w:r w:rsidRPr="00F035DE">
        <w:rPr>
          <w:rFonts w:ascii="Times New Roman" w:hAnsi="Times New Roman" w:cs="Times New Roman"/>
          <w:spacing w:val="-3"/>
          <w:sz w:val="24"/>
          <w:szCs w:val="24"/>
        </w:rPr>
        <w:t>Massachusetts General Laws Chapter 167, Section 14, as amended, and the Uniform Interagency Community Reinvestment Act (CRA) Guidelines for Disclosure of Written Evaluations require all financial institutions to take the following actions within 30 business days of receipt of the CRA evaluation of their institution:</w:t>
      </w:r>
    </w:p>
    <w:p w:rsidR="00F035DE" w:rsidRPr="00F035DE" w:rsidRDefault="00F035DE" w:rsidP="00F035DE">
      <w:pPr>
        <w:tabs>
          <w:tab w:val="left" w:pos="720"/>
          <w:tab w:val="left" w:pos="1320"/>
          <w:tab w:val="left" w:pos="1680"/>
        </w:tabs>
        <w:spacing w:after="0" w:line="240" w:lineRule="auto"/>
        <w:jc w:val="both"/>
        <w:rPr>
          <w:rFonts w:ascii="Times New Roman" w:hAnsi="Times New Roman" w:cs="Times New Roman"/>
          <w:spacing w:val="-3"/>
          <w:sz w:val="24"/>
          <w:szCs w:val="24"/>
        </w:rPr>
      </w:pPr>
    </w:p>
    <w:p w:rsidR="00F035DE" w:rsidRPr="00F035DE" w:rsidRDefault="00F035DE" w:rsidP="00F035DE">
      <w:pPr>
        <w:tabs>
          <w:tab w:val="left" w:pos="720"/>
          <w:tab w:val="left" w:pos="1320"/>
          <w:tab w:val="left" w:pos="1680"/>
        </w:tabs>
        <w:spacing w:after="0" w:line="240" w:lineRule="auto"/>
        <w:ind w:left="1320" w:hanging="1320"/>
        <w:jc w:val="both"/>
        <w:rPr>
          <w:rFonts w:ascii="Times New Roman" w:hAnsi="Times New Roman" w:cs="Times New Roman"/>
          <w:spacing w:val="-3"/>
          <w:sz w:val="24"/>
          <w:szCs w:val="24"/>
        </w:rPr>
      </w:pPr>
      <w:r w:rsidRPr="00F035DE">
        <w:rPr>
          <w:rFonts w:ascii="Times New Roman" w:hAnsi="Times New Roman" w:cs="Times New Roman"/>
          <w:spacing w:val="-3"/>
          <w:sz w:val="24"/>
          <w:szCs w:val="24"/>
        </w:rPr>
        <w:tab/>
        <w:t xml:space="preserve">1) </w:t>
      </w:r>
      <w:r w:rsidRPr="00F035DE">
        <w:rPr>
          <w:rFonts w:ascii="Times New Roman" w:hAnsi="Times New Roman" w:cs="Times New Roman"/>
          <w:spacing w:val="-3"/>
          <w:sz w:val="24"/>
          <w:szCs w:val="24"/>
        </w:rPr>
        <w:tab/>
        <w:t>Make its most current CRA performance evaluation available to the public</w:t>
      </w:r>
      <w:proofErr w:type="gramStart"/>
      <w:r w:rsidRPr="00F035DE">
        <w:rPr>
          <w:rFonts w:ascii="Times New Roman" w:hAnsi="Times New Roman" w:cs="Times New Roman"/>
          <w:spacing w:val="-3"/>
          <w:sz w:val="24"/>
          <w:szCs w:val="24"/>
        </w:rPr>
        <w:t>;</w:t>
      </w:r>
      <w:proofErr w:type="gramEnd"/>
    </w:p>
    <w:p w:rsidR="00F035DE" w:rsidRPr="00F035DE" w:rsidRDefault="00F035DE" w:rsidP="00F035DE">
      <w:pPr>
        <w:tabs>
          <w:tab w:val="left" w:pos="720"/>
          <w:tab w:val="left" w:pos="1320"/>
          <w:tab w:val="left" w:pos="1680"/>
        </w:tabs>
        <w:spacing w:after="0" w:line="240" w:lineRule="auto"/>
        <w:jc w:val="both"/>
        <w:rPr>
          <w:rFonts w:ascii="Times New Roman" w:hAnsi="Times New Roman" w:cs="Times New Roman"/>
          <w:spacing w:val="-3"/>
          <w:sz w:val="24"/>
          <w:szCs w:val="24"/>
        </w:rPr>
      </w:pPr>
    </w:p>
    <w:p w:rsidR="00F035DE" w:rsidRPr="00F035DE" w:rsidRDefault="00F035DE" w:rsidP="00F035DE">
      <w:pPr>
        <w:tabs>
          <w:tab w:val="left" w:pos="720"/>
          <w:tab w:val="left" w:pos="1320"/>
          <w:tab w:val="left" w:pos="1680"/>
        </w:tabs>
        <w:spacing w:after="0" w:line="240" w:lineRule="auto"/>
        <w:ind w:left="1320" w:hanging="1320"/>
        <w:jc w:val="both"/>
        <w:rPr>
          <w:rFonts w:ascii="Times New Roman" w:hAnsi="Times New Roman" w:cs="Times New Roman"/>
          <w:spacing w:val="-3"/>
          <w:sz w:val="24"/>
          <w:szCs w:val="24"/>
        </w:rPr>
      </w:pPr>
      <w:r w:rsidRPr="00F035DE">
        <w:rPr>
          <w:rFonts w:ascii="Times New Roman" w:hAnsi="Times New Roman" w:cs="Times New Roman"/>
          <w:spacing w:val="-3"/>
          <w:sz w:val="24"/>
          <w:szCs w:val="24"/>
        </w:rPr>
        <w:tab/>
        <w:t>2)</w:t>
      </w:r>
      <w:r w:rsidRPr="00F035DE">
        <w:rPr>
          <w:rFonts w:ascii="Times New Roman" w:hAnsi="Times New Roman" w:cs="Times New Roman"/>
          <w:spacing w:val="-3"/>
          <w:sz w:val="24"/>
          <w:szCs w:val="24"/>
        </w:rPr>
        <w:tab/>
        <w:t>At a minimum, place the evaluation in the institution's CRA public file located at the head office and at a designated office in each assessment area</w:t>
      </w:r>
      <w:proofErr w:type="gramStart"/>
      <w:r w:rsidRPr="00F035DE">
        <w:rPr>
          <w:rFonts w:ascii="Times New Roman" w:hAnsi="Times New Roman" w:cs="Times New Roman"/>
          <w:spacing w:val="-3"/>
          <w:sz w:val="24"/>
          <w:szCs w:val="24"/>
        </w:rPr>
        <w:t>;</w:t>
      </w:r>
      <w:proofErr w:type="gramEnd"/>
    </w:p>
    <w:p w:rsidR="00F035DE" w:rsidRPr="00F035DE" w:rsidRDefault="00F035DE" w:rsidP="00F035DE">
      <w:pPr>
        <w:tabs>
          <w:tab w:val="left" w:pos="720"/>
          <w:tab w:val="left" w:pos="1320"/>
          <w:tab w:val="left" w:pos="1680"/>
        </w:tabs>
        <w:spacing w:after="0" w:line="240" w:lineRule="auto"/>
        <w:jc w:val="both"/>
        <w:rPr>
          <w:rFonts w:ascii="Times New Roman" w:hAnsi="Times New Roman" w:cs="Times New Roman"/>
          <w:spacing w:val="-3"/>
          <w:sz w:val="24"/>
          <w:szCs w:val="24"/>
        </w:rPr>
      </w:pPr>
    </w:p>
    <w:p w:rsidR="00F035DE" w:rsidRPr="00F035DE" w:rsidRDefault="00F035DE" w:rsidP="00F035DE">
      <w:pPr>
        <w:tabs>
          <w:tab w:val="left" w:pos="720"/>
          <w:tab w:val="left" w:pos="1320"/>
          <w:tab w:val="left" w:pos="1680"/>
        </w:tabs>
        <w:spacing w:after="0" w:line="240" w:lineRule="auto"/>
        <w:ind w:left="1320" w:hanging="1320"/>
        <w:jc w:val="both"/>
        <w:rPr>
          <w:rFonts w:ascii="Times New Roman" w:hAnsi="Times New Roman" w:cs="Times New Roman"/>
          <w:spacing w:val="-3"/>
          <w:sz w:val="24"/>
          <w:szCs w:val="24"/>
        </w:rPr>
      </w:pPr>
      <w:r w:rsidRPr="00F035DE">
        <w:rPr>
          <w:rFonts w:ascii="Times New Roman" w:hAnsi="Times New Roman" w:cs="Times New Roman"/>
          <w:spacing w:val="-3"/>
          <w:sz w:val="24"/>
          <w:szCs w:val="24"/>
        </w:rPr>
        <w:tab/>
        <w:t>3)</w:t>
      </w:r>
      <w:r w:rsidRPr="00F035DE">
        <w:rPr>
          <w:rFonts w:ascii="Times New Roman" w:hAnsi="Times New Roman" w:cs="Times New Roman"/>
          <w:spacing w:val="-3"/>
          <w:sz w:val="24"/>
          <w:szCs w:val="24"/>
        </w:rPr>
        <w:tab/>
        <w:t xml:space="preserve">Add the following language to the institution's required CRA public notice that </w:t>
      </w:r>
      <w:proofErr w:type="gramStart"/>
      <w:r w:rsidRPr="00F035DE">
        <w:rPr>
          <w:rFonts w:ascii="Times New Roman" w:hAnsi="Times New Roman" w:cs="Times New Roman"/>
          <w:spacing w:val="-3"/>
          <w:sz w:val="24"/>
          <w:szCs w:val="24"/>
        </w:rPr>
        <w:t>is posted</w:t>
      </w:r>
      <w:proofErr w:type="gramEnd"/>
      <w:r w:rsidRPr="00F035DE">
        <w:rPr>
          <w:rFonts w:ascii="Times New Roman" w:hAnsi="Times New Roman" w:cs="Times New Roman"/>
          <w:spacing w:val="-3"/>
          <w:sz w:val="24"/>
          <w:szCs w:val="24"/>
        </w:rPr>
        <w:t xml:space="preserve"> in each depository facility:</w:t>
      </w:r>
    </w:p>
    <w:p w:rsidR="00F035DE" w:rsidRPr="00F035DE" w:rsidRDefault="00F035DE" w:rsidP="00F035DE">
      <w:pPr>
        <w:tabs>
          <w:tab w:val="left" w:pos="720"/>
          <w:tab w:val="left" w:pos="1320"/>
          <w:tab w:val="left" w:pos="1680"/>
        </w:tabs>
        <w:spacing w:after="0" w:line="240" w:lineRule="auto"/>
        <w:jc w:val="both"/>
        <w:rPr>
          <w:rFonts w:ascii="Times New Roman" w:hAnsi="Times New Roman" w:cs="Times New Roman"/>
          <w:spacing w:val="-3"/>
          <w:sz w:val="24"/>
          <w:szCs w:val="24"/>
        </w:rPr>
      </w:pPr>
    </w:p>
    <w:p w:rsidR="00F035DE" w:rsidRPr="00F035DE" w:rsidRDefault="00F035DE" w:rsidP="00F035DE">
      <w:pPr>
        <w:tabs>
          <w:tab w:val="left" w:pos="720"/>
          <w:tab w:val="left" w:pos="1320"/>
          <w:tab w:val="left" w:pos="1680"/>
        </w:tabs>
        <w:spacing w:after="0" w:line="240" w:lineRule="auto"/>
        <w:ind w:left="1320" w:hanging="1320"/>
        <w:jc w:val="both"/>
        <w:rPr>
          <w:rFonts w:ascii="Times New Roman" w:hAnsi="Times New Roman" w:cs="Times New Roman"/>
          <w:spacing w:val="-3"/>
          <w:sz w:val="24"/>
          <w:szCs w:val="24"/>
        </w:rPr>
      </w:pPr>
      <w:r w:rsidRPr="00F035DE">
        <w:rPr>
          <w:rFonts w:ascii="Times New Roman" w:hAnsi="Times New Roman" w:cs="Times New Roman"/>
          <w:spacing w:val="-3"/>
          <w:sz w:val="24"/>
          <w:szCs w:val="24"/>
        </w:rPr>
        <w:tab/>
      </w:r>
      <w:r w:rsidRPr="00F035DE">
        <w:rPr>
          <w:rFonts w:ascii="Times New Roman" w:hAnsi="Times New Roman" w:cs="Times New Roman"/>
          <w:spacing w:val="-3"/>
          <w:sz w:val="24"/>
          <w:szCs w:val="24"/>
        </w:rPr>
        <w:tab/>
        <w:t>"You may obtain the public section of our most recent CRA Performance Evaluation, which was prepared by the Massachusetts Division of Banks, at 60 Main Street</w:t>
      </w:r>
    </w:p>
    <w:p w:rsidR="00F035DE" w:rsidRPr="00F035DE" w:rsidRDefault="00F035DE" w:rsidP="00F035DE">
      <w:pPr>
        <w:tabs>
          <w:tab w:val="left" w:pos="720"/>
          <w:tab w:val="left" w:pos="1320"/>
          <w:tab w:val="left" w:pos="1680"/>
        </w:tabs>
        <w:spacing w:after="0" w:line="240" w:lineRule="auto"/>
        <w:ind w:left="1320" w:hanging="1320"/>
        <w:jc w:val="both"/>
        <w:rPr>
          <w:rFonts w:ascii="Times New Roman" w:hAnsi="Times New Roman" w:cs="Times New Roman"/>
          <w:spacing w:val="-3"/>
          <w:sz w:val="24"/>
          <w:szCs w:val="24"/>
        </w:rPr>
      </w:pPr>
      <w:r w:rsidRPr="00F035DE">
        <w:rPr>
          <w:rFonts w:ascii="Times New Roman" w:hAnsi="Times New Roman" w:cs="Times New Roman"/>
          <w:spacing w:val="-3"/>
          <w:sz w:val="24"/>
          <w:szCs w:val="24"/>
        </w:rPr>
        <w:tab/>
      </w:r>
      <w:r w:rsidRPr="00F035DE">
        <w:rPr>
          <w:rFonts w:ascii="Times New Roman" w:hAnsi="Times New Roman" w:cs="Times New Roman"/>
          <w:spacing w:val="-3"/>
          <w:sz w:val="24"/>
          <w:szCs w:val="24"/>
        </w:rPr>
        <w:tab/>
        <w:t xml:space="preserve">Watertown, MA 02472."  </w:t>
      </w:r>
    </w:p>
    <w:p w:rsidR="00F035DE" w:rsidRPr="00F035DE" w:rsidRDefault="00F035DE" w:rsidP="00F035DE">
      <w:pPr>
        <w:tabs>
          <w:tab w:val="left" w:pos="720"/>
          <w:tab w:val="left" w:pos="1320"/>
          <w:tab w:val="left" w:pos="1680"/>
        </w:tabs>
        <w:spacing w:after="0" w:line="240" w:lineRule="auto"/>
        <w:jc w:val="both"/>
        <w:rPr>
          <w:rFonts w:ascii="Times New Roman" w:hAnsi="Times New Roman" w:cs="Times New Roman"/>
          <w:spacing w:val="-3"/>
          <w:sz w:val="24"/>
          <w:szCs w:val="24"/>
        </w:rPr>
      </w:pPr>
    </w:p>
    <w:p w:rsidR="00F035DE" w:rsidRPr="00F035DE" w:rsidRDefault="00F035DE" w:rsidP="00F035DE">
      <w:pPr>
        <w:tabs>
          <w:tab w:val="left" w:pos="720"/>
          <w:tab w:val="left" w:pos="1320"/>
          <w:tab w:val="left" w:pos="1680"/>
        </w:tabs>
        <w:spacing w:after="0" w:line="240" w:lineRule="auto"/>
        <w:ind w:left="1320" w:hanging="1320"/>
        <w:jc w:val="both"/>
        <w:rPr>
          <w:rFonts w:ascii="Times New Roman" w:hAnsi="Times New Roman" w:cs="Times New Roman"/>
          <w:spacing w:val="-3"/>
          <w:sz w:val="24"/>
          <w:szCs w:val="24"/>
        </w:rPr>
      </w:pPr>
      <w:r w:rsidRPr="00F035DE">
        <w:rPr>
          <w:rFonts w:ascii="Times New Roman" w:hAnsi="Times New Roman" w:cs="Times New Roman"/>
          <w:spacing w:val="-3"/>
          <w:sz w:val="24"/>
          <w:szCs w:val="24"/>
        </w:rPr>
        <w:tab/>
        <w:t>4)</w:t>
      </w:r>
      <w:r w:rsidRPr="00F035DE">
        <w:rPr>
          <w:rFonts w:ascii="Times New Roman" w:hAnsi="Times New Roman" w:cs="Times New Roman"/>
          <w:spacing w:val="-3"/>
          <w:sz w:val="24"/>
          <w:szCs w:val="24"/>
        </w:rPr>
        <w:tab/>
        <w:t>Provide a copy of its current evaluation to the public, upon request</w:t>
      </w:r>
      <w:proofErr w:type="gramStart"/>
      <w:r w:rsidRPr="00F035DE">
        <w:rPr>
          <w:rFonts w:ascii="Times New Roman" w:hAnsi="Times New Roman" w:cs="Times New Roman"/>
          <w:spacing w:val="-3"/>
          <w:sz w:val="24"/>
          <w:szCs w:val="24"/>
        </w:rPr>
        <w:t xml:space="preserve">.  </w:t>
      </w:r>
      <w:proofErr w:type="gramEnd"/>
      <w:r w:rsidRPr="00F035DE">
        <w:rPr>
          <w:rFonts w:ascii="Times New Roman" w:hAnsi="Times New Roman" w:cs="Times New Roman"/>
          <w:spacing w:val="-3"/>
          <w:sz w:val="24"/>
          <w:szCs w:val="24"/>
        </w:rPr>
        <w:t xml:space="preserve">In connection with this, the institution is authorized to charge a </w:t>
      </w:r>
      <w:proofErr w:type="gramStart"/>
      <w:r w:rsidRPr="00F035DE">
        <w:rPr>
          <w:rFonts w:ascii="Times New Roman" w:hAnsi="Times New Roman" w:cs="Times New Roman"/>
          <w:spacing w:val="-3"/>
          <w:sz w:val="24"/>
          <w:szCs w:val="24"/>
        </w:rPr>
        <w:t>fee which</w:t>
      </w:r>
      <w:proofErr w:type="gramEnd"/>
      <w:r w:rsidRPr="00F035DE">
        <w:rPr>
          <w:rFonts w:ascii="Times New Roman" w:hAnsi="Times New Roman" w:cs="Times New Roman"/>
          <w:spacing w:val="-3"/>
          <w:sz w:val="24"/>
          <w:szCs w:val="24"/>
        </w:rPr>
        <w:t xml:space="preserve"> does not exceed the cost of reproduction and mailing (if applicable).</w:t>
      </w:r>
    </w:p>
    <w:p w:rsidR="00F035DE" w:rsidRPr="00F035DE" w:rsidRDefault="00F035DE" w:rsidP="00F035DE">
      <w:pPr>
        <w:tabs>
          <w:tab w:val="left" w:pos="720"/>
          <w:tab w:val="left" w:pos="1320"/>
          <w:tab w:val="left" w:pos="1680"/>
        </w:tabs>
        <w:spacing w:after="0" w:line="240" w:lineRule="auto"/>
        <w:jc w:val="both"/>
        <w:rPr>
          <w:rFonts w:ascii="Times New Roman" w:hAnsi="Times New Roman" w:cs="Times New Roman"/>
          <w:spacing w:val="-3"/>
          <w:sz w:val="24"/>
          <w:szCs w:val="24"/>
        </w:rPr>
      </w:pPr>
    </w:p>
    <w:p w:rsidR="00F035DE" w:rsidRPr="00F035DE" w:rsidRDefault="00F035DE" w:rsidP="00F035DE">
      <w:pPr>
        <w:tabs>
          <w:tab w:val="left" w:pos="720"/>
          <w:tab w:val="left" w:pos="1320"/>
          <w:tab w:val="left" w:pos="1680"/>
        </w:tabs>
        <w:spacing w:after="0" w:line="240" w:lineRule="auto"/>
        <w:jc w:val="both"/>
        <w:rPr>
          <w:rFonts w:ascii="Times New Roman" w:hAnsi="Times New Roman" w:cs="Times New Roman"/>
          <w:spacing w:val="-3"/>
          <w:sz w:val="24"/>
          <w:szCs w:val="24"/>
        </w:rPr>
      </w:pPr>
    </w:p>
    <w:p w:rsidR="00B9568A" w:rsidRPr="00F035DE" w:rsidRDefault="00F035DE" w:rsidP="00F035DE">
      <w:pPr>
        <w:tabs>
          <w:tab w:val="left" w:pos="720"/>
          <w:tab w:val="left" w:pos="1320"/>
          <w:tab w:val="left" w:pos="1680"/>
        </w:tabs>
        <w:spacing w:after="0" w:line="240" w:lineRule="auto"/>
        <w:jc w:val="both"/>
        <w:rPr>
          <w:rFonts w:ascii="Times New Roman" w:hAnsi="Times New Roman" w:cs="Times New Roman"/>
          <w:spacing w:val="-3"/>
          <w:sz w:val="24"/>
          <w:szCs w:val="24"/>
        </w:rPr>
      </w:pPr>
      <w:r w:rsidRPr="00F035DE">
        <w:rPr>
          <w:rFonts w:ascii="Times New Roman" w:hAnsi="Times New Roman" w:cs="Times New Roman"/>
          <w:spacing w:val="-3"/>
          <w:sz w:val="24"/>
          <w:szCs w:val="24"/>
        </w:rPr>
        <w:t xml:space="preserve">The format and content of the institution's evaluation, </w:t>
      </w:r>
      <w:proofErr w:type="gramStart"/>
      <w:r w:rsidRPr="00F035DE">
        <w:rPr>
          <w:rFonts w:ascii="Times New Roman" w:hAnsi="Times New Roman" w:cs="Times New Roman"/>
          <w:spacing w:val="-3"/>
          <w:sz w:val="24"/>
          <w:szCs w:val="24"/>
        </w:rPr>
        <w:t>as prepared by its supervisory agencies, may not be altered or abridged in any manner</w:t>
      </w:r>
      <w:proofErr w:type="gramEnd"/>
      <w:r w:rsidRPr="00F035DE">
        <w:rPr>
          <w:rFonts w:ascii="Times New Roman" w:hAnsi="Times New Roman" w:cs="Times New Roman"/>
          <w:spacing w:val="-3"/>
          <w:sz w:val="24"/>
          <w:szCs w:val="24"/>
        </w:rPr>
        <w:t>. The institution is encouraged to include its response to the evaluation in its CRA public file.</w:t>
      </w:r>
    </w:p>
    <w:p w:rsidR="00702538" w:rsidRPr="00F035DE" w:rsidRDefault="00702538" w:rsidP="00F035DE">
      <w:pPr>
        <w:spacing w:after="0" w:line="240" w:lineRule="auto"/>
        <w:jc w:val="both"/>
        <w:rPr>
          <w:rFonts w:ascii="Times New Roman" w:hAnsi="Times New Roman" w:cs="Times New Roman"/>
          <w:sz w:val="24"/>
          <w:szCs w:val="24"/>
        </w:rPr>
      </w:pPr>
    </w:p>
    <w:p w:rsidR="00815A48" w:rsidRPr="00F035DE" w:rsidRDefault="00815A48" w:rsidP="00F035DE">
      <w:pPr>
        <w:spacing w:after="0" w:line="240" w:lineRule="auto"/>
        <w:jc w:val="both"/>
        <w:rPr>
          <w:rFonts w:ascii="Times New Roman" w:hAnsi="Times New Roman" w:cs="Times New Roman"/>
          <w:sz w:val="24"/>
          <w:szCs w:val="24"/>
        </w:rPr>
      </w:pPr>
    </w:p>
    <w:p w:rsidR="00815A48" w:rsidRPr="00F035DE" w:rsidRDefault="00815A48" w:rsidP="00F035DE">
      <w:pPr>
        <w:spacing w:after="0" w:line="240" w:lineRule="auto"/>
        <w:jc w:val="both"/>
        <w:rPr>
          <w:rFonts w:ascii="Times New Roman" w:hAnsi="Times New Roman" w:cs="Times New Roman"/>
          <w:sz w:val="24"/>
          <w:szCs w:val="24"/>
        </w:rPr>
      </w:pPr>
    </w:p>
    <w:p w:rsidR="00815A48" w:rsidRPr="00F035DE" w:rsidRDefault="00815A48" w:rsidP="001B4658">
      <w:pPr>
        <w:jc w:val="both"/>
        <w:rPr>
          <w:rFonts w:ascii="Times New Roman" w:hAnsi="Times New Roman" w:cs="Times New Roman"/>
          <w:sz w:val="24"/>
          <w:szCs w:val="24"/>
        </w:rPr>
      </w:pPr>
    </w:p>
    <w:p w:rsidR="00815A48" w:rsidRPr="00F035DE" w:rsidRDefault="00815A48" w:rsidP="001B4658">
      <w:pPr>
        <w:jc w:val="both"/>
        <w:rPr>
          <w:rFonts w:ascii="Times New Roman" w:hAnsi="Times New Roman" w:cs="Times New Roman"/>
          <w:sz w:val="24"/>
          <w:szCs w:val="24"/>
        </w:rPr>
      </w:pPr>
    </w:p>
    <w:p w:rsidR="00815A48" w:rsidRPr="00F035DE" w:rsidRDefault="00815A48" w:rsidP="001B4658">
      <w:pPr>
        <w:jc w:val="both"/>
        <w:rPr>
          <w:rFonts w:ascii="Times New Roman" w:hAnsi="Times New Roman" w:cs="Times New Roman"/>
          <w:sz w:val="24"/>
          <w:szCs w:val="24"/>
        </w:rPr>
      </w:pPr>
    </w:p>
    <w:p w:rsidR="00815A48" w:rsidRPr="00F035DE" w:rsidRDefault="00815A48" w:rsidP="001B4658">
      <w:pPr>
        <w:jc w:val="both"/>
        <w:rPr>
          <w:rFonts w:ascii="Times New Roman" w:hAnsi="Times New Roman" w:cs="Times New Roman"/>
          <w:sz w:val="24"/>
          <w:szCs w:val="24"/>
        </w:rPr>
      </w:pPr>
    </w:p>
    <w:p w:rsidR="00815A48" w:rsidRPr="00F035DE" w:rsidRDefault="00815A48" w:rsidP="001B4658">
      <w:pPr>
        <w:jc w:val="both"/>
        <w:rPr>
          <w:rFonts w:ascii="Times New Roman" w:hAnsi="Times New Roman" w:cs="Times New Roman"/>
          <w:sz w:val="24"/>
          <w:szCs w:val="24"/>
        </w:rPr>
      </w:pPr>
    </w:p>
    <w:p w:rsidR="00815A48" w:rsidRPr="00F035DE" w:rsidRDefault="00815A48" w:rsidP="001B4658">
      <w:pPr>
        <w:jc w:val="both"/>
        <w:rPr>
          <w:rFonts w:ascii="Times New Roman" w:hAnsi="Times New Roman" w:cs="Times New Roman"/>
          <w:sz w:val="24"/>
          <w:szCs w:val="24"/>
        </w:rPr>
      </w:pPr>
    </w:p>
    <w:p w:rsidR="00815A48" w:rsidRPr="00F035DE" w:rsidRDefault="00815A48" w:rsidP="001B4658">
      <w:pPr>
        <w:jc w:val="both"/>
        <w:rPr>
          <w:rFonts w:ascii="Times New Roman" w:hAnsi="Times New Roman" w:cs="Times New Roman"/>
          <w:sz w:val="24"/>
          <w:szCs w:val="24"/>
        </w:rPr>
      </w:pPr>
    </w:p>
    <w:p w:rsidR="00815A48" w:rsidRPr="00F035DE" w:rsidRDefault="00815A48" w:rsidP="001B4658">
      <w:pPr>
        <w:jc w:val="both"/>
        <w:rPr>
          <w:rFonts w:ascii="Times New Roman" w:hAnsi="Times New Roman" w:cs="Times New Roman"/>
          <w:sz w:val="24"/>
          <w:szCs w:val="24"/>
        </w:rPr>
      </w:pPr>
    </w:p>
    <w:p w:rsidR="006F6042" w:rsidRPr="00F035DE" w:rsidRDefault="006F6042">
      <w:pPr>
        <w:rPr>
          <w:rFonts w:ascii="Times New Roman" w:hAnsi="Times New Roman" w:cs="Times New Roman"/>
          <w:sz w:val="24"/>
          <w:szCs w:val="24"/>
        </w:rPr>
      </w:pPr>
    </w:p>
    <w:sectPr w:rsidR="006F6042" w:rsidRPr="00F035DE" w:rsidSect="0070253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151" w:rsidRDefault="00FA6151" w:rsidP="00702538">
      <w:pPr>
        <w:spacing w:after="0" w:line="240" w:lineRule="auto"/>
      </w:pPr>
      <w:r>
        <w:separator/>
      </w:r>
    </w:p>
  </w:endnote>
  <w:endnote w:type="continuationSeparator" w:id="0">
    <w:p w:rsidR="00FA6151" w:rsidRDefault="00FA6151" w:rsidP="00702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151" w:rsidRDefault="00FA6151">
    <w:pPr>
      <w:pStyle w:val="Footer"/>
      <w:jc w:val="center"/>
    </w:pPr>
  </w:p>
  <w:p w:rsidR="00FA6151" w:rsidRDefault="00FA6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750927"/>
      <w:docPartObj>
        <w:docPartGallery w:val="Page Numbers (Bottom of Page)"/>
        <w:docPartUnique/>
      </w:docPartObj>
    </w:sdtPr>
    <w:sdtEndPr>
      <w:rPr>
        <w:noProof/>
      </w:rPr>
    </w:sdtEndPr>
    <w:sdtContent>
      <w:p w:rsidR="00FA6151" w:rsidRDefault="00FA6151">
        <w:pPr>
          <w:pStyle w:val="Footer"/>
          <w:jc w:val="center"/>
        </w:pPr>
        <w:r>
          <w:fldChar w:fldCharType="begin"/>
        </w:r>
        <w:r>
          <w:instrText xml:space="preserve"> PAGE   \* MERGEFORMAT </w:instrText>
        </w:r>
        <w:r>
          <w:fldChar w:fldCharType="separate"/>
        </w:r>
        <w:r w:rsidR="00D13440">
          <w:rPr>
            <w:noProof/>
          </w:rPr>
          <w:t>2</w:t>
        </w:r>
        <w:r>
          <w:fldChar w:fldCharType="end"/>
        </w:r>
      </w:p>
    </w:sdtContent>
  </w:sdt>
  <w:p w:rsidR="00FA6151" w:rsidRDefault="00FA6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151" w:rsidRDefault="00FA6151" w:rsidP="00702538">
      <w:pPr>
        <w:spacing w:after="0" w:line="240" w:lineRule="auto"/>
      </w:pPr>
      <w:r>
        <w:separator/>
      </w:r>
    </w:p>
  </w:footnote>
  <w:footnote w:type="continuationSeparator" w:id="0">
    <w:p w:rsidR="00FA6151" w:rsidRDefault="00FA6151" w:rsidP="007025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118A6"/>
    <w:multiLevelType w:val="hybridMultilevel"/>
    <w:tmpl w:val="AA96B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44D6B"/>
    <w:multiLevelType w:val="hybridMultilevel"/>
    <w:tmpl w:val="74AEBB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251D76"/>
    <w:multiLevelType w:val="hybridMultilevel"/>
    <w:tmpl w:val="F61C1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CE81C98"/>
    <w:multiLevelType w:val="hybridMultilevel"/>
    <w:tmpl w:val="541C1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9A42E0"/>
    <w:multiLevelType w:val="hybridMultilevel"/>
    <w:tmpl w:val="ADA06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B4D4A"/>
    <w:multiLevelType w:val="hybridMultilevel"/>
    <w:tmpl w:val="910C2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38564C4"/>
    <w:multiLevelType w:val="hybridMultilevel"/>
    <w:tmpl w:val="22684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3A1870"/>
    <w:multiLevelType w:val="hybridMultilevel"/>
    <w:tmpl w:val="69BA9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827912"/>
    <w:multiLevelType w:val="hybridMultilevel"/>
    <w:tmpl w:val="0C267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BB373F"/>
    <w:multiLevelType w:val="hybridMultilevel"/>
    <w:tmpl w:val="A2308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EC201A"/>
    <w:multiLevelType w:val="hybridMultilevel"/>
    <w:tmpl w:val="5B0C6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43B68"/>
    <w:multiLevelType w:val="hybridMultilevel"/>
    <w:tmpl w:val="9C68C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0"/>
  </w:num>
  <w:num w:numId="4">
    <w:abstractNumId w:val="4"/>
  </w:num>
  <w:num w:numId="5">
    <w:abstractNumId w:val="9"/>
  </w:num>
  <w:num w:numId="6">
    <w:abstractNumId w:val="7"/>
  </w:num>
  <w:num w:numId="7">
    <w:abstractNumId w:val="2"/>
  </w:num>
  <w:num w:numId="8">
    <w:abstractNumId w:val="8"/>
  </w:num>
  <w:num w:numId="9">
    <w:abstractNumId w:val="10"/>
  </w:num>
  <w:num w:numId="10">
    <w:abstractNumId w:val="6"/>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667"/>
    <w:rsid w:val="00031669"/>
    <w:rsid w:val="00044E36"/>
    <w:rsid w:val="00095222"/>
    <w:rsid w:val="000A6F72"/>
    <w:rsid w:val="000B110C"/>
    <w:rsid w:val="000E1854"/>
    <w:rsid w:val="000E63FF"/>
    <w:rsid w:val="000F4DAF"/>
    <w:rsid w:val="00115D78"/>
    <w:rsid w:val="0011644A"/>
    <w:rsid w:val="00142F8B"/>
    <w:rsid w:val="001471E3"/>
    <w:rsid w:val="00171A84"/>
    <w:rsid w:val="001A40E3"/>
    <w:rsid w:val="001A5C61"/>
    <w:rsid w:val="001B4658"/>
    <w:rsid w:val="001D27C9"/>
    <w:rsid w:val="001D4199"/>
    <w:rsid w:val="001D5597"/>
    <w:rsid w:val="001D675B"/>
    <w:rsid w:val="00215AAE"/>
    <w:rsid w:val="00223EAE"/>
    <w:rsid w:val="002363E0"/>
    <w:rsid w:val="00275E6E"/>
    <w:rsid w:val="002D3D8E"/>
    <w:rsid w:val="002D729C"/>
    <w:rsid w:val="002D78B7"/>
    <w:rsid w:val="002E6919"/>
    <w:rsid w:val="002F07DC"/>
    <w:rsid w:val="00323993"/>
    <w:rsid w:val="00393D0A"/>
    <w:rsid w:val="003A4989"/>
    <w:rsid w:val="003E4D4D"/>
    <w:rsid w:val="003E624B"/>
    <w:rsid w:val="003E7627"/>
    <w:rsid w:val="00437740"/>
    <w:rsid w:val="00441244"/>
    <w:rsid w:val="00450040"/>
    <w:rsid w:val="0045092D"/>
    <w:rsid w:val="00484F7F"/>
    <w:rsid w:val="00490DA2"/>
    <w:rsid w:val="004C084B"/>
    <w:rsid w:val="004C2FB0"/>
    <w:rsid w:val="004E2163"/>
    <w:rsid w:val="004E3F09"/>
    <w:rsid w:val="00533252"/>
    <w:rsid w:val="005416B4"/>
    <w:rsid w:val="00547DB7"/>
    <w:rsid w:val="00555086"/>
    <w:rsid w:val="00563C2E"/>
    <w:rsid w:val="00583367"/>
    <w:rsid w:val="005843A6"/>
    <w:rsid w:val="005B3AEA"/>
    <w:rsid w:val="005C0100"/>
    <w:rsid w:val="005C15E2"/>
    <w:rsid w:val="00606686"/>
    <w:rsid w:val="00610514"/>
    <w:rsid w:val="00632243"/>
    <w:rsid w:val="0064489E"/>
    <w:rsid w:val="00657604"/>
    <w:rsid w:val="0068733D"/>
    <w:rsid w:val="006F1309"/>
    <w:rsid w:val="006F6042"/>
    <w:rsid w:val="0070073B"/>
    <w:rsid w:val="00702538"/>
    <w:rsid w:val="007130F4"/>
    <w:rsid w:val="007D660A"/>
    <w:rsid w:val="00815A48"/>
    <w:rsid w:val="008414E1"/>
    <w:rsid w:val="00841B95"/>
    <w:rsid w:val="008420F7"/>
    <w:rsid w:val="008846FE"/>
    <w:rsid w:val="008B4667"/>
    <w:rsid w:val="008C5AFF"/>
    <w:rsid w:val="008D599B"/>
    <w:rsid w:val="00911D3D"/>
    <w:rsid w:val="009508F4"/>
    <w:rsid w:val="009520A9"/>
    <w:rsid w:val="00955EE1"/>
    <w:rsid w:val="00970CED"/>
    <w:rsid w:val="009971D5"/>
    <w:rsid w:val="009C1379"/>
    <w:rsid w:val="00A35EE0"/>
    <w:rsid w:val="00A62875"/>
    <w:rsid w:val="00A76118"/>
    <w:rsid w:val="00A9542F"/>
    <w:rsid w:val="00AE3E50"/>
    <w:rsid w:val="00AF2064"/>
    <w:rsid w:val="00B04A09"/>
    <w:rsid w:val="00B377D0"/>
    <w:rsid w:val="00B4295F"/>
    <w:rsid w:val="00B47684"/>
    <w:rsid w:val="00B51B76"/>
    <w:rsid w:val="00B54467"/>
    <w:rsid w:val="00B66E34"/>
    <w:rsid w:val="00B9568A"/>
    <w:rsid w:val="00B957F2"/>
    <w:rsid w:val="00BA010C"/>
    <w:rsid w:val="00BB5782"/>
    <w:rsid w:val="00BD64F9"/>
    <w:rsid w:val="00C15473"/>
    <w:rsid w:val="00C204FD"/>
    <w:rsid w:val="00C530B9"/>
    <w:rsid w:val="00CB73F6"/>
    <w:rsid w:val="00CC3887"/>
    <w:rsid w:val="00D05F38"/>
    <w:rsid w:val="00D13440"/>
    <w:rsid w:val="00D7432E"/>
    <w:rsid w:val="00D830FA"/>
    <w:rsid w:val="00D94B67"/>
    <w:rsid w:val="00DC4CE0"/>
    <w:rsid w:val="00DC6425"/>
    <w:rsid w:val="00E00108"/>
    <w:rsid w:val="00E06473"/>
    <w:rsid w:val="00E2715F"/>
    <w:rsid w:val="00E52302"/>
    <w:rsid w:val="00E62D07"/>
    <w:rsid w:val="00E67737"/>
    <w:rsid w:val="00E7725B"/>
    <w:rsid w:val="00E8311C"/>
    <w:rsid w:val="00E9258E"/>
    <w:rsid w:val="00E95DC5"/>
    <w:rsid w:val="00EB40FB"/>
    <w:rsid w:val="00EC56EB"/>
    <w:rsid w:val="00ED09B1"/>
    <w:rsid w:val="00F035DE"/>
    <w:rsid w:val="00F056C1"/>
    <w:rsid w:val="00F21415"/>
    <w:rsid w:val="00F90438"/>
    <w:rsid w:val="00FA6151"/>
    <w:rsid w:val="00FB350C"/>
    <w:rsid w:val="00FB4789"/>
    <w:rsid w:val="00FC0AA7"/>
    <w:rsid w:val="00FC5426"/>
    <w:rsid w:val="00FC76D6"/>
    <w:rsid w:val="00FE3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A2DA0D75-E837-4952-B876-251E19741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7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0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07DC"/>
    <w:pPr>
      <w:ind w:left="720"/>
      <w:contextualSpacing/>
    </w:pPr>
  </w:style>
  <w:style w:type="paragraph" w:styleId="Header">
    <w:name w:val="header"/>
    <w:basedOn w:val="Normal"/>
    <w:link w:val="HeaderChar"/>
    <w:uiPriority w:val="99"/>
    <w:unhideWhenUsed/>
    <w:rsid w:val="007025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538"/>
  </w:style>
  <w:style w:type="paragraph" w:styleId="Footer">
    <w:name w:val="footer"/>
    <w:basedOn w:val="Normal"/>
    <w:link w:val="FooterChar"/>
    <w:uiPriority w:val="99"/>
    <w:unhideWhenUsed/>
    <w:rsid w:val="00702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538"/>
  </w:style>
  <w:style w:type="paragraph" w:styleId="BalloonText">
    <w:name w:val="Balloon Text"/>
    <w:basedOn w:val="Normal"/>
    <w:link w:val="BalloonTextChar"/>
    <w:uiPriority w:val="99"/>
    <w:semiHidden/>
    <w:unhideWhenUsed/>
    <w:rsid w:val="009C13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379"/>
    <w:rPr>
      <w:rFonts w:ascii="Segoe UI" w:hAnsi="Segoe UI" w:cs="Segoe UI"/>
      <w:sz w:val="18"/>
      <w:szCs w:val="18"/>
    </w:rPr>
  </w:style>
  <w:style w:type="paragraph" w:styleId="HTMLPreformatted">
    <w:name w:val="HTML Preformatted"/>
    <w:basedOn w:val="Normal"/>
    <w:link w:val="HTMLPreformattedChar"/>
    <w:uiPriority w:val="99"/>
    <w:rsid w:val="00F03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F035DE"/>
    <w:rPr>
      <w:rFonts w:ascii="Courier New" w:eastAsia="Times New Roman" w:hAnsi="Courier New" w:cs="Times New Roman"/>
      <w:sz w:val="20"/>
      <w:szCs w:val="20"/>
    </w:rPr>
  </w:style>
  <w:style w:type="paragraph" w:styleId="BodyText">
    <w:name w:val="Body Text"/>
    <w:basedOn w:val="Normal"/>
    <w:link w:val="BodyTextChar"/>
    <w:uiPriority w:val="99"/>
    <w:rsid w:val="00F035DE"/>
    <w:pPr>
      <w:widowControl w:val="0"/>
      <w:spacing w:after="120" w:line="240" w:lineRule="auto"/>
    </w:pPr>
    <w:rPr>
      <w:rFonts w:ascii="Courier" w:eastAsia="Times New Roman" w:hAnsi="Courier" w:cs="Times New Roman"/>
      <w:sz w:val="20"/>
      <w:szCs w:val="20"/>
    </w:rPr>
  </w:style>
  <w:style w:type="character" w:customStyle="1" w:styleId="BodyTextChar">
    <w:name w:val="Body Text Char"/>
    <w:basedOn w:val="DefaultParagraphFont"/>
    <w:link w:val="BodyText"/>
    <w:uiPriority w:val="99"/>
    <w:rsid w:val="00F035DE"/>
    <w:rPr>
      <w:rFonts w:ascii="Courier" w:eastAsia="Times New Roman" w:hAnsi="Courier" w:cs="Times New Roman"/>
      <w:sz w:val="20"/>
      <w:szCs w:val="20"/>
    </w:rPr>
  </w:style>
  <w:style w:type="paragraph" w:styleId="NormalWeb">
    <w:name w:val="Normal (Web)"/>
    <w:basedOn w:val="Normal"/>
    <w:uiPriority w:val="99"/>
    <w:semiHidden/>
    <w:rsid w:val="00F035D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6D5E7546C99914990B9AA62D25140E5" ma:contentTypeVersion="15" ma:contentTypeDescription="Create a new document." ma:contentTypeScope="" ma:versionID="ab8f023eca255ead6b38308778659112">
  <xsd:schema xmlns:xsd="http://www.w3.org/2001/XMLSchema" xmlns:xs="http://www.w3.org/2001/XMLSchema" xmlns:p="http://schemas.microsoft.com/office/2006/metadata/properties" xmlns:ns2="3eb12c5a-787f-4030-9190-896b30715300" xmlns:ns3="fdcd57df-05e8-4749-9cc8-5afe3dcd00a5" targetNamespace="http://schemas.microsoft.com/office/2006/metadata/properties" ma:root="true" ma:fieldsID="a769daa9af1ab9a68ea2afa294cc7fca" ns2:_="" ns3:_="">
    <xsd:import namespace="3eb12c5a-787f-4030-9190-896b30715300"/>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b12c5a-787f-4030-9190-896b307153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e6715dd-3f89-4512-9988-9693caa9bbac}"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eb12c5a-787f-4030-9190-896b30715300">
      <Terms xmlns="http://schemas.microsoft.com/office/infopath/2007/PartnerControls"/>
    </lcf76f155ced4ddcb4097134ff3c332f>
    <TaxCatchAll xmlns="fdcd57df-05e8-4749-9cc8-5afe3dcd00a5" xsi:nil="true"/>
  </documentManagement>
</p:properties>
</file>

<file path=customXml/itemProps1.xml><?xml version="1.0" encoding="utf-8"?>
<ds:datastoreItem xmlns:ds="http://schemas.openxmlformats.org/officeDocument/2006/customXml" ds:itemID="{634F12AD-A48B-46D8-873A-B39E4DDC20AE}">
  <ds:schemaRefs>
    <ds:schemaRef ds:uri="http://schemas.openxmlformats.org/officeDocument/2006/bibliography"/>
  </ds:schemaRefs>
</ds:datastoreItem>
</file>

<file path=customXml/itemProps2.xml><?xml version="1.0" encoding="utf-8"?>
<ds:datastoreItem xmlns:ds="http://schemas.openxmlformats.org/officeDocument/2006/customXml" ds:itemID="{F37C073B-72F0-40A0-93BC-BF533A5C0DED}"/>
</file>

<file path=customXml/itemProps3.xml><?xml version="1.0" encoding="utf-8"?>
<ds:datastoreItem xmlns:ds="http://schemas.openxmlformats.org/officeDocument/2006/customXml" ds:itemID="{FA61A79F-EF65-4CD4-A90A-A7A509A9B24F}"/>
</file>

<file path=customXml/itemProps4.xml><?xml version="1.0" encoding="utf-8"?>
<ds:datastoreItem xmlns:ds="http://schemas.openxmlformats.org/officeDocument/2006/customXml" ds:itemID="{8FC70BA8-E985-41AC-A9C1-E857A315E85B}"/>
</file>

<file path=docProps/app.xml><?xml version="1.0" encoding="utf-8"?>
<Properties xmlns="http://schemas.openxmlformats.org/officeDocument/2006/extended-properties" xmlns:vt="http://schemas.openxmlformats.org/officeDocument/2006/docPropsVTypes">
  <Template>Normal</Template>
  <TotalTime>96</TotalTime>
  <Pages>27</Pages>
  <Words>8543</Words>
  <Characters>48696</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Executive Office of Housing and Economic Development</Company>
  <LinksUpToDate>false</LinksUpToDate>
  <CharactersWithSpaces>57125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Greve, Christian (DOB)</dc:creator>
  <cp:keywords/>
  <dc:description/>
  <cp:lastModifiedBy>Weydt, Irene (DOB)</cp:lastModifiedBy>
  <cp:revision>6</cp:revision>
  <cp:lastPrinted>2019-08-19T19:56:00Z</cp:lastPrinted>
  <dcterms:created xsi:type="dcterms:W3CDTF">2019-07-10T13:36:00Z</dcterms:created>
  <dcterms:modified xsi:type="dcterms:W3CDTF">2019-08-19T19:56:00Z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0x01010046D5E7546C99914990B9AA62D25140E5</vt:lpwstr>
  </property>
  <property fmtid="{D5CDD505-2E9C-101B-9397-08002B2CF9AE}" pid="3" name="Order">
    <vt:r8>1328800</vt:r8>
  </property>
</Properties>
</file>