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04E" w:rsidRDefault="00C0004E" w:rsidP="00C0004E">
      <w:pPr>
        <w:jc w:val="center"/>
        <w:outlineLvl w:val="0"/>
        <w:rPr>
          <w:rFonts w:ascii="Courier New" w:hAnsi="Courier New" w:cs="Courier New"/>
          <w:b/>
        </w:rPr>
      </w:pPr>
      <w:bookmarkStart w:id="0" w:name="_GoBack"/>
      <w:bookmarkEnd w:id="0"/>
      <w:r>
        <w:rPr>
          <w:rFonts w:ascii="Courier New" w:hAnsi="Courier New" w:cs="Courier New"/>
          <w:b/>
        </w:rPr>
        <w:t>COMMONWEALTH OF MASSACHUSETTS</w:t>
      </w:r>
    </w:p>
    <w:p w:rsidR="00C0004E" w:rsidRDefault="00C0004E" w:rsidP="00C0004E">
      <w:pPr>
        <w:jc w:val="center"/>
        <w:rPr>
          <w:rFonts w:ascii="Courier New" w:hAnsi="Courier New" w:cs="Courier New"/>
          <w:b/>
        </w:rPr>
      </w:pPr>
    </w:p>
    <w:p w:rsidR="00C0004E" w:rsidRDefault="00C0004E" w:rsidP="00C0004E">
      <w:pPr>
        <w:jc w:val="center"/>
        <w:outlineLvl w:val="0"/>
        <w:rPr>
          <w:rFonts w:ascii="Courier New" w:hAnsi="Courier New" w:cs="Courier New"/>
          <w:b/>
        </w:rPr>
      </w:pPr>
      <w:r>
        <w:rPr>
          <w:rFonts w:ascii="Courier New" w:hAnsi="Courier New" w:cs="Courier New"/>
          <w:b/>
        </w:rPr>
        <w:t>APPELLATE TAX BOARD</w:t>
      </w:r>
    </w:p>
    <w:p w:rsidR="00C0004E" w:rsidRDefault="00C0004E" w:rsidP="00C0004E">
      <w:pPr>
        <w:rPr>
          <w:rFonts w:ascii="Courier New" w:hAnsi="Courier New" w:cs="Courier New"/>
          <w:b/>
        </w:rPr>
      </w:pPr>
    </w:p>
    <w:p w:rsidR="00C0004E" w:rsidRDefault="00C0004E" w:rsidP="00C0004E">
      <w:pPr>
        <w:rPr>
          <w:rFonts w:ascii="Courier New" w:hAnsi="Courier New" w:cs="Courier New"/>
          <w:b/>
        </w:rPr>
      </w:pPr>
    </w:p>
    <w:p w:rsidR="00DA77B8" w:rsidRDefault="003468E8" w:rsidP="00DA77B8">
      <w:pPr>
        <w:rPr>
          <w:rFonts w:ascii="Courier New" w:hAnsi="Courier New" w:cs="Courier New"/>
          <w:b/>
        </w:rPr>
      </w:pPr>
      <w:r>
        <w:rPr>
          <w:rFonts w:ascii="Courier New" w:hAnsi="Courier New" w:cs="Courier New"/>
          <w:b/>
        </w:rPr>
        <w:t>WAYLAND ROD &amp; GUN CLUB</w:t>
      </w:r>
      <w:r w:rsidR="00383BDE">
        <w:rPr>
          <w:rFonts w:ascii="Courier New" w:hAnsi="Courier New" w:cs="Courier New"/>
          <w:b/>
        </w:rPr>
        <w:t xml:space="preserve">, INC.  </w:t>
      </w:r>
      <w:r w:rsidR="003F1394">
        <w:rPr>
          <w:rFonts w:ascii="Courier New" w:hAnsi="Courier New" w:cs="Courier New"/>
          <w:b/>
        </w:rPr>
        <w:t>  </w:t>
      </w:r>
      <w:r>
        <w:rPr>
          <w:rFonts w:ascii="Courier New" w:hAnsi="Courier New" w:cs="Courier New"/>
          <w:b/>
        </w:rPr>
        <w:t xml:space="preserve">v. </w:t>
      </w:r>
      <w:r w:rsidR="003F1394">
        <w:rPr>
          <w:rFonts w:ascii="Courier New" w:hAnsi="Courier New" w:cs="Courier New"/>
          <w:b/>
        </w:rPr>
        <w:t>    </w:t>
      </w:r>
      <w:r w:rsidR="00DA77B8">
        <w:rPr>
          <w:rFonts w:ascii="Courier New" w:hAnsi="Courier New" w:cs="Courier New"/>
          <w:b/>
        </w:rPr>
        <w:t xml:space="preserve">BOARD OF ASSESSORS OF THE </w:t>
      </w:r>
    </w:p>
    <w:p w:rsidR="00C0004E" w:rsidRDefault="00DA77B8" w:rsidP="00C0004E">
      <w:pPr>
        <w:rPr>
          <w:rFonts w:ascii="Courier New" w:hAnsi="Courier New" w:cs="Courier New"/>
          <w:b/>
        </w:rPr>
      </w:pP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sidR="003F1394">
        <w:rPr>
          <w:rFonts w:ascii="Courier New" w:hAnsi="Courier New" w:cs="Courier New"/>
          <w:b/>
        </w:rPr>
        <w:t>    </w:t>
      </w:r>
      <w:r>
        <w:rPr>
          <w:rFonts w:ascii="Courier New" w:hAnsi="Courier New" w:cs="Courier New"/>
          <w:b/>
        </w:rPr>
        <w:t>TOWN OF WAYLAND</w:t>
      </w:r>
    </w:p>
    <w:p w:rsidR="00C0004E" w:rsidRDefault="00C0004E" w:rsidP="00C0004E">
      <w:pPr>
        <w:rPr>
          <w:rFonts w:ascii="Courier New" w:hAnsi="Courier New" w:cs="Courier New"/>
          <w:b/>
        </w:rPr>
      </w:pPr>
    </w:p>
    <w:p w:rsidR="00C0004E" w:rsidRDefault="002E65A5" w:rsidP="00C0004E">
      <w:pPr>
        <w:rPr>
          <w:rFonts w:ascii="Courier New" w:hAnsi="Courier New" w:cs="Courier New"/>
        </w:rPr>
      </w:pPr>
      <w:r>
        <w:rPr>
          <w:rFonts w:ascii="Courier New" w:hAnsi="Courier New" w:cs="Courier New"/>
        </w:rPr>
        <w:t>Docket No. F</w:t>
      </w:r>
      <w:r w:rsidR="00D4575C">
        <w:rPr>
          <w:rFonts w:ascii="Courier New" w:hAnsi="Courier New" w:cs="Courier New"/>
        </w:rPr>
        <w:t>330237</w:t>
      </w:r>
      <w:r w:rsidR="00D4575C">
        <w:rPr>
          <w:rFonts w:ascii="Courier New" w:hAnsi="Courier New" w:cs="Courier New"/>
        </w:rPr>
        <w:tab/>
      </w:r>
      <w:r w:rsidR="00D4575C">
        <w:rPr>
          <w:rFonts w:ascii="Courier New" w:hAnsi="Courier New" w:cs="Courier New"/>
        </w:rPr>
        <w:tab/>
      </w:r>
      <w:r w:rsidR="00D4575C">
        <w:rPr>
          <w:rFonts w:ascii="Courier New" w:hAnsi="Courier New" w:cs="Courier New"/>
        </w:rPr>
        <w:tab/>
      </w:r>
      <w:r w:rsidR="00D4575C">
        <w:rPr>
          <w:rFonts w:ascii="Courier New" w:hAnsi="Courier New" w:cs="Courier New"/>
        </w:rPr>
        <w:tab/>
      </w:r>
      <w:r w:rsidR="003F1394">
        <w:rPr>
          <w:rFonts w:ascii="Courier New" w:hAnsi="Courier New" w:cs="Courier New"/>
        </w:rPr>
        <w:t>    </w:t>
      </w:r>
      <w:r w:rsidR="00C0004E">
        <w:rPr>
          <w:rFonts w:ascii="Courier New" w:hAnsi="Courier New" w:cs="Courier New"/>
        </w:rPr>
        <w:t>Promulgated:</w:t>
      </w:r>
      <w:r w:rsidR="00C0004E">
        <w:rPr>
          <w:rFonts w:ascii="Courier New" w:hAnsi="Courier New" w:cs="Courier New"/>
          <w:b/>
        </w:rPr>
        <w:t xml:space="preserve">   </w:t>
      </w:r>
    </w:p>
    <w:p w:rsidR="00C0004E" w:rsidRDefault="00C0004E" w:rsidP="00C0004E">
      <w:pPr>
        <w:pStyle w:val="NoSpacing"/>
        <w:tabs>
          <w:tab w:val="left" w:pos="0"/>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sidR="003F1394">
        <w:rPr>
          <w:rFonts w:ascii="Courier New" w:hAnsi="Courier New" w:cs="Courier New"/>
          <w:sz w:val="24"/>
          <w:szCs w:val="24"/>
        </w:rPr>
        <w:t xml:space="preserve">    </w:t>
      </w:r>
      <w:r w:rsidR="00A54C54">
        <w:rPr>
          <w:rFonts w:ascii="Courier New" w:hAnsi="Courier New" w:cs="Courier New"/>
          <w:sz w:val="24"/>
          <w:szCs w:val="24"/>
        </w:rPr>
        <w:t>September 13, 2018</w:t>
      </w:r>
    </w:p>
    <w:p w:rsidR="00C0004E" w:rsidRDefault="00C0004E" w:rsidP="00C0004E">
      <w:pPr>
        <w:pStyle w:val="NoSpacing"/>
        <w:tabs>
          <w:tab w:val="left" w:pos="0"/>
        </w:tabs>
        <w:rPr>
          <w:rFonts w:ascii="Courier New" w:hAnsi="Courier New" w:cs="Courier New"/>
          <w:b/>
        </w:rPr>
      </w:pPr>
      <w:r>
        <w:rPr>
          <w:rFonts w:ascii="Courier New" w:hAnsi="Courier New" w:cs="Courier New"/>
          <w:sz w:val="24"/>
          <w:szCs w:val="24"/>
        </w:rPr>
        <w:tab/>
      </w:r>
      <w:r>
        <w:rPr>
          <w:rFonts w:ascii="Courier New" w:hAnsi="Courier New" w:cs="Courier New"/>
          <w:b/>
        </w:rPr>
        <w:tab/>
      </w:r>
    </w:p>
    <w:p w:rsidR="003F1394" w:rsidRDefault="003F1394" w:rsidP="00C0004E">
      <w:pPr>
        <w:pStyle w:val="NoSpacing"/>
        <w:tabs>
          <w:tab w:val="left" w:pos="0"/>
        </w:tabs>
        <w:rPr>
          <w:rFonts w:ascii="Courier New" w:hAnsi="Courier New" w:cs="Courier New"/>
          <w:sz w:val="24"/>
          <w:szCs w:val="24"/>
        </w:rPr>
      </w:pPr>
    </w:p>
    <w:p w:rsidR="00C0004E" w:rsidRDefault="00A730A1" w:rsidP="00C0004E">
      <w:pPr>
        <w:tabs>
          <w:tab w:val="left" w:pos="6390"/>
        </w:tabs>
        <w:spacing w:line="480" w:lineRule="auto"/>
        <w:ind w:firstLine="720"/>
        <w:jc w:val="both"/>
        <w:rPr>
          <w:rFonts w:ascii="Courier New" w:hAnsi="Courier New" w:cs="Courier New"/>
        </w:rPr>
      </w:pPr>
      <w:r>
        <w:rPr>
          <w:rFonts w:ascii="Courier New" w:hAnsi="Courier New" w:cs="Courier New"/>
        </w:rPr>
        <w:t xml:space="preserve">This is an appeal </w:t>
      </w:r>
      <w:r w:rsidR="00C0004E">
        <w:rPr>
          <w:rFonts w:ascii="Courier New" w:hAnsi="Courier New" w:cs="Courier New"/>
        </w:rPr>
        <w:t>filed under the formal procedure pursuant to G.L. c. 58A, § 7 and G.L. c. 59, §§ 64 and 65 from the refusal of the Board of Assessors of t</w:t>
      </w:r>
      <w:r>
        <w:rPr>
          <w:rFonts w:ascii="Courier New" w:hAnsi="Courier New" w:cs="Courier New"/>
        </w:rPr>
        <w:t>he Town of Wayland</w:t>
      </w:r>
      <w:r w:rsidR="00C0004E">
        <w:rPr>
          <w:rFonts w:ascii="Courier New" w:hAnsi="Courier New" w:cs="Courier New"/>
        </w:rPr>
        <w:t xml:space="preserve"> (</w:t>
      </w:r>
      <w:r w:rsidR="002E65A5">
        <w:rPr>
          <w:rFonts w:ascii="Courier New" w:hAnsi="Courier New" w:cs="Courier New"/>
        </w:rPr>
        <w:t xml:space="preserve">“assessors” or </w:t>
      </w:r>
      <w:r w:rsidR="00C0004E">
        <w:rPr>
          <w:rFonts w:ascii="Courier New" w:hAnsi="Courier New" w:cs="Courier New"/>
        </w:rPr>
        <w:t xml:space="preserve">“appellee”) to abate a tax on certain real estate, located in the </w:t>
      </w:r>
      <w:r w:rsidR="0091286E">
        <w:rPr>
          <w:rFonts w:ascii="Courier New" w:hAnsi="Courier New" w:cs="Courier New"/>
        </w:rPr>
        <w:t>Town of Wayland</w:t>
      </w:r>
      <w:r w:rsidR="00C0004E">
        <w:rPr>
          <w:rFonts w:ascii="Courier New" w:hAnsi="Courier New" w:cs="Courier New"/>
        </w:rPr>
        <w:t>, owned by and assessed to</w:t>
      </w:r>
      <w:r w:rsidR="00F97BE1">
        <w:rPr>
          <w:rFonts w:ascii="Courier New" w:hAnsi="Courier New" w:cs="Courier New"/>
        </w:rPr>
        <w:t xml:space="preserve"> Wayland Rod &amp; Gun Club</w:t>
      </w:r>
      <w:r w:rsidR="00383BDE">
        <w:rPr>
          <w:rFonts w:ascii="Courier New" w:hAnsi="Courier New" w:cs="Courier New"/>
        </w:rPr>
        <w:t>, Inc.</w:t>
      </w:r>
      <w:r w:rsidR="0091286E">
        <w:rPr>
          <w:rFonts w:ascii="Courier New" w:hAnsi="Courier New" w:cs="Courier New"/>
        </w:rPr>
        <w:t xml:space="preserve"> (“</w:t>
      </w:r>
      <w:r w:rsidR="00F97BE1">
        <w:rPr>
          <w:rFonts w:ascii="Courier New" w:hAnsi="Courier New" w:cs="Courier New"/>
        </w:rPr>
        <w:t>WRGC</w:t>
      </w:r>
      <w:r w:rsidR="00C0004E">
        <w:rPr>
          <w:rFonts w:ascii="Courier New" w:hAnsi="Courier New" w:cs="Courier New"/>
        </w:rPr>
        <w:t>” or “appellant”) under G.L.</w:t>
      </w:r>
      <w:r w:rsidR="003F1394">
        <w:rPr>
          <w:rFonts w:ascii="Courier New" w:hAnsi="Courier New" w:cs="Courier New"/>
        </w:rPr>
        <w:t> </w:t>
      </w:r>
      <w:r w:rsidR="00C0004E">
        <w:rPr>
          <w:rFonts w:ascii="Courier New" w:hAnsi="Courier New" w:cs="Courier New"/>
        </w:rPr>
        <w:t>c. 59,</w:t>
      </w:r>
      <w:r w:rsidR="0091286E">
        <w:rPr>
          <w:rFonts w:ascii="Courier New" w:hAnsi="Courier New" w:cs="Courier New"/>
        </w:rPr>
        <w:t xml:space="preserve"> §§ 11 and 38, for fiscal year 2016 </w:t>
      </w:r>
      <w:r w:rsidR="003A475C">
        <w:rPr>
          <w:rFonts w:ascii="Courier New" w:hAnsi="Courier New" w:cs="Courier New"/>
        </w:rPr>
        <w:t xml:space="preserve">(“fiscal year </w:t>
      </w:r>
      <w:r w:rsidR="00C0004E">
        <w:rPr>
          <w:rFonts w:ascii="Courier New" w:hAnsi="Courier New" w:cs="Courier New"/>
        </w:rPr>
        <w:t>at issue”).</w:t>
      </w:r>
    </w:p>
    <w:p w:rsidR="00C0004E" w:rsidRDefault="00BD094C" w:rsidP="00C0004E">
      <w:pPr>
        <w:spacing w:line="480" w:lineRule="auto"/>
        <w:ind w:firstLine="720"/>
        <w:jc w:val="both"/>
        <w:rPr>
          <w:rFonts w:ascii="Courier New" w:hAnsi="Courier New" w:cs="Courier New"/>
        </w:rPr>
      </w:pPr>
      <w:r>
        <w:rPr>
          <w:rFonts w:ascii="Courier New" w:hAnsi="Courier New" w:cs="Courier New"/>
        </w:rPr>
        <w:t>Chairman Hammond</w:t>
      </w:r>
      <w:r w:rsidR="00C0004E">
        <w:rPr>
          <w:rFonts w:ascii="Courier New" w:hAnsi="Courier New" w:cs="Courier New"/>
        </w:rPr>
        <w:t xml:space="preserve"> hear</w:t>
      </w:r>
      <w:r>
        <w:rPr>
          <w:rFonts w:ascii="Courier New" w:hAnsi="Courier New" w:cs="Courier New"/>
        </w:rPr>
        <w:t>d this appeal</w:t>
      </w:r>
      <w:r w:rsidR="00C0004E">
        <w:rPr>
          <w:rFonts w:ascii="Courier New" w:hAnsi="Courier New" w:cs="Courier New"/>
        </w:rPr>
        <w:t>.  He was</w:t>
      </w:r>
      <w:r w:rsidR="00066168">
        <w:rPr>
          <w:rFonts w:ascii="Courier New" w:hAnsi="Courier New" w:cs="Courier New"/>
        </w:rPr>
        <w:t xml:space="preserve"> joined in the </w:t>
      </w:r>
      <w:r w:rsidR="00F97BE1">
        <w:rPr>
          <w:rFonts w:ascii="Courier New" w:hAnsi="Courier New" w:cs="Courier New"/>
        </w:rPr>
        <w:t xml:space="preserve">decision for the appellee by </w:t>
      </w:r>
      <w:r w:rsidR="00C0004E">
        <w:rPr>
          <w:rFonts w:ascii="Courier New" w:hAnsi="Courier New" w:cs="Courier New"/>
        </w:rPr>
        <w:t>Commission</w:t>
      </w:r>
      <w:r>
        <w:rPr>
          <w:rFonts w:ascii="Courier New" w:hAnsi="Courier New" w:cs="Courier New"/>
        </w:rPr>
        <w:t xml:space="preserve">ers Scharaffa, </w:t>
      </w:r>
      <w:r w:rsidR="00F97BE1">
        <w:rPr>
          <w:rFonts w:ascii="Courier New" w:hAnsi="Courier New" w:cs="Courier New"/>
        </w:rPr>
        <w:t>Rose, Chmielinski</w:t>
      </w:r>
      <w:r w:rsidR="002E65A5">
        <w:rPr>
          <w:rFonts w:ascii="Courier New" w:hAnsi="Courier New" w:cs="Courier New"/>
        </w:rPr>
        <w:t>,</w:t>
      </w:r>
      <w:r w:rsidR="00F97BE1">
        <w:rPr>
          <w:rFonts w:ascii="Courier New" w:hAnsi="Courier New" w:cs="Courier New"/>
        </w:rPr>
        <w:t xml:space="preserve"> and Good. </w:t>
      </w:r>
    </w:p>
    <w:p w:rsidR="00C0004E" w:rsidRDefault="00C0004E" w:rsidP="00C0004E">
      <w:pPr>
        <w:spacing w:line="480" w:lineRule="auto"/>
        <w:jc w:val="both"/>
        <w:rPr>
          <w:rFonts w:ascii="Courier New" w:hAnsi="Courier New" w:cs="Courier New"/>
        </w:rPr>
      </w:pPr>
      <w:r>
        <w:rPr>
          <w:rFonts w:ascii="Courier New" w:hAnsi="Courier New" w:cs="Courier New"/>
        </w:rPr>
        <w:tab/>
        <w:t>These findings of fact and report are made pursuant to a request by the appellant under G.L. c. 58A, § 13 and 831 CMR 1.32.</w:t>
      </w:r>
    </w:p>
    <w:p w:rsidR="003F1394" w:rsidRDefault="003F1394" w:rsidP="00C0004E">
      <w:pPr>
        <w:spacing w:line="480" w:lineRule="auto"/>
        <w:jc w:val="both"/>
        <w:rPr>
          <w:rFonts w:ascii="Courier New" w:hAnsi="Courier New" w:cs="Courier New"/>
        </w:rPr>
      </w:pPr>
    </w:p>
    <w:p w:rsidR="00C0004E" w:rsidRDefault="00DA0D33" w:rsidP="00C0004E">
      <w:pPr>
        <w:ind w:firstLine="720"/>
        <w:rPr>
          <w:rFonts w:ascii="Courier New" w:hAnsi="Courier New" w:cs="Courier New"/>
        </w:rPr>
      </w:pPr>
      <w:r>
        <w:rPr>
          <w:rFonts w:ascii="Courier New" w:hAnsi="Courier New" w:cs="Courier New"/>
          <w:i/>
        </w:rPr>
        <w:t xml:space="preserve">Stephen A. Garanin, </w:t>
      </w:r>
      <w:r>
        <w:rPr>
          <w:rFonts w:ascii="Courier New" w:hAnsi="Courier New" w:cs="Courier New"/>
        </w:rPr>
        <w:t>Club President,</w:t>
      </w:r>
      <w:r w:rsidR="00C0004E">
        <w:rPr>
          <w:rFonts w:ascii="Courier New" w:hAnsi="Courier New" w:cs="Courier New"/>
          <w:i/>
        </w:rPr>
        <w:t xml:space="preserve"> </w:t>
      </w:r>
      <w:r w:rsidR="00C0004E">
        <w:rPr>
          <w:rFonts w:ascii="Courier New" w:hAnsi="Courier New" w:cs="Courier New"/>
        </w:rPr>
        <w:t>for the appellant.</w:t>
      </w:r>
    </w:p>
    <w:p w:rsidR="00C0004E" w:rsidRDefault="00C0004E" w:rsidP="00C0004E">
      <w:pPr>
        <w:rPr>
          <w:rFonts w:ascii="Courier New" w:hAnsi="Courier New" w:cs="Courier New"/>
          <w:i/>
        </w:rPr>
      </w:pPr>
    </w:p>
    <w:p w:rsidR="00C0004E" w:rsidRDefault="00DA0D33" w:rsidP="00DA0D33">
      <w:pPr>
        <w:ind w:firstLine="720"/>
        <w:jc w:val="both"/>
        <w:rPr>
          <w:rFonts w:ascii="Courier New" w:hAnsi="Courier New" w:cs="Courier New"/>
          <w:i/>
        </w:rPr>
      </w:pPr>
      <w:r>
        <w:rPr>
          <w:rFonts w:ascii="Courier New" w:hAnsi="Courier New" w:cs="Courier New"/>
          <w:i/>
        </w:rPr>
        <w:t>Mark J. Lanza</w:t>
      </w:r>
      <w:r w:rsidR="00C0004E">
        <w:rPr>
          <w:rFonts w:ascii="Courier New" w:hAnsi="Courier New" w:cs="Courier New"/>
          <w:i/>
        </w:rPr>
        <w:t xml:space="preserve">, </w:t>
      </w:r>
      <w:r w:rsidR="00C0004E">
        <w:rPr>
          <w:rFonts w:ascii="Courier New" w:hAnsi="Courier New" w:cs="Courier New"/>
        </w:rPr>
        <w:t>Esq.,</w:t>
      </w:r>
      <w:r w:rsidR="00C0004E">
        <w:rPr>
          <w:rFonts w:ascii="Courier New" w:hAnsi="Courier New" w:cs="Courier New"/>
          <w:i/>
        </w:rPr>
        <w:t xml:space="preserve"> </w:t>
      </w:r>
      <w:r w:rsidR="00C0004E">
        <w:rPr>
          <w:rFonts w:ascii="Courier New" w:hAnsi="Courier New" w:cs="Courier New"/>
        </w:rPr>
        <w:t>for the appellee.</w:t>
      </w:r>
    </w:p>
    <w:p w:rsidR="00C0004E" w:rsidRDefault="00C0004E" w:rsidP="00C0004E">
      <w:pPr>
        <w:jc w:val="both"/>
        <w:rPr>
          <w:rFonts w:ascii="Courier New" w:hAnsi="Courier New" w:cs="Courier New"/>
          <w:i/>
        </w:rPr>
      </w:pPr>
    </w:p>
    <w:p w:rsidR="00C0004E" w:rsidRDefault="00C0004E" w:rsidP="00C0004E">
      <w:pPr>
        <w:jc w:val="both"/>
        <w:rPr>
          <w:rFonts w:ascii="Courier New" w:hAnsi="Courier New" w:cs="Courier New"/>
          <w:i/>
        </w:rPr>
      </w:pPr>
    </w:p>
    <w:p w:rsidR="00C0004E" w:rsidRDefault="00C0004E" w:rsidP="00C0004E">
      <w:pPr>
        <w:pStyle w:val="NoSpacing"/>
        <w:tabs>
          <w:tab w:val="left" w:pos="0"/>
        </w:tabs>
        <w:spacing w:line="480" w:lineRule="auto"/>
        <w:jc w:val="center"/>
        <w:rPr>
          <w:rFonts w:ascii="Courier New" w:hAnsi="Courier New" w:cs="Courier New"/>
          <w:b/>
          <w:sz w:val="24"/>
          <w:szCs w:val="24"/>
        </w:rPr>
      </w:pPr>
      <w:r>
        <w:rPr>
          <w:rFonts w:ascii="Courier New" w:hAnsi="Courier New" w:cs="Courier New"/>
          <w:b/>
          <w:sz w:val="24"/>
          <w:szCs w:val="24"/>
        </w:rPr>
        <w:lastRenderedPageBreak/>
        <w:t>FINDINGS OF FACT AND REPORT</w:t>
      </w:r>
    </w:p>
    <w:p w:rsidR="00C0004E" w:rsidRDefault="003A475C" w:rsidP="00C0004E">
      <w:pPr>
        <w:spacing w:line="480" w:lineRule="auto"/>
        <w:ind w:firstLine="720"/>
        <w:jc w:val="both"/>
        <w:rPr>
          <w:rFonts w:ascii="Courier New" w:hAnsi="Courier New" w:cs="Courier New"/>
        </w:rPr>
      </w:pPr>
      <w:r>
        <w:rPr>
          <w:rFonts w:ascii="Courier New" w:hAnsi="Courier New" w:cs="Courier New"/>
        </w:rPr>
        <w:t xml:space="preserve">On the basis of the </w:t>
      </w:r>
      <w:r w:rsidR="00C0004E">
        <w:rPr>
          <w:rFonts w:ascii="Courier New" w:hAnsi="Courier New" w:cs="Courier New"/>
        </w:rPr>
        <w:t>testimony and exhibits entered into e</w:t>
      </w:r>
      <w:r w:rsidR="002636D0">
        <w:rPr>
          <w:rFonts w:ascii="Courier New" w:hAnsi="Courier New" w:cs="Courier New"/>
        </w:rPr>
        <w:t>vidence at the hearing of this appeal</w:t>
      </w:r>
      <w:r w:rsidR="00C0004E">
        <w:rPr>
          <w:rFonts w:ascii="Courier New" w:hAnsi="Courier New" w:cs="Courier New"/>
        </w:rPr>
        <w:t xml:space="preserve">, the Appellate Tax Board (“Board”) made the following findings of fact.  </w:t>
      </w:r>
    </w:p>
    <w:p w:rsidR="00C0004E" w:rsidRDefault="00C0004E" w:rsidP="00C0004E">
      <w:pPr>
        <w:spacing w:line="480" w:lineRule="auto"/>
        <w:ind w:firstLine="720"/>
        <w:jc w:val="both"/>
        <w:rPr>
          <w:rFonts w:ascii="Courier New" w:hAnsi="Courier New" w:cs="Courier New"/>
        </w:rPr>
      </w:pPr>
      <w:r>
        <w:rPr>
          <w:rFonts w:ascii="Courier New" w:hAnsi="Courier New" w:cs="Courier New"/>
        </w:rPr>
        <w:t>On Janua</w:t>
      </w:r>
      <w:r w:rsidR="002636D0">
        <w:rPr>
          <w:rFonts w:ascii="Courier New" w:hAnsi="Courier New" w:cs="Courier New"/>
        </w:rPr>
        <w:t>ry 1, 2015, the relevant assessment date for the fiscal year</w:t>
      </w:r>
      <w:r>
        <w:rPr>
          <w:rFonts w:ascii="Courier New" w:hAnsi="Courier New" w:cs="Courier New"/>
        </w:rPr>
        <w:t xml:space="preserve"> at issue, the</w:t>
      </w:r>
      <w:r w:rsidR="003A475C">
        <w:rPr>
          <w:rFonts w:ascii="Courier New" w:hAnsi="Courier New" w:cs="Courier New"/>
        </w:rPr>
        <w:t xml:space="preserve"> appellant was the </w:t>
      </w:r>
      <w:r w:rsidR="003B16EA">
        <w:rPr>
          <w:rFonts w:ascii="Courier New" w:hAnsi="Courier New" w:cs="Courier New"/>
        </w:rPr>
        <w:t xml:space="preserve">assessed </w:t>
      </w:r>
      <w:r w:rsidR="003A475C">
        <w:rPr>
          <w:rFonts w:ascii="Courier New" w:hAnsi="Courier New" w:cs="Courier New"/>
        </w:rPr>
        <w:t>owner of a 15.34-acre p</w:t>
      </w:r>
      <w:r w:rsidR="00DA5D09">
        <w:rPr>
          <w:rFonts w:ascii="Courier New" w:hAnsi="Courier New" w:cs="Courier New"/>
        </w:rPr>
        <w:t>arcel of land improved with a 1,530-</w:t>
      </w:r>
      <w:r w:rsidR="003A475C">
        <w:rPr>
          <w:rFonts w:ascii="Courier New" w:hAnsi="Courier New" w:cs="Courier New"/>
        </w:rPr>
        <w:t xml:space="preserve">square-foot building located at 4 Meadow View Road in Wayland (“subject property”).  </w:t>
      </w:r>
      <w:r w:rsidR="00837F6E">
        <w:rPr>
          <w:rFonts w:ascii="Courier New" w:hAnsi="Courier New" w:cs="Courier New"/>
        </w:rPr>
        <w:t xml:space="preserve">For the fiscal year at </w:t>
      </w:r>
      <w:r w:rsidR="003B16EA">
        <w:rPr>
          <w:rFonts w:ascii="Courier New" w:hAnsi="Courier New" w:cs="Courier New"/>
        </w:rPr>
        <w:t xml:space="preserve">issue, the assessors </w:t>
      </w:r>
      <w:r w:rsidR="00837F6E">
        <w:rPr>
          <w:rFonts w:ascii="Courier New" w:hAnsi="Courier New" w:cs="Courier New"/>
        </w:rPr>
        <w:t xml:space="preserve">valued the subject property at $1,050,000, and assessed a tax thereon, at the </w:t>
      </w:r>
      <w:r w:rsidR="00CB7749">
        <w:rPr>
          <w:rFonts w:ascii="Courier New" w:hAnsi="Courier New" w:cs="Courier New"/>
        </w:rPr>
        <w:t>rate of $17.34</w:t>
      </w:r>
      <w:r w:rsidR="00E53222">
        <w:rPr>
          <w:rFonts w:ascii="Courier New" w:hAnsi="Courier New" w:cs="Courier New"/>
        </w:rPr>
        <w:t xml:space="preserve"> per thousand, in the total amount of $18,462.90</w:t>
      </w:r>
      <w:r w:rsidR="00837F6E">
        <w:rPr>
          <w:rFonts w:ascii="Courier New" w:hAnsi="Courier New" w:cs="Courier New"/>
        </w:rPr>
        <w:t xml:space="preserve">, inclusive of a Community Preservation Act surcharge.  </w:t>
      </w:r>
    </w:p>
    <w:p w:rsidR="002D736F" w:rsidRDefault="001F4564" w:rsidP="001F4564">
      <w:pPr>
        <w:spacing w:line="480" w:lineRule="auto"/>
        <w:ind w:firstLine="720"/>
        <w:jc w:val="both"/>
        <w:rPr>
          <w:rFonts w:ascii="Courier New" w:hAnsi="Courier New" w:cs="Courier New"/>
        </w:rPr>
      </w:pPr>
      <w:r>
        <w:rPr>
          <w:rFonts w:ascii="Courier New" w:hAnsi="Courier New" w:cs="Courier New"/>
        </w:rPr>
        <w:t xml:space="preserve">The </w:t>
      </w:r>
      <w:r w:rsidR="002D736F">
        <w:rPr>
          <w:rFonts w:ascii="Courier New" w:hAnsi="Courier New" w:cs="Courier New"/>
        </w:rPr>
        <w:t>issue in this appeal was whether the subject property was exempt from tax under G.L. c. 59, § 5, Cl. Third (“Clause Third”) as property owned and occupied by a charitable organization.  The record showed that the ap</w:t>
      </w:r>
      <w:r w:rsidR="004F2C7D">
        <w:rPr>
          <w:rFonts w:ascii="Courier New" w:hAnsi="Courier New" w:cs="Courier New"/>
        </w:rPr>
        <w:t>pellant timely filed its Form 3</w:t>
      </w:r>
      <w:r w:rsidR="002D736F">
        <w:rPr>
          <w:rFonts w:ascii="Courier New" w:hAnsi="Courier New" w:cs="Courier New"/>
        </w:rPr>
        <w:t xml:space="preserve">ABC and </w:t>
      </w:r>
      <w:r w:rsidR="002236A3">
        <w:rPr>
          <w:rFonts w:ascii="Courier New" w:hAnsi="Courier New" w:cs="Courier New"/>
        </w:rPr>
        <w:t xml:space="preserve">a copy of its </w:t>
      </w:r>
      <w:r w:rsidR="002D736F">
        <w:rPr>
          <w:rFonts w:ascii="Courier New" w:hAnsi="Courier New" w:cs="Courier New"/>
        </w:rPr>
        <w:t>Form PC with the assesso</w:t>
      </w:r>
      <w:r w:rsidR="002236A3">
        <w:rPr>
          <w:rFonts w:ascii="Courier New" w:hAnsi="Courier New" w:cs="Courier New"/>
        </w:rPr>
        <w:t>rs</w:t>
      </w:r>
      <w:r w:rsidR="002D736F">
        <w:rPr>
          <w:rFonts w:ascii="Courier New" w:hAnsi="Courier New" w:cs="Courier New"/>
        </w:rPr>
        <w:t xml:space="preserve">.  </w:t>
      </w:r>
      <w:r w:rsidR="003B16EA">
        <w:rPr>
          <w:rFonts w:ascii="Courier New" w:hAnsi="Courier New" w:cs="Courier New"/>
        </w:rPr>
        <w:t xml:space="preserve">On January 28, 2016, the appellant timely filed an Application for Abatement with the assessors.  By vote of the assessors on March 14, 2016, the assessed value was reduced to $381,000, and notice of the decision was sent to the appellant on March 16, 2016.  </w:t>
      </w:r>
      <w:r w:rsidR="00486E14">
        <w:rPr>
          <w:rFonts w:ascii="Courier New" w:hAnsi="Courier New" w:cs="Courier New"/>
        </w:rPr>
        <w:t>Not satisfied with this abatement</w:t>
      </w:r>
      <w:r w:rsidR="003B16EA">
        <w:rPr>
          <w:rFonts w:ascii="Courier New" w:hAnsi="Courier New" w:cs="Courier New"/>
        </w:rPr>
        <w:t xml:space="preserve">, the appellant filed its appeal with the Board on </w:t>
      </w:r>
      <w:r w:rsidR="00E53222">
        <w:rPr>
          <w:rFonts w:ascii="Courier New" w:hAnsi="Courier New" w:cs="Courier New"/>
        </w:rPr>
        <w:t xml:space="preserve">June 10, 2016.  </w:t>
      </w:r>
      <w:r w:rsidR="009F7FCE">
        <w:rPr>
          <w:rFonts w:ascii="Courier New" w:hAnsi="Courier New" w:cs="Courier New"/>
        </w:rPr>
        <w:t xml:space="preserve">Based on the foregoing, </w:t>
      </w:r>
      <w:r w:rsidR="009F7FCE">
        <w:rPr>
          <w:rFonts w:ascii="Courier New" w:hAnsi="Courier New" w:cs="Courier New"/>
        </w:rPr>
        <w:lastRenderedPageBreak/>
        <w:t xml:space="preserve">the Board found and ruled that it had jurisdiction to hear and decide this appeal.  </w:t>
      </w:r>
      <w:r w:rsidR="000D7635">
        <w:rPr>
          <w:rFonts w:ascii="Courier New" w:hAnsi="Courier New" w:cs="Courier New"/>
        </w:rPr>
        <w:t xml:space="preserve">  </w:t>
      </w:r>
    </w:p>
    <w:p w:rsidR="00306943" w:rsidRDefault="00135BBF" w:rsidP="009F7FCE">
      <w:pPr>
        <w:spacing w:line="480" w:lineRule="auto"/>
        <w:ind w:firstLine="720"/>
        <w:jc w:val="both"/>
        <w:rPr>
          <w:rFonts w:ascii="Courier New" w:hAnsi="Courier New" w:cs="Courier New"/>
        </w:rPr>
      </w:pPr>
      <w:r>
        <w:rPr>
          <w:rFonts w:ascii="Courier New" w:hAnsi="Courier New" w:cs="Courier New"/>
        </w:rPr>
        <w:t xml:space="preserve">The subject property spans </w:t>
      </w:r>
      <w:r w:rsidR="00A31DA2">
        <w:rPr>
          <w:rFonts w:ascii="Courier New" w:hAnsi="Courier New" w:cs="Courier New"/>
        </w:rPr>
        <w:t>more than 15 a</w:t>
      </w:r>
      <w:r w:rsidR="00066C73">
        <w:rPr>
          <w:rFonts w:ascii="Courier New" w:hAnsi="Courier New" w:cs="Courier New"/>
        </w:rPr>
        <w:t>cres, most of which are</w:t>
      </w:r>
      <w:r w:rsidR="003D6331">
        <w:rPr>
          <w:rFonts w:ascii="Courier New" w:hAnsi="Courier New" w:cs="Courier New"/>
        </w:rPr>
        <w:t xml:space="preserve"> wooded, with grassy areas surrounding the improvements.  The improvements on the subject property consist of a two-story brick building (“subject building”).  The first floor of the subject building contains a large meeting room, and is used as the WRGC’s lodge.  The second floor contains a six-room apartment, which is used as the caretaker’</w:t>
      </w:r>
      <w:r w:rsidR="00244374">
        <w:rPr>
          <w:rFonts w:ascii="Courier New" w:hAnsi="Courier New" w:cs="Courier New"/>
        </w:rPr>
        <w:t>s residence.  WRGC has always had a resident caretaker on the premises, in order to provide maintenance for the subject property a</w:t>
      </w:r>
      <w:r w:rsidR="00B5729C">
        <w:rPr>
          <w:rFonts w:ascii="Courier New" w:hAnsi="Courier New" w:cs="Courier New"/>
        </w:rPr>
        <w:t>s well as for security purposes</w:t>
      </w:r>
      <w:r w:rsidR="00244374">
        <w:rPr>
          <w:rFonts w:ascii="Courier New" w:hAnsi="Courier New" w:cs="Courier New"/>
        </w:rPr>
        <w:t xml:space="preserve">, particularly during hours of darkness. </w:t>
      </w:r>
      <w:r w:rsidR="00C75FED">
        <w:rPr>
          <w:rFonts w:ascii="Courier New" w:hAnsi="Courier New" w:cs="Courier New"/>
        </w:rPr>
        <w:t xml:space="preserve"> The record indicated that the current caretaker, Paul Ramsey, receives free lodging at the subject property in exchange for his work but he is not otherwise compensated.  </w:t>
      </w:r>
    </w:p>
    <w:p w:rsidR="00306943" w:rsidRDefault="00306943" w:rsidP="00306943">
      <w:pPr>
        <w:spacing w:line="480" w:lineRule="auto"/>
        <w:ind w:firstLine="720"/>
        <w:jc w:val="both"/>
        <w:rPr>
          <w:rFonts w:ascii="Courier New" w:hAnsi="Courier New" w:cs="Courier New"/>
        </w:rPr>
      </w:pPr>
      <w:r>
        <w:rPr>
          <w:rFonts w:ascii="Courier New" w:hAnsi="Courier New" w:cs="Courier New"/>
        </w:rPr>
        <w:t xml:space="preserve">The basement level of the subject building, though unfinished, has an indoor firing range, with two shooting positions.  In addition, there is an outdoor firing range at the subject property, with five shooting positions.  </w:t>
      </w:r>
    </w:p>
    <w:p w:rsidR="009F7FCE" w:rsidRDefault="000560B4" w:rsidP="00DD4537">
      <w:pPr>
        <w:spacing w:line="480" w:lineRule="auto"/>
        <w:ind w:firstLine="720"/>
        <w:jc w:val="both"/>
        <w:rPr>
          <w:rFonts w:ascii="Courier New" w:hAnsi="Courier New" w:cs="Courier New"/>
        </w:rPr>
      </w:pPr>
      <w:r>
        <w:rPr>
          <w:rFonts w:ascii="Courier New" w:hAnsi="Courier New" w:cs="Courier New"/>
        </w:rPr>
        <w:t xml:space="preserve">The appellant </w:t>
      </w:r>
      <w:r w:rsidR="009F7FCE">
        <w:rPr>
          <w:rFonts w:ascii="Courier New" w:hAnsi="Courier New" w:cs="Courier New"/>
        </w:rPr>
        <w:t>was founded as the Waltham Rod and Gun Club in 1928.  It was renamed to its current name in 1960.   WRGC is a Massachusetts non-profit organization.  According to its Restated Articles of Organization, filed with the Massachus</w:t>
      </w:r>
      <w:r w:rsidR="00620DD9">
        <w:rPr>
          <w:rFonts w:ascii="Courier New" w:hAnsi="Courier New" w:cs="Courier New"/>
        </w:rPr>
        <w:t xml:space="preserve">etts Secretary of State, </w:t>
      </w:r>
      <w:r w:rsidR="009F7FCE">
        <w:rPr>
          <w:rFonts w:ascii="Courier New" w:hAnsi="Courier New" w:cs="Courier New"/>
        </w:rPr>
        <w:t>its purposes are:</w:t>
      </w:r>
    </w:p>
    <w:p w:rsidR="009F7FCE" w:rsidRDefault="009F7FCE" w:rsidP="009F7FCE">
      <w:pPr>
        <w:ind w:left="720" w:right="720"/>
        <w:jc w:val="both"/>
        <w:rPr>
          <w:rFonts w:ascii="Courier New" w:hAnsi="Courier New" w:cs="Courier New"/>
        </w:rPr>
      </w:pPr>
      <w:r>
        <w:rPr>
          <w:rFonts w:ascii="Courier New" w:hAnsi="Courier New" w:cs="Courier New"/>
        </w:rPr>
        <w:lastRenderedPageBreak/>
        <w:t xml:space="preserve">[T]o support conservation and preservation of the environment, open space and wild habitat; to promote and provide education of the sports of hunting, fishing, archery, and shooting; to cooperate and assist in the enforcement of fish and game laws; to introduce and assist in the passing of laws that may affect favorably the above; to promote more cordial relations between sportsmen and landowners; and to do such other things as the members attending a meeting may decide on by a vote... and [t]o carry on any other activity in support of and to benefit the above purposes as may be carried on by an organization described in Section 501(c)(3) of the Internal Revenue Code and by a corporation organized under Chapter 180 of the Massachusetts General Laws.  </w:t>
      </w:r>
    </w:p>
    <w:p w:rsidR="009F7FCE" w:rsidRDefault="009F7FCE" w:rsidP="009F7FCE">
      <w:pPr>
        <w:ind w:left="720" w:right="720"/>
        <w:jc w:val="both"/>
        <w:rPr>
          <w:rFonts w:ascii="Courier New" w:hAnsi="Courier New" w:cs="Courier New"/>
        </w:rPr>
      </w:pPr>
    </w:p>
    <w:p w:rsidR="009F7FCE" w:rsidRDefault="009F7FCE" w:rsidP="009F7FCE">
      <w:pPr>
        <w:spacing w:line="480" w:lineRule="auto"/>
        <w:jc w:val="both"/>
        <w:rPr>
          <w:rFonts w:ascii="Courier New" w:hAnsi="Courier New" w:cs="Courier New"/>
        </w:rPr>
      </w:pPr>
      <w:r>
        <w:rPr>
          <w:rFonts w:ascii="Courier New" w:hAnsi="Courier New" w:cs="Courier New"/>
        </w:rPr>
        <w:t>The Restated Articles of Organization also provide that</w:t>
      </w:r>
    </w:p>
    <w:p w:rsidR="0072590B" w:rsidRDefault="000F6EA7" w:rsidP="0072590B">
      <w:pPr>
        <w:ind w:left="720" w:right="720"/>
        <w:jc w:val="both"/>
        <w:rPr>
          <w:rFonts w:ascii="Courier New" w:hAnsi="Courier New" w:cs="Courier New"/>
        </w:rPr>
      </w:pPr>
      <w:r>
        <w:rPr>
          <w:rFonts w:ascii="Courier New" w:hAnsi="Courier New" w:cs="Courier New"/>
        </w:rPr>
        <w:t>[t]</w:t>
      </w:r>
      <w:r w:rsidR="009F7FCE">
        <w:rPr>
          <w:rFonts w:ascii="Courier New" w:hAnsi="Courier New" w:cs="Courier New"/>
        </w:rPr>
        <w:t xml:space="preserve">he house and grounds of the [WRGC] are available for use by any municipal, civic, fraternal or charitable organization associated with the Town of Wayland upon written request, subject to such regulations as shall be made by the Board of Governors of the [WRGC].  For safety reasons, this privilege shall not include use of the firing range unless associated with a [WRGC] function or otherwise approved by the Board of Governors.  </w:t>
      </w:r>
    </w:p>
    <w:p w:rsidR="0072590B" w:rsidRDefault="0072590B" w:rsidP="0072590B">
      <w:pPr>
        <w:ind w:left="720" w:right="720"/>
        <w:jc w:val="both"/>
        <w:rPr>
          <w:rFonts w:ascii="Courier New" w:hAnsi="Courier New" w:cs="Courier New"/>
        </w:rPr>
      </w:pPr>
    </w:p>
    <w:p w:rsidR="00CE4FEE" w:rsidRDefault="00620DD9" w:rsidP="0072590B">
      <w:pPr>
        <w:spacing w:line="480" w:lineRule="auto"/>
        <w:ind w:firstLine="720"/>
        <w:jc w:val="both"/>
        <w:rPr>
          <w:rFonts w:ascii="Courier New" w:hAnsi="Courier New" w:cs="Courier New"/>
        </w:rPr>
      </w:pPr>
      <w:r>
        <w:rPr>
          <w:rFonts w:ascii="Courier New" w:hAnsi="Courier New" w:cs="Courier New"/>
        </w:rPr>
        <w:t xml:space="preserve">Although the Restated Articles of Organization </w:t>
      </w:r>
      <w:r w:rsidR="002F5C36">
        <w:rPr>
          <w:rFonts w:ascii="Courier New" w:hAnsi="Courier New" w:cs="Courier New"/>
        </w:rPr>
        <w:t>reference</w:t>
      </w:r>
      <w:r w:rsidR="009D48E9">
        <w:rPr>
          <w:rFonts w:ascii="Courier New" w:hAnsi="Courier New" w:cs="Courier New"/>
        </w:rPr>
        <w:t xml:space="preserve"> </w:t>
      </w:r>
      <w:r w:rsidR="000F6EA7">
        <w:rPr>
          <w:rFonts w:ascii="Courier New" w:hAnsi="Courier New" w:cs="Courier New"/>
        </w:rPr>
        <w:t xml:space="preserve">I.R.C. </w:t>
      </w:r>
      <w:r w:rsidR="003D68FA">
        <w:rPr>
          <w:rFonts w:ascii="Courier New" w:hAnsi="Courier New" w:cs="Courier New"/>
        </w:rPr>
        <w:t>§ 501(c)(3)</w:t>
      </w:r>
      <w:r w:rsidR="00104C5E">
        <w:rPr>
          <w:rFonts w:ascii="Courier New" w:hAnsi="Courier New" w:cs="Courier New"/>
        </w:rPr>
        <w:t>,</w:t>
      </w:r>
      <w:r w:rsidR="008B4EFC">
        <w:rPr>
          <w:rFonts w:ascii="Courier New" w:hAnsi="Courier New" w:cs="Courier New"/>
        </w:rPr>
        <w:t xml:space="preserve"> </w:t>
      </w:r>
      <w:r w:rsidR="00C10242">
        <w:rPr>
          <w:rFonts w:ascii="Courier New" w:hAnsi="Courier New" w:cs="Courier New"/>
        </w:rPr>
        <w:t xml:space="preserve">the appellant is </w:t>
      </w:r>
      <w:r w:rsidR="009D48E9">
        <w:rPr>
          <w:rFonts w:ascii="Courier New" w:hAnsi="Courier New" w:cs="Courier New"/>
        </w:rPr>
        <w:t>not designated as</w:t>
      </w:r>
      <w:r w:rsidR="00271A69">
        <w:rPr>
          <w:rFonts w:ascii="Courier New" w:hAnsi="Courier New" w:cs="Courier New"/>
        </w:rPr>
        <w:t xml:space="preserve"> a charitable orga</w:t>
      </w:r>
      <w:r w:rsidR="00452A00">
        <w:rPr>
          <w:rFonts w:ascii="Courier New" w:hAnsi="Courier New" w:cs="Courier New"/>
        </w:rPr>
        <w:t xml:space="preserve">nization under </w:t>
      </w:r>
      <w:r w:rsidR="000F6EA7">
        <w:rPr>
          <w:rFonts w:ascii="Courier New" w:hAnsi="Courier New" w:cs="Courier New"/>
        </w:rPr>
        <w:t xml:space="preserve">I.R.C. </w:t>
      </w:r>
      <w:r w:rsidR="00452A00">
        <w:rPr>
          <w:rFonts w:ascii="Courier New" w:hAnsi="Courier New" w:cs="Courier New"/>
        </w:rPr>
        <w:t>§ 501(c)(3)</w:t>
      </w:r>
      <w:r w:rsidR="00271A69">
        <w:rPr>
          <w:rFonts w:ascii="Courier New" w:hAnsi="Courier New" w:cs="Courier New"/>
        </w:rPr>
        <w:t xml:space="preserve">.  </w:t>
      </w:r>
      <w:r w:rsidR="009D48E9">
        <w:rPr>
          <w:rFonts w:ascii="Courier New" w:hAnsi="Courier New" w:cs="Courier New"/>
        </w:rPr>
        <w:t xml:space="preserve">The record showed that the appellant applied to the Internal Revenue Service </w:t>
      </w:r>
      <w:r w:rsidR="00271A69">
        <w:rPr>
          <w:rFonts w:ascii="Courier New" w:hAnsi="Courier New" w:cs="Courier New"/>
        </w:rPr>
        <w:t xml:space="preserve">(“IRS”) </w:t>
      </w:r>
      <w:r w:rsidR="009D48E9">
        <w:rPr>
          <w:rFonts w:ascii="Courier New" w:hAnsi="Courier New" w:cs="Courier New"/>
        </w:rPr>
        <w:t xml:space="preserve">for </w:t>
      </w:r>
      <w:r w:rsidR="00271A69">
        <w:rPr>
          <w:rFonts w:ascii="Courier New" w:hAnsi="Courier New" w:cs="Courier New"/>
        </w:rPr>
        <w:t xml:space="preserve">such </w:t>
      </w:r>
      <w:r w:rsidR="009D48E9">
        <w:rPr>
          <w:rFonts w:ascii="Courier New" w:hAnsi="Courier New" w:cs="Courier New"/>
        </w:rPr>
        <w:t xml:space="preserve">designation </w:t>
      </w:r>
      <w:r w:rsidR="00271A69">
        <w:rPr>
          <w:rFonts w:ascii="Courier New" w:hAnsi="Courier New" w:cs="Courier New"/>
        </w:rPr>
        <w:t xml:space="preserve">in 2006 but was rejected. Instead, in 2016, the IRS granted the appellant tax-exempt status under </w:t>
      </w:r>
      <w:r w:rsidR="000F6EA7">
        <w:rPr>
          <w:rFonts w:ascii="Courier New" w:hAnsi="Courier New" w:cs="Courier New"/>
        </w:rPr>
        <w:t xml:space="preserve">I.R.C. </w:t>
      </w:r>
      <w:r w:rsidR="00271A69">
        <w:rPr>
          <w:rFonts w:ascii="Courier New" w:hAnsi="Courier New" w:cs="Courier New"/>
        </w:rPr>
        <w:t xml:space="preserve">§ 501(c)(4). </w:t>
      </w:r>
      <w:r w:rsidR="00252909">
        <w:rPr>
          <w:rFonts w:ascii="Courier New" w:hAnsi="Courier New" w:cs="Courier New"/>
        </w:rPr>
        <w:t xml:space="preserve">That section </w:t>
      </w:r>
      <w:r w:rsidR="00CE4FEE">
        <w:rPr>
          <w:rFonts w:ascii="Courier New" w:hAnsi="Courier New" w:cs="Courier New"/>
        </w:rPr>
        <w:t>applies to:</w:t>
      </w:r>
    </w:p>
    <w:p w:rsidR="00B34EEA" w:rsidRDefault="007B7223" w:rsidP="00C613C1">
      <w:pPr>
        <w:ind w:left="720" w:right="720"/>
        <w:jc w:val="both"/>
        <w:rPr>
          <w:rFonts w:ascii="Courier New" w:hAnsi="Courier New" w:cs="Courier New"/>
        </w:rPr>
      </w:pPr>
      <w:r>
        <w:rPr>
          <w:rFonts w:ascii="Courier New" w:hAnsi="Courier New" w:cs="Courier New"/>
        </w:rPr>
        <w:t>Civic leagues or organizations not organized for profit but operated exclusively for the promotion of social welfare, or lo</w:t>
      </w:r>
      <w:r w:rsidR="00C613C1">
        <w:rPr>
          <w:rFonts w:ascii="Courier New" w:hAnsi="Courier New" w:cs="Courier New"/>
        </w:rPr>
        <w:t xml:space="preserve">cal associations of employees, the membership of which is limited to the employees of a designated person or persons in a particular </w:t>
      </w:r>
      <w:r w:rsidR="00C613C1">
        <w:rPr>
          <w:rFonts w:ascii="Courier New" w:hAnsi="Courier New" w:cs="Courier New"/>
        </w:rPr>
        <w:lastRenderedPageBreak/>
        <w:t xml:space="preserve">municipality, and the net earnings of which are devoted exclusively to charitable, educational, or recreational purposes.  </w:t>
      </w:r>
    </w:p>
    <w:p w:rsidR="00434D81" w:rsidRDefault="00434D81" w:rsidP="00434D81">
      <w:pPr>
        <w:ind w:right="720"/>
        <w:jc w:val="both"/>
        <w:rPr>
          <w:rFonts w:ascii="Courier New" w:hAnsi="Courier New" w:cs="Courier New"/>
        </w:rPr>
      </w:pPr>
    </w:p>
    <w:p w:rsidR="00CE4FEE" w:rsidRDefault="00434D81" w:rsidP="0072590B">
      <w:pPr>
        <w:ind w:right="720"/>
        <w:jc w:val="both"/>
        <w:rPr>
          <w:rFonts w:ascii="Courier New" w:hAnsi="Courier New" w:cs="Courier New"/>
        </w:rPr>
      </w:pPr>
      <w:r>
        <w:rPr>
          <w:rFonts w:ascii="Courier New" w:hAnsi="Courier New" w:cs="Courier New"/>
        </w:rPr>
        <w:t xml:space="preserve">I.R.C. § 501(c)(4).  </w:t>
      </w:r>
    </w:p>
    <w:p w:rsidR="000F6EA7" w:rsidRDefault="000F6EA7" w:rsidP="0072590B">
      <w:pPr>
        <w:ind w:right="720"/>
        <w:jc w:val="both"/>
        <w:rPr>
          <w:rFonts w:ascii="Courier New" w:hAnsi="Courier New" w:cs="Courier New"/>
        </w:rPr>
      </w:pPr>
    </w:p>
    <w:p w:rsidR="00BB6F39" w:rsidRDefault="00A04CC6" w:rsidP="003C5BE1">
      <w:pPr>
        <w:spacing w:line="480" w:lineRule="auto"/>
        <w:ind w:firstLine="720"/>
        <w:jc w:val="both"/>
        <w:rPr>
          <w:rFonts w:ascii="Courier New" w:hAnsi="Courier New" w:cs="Courier New"/>
        </w:rPr>
      </w:pPr>
      <w:r>
        <w:rPr>
          <w:rFonts w:ascii="Courier New" w:hAnsi="Courier New" w:cs="Courier New"/>
        </w:rPr>
        <w:t>Information entered into the record indicated that, during the period relevant to this appeal, WRGC had approximately 170 member</w:t>
      </w:r>
      <w:r w:rsidR="000142AD">
        <w:rPr>
          <w:rFonts w:ascii="Courier New" w:hAnsi="Courier New" w:cs="Courier New"/>
        </w:rPr>
        <w:t xml:space="preserve">s.  Prospective members must pay a $200, non-refundable application fee.  Thereafter, annual fees are $100 for individual memberships, $160 for family memberships, and $60 for senior memberships.  The outdoor shooting range </w:t>
      </w:r>
      <w:r w:rsidR="00983546">
        <w:rPr>
          <w:rFonts w:ascii="Courier New" w:hAnsi="Courier New" w:cs="Courier New"/>
        </w:rPr>
        <w:t xml:space="preserve">is open for shooting approximately 28 hours per week.  </w:t>
      </w:r>
      <w:r w:rsidR="008A486A">
        <w:rPr>
          <w:rFonts w:ascii="Courier New" w:hAnsi="Courier New" w:cs="Courier New"/>
        </w:rPr>
        <w:t>WRGC members</w:t>
      </w:r>
      <w:r w:rsidR="00B5729C">
        <w:rPr>
          <w:rFonts w:ascii="Courier New" w:hAnsi="Courier New" w:cs="Courier New"/>
        </w:rPr>
        <w:t xml:space="preserve"> </w:t>
      </w:r>
      <w:r w:rsidR="008A486A">
        <w:rPr>
          <w:rFonts w:ascii="Courier New" w:hAnsi="Courier New" w:cs="Courier New"/>
        </w:rPr>
        <w:t xml:space="preserve">use the lodge for meetings.  </w:t>
      </w:r>
    </w:p>
    <w:p w:rsidR="00231F3B" w:rsidRDefault="00240493" w:rsidP="00231F3B">
      <w:pPr>
        <w:spacing w:line="480" w:lineRule="auto"/>
        <w:ind w:firstLine="720"/>
        <w:jc w:val="both"/>
        <w:rPr>
          <w:rFonts w:ascii="Courier New" w:hAnsi="Courier New" w:cs="Courier New"/>
        </w:rPr>
      </w:pPr>
      <w:r>
        <w:rPr>
          <w:rFonts w:ascii="Courier New" w:hAnsi="Courier New" w:cs="Courier New"/>
        </w:rPr>
        <w:t>WRGC offered programs and events for non-members as well</w:t>
      </w:r>
      <w:r w:rsidR="00B5729C">
        <w:rPr>
          <w:rFonts w:ascii="Courier New" w:hAnsi="Courier New" w:cs="Courier New"/>
        </w:rPr>
        <w:t xml:space="preserve"> as members</w:t>
      </w:r>
      <w:r w:rsidR="00BB6F39">
        <w:rPr>
          <w:rFonts w:ascii="Courier New" w:hAnsi="Courier New" w:cs="Courier New"/>
        </w:rPr>
        <w:t xml:space="preserve">, most of them related to firearms safety and proficiency.  </w:t>
      </w:r>
      <w:r w:rsidR="00C70928">
        <w:rPr>
          <w:rFonts w:ascii="Courier New" w:hAnsi="Courier New" w:cs="Courier New"/>
        </w:rPr>
        <w:t xml:space="preserve">According to materials appended to the appellant’s Application for Abatement, the firing range at the subject property is used by non-members approximately 17% of the time.  </w:t>
      </w:r>
      <w:r w:rsidR="00231F3B">
        <w:rPr>
          <w:rFonts w:ascii="Courier New" w:hAnsi="Courier New" w:cs="Courier New"/>
        </w:rPr>
        <w:t xml:space="preserve">The lodge is not open to the public as a general matter, but may be used by non-members upon request.  </w:t>
      </w:r>
    </w:p>
    <w:p w:rsidR="009F5BAA" w:rsidRDefault="00074743" w:rsidP="009F5BAA">
      <w:pPr>
        <w:spacing w:line="480" w:lineRule="auto"/>
        <w:ind w:firstLine="720"/>
        <w:jc w:val="both"/>
        <w:rPr>
          <w:rFonts w:ascii="Courier New" w:hAnsi="Courier New" w:cs="Courier New"/>
        </w:rPr>
      </w:pPr>
      <w:r>
        <w:rPr>
          <w:rFonts w:ascii="Courier New" w:hAnsi="Courier New" w:cs="Courier New"/>
        </w:rPr>
        <w:t xml:space="preserve">The record </w:t>
      </w:r>
      <w:r w:rsidR="0072590B">
        <w:rPr>
          <w:rFonts w:ascii="Courier New" w:hAnsi="Courier New" w:cs="Courier New"/>
        </w:rPr>
        <w:t>indicated that WRGC</w:t>
      </w:r>
      <w:r w:rsidR="00BB6F39">
        <w:rPr>
          <w:rFonts w:ascii="Courier New" w:hAnsi="Courier New" w:cs="Courier New"/>
        </w:rPr>
        <w:t xml:space="preserve"> opene</w:t>
      </w:r>
      <w:r w:rsidR="00B74683">
        <w:rPr>
          <w:rFonts w:ascii="Courier New" w:hAnsi="Courier New" w:cs="Courier New"/>
        </w:rPr>
        <w:t xml:space="preserve">d the subject property to various </w:t>
      </w:r>
      <w:r w:rsidR="00BB6F39">
        <w:rPr>
          <w:rFonts w:ascii="Courier New" w:hAnsi="Courier New" w:cs="Courier New"/>
        </w:rPr>
        <w:t xml:space="preserve">non-profit groups, such as the Boy Scouts, Wayland Police and Fire Department, the United States Fish and Wildlife Service, </w:t>
      </w:r>
      <w:r>
        <w:rPr>
          <w:rFonts w:ascii="Courier New" w:hAnsi="Courier New" w:cs="Courier New"/>
        </w:rPr>
        <w:t xml:space="preserve">and </w:t>
      </w:r>
      <w:r w:rsidR="00BB6F39">
        <w:rPr>
          <w:rFonts w:ascii="Courier New" w:hAnsi="Courier New" w:cs="Courier New"/>
        </w:rPr>
        <w:t>AWARE (Arming Women Against Rape &amp;</w:t>
      </w:r>
      <w:r w:rsidR="0072590B">
        <w:rPr>
          <w:rFonts w:ascii="Courier New" w:hAnsi="Courier New" w:cs="Courier New"/>
        </w:rPr>
        <w:t xml:space="preserve"> Endangerment)</w:t>
      </w:r>
      <w:r w:rsidR="00A2385D">
        <w:rPr>
          <w:rFonts w:ascii="Courier New" w:hAnsi="Courier New" w:cs="Courier New"/>
        </w:rPr>
        <w:t xml:space="preserve">.  </w:t>
      </w:r>
      <w:r w:rsidR="009F5BAA">
        <w:rPr>
          <w:rFonts w:ascii="Courier New" w:hAnsi="Courier New" w:cs="Courier New"/>
        </w:rPr>
        <w:t xml:space="preserve">WRGC did not charge civic or charitable groups for the use of the subject property. </w:t>
      </w:r>
    </w:p>
    <w:p w:rsidR="00A37DA6" w:rsidRDefault="00BB6F39" w:rsidP="00C70928">
      <w:pPr>
        <w:spacing w:line="480" w:lineRule="auto"/>
        <w:ind w:firstLine="720"/>
        <w:jc w:val="both"/>
        <w:rPr>
          <w:rFonts w:ascii="Courier New" w:hAnsi="Courier New" w:cs="Courier New"/>
        </w:rPr>
      </w:pPr>
      <w:r>
        <w:rPr>
          <w:rFonts w:ascii="Courier New" w:hAnsi="Courier New" w:cs="Courier New"/>
        </w:rPr>
        <w:lastRenderedPageBreak/>
        <w:t>The record also showed that WRGC us</w:t>
      </w:r>
      <w:r w:rsidR="00B900C5">
        <w:rPr>
          <w:rFonts w:ascii="Courier New" w:hAnsi="Courier New" w:cs="Courier New"/>
        </w:rPr>
        <w:t xml:space="preserve">ed the subject property </w:t>
      </w:r>
      <w:r w:rsidR="00B74683">
        <w:rPr>
          <w:rFonts w:ascii="Courier New" w:hAnsi="Courier New" w:cs="Courier New"/>
        </w:rPr>
        <w:t xml:space="preserve">to host </w:t>
      </w:r>
      <w:r w:rsidR="00BF2E24">
        <w:rPr>
          <w:rFonts w:ascii="Courier New" w:hAnsi="Courier New" w:cs="Courier New"/>
        </w:rPr>
        <w:t>charitable events</w:t>
      </w:r>
      <w:r>
        <w:rPr>
          <w:rFonts w:ascii="Courier New" w:hAnsi="Courier New" w:cs="Courier New"/>
        </w:rPr>
        <w:t xml:space="preserve">, such as the </w:t>
      </w:r>
      <w:r w:rsidR="000F6EA7">
        <w:rPr>
          <w:rFonts w:ascii="Courier New" w:hAnsi="Courier New" w:cs="Courier New"/>
        </w:rPr>
        <w:t>“</w:t>
      </w:r>
      <w:r>
        <w:rPr>
          <w:rFonts w:ascii="Courier New" w:hAnsi="Courier New" w:cs="Courier New"/>
        </w:rPr>
        <w:t>Santa’s Ride,</w:t>
      </w:r>
      <w:r w:rsidR="000F6EA7">
        <w:rPr>
          <w:rFonts w:ascii="Courier New" w:hAnsi="Courier New" w:cs="Courier New"/>
        </w:rPr>
        <w:t>”</w:t>
      </w:r>
      <w:r>
        <w:rPr>
          <w:rFonts w:ascii="Courier New" w:hAnsi="Courier New" w:cs="Courier New"/>
        </w:rPr>
        <w:t xml:space="preserve"> </w:t>
      </w:r>
      <w:r w:rsidR="00A37DA6">
        <w:rPr>
          <w:rFonts w:ascii="Courier New" w:hAnsi="Courier New" w:cs="Courier New"/>
        </w:rPr>
        <w:t xml:space="preserve">held </w:t>
      </w:r>
      <w:r>
        <w:rPr>
          <w:rFonts w:ascii="Courier New" w:hAnsi="Courier New" w:cs="Courier New"/>
        </w:rPr>
        <w:t>in conjunction with the Wayland Police Department, which served cookies and hot beverages and also functioned as a food drive, as well as a “Turkey Shoot” and “Spring Ham Shoot,” which offered gift certificate prizes fo</w:t>
      </w:r>
      <w:r w:rsidR="00B74683">
        <w:rPr>
          <w:rFonts w:ascii="Courier New" w:hAnsi="Courier New" w:cs="Courier New"/>
        </w:rPr>
        <w:t xml:space="preserve">r “Lucky Shooters” and also </w:t>
      </w:r>
      <w:r>
        <w:rPr>
          <w:rFonts w:ascii="Courier New" w:hAnsi="Courier New" w:cs="Courier New"/>
        </w:rPr>
        <w:t xml:space="preserve">functioned as </w:t>
      </w:r>
      <w:r w:rsidR="00E8491E">
        <w:rPr>
          <w:rFonts w:ascii="Courier New" w:hAnsi="Courier New" w:cs="Courier New"/>
        </w:rPr>
        <w:t>a canned food drive</w:t>
      </w:r>
      <w:r>
        <w:rPr>
          <w:rFonts w:ascii="Courier New" w:hAnsi="Courier New" w:cs="Courier New"/>
        </w:rPr>
        <w:t xml:space="preserve"> for a local food pantry.  </w:t>
      </w:r>
      <w:r w:rsidR="00146EAD">
        <w:rPr>
          <w:rFonts w:ascii="Courier New" w:hAnsi="Courier New" w:cs="Courier New"/>
        </w:rPr>
        <w:t xml:space="preserve">There was no evidence in the record indicating </w:t>
      </w:r>
      <w:r w:rsidR="007042E4">
        <w:rPr>
          <w:rFonts w:ascii="Courier New" w:hAnsi="Courier New" w:cs="Courier New"/>
        </w:rPr>
        <w:t xml:space="preserve">the </w:t>
      </w:r>
      <w:r w:rsidR="00146EAD">
        <w:rPr>
          <w:rFonts w:ascii="Courier New" w:hAnsi="Courier New" w:cs="Courier New"/>
        </w:rPr>
        <w:t>specific dates of these events, nor how many members of the public were in attendance for them.  Similarly, there was no indication in the r</w:t>
      </w:r>
      <w:r w:rsidR="00E8491E">
        <w:rPr>
          <w:rFonts w:ascii="Courier New" w:hAnsi="Courier New" w:cs="Courier New"/>
        </w:rPr>
        <w:t>ecord as to the frequency of on</w:t>
      </w:r>
      <w:r w:rsidR="00146EAD">
        <w:rPr>
          <w:rFonts w:ascii="Courier New" w:hAnsi="Courier New" w:cs="Courier New"/>
        </w:rPr>
        <w:t>going programs open to the public.</w:t>
      </w:r>
    </w:p>
    <w:p w:rsidR="003B7C01" w:rsidRDefault="00E8491E" w:rsidP="00A37DA6">
      <w:pPr>
        <w:spacing w:line="480" w:lineRule="auto"/>
        <w:ind w:firstLine="720"/>
        <w:jc w:val="both"/>
        <w:rPr>
          <w:rFonts w:ascii="Courier New" w:hAnsi="Courier New" w:cs="Courier New"/>
        </w:rPr>
      </w:pPr>
      <w:r>
        <w:rPr>
          <w:rFonts w:ascii="Courier New" w:hAnsi="Courier New" w:cs="Courier New"/>
        </w:rPr>
        <w:t>T</w:t>
      </w:r>
      <w:r w:rsidR="00146EAD">
        <w:rPr>
          <w:rFonts w:ascii="Courier New" w:hAnsi="Courier New" w:cs="Courier New"/>
        </w:rPr>
        <w:t xml:space="preserve">he appellant </w:t>
      </w:r>
      <w:r>
        <w:rPr>
          <w:rFonts w:ascii="Courier New" w:hAnsi="Courier New" w:cs="Courier New"/>
        </w:rPr>
        <w:t xml:space="preserve">contended </w:t>
      </w:r>
      <w:r w:rsidR="000B4765">
        <w:rPr>
          <w:rFonts w:ascii="Courier New" w:hAnsi="Courier New" w:cs="Courier New"/>
        </w:rPr>
        <w:t xml:space="preserve">in this appeal </w:t>
      </w:r>
      <w:r w:rsidR="00146EAD">
        <w:rPr>
          <w:rFonts w:ascii="Courier New" w:hAnsi="Courier New" w:cs="Courier New"/>
        </w:rPr>
        <w:t xml:space="preserve">that the subject property was continuously open to, and </w:t>
      </w:r>
      <w:r w:rsidR="000B4765">
        <w:rPr>
          <w:rFonts w:ascii="Courier New" w:hAnsi="Courier New" w:cs="Courier New"/>
        </w:rPr>
        <w:t xml:space="preserve">in fact </w:t>
      </w:r>
      <w:r w:rsidR="00146EAD">
        <w:rPr>
          <w:rFonts w:ascii="Courier New" w:hAnsi="Courier New" w:cs="Courier New"/>
        </w:rPr>
        <w:t xml:space="preserve">used by, the public for </w:t>
      </w:r>
      <w:r w:rsidR="00E3638F">
        <w:rPr>
          <w:rFonts w:ascii="Courier New" w:hAnsi="Courier New" w:cs="Courier New"/>
        </w:rPr>
        <w:t>general recreational activities such as hiking</w:t>
      </w:r>
      <w:r w:rsidR="003B7C01">
        <w:rPr>
          <w:rFonts w:ascii="Courier New" w:hAnsi="Courier New" w:cs="Courier New"/>
        </w:rPr>
        <w:t>, fishing,</w:t>
      </w:r>
      <w:r>
        <w:rPr>
          <w:rFonts w:ascii="Courier New" w:hAnsi="Courier New" w:cs="Courier New"/>
        </w:rPr>
        <w:t xml:space="preserve"> or dog </w:t>
      </w:r>
      <w:r w:rsidR="00E3638F">
        <w:rPr>
          <w:rFonts w:ascii="Courier New" w:hAnsi="Courier New" w:cs="Courier New"/>
        </w:rPr>
        <w:t xml:space="preserve">walking.  </w:t>
      </w:r>
      <w:r w:rsidR="00B04A8F">
        <w:rPr>
          <w:rFonts w:ascii="Courier New" w:hAnsi="Courier New" w:cs="Courier New"/>
        </w:rPr>
        <w:t>However, the record did not indicate how the appellant made the public aware that it was welcome to use the sub</w:t>
      </w:r>
      <w:r>
        <w:rPr>
          <w:rFonts w:ascii="Courier New" w:hAnsi="Courier New" w:cs="Courier New"/>
        </w:rPr>
        <w:t>ject property during the period</w:t>
      </w:r>
      <w:r w:rsidR="00B04A8F">
        <w:rPr>
          <w:rFonts w:ascii="Courier New" w:hAnsi="Courier New" w:cs="Courier New"/>
        </w:rPr>
        <w:t xml:space="preserve"> relevant to this appeal.  </w:t>
      </w:r>
    </w:p>
    <w:p w:rsidR="003B7C01" w:rsidRDefault="00B04A8F" w:rsidP="003B7C01">
      <w:pPr>
        <w:spacing w:line="480" w:lineRule="auto"/>
        <w:ind w:firstLine="720"/>
        <w:jc w:val="both"/>
        <w:rPr>
          <w:rFonts w:ascii="Courier New" w:hAnsi="Courier New" w:cs="Courier New"/>
        </w:rPr>
      </w:pPr>
      <w:r>
        <w:rPr>
          <w:rFonts w:ascii="Courier New" w:hAnsi="Courier New" w:cs="Courier New"/>
        </w:rPr>
        <w:t xml:space="preserve">To the contrary, photographs taken by the assessors during a site visit in October of 2015 showed several large signs discouraging public entrance upon the </w:t>
      </w:r>
      <w:r w:rsidR="007042E4">
        <w:rPr>
          <w:rFonts w:ascii="Courier New" w:hAnsi="Courier New" w:cs="Courier New"/>
        </w:rPr>
        <w:t xml:space="preserve">subject </w:t>
      </w:r>
      <w:r>
        <w:rPr>
          <w:rFonts w:ascii="Courier New" w:hAnsi="Courier New" w:cs="Courier New"/>
        </w:rPr>
        <w:t xml:space="preserve">property.  </w:t>
      </w:r>
      <w:r w:rsidR="007042E4">
        <w:rPr>
          <w:rFonts w:ascii="Courier New" w:hAnsi="Courier New" w:cs="Courier New"/>
        </w:rPr>
        <w:t xml:space="preserve">Specifically, a large, red sign on the gated entrance to the subject property stated: “Private Range: Members Only, Sign in </w:t>
      </w:r>
      <w:r w:rsidR="007042E4">
        <w:rPr>
          <w:rFonts w:ascii="Courier New" w:hAnsi="Courier New" w:cs="Courier New"/>
        </w:rPr>
        <w:lastRenderedPageBreak/>
        <w:t xml:space="preserve">at Clubhouse. Police </w:t>
      </w:r>
      <w:r w:rsidR="000F6EA7">
        <w:rPr>
          <w:rFonts w:ascii="Courier New" w:hAnsi="Courier New" w:cs="Courier New"/>
        </w:rPr>
        <w:t>T</w:t>
      </w:r>
      <w:r w:rsidR="007042E4">
        <w:rPr>
          <w:rFonts w:ascii="Courier New" w:hAnsi="Courier New" w:cs="Courier New"/>
        </w:rPr>
        <w:t xml:space="preserve">ake </w:t>
      </w:r>
      <w:r w:rsidR="000F6EA7">
        <w:rPr>
          <w:rFonts w:ascii="Courier New" w:hAnsi="Courier New" w:cs="Courier New"/>
        </w:rPr>
        <w:t>N</w:t>
      </w:r>
      <w:r w:rsidR="007042E4">
        <w:rPr>
          <w:rFonts w:ascii="Courier New" w:hAnsi="Courier New" w:cs="Courier New"/>
        </w:rPr>
        <w:t>otice.” An additional sign mounted to a tree stated “CAUTION – Firearms in Use – KEEP OUT,” wit</w:t>
      </w:r>
      <w:r w:rsidR="00B50EFA">
        <w:rPr>
          <w:rFonts w:ascii="Courier New" w:hAnsi="Courier New" w:cs="Courier New"/>
        </w:rPr>
        <w:t xml:space="preserve">h another sign below </w:t>
      </w:r>
      <w:r w:rsidR="007042E4">
        <w:rPr>
          <w:rFonts w:ascii="Courier New" w:hAnsi="Courier New" w:cs="Courier New"/>
        </w:rPr>
        <w:t xml:space="preserve">stating “POSTED: Private Property. Hunting, fishing, trapping for any purpose is strictly forbidden. Violations will be </w:t>
      </w:r>
      <w:r w:rsidR="000F6EA7">
        <w:rPr>
          <w:rFonts w:ascii="Courier New" w:hAnsi="Courier New" w:cs="Courier New"/>
        </w:rPr>
        <w:t>p</w:t>
      </w:r>
      <w:r w:rsidR="007042E4">
        <w:rPr>
          <w:rFonts w:ascii="Courier New" w:hAnsi="Courier New" w:cs="Courier New"/>
        </w:rPr>
        <w:t>rosecuted.”</w:t>
      </w:r>
      <w:r w:rsidR="00761DF6">
        <w:rPr>
          <w:rStyle w:val="FootnoteReference"/>
          <w:rFonts w:ascii="Courier New" w:hAnsi="Courier New" w:cs="Courier New"/>
        </w:rPr>
        <w:footnoteReference w:id="1"/>
      </w:r>
      <w:r w:rsidR="007042E4">
        <w:rPr>
          <w:rFonts w:ascii="Courier New" w:hAnsi="Courier New" w:cs="Courier New"/>
        </w:rPr>
        <w:t xml:space="preserve">  </w:t>
      </w:r>
      <w:r w:rsidR="00B74683">
        <w:rPr>
          <w:rFonts w:ascii="Courier New" w:hAnsi="Courier New" w:cs="Courier New"/>
        </w:rPr>
        <w:t>Moreover</w:t>
      </w:r>
      <w:r w:rsidR="003B7C01">
        <w:rPr>
          <w:rFonts w:ascii="Courier New" w:hAnsi="Courier New" w:cs="Courier New"/>
        </w:rPr>
        <w:t>, there was no evi</w:t>
      </w:r>
      <w:r w:rsidR="00C9416D">
        <w:rPr>
          <w:rFonts w:ascii="Courier New" w:hAnsi="Courier New" w:cs="Courier New"/>
        </w:rPr>
        <w:t xml:space="preserve">dence in the record documenting </w:t>
      </w:r>
      <w:r w:rsidR="003B7C01">
        <w:rPr>
          <w:rFonts w:ascii="Courier New" w:hAnsi="Courier New" w:cs="Courier New"/>
        </w:rPr>
        <w:t xml:space="preserve">the frequency of use of the subject property by the public for general recreational purposes. </w:t>
      </w:r>
    </w:p>
    <w:p w:rsidR="00254F09" w:rsidRDefault="00254F09" w:rsidP="003B7C01">
      <w:pPr>
        <w:spacing w:line="480" w:lineRule="auto"/>
        <w:ind w:firstLine="720"/>
        <w:jc w:val="both"/>
        <w:rPr>
          <w:rFonts w:ascii="Courier New" w:hAnsi="Courier New" w:cs="Courier New"/>
        </w:rPr>
      </w:pPr>
      <w:r>
        <w:rPr>
          <w:rFonts w:ascii="Courier New" w:hAnsi="Courier New" w:cs="Courier New"/>
        </w:rPr>
        <w:t>Ellen Brideau</w:t>
      </w:r>
      <w:r w:rsidR="0042348E">
        <w:rPr>
          <w:rFonts w:ascii="Courier New" w:hAnsi="Courier New" w:cs="Courier New"/>
        </w:rPr>
        <w:t>, who</w:t>
      </w:r>
      <w:r>
        <w:rPr>
          <w:rFonts w:ascii="Courier New" w:hAnsi="Courier New" w:cs="Courier New"/>
        </w:rPr>
        <w:t xml:space="preserve"> testified </w:t>
      </w:r>
      <w:r w:rsidR="00A2154E">
        <w:rPr>
          <w:rFonts w:ascii="Courier New" w:hAnsi="Courier New" w:cs="Courier New"/>
        </w:rPr>
        <w:t xml:space="preserve">on behalf of the assessors </w:t>
      </w:r>
      <w:r>
        <w:rPr>
          <w:rFonts w:ascii="Courier New" w:hAnsi="Courier New" w:cs="Courier New"/>
        </w:rPr>
        <w:t>at the hearing of this appeal</w:t>
      </w:r>
      <w:r w:rsidR="0042348E">
        <w:rPr>
          <w:rFonts w:ascii="Courier New" w:hAnsi="Courier New" w:cs="Courier New"/>
        </w:rPr>
        <w:t>, explained the rea</w:t>
      </w:r>
      <w:r w:rsidR="00E772AB">
        <w:rPr>
          <w:rFonts w:ascii="Courier New" w:hAnsi="Courier New" w:cs="Courier New"/>
        </w:rPr>
        <w:t xml:space="preserve">sons for the partial abatement </w:t>
      </w:r>
      <w:r w:rsidR="0042348E">
        <w:rPr>
          <w:rFonts w:ascii="Courier New" w:hAnsi="Courier New" w:cs="Courier New"/>
        </w:rPr>
        <w:t>for the fiscal year at issu</w:t>
      </w:r>
      <w:r w:rsidR="00E772AB">
        <w:rPr>
          <w:rFonts w:ascii="Courier New" w:hAnsi="Courier New" w:cs="Courier New"/>
        </w:rPr>
        <w:t>e</w:t>
      </w:r>
      <w:r w:rsidR="0042348E">
        <w:rPr>
          <w:rFonts w:ascii="Courier New" w:hAnsi="Courier New" w:cs="Courier New"/>
        </w:rPr>
        <w:t xml:space="preserve">.  She explained that, based on observations made by the assessors during the aforementioned site visit, </w:t>
      </w:r>
      <w:r w:rsidR="006340EA">
        <w:rPr>
          <w:rFonts w:ascii="Courier New" w:hAnsi="Courier New" w:cs="Courier New"/>
        </w:rPr>
        <w:t>several changes were made to the subject property’s record card to more accurately reflect its condition and amenities.  For example, Ms. Brideau testified that the assessors increased the deprec</w:t>
      </w:r>
      <w:r w:rsidR="00D111F1">
        <w:rPr>
          <w:rFonts w:ascii="Courier New" w:hAnsi="Courier New" w:cs="Courier New"/>
        </w:rPr>
        <w:t>i</w:t>
      </w:r>
      <w:r w:rsidR="006340EA">
        <w:rPr>
          <w:rFonts w:ascii="Courier New" w:hAnsi="Courier New" w:cs="Courier New"/>
        </w:rPr>
        <w:t xml:space="preserve">ation on the subject building, thereby lowering its value.  </w:t>
      </w:r>
    </w:p>
    <w:p w:rsidR="006340EA" w:rsidRDefault="006340EA" w:rsidP="003B7C01">
      <w:pPr>
        <w:spacing w:line="480" w:lineRule="auto"/>
        <w:ind w:firstLine="720"/>
        <w:jc w:val="both"/>
        <w:rPr>
          <w:rFonts w:ascii="Courier New" w:hAnsi="Courier New" w:cs="Arial"/>
        </w:rPr>
      </w:pPr>
      <w:r>
        <w:rPr>
          <w:rFonts w:ascii="Courier New" w:hAnsi="Courier New" w:cs="Courier New"/>
        </w:rPr>
        <w:t xml:space="preserve">In addition, the assessors </w:t>
      </w:r>
      <w:r w:rsidR="00E15718">
        <w:rPr>
          <w:rFonts w:ascii="Courier New" w:hAnsi="Courier New" w:cs="Courier New"/>
        </w:rPr>
        <w:t xml:space="preserve">encouraged the appellant to seek classification as recreational </w:t>
      </w:r>
      <w:r w:rsidR="00E15718" w:rsidRPr="00E15718">
        <w:rPr>
          <w:rFonts w:ascii="Courier New" w:hAnsi="Courier New" w:cs="Courier New"/>
        </w:rPr>
        <w:t xml:space="preserve">land under </w:t>
      </w:r>
      <w:r w:rsidR="00E15718" w:rsidRPr="00E15718">
        <w:rPr>
          <w:rFonts w:ascii="Courier New" w:hAnsi="Courier New" w:cs="Arial"/>
        </w:rPr>
        <w:t xml:space="preserve">G.L. c. 61B, </w:t>
      </w:r>
      <w:r w:rsidR="00E15718" w:rsidRPr="00E15718">
        <w:rPr>
          <w:rFonts w:ascii="Courier New" w:hAnsi="Courier New"/>
        </w:rPr>
        <w:t>§</w:t>
      </w:r>
      <w:r w:rsidR="0084313C">
        <w:rPr>
          <w:rFonts w:ascii="Courier New" w:hAnsi="Courier New" w:cs="Arial"/>
        </w:rPr>
        <w:t xml:space="preserve"> 1 (“Chapter 61B</w:t>
      </w:r>
      <w:r w:rsidR="00D46E5F">
        <w:rPr>
          <w:rFonts w:ascii="Courier New" w:hAnsi="Courier New" w:cs="Arial"/>
        </w:rPr>
        <w:t xml:space="preserve">”).  Such classification </w:t>
      </w:r>
      <w:r w:rsidR="0084313C">
        <w:rPr>
          <w:rFonts w:ascii="Courier New" w:hAnsi="Courier New" w:cs="Arial"/>
        </w:rPr>
        <w:t>is available for parcels of lan</w:t>
      </w:r>
      <w:r w:rsidR="00D46E5F">
        <w:rPr>
          <w:rFonts w:ascii="Courier New" w:hAnsi="Courier New" w:cs="Arial"/>
        </w:rPr>
        <w:t xml:space="preserve">d exceeding five acres in size and meeting other qualifications, such as being maintained in a substantially natural or wild state and used primarily for recreational </w:t>
      </w:r>
      <w:r w:rsidR="00D46E5F">
        <w:rPr>
          <w:rFonts w:ascii="Courier New" w:hAnsi="Courier New" w:cs="Arial"/>
        </w:rPr>
        <w:lastRenderedPageBreak/>
        <w:t xml:space="preserve">purposes.  Classification under Chapter 61B </w:t>
      </w:r>
      <w:r w:rsidR="00FD37E0">
        <w:rPr>
          <w:rFonts w:ascii="Courier New" w:hAnsi="Courier New" w:cs="Arial"/>
        </w:rPr>
        <w:t xml:space="preserve">results in the land being </w:t>
      </w:r>
      <w:r w:rsidR="00D373EC">
        <w:rPr>
          <w:rFonts w:ascii="Courier New" w:hAnsi="Courier New" w:cs="Arial"/>
        </w:rPr>
        <w:t>taxed at a substantially reduced rate.  Th</w:t>
      </w:r>
      <w:r w:rsidR="00D46E5F">
        <w:rPr>
          <w:rFonts w:ascii="Courier New" w:hAnsi="Courier New" w:cs="Arial"/>
        </w:rPr>
        <w:t>e appellant heeded the assessors’</w:t>
      </w:r>
      <w:r w:rsidR="00D373EC">
        <w:rPr>
          <w:rFonts w:ascii="Courier New" w:hAnsi="Courier New" w:cs="Arial"/>
        </w:rPr>
        <w:t xml:space="preserve"> advice, and applied for and received Chapter 61B classification for the </w:t>
      </w:r>
      <w:r w:rsidR="00D46E5F">
        <w:rPr>
          <w:rFonts w:ascii="Courier New" w:hAnsi="Courier New" w:cs="Arial"/>
        </w:rPr>
        <w:t>subject pro</w:t>
      </w:r>
      <w:r w:rsidR="00B74683">
        <w:rPr>
          <w:rFonts w:ascii="Courier New" w:hAnsi="Courier New" w:cs="Arial"/>
        </w:rPr>
        <w:t>perty</w:t>
      </w:r>
      <w:r w:rsidR="00FD37E0">
        <w:rPr>
          <w:rFonts w:ascii="Courier New" w:hAnsi="Courier New" w:cs="Arial"/>
        </w:rPr>
        <w:t xml:space="preserve"> for the fiscal year at issue</w:t>
      </w:r>
      <w:r w:rsidR="00B74683">
        <w:rPr>
          <w:rFonts w:ascii="Courier New" w:hAnsi="Courier New" w:cs="Arial"/>
        </w:rPr>
        <w:t>, which further</w:t>
      </w:r>
      <w:r w:rsidR="00D46E5F">
        <w:rPr>
          <w:rFonts w:ascii="Courier New" w:hAnsi="Courier New" w:cs="Arial"/>
        </w:rPr>
        <w:t xml:space="preserve"> reduced the assessment. </w:t>
      </w:r>
    </w:p>
    <w:p w:rsidR="002773BD" w:rsidRDefault="000E3A0E" w:rsidP="003B7C01">
      <w:pPr>
        <w:spacing w:line="480" w:lineRule="auto"/>
        <w:ind w:firstLine="720"/>
        <w:jc w:val="both"/>
        <w:rPr>
          <w:rFonts w:ascii="Courier New" w:hAnsi="Courier New" w:cs="Arial"/>
        </w:rPr>
      </w:pPr>
      <w:r>
        <w:rPr>
          <w:rFonts w:ascii="Courier New" w:hAnsi="Courier New" w:cs="Arial"/>
        </w:rPr>
        <w:t xml:space="preserve">On the basis of all of the evidence, the Board found </w:t>
      </w:r>
      <w:r w:rsidR="008E1FAF">
        <w:rPr>
          <w:rFonts w:ascii="Courier New" w:hAnsi="Courier New" w:cs="Arial"/>
        </w:rPr>
        <w:t xml:space="preserve">that </w:t>
      </w:r>
      <w:r w:rsidR="008E1FAF">
        <w:rPr>
          <w:rFonts w:ascii="Courier New" w:hAnsi="Courier New" w:cs="Courier New"/>
          <w:bCs/>
        </w:rPr>
        <w:t xml:space="preserve">the </w:t>
      </w:r>
      <w:r w:rsidR="008E1FAF">
        <w:rPr>
          <w:rFonts w:ascii="Courier New" w:hAnsi="Courier New" w:cs="Courier New"/>
          <w:bCs/>
          <w:color w:val="333333"/>
        </w:rPr>
        <w:t>appellant’s dominant function and use of the subject property was to offer a place for its members to gather, socialize, and use the subject property’s firing ranges.</w:t>
      </w:r>
      <w:r w:rsidR="002773BD">
        <w:rPr>
          <w:rFonts w:ascii="Courier New" w:hAnsi="Courier New" w:cs="Arial"/>
        </w:rPr>
        <w:t xml:space="preserve">  This use </w:t>
      </w:r>
      <w:r>
        <w:rPr>
          <w:rFonts w:ascii="Courier New" w:hAnsi="Courier New" w:cs="Arial"/>
        </w:rPr>
        <w:t xml:space="preserve">was not </w:t>
      </w:r>
      <w:r w:rsidR="002773BD">
        <w:rPr>
          <w:rFonts w:ascii="Courier New" w:hAnsi="Courier New" w:cs="Arial"/>
        </w:rPr>
        <w:t xml:space="preserve">primarily for </w:t>
      </w:r>
      <w:r>
        <w:rPr>
          <w:rFonts w:ascii="Courier New" w:hAnsi="Courier New" w:cs="Arial"/>
        </w:rPr>
        <w:t>public, charitable purposes, but for t</w:t>
      </w:r>
      <w:r w:rsidR="00BF2E24">
        <w:rPr>
          <w:rFonts w:ascii="Courier New" w:hAnsi="Courier New" w:cs="Arial"/>
        </w:rPr>
        <w:t>he private, recreational use</w:t>
      </w:r>
      <w:r w:rsidR="002773BD">
        <w:rPr>
          <w:rFonts w:ascii="Courier New" w:hAnsi="Courier New" w:cs="Arial"/>
        </w:rPr>
        <w:t xml:space="preserve"> of the appellant’s </w:t>
      </w:r>
      <w:r>
        <w:rPr>
          <w:rFonts w:ascii="Courier New" w:hAnsi="Courier New" w:cs="Arial"/>
        </w:rPr>
        <w:t xml:space="preserve">members.  </w:t>
      </w:r>
      <w:r w:rsidR="00C13609">
        <w:rPr>
          <w:rFonts w:ascii="Courier New" w:hAnsi="Courier New" w:cs="Arial"/>
        </w:rPr>
        <w:t>As will be discussed further in the Opinion below</w:t>
      </w:r>
      <w:r w:rsidR="00B21F64">
        <w:rPr>
          <w:rFonts w:ascii="Courier New" w:hAnsi="Courier New" w:cs="Arial"/>
        </w:rPr>
        <w:t>, although the appellant provided</w:t>
      </w:r>
      <w:r w:rsidR="00C13609">
        <w:rPr>
          <w:rFonts w:ascii="Courier New" w:hAnsi="Courier New" w:cs="Arial"/>
        </w:rPr>
        <w:t xml:space="preserve"> </w:t>
      </w:r>
      <w:r w:rsidR="00B21F64">
        <w:rPr>
          <w:rFonts w:ascii="Courier New" w:hAnsi="Courier New" w:cs="Arial"/>
        </w:rPr>
        <w:t xml:space="preserve">evidence showing that it offered certain educational programming at the subject property and also allowed non-members, including various charitable organizations, to use the subject property, the record lacked specific information showing when, or how frequently, educational programming and </w:t>
      </w:r>
      <w:r w:rsidR="00B74683">
        <w:rPr>
          <w:rFonts w:ascii="Courier New" w:hAnsi="Courier New" w:cs="Arial"/>
        </w:rPr>
        <w:t xml:space="preserve">use by the public </w:t>
      </w:r>
      <w:r w:rsidR="00B21F64">
        <w:rPr>
          <w:rFonts w:ascii="Courier New" w:hAnsi="Courier New" w:cs="Arial"/>
        </w:rPr>
        <w:t xml:space="preserve">occurred during the period relevant to this appeal. </w:t>
      </w:r>
    </w:p>
    <w:p w:rsidR="00085304" w:rsidRDefault="00603313" w:rsidP="003B7C01">
      <w:pPr>
        <w:spacing w:line="480" w:lineRule="auto"/>
        <w:ind w:firstLine="720"/>
        <w:jc w:val="both"/>
        <w:rPr>
          <w:rFonts w:ascii="Courier New" w:hAnsi="Courier New" w:cs="Arial"/>
        </w:rPr>
      </w:pPr>
      <w:r>
        <w:rPr>
          <w:rFonts w:ascii="Courier New" w:hAnsi="Courier New" w:cs="Arial"/>
        </w:rPr>
        <w:t>Moreover, despite the appellant’s stated purposes of supporting “</w:t>
      </w:r>
      <w:r>
        <w:rPr>
          <w:rFonts w:ascii="Courier New" w:hAnsi="Courier New" w:cs="Courier New"/>
        </w:rPr>
        <w:t>conservation and preservation of the environment, open space and wild habitat,” there was no indication in the record as to what steps the appellant took in furtherance of those purposes</w:t>
      </w:r>
      <w:r w:rsidR="008467FC">
        <w:rPr>
          <w:rFonts w:ascii="Courier New" w:hAnsi="Courier New" w:cs="Courier New"/>
        </w:rPr>
        <w:t xml:space="preserve">.  </w:t>
      </w:r>
      <w:r w:rsidR="0088304E">
        <w:rPr>
          <w:rFonts w:ascii="Courier New" w:hAnsi="Courier New" w:cs="Courier New"/>
        </w:rPr>
        <w:t xml:space="preserve">Though the appellant maintained the subject </w:t>
      </w:r>
      <w:r w:rsidR="0088304E">
        <w:rPr>
          <w:rFonts w:ascii="Courier New" w:hAnsi="Courier New" w:cs="Courier New"/>
        </w:rPr>
        <w:lastRenderedPageBreak/>
        <w:t xml:space="preserve">property in a substantially natural and open condition, there was </w:t>
      </w:r>
      <w:r w:rsidR="00604F7F">
        <w:rPr>
          <w:rFonts w:ascii="Courier New" w:hAnsi="Courier New" w:cs="Courier New"/>
        </w:rPr>
        <w:t xml:space="preserve">no evidence in the record showing active efforts on the part of the appellant to promote conservation and preservation at the subject property.  There was </w:t>
      </w:r>
      <w:r w:rsidR="0088304E">
        <w:rPr>
          <w:rFonts w:ascii="Courier New" w:hAnsi="Courier New" w:cs="Courier New"/>
        </w:rPr>
        <w:t xml:space="preserve">nothing in the record to differentiate the </w:t>
      </w:r>
      <w:r w:rsidR="00B55BAB">
        <w:rPr>
          <w:rFonts w:ascii="Courier New" w:hAnsi="Courier New" w:cs="Courier New"/>
        </w:rPr>
        <w:t xml:space="preserve">use of the </w:t>
      </w:r>
      <w:r w:rsidR="0088304E">
        <w:rPr>
          <w:rFonts w:ascii="Courier New" w:hAnsi="Courier New" w:cs="Courier New"/>
        </w:rPr>
        <w:t xml:space="preserve">subject property </w:t>
      </w:r>
      <w:r w:rsidR="000B58B2">
        <w:rPr>
          <w:rFonts w:ascii="Courier New" w:hAnsi="Courier New" w:cs="Courier New"/>
        </w:rPr>
        <w:t xml:space="preserve">in this respect </w:t>
      </w:r>
      <w:r w:rsidR="0088304E">
        <w:rPr>
          <w:rFonts w:ascii="Courier New" w:hAnsi="Courier New" w:cs="Courier New"/>
        </w:rPr>
        <w:t>from</w:t>
      </w:r>
      <w:r w:rsidR="000B58B2">
        <w:rPr>
          <w:rFonts w:ascii="Courier New" w:hAnsi="Courier New" w:cs="Courier New"/>
        </w:rPr>
        <w:t xml:space="preserve"> any other large, substantially natural parcel. </w:t>
      </w:r>
      <w:r w:rsidR="0088304E">
        <w:rPr>
          <w:rFonts w:ascii="Courier New" w:hAnsi="Courier New" w:cs="Courier New"/>
        </w:rPr>
        <w:t xml:space="preserve"> </w:t>
      </w:r>
    </w:p>
    <w:p w:rsidR="000E3A0E" w:rsidRPr="00431D33" w:rsidRDefault="008E1FAF" w:rsidP="003B7C01">
      <w:pPr>
        <w:spacing w:line="480" w:lineRule="auto"/>
        <w:ind w:firstLine="720"/>
        <w:jc w:val="both"/>
        <w:rPr>
          <w:rFonts w:ascii="Courier New" w:hAnsi="Courier New" w:cs="Arial"/>
        </w:rPr>
      </w:pPr>
      <w:r>
        <w:rPr>
          <w:rFonts w:ascii="Courier New" w:hAnsi="Courier New" w:cs="Arial"/>
        </w:rPr>
        <w:t>In addition</w:t>
      </w:r>
      <w:r w:rsidR="00085304">
        <w:rPr>
          <w:rFonts w:ascii="Courier New" w:hAnsi="Courier New" w:cs="Arial"/>
        </w:rPr>
        <w:t xml:space="preserve">, although the appellant contended that members of the public were welcome to, and did, make </w:t>
      </w:r>
      <w:r w:rsidR="00160B80">
        <w:rPr>
          <w:rFonts w:ascii="Courier New" w:hAnsi="Courier New" w:cs="Arial"/>
        </w:rPr>
        <w:t xml:space="preserve">regular </w:t>
      </w:r>
      <w:r w:rsidR="00085304">
        <w:rPr>
          <w:rFonts w:ascii="Courier New" w:hAnsi="Courier New" w:cs="Arial"/>
        </w:rPr>
        <w:t>use of the subject property for fishing, hiking, dog walking</w:t>
      </w:r>
      <w:r w:rsidR="00116292">
        <w:rPr>
          <w:rFonts w:ascii="Courier New" w:hAnsi="Courier New" w:cs="Arial"/>
        </w:rPr>
        <w:t>,</w:t>
      </w:r>
      <w:r w:rsidR="00085304">
        <w:rPr>
          <w:rFonts w:ascii="Courier New" w:hAnsi="Courier New" w:cs="Arial"/>
        </w:rPr>
        <w:t xml:space="preserve"> and other recreational activities, there was no indication in the record as to how the appellant advertised the availability of the subject property to the public, nor was there documenta</w:t>
      </w:r>
      <w:r w:rsidR="00B5729C">
        <w:rPr>
          <w:rFonts w:ascii="Courier New" w:hAnsi="Courier New" w:cs="Arial"/>
        </w:rPr>
        <w:t xml:space="preserve">tion of the frequency </w:t>
      </w:r>
      <w:r w:rsidR="00085304">
        <w:rPr>
          <w:rFonts w:ascii="Courier New" w:hAnsi="Courier New" w:cs="Arial"/>
        </w:rPr>
        <w:t xml:space="preserve">of such use of the subject property by members of the public.  To the contrary, as shown on photographs </w:t>
      </w:r>
      <w:r w:rsidR="00085304" w:rsidRPr="00431D33">
        <w:rPr>
          <w:rFonts w:ascii="Courier New" w:hAnsi="Courier New" w:cs="Arial"/>
        </w:rPr>
        <w:t xml:space="preserve">introduced by the assessors, prominent signs displayed on the subject property during the period relevant to this appeal indicated that members of the public </w:t>
      </w:r>
      <w:r w:rsidR="002A4142" w:rsidRPr="00431D33">
        <w:rPr>
          <w:rFonts w:ascii="Courier New" w:hAnsi="Courier New" w:cs="Arial"/>
        </w:rPr>
        <w:t xml:space="preserve">were prohibited from using the subject property.  </w:t>
      </w:r>
    </w:p>
    <w:p w:rsidR="00B93DD5" w:rsidRDefault="00B93DD5" w:rsidP="00B93DD5">
      <w:pPr>
        <w:spacing w:line="480" w:lineRule="auto"/>
        <w:jc w:val="both"/>
        <w:rPr>
          <w:rFonts w:ascii="Courier New" w:hAnsi="Courier New" w:cs="Arial"/>
        </w:rPr>
      </w:pPr>
      <w:r w:rsidRPr="00431D33">
        <w:rPr>
          <w:rFonts w:ascii="Courier New" w:hAnsi="Courier New" w:cs="Arial"/>
        </w:rPr>
        <w:tab/>
        <w:t>Accordingly, on the basis of the evidence, the Board concluded that the appell</w:t>
      </w:r>
      <w:r w:rsidR="00B5729C">
        <w:rPr>
          <w:rFonts w:ascii="Courier New" w:hAnsi="Courier New" w:cs="Arial"/>
        </w:rPr>
        <w:t xml:space="preserve">ant failed to establish that it was a charitable organization for purposes of Clause Third or that it occupied the subject property in furtherance of </w:t>
      </w:r>
      <w:r w:rsidR="00066168">
        <w:rPr>
          <w:rFonts w:ascii="Courier New" w:hAnsi="Courier New" w:cs="Arial"/>
        </w:rPr>
        <w:t xml:space="preserve">its </w:t>
      </w:r>
      <w:r w:rsidR="00B5729C">
        <w:rPr>
          <w:rFonts w:ascii="Courier New" w:hAnsi="Courier New" w:cs="Arial"/>
        </w:rPr>
        <w:t>charitable purposes</w:t>
      </w:r>
      <w:r w:rsidRPr="00431D33">
        <w:rPr>
          <w:rFonts w:ascii="Courier New" w:hAnsi="Courier New" w:cs="Arial"/>
        </w:rPr>
        <w:t xml:space="preserve">.  The Board thus found and ruled that the subject </w:t>
      </w:r>
      <w:r w:rsidRPr="00431D33">
        <w:rPr>
          <w:rFonts w:ascii="Courier New" w:hAnsi="Courier New" w:cs="Arial"/>
        </w:rPr>
        <w:lastRenderedPageBreak/>
        <w:t>property was not exempt from taxation under Clause Third, and it therefore issued a decision for the appellee in this appeal.</w:t>
      </w:r>
    </w:p>
    <w:p w:rsidR="00604F7F" w:rsidRPr="00C8089F" w:rsidRDefault="00604F7F" w:rsidP="00B93DD5">
      <w:pPr>
        <w:spacing w:line="480" w:lineRule="auto"/>
        <w:jc w:val="both"/>
        <w:rPr>
          <w:rFonts w:ascii="Courier New" w:hAnsi="Courier New" w:cs="Arial"/>
          <w:b/>
        </w:rPr>
      </w:pPr>
      <w:r>
        <w:rPr>
          <w:rFonts w:ascii="Courier New" w:hAnsi="Courier New" w:cs="Arial"/>
        </w:rPr>
        <w:tab/>
      </w:r>
      <w:r>
        <w:rPr>
          <w:rFonts w:ascii="Courier New" w:hAnsi="Courier New" w:cs="Arial"/>
        </w:rPr>
        <w:tab/>
      </w:r>
      <w:r>
        <w:rPr>
          <w:rFonts w:ascii="Courier New" w:hAnsi="Courier New" w:cs="Arial"/>
        </w:rPr>
        <w:tab/>
      </w:r>
      <w:r>
        <w:rPr>
          <w:rFonts w:ascii="Courier New" w:hAnsi="Courier New" w:cs="Arial"/>
        </w:rPr>
        <w:tab/>
      </w:r>
      <w:r>
        <w:rPr>
          <w:rFonts w:ascii="Courier New" w:hAnsi="Courier New" w:cs="Arial"/>
        </w:rPr>
        <w:tab/>
      </w:r>
      <w:r w:rsidR="00533591">
        <w:rPr>
          <w:rFonts w:ascii="Courier New" w:hAnsi="Courier New" w:cs="Arial"/>
        </w:rPr>
        <w:t xml:space="preserve"> </w:t>
      </w:r>
      <w:r w:rsidR="00147E37">
        <w:rPr>
          <w:rFonts w:ascii="Courier New" w:hAnsi="Courier New" w:cs="Arial"/>
        </w:rPr>
        <w:t xml:space="preserve"> </w:t>
      </w:r>
      <w:r w:rsidR="00C8089F">
        <w:rPr>
          <w:rFonts w:ascii="Courier New" w:hAnsi="Courier New" w:cs="Arial"/>
        </w:rPr>
        <w:t xml:space="preserve"> </w:t>
      </w:r>
      <w:r w:rsidRPr="00C8089F">
        <w:rPr>
          <w:rFonts w:ascii="Courier New" w:hAnsi="Courier New" w:cs="Arial"/>
          <w:b/>
        </w:rPr>
        <w:t>OPINION</w:t>
      </w:r>
    </w:p>
    <w:p w:rsidR="0012267B" w:rsidRPr="0012267B" w:rsidRDefault="0012267B" w:rsidP="0012267B">
      <w:pPr>
        <w:widowControl w:val="0"/>
        <w:autoSpaceDE w:val="0"/>
        <w:autoSpaceDN w:val="0"/>
        <w:adjustRightInd w:val="0"/>
        <w:spacing w:line="480" w:lineRule="auto"/>
        <w:ind w:firstLine="720"/>
        <w:jc w:val="both"/>
        <w:rPr>
          <w:rFonts w:ascii="Courier New" w:hAnsi="Courier New" w:cs="Courier New"/>
          <w:bCs/>
        </w:rPr>
      </w:pPr>
      <w:r w:rsidRPr="0012267B">
        <w:rPr>
          <w:rFonts w:ascii="Courier New" w:hAnsi="Courier New" w:cs="Courier New"/>
          <w:bCs/>
        </w:rPr>
        <w:t>Clause Third provides in pertinent part that “real estate owned by or held in trust for a charitable organization and occupied by it or its officers for the purposes for which it is organized” is exempt from taxation.  The</w:t>
      </w:r>
      <w:r w:rsidR="00533591">
        <w:rPr>
          <w:rFonts w:ascii="Courier New" w:hAnsi="Courier New" w:cs="Courier New"/>
          <w:bCs/>
        </w:rPr>
        <w:t xml:space="preserve">re is no dispute here that WRGC </w:t>
      </w:r>
      <w:r w:rsidRPr="0012267B">
        <w:rPr>
          <w:rFonts w:ascii="Courier New" w:hAnsi="Courier New" w:cs="Courier New"/>
          <w:bCs/>
        </w:rPr>
        <w:t xml:space="preserve">owns the subject property.  Therefore, to qualify for the exemption, </w:t>
      </w:r>
      <w:r w:rsidR="00533591">
        <w:rPr>
          <w:rFonts w:ascii="Courier New" w:hAnsi="Courier New" w:cs="Courier New"/>
          <w:bCs/>
        </w:rPr>
        <w:t>WRGC</w:t>
      </w:r>
      <w:r w:rsidRPr="0012267B">
        <w:rPr>
          <w:rFonts w:ascii="Courier New" w:hAnsi="Courier New" w:cs="Courier New"/>
          <w:bCs/>
        </w:rPr>
        <w:t xml:space="preserve"> must prove that (1) it is a charitable organization and (2) it occupies the subject property in furtherance of its stated charitable purposes.  </w:t>
      </w:r>
      <w:r w:rsidRPr="0012267B">
        <w:rPr>
          <w:rFonts w:ascii="Courier New" w:hAnsi="Courier New" w:cs="Courier New"/>
          <w:bCs/>
          <w:i/>
          <w:iCs/>
        </w:rPr>
        <w:t xml:space="preserve">See </w:t>
      </w:r>
      <w:r w:rsidRPr="0012267B">
        <w:rPr>
          <w:rFonts w:ascii="Courier New" w:hAnsi="Courier New" w:cs="Courier New"/>
          <w:b/>
          <w:i/>
          <w:iCs/>
        </w:rPr>
        <w:t>Jewish Geriatric Services, Inc. v. Longmeadow</w:t>
      </w:r>
      <w:r w:rsidR="00CD6ED2">
        <w:rPr>
          <w:rFonts w:ascii="Courier New" w:hAnsi="Courier New" w:cs="Courier New"/>
          <w:bCs/>
        </w:rPr>
        <w:t>,</w:t>
      </w:r>
      <w:r w:rsidRPr="0012267B">
        <w:rPr>
          <w:rFonts w:ascii="Courier New" w:hAnsi="Courier New" w:cs="Courier New"/>
          <w:bCs/>
        </w:rPr>
        <w:t xml:space="preserve"> Mass. ATB Findings of Fact and Reports 2002-337, 351, </w:t>
      </w:r>
      <w:r w:rsidRPr="0012267B">
        <w:rPr>
          <w:rFonts w:ascii="Courier New" w:hAnsi="Courier New" w:cs="Courier New"/>
          <w:bCs/>
          <w:i/>
          <w:iCs/>
        </w:rPr>
        <w:t>aff'd</w:t>
      </w:r>
      <w:r w:rsidRPr="0012267B">
        <w:rPr>
          <w:rFonts w:ascii="Courier New" w:hAnsi="Courier New" w:cs="Courier New"/>
          <w:bCs/>
        </w:rPr>
        <w:t xml:space="preserve">, </w:t>
      </w:r>
      <w:hyperlink r:id="rId9" w:history="1">
        <w:r w:rsidRPr="00533591">
          <w:rPr>
            <w:rFonts w:ascii="Courier New" w:hAnsi="Courier New"/>
            <w:bCs/>
          </w:rPr>
          <w:t>61 Mass. App. Ct. 73 (2004)</w:t>
        </w:r>
      </w:hyperlink>
      <w:r w:rsidRPr="0012267B">
        <w:rPr>
          <w:rFonts w:ascii="Courier New" w:hAnsi="Courier New" w:cs="Courier New"/>
          <w:bCs/>
        </w:rPr>
        <w:t xml:space="preserve"> (citing </w:t>
      </w:r>
      <w:hyperlink r:id="rId10" w:history="1">
        <w:r w:rsidRPr="00533591">
          <w:rPr>
            <w:rFonts w:ascii="Courier New" w:hAnsi="Courier New"/>
            <w:b/>
            <w:i/>
            <w:iCs/>
          </w:rPr>
          <w:t>Assessors of Hamilton v. Iron Rail Fund of Girls Club of America</w:t>
        </w:r>
        <w:r w:rsidRPr="00533591">
          <w:rPr>
            <w:rFonts w:ascii="Courier New" w:hAnsi="Courier New"/>
            <w:bCs/>
          </w:rPr>
          <w:t>, 367 Mass. 301, 306 (1975)).</w:t>
        </w:r>
      </w:hyperlink>
      <w:r w:rsidRPr="0012267B">
        <w:rPr>
          <w:rFonts w:ascii="Courier New" w:hAnsi="Courier New" w:cs="Courier New"/>
          <w:bCs/>
        </w:rPr>
        <w:t xml:space="preserve">  </w:t>
      </w:r>
    </w:p>
    <w:p w:rsidR="00E93105" w:rsidRPr="00E449C2" w:rsidRDefault="0012267B" w:rsidP="00E449C2">
      <w:pPr>
        <w:widowControl w:val="0"/>
        <w:autoSpaceDE w:val="0"/>
        <w:autoSpaceDN w:val="0"/>
        <w:adjustRightInd w:val="0"/>
        <w:spacing w:line="480" w:lineRule="auto"/>
        <w:ind w:firstLine="720"/>
        <w:jc w:val="both"/>
        <w:rPr>
          <w:rFonts w:ascii="Courier New" w:hAnsi="Courier New" w:cs="Courier New"/>
          <w:bCs/>
        </w:rPr>
      </w:pPr>
      <w:r w:rsidRPr="0012267B">
        <w:rPr>
          <w:rFonts w:ascii="Courier New" w:hAnsi="Courier New" w:cs="Courier New"/>
          <w:bCs/>
        </w:rPr>
        <w:t xml:space="preserve">The burden of establishing entitlement to the charitable exemption lies with the taxpayer.  </w:t>
      </w:r>
      <w:r w:rsidRPr="0012267B">
        <w:rPr>
          <w:rFonts w:ascii="Courier New" w:hAnsi="Courier New" w:cs="Courier New"/>
          <w:b/>
          <w:bCs/>
          <w:i/>
        </w:rPr>
        <w:t xml:space="preserve">New England Legal Found. v. Boston, </w:t>
      </w:r>
      <w:r w:rsidRPr="0012267B">
        <w:rPr>
          <w:rFonts w:ascii="Courier New" w:hAnsi="Courier New" w:cs="Courier New"/>
          <w:bCs/>
        </w:rPr>
        <w:t xml:space="preserve">423 Mass. 602, 609 (1996).  </w:t>
      </w:r>
      <w:r w:rsidR="000F6EA7">
        <w:rPr>
          <w:rFonts w:ascii="Courier New" w:hAnsi="Courier New" w:cs="Courier New"/>
          <w:bCs/>
        </w:rPr>
        <w:t>“</w:t>
      </w:r>
      <w:r w:rsidRPr="00CD6ED2">
        <w:rPr>
          <w:rFonts w:ascii="Courier New" w:hAnsi="Courier New" w:cs="Courier New"/>
          <w:bCs/>
        </w:rPr>
        <w:t>Any doubt must operate against the one claiming an exemption, because the burden of proof is upon the one claiming an exemption from taxation to show clearly and unequivocally that he comes within the terms.</w:t>
      </w:r>
      <w:r w:rsidR="000F6EA7">
        <w:rPr>
          <w:rFonts w:ascii="Courier New" w:hAnsi="Courier New" w:cs="Courier New"/>
          <w:bCs/>
        </w:rPr>
        <w:t>”</w:t>
      </w:r>
      <w:r w:rsidRPr="00CD6ED2">
        <w:rPr>
          <w:rFonts w:ascii="Courier New" w:hAnsi="Courier New" w:cs="Courier New"/>
          <w:bCs/>
        </w:rPr>
        <w:t xml:space="preserve">  </w:t>
      </w:r>
      <w:hyperlink r:id="rId11" w:history="1">
        <w:r w:rsidRPr="00533591">
          <w:rPr>
            <w:rFonts w:ascii="Courier New" w:hAnsi="Courier New"/>
            <w:b/>
            <w:i/>
            <w:iCs/>
          </w:rPr>
          <w:t>Boston Symphony Orchestra, Inc. v. Assessors of Boston</w:t>
        </w:r>
        <w:r w:rsidRPr="00533591">
          <w:rPr>
            <w:rFonts w:ascii="Courier New" w:hAnsi="Courier New"/>
            <w:bCs/>
          </w:rPr>
          <w:t>, 294</w:t>
        </w:r>
        <w:r w:rsidR="003F1394">
          <w:rPr>
            <w:rFonts w:ascii="Courier New" w:hAnsi="Courier New"/>
            <w:bCs/>
          </w:rPr>
          <w:t> </w:t>
        </w:r>
        <w:r w:rsidRPr="00533591">
          <w:rPr>
            <w:rFonts w:ascii="Courier New" w:hAnsi="Courier New"/>
            <w:bCs/>
          </w:rPr>
          <w:t>Mass. 248, 257 (1936).</w:t>
        </w:r>
      </w:hyperlink>
      <w:r w:rsidRPr="0012267B">
        <w:rPr>
          <w:rFonts w:ascii="Courier New" w:hAnsi="Courier New" w:cs="Courier New"/>
          <w:bCs/>
        </w:rPr>
        <w:t xml:space="preserve">  “‘Exemption from taxation is a matter of special favor or grace.  It will be recognized only </w:t>
      </w:r>
      <w:r w:rsidRPr="0012267B">
        <w:rPr>
          <w:rFonts w:ascii="Courier New" w:hAnsi="Courier New" w:cs="Courier New"/>
          <w:bCs/>
        </w:rPr>
        <w:lastRenderedPageBreak/>
        <w:t xml:space="preserve">where the property falls clearly and unmistakably within the express words of a legislative command.’”  </w:t>
      </w:r>
      <w:r w:rsidRPr="0012267B">
        <w:rPr>
          <w:rFonts w:ascii="Courier New" w:hAnsi="Courier New" w:cs="Courier New"/>
          <w:b/>
          <w:bCs/>
          <w:i/>
        </w:rPr>
        <w:t xml:space="preserve">Mass. Med. Soc’y v. Assessors of Boston, </w:t>
      </w:r>
      <w:r w:rsidRPr="0012267B">
        <w:rPr>
          <w:rFonts w:ascii="Courier New" w:hAnsi="Courier New" w:cs="Courier New"/>
          <w:bCs/>
        </w:rPr>
        <w:t xml:space="preserve">340 Mass. 327, 331 (1960) (quoting </w:t>
      </w:r>
      <w:r w:rsidRPr="0012267B">
        <w:rPr>
          <w:rFonts w:ascii="Courier New" w:hAnsi="Courier New" w:cs="Courier New"/>
          <w:b/>
          <w:bCs/>
          <w:i/>
          <w:color w:val="333333"/>
        </w:rPr>
        <w:t xml:space="preserve">Boston Chamber of Commerce v. Assessors of Boston, </w:t>
      </w:r>
      <w:r w:rsidRPr="0012267B">
        <w:rPr>
          <w:rFonts w:ascii="Courier New" w:hAnsi="Courier New" w:cs="Courier New"/>
          <w:bCs/>
          <w:color w:val="333333"/>
        </w:rPr>
        <w:t>315 Mass. 712, 718 (1944)).</w:t>
      </w:r>
      <w:r w:rsidRPr="0012267B">
        <w:rPr>
          <w:rFonts w:ascii="Courier New" w:hAnsi="Courier New" w:cs="Courier New"/>
          <w:bCs/>
        </w:rPr>
        <w:t xml:space="preserve">  </w:t>
      </w:r>
    </w:p>
    <w:p w:rsidR="0012267B" w:rsidRDefault="0012267B" w:rsidP="009B119C">
      <w:pPr>
        <w:autoSpaceDN w:val="0"/>
        <w:spacing w:line="480" w:lineRule="auto"/>
        <w:ind w:firstLine="720"/>
        <w:jc w:val="both"/>
        <w:rPr>
          <w:rFonts w:ascii="Courier New" w:hAnsi="Courier New" w:cs="Courier New"/>
        </w:rPr>
      </w:pPr>
      <w:r w:rsidRPr="0012267B">
        <w:rPr>
          <w:rFonts w:ascii="Courier New" w:hAnsi="Courier New" w:cs="Courier New"/>
        </w:rPr>
        <w:t xml:space="preserve">An organization will be considered a charitable organization for </w:t>
      </w:r>
      <w:r w:rsidR="009B119C">
        <w:rPr>
          <w:rFonts w:ascii="Courier New" w:hAnsi="Courier New" w:cs="Courier New"/>
        </w:rPr>
        <w:t>the purposes of Clause Third if “</w:t>
      </w:r>
      <w:r w:rsidRPr="0012267B">
        <w:rPr>
          <w:rFonts w:ascii="Courier New" w:hAnsi="Courier New" w:cs="Courier New"/>
        </w:rPr>
        <w:t>the dominant purpose of its work is for the public good and the work done for its members is but the means adopted for thi</w:t>
      </w:r>
      <w:r w:rsidR="009B119C">
        <w:rPr>
          <w:rFonts w:ascii="Courier New" w:hAnsi="Courier New" w:cs="Courier New"/>
        </w:rPr>
        <w:t xml:space="preserve">s purpose.” </w:t>
      </w:r>
      <w:r w:rsidRPr="0012267B">
        <w:rPr>
          <w:rFonts w:ascii="Courier New" w:hAnsi="Courier New" w:cs="Courier New"/>
          <w:b/>
          <w:i/>
        </w:rPr>
        <w:t xml:space="preserve">Harvard Community Health Plan v. Assessors of Cambridge, </w:t>
      </w:r>
      <w:r w:rsidRPr="0012267B">
        <w:rPr>
          <w:rFonts w:ascii="Courier New" w:hAnsi="Courier New" w:cs="Courier New"/>
        </w:rPr>
        <w:t xml:space="preserve">384 Mass. 536, 544 (1981) (quoting </w:t>
      </w:r>
      <w:r w:rsidRPr="0012267B">
        <w:rPr>
          <w:rFonts w:ascii="Courier New" w:hAnsi="Courier New" w:cs="Courier New"/>
          <w:b/>
          <w:i/>
        </w:rPr>
        <w:t xml:space="preserve">Mass. Medical Soc’y, </w:t>
      </w:r>
      <w:r w:rsidRPr="0012267B">
        <w:rPr>
          <w:rFonts w:ascii="Courier New" w:hAnsi="Courier New" w:cs="Courier New"/>
        </w:rPr>
        <w:t>340 Mass. at 332).</w:t>
      </w:r>
      <w:r w:rsidR="00A512E1">
        <w:rPr>
          <w:rFonts w:ascii="Courier New" w:hAnsi="Courier New" w:cs="Courier New"/>
        </w:rPr>
        <w:t xml:space="preserve"> Factors developed by the courts over the years to determine if an organization is charitable include:</w:t>
      </w:r>
    </w:p>
    <w:p w:rsidR="00A512E1" w:rsidRDefault="00A512E1" w:rsidP="000D2AF5">
      <w:pPr>
        <w:autoSpaceDN w:val="0"/>
        <w:ind w:left="720" w:right="720"/>
        <w:jc w:val="both"/>
        <w:rPr>
          <w:rFonts w:ascii="Courier New" w:hAnsi="Courier New" w:cs="Courier New"/>
        </w:rPr>
      </w:pPr>
      <w:r w:rsidRPr="00533591">
        <w:rPr>
          <w:rFonts w:ascii="Courier New" w:hAnsi="Courier New" w:cs="Courier New"/>
        </w:rPr>
        <w:t>whether the organization provides low-cost or free services to those unable to pay[;] whether it charges fees for its services and how much those fees are[;] whether it offers its services to a large or ‘fluid’ group of beneficiaries and how large and fluid that group is[;] whether the organization provides its services to those from all segments of society and from all walks of life[;] and whether the organization limits its services to those who fulfill certain qualifications and how those limitations help advance the organization’s charitable purpos</w:t>
      </w:r>
      <w:r w:rsidR="009C6090">
        <w:rPr>
          <w:rFonts w:ascii="Courier New" w:hAnsi="Courier New" w:cs="Courier New"/>
        </w:rPr>
        <w:t>es.</w:t>
      </w:r>
      <w:r w:rsidRPr="00533591">
        <w:rPr>
          <w:rFonts w:ascii="Courier New" w:hAnsi="Courier New" w:cs="Courier New"/>
        </w:rPr>
        <w:t xml:space="preserve"> </w:t>
      </w:r>
    </w:p>
    <w:p w:rsidR="00B7406F" w:rsidRDefault="00B7406F" w:rsidP="00B7406F">
      <w:pPr>
        <w:autoSpaceDN w:val="0"/>
        <w:ind w:right="720"/>
        <w:jc w:val="both"/>
        <w:rPr>
          <w:rFonts w:ascii="Courier New" w:hAnsi="Courier New" w:cs="Courier New"/>
        </w:rPr>
      </w:pPr>
    </w:p>
    <w:p w:rsidR="00F6412D" w:rsidRDefault="00B7406F" w:rsidP="000F6EA7">
      <w:pPr>
        <w:autoSpaceDN w:val="0"/>
        <w:spacing w:line="480" w:lineRule="auto"/>
        <w:jc w:val="both"/>
        <w:rPr>
          <w:rFonts w:ascii="Courier New" w:hAnsi="Courier New" w:cs="Courier New"/>
          <w:bCs/>
        </w:rPr>
      </w:pPr>
      <w:r w:rsidRPr="0012267B">
        <w:rPr>
          <w:rFonts w:ascii="Courier New" w:hAnsi="Courier New" w:cs="Courier New"/>
          <w:b/>
          <w:bCs/>
          <w:i/>
        </w:rPr>
        <w:t>New Habitat, Inc. v. Tax Collector of Cambridge</w:t>
      </w:r>
      <w:r w:rsidRPr="0012267B">
        <w:rPr>
          <w:rFonts w:ascii="Courier New" w:hAnsi="Courier New" w:cs="Courier New"/>
          <w:bCs/>
        </w:rPr>
        <w:t>, 451 Mass.</w:t>
      </w:r>
      <w:r w:rsidR="00774F1A">
        <w:rPr>
          <w:rFonts w:ascii="Courier New" w:hAnsi="Courier New" w:cs="Courier New"/>
          <w:bCs/>
        </w:rPr>
        <w:t xml:space="preserve"> </w:t>
      </w:r>
      <w:r w:rsidRPr="0012267B">
        <w:rPr>
          <w:rFonts w:ascii="Courier New" w:hAnsi="Courier New" w:cs="Courier New"/>
          <w:bCs/>
        </w:rPr>
        <w:t>729</w:t>
      </w:r>
      <w:r>
        <w:rPr>
          <w:rFonts w:ascii="Courier New" w:hAnsi="Courier New" w:cs="Courier New"/>
          <w:bCs/>
        </w:rPr>
        <w:t>,</w:t>
      </w:r>
      <w:r w:rsidR="00DB395D">
        <w:rPr>
          <w:rFonts w:ascii="Courier New" w:hAnsi="Courier New" w:cs="Courier New"/>
          <w:bCs/>
        </w:rPr>
        <w:t xml:space="preserve"> </w:t>
      </w:r>
      <w:r>
        <w:rPr>
          <w:rFonts w:ascii="Courier New" w:hAnsi="Courier New" w:cs="Courier New"/>
          <w:bCs/>
        </w:rPr>
        <w:t>732-33</w:t>
      </w:r>
      <w:r w:rsidRPr="0012267B">
        <w:rPr>
          <w:rFonts w:ascii="Courier New" w:hAnsi="Courier New" w:cs="Courier New"/>
          <w:bCs/>
        </w:rPr>
        <w:t xml:space="preserve"> (2008)</w:t>
      </w:r>
      <w:r w:rsidR="00A512E1" w:rsidRPr="00533591">
        <w:rPr>
          <w:rFonts w:ascii="Courier New" w:hAnsi="Courier New" w:cs="Courier New"/>
        </w:rPr>
        <w:t xml:space="preserve"> (citations omitted).</w:t>
      </w:r>
    </w:p>
    <w:p w:rsidR="0012267B" w:rsidRPr="0012267B" w:rsidRDefault="0012267B" w:rsidP="00F6412D">
      <w:pPr>
        <w:autoSpaceDN w:val="0"/>
        <w:spacing w:line="480" w:lineRule="auto"/>
        <w:ind w:firstLine="720"/>
        <w:jc w:val="both"/>
        <w:rPr>
          <w:rFonts w:ascii="Courier New" w:hAnsi="Courier New" w:cs="Courier New"/>
          <w:bCs/>
        </w:rPr>
      </w:pPr>
      <w:r w:rsidRPr="0012267B">
        <w:rPr>
          <w:rFonts w:ascii="Courier New" w:hAnsi="Courier New" w:cs="Courier New"/>
          <w:bCs/>
        </w:rPr>
        <w:t xml:space="preserve">In </w:t>
      </w:r>
      <w:r w:rsidR="00B7406F">
        <w:rPr>
          <w:rFonts w:ascii="Courier New" w:hAnsi="Courier New" w:cs="Courier New"/>
          <w:b/>
          <w:bCs/>
          <w:i/>
        </w:rPr>
        <w:t>New Habitat</w:t>
      </w:r>
      <w:r w:rsidRPr="0012267B">
        <w:rPr>
          <w:rFonts w:ascii="Courier New" w:hAnsi="Courier New" w:cs="Courier New"/>
          <w:bCs/>
        </w:rPr>
        <w:t xml:space="preserve">, the Supreme Judicial Court offered a new “interpretive lens” through which to view Clause Third exemption claims.  </w:t>
      </w:r>
      <w:r w:rsidRPr="0012267B">
        <w:rPr>
          <w:rFonts w:ascii="Courier New" w:hAnsi="Courier New" w:cs="Courier New"/>
          <w:bCs/>
          <w:i/>
        </w:rPr>
        <w:t xml:space="preserve">See </w:t>
      </w:r>
      <w:r w:rsidRPr="0012267B">
        <w:rPr>
          <w:rFonts w:ascii="Courier New" w:hAnsi="Courier New" w:cs="Courier New"/>
          <w:b/>
          <w:bCs/>
          <w:i/>
        </w:rPr>
        <w:t xml:space="preserve">Mary Ann Morse Healthcare Corp. v. Assessors of </w:t>
      </w:r>
      <w:r w:rsidRPr="0012267B">
        <w:rPr>
          <w:rFonts w:ascii="Courier New" w:hAnsi="Courier New" w:cs="Courier New"/>
          <w:b/>
          <w:bCs/>
          <w:i/>
        </w:rPr>
        <w:lastRenderedPageBreak/>
        <w:t>Framingham</w:t>
      </w:r>
      <w:r w:rsidRPr="0012267B">
        <w:rPr>
          <w:rFonts w:ascii="Courier New" w:hAnsi="Courier New" w:cs="Courier New"/>
          <w:bCs/>
        </w:rPr>
        <w:t xml:space="preserve">, 74 Mass. App. Ct. 701, 703 (2009).  Specifically, </w:t>
      </w:r>
      <w:r w:rsidRPr="0012267B">
        <w:rPr>
          <w:rFonts w:ascii="Courier New" w:hAnsi="Courier New" w:cs="Courier New"/>
          <w:b/>
          <w:bCs/>
          <w:i/>
        </w:rPr>
        <w:t>New Habitat</w:t>
      </w:r>
      <w:r w:rsidRPr="0012267B">
        <w:rPr>
          <w:rFonts w:ascii="Courier New" w:hAnsi="Courier New" w:cs="Courier New"/>
          <w:bCs/>
        </w:rPr>
        <w:t xml:space="preserve"> “conditions the importance of previously established factors on the extent to which ‘the dominant purposes and methods of the organization’ are traditionally charitable.”  </w:t>
      </w:r>
      <w:r w:rsidRPr="0012267B">
        <w:rPr>
          <w:rFonts w:ascii="Courier New" w:hAnsi="Courier New" w:cs="Courier New"/>
          <w:b/>
          <w:bCs/>
          <w:i/>
        </w:rPr>
        <w:t>Mary Ann Morse Healthcare Corp.</w:t>
      </w:r>
      <w:r w:rsidRPr="0012267B">
        <w:rPr>
          <w:rFonts w:ascii="Courier New" w:hAnsi="Courier New" w:cs="Courier New"/>
          <w:bCs/>
        </w:rPr>
        <w:t xml:space="preserve">, 74 Mass. App. Ct. at 703 (quoting </w:t>
      </w:r>
      <w:r w:rsidRPr="0012267B">
        <w:rPr>
          <w:rFonts w:ascii="Courier New" w:hAnsi="Courier New" w:cs="Courier New"/>
          <w:b/>
          <w:bCs/>
          <w:i/>
        </w:rPr>
        <w:t xml:space="preserve">New Habitat, </w:t>
      </w:r>
      <w:r w:rsidR="00DB395D">
        <w:rPr>
          <w:rFonts w:ascii="Courier New" w:hAnsi="Courier New" w:cs="Courier New"/>
          <w:bCs/>
        </w:rPr>
        <w:t>451</w:t>
      </w:r>
      <w:r w:rsidRPr="0012267B">
        <w:rPr>
          <w:rFonts w:ascii="Courier New" w:hAnsi="Courier New" w:cs="Courier New"/>
          <w:bCs/>
        </w:rPr>
        <w:t> Mass. at 733).  In other words, “[t]he closer an organization’s dominant purposes and methods are to traditionally charitable purposes and methods, the less significant these factors will be in [the] interpretation of the organization’s charitable status</w:t>
      </w:r>
      <w:r w:rsidR="0064571C">
        <w:rPr>
          <w:rFonts w:ascii="Courier New" w:hAnsi="Courier New" w:cs="Courier New"/>
          <w:bCs/>
        </w:rPr>
        <w:t>. . . . T</w:t>
      </w:r>
      <w:r w:rsidRPr="0012267B">
        <w:rPr>
          <w:rFonts w:ascii="Courier New" w:hAnsi="Courier New" w:cs="Courier New"/>
          <w:bCs/>
        </w:rPr>
        <w:t xml:space="preserve">he farther an organization’s dominant purposes and methods are from traditionally charitable purposes and methods, the more significant these factors will be.”  </w:t>
      </w:r>
      <w:r w:rsidRPr="0012267B">
        <w:rPr>
          <w:rFonts w:ascii="Courier New" w:hAnsi="Courier New" w:cs="Courier New"/>
          <w:b/>
          <w:bCs/>
          <w:i/>
        </w:rPr>
        <w:t>Mary Ann Morse Healthcare Corp.</w:t>
      </w:r>
      <w:r w:rsidRPr="0012267B">
        <w:rPr>
          <w:rFonts w:ascii="Courier New" w:hAnsi="Courier New" w:cs="Courier New"/>
          <w:bCs/>
        </w:rPr>
        <w:t xml:space="preserve">, 74 Mass. App. Ct. at 705.   </w:t>
      </w:r>
    </w:p>
    <w:p w:rsidR="0012267B" w:rsidRPr="0012267B" w:rsidRDefault="0012267B" w:rsidP="0012267B">
      <w:pPr>
        <w:widowControl w:val="0"/>
        <w:autoSpaceDE w:val="0"/>
        <w:autoSpaceDN w:val="0"/>
        <w:adjustRightInd w:val="0"/>
        <w:spacing w:line="480" w:lineRule="auto"/>
        <w:ind w:firstLine="720"/>
        <w:jc w:val="both"/>
        <w:rPr>
          <w:rFonts w:ascii="Courier New" w:hAnsi="Courier New" w:cs="Courier New"/>
          <w:bCs/>
        </w:rPr>
      </w:pPr>
      <w:r w:rsidRPr="0012267B">
        <w:rPr>
          <w:rFonts w:ascii="Courier New" w:hAnsi="Courier New" w:cs="Courier New"/>
          <w:bCs/>
        </w:rPr>
        <w:t xml:space="preserve">The court in </w:t>
      </w:r>
      <w:r w:rsidRPr="0012267B">
        <w:rPr>
          <w:rFonts w:ascii="Courier New" w:hAnsi="Courier New" w:cs="Courier New"/>
          <w:b/>
          <w:bCs/>
          <w:i/>
        </w:rPr>
        <w:t xml:space="preserve">New Habitat, </w:t>
      </w:r>
      <w:r w:rsidRPr="0012267B">
        <w:rPr>
          <w:rFonts w:ascii="Courier New" w:hAnsi="Courier New" w:cs="Courier New"/>
          <w:bCs/>
        </w:rPr>
        <w:t>quoting language from a mid-nineteenth century case, characterized the “traditional ob</w:t>
      </w:r>
      <w:r w:rsidR="00E449C2">
        <w:rPr>
          <w:rFonts w:ascii="Courier New" w:hAnsi="Courier New" w:cs="Courier New"/>
          <w:bCs/>
        </w:rPr>
        <w:t>jects and methods” of a Clause Third</w:t>
      </w:r>
      <w:r w:rsidRPr="0012267B">
        <w:rPr>
          <w:rFonts w:ascii="Courier New" w:hAnsi="Courier New" w:cs="Courier New"/>
          <w:bCs/>
        </w:rPr>
        <w:t xml:space="preserve"> charity as follows: </w:t>
      </w:r>
    </w:p>
    <w:p w:rsidR="0012267B" w:rsidRPr="0012267B" w:rsidRDefault="0012267B" w:rsidP="0012267B">
      <w:pPr>
        <w:widowControl w:val="0"/>
        <w:autoSpaceDE w:val="0"/>
        <w:autoSpaceDN w:val="0"/>
        <w:adjustRightInd w:val="0"/>
        <w:ind w:left="720" w:right="720"/>
        <w:jc w:val="both"/>
        <w:rPr>
          <w:rFonts w:ascii="Courier New" w:hAnsi="Courier New" w:cs="Courier New"/>
          <w:bCs/>
        </w:rPr>
      </w:pPr>
      <w:r w:rsidRPr="0012267B">
        <w:rPr>
          <w:rFonts w:ascii="Courier New" w:hAnsi="Courier New" w:cs="Courier New"/>
          <w:bCs/>
        </w:rPr>
        <w:t xml:space="preserve">A charity in the legal sense, may be more fully defined as a gift, to be applied consistently with existing laws, for the benefit of an indefinite number of persons, either </w:t>
      </w:r>
      <w:r w:rsidRPr="0012267B">
        <w:rPr>
          <w:rFonts w:ascii="Courier New" w:hAnsi="Courier New" w:cs="Courier New"/>
          <w:b/>
          <w:bCs/>
          <w:i/>
        </w:rPr>
        <w:t>by bringing their minds or hearts under the influence of education or religion, by relieving their bodies from disease, suffering or constraint, by assisting them to establish themselves in life, or by erecting or maintaining public buildings or works or otherwise lessening the burdens of government.</w:t>
      </w:r>
    </w:p>
    <w:p w:rsidR="0012267B" w:rsidRPr="0012267B" w:rsidRDefault="0012267B" w:rsidP="0012267B">
      <w:pPr>
        <w:widowControl w:val="0"/>
        <w:autoSpaceDE w:val="0"/>
        <w:autoSpaceDN w:val="0"/>
        <w:adjustRightInd w:val="0"/>
        <w:ind w:left="720" w:right="720"/>
        <w:jc w:val="both"/>
        <w:rPr>
          <w:rFonts w:ascii="Courier New" w:hAnsi="Courier New" w:cs="Courier New"/>
          <w:bCs/>
        </w:rPr>
      </w:pPr>
    </w:p>
    <w:p w:rsidR="00F8413F" w:rsidRPr="00E53B82" w:rsidRDefault="0012267B" w:rsidP="00DD139D">
      <w:pPr>
        <w:widowControl w:val="0"/>
        <w:autoSpaceDE w:val="0"/>
        <w:autoSpaceDN w:val="0"/>
        <w:adjustRightInd w:val="0"/>
        <w:spacing w:line="480" w:lineRule="auto"/>
        <w:jc w:val="both"/>
        <w:rPr>
          <w:rFonts w:ascii="Courier New" w:hAnsi="Courier New" w:cs="Courier New"/>
          <w:bCs/>
        </w:rPr>
      </w:pPr>
      <w:r w:rsidRPr="0012267B">
        <w:rPr>
          <w:rFonts w:ascii="Courier New" w:hAnsi="Courier New" w:cs="Courier New"/>
          <w:b/>
          <w:bCs/>
          <w:i/>
        </w:rPr>
        <w:t>New Habitat</w:t>
      </w:r>
      <w:r w:rsidR="009C6090">
        <w:rPr>
          <w:rFonts w:ascii="Courier New" w:hAnsi="Courier New" w:cs="Courier New"/>
          <w:bCs/>
        </w:rPr>
        <w:t>, 451</w:t>
      </w:r>
      <w:r w:rsidRPr="0012267B">
        <w:rPr>
          <w:rFonts w:ascii="Courier New" w:hAnsi="Courier New" w:cs="Courier New"/>
          <w:bCs/>
        </w:rPr>
        <w:t xml:space="preserve"> Mass. at 732 (emphasis added).</w:t>
      </w:r>
      <w:r w:rsidR="00DD139D">
        <w:rPr>
          <w:rFonts w:ascii="Courier New" w:hAnsi="Courier New" w:cs="Courier New"/>
          <w:bCs/>
          <w:color w:val="333333"/>
        </w:rPr>
        <w:t xml:space="preserve"> A</w:t>
      </w:r>
      <w:r w:rsidR="00F8413F" w:rsidRPr="0012267B">
        <w:rPr>
          <w:rFonts w:ascii="Courier New" w:hAnsi="Courier New" w:cs="Courier New"/>
          <w:bCs/>
          <w:color w:val="333333"/>
        </w:rPr>
        <w:t xml:space="preserve">n important </w:t>
      </w:r>
      <w:r w:rsidR="00F8413F" w:rsidRPr="0012267B">
        <w:rPr>
          <w:rFonts w:ascii="Courier New" w:hAnsi="Courier New" w:cs="Courier New"/>
          <w:bCs/>
          <w:color w:val="333333"/>
        </w:rPr>
        <w:lastRenderedPageBreak/>
        <w:t xml:space="preserve">factor to be considered in determining if an organization is operating as a public charity is “‘whether it </w:t>
      </w:r>
      <w:r w:rsidR="00F8413F" w:rsidRPr="0012267B">
        <w:rPr>
          <w:rFonts w:ascii="Courier New" w:hAnsi="Courier New" w:cs="Courier New"/>
        </w:rPr>
        <w:t xml:space="preserve">perform[s] activities which advance the public good, thereby relieving the burdens of government to do so.’”  </w:t>
      </w:r>
      <w:r w:rsidR="00F8413F" w:rsidRPr="0012267B">
        <w:rPr>
          <w:rFonts w:ascii="Courier New" w:hAnsi="Courier New" w:cs="Courier New"/>
          <w:b/>
          <w:i/>
        </w:rPr>
        <w:t xml:space="preserve">Home for Aged People in Fall River v. Assessors of Fall River, </w:t>
      </w:r>
      <w:r w:rsidR="00F8413F" w:rsidRPr="0012267B">
        <w:rPr>
          <w:rFonts w:ascii="Courier New" w:hAnsi="Courier New" w:cs="Courier New"/>
        </w:rPr>
        <w:t xml:space="preserve">Mass. ATB Findings of Fact and Reports 2011-370, 400 (quoting </w:t>
      </w:r>
      <w:r w:rsidR="00F8413F" w:rsidRPr="0012267B">
        <w:rPr>
          <w:rFonts w:ascii="Courier New" w:hAnsi="Courier New" w:cs="Courier New"/>
          <w:b/>
          <w:i/>
        </w:rPr>
        <w:t xml:space="preserve">Sturdy Memorial Foundation v. Assessors of North </w:t>
      </w:r>
      <w:smartTag w:uri="urn:schemas-microsoft-com:office:smarttags" w:element="City">
        <w:r w:rsidR="00F8413F" w:rsidRPr="0012267B">
          <w:rPr>
            <w:rFonts w:ascii="Courier New" w:hAnsi="Courier New" w:cs="Courier New"/>
            <w:b/>
            <w:i/>
          </w:rPr>
          <w:t>Attleborough</w:t>
        </w:r>
      </w:smartTag>
      <w:r w:rsidR="00F8413F" w:rsidRPr="0012267B">
        <w:rPr>
          <w:rFonts w:ascii="Courier New" w:hAnsi="Courier New" w:cs="Courier New"/>
          <w:b/>
          <w:i/>
        </w:rPr>
        <w:t xml:space="preserve">, </w:t>
      </w:r>
      <w:smartTag w:uri="urn:schemas-microsoft-com:office:smarttags" w:element="State">
        <w:r w:rsidR="00F8413F" w:rsidRPr="0012267B">
          <w:rPr>
            <w:rFonts w:ascii="Courier New" w:hAnsi="Courier New" w:cs="Courier New"/>
          </w:rPr>
          <w:t>Mass.</w:t>
        </w:r>
      </w:smartTag>
      <w:r w:rsidR="00F8413F" w:rsidRPr="0012267B">
        <w:rPr>
          <w:rFonts w:ascii="Courier New" w:hAnsi="Courier New" w:cs="Courier New"/>
        </w:rPr>
        <w:t xml:space="preserve"> ATB Findings of Fact and Reports 2002-203, 224, </w:t>
      </w:r>
      <w:r w:rsidR="00F8413F" w:rsidRPr="0012267B">
        <w:rPr>
          <w:rFonts w:ascii="Courier New" w:hAnsi="Courier New" w:cs="Courier New"/>
          <w:i/>
        </w:rPr>
        <w:t>aff’d</w:t>
      </w:r>
      <w:r w:rsidR="00F972A5">
        <w:rPr>
          <w:rFonts w:ascii="Courier New" w:hAnsi="Courier New" w:cs="Courier New"/>
          <w:i/>
        </w:rPr>
        <w:t>,</w:t>
      </w:r>
      <w:r w:rsidR="00F8413F" w:rsidRPr="0012267B">
        <w:rPr>
          <w:rFonts w:ascii="Courier New" w:hAnsi="Courier New" w:cs="Courier New"/>
          <w:i/>
        </w:rPr>
        <w:t xml:space="preserve"> </w:t>
      </w:r>
      <w:r w:rsidR="00F8413F" w:rsidRPr="0012267B">
        <w:rPr>
          <w:rFonts w:ascii="Courier New" w:hAnsi="Courier New" w:cs="Courier New"/>
        </w:rPr>
        <w:t xml:space="preserve">60 Mass. App. Ct. 573 (2004)). </w:t>
      </w:r>
      <w:r w:rsidR="001F110C">
        <w:rPr>
          <w:rFonts w:ascii="Courier New" w:hAnsi="Courier New" w:cs="Courier New"/>
        </w:rPr>
        <w:t xml:space="preserve"> In ascertaining an organization’s dominant purposes, it is necessar</w:t>
      </w:r>
      <w:r w:rsidR="00D86D06">
        <w:rPr>
          <w:rFonts w:ascii="Courier New" w:hAnsi="Courier New" w:cs="Courier New"/>
        </w:rPr>
        <w:t xml:space="preserve">y to look beyond the purposes recited in its articles of organization and examine whether it </w:t>
      </w:r>
      <w:r w:rsidR="00D86D06" w:rsidRPr="00D86D06">
        <w:rPr>
          <w:rFonts w:ascii="Courier New" w:hAnsi="Courier New" w:cs="Courier New"/>
        </w:rPr>
        <w:t xml:space="preserve">is </w:t>
      </w:r>
      <w:r w:rsidR="00E53B82">
        <w:rPr>
          <w:rFonts w:ascii="Courier New" w:hAnsi="Courier New" w:cs="Courier New"/>
        </w:rPr>
        <w:t>“</w:t>
      </w:r>
      <w:r w:rsidR="00D86D06" w:rsidRPr="00D86D06">
        <w:rPr>
          <w:rFonts w:ascii="Courier New" w:hAnsi="Courier New" w:cs="Courier New"/>
        </w:rPr>
        <w:t>in fact so conducted that in actual operation it is a public charity.</w:t>
      </w:r>
      <w:r w:rsidR="00E53B82">
        <w:rPr>
          <w:rFonts w:ascii="Courier New" w:hAnsi="Courier New" w:cs="Courier New"/>
        </w:rPr>
        <w:t xml:space="preserve">”  </w:t>
      </w:r>
      <w:r w:rsidR="00E53B82">
        <w:rPr>
          <w:rFonts w:ascii="Courier New" w:hAnsi="Courier New" w:cs="Courier New"/>
          <w:b/>
          <w:i/>
        </w:rPr>
        <w:t xml:space="preserve">Jacob’s Pillow Dance Festival, Inc. v. Assessors of Becket, </w:t>
      </w:r>
      <w:r w:rsidR="007A4943">
        <w:rPr>
          <w:rFonts w:ascii="Courier New" w:hAnsi="Courier New" w:cs="Courier New"/>
        </w:rPr>
        <w:t>3</w:t>
      </w:r>
      <w:r w:rsidR="00F972A5">
        <w:rPr>
          <w:rFonts w:ascii="Courier New" w:hAnsi="Courier New" w:cs="Courier New"/>
        </w:rPr>
        <w:t>20 Mass. 311, 313 (1946) (</w:t>
      </w:r>
      <w:r w:rsidR="007A4943">
        <w:rPr>
          <w:rFonts w:ascii="Courier New" w:hAnsi="Courier New" w:cs="Courier New"/>
        </w:rPr>
        <w:t xml:space="preserve">citations omitted).  </w:t>
      </w:r>
    </w:p>
    <w:p w:rsidR="00547874" w:rsidRDefault="001D2F44" w:rsidP="003149DC">
      <w:pPr>
        <w:widowControl w:val="0"/>
        <w:autoSpaceDE w:val="0"/>
        <w:autoSpaceDN w:val="0"/>
        <w:adjustRightInd w:val="0"/>
        <w:spacing w:line="480" w:lineRule="auto"/>
        <w:jc w:val="both"/>
        <w:rPr>
          <w:rFonts w:ascii="Courier New" w:hAnsi="Courier New" w:cs="Courier New"/>
          <w:bCs/>
          <w:color w:val="333333"/>
        </w:rPr>
      </w:pPr>
      <w:r>
        <w:rPr>
          <w:rFonts w:ascii="Courier New" w:hAnsi="Courier New" w:cs="Courier New"/>
          <w:bCs/>
        </w:rPr>
        <w:tab/>
        <w:t xml:space="preserve">Using these criteria, the </w:t>
      </w:r>
      <w:r w:rsidR="00945977">
        <w:rPr>
          <w:rFonts w:ascii="Courier New" w:hAnsi="Courier New" w:cs="Courier New"/>
          <w:bCs/>
        </w:rPr>
        <w:t xml:space="preserve">Board found that WRGC’s </w:t>
      </w:r>
      <w:r w:rsidR="0012267B" w:rsidRPr="0012267B">
        <w:rPr>
          <w:rFonts w:ascii="Courier New" w:hAnsi="Courier New" w:cs="Courier New"/>
          <w:bCs/>
        </w:rPr>
        <w:t xml:space="preserve">purposes and activities did not constitute traditionally charitable objects or methods.  </w:t>
      </w:r>
      <w:r w:rsidR="001F110C">
        <w:rPr>
          <w:rFonts w:ascii="Courier New" w:hAnsi="Courier New" w:cs="Courier New"/>
          <w:bCs/>
        </w:rPr>
        <w:t xml:space="preserve">In spite of the purposes recited in its </w:t>
      </w:r>
      <w:r w:rsidR="00F972A5">
        <w:rPr>
          <w:rFonts w:ascii="Courier New" w:hAnsi="Courier New" w:cs="Courier New"/>
          <w:bCs/>
        </w:rPr>
        <w:t>Restated Articles of O</w:t>
      </w:r>
      <w:r w:rsidR="001F110C">
        <w:rPr>
          <w:rFonts w:ascii="Courier New" w:hAnsi="Courier New" w:cs="Courier New"/>
          <w:bCs/>
        </w:rPr>
        <w:t>rganization, t</w:t>
      </w:r>
      <w:r>
        <w:rPr>
          <w:rFonts w:ascii="Courier New" w:hAnsi="Courier New" w:cs="Courier New"/>
          <w:bCs/>
        </w:rPr>
        <w:t xml:space="preserve">he record showed that </w:t>
      </w:r>
      <w:r>
        <w:rPr>
          <w:rFonts w:ascii="Courier New" w:hAnsi="Courier New" w:cs="Courier New"/>
          <w:bCs/>
          <w:color w:val="333333"/>
        </w:rPr>
        <w:t>d</w:t>
      </w:r>
      <w:r w:rsidR="0012267B" w:rsidRPr="0012267B">
        <w:rPr>
          <w:rFonts w:ascii="Courier New" w:hAnsi="Courier New" w:cs="Courier New"/>
          <w:bCs/>
          <w:color w:val="333333"/>
        </w:rPr>
        <w:t>uring the relevant time period,</w:t>
      </w:r>
      <w:r w:rsidR="00463722">
        <w:rPr>
          <w:rFonts w:ascii="Courier New" w:hAnsi="Courier New" w:cs="Courier New"/>
          <w:bCs/>
          <w:color w:val="333333"/>
        </w:rPr>
        <w:t xml:space="preserve"> WRGC’s dominant purpose was t</w:t>
      </w:r>
      <w:r w:rsidR="0098649F">
        <w:rPr>
          <w:rFonts w:ascii="Courier New" w:hAnsi="Courier New" w:cs="Courier New"/>
          <w:bCs/>
          <w:color w:val="333333"/>
        </w:rPr>
        <w:t xml:space="preserve">o offer a place for its members to gather, socialize, and make use of the </w:t>
      </w:r>
      <w:r w:rsidR="00D6061C">
        <w:rPr>
          <w:rFonts w:ascii="Courier New" w:hAnsi="Courier New" w:cs="Courier New"/>
          <w:bCs/>
          <w:color w:val="333333"/>
        </w:rPr>
        <w:t>subject</w:t>
      </w:r>
      <w:r w:rsidR="00F8413F">
        <w:rPr>
          <w:rFonts w:ascii="Courier New" w:hAnsi="Courier New" w:cs="Courier New"/>
          <w:bCs/>
          <w:color w:val="333333"/>
        </w:rPr>
        <w:t xml:space="preserve"> property’s </w:t>
      </w:r>
      <w:r w:rsidR="0098649F">
        <w:rPr>
          <w:rFonts w:ascii="Courier New" w:hAnsi="Courier New" w:cs="Courier New"/>
          <w:bCs/>
          <w:color w:val="333333"/>
        </w:rPr>
        <w:t>firing range</w:t>
      </w:r>
      <w:r w:rsidR="00F8413F">
        <w:rPr>
          <w:rFonts w:ascii="Courier New" w:hAnsi="Courier New" w:cs="Courier New"/>
          <w:bCs/>
          <w:color w:val="333333"/>
        </w:rPr>
        <w:t>s</w:t>
      </w:r>
      <w:r w:rsidR="0098649F">
        <w:rPr>
          <w:rFonts w:ascii="Courier New" w:hAnsi="Courier New" w:cs="Courier New"/>
          <w:bCs/>
          <w:color w:val="333333"/>
        </w:rPr>
        <w:t xml:space="preserve">.  </w:t>
      </w:r>
      <w:r>
        <w:rPr>
          <w:rFonts w:ascii="Courier New" w:hAnsi="Courier New" w:cs="Courier New"/>
          <w:bCs/>
          <w:color w:val="333333"/>
        </w:rPr>
        <w:t>The</w:t>
      </w:r>
      <w:r w:rsidR="001F110C">
        <w:rPr>
          <w:rFonts w:ascii="Courier New" w:hAnsi="Courier New" w:cs="Courier New"/>
          <w:bCs/>
          <w:color w:val="333333"/>
        </w:rPr>
        <w:t xml:space="preserve"> Board found that the</w:t>
      </w:r>
      <w:r>
        <w:rPr>
          <w:rFonts w:ascii="Courier New" w:hAnsi="Courier New" w:cs="Courier New"/>
          <w:bCs/>
          <w:color w:val="333333"/>
        </w:rPr>
        <w:t xml:space="preserve">se purposes </w:t>
      </w:r>
      <w:r w:rsidR="00547874">
        <w:rPr>
          <w:rFonts w:ascii="Courier New" w:hAnsi="Courier New" w:cs="Courier New"/>
          <w:bCs/>
          <w:color w:val="333333"/>
        </w:rPr>
        <w:t xml:space="preserve">were more recreational </w:t>
      </w:r>
      <w:r w:rsidR="001F110C">
        <w:rPr>
          <w:rFonts w:ascii="Courier New" w:hAnsi="Courier New" w:cs="Courier New"/>
          <w:bCs/>
          <w:color w:val="333333"/>
        </w:rPr>
        <w:t xml:space="preserve">or social </w:t>
      </w:r>
      <w:r w:rsidR="00547874">
        <w:rPr>
          <w:rFonts w:ascii="Courier New" w:hAnsi="Courier New" w:cs="Courier New"/>
          <w:bCs/>
          <w:color w:val="333333"/>
        </w:rPr>
        <w:t xml:space="preserve">in nature, rather than educational or otherwise traditionally charitable.  </w:t>
      </w:r>
      <w:r w:rsidR="00CD60F8">
        <w:rPr>
          <w:rFonts w:ascii="Courier New" w:hAnsi="Courier New" w:cs="Courier New"/>
          <w:bCs/>
          <w:i/>
          <w:color w:val="333333"/>
        </w:rPr>
        <w:t xml:space="preserve">See </w:t>
      </w:r>
      <w:r w:rsidR="00CD60F8">
        <w:rPr>
          <w:rFonts w:ascii="Courier New" w:hAnsi="Courier New" w:cs="Courier New"/>
          <w:b/>
          <w:bCs/>
          <w:i/>
          <w:color w:val="333333"/>
        </w:rPr>
        <w:t xml:space="preserve">Marshfield Rod &amp; Gun Club, Inc. v. Assessors of Marshfield, </w:t>
      </w:r>
      <w:r w:rsidR="00CD60F8">
        <w:rPr>
          <w:rFonts w:ascii="Courier New" w:hAnsi="Courier New" w:cs="Courier New"/>
          <w:bCs/>
          <w:color w:val="333333"/>
        </w:rPr>
        <w:lastRenderedPageBreak/>
        <w:t>Mass. ATB Findings of Fact and Reports 1998-</w:t>
      </w:r>
      <w:r w:rsidR="00F4522A">
        <w:rPr>
          <w:rFonts w:ascii="Courier New" w:hAnsi="Courier New" w:cs="Courier New"/>
          <w:bCs/>
          <w:color w:val="333333"/>
        </w:rPr>
        <w:t>1130, 1136</w:t>
      </w:r>
      <w:r w:rsidR="00657D9D">
        <w:rPr>
          <w:rFonts w:ascii="Courier New" w:hAnsi="Courier New" w:cs="Courier New"/>
          <w:bCs/>
          <w:color w:val="333333"/>
        </w:rPr>
        <w:t xml:space="preserve"> </w:t>
      </w:r>
      <w:r w:rsidR="00D24138">
        <w:rPr>
          <w:rFonts w:ascii="Courier New" w:hAnsi="Courier New" w:cs="Courier New"/>
          <w:bCs/>
          <w:color w:val="333333"/>
        </w:rPr>
        <w:t>(finding that the property of an organization was not exempt under Clause Third when its primary use was to provide “a place for its members to go and shoot”)</w:t>
      </w:r>
      <w:r w:rsidR="00CD60F8">
        <w:rPr>
          <w:rFonts w:ascii="Courier New" w:hAnsi="Courier New" w:cs="Courier New"/>
          <w:bCs/>
          <w:color w:val="333333"/>
        </w:rPr>
        <w:t xml:space="preserve">; </w:t>
      </w:r>
      <w:r w:rsidR="00CD60F8">
        <w:rPr>
          <w:rFonts w:ascii="Courier New" w:hAnsi="Courier New" w:cs="Courier New"/>
          <w:b/>
          <w:bCs/>
          <w:i/>
          <w:color w:val="333333"/>
        </w:rPr>
        <w:t xml:space="preserve">Massachusetts Youth Soccer Association, Inc. v. Assessors of Lancaster, </w:t>
      </w:r>
      <w:r w:rsidR="00CD60F8">
        <w:rPr>
          <w:rFonts w:ascii="Courier New" w:hAnsi="Courier New" w:cs="Courier New"/>
          <w:bCs/>
          <w:color w:val="333333"/>
        </w:rPr>
        <w:t xml:space="preserve">Mass. ATB Findings of Fact and </w:t>
      </w:r>
      <w:r w:rsidR="00D24138">
        <w:rPr>
          <w:rFonts w:ascii="Courier New" w:hAnsi="Courier New" w:cs="Courier New"/>
          <w:bCs/>
          <w:color w:val="333333"/>
        </w:rPr>
        <w:t>Reports 2012-660, 67</w:t>
      </w:r>
      <w:r w:rsidR="00CD60F8">
        <w:rPr>
          <w:rFonts w:ascii="Courier New" w:hAnsi="Courier New" w:cs="Courier New"/>
          <w:bCs/>
          <w:color w:val="333333"/>
        </w:rPr>
        <w:t>0</w:t>
      </w:r>
      <w:r w:rsidR="00D24138">
        <w:rPr>
          <w:rFonts w:ascii="Courier New" w:hAnsi="Courier New" w:cs="Courier New"/>
          <w:bCs/>
          <w:color w:val="333333"/>
        </w:rPr>
        <w:t xml:space="preserve"> (finding that property of an organization whose primary pur</w:t>
      </w:r>
      <w:r w:rsidR="00657D9D">
        <w:rPr>
          <w:rFonts w:ascii="Courier New" w:hAnsi="Courier New" w:cs="Courier New"/>
          <w:bCs/>
          <w:color w:val="333333"/>
        </w:rPr>
        <w:t xml:space="preserve">pose was to promote </w:t>
      </w:r>
      <w:r w:rsidR="00D24138">
        <w:rPr>
          <w:rFonts w:ascii="Courier New" w:hAnsi="Courier New" w:cs="Courier New"/>
          <w:bCs/>
          <w:color w:val="333333"/>
        </w:rPr>
        <w:t xml:space="preserve">interest </w:t>
      </w:r>
      <w:r w:rsidR="00657D9D">
        <w:rPr>
          <w:rFonts w:ascii="Courier New" w:hAnsi="Courier New" w:cs="Courier New"/>
          <w:bCs/>
          <w:color w:val="333333"/>
        </w:rPr>
        <w:t xml:space="preserve">and proficiency </w:t>
      </w:r>
      <w:r w:rsidR="00D24138">
        <w:rPr>
          <w:rFonts w:ascii="Courier New" w:hAnsi="Courier New" w:cs="Courier New"/>
          <w:bCs/>
          <w:color w:val="333333"/>
        </w:rPr>
        <w:t>in the game of soccer was not exempt under Clause Third)</w:t>
      </w:r>
      <w:r w:rsidR="00CD60F8">
        <w:rPr>
          <w:rFonts w:ascii="Courier New" w:hAnsi="Courier New" w:cs="Courier New"/>
          <w:bCs/>
          <w:color w:val="333333"/>
        </w:rPr>
        <w:t xml:space="preserve">; </w:t>
      </w:r>
      <w:r w:rsidR="00CD60F8">
        <w:rPr>
          <w:rFonts w:ascii="Courier New" w:hAnsi="Courier New" w:cs="Courier New"/>
          <w:b/>
          <w:bCs/>
          <w:i/>
          <w:color w:val="333333"/>
        </w:rPr>
        <w:t xml:space="preserve">Skating Club of Boston v. Assessors of Boston, </w:t>
      </w:r>
      <w:r w:rsidR="00CD60F8">
        <w:rPr>
          <w:rFonts w:ascii="Courier New" w:hAnsi="Courier New" w:cs="Courier New"/>
          <w:bCs/>
          <w:color w:val="333333"/>
        </w:rPr>
        <w:t xml:space="preserve">Mass. ATB Findings of Fact and Reports 2007-193, 211 (finding that the property of a skating club with a stated purpose of promoting “interest in the art of skating” was not exempt under Clause Third). </w:t>
      </w:r>
      <w:r w:rsidR="0098649F">
        <w:rPr>
          <w:rFonts w:ascii="Courier New" w:hAnsi="Courier New" w:cs="Courier New"/>
          <w:bCs/>
          <w:color w:val="333333"/>
        </w:rPr>
        <w:t>Although WRGC also allowed non-members to use the firing range with prior approval, and it did at times open the subject property to us</w:t>
      </w:r>
      <w:r>
        <w:rPr>
          <w:rFonts w:ascii="Courier New" w:hAnsi="Courier New" w:cs="Courier New"/>
          <w:bCs/>
          <w:color w:val="333333"/>
        </w:rPr>
        <w:t>e by various governmental and charitable organizations</w:t>
      </w:r>
      <w:r w:rsidR="0098649F">
        <w:rPr>
          <w:rFonts w:ascii="Courier New" w:hAnsi="Courier New" w:cs="Courier New"/>
          <w:bCs/>
          <w:color w:val="333333"/>
        </w:rPr>
        <w:t>, the Boar</w:t>
      </w:r>
      <w:r>
        <w:rPr>
          <w:rFonts w:ascii="Courier New" w:hAnsi="Courier New" w:cs="Courier New"/>
          <w:bCs/>
          <w:color w:val="333333"/>
        </w:rPr>
        <w:t xml:space="preserve">d found that these </w:t>
      </w:r>
      <w:r w:rsidR="001F110C">
        <w:rPr>
          <w:rFonts w:ascii="Courier New" w:hAnsi="Courier New" w:cs="Courier New"/>
          <w:bCs/>
          <w:color w:val="333333"/>
        </w:rPr>
        <w:t xml:space="preserve">purposes were ancillary to the appellant’s </w:t>
      </w:r>
      <w:r>
        <w:rPr>
          <w:rFonts w:ascii="Courier New" w:hAnsi="Courier New" w:cs="Courier New"/>
          <w:bCs/>
          <w:color w:val="333333"/>
        </w:rPr>
        <w:t>dominant purposes.</w:t>
      </w:r>
    </w:p>
    <w:p w:rsidR="00E449C2" w:rsidRDefault="001F110C" w:rsidP="00426931">
      <w:pPr>
        <w:widowControl w:val="0"/>
        <w:autoSpaceDE w:val="0"/>
        <w:autoSpaceDN w:val="0"/>
        <w:adjustRightInd w:val="0"/>
        <w:spacing w:line="480" w:lineRule="auto"/>
        <w:ind w:firstLine="720"/>
        <w:jc w:val="both"/>
        <w:rPr>
          <w:rFonts w:ascii="Courier New" w:hAnsi="Courier New" w:cs="Courier New"/>
        </w:rPr>
      </w:pPr>
      <w:r>
        <w:rPr>
          <w:rFonts w:ascii="Courier New" w:hAnsi="Courier New" w:cs="Courier New"/>
          <w:bCs/>
          <w:color w:val="333333"/>
        </w:rPr>
        <w:t>In addition</w:t>
      </w:r>
      <w:r w:rsidR="002739A0">
        <w:rPr>
          <w:rFonts w:ascii="Courier New" w:hAnsi="Courier New" w:cs="Courier New"/>
          <w:bCs/>
          <w:color w:val="333333"/>
        </w:rPr>
        <w:t>, although the appellant cited the support of “</w:t>
      </w:r>
      <w:r w:rsidR="002739A0">
        <w:rPr>
          <w:rFonts w:ascii="Courier New" w:hAnsi="Courier New" w:cs="Courier New"/>
        </w:rPr>
        <w:t>conservation and preservation of the environment, open space and wild habitat,” as being among its purposes, and such purposes have been recognized as being traditionally ch</w:t>
      </w:r>
      <w:r w:rsidR="001F7D5F">
        <w:rPr>
          <w:rFonts w:ascii="Courier New" w:hAnsi="Courier New" w:cs="Courier New"/>
        </w:rPr>
        <w:t xml:space="preserve">aritable, </w:t>
      </w:r>
      <w:r w:rsidR="003149DC">
        <w:rPr>
          <w:rFonts w:ascii="Courier New" w:hAnsi="Courier New" w:cs="Courier New"/>
        </w:rPr>
        <w:t xml:space="preserve">the Board found that the appellant failed to </w:t>
      </w:r>
      <w:r w:rsidR="00F96921">
        <w:rPr>
          <w:rFonts w:ascii="Courier New" w:hAnsi="Courier New" w:cs="Courier New"/>
        </w:rPr>
        <w:t>show how it actively furthered these objectives</w:t>
      </w:r>
      <w:r w:rsidR="003149DC">
        <w:rPr>
          <w:rFonts w:ascii="Courier New" w:hAnsi="Courier New" w:cs="Courier New"/>
        </w:rPr>
        <w:t xml:space="preserve">.  </w:t>
      </w:r>
      <w:r w:rsidR="003149DC" w:rsidRPr="003149DC">
        <w:rPr>
          <w:rFonts w:ascii="Courier New" w:hAnsi="Courier New" w:cs="Courier New"/>
          <w:i/>
        </w:rPr>
        <w:t xml:space="preserve">Contrast </w:t>
      </w:r>
      <w:r w:rsidR="0084334B" w:rsidRPr="0084334B">
        <w:rPr>
          <w:rFonts w:ascii="Courier New" w:hAnsi="Courier New" w:cs="Courier New"/>
          <w:b/>
          <w:i/>
        </w:rPr>
        <w:t>New England Forestry Foundation, Inc. v. Assessors of Hawley</w:t>
      </w:r>
      <w:r w:rsidR="006534CE">
        <w:rPr>
          <w:rFonts w:ascii="Courier New" w:hAnsi="Courier New" w:cs="Courier New"/>
        </w:rPr>
        <w:t xml:space="preserve">, 468 Mass. 138, </w:t>
      </w:r>
      <w:r w:rsidR="006534CE">
        <w:rPr>
          <w:rFonts w:ascii="Courier New" w:hAnsi="Courier New" w:cs="Courier New"/>
        </w:rPr>
        <w:lastRenderedPageBreak/>
        <w:t>141 (2014)</w:t>
      </w:r>
      <w:r w:rsidR="0084334B">
        <w:rPr>
          <w:rFonts w:ascii="Courier New" w:hAnsi="Courier New" w:cs="Courier New"/>
        </w:rPr>
        <w:t xml:space="preserve"> </w:t>
      </w:r>
      <w:r w:rsidR="001F7D5F">
        <w:rPr>
          <w:rFonts w:ascii="Courier New" w:hAnsi="Courier New" w:cs="Courier New"/>
        </w:rPr>
        <w:t xml:space="preserve">(ruling that property maintained in a substantially natural condition, but that was owned by a charitable organization </w:t>
      </w:r>
      <w:r w:rsidR="00DB395D">
        <w:rPr>
          <w:rFonts w:ascii="Courier New" w:hAnsi="Courier New" w:cs="Courier New"/>
        </w:rPr>
        <w:t>that</w:t>
      </w:r>
      <w:r w:rsidR="001F7D5F">
        <w:rPr>
          <w:rFonts w:ascii="Courier New" w:hAnsi="Courier New" w:cs="Courier New"/>
        </w:rPr>
        <w:t xml:space="preserve"> hired an independent, licensed forester, created a forest management plan, conducted wildlife and vegetation inventories and oversaw the removal of poor-quality vegetation so as to promote the growth of healthy vegetation, was occupied in furtherance of that organization’s charitable conservation purposes).  </w:t>
      </w:r>
      <w:r w:rsidR="00E449C2">
        <w:rPr>
          <w:rFonts w:ascii="Courier New" w:hAnsi="Courier New" w:cs="Courier New"/>
        </w:rPr>
        <w:t xml:space="preserve">Accordingly, </w:t>
      </w:r>
      <w:r w:rsidR="0031283C">
        <w:rPr>
          <w:rFonts w:ascii="Courier New" w:hAnsi="Courier New" w:cs="Courier New"/>
        </w:rPr>
        <w:t xml:space="preserve">because its dominant purpose was not charitable, </w:t>
      </w:r>
      <w:r w:rsidR="00E449C2">
        <w:rPr>
          <w:rFonts w:ascii="Courier New" w:hAnsi="Courier New" w:cs="Courier New"/>
        </w:rPr>
        <w:t>the Board found and ruled that the appellant was not a charitable organization for purposes of Clause Third.</w:t>
      </w:r>
    </w:p>
    <w:p w:rsidR="007B125B" w:rsidRDefault="00B900C5" w:rsidP="00DB395D">
      <w:pPr>
        <w:widowControl w:val="0"/>
        <w:autoSpaceDE w:val="0"/>
        <w:autoSpaceDN w:val="0"/>
        <w:adjustRightInd w:val="0"/>
        <w:spacing w:line="480" w:lineRule="auto"/>
        <w:ind w:firstLine="720"/>
        <w:jc w:val="both"/>
        <w:rPr>
          <w:rFonts w:ascii="Courier New" w:hAnsi="Courier New" w:cs="Courier New"/>
        </w:rPr>
      </w:pPr>
      <w:r>
        <w:rPr>
          <w:rFonts w:ascii="Courier New" w:hAnsi="Courier New" w:cs="Courier New"/>
        </w:rPr>
        <w:t xml:space="preserve">Even assuming arguendo </w:t>
      </w:r>
      <w:r w:rsidR="00C3004A">
        <w:rPr>
          <w:rFonts w:ascii="Courier New" w:hAnsi="Courier New" w:cs="Courier New"/>
        </w:rPr>
        <w:t xml:space="preserve">that the </w:t>
      </w:r>
      <w:r w:rsidR="002A4FEA">
        <w:rPr>
          <w:rFonts w:ascii="Courier New" w:hAnsi="Courier New" w:cs="Courier New"/>
        </w:rPr>
        <w:t xml:space="preserve">Board found </w:t>
      </w:r>
      <w:r w:rsidR="00055D38">
        <w:rPr>
          <w:rFonts w:ascii="Courier New" w:hAnsi="Courier New" w:cs="Courier New"/>
        </w:rPr>
        <w:t>that</w:t>
      </w:r>
      <w:r w:rsidR="002A4FEA">
        <w:rPr>
          <w:rFonts w:ascii="Courier New" w:hAnsi="Courier New" w:cs="Courier New"/>
        </w:rPr>
        <w:t xml:space="preserve"> the </w:t>
      </w:r>
      <w:r w:rsidR="00C3004A">
        <w:rPr>
          <w:rFonts w:ascii="Courier New" w:hAnsi="Courier New" w:cs="Courier New"/>
        </w:rPr>
        <w:t>appellant was a charitable organization for purpose</w:t>
      </w:r>
      <w:r w:rsidR="00DD139D">
        <w:rPr>
          <w:rFonts w:ascii="Courier New" w:hAnsi="Courier New" w:cs="Courier New"/>
        </w:rPr>
        <w:t>s</w:t>
      </w:r>
      <w:r w:rsidR="00C3004A">
        <w:rPr>
          <w:rFonts w:ascii="Courier New" w:hAnsi="Courier New" w:cs="Courier New"/>
        </w:rPr>
        <w:t xml:space="preserve"> of Clause Third, </w:t>
      </w:r>
      <w:r w:rsidR="002A4FEA">
        <w:rPr>
          <w:rFonts w:ascii="Courier New" w:hAnsi="Courier New" w:cs="Courier New"/>
        </w:rPr>
        <w:t xml:space="preserve">the appellant was still required to show </w:t>
      </w:r>
      <w:r w:rsidR="00C3004A">
        <w:rPr>
          <w:rFonts w:ascii="Courier New" w:hAnsi="Courier New" w:cs="Courier New"/>
        </w:rPr>
        <w:t>that it occupied the subject proper</w:t>
      </w:r>
      <w:r w:rsidR="002A4FEA">
        <w:rPr>
          <w:rFonts w:ascii="Courier New" w:hAnsi="Courier New" w:cs="Courier New"/>
        </w:rPr>
        <w:t xml:space="preserve">ty in furtherance of its </w:t>
      </w:r>
      <w:r w:rsidR="00B8789F">
        <w:rPr>
          <w:rFonts w:ascii="Courier New" w:hAnsi="Courier New" w:cs="Courier New"/>
        </w:rPr>
        <w:t>c</w:t>
      </w:r>
      <w:r w:rsidR="0084167C">
        <w:rPr>
          <w:rFonts w:ascii="Courier New" w:hAnsi="Courier New" w:cs="Courier New"/>
        </w:rPr>
        <w:t xml:space="preserve">haritable purposes.  </w:t>
      </w:r>
      <w:r w:rsidR="00C3004A">
        <w:rPr>
          <w:rFonts w:ascii="Courier New" w:hAnsi="Courier New" w:cs="Courier New"/>
        </w:rPr>
        <w:t>As stated above, although the appellant cited conservation and preservation of wildlife as being among its charitable purposes, it fail</w:t>
      </w:r>
      <w:r w:rsidR="00DD139D">
        <w:rPr>
          <w:rFonts w:ascii="Courier New" w:hAnsi="Courier New" w:cs="Courier New"/>
        </w:rPr>
        <w:t xml:space="preserve">ed to show how it used </w:t>
      </w:r>
      <w:r w:rsidR="00C3004A">
        <w:rPr>
          <w:rFonts w:ascii="Courier New" w:hAnsi="Courier New" w:cs="Courier New"/>
        </w:rPr>
        <w:t xml:space="preserve">the subject property in furtherance of those purposes. </w:t>
      </w:r>
      <w:r w:rsidR="00DB395D">
        <w:rPr>
          <w:rFonts w:ascii="Courier New" w:hAnsi="Courier New" w:cs="Courier New"/>
        </w:rPr>
        <w:t>It is clear that</w:t>
      </w:r>
      <w:r w:rsidR="00426931">
        <w:rPr>
          <w:rFonts w:ascii="Courier New" w:hAnsi="Courier New" w:cs="Courier New"/>
        </w:rPr>
        <w:t xml:space="preserve"> </w:t>
      </w:r>
      <w:r w:rsidR="00392EB9">
        <w:rPr>
          <w:rFonts w:ascii="Courier New" w:hAnsi="Courier New" w:cs="Courier New"/>
        </w:rPr>
        <w:t>“‘</w:t>
      </w:r>
      <w:r w:rsidR="00426931" w:rsidRPr="0018754A">
        <w:rPr>
          <w:rFonts w:ascii="Courier New" w:hAnsi="Courier New" w:cs="Courier New"/>
        </w:rPr>
        <w:t>holding land in its natural pristine condition and thereby protecting wildlife habitats, filtering the air and water supply, and absorbing carbon emissions</w:t>
      </w:r>
      <w:r w:rsidR="00426931">
        <w:rPr>
          <w:rFonts w:ascii="Courier New" w:hAnsi="Courier New" w:cs="Courier New"/>
        </w:rPr>
        <w:t>’</w:t>
      </w:r>
      <w:r w:rsidR="00426931" w:rsidRPr="0018754A">
        <w:rPr>
          <w:rFonts w:ascii="Courier New" w:hAnsi="Courier New" w:cs="Courier New"/>
        </w:rPr>
        <w:t xml:space="preserve"> </w:t>
      </w:r>
      <w:r w:rsidR="00444AEA">
        <w:rPr>
          <w:rFonts w:ascii="Courier New" w:hAnsi="Courier New" w:cs="Courier New"/>
        </w:rPr>
        <w:t>undoubtedly provides some benefit to the public</w:t>
      </w:r>
      <w:r w:rsidR="007B125B">
        <w:rPr>
          <w:rFonts w:ascii="Courier New" w:hAnsi="Courier New" w:cs="Courier New"/>
        </w:rPr>
        <w:t xml:space="preserve"> in general</w:t>
      </w:r>
      <w:r w:rsidR="00774F1A">
        <w:rPr>
          <w:rFonts w:ascii="Courier New" w:hAnsi="Courier New" w:cs="Courier New"/>
        </w:rPr>
        <w:t>.</w:t>
      </w:r>
      <w:r w:rsidR="007B125B">
        <w:rPr>
          <w:rFonts w:ascii="Courier New" w:hAnsi="Courier New" w:cs="Courier New"/>
        </w:rPr>
        <w:t>”</w:t>
      </w:r>
      <w:r w:rsidR="00444AEA">
        <w:rPr>
          <w:rFonts w:ascii="Courier New" w:hAnsi="Courier New" w:cs="Courier New"/>
        </w:rPr>
        <w:t xml:space="preserve"> </w:t>
      </w:r>
      <w:r w:rsidR="00426931" w:rsidRPr="007B125B">
        <w:rPr>
          <w:rFonts w:ascii="Courier New" w:hAnsi="Courier New" w:cs="Courier New"/>
          <w:b/>
          <w:i/>
        </w:rPr>
        <w:t>Anna Harris Smith Foundation, Inc. v. Assessors of</w:t>
      </w:r>
      <w:r w:rsidR="007B125B">
        <w:rPr>
          <w:rFonts w:ascii="Courier New" w:hAnsi="Courier New" w:cs="Courier New"/>
        </w:rPr>
        <w:t xml:space="preserve"> </w:t>
      </w:r>
      <w:r w:rsidR="007B125B" w:rsidRPr="007B125B">
        <w:rPr>
          <w:rFonts w:ascii="Courier New" w:hAnsi="Courier New" w:cs="Courier New"/>
          <w:b/>
          <w:i/>
        </w:rPr>
        <w:t>Pembroke</w:t>
      </w:r>
      <w:r w:rsidR="007B125B">
        <w:rPr>
          <w:rFonts w:ascii="Courier New" w:hAnsi="Courier New" w:cs="Courier New"/>
        </w:rPr>
        <w:t xml:space="preserve">, Mass. ATB Findings of Fact and Reports </w:t>
      </w:r>
      <w:r w:rsidR="007B125B">
        <w:rPr>
          <w:rFonts w:ascii="Courier New" w:hAnsi="Courier New" w:cs="Courier New"/>
        </w:rPr>
        <w:lastRenderedPageBreak/>
        <w:t xml:space="preserve">2015-123, 141 (quoting </w:t>
      </w:r>
      <w:r w:rsidR="00426931" w:rsidRPr="0018754A">
        <w:rPr>
          <w:rFonts w:ascii="Courier New" w:hAnsi="Courier New" w:cs="Courier New"/>
          <w:b/>
          <w:i/>
        </w:rPr>
        <w:t>New E</w:t>
      </w:r>
      <w:r w:rsidR="007B125B">
        <w:rPr>
          <w:rFonts w:ascii="Courier New" w:hAnsi="Courier New" w:cs="Courier New"/>
          <w:b/>
          <w:i/>
        </w:rPr>
        <w:t xml:space="preserve">ngland Forestry Foundation, </w:t>
      </w:r>
      <w:r w:rsidR="00426931">
        <w:rPr>
          <w:rFonts w:ascii="Courier New" w:hAnsi="Courier New" w:cs="Courier New"/>
        </w:rPr>
        <w:t>468</w:t>
      </w:r>
      <w:r w:rsidR="003F1394">
        <w:rPr>
          <w:rFonts w:ascii="Courier New" w:hAnsi="Courier New" w:cs="Courier New"/>
        </w:rPr>
        <w:t> </w:t>
      </w:r>
      <w:r w:rsidR="00426931">
        <w:rPr>
          <w:rFonts w:ascii="Courier New" w:hAnsi="Courier New" w:cs="Courier New"/>
        </w:rPr>
        <w:t>Mass. at 152</w:t>
      </w:r>
      <w:r w:rsidR="007B125B">
        <w:rPr>
          <w:rFonts w:ascii="Courier New" w:hAnsi="Courier New" w:cs="Courier New"/>
        </w:rPr>
        <w:t>)</w:t>
      </w:r>
      <w:r w:rsidR="00DB395D">
        <w:rPr>
          <w:rFonts w:ascii="Courier New" w:hAnsi="Courier New" w:cs="Courier New"/>
        </w:rPr>
        <w:t>.</w:t>
      </w:r>
      <w:r w:rsidR="007B125B">
        <w:rPr>
          <w:rFonts w:ascii="Courier New" w:hAnsi="Courier New" w:cs="Courier New"/>
        </w:rPr>
        <w:t xml:space="preserve"> </w:t>
      </w:r>
      <w:r w:rsidR="00DB395D">
        <w:rPr>
          <w:rFonts w:ascii="Courier New" w:hAnsi="Courier New" w:cs="Courier New"/>
        </w:rPr>
        <w:t>However, “[s]</w:t>
      </w:r>
      <w:r w:rsidR="00F6019A" w:rsidRPr="00F6019A">
        <w:rPr>
          <w:rFonts w:ascii="Courier New" w:eastAsia="Calibri" w:hAnsi="Courier New" w:cs="Courier New"/>
          <w:szCs w:val="22"/>
        </w:rPr>
        <w:t xml:space="preserve">imply keeping the land </w:t>
      </w:r>
      <w:r w:rsidR="00B62F9C" w:rsidRPr="00F6019A">
        <w:rPr>
          <w:rFonts w:ascii="Courier New" w:eastAsia="Calibri" w:hAnsi="Courier New" w:cs="Courier New"/>
          <w:szCs w:val="22"/>
        </w:rPr>
        <w:t>open</w:t>
      </w:r>
      <w:r w:rsidR="00B62F9C">
        <w:rPr>
          <w:rFonts w:ascii="Courier New" w:eastAsia="Calibri" w:hAnsi="Courier New" w:cs="Courier New"/>
          <w:szCs w:val="22"/>
        </w:rPr>
        <w:t> . </w:t>
      </w:r>
      <w:r w:rsidR="00F6019A" w:rsidRPr="00F6019A">
        <w:rPr>
          <w:rFonts w:ascii="Courier New" w:eastAsia="Calibri" w:hAnsi="Courier New" w:cs="Courier New"/>
          <w:szCs w:val="22"/>
        </w:rPr>
        <w:t>.</w:t>
      </w:r>
      <w:r w:rsidR="00B62F9C">
        <w:rPr>
          <w:rFonts w:ascii="Courier New" w:eastAsia="Calibri" w:hAnsi="Courier New" w:cs="Courier New"/>
          <w:szCs w:val="22"/>
        </w:rPr>
        <w:t> </w:t>
      </w:r>
      <w:r w:rsidR="00F6019A" w:rsidRPr="00F6019A">
        <w:rPr>
          <w:rFonts w:ascii="Courier New" w:eastAsia="Calibri" w:hAnsi="Courier New" w:cs="Courier New"/>
          <w:szCs w:val="22"/>
        </w:rPr>
        <w:t>.</w:t>
      </w:r>
      <w:r w:rsidR="00B62F9C">
        <w:rPr>
          <w:rFonts w:ascii="Courier New" w:eastAsia="Calibri" w:hAnsi="Courier New" w:cs="Courier New"/>
          <w:szCs w:val="22"/>
        </w:rPr>
        <w:t> </w:t>
      </w:r>
      <w:r w:rsidR="00F6019A" w:rsidRPr="00F6019A">
        <w:rPr>
          <w:rFonts w:ascii="Courier New" w:eastAsia="Calibri" w:hAnsi="Courier New" w:cs="Courier New"/>
          <w:szCs w:val="22"/>
        </w:rPr>
        <w:t>is not enough to satisf</w:t>
      </w:r>
      <w:r w:rsidR="00E619AE">
        <w:rPr>
          <w:rFonts w:ascii="Courier New" w:eastAsia="Calibri" w:hAnsi="Courier New" w:cs="Courier New"/>
          <w:szCs w:val="22"/>
        </w:rPr>
        <w:t>y the requirement of ‘occupying’</w:t>
      </w:r>
      <w:r w:rsidR="00F6019A" w:rsidRPr="00F6019A">
        <w:rPr>
          <w:rFonts w:ascii="Courier New" w:eastAsia="Calibri" w:hAnsi="Courier New" w:cs="Courier New"/>
          <w:szCs w:val="22"/>
        </w:rPr>
        <w:t xml:space="preserve"> the property within the meaning of the statute. Rather, there must be an ‘active appropriation to the immediate uses of the charitable cause for which the </w:t>
      </w:r>
      <w:r w:rsidR="00F6019A">
        <w:rPr>
          <w:rFonts w:ascii="Courier New" w:eastAsia="Calibri" w:hAnsi="Courier New" w:cs="Courier New"/>
          <w:szCs w:val="22"/>
        </w:rPr>
        <w:t>owner was organized.</w:t>
      </w:r>
      <w:r w:rsidR="005237D5">
        <w:rPr>
          <w:rFonts w:ascii="Courier New" w:eastAsia="Calibri" w:hAnsi="Courier New" w:cs="Courier New"/>
          <w:szCs w:val="22"/>
        </w:rPr>
        <w:t>’</w:t>
      </w:r>
      <w:r w:rsidR="00DB395D">
        <w:rPr>
          <w:rFonts w:ascii="Courier New" w:eastAsia="Calibri" w:hAnsi="Courier New" w:cs="Courier New"/>
          <w:szCs w:val="22"/>
        </w:rPr>
        <w:t xml:space="preserve">” </w:t>
      </w:r>
      <w:r w:rsidR="00F6019A" w:rsidRPr="00F6019A">
        <w:rPr>
          <w:rFonts w:ascii="Courier New" w:eastAsia="Calibri" w:hAnsi="Courier New" w:cs="Courier New"/>
          <w:b/>
          <w:i/>
          <w:szCs w:val="22"/>
        </w:rPr>
        <w:t xml:space="preserve">Forges Farm, Inc. v. Assessors of Plymouth, </w:t>
      </w:r>
      <w:r w:rsidR="00F6019A" w:rsidRPr="00F6019A">
        <w:rPr>
          <w:rFonts w:ascii="Courier New" w:eastAsia="Calibri" w:hAnsi="Courier New" w:cs="Courier New"/>
          <w:szCs w:val="22"/>
        </w:rPr>
        <w:t>Mass.</w:t>
      </w:r>
      <w:r w:rsidR="00B62F9C">
        <w:rPr>
          <w:rFonts w:ascii="Courier New" w:eastAsia="Calibri" w:hAnsi="Courier New" w:cs="Courier New"/>
          <w:szCs w:val="22"/>
        </w:rPr>
        <w:t> </w:t>
      </w:r>
      <w:r w:rsidR="00F6019A" w:rsidRPr="00F6019A">
        <w:rPr>
          <w:rFonts w:ascii="Courier New" w:eastAsia="Calibri" w:hAnsi="Courier New" w:cs="Courier New"/>
          <w:szCs w:val="22"/>
        </w:rPr>
        <w:t>ATB Findings of Fac</w:t>
      </w:r>
      <w:r w:rsidR="00E619AE">
        <w:rPr>
          <w:rFonts w:ascii="Courier New" w:eastAsia="Calibri" w:hAnsi="Courier New" w:cs="Courier New"/>
          <w:szCs w:val="22"/>
        </w:rPr>
        <w:t>t and Reports 2007-1197, 1207 (</w:t>
      </w:r>
      <w:r w:rsidR="00F6019A" w:rsidRPr="00F6019A">
        <w:rPr>
          <w:rFonts w:ascii="Courier New" w:eastAsia="Calibri" w:hAnsi="Courier New" w:cs="Courier New"/>
          <w:szCs w:val="22"/>
        </w:rPr>
        <w:t>citations omitted).</w:t>
      </w:r>
      <w:r w:rsidR="00657094">
        <w:rPr>
          <w:rFonts w:ascii="Courier New" w:eastAsia="Calibri" w:hAnsi="Courier New" w:cs="Courier New"/>
          <w:szCs w:val="22"/>
        </w:rPr>
        <w:t xml:space="preserve"> </w:t>
      </w:r>
      <w:r w:rsidR="000B47C4">
        <w:rPr>
          <w:rFonts w:ascii="Courier New" w:eastAsia="Calibri" w:hAnsi="Courier New" w:cs="Courier New"/>
          <w:szCs w:val="22"/>
        </w:rPr>
        <w:t xml:space="preserve">Similarly, although the appellant claimed that the subject property was continuously open for use by, and in fact frequently used by, members of the public for such activities as hiking, fishing, and dog walking, </w:t>
      </w:r>
      <w:r w:rsidR="00F4522A">
        <w:rPr>
          <w:rFonts w:ascii="Courier New" w:eastAsia="Calibri" w:hAnsi="Courier New" w:cs="Courier New"/>
          <w:szCs w:val="22"/>
        </w:rPr>
        <w:t xml:space="preserve">it </w:t>
      </w:r>
      <w:r w:rsidR="000B47C4">
        <w:rPr>
          <w:rFonts w:ascii="Courier New" w:eastAsia="Calibri" w:hAnsi="Courier New" w:cs="Courier New"/>
          <w:szCs w:val="22"/>
        </w:rPr>
        <w:t>did not demonstrate how it made the pub</w:t>
      </w:r>
      <w:r w:rsidR="002C338E">
        <w:rPr>
          <w:rFonts w:ascii="Courier New" w:eastAsia="Calibri" w:hAnsi="Courier New" w:cs="Courier New"/>
          <w:szCs w:val="22"/>
        </w:rPr>
        <w:t xml:space="preserve">lic aware of the availability of </w:t>
      </w:r>
      <w:r w:rsidR="000B47C4">
        <w:rPr>
          <w:rFonts w:ascii="Courier New" w:eastAsia="Calibri" w:hAnsi="Courier New" w:cs="Courier New"/>
          <w:szCs w:val="22"/>
        </w:rPr>
        <w:t>the subject property or what steps it took to promote</w:t>
      </w:r>
      <w:r w:rsidR="00EF369E">
        <w:rPr>
          <w:rFonts w:ascii="Courier New" w:eastAsia="Calibri" w:hAnsi="Courier New" w:cs="Courier New"/>
          <w:szCs w:val="22"/>
        </w:rPr>
        <w:t xml:space="preserve"> </w:t>
      </w:r>
      <w:r w:rsidR="000B47C4">
        <w:rPr>
          <w:rFonts w:ascii="Courier New" w:eastAsia="Calibri" w:hAnsi="Courier New" w:cs="Courier New"/>
          <w:szCs w:val="22"/>
        </w:rPr>
        <w:t xml:space="preserve">use of the subject property by the public. On the contrary, as discussed above, the record showed that, as of the relevant dates of valuation, prominent signage posted on the subject property discouraged the public from entering onto it. </w:t>
      </w:r>
      <w:r w:rsidR="00EF369E">
        <w:rPr>
          <w:rFonts w:ascii="Courier New" w:eastAsia="Calibri" w:hAnsi="Courier New" w:cs="Courier New"/>
          <w:szCs w:val="22"/>
        </w:rPr>
        <w:t>As the evidence of record indicated that the primary use of the subject</w:t>
      </w:r>
      <w:r w:rsidR="002C338E">
        <w:rPr>
          <w:rFonts w:ascii="Courier New" w:eastAsia="Calibri" w:hAnsi="Courier New" w:cs="Courier New"/>
          <w:szCs w:val="22"/>
        </w:rPr>
        <w:t xml:space="preserve"> property was by members of WRGC</w:t>
      </w:r>
      <w:r w:rsidR="00EF369E">
        <w:rPr>
          <w:rFonts w:ascii="Courier New" w:eastAsia="Calibri" w:hAnsi="Courier New" w:cs="Courier New"/>
          <w:szCs w:val="22"/>
        </w:rPr>
        <w:t xml:space="preserve"> as a gathering place to meet, socialize, and engage in target shooting, and the Board found that these were not charitable activities for purposes of Clause Third, the Board found and ruled that the appellant did not occupy the subject property in furtherance of charitable purposes.  </w:t>
      </w:r>
    </w:p>
    <w:p w:rsidR="0012267B" w:rsidRPr="0012267B" w:rsidRDefault="0012267B" w:rsidP="0012267B">
      <w:pPr>
        <w:widowControl w:val="0"/>
        <w:autoSpaceDE w:val="0"/>
        <w:autoSpaceDN w:val="0"/>
        <w:adjustRightInd w:val="0"/>
        <w:spacing w:line="480" w:lineRule="auto"/>
        <w:ind w:firstLine="720"/>
        <w:jc w:val="both"/>
        <w:rPr>
          <w:rFonts w:ascii="Courier New" w:hAnsi="Courier New" w:cs="Courier New"/>
          <w:bCs/>
        </w:rPr>
      </w:pPr>
      <w:r w:rsidRPr="0012267B">
        <w:rPr>
          <w:rFonts w:ascii="Courier New" w:hAnsi="Courier New" w:cs="Courier New"/>
          <w:bCs/>
          <w:color w:val="333333"/>
        </w:rPr>
        <w:lastRenderedPageBreak/>
        <w:t xml:space="preserve">On the basis of all of the evidence and its </w:t>
      </w:r>
      <w:r w:rsidR="00D2635F">
        <w:rPr>
          <w:rFonts w:ascii="Courier New" w:hAnsi="Courier New" w:cs="Courier New"/>
          <w:bCs/>
          <w:color w:val="333333"/>
        </w:rPr>
        <w:t xml:space="preserve">subsidiary </w:t>
      </w:r>
      <w:r w:rsidRPr="0012267B">
        <w:rPr>
          <w:rFonts w:ascii="Courier New" w:hAnsi="Courier New" w:cs="Courier New"/>
          <w:bCs/>
          <w:color w:val="333333"/>
        </w:rPr>
        <w:t>findings and rulings, the Board ultimately found and ruled that the appellant failed to meet its burden of proving that it was a charitable organization for purposes of Clause Thir</w:t>
      </w:r>
      <w:r w:rsidR="002C338E">
        <w:rPr>
          <w:rFonts w:ascii="Courier New" w:hAnsi="Courier New" w:cs="Courier New"/>
          <w:bCs/>
          <w:color w:val="333333"/>
        </w:rPr>
        <w:t xml:space="preserve">d and that it occupied </w:t>
      </w:r>
      <w:r w:rsidRPr="0012267B">
        <w:rPr>
          <w:rFonts w:ascii="Courier New" w:hAnsi="Courier New" w:cs="Courier New"/>
          <w:bCs/>
          <w:color w:val="333333"/>
        </w:rPr>
        <w:t xml:space="preserve">the subject property </w:t>
      </w:r>
      <w:r w:rsidR="00D2635F">
        <w:rPr>
          <w:rFonts w:ascii="Courier New" w:hAnsi="Courier New" w:cs="Courier New"/>
          <w:bCs/>
          <w:color w:val="333333"/>
        </w:rPr>
        <w:t xml:space="preserve">in furtherance of </w:t>
      </w:r>
      <w:r w:rsidRPr="0012267B">
        <w:rPr>
          <w:rFonts w:ascii="Courier New" w:hAnsi="Courier New" w:cs="Courier New"/>
          <w:bCs/>
          <w:color w:val="333333"/>
        </w:rPr>
        <w:t>charitable purpose</w:t>
      </w:r>
      <w:r w:rsidR="00D2635F">
        <w:rPr>
          <w:rFonts w:ascii="Courier New" w:hAnsi="Courier New" w:cs="Courier New"/>
          <w:bCs/>
          <w:color w:val="333333"/>
        </w:rPr>
        <w:t>s</w:t>
      </w:r>
      <w:r w:rsidRPr="0012267B">
        <w:rPr>
          <w:rFonts w:ascii="Courier New" w:hAnsi="Courier New" w:cs="Courier New"/>
          <w:bCs/>
          <w:color w:val="333333"/>
        </w:rPr>
        <w:t xml:space="preserve"> within the meaning of Clause Third.</w:t>
      </w:r>
      <w:r w:rsidRPr="0012267B">
        <w:rPr>
          <w:rFonts w:ascii="Courier New" w:hAnsi="Courier New" w:cs="Courier New"/>
          <w:bCs/>
        </w:rPr>
        <w:t xml:space="preserve"> </w:t>
      </w:r>
    </w:p>
    <w:p w:rsidR="0012267B" w:rsidRPr="0012267B" w:rsidRDefault="0012267B" w:rsidP="0012267B">
      <w:pPr>
        <w:widowControl w:val="0"/>
        <w:autoSpaceDE w:val="0"/>
        <w:autoSpaceDN w:val="0"/>
        <w:adjustRightInd w:val="0"/>
        <w:spacing w:line="480" w:lineRule="auto"/>
        <w:jc w:val="both"/>
        <w:rPr>
          <w:rFonts w:ascii="Courier New" w:hAnsi="Courier New" w:cs="Courier New"/>
          <w:bCs/>
          <w:color w:val="333333"/>
        </w:rPr>
      </w:pPr>
      <w:r w:rsidRPr="0012267B">
        <w:rPr>
          <w:rFonts w:ascii="Courier New" w:hAnsi="Courier New" w:cs="Courier New"/>
          <w:bCs/>
          <w:color w:val="333333"/>
        </w:rPr>
        <w:tab/>
        <w:t>Accordingly, the Board issued a decision f</w:t>
      </w:r>
      <w:r w:rsidR="00F903ED">
        <w:rPr>
          <w:rFonts w:ascii="Courier New" w:hAnsi="Courier New" w:cs="Courier New"/>
          <w:bCs/>
          <w:color w:val="333333"/>
        </w:rPr>
        <w:t>or the appellee in this appeal</w:t>
      </w:r>
      <w:r w:rsidRPr="0012267B">
        <w:rPr>
          <w:rFonts w:ascii="Courier New" w:hAnsi="Courier New" w:cs="Courier New"/>
          <w:bCs/>
          <w:color w:val="333333"/>
        </w:rPr>
        <w:t>.</w:t>
      </w:r>
    </w:p>
    <w:p w:rsidR="0012267B" w:rsidRPr="0012267B" w:rsidRDefault="00B62F9C" w:rsidP="0012267B">
      <w:pPr>
        <w:widowControl w:val="0"/>
        <w:autoSpaceDE w:val="0"/>
        <w:autoSpaceDN w:val="0"/>
        <w:adjustRightInd w:val="0"/>
        <w:spacing w:line="480" w:lineRule="auto"/>
        <w:jc w:val="both"/>
        <w:rPr>
          <w:rFonts w:ascii="Courier New" w:hAnsi="Courier New" w:cs="Courier New"/>
          <w:bCs/>
          <w:color w:val="333333"/>
        </w:rPr>
      </w:pPr>
      <w:r>
        <w:rPr>
          <w:rFonts w:ascii="Courier New" w:hAnsi="Courier New" w:cs="Courier New"/>
          <w:bCs/>
          <w:color w:val="333333"/>
        </w:rPr>
        <w:tab/>
      </w:r>
      <w:r>
        <w:rPr>
          <w:rFonts w:ascii="Courier New" w:hAnsi="Courier New" w:cs="Courier New"/>
          <w:bCs/>
          <w:color w:val="333333"/>
        </w:rPr>
        <w:tab/>
      </w:r>
    </w:p>
    <w:p w:rsidR="0012267B" w:rsidRDefault="0012267B" w:rsidP="0012267B">
      <w:pPr>
        <w:widowControl w:val="0"/>
        <w:autoSpaceDE w:val="0"/>
        <w:autoSpaceDN w:val="0"/>
        <w:adjustRightInd w:val="0"/>
        <w:spacing w:line="480" w:lineRule="auto"/>
        <w:jc w:val="both"/>
        <w:rPr>
          <w:rFonts w:ascii="Courier New" w:hAnsi="Courier New" w:cs="Courier New"/>
          <w:b/>
          <w:bCs/>
        </w:rPr>
      </w:pPr>
      <w:r w:rsidRPr="0012267B">
        <w:rPr>
          <w:rFonts w:ascii="Courier New" w:hAnsi="Courier New" w:cs="Courier New"/>
          <w:b/>
          <w:bCs/>
        </w:rPr>
        <w:tab/>
      </w:r>
      <w:r w:rsidRPr="0012267B">
        <w:rPr>
          <w:rFonts w:ascii="Courier New" w:hAnsi="Courier New" w:cs="Courier New"/>
          <w:b/>
          <w:bCs/>
        </w:rPr>
        <w:tab/>
      </w:r>
      <w:r w:rsidRPr="0012267B">
        <w:rPr>
          <w:rFonts w:ascii="Courier New" w:hAnsi="Courier New" w:cs="Courier New"/>
          <w:b/>
          <w:bCs/>
        </w:rPr>
        <w:tab/>
      </w:r>
      <w:r w:rsidRPr="0012267B">
        <w:rPr>
          <w:rFonts w:ascii="Courier New" w:hAnsi="Courier New" w:cs="Courier New"/>
          <w:b/>
          <w:bCs/>
        </w:rPr>
        <w:tab/>
      </w:r>
      <w:r w:rsidRPr="0012267B">
        <w:rPr>
          <w:rFonts w:ascii="Courier New" w:hAnsi="Courier New" w:cs="Courier New"/>
          <w:b/>
          <w:bCs/>
        </w:rPr>
        <w:tab/>
      </w:r>
      <w:r w:rsidR="00B62F9C">
        <w:rPr>
          <w:rFonts w:ascii="Courier New" w:hAnsi="Courier New" w:cs="Courier New"/>
          <w:b/>
          <w:bCs/>
        </w:rPr>
        <w:tab/>
      </w:r>
      <w:r w:rsidR="003F1394">
        <w:rPr>
          <w:rFonts w:ascii="Courier New" w:hAnsi="Courier New" w:cs="Courier New"/>
          <w:b/>
          <w:bCs/>
        </w:rPr>
        <w:t xml:space="preserve">THE </w:t>
      </w:r>
      <w:r w:rsidRPr="0012267B">
        <w:rPr>
          <w:rFonts w:ascii="Courier New" w:hAnsi="Courier New" w:cs="Courier New"/>
          <w:b/>
          <w:bCs/>
        </w:rPr>
        <w:t>APPELLATE TAX BOARD</w:t>
      </w:r>
    </w:p>
    <w:p w:rsidR="003F1394" w:rsidRDefault="003F1394" w:rsidP="0012267B">
      <w:pPr>
        <w:widowControl w:val="0"/>
        <w:autoSpaceDE w:val="0"/>
        <w:autoSpaceDN w:val="0"/>
        <w:adjustRightInd w:val="0"/>
        <w:spacing w:line="480" w:lineRule="auto"/>
        <w:jc w:val="both"/>
        <w:rPr>
          <w:rFonts w:ascii="Courier New" w:hAnsi="Courier New" w:cs="Courier New"/>
          <w:b/>
          <w:bCs/>
        </w:rPr>
      </w:pPr>
    </w:p>
    <w:p w:rsidR="003F1394" w:rsidRPr="0012267B" w:rsidRDefault="003F1394" w:rsidP="0012267B">
      <w:pPr>
        <w:widowControl w:val="0"/>
        <w:autoSpaceDE w:val="0"/>
        <w:autoSpaceDN w:val="0"/>
        <w:adjustRightInd w:val="0"/>
        <w:spacing w:line="480" w:lineRule="auto"/>
        <w:jc w:val="both"/>
        <w:rPr>
          <w:rFonts w:ascii="Courier New" w:hAnsi="Courier New" w:cs="Courier New"/>
          <w:b/>
          <w:bCs/>
        </w:rPr>
      </w:pPr>
    </w:p>
    <w:p w:rsidR="0012267B" w:rsidRPr="0012267B" w:rsidRDefault="0012267B" w:rsidP="0012267B">
      <w:pPr>
        <w:widowControl w:val="0"/>
        <w:autoSpaceDE w:val="0"/>
        <w:autoSpaceDN w:val="0"/>
        <w:adjustRightInd w:val="0"/>
        <w:rPr>
          <w:rFonts w:ascii="Courier New" w:hAnsi="Courier New" w:cs="Courier New"/>
          <w:b/>
          <w:bCs/>
        </w:rPr>
      </w:pPr>
      <w:r w:rsidRPr="0012267B">
        <w:rPr>
          <w:rFonts w:ascii="Courier New" w:hAnsi="Courier New" w:cs="Courier New"/>
          <w:b/>
          <w:bCs/>
        </w:rPr>
        <w:tab/>
      </w:r>
      <w:r w:rsidRPr="0012267B">
        <w:rPr>
          <w:rFonts w:ascii="Courier New" w:hAnsi="Courier New" w:cs="Courier New"/>
          <w:b/>
          <w:bCs/>
        </w:rPr>
        <w:tab/>
      </w:r>
      <w:r w:rsidRPr="0012267B">
        <w:rPr>
          <w:rFonts w:ascii="Courier New" w:hAnsi="Courier New" w:cs="Courier New"/>
          <w:b/>
          <w:bCs/>
        </w:rPr>
        <w:tab/>
      </w:r>
      <w:r w:rsidRPr="0012267B">
        <w:rPr>
          <w:rFonts w:ascii="Courier New" w:hAnsi="Courier New" w:cs="Courier New"/>
          <w:b/>
          <w:bCs/>
        </w:rPr>
        <w:tab/>
        <w:t xml:space="preserve"> </w:t>
      </w:r>
      <w:r w:rsidR="00B62F9C">
        <w:rPr>
          <w:rFonts w:ascii="Courier New" w:hAnsi="Courier New" w:cs="Courier New"/>
          <w:b/>
          <w:bCs/>
        </w:rPr>
        <w:tab/>
      </w:r>
      <w:r w:rsidRPr="0012267B">
        <w:rPr>
          <w:rFonts w:ascii="Courier New" w:hAnsi="Courier New" w:cs="Courier New"/>
          <w:b/>
          <w:bCs/>
        </w:rPr>
        <w:t>By:</w:t>
      </w:r>
      <w:r w:rsidR="00B62F9C">
        <w:rPr>
          <w:rFonts w:ascii="Courier New" w:hAnsi="Courier New" w:cs="Courier New"/>
          <w:b/>
          <w:bCs/>
        </w:rPr>
        <w:t xml:space="preserve"> </w:t>
      </w:r>
      <w:r w:rsidRPr="0012267B">
        <w:rPr>
          <w:rFonts w:ascii="Courier New" w:hAnsi="Courier New" w:cs="Courier New"/>
          <w:b/>
          <w:bCs/>
          <w:u w:val="single"/>
        </w:rPr>
        <w:tab/>
      </w:r>
      <w:r w:rsidRPr="0012267B">
        <w:rPr>
          <w:rFonts w:ascii="Courier New" w:hAnsi="Courier New" w:cs="Courier New"/>
          <w:b/>
          <w:bCs/>
          <w:u w:val="single"/>
        </w:rPr>
        <w:tab/>
      </w:r>
      <w:r w:rsidRPr="0012267B">
        <w:rPr>
          <w:rFonts w:ascii="Courier New" w:hAnsi="Courier New" w:cs="Courier New"/>
          <w:b/>
          <w:bCs/>
          <w:u w:val="single"/>
        </w:rPr>
        <w:tab/>
      </w:r>
      <w:r w:rsidRPr="0012267B">
        <w:rPr>
          <w:rFonts w:ascii="Courier New" w:hAnsi="Courier New" w:cs="Courier New"/>
          <w:b/>
          <w:bCs/>
          <w:u w:val="single"/>
        </w:rPr>
        <w:tab/>
      </w:r>
      <w:r w:rsidRPr="0012267B">
        <w:rPr>
          <w:rFonts w:ascii="Courier New" w:hAnsi="Courier New" w:cs="Courier New"/>
          <w:b/>
          <w:bCs/>
          <w:u w:val="single"/>
        </w:rPr>
        <w:tab/>
        <w:t>___________</w:t>
      </w:r>
      <w:r w:rsidRPr="0012267B">
        <w:rPr>
          <w:rFonts w:ascii="Courier New" w:hAnsi="Courier New" w:cs="Courier New"/>
          <w:b/>
          <w:bCs/>
        </w:rPr>
        <w:tab/>
      </w:r>
      <w:r w:rsidRPr="0012267B">
        <w:rPr>
          <w:rFonts w:ascii="Courier New" w:hAnsi="Courier New" w:cs="Courier New"/>
          <w:b/>
          <w:bCs/>
        </w:rPr>
        <w:tab/>
        <w:t xml:space="preserve"> </w:t>
      </w:r>
      <w:r w:rsidRPr="0012267B">
        <w:rPr>
          <w:rFonts w:ascii="Courier New" w:hAnsi="Courier New" w:cs="Courier New"/>
          <w:b/>
          <w:bCs/>
        </w:rPr>
        <w:tab/>
      </w:r>
      <w:r w:rsidRPr="0012267B">
        <w:rPr>
          <w:rFonts w:ascii="Courier New" w:hAnsi="Courier New" w:cs="Courier New"/>
          <w:b/>
          <w:bCs/>
        </w:rPr>
        <w:tab/>
        <w:t xml:space="preserve">         </w:t>
      </w:r>
      <w:r w:rsidR="00F903ED">
        <w:rPr>
          <w:rFonts w:ascii="Courier New" w:hAnsi="Courier New" w:cs="Courier New"/>
          <w:b/>
          <w:bCs/>
        </w:rPr>
        <w:tab/>
        <w:t xml:space="preserve">   </w:t>
      </w:r>
      <w:r w:rsidR="00B62F9C">
        <w:rPr>
          <w:rFonts w:ascii="Courier New" w:hAnsi="Courier New" w:cs="Courier New"/>
          <w:b/>
          <w:bCs/>
        </w:rPr>
        <w:t xml:space="preserve"> </w:t>
      </w:r>
      <w:r w:rsidRPr="0012267B">
        <w:rPr>
          <w:rFonts w:ascii="Courier New" w:hAnsi="Courier New" w:cs="Courier New"/>
          <w:b/>
          <w:bCs/>
        </w:rPr>
        <w:t>Thomas W. Hammond, Jr., Chairman</w:t>
      </w:r>
    </w:p>
    <w:p w:rsidR="0012267B" w:rsidRPr="0012267B" w:rsidRDefault="0012267B" w:rsidP="0012267B">
      <w:pPr>
        <w:widowControl w:val="0"/>
        <w:autoSpaceDE w:val="0"/>
        <w:autoSpaceDN w:val="0"/>
        <w:adjustRightInd w:val="0"/>
        <w:rPr>
          <w:rFonts w:ascii="Courier New" w:hAnsi="Courier New" w:cs="Courier New"/>
          <w:b/>
          <w:bCs/>
        </w:rPr>
      </w:pPr>
    </w:p>
    <w:p w:rsidR="000C4CA5" w:rsidRDefault="000C4CA5" w:rsidP="000C4CA5">
      <w:pPr>
        <w:widowControl w:val="0"/>
        <w:autoSpaceDE w:val="0"/>
        <w:autoSpaceDN w:val="0"/>
        <w:adjustRightInd w:val="0"/>
        <w:rPr>
          <w:rFonts w:ascii="Courier New" w:hAnsi="Courier New" w:cs="Courier New"/>
          <w:b/>
          <w:bCs/>
        </w:rPr>
      </w:pPr>
    </w:p>
    <w:p w:rsidR="000C4CA5" w:rsidRDefault="000C4CA5" w:rsidP="000C4CA5">
      <w:pPr>
        <w:widowControl w:val="0"/>
        <w:autoSpaceDE w:val="0"/>
        <w:autoSpaceDN w:val="0"/>
        <w:adjustRightInd w:val="0"/>
        <w:rPr>
          <w:rFonts w:ascii="Courier New" w:hAnsi="Courier New" w:cs="Courier New"/>
          <w:b/>
          <w:bCs/>
        </w:rPr>
      </w:pPr>
    </w:p>
    <w:p w:rsidR="000C4CA5" w:rsidRDefault="000C4CA5" w:rsidP="000C4CA5">
      <w:pPr>
        <w:widowControl w:val="0"/>
        <w:autoSpaceDE w:val="0"/>
        <w:autoSpaceDN w:val="0"/>
        <w:adjustRightInd w:val="0"/>
        <w:rPr>
          <w:rFonts w:ascii="Courier New" w:hAnsi="Courier New" w:cs="Courier New"/>
          <w:b/>
          <w:bCs/>
        </w:rPr>
      </w:pPr>
    </w:p>
    <w:p w:rsidR="000C4CA5" w:rsidRPr="0012267B" w:rsidRDefault="000C4CA5" w:rsidP="000C4CA5">
      <w:pPr>
        <w:widowControl w:val="0"/>
        <w:autoSpaceDE w:val="0"/>
        <w:autoSpaceDN w:val="0"/>
        <w:adjustRightInd w:val="0"/>
        <w:rPr>
          <w:rFonts w:ascii="Courier New" w:hAnsi="Courier New" w:cs="Courier New"/>
          <w:b/>
          <w:bCs/>
        </w:rPr>
      </w:pPr>
      <w:r w:rsidRPr="0012267B">
        <w:rPr>
          <w:rFonts w:ascii="Courier New" w:hAnsi="Courier New" w:cs="Courier New"/>
          <w:b/>
          <w:bCs/>
        </w:rPr>
        <w:t>A true copy,</w:t>
      </w:r>
    </w:p>
    <w:p w:rsidR="000C4CA5" w:rsidRPr="0012267B" w:rsidRDefault="000C4CA5" w:rsidP="000C4CA5">
      <w:pPr>
        <w:widowControl w:val="0"/>
        <w:autoSpaceDE w:val="0"/>
        <w:autoSpaceDN w:val="0"/>
        <w:adjustRightInd w:val="0"/>
        <w:rPr>
          <w:rFonts w:ascii="Courier New" w:hAnsi="Courier New" w:cs="Courier New"/>
          <w:b/>
          <w:bCs/>
        </w:rPr>
      </w:pPr>
    </w:p>
    <w:p w:rsidR="000C4CA5" w:rsidRPr="0012267B" w:rsidRDefault="000C4CA5" w:rsidP="000C4CA5">
      <w:pPr>
        <w:widowControl w:val="0"/>
        <w:autoSpaceDE w:val="0"/>
        <w:autoSpaceDN w:val="0"/>
        <w:adjustRightInd w:val="0"/>
        <w:rPr>
          <w:rFonts w:ascii="Courier New" w:hAnsi="Courier New" w:cs="Courier New"/>
          <w:b/>
          <w:bCs/>
        </w:rPr>
      </w:pPr>
    </w:p>
    <w:p w:rsidR="000C4CA5" w:rsidRPr="0012267B" w:rsidRDefault="000C4CA5" w:rsidP="000C4CA5">
      <w:pPr>
        <w:widowControl w:val="0"/>
        <w:autoSpaceDE w:val="0"/>
        <w:autoSpaceDN w:val="0"/>
        <w:adjustRightInd w:val="0"/>
        <w:rPr>
          <w:rFonts w:ascii="Courier New" w:hAnsi="Courier New" w:cs="Courier New"/>
          <w:b/>
          <w:bCs/>
          <w:u w:val="single"/>
        </w:rPr>
      </w:pPr>
      <w:r w:rsidRPr="0012267B">
        <w:rPr>
          <w:rFonts w:ascii="Courier New" w:hAnsi="Courier New" w:cs="Courier New"/>
          <w:b/>
          <w:bCs/>
        </w:rPr>
        <w:t>Attest:</w:t>
      </w:r>
      <w:r w:rsidRPr="0012267B">
        <w:rPr>
          <w:rFonts w:ascii="Courier New" w:hAnsi="Courier New" w:cs="Courier New"/>
          <w:b/>
          <w:bCs/>
          <w:u w:val="single"/>
        </w:rPr>
        <w:tab/>
      </w:r>
      <w:r w:rsidRPr="0012267B">
        <w:rPr>
          <w:rFonts w:ascii="Courier New" w:hAnsi="Courier New" w:cs="Courier New"/>
          <w:b/>
          <w:bCs/>
          <w:u w:val="single"/>
        </w:rPr>
        <w:tab/>
      </w:r>
      <w:r w:rsidRPr="0012267B">
        <w:rPr>
          <w:rFonts w:ascii="Courier New" w:hAnsi="Courier New" w:cs="Courier New"/>
          <w:b/>
          <w:bCs/>
          <w:u w:val="single"/>
        </w:rPr>
        <w:tab/>
      </w:r>
      <w:r w:rsidRPr="0012267B">
        <w:rPr>
          <w:rFonts w:ascii="Courier New" w:hAnsi="Courier New" w:cs="Courier New"/>
          <w:b/>
          <w:bCs/>
          <w:u w:val="single"/>
        </w:rPr>
        <w:tab/>
      </w:r>
      <w:r w:rsidRPr="0012267B">
        <w:rPr>
          <w:rFonts w:ascii="Courier New" w:hAnsi="Courier New" w:cs="Courier New"/>
          <w:b/>
          <w:bCs/>
          <w:u w:val="single"/>
        </w:rPr>
        <w:tab/>
      </w:r>
    </w:p>
    <w:p w:rsidR="000C4CA5" w:rsidRPr="0012267B" w:rsidRDefault="000C4CA5" w:rsidP="000C4CA5">
      <w:pPr>
        <w:widowControl w:val="0"/>
        <w:autoSpaceDE w:val="0"/>
        <w:autoSpaceDN w:val="0"/>
        <w:adjustRightInd w:val="0"/>
        <w:spacing w:line="480" w:lineRule="auto"/>
        <w:jc w:val="both"/>
        <w:rPr>
          <w:rFonts w:ascii="Courier New" w:hAnsi="Courier New" w:cs="Courier New"/>
          <w:b/>
          <w:bCs/>
        </w:rPr>
      </w:pPr>
      <w:r w:rsidRPr="0012267B">
        <w:rPr>
          <w:rFonts w:ascii="Courier New" w:hAnsi="Courier New" w:cs="Courier New"/>
          <w:b/>
          <w:bCs/>
        </w:rPr>
        <w:tab/>
        <w:t xml:space="preserve">  Clerk of the Board</w:t>
      </w:r>
    </w:p>
    <w:p w:rsidR="003F1394" w:rsidRDefault="003F1394" w:rsidP="0012267B">
      <w:pPr>
        <w:widowControl w:val="0"/>
        <w:autoSpaceDE w:val="0"/>
        <w:autoSpaceDN w:val="0"/>
        <w:adjustRightInd w:val="0"/>
        <w:rPr>
          <w:rFonts w:ascii="Courier New" w:hAnsi="Courier New" w:cs="Courier New"/>
          <w:b/>
          <w:bCs/>
        </w:rPr>
      </w:pPr>
    </w:p>
    <w:sectPr w:rsidR="003F1394" w:rsidSect="000C4CA5">
      <w:footerReference w:type="default" r:id="rId12"/>
      <w:pgSz w:w="12240" w:h="15840"/>
      <w:pgMar w:top="1440" w:right="1440" w:bottom="1440" w:left="1440" w:header="720" w:footer="720" w:gutter="0"/>
      <w:pgNumType w:start="38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94D" w:rsidRDefault="0019194D" w:rsidP="0019194D">
      <w:r>
        <w:separator/>
      </w:r>
    </w:p>
  </w:endnote>
  <w:endnote w:type="continuationSeparator" w:id="0">
    <w:p w:rsidR="0019194D" w:rsidRDefault="0019194D" w:rsidP="00191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ourier New" w:hAnsi="Courier New" w:cs="Courier New"/>
        <w:b/>
      </w:rPr>
      <w:id w:val="-804930121"/>
      <w:docPartObj>
        <w:docPartGallery w:val="Page Numbers (Bottom of Page)"/>
        <w:docPartUnique/>
      </w:docPartObj>
    </w:sdtPr>
    <w:sdtEndPr>
      <w:rPr>
        <w:noProof/>
      </w:rPr>
    </w:sdtEndPr>
    <w:sdtContent>
      <w:p w:rsidR="0019194D" w:rsidRPr="000C4CA5" w:rsidRDefault="000C4CA5">
        <w:pPr>
          <w:pStyle w:val="Footer"/>
          <w:jc w:val="center"/>
          <w:rPr>
            <w:rFonts w:ascii="Courier New" w:hAnsi="Courier New" w:cs="Courier New"/>
            <w:b/>
          </w:rPr>
        </w:pPr>
        <w:r w:rsidRPr="000C4CA5">
          <w:rPr>
            <w:rFonts w:ascii="Courier New" w:hAnsi="Courier New" w:cs="Courier New"/>
            <w:b/>
          </w:rPr>
          <w:t>ATB 2018-</w:t>
        </w:r>
        <w:r w:rsidR="0019194D" w:rsidRPr="000C4CA5">
          <w:rPr>
            <w:rFonts w:ascii="Courier New" w:hAnsi="Courier New" w:cs="Courier New"/>
            <w:b/>
          </w:rPr>
          <w:fldChar w:fldCharType="begin"/>
        </w:r>
        <w:r w:rsidR="0019194D" w:rsidRPr="000C4CA5">
          <w:rPr>
            <w:rFonts w:ascii="Courier New" w:hAnsi="Courier New" w:cs="Courier New"/>
            <w:b/>
          </w:rPr>
          <w:instrText xml:space="preserve"> PAGE   \* MERGEFORMAT </w:instrText>
        </w:r>
        <w:r w:rsidR="0019194D" w:rsidRPr="000C4CA5">
          <w:rPr>
            <w:rFonts w:ascii="Courier New" w:hAnsi="Courier New" w:cs="Courier New"/>
            <w:b/>
          </w:rPr>
          <w:fldChar w:fldCharType="separate"/>
        </w:r>
        <w:r w:rsidR="00DB0DA8">
          <w:rPr>
            <w:rFonts w:ascii="Courier New" w:hAnsi="Courier New" w:cs="Courier New"/>
            <w:b/>
            <w:noProof/>
          </w:rPr>
          <w:t>388</w:t>
        </w:r>
        <w:r w:rsidR="0019194D" w:rsidRPr="000C4CA5">
          <w:rPr>
            <w:rFonts w:ascii="Courier New" w:hAnsi="Courier New" w:cs="Courier New"/>
            <w:b/>
            <w:noProof/>
          </w:rPr>
          <w:fldChar w:fldCharType="end"/>
        </w:r>
      </w:p>
    </w:sdtContent>
  </w:sdt>
  <w:p w:rsidR="0019194D" w:rsidRDefault="001919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94D" w:rsidRDefault="0019194D" w:rsidP="0019194D">
      <w:r>
        <w:separator/>
      </w:r>
    </w:p>
  </w:footnote>
  <w:footnote w:type="continuationSeparator" w:id="0">
    <w:p w:rsidR="0019194D" w:rsidRDefault="0019194D" w:rsidP="0019194D">
      <w:r>
        <w:continuationSeparator/>
      </w:r>
    </w:p>
  </w:footnote>
  <w:footnote w:id="1">
    <w:p w:rsidR="00761DF6" w:rsidRPr="00761DF6" w:rsidRDefault="00761DF6" w:rsidP="00761DF6">
      <w:pPr>
        <w:pStyle w:val="FootnoteText"/>
        <w:jc w:val="both"/>
        <w:rPr>
          <w:rFonts w:ascii="Courier New" w:hAnsi="Courier New" w:cs="Courier New"/>
        </w:rPr>
      </w:pPr>
      <w:r w:rsidRPr="00761DF6">
        <w:rPr>
          <w:rStyle w:val="FootnoteReference"/>
          <w:rFonts w:ascii="Courier New" w:hAnsi="Courier New" w:cs="Courier New"/>
        </w:rPr>
        <w:footnoteRef/>
      </w:r>
      <w:r w:rsidRPr="00761DF6">
        <w:rPr>
          <w:rFonts w:ascii="Courier New" w:hAnsi="Courier New" w:cs="Courier New"/>
        </w:rPr>
        <w:t xml:space="preserve"> Stephen Garanin, who is the President of WRGC, testified at the hearing that the signs photographed by the assessors have since been changed to signs merely cautioning the public that firearms are in use at the subject property.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65454"/>
    <w:multiLevelType w:val="hybridMultilevel"/>
    <w:tmpl w:val="1A98969A"/>
    <w:lvl w:ilvl="0" w:tplc="433262E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CB90FBB"/>
    <w:multiLevelType w:val="hybridMultilevel"/>
    <w:tmpl w:val="181A0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3A73BF"/>
    <w:multiLevelType w:val="hybridMultilevel"/>
    <w:tmpl w:val="61D23D36"/>
    <w:lvl w:ilvl="0" w:tplc="851E6A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04E"/>
    <w:rsid w:val="000142AD"/>
    <w:rsid w:val="000262ED"/>
    <w:rsid w:val="00055D38"/>
    <w:rsid w:val="000560B4"/>
    <w:rsid w:val="00066168"/>
    <w:rsid w:val="00066C73"/>
    <w:rsid w:val="00074743"/>
    <w:rsid w:val="00075F45"/>
    <w:rsid w:val="0008117E"/>
    <w:rsid w:val="00085304"/>
    <w:rsid w:val="0009105D"/>
    <w:rsid w:val="000A5436"/>
    <w:rsid w:val="000A57FF"/>
    <w:rsid w:val="000B214E"/>
    <w:rsid w:val="000B4765"/>
    <w:rsid w:val="000B47C4"/>
    <w:rsid w:val="000B58B2"/>
    <w:rsid w:val="000C4CA5"/>
    <w:rsid w:val="000C6758"/>
    <w:rsid w:val="000C6976"/>
    <w:rsid w:val="000D2A79"/>
    <w:rsid w:val="000D2AF5"/>
    <w:rsid w:val="000D7635"/>
    <w:rsid w:val="000E3A0E"/>
    <w:rsid w:val="000F6EA7"/>
    <w:rsid w:val="00102151"/>
    <w:rsid w:val="00104C5E"/>
    <w:rsid w:val="00111478"/>
    <w:rsid w:val="00116292"/>
    <w:rsid w:val="0012267B"/>
    <w:rsid w:val="00134020"/>
    <w:rsid w:val="00135BBF"/>
    <w:rsid w:val="00140019"/>
    <w:rsid w:val="00146EAD"/>
    <w:rsid w:val="00147E37"/>
    <w:rsid w:val="00160B80"/>
    <w:rsid w:val="001873C7"/>
    <w:rsid w:val="0019194D"/>
    <w:rsid w:val="001A7520"/>
    <w:rsid w:val="001B264B"/>
    <w:rsid w:val="001C153A"/>
    <w:rsid w:val="001D2F44"/>
    <w:rsid w:val="001D354C"/>
    <w:rsid w:val="001F110C"/>
    <w:rsid w:val="001F4564"/>
    <w:rsid w:val="001F7D5F"/>
    <w:rsid w:val="002136BE"/>
    <w:rsid w:val="002236A3"/>
    <w:rsid w:val="00231F3B"/>
    <w:rsid w:val="00240493"/>
    <w:rsid w:val="00244374"/>
    <w:rsid w:val="00252909"/>
    <w:rsid w:val="00254F09"/>
    <w:rsid w:val="002636D0"/>
    <w:rsid w:val="00263E37"/>
    <w:rsid w:val="00271A69"/>
    <w:rsid w:val="00271ECF"/>
    <w:rsid w:val="002739A0"/>
    <w:rsid w:val="002773BD"/>
    <w:rsid w:val="00280486"/>
    <w:rsid w:val="00280B5D"/>
    <w:rsid w:val="002A4142"/>
    <w:rsid w:val="002A4FEA"/>
    <w:rsid w:val="002A64D3"/>
    <w:rsid w:val="002B1D26"/>
    <w:rsid w:val="002B50E8"/>
    <w:rsid w:val="002C338E"/>
    <w:rsid w:val="002D736F"/>
    <w:rsid w:val="002E33F2"/>
    <w:rsid w:val="002E65A5"/>
    <w:rsid w:val="002F5C36"/>
    <w:rsid w:val="00304B50"/>
    <w:rsid w:val="00306943"/>
    <w:rsid w:val="0031283C"/>
    <w:rsid w:val="003149DC"/>
    <w:rsid w:val="0032076C"/>
    <w:rsid w:val="003468E8"/>
    <w:rsid w:val="00374F9F"/>
    <w:rsid w:val="003826AE"/>
    <w:rsid w:val="00383BDE"/>
    <w:rsid w:val="00392EB9"/>
    <w:rsid w:val="00393A05"/>
    <w:rsid w:val="003A475C"/>
    <w:rsid w:val="003B16EA"/>
    <w:rsid w:val="003B52CF"/>
    <w:rsid w:val="003B7C01"/>
    <w:rsid w:val="003C38BD"/>
    <w:rsid w:val="003C5BE1"/>
    <w:rsid w:val="003D6331"/>
    <w:rsid w:val="003D68FA"/>
    <w:rsid w:val="003F1394"/>
    <w:rsid w:val="00403290"/>
    <w:rsid w:val="0042348E"/>
    <w:rsid w:val="00426931"/>
    <w:rsid w:val="00431D33"/>
    <w:rsid w:val="00434D81"/>
    <w:rsid w:val="00443E4A"/>
    <w:rsid w:val="00444AEA"/>
    <w:rsid w:val="00451103"/>
    <w:rsid w:val="00452A00"/>
    <w:rsid w:val="00463722"/>
    <w:rsid w:val="00464535"/>
    <w:rsid w:val="004704EC"/>
    <w:rsid w:val="004762F8"/>
    <w:rsid w:val="00476C81"/>
    <w:rsid w:val="00486E14"/>
    <w:rsid w:val="00497FD1"/>
    <w:rsid w:val="004A7D71"/>
    <w:rsid w:val="004B4CC9"/>
    <w:rsid w:val="004B5698"/>
    <w:rsid w:val="004B6914"/>
    <w:rsid w:val="004B6D99"/>
    <w:rsid w:val="004C242C"/>
    <w:rsid w:val="004D00FC"/>
    <w:rsid w:val="004E0A32"/>
    <w:rsid w:val="004F2C7D"/>
    <w:rsid w:val="00501A7B"/>
    <w:rsid w:val="005237D5"/>
    <w:rsid w:val="00533591"/>
    <w:rsid w:val="005474FC"/>
    <w:rsid w:val="00547874"/>
    <w:rsid w:val="0055288C"/>
    <w:rsid w:val="005537AE"/>
    <w:rsid w:val="00566702"/>
    <w:rsid w:val="005826A6"/>
    <w:rsid w:val="005A2BE5"/>
    <w:rsid w:val="005A6A34"/>
    <w:rsid w:val="005C700B"/>
    <w:rsid w:val="005D195B"/>
    <w:rsid w:val="005F1AAE"/>
    <w:rsid w:val="005F6864"/>
    <w:rsid w:val="00603313"/>
    <w:rsid w:val="00604F7F"/>
    <w:rsid w:val="00620DD9"/>
    <w:rsid w:val="00621251"/>
    <w:rsid w:val="00626D55"/>
    <w:rsid w:val="006340EA"/>
    <w:rsid w:val="0064571C"/>
    <w:rsid w:val="006534CE"/>
    <w:rsid w:val="0065544A"/>
    <w:rsid w:val="00657094"/>
    <w:rsid w:val="00657D9D"/>
    <w:rsid w:val="00667797"/>
    <w:rsid w:val="006751E5"/>
    <w:rsid w:val="0068171C"/>
    <w:rsid w:val="00692101"/>
    <w:rsid w:val="006C6252"/>
    <w:rsid w:val="006C668F"/>
    <w:rsid w:val="006E54F7"/>
    <w:rsid w:val="00701B7C"/>
    <w:rsid w:val="007042E4"/>
    <w:rsid w:val="007106B1"/>
    <w:rsid w:val="007137D1"/>
    <w:rsid w:val="0072590B"/>
    <w:rsid w:val="00746A61"/>
    <w:rsid w:val="00761DF6"/>
    <w:rsid w:val="00774F1A"/>
    <w:rsid w:val="00783A75"/>
    <w:rsid w:val="007A4943"/>
    <w:rsid w:val="007B125B"/>
    <w:rsid w:val="007B7223"/>
    <w:rsid w:val="007D2B2D"/>
    <w:rsid w:val="007E7DDC"/>
    <w:rsid w:val="007F04DD"/>
    <w:rsid w:val="00837F6E"/>
    <w:rsid w:val="0084167C"/>
    <w:rsid w:val="00842111"/>
    <w:rsid w:val="0084313C"/>
    <w:rsid w:val="0084334B"/>
    <w:rsid w:val="008467FC"/>
    <w:rsid w:val="0086049A"/>
    <w:rsid w:val="0087489E"/>
    <w:rsid w:val="00876D2C"/>
    <w:rsid w:val="0088304E"/>
    <w:rsid w:val="00896D63"/>
    <w:rsid w:val="008A486A"/>
    <w:rsid w:val="008B4EFC"/>
    <w:rsid w:val="008C2E3B"/>
    <w:rsid w:val="008E1FAF"/>
    <w:rsid w:val="0091286E"/>
    <w:rsid w:val="00914E44"/>
    <w:rsid w:val="00945977"/>
    <w:rsid w:val="00983546"/>
    <w:rsid w:val="0098649F"/>
    <w:rsid w:val="00994D87"/>
    <w:rsid w:val="009964AD"/>
    <w:rsid w:val="009B119C"/>
    <w:rsid w:val="009B40F8"/>
    <w:rsid w:val="009C6090"/>
    <w:rsid w:val="009D48E9"/>
    <w:rsid w:val="009E6AA2"/>
    <w:rsid w:val="009F5BAA"/>
    <w:rsid w:val="009F7FCE"/>
    <w:rsid w:val="00A022F1"/>
    <w:rsid w:val="00A02AE8"/>
    <w:rsid w:val="00A04CC6"/>
    <w:rsid w:val="00A1548E"/>
    <w:rsid w:val="00A2154E"/>
    <w:rsid w:val="00A2385D"/>
    <w:rsid w:val="00A278B6"/>
    <w:rsid w:val="00A31DA2"/>
    <w:rsid w:val="00A37DA6"/>
    <w:rsid w:val="00A42917"/>
    <w:rsid w:val="00A512E1"/>
    <w:rsid w:val="00A54C54"/>
    <w:rsid w:val="00A56E36"/>
    <w:rsid w:val="00A578B1"/>
    <w:rsid w:val="00A65477"/>
    <w:rsid w:val="00A730A1"/>
    <w:rsid w:val="00A7362D"/>
    <w:rsid w:val="00AB582F"/>
    <w:rsid w:val="00AB7BB7"/>
    <w:rsid w:val="00B02F01"/>
    <w:rsid w:val="00B03871"/>
    <w:rsid w:val="00B04A8F"/>
    <w:rsid w:val="00B21F64"/>
    <w:rsid w:val="00B33CDF"/>
    <w:rsid w:val="00B34EEA"/>
    <w:rsid w:val="00B350BD"/>
    <w:rsid w:val="00B36B0D"/>
    <w:rsid w:val="00B45A5D"/>
    <w:rsid w:val="00B50EFA"/>
    <w:rsid w:val="00B55BAB"/>
    <w:rsid w:val="00B56242"/>
    <w:rsid w:val="00B5729C"/>
    <w:rsid w:val="00B62F9C"/>
    <w:rsid w:val="00B737C5"/>
    <w:rsid w:val="00B7406F"/>
    <w:rsid w:val="00B74683"/>
    <w:rsid w:val="00B82E29"/>
    <w:rsid w:val="00B86851"/>
    <w:rsid w:val="00B8789F"/>
    <w:rsid w:val="00B87E8F"/>
    <w:rsid w:val="00B900C5"/>
    <w:rsid w:val="00B90E9E"/>
    <w:rsid w:val="00B93DD5"/>
    <w:rsid w:val="00B94FD8"/>
    <w:rsid w:val="00B952D5"/>
    <w:rsid w:val="00BB6F39"/>
    <w:rsid w:val="00BD094C"/>
    <w:rsid w:val="00BD5676"/>
    <w:rsid w:val="00BF2E24"/>
    <w:rsid w:val="00BF4F37"/>
    <w:rsid w:val="00C0004E"/>
    <w:rsid w:val="00C10242"/>
    <w:rsid w:val="00C13609"/>
    <w:rsid w:val="00C2027B"/>
    <w:rsid w:val="00C22F25"/>
    <w:rsid w:val="00C3004A"/>
    <w:rsid w:val="00C602D2"/>
    <w:rsid w:val="00C613C1"/>
    <w:rsid w:val="00C64222"/>
    <w:rsid w:val="00C70928"/>
    <w:rsid w:val="00C75FED"/>
    <w:rsid w:val="00C8075D"/>
    <w:rsid w:val="00C8089F"/>
    <w:rsid w:val="00C91520"/>
    <w:rsid w:val="00C9416D"/>
    <w:rsid w:val="00CB2472"/>
    <w:rsid w:val="00CB34BA"/>
    <w:rsid w:val="00CB4224"/>
    <w:rsid w:val="00CB7749"/>
    <w:rsid w:val="00CD4CE7"/>
    <w:rsid w:val="00CD60F8"/>
    <w:rsid w:val="00CD6ED2"/>
    <w:rsid w:val="00CE4FEE"/>
    <w:rsid w:val="00CF6BAA"/>
    <w:rsid w:val="00D01DFD"/>
    <w:rsid w:val="00D06557"/>
    <w:rsid w:val="00D111F1"/>
    <w:rsid w:val="00D17F35"/>
    <w:rsid w:val="00D24138"/>
    <w:rsid w:val="00D2635F"/>
    <w:rsid w:val="00D373EC"/>
    <w:rsid w:val="00D4575C"/>
    <w:rsid w:val="00D46E5F"/>
    <w:rsid w:val="00D6061C"/>
    <w:rsid w:val="00D86C53"/>
    <w:rsid w:val="00D86D06"/>
    <w:rsid w:val="00DA0D33"/>
    <w:rsid w:val="00DA345A"/>
    <w:rsid w:val="00DA5D09"/>
    <w:rsid w:val="00DA77B8"/>
    <w:rsid w:val="00DB0DA8"/>
    <w:rsid w:val="00DB395D"/>
    <w:rsid w:val="00DC00F8"/>
    <w:rsid w:val="00DC434E"/>
    <w:rsid w:val="00DC6299"/>
    <w:rsid w:val="00DD139D"/>
    <w:rsid w:val="00DD1A3C"/>
    <w:rsid w:val="00DD4537"/>
    <w:rsid w:val="00DF6708"/>
    <w:rsid w:val="00E002B5"/>
    <w:rsid w:val="00E15718"/>
    <w:rsid w:val="00E20918"/>
    <w:rsid w:val="00E272D3"/>
    <w:rsid w:val="00E3638F"/>
    <w:rsid w:val="00E449C2"/>
    <w:rsid w:val="00E53222"/>
    <w:rsid w:val="00E53B82"/>
    <w:rsid w:val="00E54097"/>
    <w:rsid w:val="00E611BA"/>
    <w:rsid w:val="00E619AE"/>
    <w:rsid w:val="00E74E2D"/>
    <w:rsid w:val="00E772AB"/>
    <w:rsid w:val="00E80AE4"/>
    <w:rsid w:val="00E83461"/>
    <w:rsid w:val="00E8491E"/>
    <w:rsid w:val="00E93105"/>
    <w:rsid w:val="00EF369E"/>
    <w:rsid w:val="00F07320"/>
    <w:rsid w:val="00F141EB"/>
    <w:rsid w:val="00F230B4"/>
    <w:rsid w:val="00F23AE4"/>
    <w:rsid w:val="00F25F33"/>
    <w:rsid w:val="00F313C9"/>
    <w:rsid w:val="00F37D7D"/>
    <w:rsid w:val="00F4522A"/>
    <w:rsid w:val="00F57B4A"/>
    <w:rsid w:val="00F6019A"/>
    <w:rsid w:val="00F60FD0"/>
    <w:rsid w:val="00F63D29"/>
    <w:rsid w:val="00F6412D"/>
    <w:rsid w:val="00F73A6E"/>
    <w:rsid w:val="00F80BB8"/>
    <w:rsid w:val="00F8413F"/>
    <w:rsid w:val="00F903ED"/>
    <w:rsid w:val="00F90FAB"/>
    <w:rsid w:val="00F96921"/>
    <w:rsid w:val="00F972A5"/>
    <w:rsid w:val="00F97BE1"/>
    <w:rsid w:val="00FB5E70"/>
    <w:rsid w:val="00FC0AC1"/>
    <w:rsid w:val="00FC217C"/>
    <w:rsid w:val="00FC30F1"/>
    <w:rsid w:val="00FC4E79"/>
    <w:rsid w:val="00FD37E0"/>
    <w:rsid w:val="00FF6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04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004E"/>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19194D"/>
    <w:pPr>
      <w:tabs>
        <w:tab w:val="center" w:pos="4680"/>
        <w:tab w:val="right" w:pos="9360"/>
      </w:tabs>
    </w:pPr>
  </w:style>
  <w:style w:type="character" w:customStyle="1" w:styleId="HeaderChar">
    <w:name w:val="Header Char"/>
    <w:basedOn w:val="DefaultParagraphFont"/>
    <w:link w:val="Header"/>
    <w:uiPriority w:val="99"/>
    <w:rsid w:val="0019194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9194D"/>
    <w:pPr>
      <w:tabs>
        <w:tab w:val="center" w:pos="4680"/>
        <w:tab w:val="right" w:pos="9360"/>
      </w:tabs>
    </w:pPr>
  </w:style>
  <w:style w:type="character" w:customStyle="1" w:styleId="FooterChar">
    <w:name w:val="Footer Char"/>
    <w:basedOn w:val="DefaultParagraphFont"/>
    <w:link w:val="Footer"/>
    <w:uiPriority w:val="99"/>
    <w:rsid w:val="0019194D"/>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61DF6"/>
    <w:rPr>
      <w:sz w:val="20"/>
      <w:szCs w:val="20"/>
    </w:rPr>
  </w:style>
  <w:style w:type="character" w:customStyle="1" w:styleId="FootnoteTextChar">
    <w:name w:val="Footnote Text Char"/>
    <w:basedOn w:val="DefaultParagraphFont"/>
    <w:link w:val="FootnoteText"/>
    <w:uiPriority w:val="99"/>
    <w:semiHidden/>
    <w:rsid w:val="00761DF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61DF6"/>
    <w:rPr>
      <w:vertAlign w:val="superscript"/>
    </w:rPr>
  </w:style>
  <w:style w:type="paragraph" w:styleId="BalloonText">
    <w:name w:val="Balloon Text"/>
    <w:basedOn w:val="Normal"/>
    <w:link w:val="BalloonTextChar"/>
    <w:uiPriority w:val="99"/>
    <w:semiHidden/>
    <w:unhideWhenUsed/>
    <w:rsid w:val="00280486"/>
    <w:rPr>
      <w:rFonts w:ascii="Tahoma" w:hAnsi="Tahoma" w:cs="Tahoma"/>
      <w:sz w:val="16"/>
      <w:szCs w:val="16"/>
    </w:rPr>
  </w:style>
  <w:style w:type="character" w:customStyle="1" w:styleId="BalloonTextChar">
    <w:name w:val="Balloon Text Char"/>
    <w:basedOn w:val="DefaultParagraphFont"/>
    <w:link w:val="BalloonText"/>
    <w:uiPriority w:val="99"/>
    <w:semiHidden/>
    <w:rsid w:val="00280486"/>
    <w:rPr>
      <w:rFonts w:ascii="Tahoma" w:eastAsia="Times New Roman" w:hAnsi="Tahoma" w:cs="Tahoma"/>
      <w:sz w:val="16"/>
      <w:szCs w:val="16"/>
    </w:rPr>
  </w:style>
  <w:style w:type="paragraph" w:styleId="ListParagraph">
    <w:name w:val="List Paragraph"/>
    <w:basedOn w:val="Normal"/>
    <w:uiPriority w:val="34"/>
    <w:qFormat/>
    <w:rsid w:val="00E931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04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004E"/>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19194D"/>
    <w:pPr>
      <w:tabs>
        <w:tab w:val="center" w:pos="4680"/>
        <w:tab w:val="right" w:pos="9360"/>
      </w:tabs>
    </w:pPr>
  </w:style>
  <w:style w:type="character" w:customStyle="1" w:styleId="HeaderChar">
    <w:name w:val="Header Char"/>
    <w:basedOn w:val="DefaultParagraphFont"/>
    <w:link w:val="Header"/>
    <w:uiPriority w:val="99"/>
    <w:rsid w:val="0019194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9194D"/>
    <w:pPr>
      <w:tabs>
        <w:tab w:val="center" w:pos="4680"/>
        <w:tab w:val="right" w:pos="9360"/>
      </w:tabs>
    </w:pPr>
  </w:style>
  <w:style w:type="character" w:customStyle="1" w:styleId="FooterChar">
    <w:name w:val="Footer Char"/>
    <w:basedOn w:val="DefaultParagraphFont"/>
    <w:link w:val="Footer"/>
    <w:uiPriority w:val="99"/>
    <w:rsid w:val="0019194D"/>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61DF6"/>
    <w:rPr>
      <w:sz w:val="20"/>
      <w:szCs w:val="20"/>
    </w:rPr>
  </w:style>
  <w:style w:type="character" w:customStyle="1" w:styleId="FootnoteTextChar">
    <w:name w:val="Footnote Text Char"/>
    <w:basedOn w:val="DefaultParagraphFont"/>
    <w:link w:val="FootnoteText"/>
    <w:uiPriority w:val="99"/>
    <w:semiHidden/>
    <w:rsid w:val="00761DF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61DF6"/>
    <w:rPr>
      <w:vertAlign w:val="superscript"/>
    </w:rPr>
  </w:style>
  <w:style w:type="paragraph" w:styleId="BalloonText">
    <w:name w:val="Balloon Text"/>
    <w:basedOn w:val="Normal"/>
    <w:link w:val="BalloonTextChar"/>
    <w:uiPriority w:val="99"/>
    <w:semiHidden/>
    <w:unhideWhenUsed/>
    <w:rsid w:val="00280486"/>
    <w:rPr>
      <w:rFonts w:ascii="Tahoma" w:hAnsi="Tahoma" w:cs="Tahoma"/>
      <w:sz w:val="16"/>
      <w:szCs w:val="16"/>
    </w:rPr>
  </w:style>
  <w:style w:type="character" w:customStyle="1" w:styleId="BalloonTextChar">
    <w:name w:val="Balloon Text Char"/>
    <w:basedOn w:val="DefaultParagraphFont"/>
    <w:link w:val="BalloonText"/>
    <w:uiPriority w:val="99"/>
    <w:semiHidden/>
    <w:rsid w:val="00280486"/>
    <w:rPr>
      <w:rFonts w:ascii="Tahoma" w:eastAsia="Times New Roman" w:hAnsi="Tahoma" w:cs="Tahoma"/>
      <w:sz w:val="16"/>
      <w:szCs w:val="16"/>
    </w:rPr>
  </w:style>
  <w:style w:type="paragraph" w:styleId="ListParagraph">
    <w:name w:val="List Paragraph"/>
    <w:basedOn w:val="Normal"/>
    <w:uiPriority w:val="34"/>
    <w:qFormat/>
    <w:rsid w:val="00E931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xis.com/research/buttonTFLink?_m=b91840ed6886fa8f70be638c5cc21a7b&amp;_xfercite=%3ccite%20cc%3d%22USA%22%3e%3c%21%5bCDATA%5b2008%20Mass.%20Tax%20LEXIS%2051%5d%5d%3e%3c%2fcite%3e&amp;_butType=3&amp;_butStat=2&amp;_butNum=3&amp;_butInline=1&amp;_butinfo=%3ccite%20cc%3d%22USA%22%3e%3c%21%5bCDATA%5b294%20Mass.%20248%2cat%20257%5d%5d%3e%3c%2fcite%3e&amp;_fmtstr=FULL&amp;docnum=2&amp;_startdoc=1&amp;wchp=dGLzVzt-zSkAb&amp;_md5=81cbdf0c2894689082d607d6c5d1bc30" TargetMode="External"/><Relationship Id="rId5" Type="http://schemas.openxmlformats.org/officeDocument/2006/relationships/settings" Target="settings.xml"/><Relationship Id="rId10" Type="http://schemas.openxmlformats.org/officeDocument/2006/relationships/hyperlink" Target="http://www.lexis.com/research/buttonTFLink?_m=b91840ed6886fa8f70be638c5cc21a7b&amp;_xfercite=%3ccite%20cc%3d%22USA%22%3e%3c%21%5bCDATA%5b2008%20Mass.%20Tax%20LEXIS%2051%5d%5d%3e%3c%2fcite%3e&amp;_butType=3&amp;_butStat=2&amp;_butNum=2&amp;_butInline=1&amp;_butinfo=%3ccite%20cc%3d%22USA%22%3e%3c%21%5bCDATA%5b367%20Mass.%20301%2cat%20306%5d%5d%3e%3c%2fcite%3e&amp;_fmtstr=FULL&amp;docnum=2&amp;_startdoc=1&amp;wchp=dGLzVzt-zSkAb&amp;_md5=c46d3072391ef06a1e1f0c2d9d56db89" TargetMode="External"/><Relationship Id="rId4" Type="http://schemas.microsoft.com/office/2007/relationships/stylesWithEffects" Target="stylesWithEffects.xml"/><Relationship Id="rId9" Type="http://schemas.openxmlformats.org/officeDocument/2006/relationships/hyperlink" Target="http://www.lexis.com/research/buttonTFLink?_m=b91840ed6886fa8f70be638c5cc21a7b&amp;_xfercite=%3ccite%20cc%3d%22USA%22%3e%3c%21%5bCDATA%5b2008%20Mass.%20Tax%20LEXIS%2051%5d%5d%3e%3c%2fcite%3e&amp;_butType=3&amp;_butStat=2&amp;_butNum=1&amp;_butInline=1&amp;_butinfo=%3ccite%20cc%3d%22USA%22%3e%3c%21%5bCDATA%5b61%20Mass.%20App.%20Ct.%2073%5d%5d%3e%3c%2fcite%3e&amp;_fmtstr=FULL&amp;docnum=2&amp;_startdoc=1&amp;wchp=dGLzVzt-zSkAb&amp;_md5=b18cdd957cce18be102bc2543166f04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63F81-4A22-4163-BE03-BAD24A2A3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3680</Words>
  <Characters>20980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2018-09-12T17:08:00Z</cp:lastPrinted>
  <dcterms:created xsi:type="dcterms:W3CDTF">2018-09-12T18:58:00Z</dcterms:created>
  <dcterms:modified xsi:type="dcterms:W3CDTF">2018-09-12T18:58:00Z</dcterms:modified>
</cp:coreProperties>
</file>