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6982CB60" w14:textId="3A4F6608" w:rsidR="007E14E9" w:rsidRDefault="001075EA"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 xml:space="preserve">Week of </w:t>
      </w:r>
      <w:r w:rsidR="00E000EC">
        <w:rPr>
          <w:rFonts w:ascii="Calibri" w:hAnsi="Calibri" w:cs="Calibri"/>
          <w:b/>
          <w:bCs/>
          <w:color w:val="333333"/>
          <w:sz w:val="29"/>
          <w:szCs w:val="29"/>
        </w:rPr>
        <w:t>10</w:t>
      </w:r>
      <w:r>
        <w:rPr>
          <w:rFonts w:ascii="Calibri" w:hAnsi="Calibri" w:cs="Calibri"/>
          <w:b/>
          <w:bCs/>
          <w:color w:val="333333"/>
          <w:sz w:val="29"/>
          <w:szCs w:val="29"/>
        </w:rPr>
        <w:t>/</w:t>
      </w:r>
      <w:r w:rsidR="002C79CF">
        <w:rPr>
          <w:rFonts w:ascii="Calibri" w:hAnsi="Calibri" w:cs="Calibri"/>
          <w:b/>
          <w:bCs/>
          <w:color w:val="333333"/>
          <w:sz w:val="29"/>
          <w:szCs w:val="29"/>
        </w:rPr>
        <w:t>2</w:t>
      </w:r>
      <w:r w:rsidR="002B54BA">
        <w:rPr>
          <w:rFonts w:ascii="Calibri" w:hAnsi="Calibri" w:cs="Calibri"/>
          <w:b/>
          <w:bCs/>
          <w:color w:val="333333"/>
          <w:sz w:val="29"/>
          <w:szCs w:val="29"/>
        </w:rPr>
        <w:t>7</w:t>
      </w:r>
      <w:r w:rsidR="007E14E9">
        <w:rPr>
          <w:rFonts w:ascii="Calibri" w:hAnsi="Calibri" w:cs="Calibri"/>
          <w:b/>
          <w:bCs/>
          <w:color w:val="333333"/>
          <w:sz w:val="29"/>
          <w:szCs w:val="29"/>
        </w:rPr>
        <w:t>/21</w:t>
      </w:r>
    </w:p>
    <w:p w14:paraId="59C1193C" w14:textId="77777777" w:rsidR="007E14E9" w:rsidRDefault="007E14E9" w:rsidP="007E14E9">
      <w:pPr>
        <w:shd w:val="clear" w:color="auto" w:fill="FFFFFF"/>
        <w:jc w:val="center"/>
        <w:rPr>
          <w:rFonts w:ascii="Calibri" w:hAnsi="Calibri" w:cs="Calibri"/>
          <w:color w:val="36495F"/>
          <w:sz w:val="21"/>
          <w:szCs w:val="21"/>
        </w:rPr>
      </w:pPr>
    </w:p>
    <w:p w14:paraId="5FF1FA32" w14:textId="77777777"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b/>
          <w:bCs/>
          <w:color w:val="3661BD"/>
          <w:sz w:val="22"/>
          <w:szCs w:val="22"/>
        </w:rPr>
        <w:t>Latest Numbers</w:t>
      </w:r>
    </w:p>
    <w:p w14:paraId="6118437A" w14:textId="77777777" w:rsidR="007E14E9" w:rsidRPr="003128E6" w:rsidRDefault="007E14E9" w:rsidP="007E14E9">
      <w:pPr>
        <w:shd w:val="clear" w:color="auto" w:fill="FFFFFF"/>
        <w:rPr>
          <w:rFonts w:asciiTheme="minorHAnsi" w:hAnsiTheme="minorHAnsi" w:cs="Calibri"/>
          <w:color w:val="36495F"/>
          <w:sz w:val="22"/>
          <w:szCs w:val="22"/>
        </w:rPr>
      </w:pPr>
    </w:p>
    <w:p w14:paraId="1B8129A3" w14:textId="5B6BDBA4" w:rsidR="00CE525A" w:rsidRDefault="00CE525A" w:rsidP="00CE525A">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As of 10/2</w:t>
      </w:r>
      <w:r w:rsidR="00314ED5">
        <w:rPr>
          <w:rFonts w:ascii="Calibri" w:hAnsi="Calibri"/>
          <w:color w:val="000000"/>
          <w:sz w:val="21"/>
          <w:szCs w:val="21"/>
        </w:rPr>
        <w:t>7</w:t>
      </w:r>
      <w:r>
        <w:rPr>
          <w:rFonts w:ascii="Calibri" w:hAnsi="Calibri"/>
          <w:color w:val="000000"/>
          <w:sz w:val="21"/>
          <w:szCs w:val="21"/>
        </w:rPr>
        <w:t xml:space="preserve">, </w:t>
      </w:r>
      <w:r>
        <w:rPr>
          <w:rFonts w:ascii="Calibri" w:hAnsi="Calibri"/>
          <w:b/>
          <w:bCs/>
          <w:color w:val="000000"/>
          <w:sz w:val="21"/>
          <w:szCs w:val="21"/>
        </w:rPr>
        <w:t>4,7</w:t>
      </w:r>
      <w:r w:rsidR="00314ED5">
        <w:rPr>
          <w:rFonts w:ascii="Calibri" w:hAnsi="Calibri"/>
          <w:b/>
          <w:bCs/>
          <w:color w:val="000000"/>
          <w:sz w:val="21"/>
          <w:szCs w:val="21"/>
        </w:rPr>
        <w:t>1</w:t>
      </w:r>
      <w:r w:rsidR="00BB59B1">
        <w:rPr>
          <w:rFonts w:ascii="Calibri" w:hAnsi="Calibri"/>
          <w:b/>
          <w:bCs/>
          <w:color w:val="000000"/>
          <w:sz w:val="21"/>
          <w:szCs w:val="21"/>
        </w:rPr>
        <w:t>8</w:t>
      </w:r>
      <w:r>
        <w:rPr>
          <w:rFonts w:ascii="Calibri" w:hAnsi="Calibri"/>
          <w:b/>
          <w:bCs/>
          <w:color w:val="000000"/>
          <w:sz w:val="21"/>
          <w:szCs w:val="21"/>
        </w:rPr>
        <w:t>,</w:t>
      </w:r>
      <w:r w:rsidR="00BB59B1">
        <w:rPr>
          <w:rFonts w:ascii="Calibri" w:hAnsi="Calibri"/>
          <w:b/>
          <w:bCs/>
          <w:color w:val="000000"/>
          <w:sz w:val="21"/>
          <w:szCs w:val="21"/>
        </w:rPr>
        <w:t>067</w:t>
      </w:r>
      <w:r>
        <w:rPr>
          <w:rFonts w:ascii="Calibri" w:hAnsi="Calibri"/>
          <w:b/>
          <w:bCs/>
          <w:color w:val="000000"/>
          <w:sz w:val="21"/>
          <w:szCs w:val="21"/>
        </w:rPr>
        <w:t xml:space="preserve"> </w:t>
      </w:r>
      <w:r>
        <w:rPr>
          <w:rFonts w:ascii="Calibri" w:hAnsi="Calibri"/>
          <w:color w:val="000000"/>
          <w:sz w:val="21"/>
          <w:szCs w:val="21"/>
        </w:rPr>
        <w:t>people in Massachusetts have been fully vaccinated.</w:t>
      </w:r>
    </w:p>
    <w:p w14:paraId="45270371"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w:t>
      </w:r>
    </w:p>
    <w:p w14:paraId="04BBECDB"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xml:space="preserve">Who to Vaccinate this </w:t>
      </w:r>
      <w:proofErr w:type="gramStart"/>
      <w:r>
        <w:rPr>
          <w:rFonts w:ascii="Calibri" w:hAnsi="Calibri"/>
          <w:b/>
          <w:bCs/>
          <w:color w:val="3661BD"/>
          <w:sz w:val="21"/>
          <w:szCs w:val="21"/>
        </w:rPr>
        <w:t>Week</w:t>
      </w:r>
      <w:proofErr w:type="gramEnd"/>
      <w:r>
        <w:rPr>
          <w:rFonts w:ascii="Calibri" w:hAnsi="Calibri"/>
          <w:b/>
          <w:bCs/>
          <w:color w:val="3661BD"/>
          <w:sz w:val="21"/>
          <w:szCs w:val="21"/>
        </w:rPr>
        <w:t> </w:t>
      </w:r>
    </w:p>
    <w:p w14:paraId="387A4921"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465439F9" w14:textId="58B13F1D" w:rsidR="00CE525A" w:rsidRDefault="00CE525A" w:rsidP="00CE525A">
      <w:pPr>
        <w:numPr>
          <w:ilvl w:val="0"/>
          <w:numId w:val="2"/>
        </w:numPr>
        <w:shd w:val="clear" w:color="auto" w:fill="FFFFFF"/>
        <w:ind w:left="1320"/>
        <w:rPr>
          <w:rFonts w:ascii="Calibri" w:hAnsi="Calibri"/>
          <w:color w:val="000000"/>
          <w:sz w:val="21"/>
          <w:szCs w:val="21"/>
        </w:rPr>
      </w:pPr>
      <w:r>
        <w:rPr>
          <w:rFonts w:ascii="Calibri" w:hAnsi="Calibri"/>
          <w:color w:val="000000"/>
          <w:sz w:val="21"/>
          <w:szCs w:val="21"/>
        </w:rPr>
        <w:t>Anyone age 12 and older who lives, works, or studies in Massachusetts is eligible for a vaccine. Health care providers can also vaccinate their patient panels regardless of place of residency.</w:t>
      </w:r>
    </w:p>
    <w:p w14:paraId="4FC3E2EF" w14:textId="77777777" w:rsidR="00E93ECB" w:rsidRDefault="00F01C7F" w:rsidP="00E93ECB">
      <w:pPr>
        <w:numPr>
          <w:ilvl w:val="0"/>
          <w:numId w:val="2"/>
        </w:numPr>
        <w:shd w:val="clear" w:color="auto" w:fill="FFFFFF"/>
        <w:ind w:left="1320"/>
        <w:rPr>
          <w:rFonts w:ascii="Calibri" w:hAnsi="Calibri"/>
          <w:sz w:val="21"/>
          <w:szCs w:val="21"/>
        </w:rPr>
      </w:pPr>
      <w:r>
        <w:rPr>
          <w:rFonts w:ascii="Calibri" w:hAnsi="Calibri"/>
          <w:b/>
          <w:bCs/>
          <w:color w:val="FF0000"/>
          <w:sz w:val="21"/>
          <w:szCs w:val="21"/>
        </w:rPr>
        <w:t xml:space="preserve">New </w:t>
      </w:r>
      <w:r w:rsidRPr="00F01C7F">
        <w:rPr>
          <w:rFonts w:ascii="Calibri" w:hAnsi="Calibri"/>
          <w:sz w:val="21"/>
          <w:szCs w:val="21"/>
        </w:rPr>
        <w:t xml:space="preserve">Effective 10/21/2021, CDC recommends a booster shot of COVID-19 vaccines in certain populations. There are now booster recommendations for all three available COVID-19 vaccines in the United States. </w:t>
      </w:r>
      <w:r w:rsidRPr="00F01C7F">
        <w:rPr>
          <w:rFonts w:ascii="Calibri" w:hAnsi="Calibri"/>
          <w:i/>
          <w:iCs/>
          <w:sz w:val="21"/>
          <w:szCs w:val="21"/>
        </w:rPr>
        <w:t>See below for more information.</w:t>
      </w:r>
    </w:p>
    <w:p w14:paraId="73102352" w14:textId="4A1A3785" w:rsidR="00F01C7F" w:rsidRPr="00E93ECB" w:rsidRDefault="00F01C7F" w:rsidP="00E93ECB">
      <w:pPr>
        <w:pStyle w:val="ListParagraph"/>
        <w:numPr>
          <w:ilvl w:val="0"/>
          <w:numId w:val="22"/>
        </w:numPr>
        <w:shd w:val="clear" w:color="auto" w:fill="FFFFFF"/>
        <w:rPr>
          <w:rFonts w:ascii="Calibri" w:hAnsi="Calibri"/>
          <w:sz w:val="21"/>
          <w:szCs w:val="21"/>
        </w:rPr>
      </w:pPr>
      <w:r w:rsidRPr="00E93ECB">
        <w:rPr>
          <w:rFonts w:ascii="Calibri" w:hAnsi="Calibri"/>
          <w:sz w:val="21"/>
          <w:szCs w:val="21"/>
        </w:rPr>
        <w:t xml:space="preserve">Certain individuals who received a Pfizer-BioNTech or Moderna COVID-19 vaccine are eligible for a booster shot 6 months or more after their initial series. </w:t>
      </w:r>
    </w:p>
    <w:p w14:paraId="22CF2137" w14:textId="546CF56C" w:rsidR="00F01C7F" w:rsidRPr="00F01C7F" w:rsidRDefault="00F01C7F" w:rsidP="00E93ECB">
      <w:pPr>
        <w:pStyle w:val="ListParagraph"/>
        <w:numPr>
          <w:ilvl w:val="0"/>
          <w:numId w:val="22"/>
        </w:numPr>
        <w:shd w:val="clear" w:color="auto" w:fill="FFFFFF"/>
        <w:rPr>
          <w:rFonts w:ascii="Calibri" w:hAnsi="Calibri"/>
          <w:sz w:val="21"/>
          <w:szCs w:val="21"/>
        </w:rPr>
      </w:pPr>
      <w:r w:rsidRPr="00F01C7F">
        <w:rPr>
          <w:rFonts w:ascii="Calibri" w:hAnsi="Calibri"/>
          <w:sz w:val="21"/>
          <w:szCs w:val="21"/>
        </w:rPr>
        <w:t xml:space="preserve">All people who received the Johnson &amp; Johnson COVID-19 vaccine </w:t>
      </w:r>
      <w:proofErr w:type="gramStart"/>
      <w:r w:rsidRPr="00F01C7F">
        <w:rPr>
          <w:rFonts w:ascii="Calibri" w:hAnsi="Calibri"/>
          <w:sz w:val="21"/>
          <w:szCs w:val="21"/>
        </w:rPr>
        <w:t>are</w:t>
      </w:r>
      <w:proofErr w:type="gramEnd"/>
      <w:r w:rsidRPr="00F01C7F">
        <w:rPr>
          <w:rFonts w:ascii="Calibri" w:hAnsi="Calibri"/>
          <w:sz w:val="21"/>
          <w:szCs w:val="21"/>
        </w:rPr>
        <w:t xml:space="preserve"> recommended to get a booster shot if it has been at least 2 months since their primary dose.</w:t>
      </w:r>
    </w:p>
    <w:p w14:paraId="5DFC5EAC" w14:textId="77777777" w:rsidR="00CE525A" w:rsidRDefault="00CE525A" w:rsidP="00CE525A">
      <w:pPr>
        <w:numPr>
          <w:ilvl w:val="0"/>
          <w:numId w:val="2"/>
        </w:numPr>
        <w:shd w:val="clear" w:color="auto" w:fill="FFFFFF"/>
        <w:ind w:left="1320"/>
        <w:rPr>
          <w:rFonts w:ascii="Calibri" w:hAnsi="Calibri"/>
          <w:color w:val="36495F"/>
          <w:sz w:val="21"/>
          <w:szCs w:val="21"/>
        </w:rPr>
      </w:pPr>
      <w:r>
        <w:rPr>
          <w:rFonts w:ascii="Calibri" w:hAnsi="Calibri"/>
          <w:color w:val="000000"/>
          <w:sz w:val="21"/>
          <w:szCs w:val="21"/>
        </w:rPr>
        <w:t>Effective 8/13/21,</w:t>
      </w:r>
      <w:r>
        <w:rPr>
          <w:rFonts w:ascii="Calibri" w:hAnsi="Calibri"/>
          <w:color w:val="0070C0"/>
          <w:sz w:val="21"/>
          <w:szCs w:val="21"/>
        </w:rPr>
        <w:t xml:space="preserve"> </w:t>
      </w:r>
      <w:r>
        <w:rPr>
          <w:rFonts w:ascii="Calibri" w:hAnsi="Calibri"/>
          <w:color w:val="000000"/>
          <w:sz w:val="21"/>
          <w:szCs w:val="21"/>
        </w:rPr>
        <w:t>CDC recommends</w:t>
      </w:r>
      <w:r>
        <w:rPr>
          <w:rFonts w:ascii="Calibri" w:hAnsi="Calibri"/>
          <w:color w:val="0070C0"/>
          <w:sz w:val="21"/>
          <w:szCs w:val="21"/>
        </w:rPr>
        <w:t xml:space="preserve"> </w:t>
      </w:r>
      <w:r>
        <w:rPr>
          <w:rFonts w:ascii="Calibri" w:hAnsi="Calibri"/>
          <w:color w:val="000000"/>
          <w:sz w:val="21"/>
          <w:szCs w:val="21"/>
        </w:rPr>
        <w:t xml:space="preserve">that people who are </w:t>
      </w:r>
      <w:hyperlink r:id="rId9" w:anchor="considerations-additional-vaccine-dose" w:tgtFrame="_blank" w:history="1">
        <w:r w:rsidRPr="005F3DF7">
          <w:rPr>
            <w:rStyle w:val="Hyperlink"/>
            <w:rFonts w:ascii="Calibri" w:hAnsi="Calibri"/>
            <w:color w:val="0070C0"/>
            <w:sz w:val="21"/>
            <w:szCs w:val="21"/>
          </w:rPr>
          <w:t>moderately to severely immunocompromised</w:t>
        </w:r>
      </w:hyperlink>
      <w:r>
        <w:rPr>
          <w:rFonts w:ascii="Calibri" w:hAnsi="Calibri"/>
          <w:color w:val="000000"/>
          <w:sz w:val="21"/>
          <w:szCs w:val="21"/>
        </w:rPr>
        <w:t xml:space="preserve"> receive an additional dose of an mRNA COVID-19 Vaccine (Pfizer-BioNTech or Moderna) at least 28 days after the completion of the initial mRNA COVID-19 vaccine series.</w:t>
      </w:r>
      <w:r>
        <w:rPr>
          <w:rFonts w:ascii="Calibri" w:hAnsi="Calibri"/>
          <w:b/>
          <w:bCs/>
          <w:color w:val="201F1E"/>
          <w:sz w:val="21"/>
          <w:szCs w:val="21"/>
        </w:rPr>
        <w:t>                     </w:t>
      </w:r>
    </w:p>
    <w:p w14:paraId="35C8E1E6"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w:t>
      </w:r>
    </w:p>
    <w:p w14:paraId="768F003B"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What to Know this Week</w:t>
      </w:r>
    </w:p>
    <w:p w14:paraId="6708C2CE"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3"/>
          <w:szCs w:val="23"/>
        </w:rPr>
        <w:t> </w:t>
      </w:r>
    </w:p>
    <w:p w14:paraId="56263DEA"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New</w:t>
      </w:r>
      <w:r>
        <w:rPr>
          <w:rFonts w:ascii="Calibri" w:hAnsi="Calibri"/>
          <w:color w:val="000000"/>
          <w:sz w:val="21"/>
          <w:szCs w:val="21"/>
        </w:rPr>
        <w:t xml:space="preserve"> FDA/CDC meetings</w:t>
      </w:r>
    </w:p>
    <w:p w14:paraId="76D5587E" w14:textId="77777777" w:rsidR="00AF7B10" w:rsidRPr="00AF7B10" w:rsidRDefault="00AF7B10" w:rsidP="0046539E">
      <w:pPr>
        <w:shd w:val="clear" w:color="auto" w:fill="FFFFFF" w:themeFill="background1"/>
        <w:rPr>
          <w:rFonts w:asciiTheme="minorHAnsi" w:hAnsiTheme="minorHAnsi" w:cstheme="minorHAnsi"/>
          <w:color w:val="000000"/>
          <w:sz w:val="21"/>
          <w:szCs w:val="21"/>
        </w:rPr>
      </w:pPr>
      <w:r w:rsidRPr="0046539E">
        <w:rPr>
          <w:rFonts w:asciiTheme="minorHAnsi" w:hAnsiTheme="minorHAnsi" w:cstheme="minorHAnsi"/>
          <w:color w:val="000000"/>
          <w:sz w:val="21"/>
          <w:szCs w:val="21"/>
        </w:rPr>
        <w:t xml:space="preserve">FDA’s advisory committee (VRBPAC) met </w:t>
      </w:r>
      <w:hyperlink r:id="rId10" w:tgtFrame="_blank" w:history="1">
        <w:r w:rsidRPr="0046539E">
          <w:rPr>
            <w:rStyle w:val="Hyperlink"/>
            <w:rFonts w:asciiTheme="minorHAnsi" w:hAnsiTheme="minorHAnsi" w:cstheme="minorHAnsi"/>
            <w:color w:val="0070C0"/>
            <w:sz w:val="21"/>
            <w:szCs w:val="21"/>
          </w:rPr>
          <w:t>October 26</w:t>
        </w:r>
      </w:hyperlink>
      <w:r w:rsidRPr="0046539E">
        <w:rPr>
          <w:rFonts w:asciiTheme="minorHAnsi" w:hAnsiTheme="minorHAnsi" w:cstheme="minorHAnsi"/>
          <w:color w:val="000000"/>
          <w:sz w:val="21"/>
          <w:szCs w:val="21"/>
        </w:rPr>
        <w:t xml:space="preserve"> to discuss 5-11 year old vaccination. They did end the day with a vote recommending authorization of the Pfizer BioNTech 10ug COVID-19 for children 5-11 years under Emergency Use Authorization. Next steps are for the FDA to consider its advisory committee’s recommendation. Once FDA approves/authorizes the vaccine, it can go to ACIP for consideration. After ACIP it goes to the CDC director. The </w:t>
      </w:r>
      <w:proofErr w:type="gramStart"/>
      <w:r w:rsidRPr="0046539E">
        <w:rPr>
          <w:rFonts w:asciiTheme="minorHAnsi" w:hAnsiTheme="minorHAnsi" w:cstheme="minorHAnsi"/>
          <w:color w:val="000000"/>
          <w:sz w:val="21"/>
          <w:szCs w:val="21"/>
        </w:rPr>
        <w:t>5-11 year old</w:t>
      </w:r>
      <w:proofErr w:type="gramEnd"/>
      <w:r w:rsidRPr="0046539E">
        <w:rPr>
          <w:rFonts w:asciiTheme="minorHAnsi" w:hAnsiTheme="minorHAnsi" w:cstheme="minorHAnsi"/>
          <w:color w:val="000000"/>
          <w:sz w:val="21"/>
          <w:szCs w:val="21"/>
        </w:rPr>
        <w:t xml:space="preserve"> pediatric Pfizer COVID-19 vaccine should not be administered until the CDC director gives approval/authorization.</w:t>
      </w:r>
    </w:p>
    <w:p w14:paraId="71B0DF5E" w14:textId="77777777" w:rsidR="00AF7B10" w:rsidRPr="00AF7B10" w:rsidRDefault="00AF7B10" w:rsidP="00AF7B10">
      <w:pPr>
        <w:shd w:val="clear" w:color="auto" w:fill="FFFFFF"/>
        <w:rPr>
          <w:rFonts w:asciiTheme="minorHAnsi" w:hAnsiTheme="minorHAnsi" w:cstheme="minorHAnsi"/>
          <w:color w:val="36495F"/>
          <w:sz w:val="21"/>
          <w:szCs w:val="21"/>
        </w:rPr>
      </w:pPr>
    </w:p>
    <w:p w14:paraId="29761442" w14:textId="77777777" w:rsidR="00AF7B10" w:rsidRPr="00AF7B10" w:rsidRDefault="00AF7B10" w:rsidP="00AF7B10">
      <w:pPr>
        <w:shd w:val="clear" w:color="auto" w:fill="FFFFFF"/>
        <w:rPr>
          <w:rFonts w:asciiTheme="minorHAnsi" w:hAnsiTheme="minorHAnsi" w:cstheme="minorHAnsi"/>
          <w:color w:val="000000"/>
          <w:sz w:val="21"/>
          <w:szCs w:val="21"/>
        </w:rPr>
      </w:pPr>
      <w:r w:rsidRPr="00AF7B10">
        <w:rPr>
          <w:rFonts w:asciiTheme="minorHAnsi" w:hAnsiTheme="minorHAnsi" w:cstheme="minorHAnsi"/>
          <w:color w:val="000000"/>
          <w:sz w:val="21"/>
          <w:szCs w:val="21"/>
        </w:rPr>
        <w:t xml:space="preserve">CDC’s advisory committee (ACIP) will meet </w:t>
      </w:r>
      <w:hyperlink r:id="rId11" w:history="1">
        <w:r w:rsidRPr="00AF7B10">
          <w:rPr>
            <w:rStyle w:val="Hyperlink"/>
            <w:rFonts w:asciiTheme="minorHAnsi" w:hAnsiTheme="minorHAnsi" w:cstheme="minorHAnsi"/>
            <w:color w:val="0070C0"/>
            <w:sz w:val="21"/>
            <w:szCs w:val="21"/>
          </w:rPr>
          <w:t>November 2 &amp; 3</w:t>
        </w:r>
      </w:hyperlink>
      <w:r w:rsidRPr="00AF7B10">
        <w:rPr>
          <w:rFonts w:asciiTheme="minorHAnsi" w:hAnsiTheme="minorHAnsi" w:cstheme="minorHAnsi"/>
          <w:color w:val="000000"/>
          <w:sz w:val="21"/>
          <w:szCs w:val="21"/>
        </w:rPr>
        <w:t>, the agenda has not yet been posted</w:t>
      </w:r>
    </w:p>
    <w:p w14:paraId="31F3EC3D" w14:textId="77777777" w:rsidR="00AF7B10" w:rsidRPr="00AF7B10" w:rsidRDefault="00AF7B10" w:rsidP="00AF7B10">
      <w:pPr>
        <w:shd w:val="clear" w:color="auto" w:fill="FFFFFF"/>
        <w:rPr>
          <w:rFonts w:asciiTheme="minorHAnsi" w:hAnsiTheme="minorHAnsi" w:cstheme="minorHAnsi"/>
          <w:color w:val="000000"/>
          <w:sz w:val="21"/>
          <w:szCs w:val="21"/>
        </w:rPr>
      </w:pPr>
    </w:p>
    <w:p w14:paraId="75BAA5D7" w14:textId="77777777" w:rsidR="00AF7B10" w:rsidRPr="00AF7B10" w:rsidRDefault="00AF7B10" w:rsidP="00AF7B10">
      <w:pPr>
        <w:shd w:val="clear" w:color="auto" w:fill="FFFFFF"/>
        <w:rPr>
          <w:rFonts w:asciiTheme="minorHAnsi" w:hAnsiTheme="minorHAnsi" w:cstheme="minorHAnsi"/>
          <w:color w:val="000000"/>
          <w:sz w:val="21"/>
          <w:szCs w:val="21"/>
        </w:rPr>
      </w:pPr>
      <w:r w:rsidRPr="00AF7B10">
        <w:rPr>
          <w:rFonts w:asciiTheme="minorHAnsi" w:hAnsiTheme="minorHAnsi" w:cstheme="minorHAnsi"/>
          <w:color w:val="000000"/>
          <w:sz w:val="21"/>
          <w:szCs w:val="21"/>
        </w:rPr>
        <w:t>A CDC COCA call is currently planned for November 4 at 2pm: Pediatric COVID-19 Vaccines: CDC’s Recommendations for COVID-19 Primary Series in Children 5–11 years old</w:t>
      </w:r>
    </w:p>
    <w:p w14:paraId="0C56E724" w14:textId="77777777" w:rsidR="00E93ECB" w:rsidRDefault="00CE525A" w:rsidP="00E93ECB">
      <w:pPr>
        <w:shd w:val="clear" w:color="auto" w:fill="FFFFFF"/>
        <w:rPr>
          <w:rFonts w:ascii="Calibri" w:hAnsi="Calibri"/>
          <w:color w:val="000000"/>
          <w:sz w:val="21"/>
          <w:szCs w:val="21"/>
        </w:rPr>
      </w:pPr>
      <w:r>
        <w:rPr>
          <w:rFonts w:ascii="Calibri" w:hAnsi="Calibri"/>
          <w:color w:val="000000"/>
          <w:sz w:val="21"/>
          <w:szCs w:val="21"/>
        </w:rPr>
        <w:t> </w:t>
      </w:r>
    </w:p>
    <w:p w14:paraId="7E513B0C" w14:textId="798268C4" w:rsidR="00D35D29" w:rsidRPr="00E903CA" w:rsidRDefault="00D35D29" w:rsidP="00E93ECB">
      <w:pPr>
        <w:shd w:val="clear" w:color="auto" w:fill="FFFFFF"/>
        <w:rPr>
          <w:rFonts w:asciiTheme="minorHAnsi" w:hAnsiTheme="minorHAnsi" w:cstheme="minorHAnsi"/>
          <w:color w:val="000000"/>
          <w:sz w:val="21"/>
          <w:szCs w:val="21"/>
        </w:rPr>
      </w:pPr>
      <w:r w:rsidRPr="00E903CA">
        <w:rPr>
          <w:rFonts w:asciiTheme="minorHAnsi" w:hAnsiTheme="minorHAnsi" w:cstheme="minorHAnsi"/>
          <w:b/>
          <w:bCs/>
          <w:color w:val="FF0000"/>
          <w:sz w:val="21"/>
          <w:szCs w:val="21"/>
        </w:rPr>
        <w:t>New</w:t>
      </w:r>
      <w:r w:rsidRPr="00E903CA">
        <w:rPr>
          <w:rFonts w:asciiTheme="minorHAnsi" w:hAnsiTheme="minorHAnsi" w:cstheme="minorHAnsi"/>
          <w:color w:val="000000"/>
          <w:sz w:val="21"/>
          <w:szCs w:val="21"/>
        </w:rPr>
        <w:t xml:space="preserve"> </w:t>
      </w:r>
      <w:proofErr w:type="gramStart"/>
      <w:r w:rsidRPr="00E903CA">
        <w:rPr>
          <w:rFonts w:asciiTheme="minorHAnsi" w:hAnsiTheme="minorHAnsi" w:cstheme="minorHAnsi"/>
          <w:color w:val="000000"/>
          <w:sz w:val="21"/>
          <w:szCs w:val="21"/>
        </w:rPr>
        <w:t>On</w:t>
      </w:r>
      <w:proofErr w:type="gramEnd"/>
      <w:r w:rsidRPr="00E903CA">
        <w:rPr>
          <w:rFonts w:asciiTheme="minorHAnsi" w:hAnsiTheme="minorHAnsi" w:cstheme="minorHAnsi"/>
          <w:color w:val="000000"/>
          <w:sz w:val="21"/>
          <w:szCs w:val="21"/>
        </w:rPr>
        <w:t xml:space="preserve"> October 21, ACIP recommended a booster shot of the Moderna and Johnson &amp; Johnson/Janssen COVID-19 vaccine in certain populations. CDC Director, Dr. Rochelle </w:t>
      </w:r>
      <w:proofErr w:type="spellStart"/>
      <w:r w:rsidRPr="00E903CA">
        <w:rPr>
          <w:rFonts w:asciiTheme="minorHAnsi" w:hAnsiTheme="minorHAnsi" w:cstheme="minorHAnsi"/>
          <w:color w:val="000000"/>
          <w:sz w:val="21"/>
          <w:szCs w:val="21"/>
        </w:rPr>
        <w:t>Walensky</w:t>
      </w:r>
      <w:proofErr w:type="spellEnd"/>
      <w:r w:rsidRPr="00E903CA">
        <w:rPr>
          <w:rFonts w:asciiTheme="minorHAnsi" w:hAnsiTheme="minorHAnsi" w:cstheme="minorHAnsi"/>
          <w:color w:val="000000"/>
          <w:sz w:val="21"/>
          <w:szCs w:val="21"/>
        </w:rPr>
        <w:t xml:space="preserve"> accepted those recommendations and released </w:t>
      </w:r>
      <w:hyperlink r:id="rId12" w:history="1">
        <w:r w:rsidRPr="00E903CA">
          <w:rPr>
            <w:rStyle w:val="Hyperlink"/>
            <w:rFonts w:asciiTheme="minorHAnsi" w:hAnsiTheme="minorHAnsi" w:cstheme="minorHAnsi"/>
            <w:color w:val="0070C0"/>
            <w:sz w:val="21"/>
            <w:szCs w:val="21"/>
          </w:rPr>
          <w:t>a statement</w:t>
        </w:r>
      </w:hyperlink>
      <w:r w:rsidRPr="00E903CA">
        <w:rPr>
          <w:rFonts w:asciiTheme="minorHAnsi" w:hAnsiTheme="minorHAnsi" w:cstheme="minorHAnsi"/>
          <w:color w:val="000000"/>
          <w:sz w:val="21"/>
          <w:szCs w:val="21"/>
        </w:rPr>
        <w:t>.   </w:t>
      </w:r>
    </w:p>
    <w:p w14:paraId="3663469C" w14:textId="7665AD80" w:rsidR="00D35D29" w:rsidRPr="00E903CA" w:rsidRDefault="00D35D29" w:rsidP="00D35D29">
      <w:pPr>
        <w:pStyle w:val="xmsonormal0"/>
        <w:shd w:val="clear" w:color="auto" w:fill="FFFFFF"/>
        <w:contextualSpacing/>
        <w:rPr>
          <w:rFonts w:asciiTheme="minorHAnsi" w:hAnsiTheme="minorHAnsi" w:cstheme="minorHAnsi"/>
          <w:color w:val="000000"/>
          <w:sz w:val="21"/>
          <w:szCs w:val="21"/>
        </w:rPr>
      </w:pPr>
      <w:r w:rsidRPr="00E903CA">
        <w:rPr>
          <w:rFonts w:asciiTheme="minorHAnsi" w:hAnsiTheme="minorHAnsi" w:cstheme="minorHAnsi"/>
          <w:b/>
          <w:bCs/>
          <w:color w:val="FF0000"/>
          <w:sz w:val="21"/>
          <w:szCs w:val="21"/>
        </w:rPr>
        <w:t>New</w:t>
      </w:r>
      <w:r w:rsidRPr="00E903CA">
        <w:rPr>
          <w:rFonts w:asciiTheme="minorHAnsi" w:hAnsiTheme="minorHAnsi" w:cstheme="minorHAnsi"/>
          <w:color w:val="000000"/>
          <w:sz w:val="21"/>
          <w:szCs w:val="21"/>
        </w:rPr>
        <w:t xml:space="preserve"> Updated EUAs:</w:t>
      </w:r>
    </w:p>
    <w:p w14:paraId="19989B07" w14:textId="77777777" w:rsidR="00D35D29" w:rsidRPr="00E903CA" w:rsidRDefault="00D35D29" w:rsidP="00D35D29">
      <w:pPr>
        <w:pStyle w:val="xmsonormal0"/>
        <w:shd w:val="clear" w:color="auto" w:fill="FFFFFF"/>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Once a new EUA Fact Sheet is issued, it must be used. Previous ones no longer contain accurate information.</w:t>
      </w:r>
    </w:p>
    <w:p w14:paraId="0E80128B" w14:textId="77777777" w:rsidR="00D35D29" w:rsidRPr="00E903CA" w:rsidRDefault="00D35D29" w:rsidP="00D35D29">
      <w:pPr>
        <w:pStyle w:val="xmsonormal0"/>
        <w:numPr>
          <w:ilvl w:val="0"/>
          <w:numId w:val="17"/>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lastRenderedPageBreak/>
        <w:t xml:space="preserve">Pfizer Fact Sheet for Healthcare Providers: </w:t>
      </w:r>
      <w:hyperlink r:id="rId13" w:history="1">
        <w:r w:rsidRPr="00E903CA">
          <w:rPr>
            <w:rStyle w:val="Hyperlink"/>
            <w:rFonts w:asciiTheme="minorHAnsi" w:hAnsiTheme="minorHAnsi" w:cstheme="minorHAnsi"/>
            <w:color w:val="0070C0"/>
            <w:sz w:val="21"/>
            <w:szCs w:val="21"/>
          </w:rPr>
          <w:t>https://www.fda.gov/media/144413/download</w:t>
        </w:r>
      </w:hyperlink>
      <w:r w:rsidRPr="00E903CA">
        <w:rPr>
          <w:rFonts w:asciiTheme="minorHAnsi" w:hAnsiTheme="minorHAnsi" w:cstheme="minorHAnsi"/>
          <w:color w:val="000000"/>
          <w:sz w:val="21"/>
          <w:szCs w:val="21"/>
        </w:rPr>
        <w:t xml:space="preserve"> </w:t>
      </w:r>
    </w:p>
    <w:p w14:paraId="62541E68" w14:textId="77777777" w:rsidR="00D35D29" w:rsidRPr="00E903CA" w:rsidRDefault="00D35D29" w:rsidP="00D35D29">
      <w:pPr>
        <w:pStyle w:val="xmsonormal0"/>
        <w:numPr>
          <w:ilvl w:val="0"/>
          <w:numId w:val="17"/>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Pfizer Fact Sheet for Recipients and Caregivers: </w:t>
      </w:r>
      <w:hyperlink r:id="rId14" w:history="1">
        <w:r w:rsidRPr="00E903CA">
          <w:rPr>
            <w:rStyle w:val="Hyperlink"/>
            <w:rFonts w:asciiTheme="minorHAnsi" w:hAnsiTheme="minorHAnsi" w:cstheme="minorHAnsi"/>
            <w:color w:val="0070C0"/>
            <w:sz w:val="21"/>
            <w:szCs w:val="21"/>
          </w:rPr>
          <w:t>https://www.fda.gov/media/144414/download</w:t>
        </w:r>
      </w:hyperlink>
      <w:r w:rsidRPr="00E903CA">
        <w:rPr>
          <w:rFonts w:asciiTheme="minorHAnsi" w:hAnsiTheme="minorHAnsi" w:cstheme="minorHAnsi"/>
          <w:color w:val="000000"/>
          <w:sz w:val="21"/>
          <w:szCs w:val="21"/>
        </w:rPr>
        <w:t xml:space="preserve"> </w:t>
      </w:r>
    </w:p>
    <w:p w14:paraId="501F79A9" w14:textId="77777777" w:rsidR="00D35D29" w:rsidRPr="00E903CA" w:rsidRDefault="00D35D29" w:rsidP="00D35D29">
      <w:pPr>
        <w:pStyle w:val="xmsonormal0"/>
        <w:numPr>
          <w:ilvl w:val="0"/>
          <w:numId w:val="17"/>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Moderna Fact Sheet for Healthcare Providers: </w:t>
      </w:r>
      <w:hyperlink r:id="rId15" w:history="1">
        <w:r w:rsidRPr="00E903CA">
          <w:rPr>
            <w:rStyle w:val="Hyperlink"/>
            <w:rFonts w:asciiTheme="minorHAnsi" w:hAnsiTheme="minorHAnsi" w:cstheme="minorHAnsi"/>
            <w:color w:val="0070C0"/>
            <w:sz w:val="21"/>
            <w:szCs w:val="21"/>
          </w:rPr>
          <w:t>https://www.fda.gov/media/144637/download</w:t>
        </w:r>
      </w:hyperlink>
      <w:r w:rsidRPr="00E903CA">
        <w:rPr>
          <w:rFonts w:asciiTheme="minorHAnsi" w:hAnsiTheme="minorHAnsi" w:cstheme="minorHAnsi"/>
          <w:color w:val="0070C0"/>
          <w:sz w:val="21"/>
          <w:szCs w:val="21"/>
        </w:rPr>
        <w:t xml:space="preserve"> </w:t>
      </w:r>
    </w:p>
    <w:p w14:paraId="628B283A" w14:textId="77777777" w:rsidR="00D35D29" w:rsidRPr="00E903CA" w:rsidRDefault="00D35D29" w:rsidP="00D35D29">
      <w:pPr>
        <w:pStyle w:val="xmsonormal0"/>
        <w:numPr>
          <w:ilvl w:val="0"/>
          <w:numId w:val="17"/>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Moderna Fact Sheet for Recipients and Caregivers: </w:t>
      </w:r>
      <w:hyperlink r:id="rId16" w:history="1">
        <w:r w:rsidRPr="00E903CA">
          <w:rPr>
            <w:rStyle w:val="Hyperlink"/>
            <w:rFonts w:asciiTheme="minorHAnsi" w:hAnsiTheme="minorHAnsi" w:cstheme="minorHAnsi"/>
            <w:color w:val="0070C0"/>
            <w:sz w:val="21"/>
            <w:szCs w:val="21"/>
          </w:rPr>
          <w:t>https://www.fda.gov/media/144638/download</w:t>
        </w:r>
      </w:hyperlink>
      <w:r w:rsidRPr="00E903CA">
        <w:rPr>
          <w:rFonts w:asciiTheme="minorHAnsi" w:hAnsiTheme="minorHAnsi" w:cstheme="minorHAnsi"/>
          <w:color w:val="0070C0"/>
          <w:sz w:val="21"/>
          <w:szCs w:val="21"/>
        </w:rPr>
        <w:t xml:space="preserve"> </w:t>
      </w:r>
    </w:p>
    <w:p w14:paraId="0F931F20" w14:textId="77777777" w:rsidR="00D35D29" w:rsidRPr="00E903CA" w:rsidRDefault="00D35D29" w:rsidP="00D35D29">
      <w:pPr>
        <w:pStyle w:val="xmsonormal0"/>
        <w:numPr>
          <w:ilvl w:val="0"/>
          <w:numId w:val="17"/>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Janssen Fact Sheet for Healthcare Providers: </w:t>
      </w:r>
      <w:hyperlink r:id="rId17" w:history="1">
        <w:r w:rsidRPr="00E903CA">
          <w:rPr>
            <w:rStyle w:val="Hyperlink"/>
            <w:rFonts w:asciiTheme="minorHAnsi" w:hAnsiTheme="minorHAnsi" w:cstheme="minorHAnsi"/>
            <w:color w:val="0070C0"/>
            <w:sz w:val="21"/>
            <w:szCs w:val="21"/>
          </w:rPr>
          <w:t>https://www.fda.gov/media/146304/download</w:t>
        </w:r>
      </w:hyperlink>
      <w:r w:rsidRPr="00E903CA">
        <w:rPr>
          <w:rFonts w:asciiTheme="minorHAnsi" w:hAnsiTheme="minorHAnsi" w:cstheme="minorHAnsi"/>
          <w:color w:val="0070C0"/>
          <w:sz w:val="21"/>
          <w:szCs w:val="21"/>
        </w:rPr>
        <w:t xml:space="preserve"> </w:t>
      </w:r>
    </w:p>
    <w:p w14:paraId="4A5718E7" w14:textId="77777777" w:rsidR="00E93ECB" w:rsidRPr="00E903CA" w:rsidRDefault="00D35D29" w:rsidP="00D35D29">
      <w:pPr>
        <w:pStyle w:val="xmsonormal0"/>
        <w:numPr>
          <w:ilvl w:val="0"/>
          <w:numId w:val="17"/>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Janssen Fact Sheet for Recipients and Caregivers: </w:t>
      </w:r>
      <w:hyperlink r:id="rId18" w:history="1">
        <w:r w:rsidRPr="00E903CA">
          <w:rPr>
            <w:rStyle w:val="Hyperlink"/>
            <w:rFonts w:asciiTheme="minorHAnsi" w:hAnsiTheme="minorHAnsi" w:cstheme="minorHAnsi"/>
            <w:color w:val="0070C0"/>
            <w:sz w:val="21"/>
            <w:szCs w:val="21"/>
          </w:rPr>
          <w:t>https://www.fda.gov/media/146305/download</w:t>
        </w:r>
      </w:hyperlink>
      <w:r w:rsidRPr="00E903CA">
        <w:rPr>
          <w:rFonts w:asciiTheme="minorHAnsi" w:hAnsiTheme="minorHAnsi" w:cstheme="minorHAnsi"/>
          <w:color w:val="0070C0"/>
          <w:sz w:val="21"/>
          <w:szCs w:val="21"/>
        </w:rPr>
        <w:t xml:space="preserve"> </w:t>
      </w:r>
    </w:p>
    <w:p w14:paraId="35D784CE" w14:textId="77777777" w:rsidR="00972A5A" w:rsidRDefault="00972A5A" w:rsidP="00E93ECB">
      <w:pPr>
        <w:pStyle w:val="xmsonormal0"/>
        <w:shd w:val="clear" w:color="auto" w:fill="FFFFFF"/>
        <w:spacing w:before="0" w:beforeAutospacing="0" w:after="0" w:afterAutospacing="0"/>
        <w:contextualSpacing/>
        <w:rPr>
          <w:rFonts w:asciiTheme="minorHAnsi" w:hAnsiTheme="minorHAnsi" w:cstheme="minorHAnsi"/>
          <w:b/>
          <w:bCs/>
          <w:color w:val="FF0000"/>
          <w:sz w:val="21"/>
          <w:szCs w:val="21"/>
        </w:rPr>
      </w:pPr>
    </w:p>
    <w:p w14:paraId="2674B334" w14:textId="5B50624A" w:rsidR="00D35D29" w:rsidRPr="00E903CA" w:rsidRDefault="00D35D29" w:rsidP="00E93ECB">
      <w:pPr>
        <w:pStyle w:val="xmsonormal0"/>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b/>
          <w:bCs/>
          <w:color w:val="FF0000"/>
          <w:sz w:val="21"/>
          <w:szCs w:val="21"/>
        </w:rPr>
        <w:t>New</w:t>
      </w:r>
      <w:r w:rsidRPr="00E903CA">
        <w:rPr>
          <w:rFonts w:asciiTheme="minorHAnsi" w:hAnsiTheme="minorHAnsi" w:cstheme="minorHAnsi"/>
          <w:color w:val="000000"/>
          <w:sz w:val="21"/>
          <w:szCs w:val="21"/>
        </w:rPr>
        <w:t xml:space="preserve"> Watch for new/updated </w:t>
      </w:r>
      <w:r w:rsidR="00E93ECB" w:rsidRPr="00E903CA">
        <w:rPr>
          <w:rFonts w:asciiTheme="minorHAnsi" w:hAnsiTheme="minorHAnsi" w:cstheme="minorHAnsi"/>
          <w:color w:val="000000"/>
          <w:sz w:val="21"/>
          <w:szCs w:val="21"/>
        </w:rPr>
        <w:t xml:space="preserve">CDC </w:t>
      </w:r>
      <w:r w:rsidRPr="00E903CA">
        <w:rPr>
          <w:rFonts w:asciiTheme="minorHAnsi" w:hAnsiTheme="minorHAnsi" w:cstheme="minorHAnsi"/>
          <w:color w:val="000000"/>
          <w:sz w:val="21"/>
          <w:szCs w:val="21"/>
        </w:rPr>
        <w:t xml:space="preserve">resources and upcoming </w:t>
      </w:r>
      <w:r w:rsidR="00E93ECB" w:rsidRPr="00E903CA">
        <w:rPr>
          <w:rFonts w:asciiTheme="minorHAnsi" w:hAnsiTheme="minorHAnsi" w:cstheme="minorHAnsi"/>
          <w:color w:val="000000"/>
          <w:sz w:val="21"/>
          <w:szCs w:val="21"/>
        </w:rPr>
        <w:t xml:space="preserve">CDC </w:t>
      </w:r>
      <w:r w:rsidRPr="00E903CA">
        <w:rPr>
          <w:rFonts w:asciiTheme="minorHAnsi" w:hAnsiTheme="minorHAnsi" w:cstheme="minorHAnsi"/>
          <w:color w:val="000000"/>
          <w:sz w:val="21"/>
          <w:szCs w:val="21"/>
        </w:rPr>
        <w:t>informational activities related to the recommendation, including:</w:t>
      </w:r>
    </w:p>
    <w:p w14:paraId="660B9F11" w14:textId="77777777" w:rsidR="00D35D29" w:rsidRPr="00E903CA" w:rsidRDefault="00D35D29" w:rsidP="00D35D29">
      <w:pPr>
        <w:pStyle w:val="xmsolistparagraph0"/>
        <w:numPr>
          <w:ilvl w:val="0"/>
          <w:numId w:val="14"/>
        </w:numPr>
        <w:shd w:val="clear" w:color="auto" w:fill="FFFFFF"/>
        <w:spacing w:before="0" w:beforeAutospacing="0"/>
        <w:contextualSpacing/>
        <w:rPr>
          <w:rFonts w:asciiTheme="minorHAnsi" w:eastAsia="Times New Roman" w:hAnsiTheme="minorHAnsi" w:cstheme="minorHAnsi"/>
          <w:color w:val="000000"/>
          <w:sz w:val="21"/>
          <w:szCs w:val="21"/>
        </w:rPr>
      </w:pPr>
      <w:r w:rsidRPr="00E903CA">
        <w:rPr>
          <w:rFonts w:asciiTheme="minorHAnsi" w:eastAsia="Times New Roman" w:hAnsiTheme="minorHAnsi" w:cstheme="minorHAnsi"/>
          <w:color w:val="000000"/>
          <w:sz w:val="21"/>
          <w:szCs w:val="21"/>
        </w:rPr>
        <w:t xml:space="preserve">Updated </w:t>
      </w:r>
      <w:hyperlink r:id="rId19" w:history="1">
        <w:r w:rsidRPr="00E903CA">
          <w:rPr>
            <w:rStyle w:val="Hyperlink"/>
            <w:rFonts w:asciiTheme="minorHAnsi" w:eastAsia="Times New Roman" w:hAnsiTheme="minorHAnsi" w:cstheme="minorHAnsi"/>
            <w:color w:val="0070C0"/>
            <w:sz w:val="21"/>
            <w:szCs w:val="21"/>
          </w:rPr>
          <w:t>booster shot webpage</w:t>
        </w:r>
      </w:hyperlink>
      <w:r w:rsidRPr="00E903CA">
        <w:rPr>
          <w:rFonts w:asciiTheme="minorHAnsi" w:eastAsia="Times New Roman" w:hAnsiTheme="minorHAnsi" w:cstheme="minorHAnsi"/>
          <w:color w:val="000000"/>
          <w:sz w:val="21"/>
          <w:szCs w:val="21"/>
        </w:rPr>
        <w:t xml:space="preserve"> for the public  </w:t>
      </w:r>
    </w:p>
    <w:p w14:paraId="66E22C76" w14:textId="77777777" w:rsidR="00D35D29" w:rsidRPr="00E903CA" w:rsidRDefault="00D35D29" w:rsidP="00D35D29">
      <w:pPr>
        <w:pStyle w:val="xmsolistparagraph0"/>
        <w:numPr>
          <w:ilvl w:val="0"/>
          <w:numId w:val="14"/>
        </w:numPr>
        <w:shd w:val="clear" w:color="auto" w:fill="FFFFFF"/>
        <w:spacing w:beforeAutospacing="0" w:afterAutospacing="0"/>
        <w:contextualSpacing/>
        <w:rPr>
          <w:rStyle w:val="Hyperlink"/>
          <w:rFonts w:asciiTheme="minorHAnsi" w:eastAsia="Times New Roman" w:hAnsiTheme="minorHAnsi" w:cstheme="minorHAnsi"/>
          <w:color w:val="auto"/>
          <w:sz w:val="21"/>
          <w:szCs w:val="21"/>
          <w:u w:val="none"/>
        </w:rPr>
      </w:pPr>
      <w:r w:rsidRPr="00E903CA">
        <w:rPr>
          <w:rFonts w:asciiTheme="minorHAnsi" w:eastAsia="Times New Roman" w:hAnsiTheme="minorHAnsi" w:cstheme="minorHAnsi"/>
          <w:sz w:val="21"/>
          <w:szCs w:val="21"/>
        </w:rPr>
        <w:t xml:space="preserve">Updated </w:t>
      </w:r>
      <w:hyperlink r:id="rId20" w:history="1">
        <w:r w:rsidRPr="00E903CA">
          <w:rPr>
            <w:rStyle w:val="Hyperlink"/>
            <w:rFonts w:asciiTheme="minorHAnsi" w:eastAsia="Times New Roman" w:hAnsiTheme="minorHAnsi" w:cstheme="minorHAnsi"/>
            <w:color w:val="0070C0"/>
            <w:sz w:val="21"/>
            <w:szCs w:val="21"/>
          </w:rPr>
          <w:t>Clinical Considerations</w:t>
        </w:r>
      </w:hyperlink>
    </w:p>
    <w:p w14:paraId="0DD08A2E" w14:textId="77777777" w:rsidR="00D35D29" w:rsidRPr="00E903CA" w:rsidRDefault="00D35D29" w:rsidP="00D35D29">
      <w:pPr>
        <w:pStyle w:val="xmsolistparagraph0"/>
        <w:numPr>
          <w:ilvl w:val="0"/>
          <w:numId w:val="14"/>
        </w:numPr>
        <w:shd w:val="clear" w:color="auto" w:fill="FFFFFF"/>
        <w:spacing w:beforeAutospacing="0" w:afterAutospacing="0"/>
        <w:contextualSpacing/>
        <w:rPr>
          <w:rFonts w:asciiTheme="minorHAnsi" w:eastAsia="Times New Roman" w:hAnsiTheme="minorHAnsi" w:cstheme="minorHAnsi"/>
          <w:color w:val="000000"/>
          <w:sz w:val="21"/>
          <w:szCs w:val="21"/>
        </w:rPr>
      </w:pPr>
      <w:r w:rsidRPr="00E903CA">
        <w:rPr>
          <w:rStyle w:val="Hyperlink"/>
          <w:rFonts w:asciiTheme="minorHAnsi" w:eastAsia="Times New Roman" w:hAnsiTheme="minorHAnsi" w:cstheme="minorHAnsi"/>
          <w:color w:val="auto"/>
          <w:sz w:val="21"/>
          <w:szCs w:val="21"/>
          <w:u w:val="none"/>
        </w:rPr>
        <w:t xml:space="preserve">Updated </w:t>
      </w:r>
      <w:hyperlink r:id="rId21" w:history="1">
        <w:r w:rsidRPr="00E903CA">
          <w:rPr>
            <w:rStyle w:val="Hyperlink"/>
            <w:rFonts w:asciiTheme="minorHAnsi" w:eastAsia="Times New Roman" w:hAnsiTheme="minorHAnsi" w:cstheme="minorHAnsi"/>
            <w:color w:val="0070C0"/>
            <w:sz w:val="21"/>
            <w:szCs w:val="21"/>
          </w:rPr>
          <w:t>U.S. COVID-19 Vaccine Product Information</w:t>
        </w:r>
      </w:hyperlink>
      <w:r w:rsidRPr="00E903CA">
        <w:rPr>
          <w:rStyle w:val="Hyperlink"/>
          <w:rFonts w:asciiTheme="minorHAnsi" w:eastAsia="Times New Roman" w:hAnsiTheme="minorHAnsi" w:cstheme="minorHAnsi"/>
          <w:color w:val="auto"/>
          <w:sz w:val="21"/>
          <w:szCs w:val="21"/>
          <w:u w:val="none"/>
        </w:rPr>
        <w:t xml:space="preserve"> (screening form, standing orders, product info)</w:t>
      </w:r>
    </w:p>
    <w:p w14:paraId="1451BBFD" w14:textId="77777777" w:rsidR="00D35D29" w:rsidRPr="00E903CA" w:rsidRDefault="00D35D29" w:rsidP="00D35D29">
      <w:pPr>
        <w:pStyle w:val="xparagraph"/>
        <w:rPr>
          <w:rFonts w:asciiTheme="minorHAnsi" w:hAnsiTheme="minorHAnsi" w:cstheme="minorHAnsi"/>
          <w:strike/>
          <w:color w:val="333333"/>
          <w:sz w:val="21"/>
          <w:szCs w:val="21"/>
          <w:shd w:val="clear" w:color="auto" w:fill="FFFFFF"/>
        </w:rPr>
      </w:pPr>
    </w:p>
    <w:p w14:paraId="1EA59202" w14:textId="09C22839" w:rsidR="00D35D29" w:rsidRPr="00E903CA" w:rsidRDefault="00D35D29" w:rsidP="00D35D29">
      <w:pPr>
        <w:pStyle w:val="xparagraph"/>
        <w:contextualSpacing/>
        <w:rPr>
          <w:rFonts w:asciiTheme="minorHAnsi" w:hAnsiTheme="minorHAnsi" w:cstheme="minorHAnsi"/>
          <w:b/>
          <w:bCs/>
          <w:color w:val="333333"/>
          <w:sz w:val="21"/>
          <w:szCs w:val="21"/>
          <w:shd w:val="clear" w:color="auto" w:fill="FFFFFF"/>
        </w:rPr>
      </w:pPr>
      <w:r w:rsidRPr="00E903CA">
        <w:rPr>
          <w:rFonts w:asciiTheme="minorHAnsi" w:hAnsiTheme="minorHAnsi" w:cstheme="minorHAnsi"/>
          <w:b/>
          <w:bCs/>
          <w:color w:val="FF0000"/>
          <w:sz w:val="21"/>
          <w:szCs w:val="21"/>
        </w:rPr>
        <w:t>New</w:t>
      </w:r>
      <w:r w:rsidRPr="00E903CA">
        <w:rPr>
          <w:rFonts w:asciiTheme="minorHAnsi" w:hAnsiTheme="minorHAnsi" w:cstheme="minorHAnsi"/>
          <w:b/>
          <w:bCs/>
          <w:color w:val="333333"/>
          <w:sz w:val="21"/>
          <w:szCs w:val="21"/>
          <w:shd w:val="clear" w:color="auto" w:fill="FFFFFF"/>
        </w:rPr>
        <w:t xml:space="preserve"> COVID-19 vaccine booster, after a mRNA primary series (Pfizer or Moderna)</w:t>
      </w:r>
    </w:p>
    <w:p w14:paraId="50DF19F0" w14:textId="77777777" w:rsidR="00D35D29" w:rsidRPr="00E903CA" w:rsidRDefault="00D35D29" w:rsidP="00D35D29">
      <w:pPr>
        <w:pStyle w:val="xparagraph"/>
        <w:contextualSpacing/>
        <w:rPr>
          <w:rFonts w:asciiTheme="minorHAnsi" w:hAnsiTheme="minorHAnsi" w:cstheme="minorHAnsi"/>
          <w:color w:val="333333"/>
          <w:sz w:val="21"/>
          <w:szCs w:val="21"/>
          <w:shd w:val="clear" w:color="auto" w:fill="FFFFFF"/>
        </w:rPr>
      </w:pPr>
      <w:r w:rsidRPr="00E903CA">
        <w:rPr>
          <w:rFonts w:asciiTheme="minorHAnsi" w:hAnsiTheme="minorHAnsi" w:cstheme="minorHAnsi"/>
          <w:color w:val="333333"/>
          <w:sz w:val="21"/>
          <w:szCs w:val="21"/>
          <w:shd w:val="clear" w:color="auto" w:fill="FFFFFF"/>
        </w:rPr>
        <w:t>People in the following groups are eligible to receive a booster shot at least 6 months after completion of their mRNA primary series:</w:t>
      </w:r>
    </w:p>
    <w:p w14:paraId="19F2E368" w14:textId="77777777" w:rsidR="00D35D29" w:rsidRPr="00E903CA" w:rsidRDefault="00D35D29" w:rsidP="00D35D29">
      <w:pPr>
        <w:numPr>
          <w:ilvl w:val="0"/>
          <w:numId w:val="15"/>
        </w:numPr>
        <w:ind w:left="945" w:right="225"/>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65 years and older</w:t>
      </w:r>
    </w:p>
    <w:p w14:paraId="160AD0BE" w14:textId="77777777" w:rsidR="00D35D29" w:rsidRPr="00E903CA" w:rsidRDefault="00D35D29" w:rsidP="00D35D29">
      <w:pPr>
        <w:numPr>
          <w:ilvl w:val="0"/>
          <w:numId w:val="15"/>
        </w:numPr>
        <w:ind w:left="945" w:right="225"/>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Age 18+ who live in </w:t>
      </w:r>
      <w:hyperlink r:id="rId22" w:anchor="long-term-care" w:history="1">
        <w:r w:rsidRPr="00E903CA">
          <w:rPr>
            <w:rStyle w:val="Hyperlink"/>
            <w:rFonts w:asciiTheme="minorHAnsi" w:hAnsiTheme="minorHAnsi" w:cstheme="minorHAnsi"/>
            <w:color w:val="0070C0"/>
            <w:sz w:val="21"/>
            <w:szCs w:val="21"/>
          </w:rPr>
          <w:t>long-term care settings</w:t>
        </w:r>
      </w:hyperlink>
    </w:p>
    <w:p w14:paraId="37F6D933" w14:textId="77777777" w:rsidR="00D35D29" w:rsidRPr="00E903CA" w:rsidRDefault="00D35D29" w:rsidP="00D35D29">
      <w:pPr>
        <w:numPr>
          <w:ilvl w:val="0"/>
          <w:numId w:val="15"/>
        </w:numPr>
        <w:ind w:left="945" w:right="225"/>
        <w:contextualSpacing/>
        <w:rPr>
          <w:rFonts w:asciiTheme="minorHAnsi" w:hAnsiTheme="minorHAnsi" w:cstheme="minorHAnsi"/>
          <w:sz w:val="21"/>
          <w:szCs w:val="21"/>
        </w:rPr>
      </w:pPr>
      <w:r w:rsidRPr="00E903CA">
        <w:rPr>
          <w:rFonts w:asciiTheme="minorHAnsi" w:hAnsiTheme="minorHAnsi" w:cstheme="minorHAnsi"/>
          <w:sz w:val="21"/>
          <w:szCs w:val="21"/>
        </w:rPr>
        <w:t>Age 18+ who have </w:t>
      </w:r>
      <w:hyperlink r:id="rId23" w:history="1">
        <w:r w:rsidRPr="00E903CA">
          <w:rPr>
            <w:rStyle w:val="Hyperlink"/>
            <w:rFonts w:asciiTheme="minorHAnsi" w:hAnsiTheme="minorHAnsi" w:cstheme="minorHAnsi"/>
            <w:color w:val="0070C0"/>
            <w:sz w:val="21"/>
            <w:szCs w:val="21"/>
          </w:rPr>
          <w:t>underlying medical conditions</w:t>
        </w:r>
      </w:hyperlink>
    </w:p>
    <w:p w14:paraId="13F73AA5" w14:textId="77777777" w:rsidR="00D35D29" w:rsidRPr="00E903CA" w:rsidRDefault="00D35D29" w:rsidP="00D35D29">
      <w:pPr>
        <w:numPr>
          <w:ilvl w:val="0"/>
          <w:numId w:val="15"/>
        </w:numPr>
        <w:ind w:left="945" w:right="225"/>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Age 18+ who work in </w:t>
      </w:r>
      <w:hyperlink r:id="rId24" w:anchor="HighRisk" w:history="1">
        <w:r w:rsidRPr="00E903CA">
          <w:rPr>
            <w:rStyle w:val="Hyperlink"/>
            <w:rFonts w:asciiTheme="minorHAnsi" w:hAnsiTheme="minorHAnsi" w:cstheme="minorHAnsi"/>
            <w:color w:val="0070C0"/>
            <w:sz w:val="21"/>
            <w:szCs w:val="21"/>
          </w:rPr>
          <w:t>high-risk settings</w:t>
        </w:r>
      </w:hyperlink>
    </w:p>
    <w:p w14:paraId="0E917980" w14:textId="77777777" w:rsidR="00D35D29" w:rsidRPr="00E903CA" w:rsidRDefault="00D35D29" w:rsidP="00D35D29">
      <w:pPr>
        <w:numPr>
          <w:ilvl w:val="0"/>
          <w:numId w:val="15"/>
        </w:numPr>
        <w:ind w:left="945" w:right="225"/>
        <w:contextualSpacing/>
        <w:rPr>
          <w:rFonts w:asciiTheme="minorHAnsi" w:hAnsiTheme="minorHAnsi" w:cstheme="minorHAnsi"/>
          <w:sz w:val="21"/>
          <w:szCs w:val="21"/>
        </w:rPr>
      </w:pPr>
      <w:r w:rsidRPr="00E903CA">
        <w:rPr>
          <w:rFonts w:asciiTheme="minorHAnsi" w:hAnsiTheme="minorHAnsi" w:cstheme="minorHAnsi"/>
          <w:sz w:val="21"/>
          <w:szCs w:val="21"/>
        </w:rPr>
        <w:t>Age 18+ who live in </w:t>
      </w:r>
      <w:hyperlink r:id="rId25" w:anchor="HighRisk" w:history="1">
        <w:r w:rsidRPr="00E903CA">
          <w:rPr>
            <w:rStyle w:val="Hyperlink"/>
            <w:rFonts w:asciiTheme="minorHAnsi" w:hAnsiTheme="minorHAnsi" w:cstheme="minorHAnsi"/>
            <w:color w:val="0070C0"/>
            <w:sz w:val="21"/>
            <w:szCs w:val="21"/>
          </w:rPr>
          <w:t>high-risk settings</w:t>
        </w:r>
      </w:hyperlink>
    </w:p>
    <w:p w14:paraId="7DEEE7C2" w14:textId="77777777" w:rsidR="00D35D29" w:rsidRPr="00E903CA" w:rsidRDefault="00D35D29" w:rsidP="00D35D29">
      <w:pPr>
        <w:ind w:left="945" w:right="225"/>
        <w:contextualSpacing/>
        <w:rPr>
          <w:rFonts w:asciiTheme="minorHAnsi" w:hAnsiTheme="minorHAnsi" w:cstheme="minorHAnsi"/>
          <w:color w:val="000000"/>
          <w:sz w:val="21"/>
          <w:szCs w:val="21"/>
        </w:rPr>
      </w:pPr>
    </w:p>
    <w:p w14:paraId="513DE986" w14:textId="6FD3C372" w:rsidR="00D35D29" w:rsidRPr="00E903CA" w:rsidRDefault="00D35D29" w:rsidP="00D35D29">
      <w:pPr>
        <w:pStyle w:val="Default"/>
        <w:contextualSpacing/>
        <w:rPr>
          <w:rFonts w:asciiTheme="minorHAnsi" w:hAnsiTheme="minorHAnsi" w:cstheme="minorHAnsi"/>
          <w:b/>
          <w:bCs/>
          <w:sz w:val="21"/>
          <w:szCs w:val="21"/>
        </w:rPr>
      </w:pPr>
      <w:r w:rsidRPr="00E903CA">
        <w:rPr>
          <w:rFonts w:asciiTheme="minorHAnsi" w:hAnsiTheme="minorHAnsi" w:cstheme="minorHAnsi"/>
          <w:b/>
          <w:bCs/>
          <w:color w:val="FF0000"/>
          <w:sz w:val="21"/>
          <w:szCs w:val="21"/>
        </w:rPr>
        <w:t>New</w:t>
      </w:r>
      <w:r w:rsidRPr="00E903CA">
        <w:rPr>
          <w:rFonts w:asciiTheme="minorHAnsi" w:hAnsiTheme="minorHAnsi" w:cstheme="minorHAnsi"/>
          <w:b/>
          <w:bCs/>
          <w:color w:val="333333"/>
          <w:sz w:val="21"/>
          <w:szCs w:val="21"/>
          <w:shd w:val="clear" w:color="auto" w:fill="FFFFFF"/>
        </w:rPr>
        <w:t xml:space="preserve"> COVID-19 vaccine booster, after a J&amp;J/Janssen primary series</w:t>
      </w:r>
    </w:p>
    <w:p w14:paraId="4F3490D2" w14:textId="77777777" w:rsidR="00D35D29" w:rsidRPr="00E903CA" w:rsidRDefault="00D35D29" w:rsidP="00D35D29">
      <w:pPr>
        <w:pStyle w:val="xparagraph"/>
        <w:contextualSpacing/>
        <w:rPr>
          <w:rFonts w:asciiTheme="minorHAnsi" w:hAnsiTheme="minorHAnsi" w:cstheme="minorHAnsi"/>
          <w:color w:val="333333"/>
          <w:sz w:val="21"/>
          <w:szCs w:val="21"/>
          <w:shd w:val="clear" w:color="auto" w:fill="FFFFFF"/>
        </w:rPr>
      </w:pPr>
      <w:r w:rsidRPr="00E903CA">
        <w:rPr>
          <w:rFonts w:asciiTheme="minorHAnsi" w:hAnsiTheme="minorHAnsi" w:cstheme="minorHAnsi"/>
          <w:color w:val="333333"/>
          <w:sz w:val="21"/>
          <w:szCs w:val="21"/>
          <w:shd w:val="clear" w:color="auto" w:fill="FFFFFF"/>
        </w:rPr>
        <w:t>People in the following groups are recommended to receive a booster shot at least 2 months after their J&amp;J/Janssen vaccine:</w:t>
      </w:r>
    </w:p>
    <w:p w14:paraId="2EA4ABA5" w14:textId="77777777" w:rsidR="00D35D29" w:rsidRPr="00E903CA" w:rsidRDefault="00D35D29" w:rsidP="00D35D29">
      <w:pPr>
        <w:numPr>
          <w:ilvl w:val="0"/>
          <w:numId w:val="15"/>
        </w:numPr>
        <w:ind w:left="945" w:right="225"/>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Everyone age 18+ </w:t>
      </w:r>
    </w:p>
    <w:p w14:paraId="1B716C65" w14:textId="77777777" w:rsidR="00E93ECB" w:rsidRDefault="00E93ECB" w:rsidP="00D35D29">
      <w:pPr>
        <w:autoSpaceDE w:val="0"/>
        <w:autoSpaceDN w:val="0"/>
        <w:adjustRightInd w:val="0"/>
        <w:rPr>
          <w:rFonts w:cstheme="minorHAnsi"/>
          <w:color w:val="000000"/>
        </w:rPr>
      </w:pPr>
    </w:p>
    <w:p w14:paraId="5157BDE6" w14:textId="1B9565B5" w:rsidR="00D35D29" w:rsidRDefault="00E93ECB" w:rsidP="00E93ECB">
      <w:pPr>
        <w:autoSpaceDE w:val="0"/>
        <w:autoSpaceDN w:val="0"/>
        <w:adjustRightInd w:val="0"/>
        <w:rPr>
          <w:rFonts w:ascii="Calibri" w:hAnsi="Calibri" w:cs="Calibri"/>
          <w:b/>
          <w:bCs/>
          <w:color w:val="000000"/>
        </w:rPr>
      </w:pPr>
      <w:r w:rsidRPr="00D35D29">
        <w:rPr>
          <w:rFonts w:ascii="Calibri" w:hAnsi="Calibri"/>
          <w:b/>
          <w:bCs/>
          <w:color w:val="FF0000"/>
          <w:sz w:val="20"/>
          <w:szCs w:val="20"/>
        </w:rPr>
        <w:t>New</w:t>
      </w:r>
      <w:r w:rsidRPr="005A506E">
        <w:rPr>
          <w:rFonts w:ascii="Calibri" w:hAnsi="Calibri" w:cs="Calibri"/>
          <w:b/>
          <w:bCs/>
          <w:color w:val="000000"/>
        </w:rPr>
        <w:t xml:space="preserve"> </w:t>
      </w:r>
      <w:r w:rsidR="00D35D29" w:rsidRPr="005A506E">
        <w:rPr>
          <w:rFonts w:ascii="Calibri" w:hAnsi="Calibri" w:cs="Calibri"/>
          <w:b/>
          <w:bCs/>
          <w:color w:val="000000"/>
        </w:rPr>
        <w:t>COVID-19 vaccine dosages</w:t>
      </w:r>
    </w:p>
    <w:tbl>
      <w:tblPr>
        <w:tblStyle w:val="TableGrid"/>
        <w:tblW w:w="10710" w:type="dxa"/>
        <w:tblInd w:w="-635" w:type="dxa"/>
        <w:tblLook w:val="04A0" w:firstRow="1" w:lastRow="0" w:firstColumn="1" w:lastColumn="0" w:noHBand="0" w:noVBand="1"/>
      </w:tblPr>
      <w:tblGrid>
        <w:gridCol w:w="2700"/>
        <w:gridCol w:w="1930"/>
        <w:gridCol w:w="3470"/>
        <w:gridCol w:w="2610"/>
      </w:tblGrid>
      <w:tr w:rsidR="00D35D29" w14:paraId="1EEF9381" w14:textId="77777777" w:rsidTr="00C31F42">
        <w:trPr>
          <w:trHeight w:val="465"/>
        </w:trPr>
        <w:tc>
          <w:tcPr>
            <w:tcW w:w="2700" w:type="dxa"/>
          </w:tcPr>
          <w:p w14:paraId="2E1CF7FF" w14:textId="77777777" w:rsidR="00D35D29" w:rsidRDefault="00D35D29" w:rsidP="005736DB">
            <w:pPr>
              <w:autoSpaceDE w:val="0"/>
              <w:autoSpaceDN w:val="0"/>
              <w:adjustRightInd w:val="0"/>
              <w:rPr>
                <w:rFonts w:ascii="Calibri" w:hAnsi="Calibri" w:cs="Calibri"/>
                <w:b/>
                <w:bCs/>
                <w:color w:val="000000"/>
              </w:rPr>
            </w:pPr>
          </w:p>
        </w:tc>
        <w:tc>
          <w:tcPr>
            <w:tcW w:w="1930" w:type="dxa"/>
          </w:tcPr>
          <w:p w14:paraId="2862CA81" w14:textId="77777777" w:rsidR="00D35D29" w:rsidRDefault="00D35D29" w:rsidP="005736DB">
            <w:pPr>
              <w:autoSpaceDE w:val="0"/>
              <w:autoSpaceDN w:val="0"/>
              <w:adjustRightInd w:val="0"/>
              <w:jc w:val="center"/>
              <w:rPr>
                <w:rFonts w:ascii="Calibri" w:hAnsi="Calibri" w:cs="Calibri"/>
                <w:b/>
                <w:bCs/>
                <w:color w:val="000000"/>
              </w:rPr>
            </w:pPr>
            <w:r>
              <w:rPr>
                <w:rFonts w:ascii="Calibri" w:hAnsi="Calibri" w:cs="Calibri"/>
                <w:b/>
                <w:bCs/>
                <w:color w:val="000000"/>
              </w:rPr>
              <w:t>Primary Series</w:t>
            </w:r>
          </w:p>
        </w:tc>
        <w:tc>
          <w:tcPr>
            <w:tcW w:w="3470" w:type="dxa"/>
          </w:tcPr>
          <w:p w14:paraId="70FF7AAC" w14:textId="77777777" w:rsidR="00D35D29" w:rsidRDefault="00D35D29" w:rsidP="005736DB">
            <w:pPr>
              <w:autoSpaceDE w:val="0"/>
              <w:autoSpaceDN w:val="0"/>
              <w:adjustRightInd w:val="0"/>
              <w:jc w:val="center"/>
              <w:rPr>
                <w:rFonts w:ascii="Calibri" w:hAnsi="Calibri" w:cs="Calibri"/>
                <w:b/>
                <w:bCs/>
                <w:color w:val="000000"/>
              </w:rPr>
            </w:pPr>
            <w:r>
              <w:rPr>
                <w:rFonts w:ascii="Calibri" w:hAnsi="Calibri" w:cs="Calibri"/>
                <w:b/>
                <w:bCs/>
                <w:color w:val="000000"/>
              </w:rPr>
              <w:t>3</w:t>
            </w:r>
            <w:r w:rsidRPr="005A506E">
              <w:rPr>
                <w:rFonts w:ascii="Calibri" w:hAnsi="Calibri" w:cs="Calibri"/>
                <w:b/>
                <w:bCs/>
                <w:color w:val="000000"/>
                <w:vertAlign w:val="superscript"/>
              </w:rPr>
              <w:t>rd</w:t>
            </w:r>
            <w:r>
              <w:rPr>
                <w:rFonts w:ascii="Calibri" w:hAnsi="Calibri" w:cs="Calibri"/>
                <w:b/>
                <w:bCs/>
                <w:color w:val="000000"/>
              </w:rPr>
              <w:t xml:space="preserve"> dose in a primary series              </w:t>
            </w:r>
          </w:p>
          <w:p w14:paraId="14120116" w14:textId="77777777" w:rsidR="00D35D29" w:rsidRDefault="00D35D29" w:rsidP="005736DB">
            <w:pPr>
              <w:autoSpaceDE w:val="0"/>
              <w:autoSpaceDN w:val="0"/>
              <w:adjustRightInd w:val="0"/>
              <w:jc w:val="center"/>
              <w:rPr>
                <w:rFonts w:ascii="Calibri" w:hAnsi="Calibri" w:cs="Calibri"/>
                <w:b/>
                <w:bCs/>
                <w:color w:val="000000"/>
              </w:rPr>
            </w:pPr>
            <w:r>
              <w:rPr>
                <w:rFonts w:ascii="Calibri" w:hAnsi="Calibri" w:cs="Calibri"/>
                <w:b/>
                <w:bCs/>
                <w:color w:val="000000"/>
              </w:rPr>
              <w:t xml:space="preserve">     </w:t>
            </w:r>
            <w:r w:rsidRPr="0099189E">
              <w:rPr>
                <w:rFonts w:ascii="Calibri" w:hAnsi="Calibri" w:cs="Calibri"/>
                <w:b/>
                <w:bCs/>
                <w:color w:val="000000"/>
                <w:sz w:val="16"/>
                <w:szCs w:val="16"/>
              </w:rPr>
              <w:t>(moderate to severely immunocompromised persons)</w:t>
            </w:r>
          </w:p>
        </w:tc>
        <w:tc>
          <w:tcPr>
            <w:tcW w:w="2610" w:type="dxa"/>
          </w:tcPr>
          <w:p w14:paraId="11C0725A" w14:textId="77777777" w:rsidR="00D35D29" w:rsidRDefault="00D35D29" w:rsidP="005736DB">
            <w:pPr>
              <w:autoSpaceDE w:val="0"/>
              <w:autoSpaceDN w:val="0"/>
              <w:adjustRightInd w:val="0"/>
              <w:jc w:val="center"/>
              <w:rPr>
                <w:rFonts w:ascii="Calibri" w:hAnsi="Calibri" w:cs="Calibri"/>
                <w:b/>
                <w:bCs/>
                <w:color w:val="000000"/>
              </w:rPr>
            </w:pPr>
            <w:r>
              <w:rPr>
                <w:rFonts w:ascii="Calibri" w:hAnsi="Calibri" w:cs="Calibri"/>
                <w:b/>
                <w:bCs/>
                <w:color w:val="000000"/>
              </w:rPr>
              <w:t>Booster Dose</w:t>
            </w:r>
          </w:p>
        </w:tc>
      </w:tr>
      <w:tr w:rsidR="00D35D29" w14:paraId="70165FFA" w14:textId="77777777" w:rsidTr="00C31F42">
        <w:trPr>
          <w:trHeight w:val="645"/>
        </w:trPr>
        <w:tc>
          <w:tcPr>
            <w:tcW w:w="2700" w:type="dxa"/>
          </w:tcPr>
          <w:p w14:paraId="67FA872A" w14:textId="77777777" w:rsidR="00D35D29" w:rsidRDefault="00D35D29" w:rsidP="005736DB">
            <w:pPr>
              <w:autoSpaceDE w:val="0"/>
              <w:autoSpaceDN w:val="0"/>
              <w:adjustRightInd w:val="0"/>
              <w:rPr>
                <w:rFonts w:ascii="Calibri" w:hAnsi="Calibri" w:cs="Calibri"/>
                <w:b/>
                <w:bCs/>
                <w:color w:val="000000"/>
              </w:rPr>
            </w:pPr>
            <w:r>
              <w:rPr>
                <w:rFonts w:ascii="Calibri" w:hAnsi="Calibri" w:cs="Calibri"/>
                <w:b/>
                <w:bCs/>
                <w:color w:val="000000"/>
              </w:rPr>
              <w:t>Pfizer, age 12+</w:t>
            </w:r>
          </w:p>
        </w:tc>
        <w:tc>
          <w:tcPr>
            <w:tcW w:w="1930" w:type="dxa"/>
          </w:tcPr>
          <w:p w14:paraId="11204528" w14:textId="77777777" w:rsidR="00D35D29" w:rsidRDefault="00D35D29" w:rsidP="005736DB">
            <w:pPr>
              <w:autoSpaceDE w:val="0"/>
              <w:autoSpaceDN w:val="0"/>
              <w:adjustRightInd w:val="0"/>
              <w:jc w:val="center"/>
              <w:rPr>
                <w:rFonts w:ascii="Calibri" w:hAnsi="Calibri" w:cs="Calibri"/>
                <w:b/>
                <w:bCs/>
                <w:color w:val="000000"/>
              </w:rPr>
            </w:pPr>
            <w:r>
              <w:rPr>
                <w:rFonts w:ascii="Calibri" w:hAnsi="Calibri" w:cs="Calibri"/>
                <w:b/>
                <w:bCs/>
                <w:color w:val="000000"/>
              </w:rPr>
              <w:t>0.3mL</w:t>
            </w:r>
          </w:p>
          <w:p w14:paraId="1E09BC6A" w14:textId="77777777" w:rsidR="00D35D29" w:rsidRPr="0099189E" w:rsidRDefault="00D35D29" w:rsidP="005736DB">
            <w:pPr>
              <w:autoSpaceDE w:val="0"/>
              <w:autoSpaceDN w:val="0"/>
              <w:adjustRightInd w:val="0"/>
              <w:jc w:val="center"/>
              <w:rPr>
                <w:rFonts w:ascii="Calibri" w:hAnsi="Calibri" w:cs="Calibri"/>
                <w:color w:val="000000"/>
                <w:sz w:val="16"/>
                <w:szCs w:val="16"/>
              </w:rPr>
            </w:pPr>
            <w:r w:rsidRPr="0099189E">
              <w:rPr>
                <w:rFonts w:ascii="Calibri" w:hAnsi="Calibri" w:cs="Calibri"/>
                <w:color w:val="000000"/>
                <w:sz w:val="16"/>
                <w:szCs w:val="16"/>
              </w:rPr>
              <w:t>21 days apart</w:t>
            </w:r>
          </w:p>
        </w:tc>
        <w:tc>
          <w:tcPr>
            <w:tcW w:w="3470" w:type="dxa"/>
          </w:tcPr>
          <w:p w14:paraId="768E00C7" w14:textId="77777777" w:rsidR="00D35D29" w:rsidRDefault="00D35D29" w:rsidP="005736DB">
            <w:pPr>
              <w:autoSpaceDE w:val="0"/>
              <w:autoSpaceDN w:val="0"/>
              <w:adjustRightInd w:val="0"/>
              <w:jc w:val="center"/>
              <w:rPr>
                <w:rFonts w:ascii="Calibri" w:hAnsi="Calibri" w:cs="Calibri"/>
                <w:b/>
                <w:bCs/>
                <w:color w:val="000000"/>
              </w:rPr>
            </w:pPr>
            <w:r>
              <w:rPr>
                <w:rFonts w:ascii="Calibri" w:hAnsi="Calibri" w:cs="Calibri"/>
                <w:b/>
                <w:bCs/>
                <w:color w:val="000000"/>
              </w:rPr>
              <w:t>0.3mL</w:t>
            </w:r>
          </w:p>
          <w:p w14:paraId="40C0BD11" w14:textId="77777777" w:rsidR="00D35D29" w:rsidRDefault="00D35D29" w:rsidP="005736DB">
            <w:pPr>
              <w:autoSpaceDE w:val="0"/>
              <w:autoSpaceDN w:val="0"/>
              <w:adjustRightInd w:val="0"/>
              <w:jc w:val="center"/>
              <w:rPr>
                <w:rFonts w:ascii="Calibri" w:hAnsi="Calibri" w:cs="Calibri"/>
                <w:b/>
                <w:bCs/>
                <w:color w:val="000000"/>
              </w:rPr>
            </w:pPr>
            <w:r>
              <w:rPr>
                <w:rFonts w:ascii="Calibri" w:hAnsi="Calibri" w:cs="Calibri"/>
                <w:color w:val="000000"/>
                <w:sz w:val="16"/>
                <w:szCs w:val="16"/>
              </w:rPr>
              <w:t xml:space="preserve">At least </w:t>
            </w:r>
            <w:r w:rsidRPr="0099189E">
              <w:rPr>
                <w:rFonts w:ascii="Calibri" w:hAnsi="Calibri" w:cs="Calibri"/>
                <w:color w:val="000000"/>
                <w:sz w:val="16"/>
                <w:szCs w:val="16"/>
              </w:rPr>
              <w:t>2</w:t>
            </w:r>
            <w:r>
              <w:rPr>
                <w:rFonts w:ascii="Calibri" w:hAnsi="Calibri" w:cs="Calibri"/>
                <w:color w:val="000000"/>
                <w:sz w:val="16"/>
                <w:szCs w:val="16"/>
              </w:rPr>
              <w:t>8</w:t>
            </w:r>
            <w:r w:rsidRPr="0099189E">
              <w:rPr>
                <w:rFonts w:ascii="Calibri" w:hAnsi="Calibri" w:cs="Calibri"/>
                <w:color w:val="000000"/>
                <w:sz w:val="16"/>
                <w:szCs w:val="16"/>
              </w:rPr>
              <w:t xml:space="preserve"> days </w:t>
            </w:r>
            <w:r>
              <w:rPr>
                <w:rFonts w:ascii="Calibri" w:hAnsi="Calibri" w:cs="Calibri"/>
                <w:color w:val="000000"/>
                <w:sz w:val="16"/>
                <w:szCs w:val="16"/>
              </w:rPr>
              <w:t>after dose #2</w:t>
            </w:r>
          </w:p>
        </w:tc>
        <w:tc>
          <w:tcPr>
            <w:tcW w:w="2610" w:type="dxa"/>
          </w:tcPr>
          <w:p w14:paraId="3D2208DF" w14:textId="77777777" w:rsidR="00D35D29" w:rsidRDefault="00D35D29" w:rsidP="005736DB">
            <w:pPr>
              <w:autoSpaceDE w:val="0"/>
              <w:autoSpaceDN w:val="0"/>
              <w:adjustRightInd w:val="0"/>
              <w:jc w:val="center"/>
              <w:rPr>
                <w:rFonts w:ascii="Calibri" w:hAnsi="Calibri" w:cs="Calibri"/>
                <w:b/>
                <w:bCs/>
                <w:color w:val="000000"/>
              </w:rPr>
            </w:pPr>
            <w:r>
              <w:rPr>
                <w:rFonts w:ascii="Calibri" w:hAnsi="Calibri" w:cs="Calibri"/>
                <w:b/>
                <w:bCs/>
                <w:color w:val="000000"/>
              </w:rPr>
              <w:t>0.3mL</w:t>
            </w:r>
          </w:p>
          <w:p w14:paraId="5DBB28BA" w14:textId="77777777" w:rsidR="00D35D29" w:rsidRPr="00A03756" w:rsidRDefault="00D35D29" w:rsidP="005736DB">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At least 6 months</w:t>
            </w:r>
            <w:r w:rsidRPr="0099189E">
              <w:rPr>
                <w:rFonts w:ascii="Calibri" w:hAnsi="Calibri" w:cs="Calibri"/>
                <w:color w:val="000000"/>
                <w:sz w:val="16"/>
                <w:szCs w:val="16"/>
              </w:rPr>
              <w:t xml:space="preserve"> </w:t>
            </w:r>
            <w:r>
              <w:rPr>
                <w:rFonts w:ascii="Calibri" w:hAnsi="Calibri" w:cs="Calibri"/>
                <w:color w:val="000000"/>
                <w:sz w:val="16"/>
                <w:szCs w:val="16"/>
              </w:rPr>
              <w:t>after completing a primary series</w:t>
            </w:r>
          </w:p>
        </w:tc>
      </w:tr>
      <w:tr w:rsidR="00D35D29" w14:paraId="5A089D8E" w14:textId="77777777" w:rsidTr="00C31F42">
        <w:trPr>
          <w:trHeight w:val="655"/>
        </w:trPr>
        <w:tc>
          <w:tcPr>
            <w:tcW w:w="2700" w:type="dxa"/>
          </w:tcPr>
          <w:p w14:paraId="256CF60E" w14:textId="77777777" w:rsidR="00D35D29" w:rsidRDefault="00D35D29" w:rsidP="005736DB">
            <w:pPr>
              <w:autoSpaceDE w:val="0"/>
              <w:autoSpaceDN w:val="0"/>
              <w:adjustRightInd w:val="0"/>
              <w:rPr>
                <w:rFonts w:ascii="Calibri" w:hAnsi="Calibri" w:cs="Calibri"/>
                <w:b/>
                <w:bCs/>
                <w:color w:val="000000"/>
              </w:rPr>
            </w:pPr>
            <w:r>
              <w:rPr>
                <w:rFonts w:ascii="Calibri" w:hAnsi="Calibri" w:cs="Calibri"/>
                <w:b/>
                <w:bCs/>
                <w:color w:val="000000"/>
              </w:rPr>
              <w:t>Moderna, age 18+</w:t>
            </w:r>
          </w:p>
        </w:tc>
        <w:tc>
          <w:tcPr>
            <w:tcW w:w="1930" w:type="dxa"/>
          </w:tcPr>
          <w:p w14:paraId="602830DB" w14:textId="77777777" w:rsidR="00D35D29" w:rsidRDefault="00D35D29" w:rsidP="005736DB">
            <w:pPr>
              <w:autoSpaceDE w:val="0"/>
              <w:autoSpaceDN w:val="0"/>
              <w:adjustRightInd w:val="0"/>
              <w:jc w:val="center"/>
              <w:rPr>
                <w:rFonts w:ascii="Calibri" w:hAnsi="Calibri" w:cs="Calibri"/>
                <w:b/>
                <w:bCs/>
                <w:color w:val="000000"/>
              </w:rPr>
            </w:pPr>
            <w:r>
              <w:rPr>
                <w:rFonts w:ascii="Calibri" w:hAnsi="Calibri" w:cs="Calibri"/>
                <w:b/>
                <w:bCs/>
                <w:color w:val="000000"/>
              </w:rPr>
              <w:t>0.5mL</w:t>
            </w:r>
          </w:p>
          <w:p w14:paraId="00E71D20" w14:textId="77777777" w:rsidR="00D35D29" w:rsidRDefault="00D35D29" w:rsidP="005736DB">
            <w:pPr>
              <w:autoSpaceDE w:val="0"/>
              <w:autoSpaceDN w:val="0"/>
              <w:adjustRightInd w:val="0"/>
              <w:jc w:val="center"/>
              <w:rPr>
                <w:rFonts w:ascii="Calibri" w:hAnsi="Calibri" w:cs="Calibri"/>
                <w:b/>
                <w:bCs/>
                <w:color w:val="000000"/>
              </w:rPr>
            </w:pPr>
            <w:r w:rsidRPr="0099189E">
              <w:rPr>
                <w:rFonts w:ascii="Calibri" w:hAnsi="Calibri" w:cs="Calibri"/>
                <w:color w:val="000000"/>
                <w:sz w:val="16"/>
                <w:szCs w:val="16"/>
              </w:rPr>
              <w:t>2</w:t>
            </w:r>
            <w:r>
              <w:rPr>
                <w:rFonts w:ascii="Calibri" w:hAnsi="Calibri" w:cs="Calibri"/>
                <w:color w:val="000000"/>
                <w:sz w:val="16"/>
                <w:szCs w:val="16"/>
              </w:rPr>
              <w:t>8</w:t>
            </w:r>
            <w:r w:rsidRPr="0099189E">
              <w:rPr>
                <w:rFonts w:ascii="Calibri" w:hAnsi="Calibri" w:cs="Calibri"/>
                <w:color w:val="000000"/>
                <w:sz w:val="16"/>
                <w:szCs w:val="16"/>
              </w:rPr>
              <w:t xml:space="preserve"> days apart</w:t>
            </w:r>
          </w:p>
        </w:tc>
        <w:tc>
          <w:tcPr>
            <w:tcW w:w="3470" w:type="dxa"/>
          </w:tcPr>
          <w:p w14:paraId="3D5506C1" w14:textId="77777777" w:rsidR="00D35D29" w:rsidRDefault="00D35D29" w:rsidP="005736DB">
            <w:pPr>
              <w:autoSpaceDE w:val="0"/>
              <w:autoSpaceDN w:val="0"/>
              <w:adjustRightInd w:val="0"/>
              <w:jc w:val="center"/>
              <w:rPr>
                <w:rFonts w:ascii="Calibri" w:hAnsi="Calibri" w:cs="Calibri"/>
                <w:b/>
                <w:bCs/>
                <w:color w:val="000000"/>
              </w:rPr>
            </w:pPr>
            <w:r>
              <w:rPr>
                <w:rFonts w:ascii="Calibri" w:hAnsi="Calibri" w:cs="Calibri"/>
                <w:b/>
                <w:bCs/>
                <w:color w:val="000000"/>
              </w:rPr>
              <w:t>0.5mL</w:t>
            </w:r>
          </w:p>
          <w:p w14:paraId="01F0E173" w14:textId="77777777" w:rsidR="00D35D29" w:rsidRDefault="00D35D29" w:rsidP="005736DB">
            <w:pPr>
              <w:autoSpaceDE w:val="0"/>
              <w:autoSpaceDN w:val="0"/>
              <w:adjustRightInd w:val="0"/>
              <w:jc w:val="center"/>
              <w:rPr>
                <w:rFonts w:ascii="Calibri" w:hAnsi="Calibri" w:cs="Calibri"/>
                <w:b/>
                <w:bCs/>
                <w:color w:val="000000"/>
              </w:rPr>
            </w:pPr>
            <w:r>
              <w:rPr>
                <w:rFonts w:ascii="Calibri" w:hAnsi="Calibri" w:cs="Calibri"/>
                <w:color w:val="000000"/>
                <w:sz w:val="16"/>
                <w:szCs w:val="16"/>
              </w:rPr>
              <w:t xml:space="preserve">At least </w:t>
            </w:r>
            <w:r w:rsidRPr="0099189E">
              <w:rPr>
                <w:rFonts w:ascii="Calibri" w:hAnsi="Calibri" w:cs="Calibri"/>
                <w:color w:val="000000"/>
                <w:sz w:val="16"/>
                <w:szCs w:val="16"/>
              </w:rPr>
              <w:t>2</w:t>
            </w:r>
            <w:r>
              <w:rPr>
                <w:rFonts w:ascii="Calibri" w:hAnsi="Calibri" w:cs="Calibri"/>
                <w:color w:val="000000"/>
                <w:sz w:val="16"/>
                <w:szCs w:val="16"/>
              </w:rPr>
              <w:t>8</w:t>
            </w:r>
            <w:r w:rsidRPr="0099189E">
              <w:rPr>
                <w:rFonts w:ascii="Calibri" w:hAnsi="Calibri" w:cs="Calibri"/>
                <w:color w:val="000000"/>
                <w:sz w:val="16"/>
                <w:szCs w:val="16"/>
              </w:rPr>
              <w:t xml:space="preserve"> days </w:t>
            </w:r>
            <w:r>
              <w:rPr>
                <w:rFonts w:ascii="Calibri" w:hAnsi="Calibri" w:cs="Calibri"/>
                <w:color w:val="000000"/>
                <w:sz w:val="16"/>
                <w:szCs w:val="16"/>
              </w:rPr>
              <w:t>after dose #2</w:t>
            </w:r>
          </w:p>
        </w:tc>
        <w:tc>
          <w:tcPr>
            <w:tcW w:w="2610" w:type="dxa"/>
          </w:tcPr>
          <w:p w14:paraId="1105B4B9" w14:textId="77777777" w:rsidR="00D35D29" w:rsidRDefault="00D35D29" w:rsidP="005736DB">
            <w:pPr>
              <w:autoSpaceDE w:val="0"/>
              <w:autoSpaceDN w:val="0"/>
              <w:adjustRightInd w:val="0"/>
              <w:jc w:val="center"/>
              <w:rPr>
                <w:rFonts w:ascii="Calibri" w:hAnsi="Calibri" w:cs="Calibri"/>
                <w:b/>
                <w:bCs/>
                <w:color w:val="FF0000"/>
              </w:rPr>
            </w:pPr>
            <w:r w:rsidRPr="0099189E">
              <w:rPr>
                <w:rFonts w:ascii="Calibri" w:hAnsi="Calibri" w:cs="Calibri"/>
                <w:b/>
                <w:bCs/>
                <w:color w:val="FF0000"/>
              </w:rPr>
              <w:t>0.25mL</w:t>
            </w:r>
          </w:p>
          <w:p w14:paraId="22F2DCAD" w14:textId="77777777" w:rsidR="00D35D29" w:rsidRDefault="00D35D29" w:rsidP="005736DB">
            <w:pPr>
              <w:autoSpaceDE w:val="0"/>
              <w:autoSpaceDN w:val="0"/>
              <w:adjustRightInd w:val="0"/>
              <w:jc w:val="center"/>
              <w:rPr>
                <w:rFonts w:ascii="Calibri" w:hAnsi="Calibri" w:cs="Calibri"/>
                <w:b/>
                <w:bCs/>
                <w:color w:val="000000"/>
              </w:rPr>
            </w:pPr>
            <w:r>
              <w:rPr>
                <w:rFonts w:ascii="Calibri" w:hAnsi="Calibri" w:cs="Calibri"/>
                <w:color w:val="000000"/>
                <w:sz w:val="16"/>
                <w:szCs w:val="16"/>
              </w:rPr>
              <w:t>At least 6 months</w:t>
            </w:r>
            <w:r w:rsidRPr="0099189E">
              <w:rPr>
                <w:rFonts w:ascii="Calibri" w:hAnsi="Calibri" w:cs="Calibri"/>
                <w:color w:val="000000"/>
                <w:sz w:val="16"/>
                <w:szCs w:val="16"/>
              </w:rPr>
              <w:t xml:space="preserve"> </w:t>
            </w:r>
            <w:r>
              <w:rPr>
                <w:rFonts w:ascii="Calibri" w:hAnsi="Calibri" w:cs="Calibri"/>
                <w:color w:val="000000"/>
                <w:sz w:val="16"/>
                <w:szCs w:val="16"/>
              </w:rPr>
              <w:t>after completing a primary series</w:t>
            </w:r>
          </w:p>
        </w:tc>
      </w:tr>
      <w:tr w:rsidR="00D35D29" w14:paraId="4486C088" w14:textId="77777777" w:rsidTr="00C31F42">
        <w:trPr>
          <w:trHeight w:val="455"/>
        </w:trPr>
        <w:tc>
          <w:tcPr>
            <w:tcW w:w="2700" w:type="dxa"/>
          </w:tcPr>
          <w:p w14:paraId="17914015" w14:textId="77777777" w:rsidR="00D35D29" w:rsidRDefault="00D35D29" w:rsidP="005736DB">
            <w:pPr>
              <w:autoSpaceDE w:val="0"/>
              <w:autoSpaceDN w:val="0"/>
              <w:adjustRightInd w:val="0"/>
              <w:rPr>
                <w:rFonts w:ascii="Calibri" w:hAnsi="Calibri" w:cs="Calibri"/>
                <w:b/>
                <w:bCs/>
                <w:color w:val="000000"/>
              </w:rPr>
            </w:pPr>
            <w:r>
              <w:rPr>
                <w:rFonts w:ascii="Calibri" w:hAnsi="Calibri" w:cs="Calibri"/>
                <w:b/>
                <w:bCs/>
                <w:color w:val="000000"/>
              </w:rPr>
              <w:t>J&amp;J/Janssen, age 18+</w:t>
            </w:r>
          </w:p>
        </w:tc>
        <w:tc>
          <w:tcPr>
            <w:tcW w:w="1930" w:type="dxa"/>
          </w:tcPr>
          <w:p w14:paraId="3A5423E5" w14:textId="77777777" w:rsidR="00D35D29" w:rsidRDefault="00D35D29" w:rsidP="005736DB">
            <w:pPr>
              <w:autoSpaceDE w:val="0"/>
              <w:autoSpaceDN w:val="0"/>
              <w:adjustRightInd w:val="0"/>
              <w:jc w:val="center"/>
              <w:rPr>
                <w:rFonts w:ascii="Calibri" w:hAnsi="Calibri" w:cs="Calibri"/>
                <w:b/>
                <w:bCs/>
                <w:color w:val="000000"/>
              </w:rPr>
            </w:pPr>
            <w:r>
              <w:rPr>
                <w:rFonts w:ascii="Calibri" w:hAnsi="Calibri" w:cs="Calibri"/>
                <w:b/>
                <w:bCs/>
                <w:color w:val="000000"/>
              </w:rPr>
              <w:t>0.5mL</w:t>
            </w:r>
          </w:p>
          <w:p w14:paraId="48F1DFDB" w14:textId="77777777" w:rsidR="00D35D29" w:rsidRDefault="00D35D29" w:rsidP="005736DB">
            <w:pPr>
              <w:autoSpaceDE w:val="0"/>
              <w:autoSpaceDN w:val="0"/>
              <w:adjustRightInd w:val="0"/>
              <w:jc w:val="center"/>
              <w:rPr>
                <w:rFonts w:ascii="Calibri" w:hAnsi="Calibri" w:cs="Calibri"/>
                <w:b/>
                <w:bCs/>
                <w:color w:val="000000"/>
              </w:rPr>
            </w:pPr>
            <w:r w:rsidRPr="0099189E">
              <w:rPr>
                <w:rFonts w:ascii="Calibri" w:hAnsi="Calibri" w:cs="Calibri"/>
                <w:color w:val="000000"/>
                <w:sz w:val="16"/>
                <w:szCs w:val="16"/>
              </w:rPr>
              <w:t xml:space="preserve">1 </w:t>
            </w:r>
            <w:r>
              <w:rPr>
                <w:rFonts w:ascii="Calibri" w:hAnsi="Calibri" w:cs="Calibri"/>
                <w:color w:val="000000"/>
                <w:sz w:val="16"/>
                <w:szCs w:val="16"/>
              </w:rPr>
              <w:t>dose only</w:t>
            </w:r>
          </w:p>
        </w:tc>
        <w:tc>
          <w:tcPr>
            <w:tcW w:w="3470" w:type="dxa"/>
          </w:tcPr>
          <w:p w14:paraId="0225C255" w14:textId="77777777" w:rsidR="00D35D29" w:rsidRDefault="00D35D29" w:rsidP="005736DB">
            <w:pPr>
              <w:autoSpaceDE w:val="0"/>
              <w:autoSpaceDN w:val="0"/>
              <w:adjustRightInd w:val="0"/>
              <w:jc w:val="center"/>
              <w:rPr>
                <w:rFonts w:ascii="Calibri" w:hAnsi="Calibri" w:cs="Calibri"/>
                <w:b/>
                <w:bCs/>
                <w:color w:val="000000"/>
              </w:rPr>
            </w:pPr>
            <w:r>
              <w:rPr>
                <w:rFonts w:ascii="Calibri" w:hAnsi="Calibri" w:cs="Calibri"/>
                <w:b/>
                <w:bCs/>
                <w:color w:val="000000"/>
              </w:rPr>
              <w:t>N/A</w:t>
            </w:r>
          </w:p>
        </w:tc>
        <w:tc>
          <w:tcPr>
            <w:tcW w:w="2610" w:type="dxa"/>
          </w:tcPr>
          <w:p w14:paraId="7D9CEE53" w14:textId="77777777" w:rsidR="00D35D29" w:rsidRDefault="00D35D29" w:rsidP="005736DB">
            <w:pPr>
              <w:autoSpaceDE w:val="0"/>
              <w:autoSpaceDN w:val="0"/>
              <w:adjustRightInd w:val="0"/>
              <w:jc w:val="center"/>
              <w:rPr>
                <w:rFonts w:ascii="Calibri" w:hAnsi="Calibri" w:cs="Calibri"/>
                <w:b/>
                <w:bCs/>
                <w:color w:val="000000"/>
              </w:rPr>
            </w:pPr>
            <w:r>
              <w:rPr>
                <w:rFonts w:ascii="Calibri" w:hAnsi="Calibri" w:cs="Calibri"/>
                <w:b/>
                <w:bCs/>
                <w:color w:val="000000"/>
              </w:rPr>
              <w:t>0.5mL</w:t>
            </w:r>
          </w:p>
          <w:p w14:paraId="086FCFE2" w14:textId="77777777" w:rsidR="00D35D29" w:rsidRDefault="00D35D29" w:rsidP="005736DB">
            <w:pPr>
              <w:autoSpaceDE w:val="0"/>
              <w:autoSpaceDN w:val="0"/>
              <w:adjustRightInd w:val="0"/>
              <w:jc w:val="center"/>
              <w:rPr>
                <w:rFonts w:ascii="Calibri" w:hAnsi="Calibri" w:cs="Calibri"/>
                <w:b/>
                <w:bCs/>
                <w:color w:val="000000"/>
              </w:rPr>
            </w:pPr>
            <w:r>
              <w:rPr>
                <w:rFonts w:ascii="Calibri" w:hAnsi="Calibri" w:cs="Calibri"/>
                <w:color w:val="000000"/>
                <w:sz w:val="16"/>
                <w:szCs w:val="16"/>
              </w:rPr>
              <w:t>At least 2 months</w:t>
            </w:r>
            <w:r w:rsidRPr="0099189E">
              <w:rPr>
                <w:rFonts w:ascii="Calibri" w:hAnsi="Calibri" w:cs="Calibri"/>
                <w:color w:val="000000"/>
                <w:sz w:val="16"/>
                <w:szCs w:val="16"/>
              </w:rPr>
              <w:t xml:space="preserve"> </w:t>
            </w:r>
            <w:r>
              <w:rPr>
                <w:rFonts w:ascii="Calibri" w:hAnsi="Calibri" w:cs="Calibri"/>
                <w:color w:val="000000"/>
                <w:sz w:val="16"/>
                <w:szCs w:val="16"/>
              </w:rPr>
              <w:t>after dose #1</w:t>
            </w:r>
          </w:p>
        </w:tc>
      </w:tr>
    </w:tbl>
    <w:p w14:paraId="0094FA6D" w14:textId="77777777" w:rsidR="00D35D29" w:rsidRDefault="00D35D29" w:rsidP="00D35D29">
      <w:pPr>
        <w:autoSpaceDE w:val="0"/>
        <w:autoSpaceDN w:val="0"/>
        <w:adjustRightInd w:val="0"/>
        <w:rPr>
          <w:rFonts w:ascii="Calibri" w:hAnsi="Calibri" w:cs="Calibri"/>
          <w:b/>
          <w:bCs/>
          <w:color w:val="000000"/>
          <w:sz w:val="20"/>
          <w:szCs w:val="20"/>
        </w:rPr>
      </w:pPr>
      <w:r w:rsidRPr="0052340F">
        <w:rPr>
          <w:rFonts w:ascii="Calibri" w:hAnsi="Calibri" w:cs="Calibri"/>
          <w:b/>
          <w:bCs/>
          <w:color w:val="000000"/>
          <w:sz w:val="20"/>
          <w:szCs w:val="20"/>
        </w:rPr>
        <w:t xml:space="preserve"> </w:t>
      </w:r>
    </w:p>
    <w:p w14:paraId="6E57D2FB" w14:textId="77777777" w:rsidR="00D35D29" w:rsidRPr="0052340F" w:rsidRDefault="00D35D29" w:rsidP="00D35D29">
      <w:pPr>
        <w:autoSpaceDE w:val="0"/>
        <w:autoSpaceDN w:val="0"/>
        <w:adjustRightInd w:val="0"/>
        <w:rPr>
          <w:rFonts w:ascii="Calibri" w:hAnsi="Calibri" w:cs="Calibri"/>
          <w:color w:val="000000"/>
          <w:sz w:val="20"/>
          <w:szCs w:val="20"/>
        </w:rPr>
      </w:pPr>
      <w:r w:rsidRPr="0052340F">
        <w:rPr>
          <w:rFonts w:ascii="Calibri" w:hAnsi="Calibri" w:cs="Calibri"/>
          <w:b/>
          <w:bCs/>
          <w:color w:val="000000"/>
          <w:sz w:val="20"/>
          <w:szCs w:val="20"/>
        </w:rPr>
        <w:t xml:space="preserve"> </w:t>
      </w:r>
      <w:r w:rsidRPr="0052340F">
        <w:rPr>
          <w:rFonts w:ascii="Calibri" w:hAnsi="Calibri" w:cs="Calibri"/>
          <w:color w:val="000000"/>
          <w:sz w:val="20"/>
          <w:szCs w:val="20"/>
        </w:rPr>
        <w:t>Important notes:</w:t>
      </w:r>
    </w:p>
    <w:p w14:paraId="3A45C78B" w14:textId="77777777" w:rsidR="00D35D29" w:rsidRPr="0052340F" w:rsidRDefault="00D35D29" w:rsidP="00D35D29">
      <w:pPr>
        <w:pStyle w:val="ListParagraph"/>
        <w:numPr>
          <w:ilvl w:val="0"/>
          <w:numId w:val="16"/>
        </w:numPr>
        <w:autoSpaceDE w:val="0"/>
        <w:autoSpaceDN w:val="0"/>
        <w:adjustRightInd w:val="0"/>
        <w:rPr>
          <w:rFonts w:ascii="Calibri" w:hAnsi="Calibri" w:cs="Calibri"/>
          <w:color w:val="000000"/>
          <w:sz w:val="20"/>
          <w:szCs w:val="20"/>
        </w:rPr>
      </w:pPr>
      <w:r w:rsidRPr="0052340F">
        <w:rPr>
          <w:rFonts w:ascii="Calibri" w:hAnsi="Calibri" w:cs="Calibri"/>
          <w:color w:val="000000"/>
          <w:sz w:val="20"/>
          <w:szCs w:val="20"/>
        </w:rPr>
        <w:t xml:space="preserve">The </w:t>
      </w:r>
      <w:r w:rsidRPr="00014B6C">
        <w:rPr>
          <w:rFonts w:ascii="Calibri" w:hAnsi="Calibri" w:cs="Calibri"/>
          <w:color w:val="FF0000"/>
          <w:sz w:val="20"/>
          <w:szCs w:val="20"/>
        </w:rPr>
        <w:t>Moderna booster dose is half the dose used in the primary series</w:t>
      </w:r>
      <w:r>
        <w:rPr>
          <w:rFonts w:ascii="Calibri" w:hAnsi="Calibri" w:cs="Calibri"/>
          <w:color w:val="FF0000"/>
          <w:sz w:val="20"/>
          <w:szCs w:val="20"/>
        </w:rPr>
        <w:t xml:space="preserve"> </w:t>
      </w:r>
    </w:p>
    <w:p w14:paraId="2204F524" w14:textId="77777777" w:rsidR="00D35D29" w:rsidRPr="0052340F" w:rsidRDefault="00D35D29" w:rsidP="00D35D29">
      <w:pPr>
        <w:pStyle w:val="ListParagraph"/>
        <w:numPr>
          <w:ilvl w:val="0"/>
          <w:numId w:val="16"/>
        </w:numPr>
        <w:autoSpaceDE w:val="0"/>
        <w:autoSpaceDN w:val="0"/>
        <w:adjustRightInd w:val="0"/>
        <w:rPr>
          <w:rFonts w:ascii="Calibri" w:hAnsi="Calibri" w:cs="Calibri"/>
          <w:color w:val="000000"/>
          <w:sz w:val="20"/>
          <w:szCs w:val="20"/>
        </w:rPr>
      </w:pPr>
      <w:r w:rsidRPr="0052340F">
        <w:rPr>
          <w:rFonts w:ascii="Calibri" w:hAnsi="Calibri" w:cs="Calibri"/>
          <w:color w:val="000000"/>
          <w:sz w:val="20"/>
          <w:szCs w:val="20"/>
        </w:rPr>
        <w:t>Pfizer-BioNTech and Janssen booster doses are the same dose as primary vaccine</w:t>
      </w:r>
    </w:p>
    <w:p w14:paraId="333D3128" w14:textId="485597D7" w:rsidR="00D35D29" w:rsidRPr="0052340F" w:rsidRDefault="00D35D29" w:rsidP="00D35D29">
      <w:pPr>
        <w:pStyle w:val="ListParagraph"/>
        <w:numPr>
          <w:ilvl w:val="0"/>
          <w:numId w:val="16"/>
        </w:numPr>
        <w:autoSpaceDE w:val="0"/>
        <w:autoSpaceDN w:val="0"/>
        <w:adjustRightInd w:val="0"/>
        <w:rPr>
          <w:rFonts w:ascii="Calibri" w:hAnsi="Calibri" w:cs="Calibri"/>
          <w:color w:val="000000"/>
          <w:sz w:val="20"/>
          <w:szCs w:val="20"/>
        </w:rPr>
      </w:pPr>
      <w:r w:rsidRPr="0052340F">
        <w:rPr>
          <w:rFonts w:ascii="Calibri" w:hAnsi="Calibri" w:cs="Calibri"/>
          <w:color w:val="000000"/>
          <w:sz w:val="20"/>
          <w:szCs w:val="20"/>
        </w:rPr>
        <w:t xml:space="preserve">If an individual who is moderately to severely immunocompromised received a primary dose of Janssen vaccine and receives a booster dose using Moderna, the 0.25mL </w:t>
      </w:r>
      <w:r>
        <w:rPr>
          <w:rFonts w:ascii="Calibri" w:hAnsi="Calibri" w:cs="Calibri"/>
          <w:color w:val="000000"/>
          <w:sz w:val="20"/>
          <w:szCs w:val="20"/>
        </w:rPr>
        <w:t xml:space="preserve">booster </w:t>
      </w:r>
      <w:r w:rsidRPr="0052340F">
        <w:rPr>
          <w:rFonts w:ascii="Calibri" w:hAnsi="Calibri" w:cs="Calibri"/>
          <w:color w:val="000000"/>
          <w:sz w:val="20"/>
          <w:szCs w:val="20"/>
        </w:rPr>
        <w:t>dose should be used</w:t>
      </w:r>
    </w:p>
    <w:p w14:paraId="4D93A585" w14:textId="77777777" w:rsidR="00D35D29" w:rsidRPr="0052340F" w:rsidRDefault="00D35D29" w:rsidP="00D35D29">
      <w:pPr>
        <w:pStyle w:val="ListParagraph"/>
        <w:numPr>
          <w:ilvl w:val="0"/>
          <w:numId w:val="16"/>
        </w:numPr>
        <w:autoSpaceDE w:val="0"/>
        <w:autoSpaceDN w:val="0"/>
        <w:adjustRightInd w:val="0"/>
        <w:rPr>
          <w:rFonts w:ascii="Calibri" w:hAnsi="Calibri" w:cs="Calibri"/>
          <w:color w:val="000000"/>
          <w:sz w:val="20"/>
          <w:szCs w:val="20"/>
        </w:rPr>
      </w:pPr>
      <w:r w:rsidRPr="0052340F">
        <w:rPr>
          <w:rFonts w:ascii="Calibri" w:hAnsi="Calibri" w:cs="Calibri"/>
          <w:color w:val="000000"/>
          <w:sz w:val="20"/>
          <w:szCs w:val="20"/>
        </w:rPr>
        <w:t>Booster dose interval should follow the interval recommended by the primary series. People who received a single dose Janssen primary series can receive a mRNA COVID-19 booster dose at least 2 months after their single dose Janssen primary series</w:t>
      </w:r>
    </w:p>
    <w:p w14:paraId="3441BEED" w14:textId="77777777" w:rsidR="00D35D29" w:rsidRPr="0052340F" w:rsidRDefault="00D35D29" w:rsidP="00D35D29">
      <w:pPr>
        <w:pStyle w:val="ListParagraph"/>
        <w:numPr>
          <w:ilvl w:val="0"/>
          <w:numId w:val="16"/>
        </w:numPr>
        <w:autoSpaceDE w:val="0"/>
        <w:autoSpaceDN w:val="0"/>
        <w:adjustRightInd w:val="0"/>
        <w:rPr>
          <w:rFonts w:ascii="Calibri" w:hAnsi="Calibri" w:cs="Calibri"/>
          <w:color w:val="000000"/>
          <w:sz w:val="20"/>
          <w:szCs w:val="20"/>
        </w:rPr>
      </w:pPr>
      <w:r w:rsidRPr="0052340F">
        <w:rPr>
          <w:rFonts w:ascii="Calibri" w:hAnsi="Calibri" w:cs="Calibri"/>
          <w:color w:val="000000"/>
          <w:sz w:val="20"/>
          <w:szCs w:val="20"/>
        </w:rPr>
        <w:t>3</w:t>
      </w:r>
      <w:r w:rsidRPr="0052340F">
        <w:rPr>
          <w:rFonts w:ascii="Calibri" w:hAnsi="Calibri" w:cs="Calibri"/>
          <w:color w:val="000000"/>
          <w:sz w:val="20"/>
          <w:szCs w:val="20"/>
          <w:vertAlign w:val="superscript"/>
        </w:rPr>
        <w:t>rd</w:t>
      </w:r>
      <w:r w:rsidRPr="0052340F">
        <w:rPr>
          <w:rFonts w:ascii="Calibri" w:hAnsi="Calibri" w:cs="Calibri"/>
          <w:color w:val="000000"/>
          <w:sz w:val="20"/>
          <w:szCs w:val="20"/>
        </w:rPr>
        <w:t xml:space="preserve"> doses of mRNA vaccine for immunocompromised persons were authorized in August, and therefore they are not yet eligible for booster doses. Guidance on booster doses for these people should be provided soon.</w:t>
      </w:r>
    </w:p>
    <w:p w14:paraId="4ECABCD6" w14:textId="77777777" w:rsidR="00D35D29" w:rsidRPr="00E903CA" w:rsidRDefault="00D35D29" w:rsidP="00D35D29">
      <w:pPr>
        <w:ind w:right="230"/>
        <w:contextualSpacing/>
        <w:rPr>
          <w:rFonts w:ascii="Calibri" w:hAnsi="Calibri" w:cs="Calibri"/>
          <w:color w:val="000000"/>
          <w:sz w:val="21"/>
          <w:szCs w:val="21"/>
        </w:rPr>
      </w:pPr>
    </w:p>
    <w:p w14:paraId="31FAD2F0" w14:textId="370A4C2F" w:rsidR="00D35D29" w:rsidRPr="00E903CA" w:rsidRDefault="00D35D29" w:rsidP="00D35D29">
      <w:pPr>
        <w:ind w:right="230"/>
        <w:contextualSpacing/>
        <w:rPr>
          <w:rFonts w:asciiTheme="minorHAnsi" w:hAnsiTheme="minorHAnsi" w:cstheme="minorHAnsi"/>
          <w:b/>
          <w:bCs/>
          <w:color w:val="000000"/>
          <w:sz w:val="21"/>
          <w:szCs w:val="21"/>
        </w:rPr>
      </w:pPr>
      <w:r w:rsidRPr="00E903CA">
        <w:rPr>
          <w:rFonts w:asciiTheme="minorHAnsi" w:hAnsiTheme="minorHAnsi" w:cstheme="minorHAnsi"/>
          <w:b/>
          <w:bCs/>
          <w:color w:val="FF0000"/>
          <w:sz w:val="21"/>
          <w:szCs w:val="21"/>
        </w:rPr>
        <w:t>New</w:t>
      </w:r>
      <w:r w:rsidRPr="00E903CA">
        <w:rPr>
          <w:rFonts w:asciiTheme="minorHAnsi" w:hAnsiTheme="minorHAnsi" w:cstheme="minorHAnsi"/>
          <w:b/>
          <w:bCs/>
          <w:color w:val="000000"/>
          <w:sz w:val="21"/>
          <w:szCs w:val="21"/>
        </w:rPr>
        <w:t xml:space="preserve"> Moderna Multidose Vials (MDVs)</w:t>
      </w:r>
    </w:p>
    <w:p w14:paraId="7E7B08F7" w14:textId="4F9220AE" w:rsidR="00D35D29" w:rsidRPr="00E903CA" w:rsidRDefault="00D35D29" w:rsidP="00D35D29">
      <w:pPr>
        <w:ind w:right="23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lastRenderedPageBreak/>
        <w:t xml:space="preserve">The Moderna COVID-19 Vaccine is supplied in two MDV presentations: </w:t>
      </w:r>
      <w:proofErr w:type="gramStart"/>
      <w:r w:rsidR="008F3D55" w:rsidRPr="00E903CA">
        <w:rPr>
          <w:rFonts w:asciiTheme="minorHAnsi" w:hAnsiTheme="minorHAnsi" w:cstheme="minorHAnsi"/>
          <w:color w:val="000000"/>
          <w:sz w:val="21"/>
          <w:szCs w:val="21"/>
        </w:rPr>
        <w:t>A</w:t>
      </w:r>
      <w:proofErr w:type="gramEnd"/>
      <w:r w:rsidR="008F3D55" w:rsidRPr="00E903CA">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MDV containing 5.5 mL</w:t>
      </w:r>
      <w:r w:rsidR="008F3D55" w:rsidRPr="00E903CA">
        <w:rPr>
          <w:rFonts w:asciiTheme="minorHAnsi" w:hAnsiTheme="minorHAnsi" w:cstheme="minorHAnsi"/>
          <w:color w:val="000000"/>
          <w:sz w:val="21"/>
          <w:szCs w:val="21"/>
        </w:rPr>
        <w:t xml:space="preserve"> and a</w:t>
      </w:r>
      <w:r w:rsidRPr="00E903CA">
        <w:rPr>
          <w:rFonts w:asciiTheme="minorHAnsi" w:hAnsiTheme="minorHAnsi" w:cstheme="minorHAnsi"/>
          <w:color w:val="000000"/>
          <w:sz w:val="21"/>
          <w:szCs w:val="21"/>
        </w:rPr>
        <w:t xml:space="preserve"> MDV containing 7.5 mL </w:t>
      </w:r>
    </w:p>
    <w:p w14:paraId="5113EC62" w14:textId="4D617DE0" w:rsidR="00D35D29" w:rsidRPr="00E903CA" w:rsidRDefault="00D35D29" w:rsidP="00D35D29">
      <w:p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Primary series doses of 0.5 mL and booster doses of 0.25 mL may be extracted from either vial presentation</w:t>
      </w:r>
      <w:r w:rsidR="008F3D55" w:rsidRPr="00E903CA">
        <w:rPr>
          <w:rFonts w:asciiTheme="minorHAnsi" w:hAnsiTheme="minorHAnsi" w:cstheme="minorHAnsi"/>
          <w:color w:val="000000"/>
          <w:sz w:val="21"/>
          <w:szCs w:val="21"/>
        </w:rPr>
        <w:t>.</w:t>
      </w:r>
    </w:p>
    <w:p w14:paraId="046040CD" w14:textId="77777777" w:rsidR="00D35D29" w:rsidRPr="00E903CA" w:rsidRDefault="00D35D29" w:rsidP="00D35D29">
      <w:pPr>
        <w:ind w:right="230"/>
        <w:contextualSpacing/>
        <w:rPr>
          <w:rFonts w:asciiTheme="minorHAnsi" w:hAnsiTheme="minorHAnsi" w:cstheme="minorHAnsi"/>
          <w:color w:val="000000"/>
          <w:sz w:val="21"/>
          <w:szCs w:val="21"/>
        </w:rPr>
      </w:pPr>
    </w:p>
    <w:p w14:paraId="7BA299BD" w14:textId="77777777" w:rsidR="00D35D29" w:rsidRPr="00E903CA" w:rsidRDefault="00D35D29" w:rsidP="00D35D29">
      <w:pPr>
        <w:pStyle w:val="ListParagraph"/>
        <w:numPr>
          <w:ilvl w:val="0"/>
          <w:numId w:val="18"/>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When extracting only primary series doses, a maximum of 11 doses (range: 10-11 doses) may be extracted from the vial containing 5.5 mL or a maximum of 15 doses (range: 13-15 doses) may be extracted from the vial containing 7.5 </w:t>
      </w:r>
      <w:proofErr w:type="spellStart"/>
      <w:r w:rsidRPr="00E903CA">
        <w:rPr>
          <w:rFonts w:asciiTheme="minorHAnsi" w:hAnsiTheme="minorHAnsi" w:cstheme="minorHAnsi"/>
          <w:color w:val="000000"/>
          <w:sz w:val="21"/>
          <w:szCs w:val="21"/>
        </w:rPr>
        <w:t>mL.</w:t>
      </w:r>
      <w:proofErr w:type="spellEnd"/>
      <w:r w:rsidRPr="00E903CA">
        <w:rPr>
          <w:rFonts w:asciiTheme="minorHAnsi" w:hAnsiTheme="minorHAnsi" w:cstheme="minorHAnsi"/>
          <w:color w:val="000000"/>
          <w:sz w:val="21"/>
          <w:szCs w:val="21"/>
        </w:rPr>
        <w:t xml:space="preserve"> </w:t>
      </w:r>
    </w:p>
    <w:p w14:paraId="27F0DA61" w14:textId="77777777" w:rsidR="00D35D29" w:rsidRPr="00E903CA" w:rsidRDefault="00D35D29" w:rsidP="00D35D29">
      <w:pPr>
        <w:ind w:right="230"/>
        <w:contextualSpacing/>
        <w:rPr>
          <w:rFonts w:asciiTheme="minorHAnsi" w:hAnsiTheme="minorHAnsi" w:cstheme="minorHAnsi"/>
          <w:color w:val="000000"/>
          <w:sz w:val="21"/>
          <w:szCs w:val="21"/>
        </w:rPr>
      </w:pPr>
    </w:p>
    <w:p w14:paraId="5DF6724F" w14:textId="0589E94E" w:rsidR="00D35D29" w:rsidRDefault="00D35D29" w:rsidP="00D35D29">
      <w:pPr>
        <w:pStyle w:val="ListParagraph"/>
        <w:numPr>
          <w:ilvl w:val="0"/>
          <w:numId w:val="18"/>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When extracting only booster doses or a combination of primary series and booster doses, the maximum number of doses that may be extracted from either vial presentation should not exceed 20 doses. </w:t>
      </w:r>
      <w:r w:rsidRPr="00E903CA">
        <w:rPr>
          <w:rFonts w:asciiTheme="minorHAnsi" w:hAnsiTheme="minorHAnsi" w:cstheme="minorHAnsi"/>
          <w:color w:val="FF0000"/>
          <w:sz w:val="21"/>
          <w:szCs w:val="21"/>
        </w:rPr>
        <w:t>Do not puncture the vial stopper more than 20 times.</w:t>
      </w:r>
      <w:r w:rsidRPr="00E903CA">
        <w:rPr>
          <w:rFonts w:asciiTheme="minorHAnsi" w:hAnsiTheme="minorHAnsi" w:cstheme="minorHAnsi"/>
          <w:color w:val="000000"/>
          <w:sz w:val="21"/>
          <w:szCs w:val="21"/>
        </w:rPr>
        <w:t xml:space="preserve"> </w:t>
      </w:r>
    </w:p>
    <w:p w14:paraId="133D82C8" w14:textId="77777777" w:rsidR="008B2C69" w:rsidRPr="008B2C69" w:rsidRDefault="008B2C69" w:rsidP="008B2C69">
      <w:pPr>
        <w:pStyle w:val="ListParagraph"/>
        <w:rPr>
          <w:rFonts w:asciiTheme="minorHAnsi" w:hAnsiTheme="minorHAnsi" w:cstheme="minorHAnsi"/>
          <w:color w:val="000000"/>
          <w:sz w:val="21"/>
          <w:szCs w:val="21"/>
        </w:rPr>
      </w:pPr>
    </w:p>
    <w:p w14:paraId="1CD82DC0" w14:textId="5BAB90A1" w:rsidR="008B2C69" w:rsidRPr="0046539E" w:rsidRDefault="008B2C69" w:rsidP="008B2C69">
      <w:pPr>
        <w:pStyle w:val="ListParagraph"/>
        <w:numPr>
          <w:ilvl w:val="0"/>
          <w:numId w:val="18"/>
        </w:numPr>
        <w:rPr>
          <w:rFonts w:asciiTheme="minorHAnsi" w:hAnsiTheme="minorHAnsi" w:cstheme="minorHAnsi"/>
          <w:sz w:val="21"/>
          <w:szCs w:val="21"/>
        </w:rPr>
      </w:pPr>
      <w:r w:rsidRPr="0046539E">
        <w:rPr>
          <w:rFonts w:asciiTheme="minorHAnsi" w:hAnsiTheme="minorHAnsi" w:cstheme="minorHAnsi"/>
          <w:sz w:val="21"/>
          <w:szCs w:val="21"/>
        </w:rPr>
        <w:t xml:space="preserve">The link below is provided to assist with determining the amount of waste that may be reported in vials of </w:t>
      </w:r>
      <w:proofErr w:type="spellStart"/>
      <w:r w:rsidRPr="0046539E">
        <w:rPr>
          <w:rFonts w:asciiTheme="minorHAnsi" w:hAnsiTheme="minorHAnsi" w:cstheme="minorHAnsi"/>
          <w:sz w:val="21"/>
          <w:szCs w:val="21"/>
        </w:rPr>
        <w:t>Moderna</w:t>
      </w:r>
      <w:proofErr w:type="spellEnd"/>
      <w:r w:rsidRPr="0046539E">
        <w:rPr>
          <w:rFonts w:asciiTheme="minorHAnsi" w:hAnsiTheme="minorHAnsi" w:cstheme="minorHAnsi"/>
          <w:sz w:val="21"/>
          <w:szCs w:val="21"/>
        </w:rPr>
        <w:t xml:space="preserve"> 14 or </w:t>
      </w:r>
      <w:proofErr w:type="spellStart"/>
      <w:r w:rsidRPr="0046539E">
        <w:rPr>
          <w:rFonts w:asciiTheme="minorHAnsi" w:hAnsiTheme="minorHAnsi" w:cstheme="minorHAnsi"/>
          <w:sz w:val="21"/>
          <w:szCs w:val="21"/>
        </w:rPr>
        <w:t>Moderna</w:t>
      </w:r>
      <w:proofErr w:type="spellEnd"/>
      <w:r w:rsidRPr="0046539E">
        <w:rPr>
          <w:rFonts w:asciiTheme="minorHAnsi" w:hAnsiTheme="minorHAnsi" w:cstheme="minorHAnsi"/>
          <w:sz w:val="21"/>
          <w:szCs w:val="21"/>
        </w:rPr>
        <w:t xml:space="preserve"> 10 when administering a combination of primary (0.5mL) and booster (0.25mL) doses. </w:t>
      </w:r>
      <w:hyperlink r:id="rId26" w:anchor="guidance-on-use-and-allowable-wastage-of-covid-19-vaccine-" w:tgtFrame="_blank" w:history="1">
        <w:r w:rsidRPr="0046539E">
          <w:rPr>
            <w:rStyle w:val="Hyperlink"/>
            <w:rFonts w:ascii="Calibri" w:hAnsi="Calibri" w:cs="Calibri"/>
            <w:color w:val="0070C0"/>
            <w:sz w:val="21"/>
            <w:szCs w:val="21"/>
            <w:shd w:val="clear" w:color="auto" w:fill="FFFFFF"/>
          </w:rPr>
          <w:t>Guidance for Vaccine Providers and Organizations</w:t>
        </w:r>
      </w:hyperlink>
    </w:p>
    <w:p w14:paraId="16C80A3D" w14:textId="77777777" w:rsidR="008B2C69" w:rsidRPr="00E903CA" w:rsidRDefault="008B2C69" w:rsidP="008B2C69">
      <w:pPr>
        <w:pStyle w:val="ListParagraph"/>
        <w:ind w:right="230"/>
        <w:rPr>
          <w:rFonts w:asciiTheme="minorHAnsi" w:hAnsiTheme="minorHAnsi" w:cstheme="minorHAnsi"/>
          <w:color w:val="000000"/>
          <w:sz w:val="21"/>
          <w:szCs w:val="21"/>
        </w:rPr>
      </w:pPr>
    </w:p>
    <w:p w14:paraId="2299A35C" w14:textId="08B0C685" w:rsidR="00274B60" w:rsidRPr="00E903CA" w:rsidRDefault="00274B60" w:rsidP="00274B60">
      <w:pPr>
        <w:pStyle w:val="ListParagraph"/>
        <w:numPr>
          <w:ilvl w:val="1"/>
          <w:numId w:val="18"/>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Process a</w:t>
      </w:r>
      <w:r w:rsidRPr="00E903CA">
        <w:rPr>
          <w:rFonts w:asciiTheme="minorHAnsi" w:hAnsiTheme="minorHAnsi" w:cstheme="minorHAnsi"/>
          <w:color w:val="0070C0"/>
          <w:sz w:val="21"/>
          <w:szCs w:val="21"/>
        </w:rPr>
        <w:t xml:space="preserve"> </w:t>
      </w:r>
      <w:hyperlink r:id="rId27" w:history="1">
        <w:r w:rsidRPr="00E903CA">
          <w:rPr>
            <w:rStyle w:val="Hyperlink"/>
            <w:rFonts w:asciiTheme="minorHAnsi" w:hAnsiTheme="minorHAnsi" w:cstheme="minorHAnsi"/>
            <w:color w:val="0070C0"/>
            <w:sz w:val="21"/>
            <w:szCs w:val="21"/>
          </w:rPr>
          <w:t>storage and handling issue</w:t>
        </w:r>
      </w:hyperlink>
      <w:r w:rsidRPr="00E903CA">
        <w:rPr>
          <w:rFonts w:asciiTheme="minorHAnsi" w:hAnsiTheme="minorHAnsi" w:cstheme="minorHAnsi"/>
          <w:color w:val="000000"/>
          <w:sz w:val="21"/>
          <w:szCs w:val="21"/>
        </w:rPr>
        <w:t xml:space="preserve"> in the MIIS to report the wasted doses remaining in the vial. </w:t>
      </w:r>
    </w:p>
    <w:p w14:paraId="528C2DF2" w14:textId="77777777" w:rsidR="00D35D29" w:rsidRPr="00E903CA" w:rsidRDefault="00D35D29" w:rsidP="00D35D29">
      <w:pPr>
        <w:ind w:right="230"/>
        <w:contextualSpacing/>
        <w:rPr>
          <w:rFonts w:asciiTheme="minorHAnsi" w:hAnsiTheme="minorHAnsi" w:cstheme="minorHAnsi"/>
          <w:color w:val="000000"/>
          <w:sz w:val="21"/>
          <w:szCs w:val="21"/>
        </w:rPr>
      </w:pPr>
    </w:p>
    <w:p w14:paraId="25A066E9" w14:textId="24542EAA" w:rsidR="00D35D29" w:rsidRPr="00E903CA" w:rsidRDefault="00D35D29" w:rsidP="00D35D29">
      <w:pPr>
        <w:ind w:right="230"/>
        <w:contextualSpacing/>
        <w:rPr>
          <w:rFonts w:asciiTheme="minorHAnsi" w:hAnsiTheme="minorHAnsi" w:cstheme="minorHAnsi"/>
          <w:b/>
          <w:bCs/>
          <w:color w:val="000000"/>
          <w:sz w:val="21"/>
          <w:szCs w:val="21"/>
        </w:rPr>
      </w:pPr>
      <w:r w:rsidRPr="00E903CA">
        <w:rPr>
          <w:rFonts w:asciiTheme="minorHAnsi" w:hAnsiTheme="minorHAnsi" w:cstheme="minorHAnsi"/>
          <w:color w:val="000000"/>
          <w:sz w:val="21"/>
          <w:szCs w:val="21"/>
        </w:rPr>
        <w:t>If the amount of vaccine remaining in the vial cannot provide a full dose of 0.5 mL or 0.25 mL, discard the vial and contents. Do not pool excess vaccine from multiple vials.</w:t>
      </w:r>
    </w:p>
    <w:p w14:paraId="1598B4D1" w14:textId="77777777" w:rsidR="00D35D29" w:rsidRPr="00D35D29" w:rsidRDefault="00D35D29" w:rsidP="00D35D29">
      <w:pPr>
        <w:ind w:right="230"/>
        <w:contextualSpacing/>
        <w:rPr>
          <w:rFonts w:asciiTheme="minorHAnsi" w:hAnsiTheme="minorHAnsi" w:cstheme="minorHAnsi"/>
          <w:b/>
          <w:bCs/>
          <w:color w:val="000000"/>
          <w:sz w:val="20"/>
          <w:szCs w:val="20"/>
        </w:rPr>
      </w:pPr>
    </w:p>
    <w:p w14:paraId="1E5D63EF" w14:textId="466B1741" w:rsidR="00D35D29" w:rsidRPr="00E903CA" w:rsidRDefault="00D35D29" w:rsidP="00D35D29">
      <w:pPr>
        <w:ind w:right="230"/>
        <w:contextualSpacing/>
        <w:rPr>
          <w:rFonts w:asciiTheme="minorHAnsi" w:hAnsiTheme="minorHAnsi" w:cstheme="minorHAnsi"/>
          <w:color w:val="000000"/>
          <w:sz w:val="21"/>
          <w:szCs w:val="21"/>
        </w:rPr>
      </w:pPr>
      <w:bookmarkStart w:id="0" w:name="_Hlk86227717"/>
      <w:r w:rsidRPr="00E903CA">
        <w:rPr>
          <w:rFonts w:asciiTheme="minorHAnsi" w:hAnsiTheme="minorHAnsi" w:cstheme="minorHAnsi"/>
          <w:b/>
          <w:bCs/>
          <w:color w:val="FF0000"/>
          <w:sz w:val="21"/>
          <w:szCs w:val="21"/>
        </w:rPr>
        <w:t>New</w:t>
      </w:r>
      <w:r w:rsidRPr="00E903CA">
        <w:rPr>
          <w:rFonts w:asciiTheme="minorHAnsi" w:hAnsiTheme="minorHAnsi" w:cstheme="minorHAnsi"/>
          <w:b/>
          <w:bCs/>
          <w:color w:val="000000"/>
          <w:sz w:val="21"/>
          <w:szCs w:val="21"/>
        </w:rPr>
        <w:t xml:space="preserve"> Mixing and Matching COVID-19 Vaccines</w:t>
      </w:r>
      <w:r w:rsidRPr="00E903CA">
        <w:rPr>
          <w:rFonts w:asciiTheme="minorHAnsi" w:hAnsiTheme="minorHAnsi" w:cstheme="minorHAnsi"/>
          <w:color w:val="000000"/>
          <w:sz w:val="21"/>
          <w:szCs w:val="21"/>
        </w:rPr>
        <w:t xml:space="preserve"> (heterologous boosters)</w:t>
      </w:r>
    </w:p>
    <w:p w14:paraId="7FCF8F87" w14:textId="2066A168" w:rsidR="00D35D29" w:rsidRPr="00AF7B10" w:rsidRDefault="00D35D29" w:rsidP="00D35D29">
      <w:pPr>
        <w:ind w:right="230"/>
        <w:contextualSpacing/>
        <w:rPr>
          <w:color w:val="7030A0"/>
          <w:sz w:val="21"/>
          <w:szCs w:val="21"/>
        </w:rPr>
      </w:pPr>
      <w:r w:rsidRPr="00E903CA">
        <w:rPr>
          <w:rFonts w:asciiTheme="minorHAnsi" w:hAnsiTheme="minorHAnsi" w:cstheme="minorHAnsi"/>
          <w:color w:val="000000"/>
          <w:sz w:val="21"/>
          <w:szCs w:val="21"/>
        </w:rPr>
        <w:t xml:space="preserve">Eligible individuals may choose which vaccine they receive as a </w:t>
      </w:r>
      <w:hyperlink r:id="rId28" w:history="1">
        <w:r w:rsidRPr="007E6044">
          <w:rPr>
            <w:rStyle w:val="Hyperlink"/>
            <w:rFonts w:asciiTheme="minorHAnsi" w:hAnsiTheme="minorHAnsi" w:cstheme="minorHAnsi"/>
            <w:color w:val="0070C0"/>
            <w:sz w:val="21"/>
            <w:szCs w:val="21"/>
          </w:rPr>
          <w:t>booster</w:t>
        </w:r>
      </w:hyperlink>
      <w:r w:rsidRPr="00E903CA">
        <w:rPr>
          <w:rFonts w:asciiTheme="minorHAnsi" w:hAnsiTheme="minorHAnsi" w:cstheme="minorHAnsi"/>
          <w:color w:val="000000"/>
          <w:sz w:val="21"/>
          <w:szCs w:val="21"/>
        </w:rPr>
        <w:t xml:space="preserve"> dose. Some people may </w:t>
      </w:r>
      <w:proofErr w:type="gramStart"/>
      <w:r w:rsidRPr="00E903CA">
        <w:rPr>
          <w:rFonts w:asciiTheme="minorHAnsi" w:hAnsiTheme="minorHAnsi" w:cstheme="minorHAnsi"/>
          <w:color w:val="000000"/>
          <w:sz w:val="21"/>
          <w:szCs w:val="21"/>
        </w:rPr>
        <w:t>have a preference for</w:t>
      </w:r>
      <w:proofErr w:type="gramEnd"/>
      <w:r w:rsidRPr="00E903CA">
        <w:rPr>
          <w:rFonts w:asciiTheme="minorHAnsi" w:hAnsiTheme="minorHAnsi" w:cstheme="minorHAnsi"/>
          <w:color w:val="000000"/>
          <w:sz w:val="21"/>
          <w:szCs w:val="21"/>
        </w:rPr>
        <w:t xml:space="preserve"> the vaccine type that they originally received, and others may prefer to get a different booster. CDC’s recommendations now allow for this type of mix and match dosing for booster shots.</w:t>
      </w:r>
      <w:r w:rsidR="005D2A5C">
        <w:rPr>
          <w:rFonts w:asciiTheme="minorHAnsi" w:hAnsiTheme="minorHAnsi" w:cstheme="minorHAnsi"/>
          <w:color w:val="000000"/>
          <w:sz w:val="21"/>
          <w:szCs w:val="21"/>
        </w:rPr>
        <w:t xml:space="preserve"> </w:t>
      </w:r>
      <w:r w:rsidR="00522D6A" w:rsidRPr="00AF7B10">
        <w:rPr>
          <w:rFonts w:asciiTheme="minorHAnsi" w:hAnsiTheme="minorHAnsi" w:cstheme="minorHAnsi"/>
          <w:sz w:val="21"/>
          <w:szCs w:val="21"/>
        </w:rPr>
        <w:t>People who have questions about whether one vaccine is better for them than the others should discuss their individual situation with their healthcare provider. CDC has indicated that individual risk-benefit assessment informing which booster product to use may include the availability of booster product and the risk profile of vaccine boosters, including rare events.</w:t>
      </w:r>
    </w:p>
    <w:p w14:paraId="58C227BA" w14:textId="4C8EF2E5" w:rsidR="00D35D29" w:rsidRPr="00E903CA" w:rsidRDefault="00D35D29" w:rsidP="00D35D29">
      <w:pPr>
        <w:ind w:right="23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w:t>
      </w:r>
      <w:r w:rsidR="00E903CA">
        <w:rPr>
          <w:rFonts w:asciiTheme="minorHAnsi" w:hAnsiTheme="minorHAnsi" w:cstheme="minorHAnsi"/>
          <w:color w:val="000000"/>
          <w:sz w:val="21"/>
          <w:szCs w:val="21"/>
        </w:rPr>
        <w:t>I</w:t>
      </w:r>
      <w:r w:rsidRPr="00E903CA">
        <w:rPr>
          <w:rFonts w:asciiTheme="minorHAnsi" w:hAnsiTheme="minorHAnsi" w:cstheme="minorHAnsi"/>
          <w:color w:val="000000"/>
          <w:sz w:val="21"/>
          <w:szCs w:val="21"/>
        </w:rPr>
        <w:t xml:space="preserve">mportant </w:t>
      </w:r>
      <w:r w:rsidR="00E903CA">
        <w:rPr>
          <w:rFonts w:asciiTheme="minorHAnsi" w:hAnsiTheme="minorHAnsi" w:cstheme="minorHAnsi"/>
          <w:color w:val="000000"/>
          <w:sz w:val="21"/>
          <w:szCs w:val="21"/>
        </w:rPr>
        <w:t>N</w:t>
      </w:r>
      <w:r w:rsidRPr="00E903CA">
        <w:rPr>
          <w:rFonts w:asciiTheme="minorHAnsi" w:hAnsiTheme="minorHAnsi" w:cstheme="minorHAnsi"/>
          <w:color w:val="000000"/>
          <w:sz w:val="21"/>
          <w:szCs w:val="21"/>
        </w:rPr>
        <w:t xml:space="preserve">ote: this </w:t>
      </w:r>
      <w:r w:rsidRPr="00E903CA">
        <w:rPr>
          <w:rFonts w:asciiTheme="minorHAnsi" w:hAnsiTheme="minorHAnsi" w:cstheme="minorHAnsi"/>
          <w:color w:val="FF0000"/>
          <w:sz w:val="21"/>
          <w:szCs w:val="21"/>
        </w:rPr>
        <w:t>mix and match is for booster doses only</w:t>
      </w:r>
      <w:r w:rsidRPr="00E903CA">
        <w:rPr>
          <w:rFonts w:asciiTheme="minorHAnsi" w:hAnsiTheme="minorHAnsi" w:cstheme="minorHAnsi"/>
          <w:color w:val="000000"/>
          <w:sz w:val="21"/>
          <w:szCs w:val="21"/>
        </w:rPr>
        <w:t>! All doses of the primary series and additional dose (if indicated for moderately to severely immunocompromised people who received 2 doses of mRNA vaccine) should utilize the same vaccine product.</w:t>
      </w:r>
    </w:p>
    <w:bookmarkEnd w:id="0"/>
    <w:p w14:paraId="2B7AE3D0" w14:textId="77777777" w:rsidR="00D35D29" w:rsidRPr="00E903CA" w:rsidRDefault="00D35D29" w:rsidP="00D35D29">
      <w:pPr>
        <w:ind w:right="230"/>
        <w:contextualSpacing/>
        <w:rPr>
          <w:rFonts w:asciiTheme="minorHAnsi" w:hAnsiTheme="minorHAnsi" w:cstheme="minorHAnsi"/>
          <w:color w:val="000000"/>
          <w:sz w:val="21"/>
          <w:szCs w:val="21"/>
        </w:rPr>
      </w:pPr>
    </w:p>
    <w:p w14:paraId="248262DA" w14:textId="6D3AFB41" w:rsidR="00D35D29" w:rsidRPr="00E903CA" w:rsidRDefault="00D35D29" w:rsidP="00D35D29">
      <w:pPr>
        <w:ind w:right="230"/>
        <w:contextualSpacing/>
        <w:rPr>
          <w:rFonts w:asciiTheme="minorHAnsi" w:hAnsiTheme="minorHAnsi" w:cstheme="minorHAnsi"/>
          <w:color w:val="000000"/>
          <w:sz w:val="21"/>
          <w:szCs w:val="21"/>
        </w:rPr>
      </w:pPr>
      <w:r w:rsidRPr="00E903CA">
        <w:rPr>
          <w:rFonts w:asciiTheme="minorHAnsi" w:hAnsiTheme="minorHAnsi" w:cstheme="minorHAnsi"/>
          <w:b/>
          <w:bCs/>
          <w:color w:val="FF0000"/>
          <w:sz w:val="21"/>
          <w:szCs w:val="21"/>
        </w:rPr>
        <w:t>Reminder</w:t>
      </w:r>
      <w:r w:rsidRPr="00E903CA">
        <w:rPr>
          <w:rFonts w:asciiTheme="minorHAnsi" w:hAnsiTheme="minorHAnsi" w:cstheme="minorHAnsi"/>
          <w:b/>
          <w:bCs/>
          <w:color w:val="000000"/>
          <w:sz w:val="21"/>
          <w:szCs w:val="21"/>
        </w:rPr>
        <w:t xml:space="preserve"> Definition of “fully vaccinated”</w:t>
      </w:r>
      <w:r w:rsidRPr="00E903CA">
        <w:rPr>
          <w:rFonts w:asciiTheme="minorHAnsi" w:hAnsiTheme="minorHAnsi" w:cstheme="minorHAnsi"/>
          <w:color w:val="000000"/>
          <w:sz w:val="21"/>
          <w:szCs w:val="21"/>
        </w:rPr>
        <w:t xml:space="preserve"> has not changed. At this time, people are still considered fully vaccinated two weeks after their second dose in a 2-dose series, such as the Pfizer or Moderna vaccines, or two weeks after a single-dose vaccine, such as the J&amp;J/Janssen vaccine. </w:t>
      </w:r>
    </w:p>
    <w:p w14:paraId="39171931" w14:textId="77777777" w:rsidR="00D35D29" w:rsidRPr="00E903CA" w:rsidRDefault="00D35D29" w:rsidP="00D35D29">
      <w:pPr>
        <w:ind w:right="230"/>
        <w:contextualSpacing/>
        <w:rPr>
          <w:rFonts w:asciiTheme="minorHAnsi" w:hAnsiTheme="minorHAnsi" w:cstheme="minorHAnsi"/>
          <w:color w:val="000000"/>
          <w:sz w:val="21"/>
          <w:szCs w:val="21"/>
        </w:rPr>
      </w:pPr>
    </w:p>
    <w:p w14:paraId="462E3807" w14:textId="47D1E121" w:rsidR="00D35D29" w:rsidRPr="00E903CA" w:rsidRDefault="00D35D29" w:rsidP="00D35D29">
      <w:pPr>
        <w:pStyle w:val="xparagraph"/>
        <w:rPr>
          <w:rFonts w:asciiTheme="minorHAnsi" w:hAnsiTheme="minorHAnsi" w:cstheme="minorHAnsi"/>
          <w:b/>
          <w:bCs/>
          <w:color w:val="333333"/>
          <w:sz w:val="21"/>
          <w:szCs w:val="21"/>
          <w:shd w:val="clear" w:color="auto" w:fill="FFFFFF"/>
        </w:rPr>
      </w:pPr>
      <w:r w:rsidRPr="00E903CA">
        <w:rPr>
          <w:rFonts w:asciiTheme="minorHAnsi" w:hAnsiTheme="minorHAnsi" w:cstheme="minorHAnsi"/>
          <w:b/>
          <w:bCs/>
          <w:color w:val="FF0000"/>
          <w:sz w:val="21"/>
          <w:szCs w:val="21"/>
        </w:rPr>
        <w:t>Reminder</w:t>
      </w:r>
      <w:r w:rsidRPr="00E903CA">
        <w:rPr>
          <w:rFonts w:asciiTheme="minorHAnsi" w:hAnsiTheme="minorHAnsi" w:cstheme="minorHAnsi"/>
          <w:b/>
          <w:bCs/>
          <w:color w:val="333333"/>
          <w:sz w:val="21"/>
          <w:szCs w:val="21"/>
          <w:shd w:val="clear" w:color="auto" w:fill="FFFFFF"/>
        </w:rPr>
        <w:t xml:space="preserve"> </w:t>
      </w:r>
      <w:r w:rsidRPr="0046539E">
        <w:rPr>
          <w:rFonts w:asciiTheme="minorHAnsi" w:hAnsiTheme="minorHAnsi" w:cstheme="minorHAnsi"/>
          <w:b/>
          <w:bCs/>
          <w:sz w:val="21"/>
          <w:szCs w:val="21"/>
          <w:shd w:val="clear" w:color="auto" w:fill="FFFFFF"/>
        </w:rPr>
        <w:t>Coadministration</w:t>
      </w:r>
    </w:p>
    <w:p w14:paraId="6FAB079A" w14:textId="4066A3EC" w:rsidR="00D35D29" w:rsidRPr="0046539E" w:rsidRDefault="00D35D29" w:rsidP="0046539E">
      <w:pPr>
        <w:ind w:right="23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If a patient is eligible, both flu and COVID-19 vaccines can be administered at the same visit, as recommended by </w:t>
      </w:r>
      <w:hyperlink r:id="rId29" w:anchor="Coadministration" w:history="1">
        <w:r w:rsidRPr="00E903CA">
          <w:rPr>
            <w:rStyle w:val="Hyperlink"/>
            <w:rFonts w:asciiTheme="minorHAnsi" w:hAnsiTheme="minorHAnsi" w:cstheme="minorHAnsi"/>
            <w:color w:val="0070C0"/>
            <w:sz w:val="21"/>
            <w:szCs w:val="21"/>
          </w:rPr>
          <w:t>CDC and ACIP</w:t>
        </w:r>
      </w:hyperlink>
      <w:r w:rsidRPr="00E903CA">
        <w:rPr>
          <w:rFonts w:asciiTheme="minorHAnsi" w:hAnsiTheme="minorHAnsi" w:cstheme="minorHAnsi"/>
          <w:color w:val="000000"/>
          <w:sz w:val="21"/>
          <w:szCs w:val="21"/>
        </w:rPr>
        <w:t>. In addition to flu vaccine, COVID-19 vaccine can be given with other vaccines as well.</w:t>
      </w:r>
    </w:p>
    <w:p w14:paraId="0F4F9051" w14:textId="77777777" w:rsidR="00D35D29" w:rsidRPr="00E903CA" w:rsidRDefault="00D35D29" w:rsidP="00D35D29">
      <w:pPr>
        <w:pStyle w:val="xparagraph"/>
        <w:rPr>
          <w:rFonts w:asciiTheme="minorHAnsi" w:hAnsiTheme="minorHAnsi" w:cstheme="minorHAnsi"/>
          <w:strike/>
          <w:color w:val="333333"/>
          <w:sz w:val="21"/>
          <w:szCs w:val="21"/>
          <w:shd w:val="clear" w:color="auto" w:fill="FFFFFF"/>
        </w:rPr>
      </w:pPr>
    </w:p>
    <w:p w14:paraId="54BE893A" w14:textId="33FD4E36" w:rsidR="00D35D29" w:rsidRPr="00E903CA" w:rsidRDefault="00D35D29" w:rsidP="00D35D29">
      <w:pPr>
        <w:pStyle w:val="paragraph"/>
        <w:spacing w:before="0" w:beforeAutospacing="0" w:after="0" w:afterAutospacing="0"/>
        <w:textAlignment w:val="baseline"/>
        <w:rPr>
          <w:rStyle w:val="normaltextrun"/>
          <w:rFonts w:asciiTheme="minorHAnsi" w:hAnsiTheme="minorHAnsi" w:cstheme="minorHAnsi"/>
          <w:sz w:val="21"/>
          <w:szCs w:val="21"/>
        </w:rPr>
      </w:pPr>
      <w:r w:rsidRPr="00E903CA">
        <w:rPr>
          <w:rFonts w:asciiTheme="minorHAnsi" w:hAnsiTheme="minorHAnsi" w:cstheme="minorHAnsi"/>
          <w:b/>
          <w:bCs/>
          <w:color w:val="FF0000"/>
          <w:sz w:val="21"/>
          <w:szCs w:val="21"/>
        </w:rPr>
        <w:t>New</w:t>
      </w:r>
      <w:r w:rsidRPr="00E903CA">
        <w:rPr>
          <w:rStyle w:val="normaltextrun"/>
          <w:rFonts w:asciiTheme="minorHAnsi" w:hAnsiTheme="minorHAnsi" w:cstheme="minorHAnsi"/>
          <w:sz w:val="21"/>
          <w:szCs w:val="21"/>
        </w:rPr>
        <w:t xml:space="preserve"> Pfizer Vaccines US Medical Affairs will be hosting </w:t>
      </w:r>
      <w:r w:rsidRPr="00E903CA">
        <w:rPr>
          <w:rStyle w:val="normaltextrun"/>
          <w:rFonts w:asciiTheme="minorHAnsi" w:hAnsiTheme="minorHAnsi" w:cstheme="minorHAnsi"/>
          <w:b/>
          <w:bCs/>
          <w:sz w:val="21"/>
          <w:szCs w:val="21"/>
        </w:rPr>
        <w:t>Immunization Site Training Sessions for All Providers on the S</w:t>
      </w:r>
      <w:r w:rsidRPr="00E903CA">
        <w:rPr>
          <w:rFonts w:asciiTheme="minorHAnsi" w:hAnsiTheme="minorHAnsi" w:cstheme="minorHAnsi"/>
          <w:b/>
          <w:bCs/>
          <w:sz w:val="21"/>
          <w:szCs w:val="21"/>
        </w:rPr>
        <w:t xml:space="preserve">torage, Handling, &amp; Administration for Current &amp; Potential New Formulations </w:t>
      </w:r>
      <w:r w:rsidRPr="00E903CA">
        <w:rPr>
          <w:rFonts w:asciiTheme="minorHAnsi" w:hAnsiTheme="minorHAnsi" w:cstheme="minorHAnsi"/>
          <w:sz w:val="21"/>
          <w:szCs w:val="21"/>
        </w:rPr>
        <w:t>of</w:t>
      </w:r>
      <w:r w:rsidRPr="00E903CA">
        <w:rPr>
          <w:rStyle w:val="normaltextrun"/>
          <w:rFonts w:asciiTheme="minorHAnsi" w:hAnsiTheme="minorHAnsi" w:cstheme="minorHAnsi"/>
          <w:sz w:val="21"/>
          <w:szCs w:val="21"/>
        </w:rPr>
        <w:t xml:space="preserve"> our COVID-19 vaccine. </w:t>
      </w:r>
    </w:p>
    <w:p w14:paraId="2CA36916" w14:textId="77777777" w:rsidR="00D35D29" w:rsidRPr="00E903CA" w:rsidRDefault="00D35D29" w:rsidP="00D35D29">
      <w:pPr>
        <w:pStyle w:val="paragraph"/>
        <w:spacing w:before="0" w:beforeAutospacing="0" w:after="0" w:afterAutospacing="0"/>
        <w:textAlignment w:val="baseline"/>
        <w:rPr>
          <w:rStyle w:val="eop"/>
          <w:rFonts w:asciiTheme="minorHAnsi" w:hAnsiTheme="minorHAnsi" w:cstheme="minorHAnsi"/>
          <w:sz w:val="21"/>
          <w:szCs w:val="21"/>
        </w:rPr>
      </w:pPr>
    </w:p>
    <w:p w14:paraId="140343DE" w14:textId="77777777" w:rsidR="00D35D29" w:rsidRPr="00E903CA" w:rsidRDefault="00D35D29" w:rsidP="00D35D29">
      <w:pPr>
        <w:rPr>
          <w:rFonts w:asciiTheme="minorHAnsi" w:hAnsiTheme="minorHAnsi" w:cstheme="minorHAnsi"/>
          <w:sz w:val="21"/>
          <w:szCs w:val="21"/>
        </w:rPr>
      </w:pPr>
      <w:r w:rsidRPr="00E903CA">
        <w:rPr>
          <w:rFonts w:asciiTheme="minorHAnsi" w:hAnsiTheme="minorHAnsi" w:cstheme="minorHAnsi"/>
          <w:sz w:val="21"/>
          <w:szCs w:val="21"/>
        </w:rPr>
        <w:t xml:space="preserve">These sessions will be </w:t>
      </w:r>
      <w:r w:rsidRPr="00E903CA">
        <w:rPr>
          <w:rFonts w:asciiTheme="minorHAnsi" w:hAnsiTheme="minorHAnsi" w:cstheme="minorHAnsi"/>
          <w:b/>
          <w:bCs/>
          <w:sz w:val="21"/>
          <w:szCs w:val="21"/>
        </w:rPr>
        <w:t>updated</w:t>
      </w:r>
      <w:r w:rsidRPr="00E903CA">
        <w:rPr>
          <w:rFonts w:asciiTheme="minorHAnsi" w:hAnsiTheme="minorHAnsi" w:cstheme="minorHAnsi"/>
          <w:sz w:val="21"/>
          <w:szCs w:val="21"/>
        </w:rPr>
        <w:t> to reflect new information and changes that evolve.  Such updates will be identified at the start of each session and further explained during each presentation. </w:t>
      </w:r>
    </w:p>
    <w:p w14:paraId="5C4F4B14" w14:textId="7B00A688" w:rsidR="00D35D29" w:rsidRPr="00E903CA" w:rsidRDefault="00D35D29" w:rsidP="00D35D29">
      <w:pPr>
        <w:rPr>
          <w:rFonts w:asciiTheme="minorHAnsi" w:eastAsia="Calibri" w:hAnsiTheme="minorHAnsi" w:cstheme="minorHAnsi"/>
          <w:color w:val="000000" w:themeColor="text1"/>
          <w:sz w:val="21"/>
          <w:szCs w:val="21"/>
        </w:rPr>
      </w:pPr>
      <w:r w:rsidRPr="00E903CA">
        <w:rPr>
          <w:rFonts w:asciiTheme="minorHAnsi" w:eastAsia="Calibri" w:hAnsiTheme="minorHAnsi" w:cstheme="minorHAnsi"/>
          <w:color w:val="000000" w:themeColor="text1"/>
          <w:sz w:val="21"/>
          <w:szCs w:val="21"/>
        </w:rPr>
        <w:t xml:space="preserve">Use the links below to join the sessions at the designated times. </w:t>
      </w:r>
    </w:p>
    <w:p w14:paraId="69001747" w14:textId="77777777" w:rsidR="00D35D29" w:rsidRDefault="00D35D29" w:rsidP="00D35D29">
      <w:pPr>
        <w:pStyle w:val="paragraph"/>
        <w:spacing w:before="0" w:beforeAutospacing="0" w:after="0" w:afterAutospacing="0"/>
        <w:textAlignment w:val="baseline"/>
        <w:rPr>
          <w:rFonts w:ascii="Segoe UI" w:hAnsi="Segoe UI" w:cs="Segoe UI"/>
          <w:sz w:val="18"/>
          <w:szCs w:val="18"/>
        </w:rPr>
      </w:pPr>
    </w:p>
    <w:tbl>
      <w:tblPr>
        <w:tblStyle w:val="GridTable4-Accent3"/>
        <w:tblW w:w="7195" w:type="dxa"/>
        <w:jc w:val="center"/>
        <w:tblLook w:val="0420" w:firstRow="1" w:lastRow="0" w:firstColumn="0" w:lastColumn="0" w:noHBand="0" w:noVBand="1"/>
      </w:tblPr>
      <w:tblGrid>
        <w:gridCol w:w="4879"/>
        <w:gridCol w:w="2316"/>
      </w:tblGrid>
      <w:tr w:rsidR="00D35D29" w:rsidRPr="00E9754E" w14:paraId="73FC59E5" w14:textId="77777777" w:rsidTr="005736DB">
        <w:trPr>
          <w:cnfStyle w:val="100000000000" w:firstRow="1" w:lastRow="0" w:firstColumn="0" w:lastColumn="0" w:oddVBand="0" w:evenVBand="0" w:oddHBand="0" w:evenHBand="0" w:firstRowFirstColumn="0" w:firstRowLastColumn="0" w:lastRowFirstColumn="0" w:lastRowLastColumn="0"/>
          <w:trHeight w:val="74"/>
          <w:jc w:val="center"/>
        </w:trPr>
        <w:tc>
          <w:tcPr>
            <w:tcW w:w="4879" w:type="dxa"/>
            <w:tcBorders>
              <w:top w:val="none" w:sz="0" w:space="0" w:color="auto"/>
              <w:left w:val="none" w:sz="0" w:space="0" w:color="auto"/>
              <w:bottom w:val="none" w:sz="0" w:space="0" w:color="auto"/>
              <w:right w:val="none" w:sz="0" w:space="0" w:color="auto"/>
            </w:tcBorders>
            <w:noWrap/>
            <w:hideMark/>
          </w:tcPr>
          <w:p w14:paraId="4389F6E7" w14:textId="77777777" w:rsidR="00D35D29" w:rsidRPr="00E9754E" w:rsidRDefault="00D35D29" w:rsidP="005736DB">
            <w:pPr>
              <w:rPr>
                <w:rFonts w:eastAsia="Times New Roman"/>
                <w:color w:val="000000"/>
                <w:sz w:val="20"/>
                <w:szCs w:val="20"/>
              </w:rPr>
            </w:pPr>
            <w:r w:rsidRPr="00E9754E">
              <w:rPr>
                <w:rFonts w:eastAsia="Times New Roman"/>
                <w:color w:val="000000" w:themeColor="text1"/>
                <w:sz w:val="20"/>
                <w:szCs w:val="20"/>
              </w:rPr>
              <w:t> Date &amp; Time</w:t>
            </w:r>
          </w:p>
        </w:tc>
        <w:tc>
          <w:tcPr>
            <w:tcW w:w="2316" w:type="dxa"/>
            <w:tcBorders>
              <w:top w:val="none" w:sz="0" w:space="0" w:color="auto"/>
              <w:left w:val="none" w:sz="0" w:space="0" w:color="auto"/>
              <w:bottom w:val="none" w:sz="0" w:space="0" w:color="auto"/>
              <w:right w:val="none" w:sz="0" w:space="0" w:color="auto"/>
            </w:tcBorders>
            <w:noWrap/>
            <w:hideMark/>
          </w:tcPr>
          <w:p w14:paraId="1ED1DC47" w14:textId="77777777" w:rsidR="00D35D29" w:rsidRPr="00E9754E" w:rsidRDefault="00D35D29" w:rsidP="005736DB">
            <w:pPr>
              <w:rPr>
                <w:rFonts w:eastAsia="Times New Roman"/>
                <w:color w:val="000000"/>
                <w:sz w:val="20"/>
                <w:szCs w:val="20"/>
              </w:rPr>
            </w:pPr>
            <w:r w:rsidRPr="00E9754E">
              <w:rPr>
                <w:rFonts w:eastAsia="Times New Roman"/>
                <w:color w:val="000000" w:themeColor="text1"/>
                <w:sz w:val="20"/>
                <w:szCs w:val="20"/>
              </w:rPr>
              <w:t>Password</w:t>
            </w:r>
          </w:p>
        </w:tc>
      </w:tr>
      <w:tr w:rsidR="005D2A5C" w:rsidRPr="00E9754E" w14:paraId="1A3E5D05" w14:textId="77777777" w:rsidTr="005736DB">
        <w:trPr>
          <w:cnfStyle w:val="000000100000" w:firstRow="0" w:lastRow="0" w:firstColumn="0" w:lastColumn="0" w:oddVBand="0" w:evenVBand="0" w:oddHBand="1" w:evenHBand="0" w:firstRowFirstColumn="0" w:firstRowLastColumn="0" w:lastRowFirstColumn="0" w:lastRowLastColumn="0"/>
          <w:trHeight w:val="74"/>
          <w:jc w:val="center"/>
        </w:trPr>
        <w:tc>
          <w:tcPr>
            <w:tcW w:w="4879" w:type="dxa"/>
            <w:noWrap/>
          </w:tcPr>
          <w:p w14:paraId="7261FBD7" w14:textId="40D29AAA" w:rsidR="005D2A5C" w:rsidRPr="00DC1C2A" w:rsidRDefault="0046539E" w:rsidP="005736DB">
            <w:pPr>
              <w:rPr>
                <w:rFonts w:ascii="Noto Sans" w:hAnsi="Noto Sans" w:cs="Noto Sans"/>
              </w:rPr>
            </w:pPr>
            <w:hyperlink r:id="rId30" w:history="1">
              <w:r w:rsidR="005D2A5C" w:rsidRPr="008B2C69">
                <w:rPr>
                  <w:rStyle w:val="Hyperlink"/>
                  <w:rFonts w:ascii="Noto Sans" w:hAnsi="Noto Sans" w:cs="Noto Sans"/>
                  <w:shd w:val="clear" w:color="auto" w:fill="FFFFFF"/>
                </w:rPr>
                <w:t>Attendee link – October 28 – 12 PM ET</w:t>
              </w:r>
            </w:hyperlink>
          </w:p>
        </w:tc>
        <w:tc>
          <w:tcPr>
            <w:tcW w:w="2316" w:type="dxa"/>
            <w:noWrap/>
          </w:tcPr>
          <w:p w14:paraId="340761C4" w14:textId="3AFD9776" w:rsidR="005D2A5C" w:rsidRPr="00DC1C2A" w:rsidRDefault="005D2A5C" w:rsidP="005736DB">
            <w:pPr>
              <w:rPr>
                <w:rFonts w:ascii="Noto Sans" w:hAnsi="Noto Sans" w:cs="Noto Sans"/>
                <w:color w:val="000000"/>
              </w:rPr>
            </w:pPr>
            <w:r w:rsidRPr="00DC1C2A">
              <w:rPr>
                <w:rFonts w:ascii="Noto Sans" w:hAnsi="Noto Sans" w:cs="Noto Sans"/>
                <w:color w:val="000000"/>
              </w:rPr>
              <w:t>9ywEun8Mjs7</w:t>
            </w:r>
          </w:p>
        </w:tc>
      </w:tr>
      <w:tr w:rsidR="005D2A5C" w:rsidRPr="00E9754E" w14:paraId="271E7E18" w14:textId="77777777" w:rsidTr="005736DB">
        <w:trPr>
          <w:trHeight w:val="74"/>
          <w:jc w:val="center"/>
        </w:trPr>
        <w:tc>
          <w:tcPr>
            <w:tcW w:w="4879" w:type="dxa"/>
            <w:noWrap/>
          </w:tcPr>
          <w:p w14:paraId="658340DC" w14:textId="2E39FD1F" w:rsidR="005D2A5C" w:rsidRPr="00DC1C2A" w:rsidRDefault="0046539E" w:rsidP="005736DB">
            <w:pPr>
              <w:rPr>
                <w:rFonts w:ascii="Noto Sans" w:hAnsi="Noto Sans" w:cs="Noto Sans"/>
              </w:rPr>
            </w:pPr>
            <w:hyperlink r:id="rId31" w:history="1">
              <w:r w:rsidR="005D2A5C" w:rsidRPr="00DC1C2A">
                <w:rPr>
                  <w:rStyle w:val="Hyperlink"/>
                  <w:rFonts w:ascii="Noto Sans" w:hAnsi="Noto Sans" w:cs="Noto Sans"/>
                </w:rPr>
                <w:t>Attendee link – October 29 – 12 PM ET</w:t>
              </w:r>
            </w:hyperlink>
          </w:p>
        </w:tc>
        <w:tc>
          <w:tcPr>
            <w:tcW w:w="2316" w:type="dxa"/>
            <w:noWrap/>
          </w:tcPr>
          <w:p w14:paraId="775C3307" w14:textId="62D975B1" w:rsidR="005D2A5C" w:rsidRPr="00DC1C2A" w:rsidRDefault="005D2A5C" w:rsidP="005736DB">
            <w:pPr>
              <w:rPr>
                <w:rFonts w:ascii="Noto Sans" w:hAnsi="Noto Sans" w:cs="Noto Sans"/>
                <w:color w:val="000000"/>
              </w:rPr>
            </w:pPr>
            <w:r w:rsidRPr="00DC1C2A">
              <w:rPr>
                <w:rFonts w:ascii="Noto Sans" w:hAnsi="Noto Sans" w:cs="Noto Sans"/>
                <w:color w:val="000000"/>
              </w:rPr>
              <w:t>cnRBrmGr324</w:t>
            </w:r>
          </w:p>
        </w:tc>
      </w:tr>
      <w:tr w:rsidR="005D2A5C" w:rsidRPr="00E9754E" w14:paraId="5B069F83" w14:textId="77777777" w:rsidTr="005736DB">
        <w:trPr>
          <w:cnfStyle w:val="000000100000" w:firstRow="0" w:lastRow="0" w:firstColumn="0" w:lastColumn="0" w:oddVBand="0" w:evenVBand="0" w:oddHBand="1" w:evenHBand="0" w:firstRowFirstColumn="0" w:firstRowLastColumn="0" w:lastRowFirstColumn="0" w:lastRowLastColumn="0"/>
          <w:trHeight w:val="74"/>
          <w:jc w:val="center"/>
        </w:trPr>
        <w:tc>
          <w:tcPr>
            <w:tcW w:w="4879" w:type="dxa"/>
            <w:noWrap/>
          </w:tcPr>
          <w:p w14:paraId="57D81D95" w14:textId="4595758B" w:rsidR="005D2A5C" w:rsidRPr="00DC1C2A" w:rsidRDefault="0046539E" w:rsidP="005736DB">
            <w:pPr>
              <w:rPr>
                <w:rFonts w:ascii="Noto Sans" w:hAnsi="Noto Sans" w:cs="Noto Sans"/>
              </w:rPr>
            </w:pPr>
            <w:hyperlink r:id="rId32" w:history="1">
              <w:r w:rsidR="005D2A5C" w:rsidRPr="29113475">
                <w:rPr>
                  <w:rStyle w:val="Hyperlink"/>
                  <w:rFonts w:ascii="Noto Sans" w:hAnsi="Noto Sans" w:cs="Noto Sans"/>
                </w:rPr>
                <w:t>Attendee link – November 1 – 5 PM ET</w:t>
              </w:r>
            </w:hyperlink>
          </w:p>
        </w:tc>
        <w:tc>
          <w:tcPr>
            <w:tcW w:w="2316" w:type="dxa"/>
            <w:noWrap/>
          </w:tcPr>
          <w:p w14:paraId="18F3C62E" w14:textId="3BAA1EFE" w:rsidR="005D2A5C" w:rsidRPr="00DC1C2A" w:rsidRDefault="005D2A5C" w:rsidP="005736DB">
            <w:pPr>
              <w:rPr>
                <w:rFonts w:ascii="Noto Sans" w:hAnsi="Noto Sans" w:cs="Noto Sans"/>
                <w:color w:val="000000"/>
              </w:rPr>
            </w:pPr>
            <w:r w:rsidRPr="29113475">
              <w:rPr>
                <w:rFonts w:ascii="Noto Sans" w:hAnsi="Noto Sans" w:cs="Noto Sans"/>
                <w:color w:val="000000" w:themeColor="text1"/>
              </w:rPr>
              <w:t>g9ZmgHaip32</w:t>
            </w:r>
          </w:p>
        </w:tc>
      </w:tr>
      <w:tr w:rsidR="005D2A5C" w:rsidRPr="00E9754E" w14:paraId="6A753F12" w14:textId="77777777" w:rsidTr="005736DB">
        <w:trPr>
          <w:trHeight w:val="74"/>
          <w:jc w:val="center"/>
        </w:trPr>
        <w:tc>
          <w:tcPr>
            <w:tcW w:w="4879" w:type="dxa"/>
            <w:noWrap/>
          </w:tcPr>
          <w:p w14:paraId="28224566" w14:textId="5B93F645" w:rsidR="005D2A5C" w:rsidRDefault="0046539E" w:rsidP="005736DB">
            <w:hyperlink r:id="rId33" w:history="1">
              <w:r w:rsidR="005D2A5C" w:rsidRPr="00DC1C2A">
                <w:rPr>
                  <w:rStyle w:val="Hyperlink"/>
                  <w:rFonts w:ascii="Noto Sans" w:hAnsi="Noto Sans" w:cs="Noto Sans"/>
                  <w:shd w:val="clear" w:color="auto" w:fill="FFFFFF"/>
                </w:rPr>
                <w:t>Attendee link – November 2 – 5 PM ET</w:t>
              </w:r>
            </w:hyperlink>
          </w:p>
        </w:tc>
        <w:tc>
          <w:tcPr>
            <w:tcW w:w="2316" w:type="dxa"/>
            <w:noWrap/>
          </w:tcPr>
          <w:p w14:paraId="45CD279B" w14:textId="133DF82B" w:rsidR="005D2A5C" w:rsidRPr="00DC1C2A" w:rsidRDefault="005D2A5C" w:rsidP="005736DB">
            <w:pPr>
              <w:rPr>
                <w:rFonts w:ascii="Noto Sans" w:hAnsi="Noto Sans" w:cs="Noto Sans"/>
                <w:color w:val="000000"/>
              </w:rPr>
            </w:pPr>
            <w:r w:rsidRPr="00DC1C2A">
              <w:rPr>
                <w:rFonts w:ascii="Noto Sans" w:hAnsi="Noto Sans" w:cs="Noto Sans"/>
                <w:color w:val="444444"/>
                <w:shd w:val="clear" w:color="auto" w:fill="FFFFFF"/>
              </w:rPr>
              <w:t>sJDZQERp325</w:t>
            </w:r>
          </w:p>
        </w:tc>
      </w:tr>
      <w:tr w:rsidR="005D2A5C" w:rsidRPr="00E9754E" w14:paraId="54D2D723" w14:textId="77777777" w:rsidTr="005736DB">
        <w:trPr>
          <w:cnfStyle w:val="000000100000" w:firstRow="0" w:lastRow="0" w:firstColumn="0" w:lastColumn="0" w:oddVBand="0" w:evenVBand="0" w:oddHBand="1" w:evenHBand="0" w:firstRowFirstColumn="0" w:firstRowLastColumn="0" w:lastRowFirstColumn="0" w:lastRowLastColumn="0"/>
          <w:trHeight w:val="74"/>
          <w:jc w:val="center"/>
        </w:trPr>
        <w:tc>
          <w:tcPr>
            <w:tcW w:w="4879" w:type="dxa"/>
            <w:noWrap/>
          </w:tcPr>
          <w:p w14:paraId="2F01869B" w14:textId="2F703528" w:rsidR="005D2A5C" w:rsidRPr="00DC1C2A" w:rsidRDefault="0046539E" w:rsidP="005736DB">
            <w:pPr>
              <w:rPr>
                <w:rFonts w:ascii="Noto Sans" w:hAnsi="Noto Sans" w:cs="Noto Sans"/>
              </w:rPr>
            </w:pPr>
            <w:hyperlink r:id="rId34" w:history="1">
              <w:r w:rsidR="005D2A5C" w:rsidRPr="0066196F">
                <w:rPr>
                  <w:rStyle w:val="Hyperlink"/>
                  <w:rFonts w:ascii="Noto Sans" w:hAnsi="Noto Sans" w:cs="Noto Sans"/>
                </w:rPr>
                <w:t>Attendee link – November 3 – 12 PM ET</w:t>
              </w:r>
            </w:hyperlink>
          </w:p>
        </w:tc>
        <w:tc>
          <w:tcPr>
            <w:tcW w:w="2316" w:type="dxa"/>
            <w:noWrap/>
          </w:tcPr>
          <w:p w14:paraId="6895C5D1" w14:textId="5BDF9E78" w:rsidR="005D2A5C" w:rsidRPr="00DC1C2A" w:rsidRDefault="005D2A5C" w:rsidP="005736DB">
            <w:pPr>
              <w:rPr>
                <w:rFonts w:ascii="Noto Sans" w:hAnsi="Noto Sans" w:cs="Noto Sans"/>
                <w:color w:val="000000"/>
              </w:rPr>
            </w:pPr>
            <w:r w:rsidRPr="29113475">
              <w:rPr>
                <w:rFonts w:ascii="Noto Sans" w:hAnsi="Noto Sans" w:cs="Noto Sans"/>
                <w:color w:val="000000" w:themeColor="text1"/>
              </w:rPr>
              <w:t>82qdN3PppPp</w:t>
            </w:r>
          </w:p>
        </w:tc>
      </w:tr>
      <w:tr w:rsidR="005D2A5C" w:rsidRPr="00E9754E" w14:paraId="703E52CD" w14:textId="77777777" w:rsidTr="005736DB">
        <w:trPr>
          <w:trHeight w:val="74"/>
          <w:jc w:val="center"/>
        </w:trPr>
        <w:tc>
          <w:tcPr>
            <w:tcW w:w="4879" w:type="dxa"/>
            <w:noWrap/>
          </w:tcPr>
          <w:p w14:paraId="37944F5A" w14:textId="28EDB78B" w:rsidR="005D2A5C" w:rsidRDefault="0046539E" w:rsidP="005736DB">
            <w:hyperlink r:id="rId35" w:history="1">
              <w:r w:rsidR="005D2A5C" w:rsidRPr="00DC1C2A">
                <w:rPr>
                  <w:rStyle w:val="Hyperlink"/>
                  <w:rFonts w:ascii="Noto Sans" w:hAnsi="Noto Sans" w:cs="Noto Sans"/>
                  <w:shd w:val="clear" w:color="auto" w:fill="FFFFFF"/>
                </w:rPr>
                <w:t>Attendee link – November 4</w:t>
              </w:r>
              <w:r w:rsidR="005D2A5C">
                <w:rPr>
                  <w:rStyle w:val="Hyperlink"/>
                  <w:rFonts w:ascii="Noto Sans" w:hAnsi="Noto Sans" w:cs="Noto Sans"/>
                  <w:shd w:val="clear" w:color="auto" w:fill="FFFFFF"/>
                </w:rPr>
                <w:t xml:space="preserve"> </w:t>
              </w:r>
              <w:r w:rsidR="005D2A5C" w:rsidRPr="00DC1C2A">
                <w:rPr>
                  <w:rStyle w:val="Hyperlink"/>
                  <w:rFonts w:ascii="Noto Sans" w:hAnsi="Noto Sans" w:cs="Noto Sans"/>
                  <w:shd w:val="clear" w:color="auto" w:fill="FFFFFF"/>
                </w:rPr>
                <w:t>– 12 PM ET</w:t>
              </w:r>
            </w:hyperlink>
          </w:p>
        </w:tc>
        <w:tc>
          <w:tcPr>
            <w:tcW w:w="2316" w:type="dxa"/>
            <w:noWrap/>
          </w:tcPr>
          <w:p w14:paraId="4FB51047" w14:textId="214E60E6" w:rsidR="005D2A5C" w:rsidRPr="29113475" w:rsidRDefault="005D2A5C" w:rsidP="005736DB">
            <w:pPr>
              <w:rPr>
                <w:rFonts w:ascii="Noto Sans" w:hAnsi="Noto Sans" w:cs="Noto Sans"/>
                <w:color w:val="000000" w:themeColor="text1"/>
              </w:rPr>
            </w:pPr>
            <w:r w:rsidRPr="00DC1C2A">
              <w:rPr>
                <w:rFonts w:ascii="Noto Sans" w:hAnsi="Noto Sans" w:cs="Noto Sans"/>
                <w:color w:val="444444"/>
                <w:shd w:val="clear" w:color="auto" w:fill="FFFFFF"/>
              </w:rPr>
              <w:t>Y4ZkXdh2bz7</w:t>
            </w:r>
          </w:p>
        </w:tc>
      </w:tr>
      <w:tr w:rsidR="005D2A5C" w:rsidRPr="00E9754E" w14:paraId="2C25CDA1" w14:textId="77777777" w:rsidTr="005736DB">
        <w:trPr>
          <w:cnfStyle w:val="000000100000" w:firstRow="0" w:lastRow="0" w:firstColumn="0" w:lastColumn="0" w:oddVBand="0" w:evenVBand="0" w:oddHBand="1" w:evenHBand="0" w:firstRowFirstColumn="0" w:firstRowLastColumn="0" w:lastRowFirstColumn="0" w:lastRowLastColumn="0"/>
          <w:trHeight w:val="74"/>
          <w:jc w:val="center"/>
        </w:trPr>
        <w:tc>
          <w:tcPr>
            <w:tcW w:w="4879" w:type="dxa"/>
            <w:noWrap/>
          </w:tcPr>
          <w:p w14:paraId="21FB689A" w14:textId="23854F55" w:rsidR="005D2A5C" w:rsidRDefault="0046539E" w:rsidP="005736DB">
            <w:hyperlink r:id="rId36" w:history="1">
              <w:r w:rsidR="005D2A5C" w:rsidRPr="008377C7">
                <w:rPr>
                  <w:rStyle w:val="Hyperlink"/>
                  <w:rFonts w:ascii="Noto Sans" w:hAnsi="Noto Sans" w:cs="Noto Sans"/>
                </w:rPr>
                <w:t>Attendee link – November 5 – 12 PM ET</w:t>
              </w:r>
            </w:hyperlink>
          </w:p>
        </w:tc>
        <w:tc>
          <w:tcPr>
            <w:tcW w:w="2316" w:type="dxa"/>
            <w:noWrap/>
          </w:tcPr>
          <w:p w14:paraId="44E8A59A" w14:textId="7D5A44AC" w:rsidR="005D2A5C" w:rsidRPr="00DC1C2A" w:rsidRDefault="005D2A5C" w:rsidP="005736DB">
            <w:pPr>
              <w:rPr>
                <w:rFonts w:ascii="Noto Sans" w:hAnsi="Noto Sans" w:cs="Noto Sans"/>
                <w:color w:val="444444"/>
                <w:shd w:val="clear" w:color="auto" w:fill="FFFFFF"/>
              </w:rPr>
            </w:pPr>
            <w:r w:rsidRPr="008377C7">
              <w:rPr>
                <w:rFonts w:ascii="Noto Sans" w:hAnsi="Noto Sans" w:cs="Noto Sans"/>
                <w:color w:val="000000"/>
              </w:rPr>
              <w:t>rJSpNPts332</w:t>
            </w:r>
          </w:p>
        </w:tc>
      </w:tr>
    </w:tbl>
    <w:p w14:paraId="133A7D17" w14:textId="77777777" w:rsidR="00D35D29" w:rsidRDefault="00D35D29" w:rsidP="00CE525A">
      <w:pPr>
        <w:shd w:val="clear" w:color="auto" w:fill="FFFFFF"/>
        <w:rPr>
          <w:rFonts w:ascii="Calibri" w:hAnsi="Calibri"/>
          <w:b/>
          <w:bCs/>
          <w:color w:val="FF0000"/>
          <w:sz w:val="21"/>
          <w:szCs w:val="21"/>
        </w:rPr>
      </w:pPr>
    </w:p>
    <w:p w14:paraId="43007726" w14:textId="77777777" w:rsidR="006D5BD3" w:rsidRDefault="006D5BD3" w:rsidP="00CE525A">
      <w:pPr>
        <w:shd w:val="clear" w:color="auto" w:fill="FFFFFF"/>
        <w:rPr>
          <w:rFonts w:ascii="Calibri" w:hAnsi="Calibri"/>
          <w:b/>
          <w:bCs/>
          <w:color w:val="FF0000"/>
          <w:sz w:val="21"/>
          <w:szCs w:val="21"/>
        </w:rPr>
      </w:pPr>
    </w:p>
    <w:p w14:paraId="52882708" w14:textId="55897441" w:rsidR="006D5BD3" w:rsidRPr="006D5BD3" w:rsidRDefault="006D5BD3" w:rsidP="006D5BD3">
      <w:pPr>
        <w:rPr>
          <w:rFonts w:ascii="Calibri" w:eastAsia="Calibri" w:hAnsi="Calibri" w:cs="Calibri"/>
          <w:sz w:val="21"/>
          <w:szCs w:val="21"/>
        </w:rPr>
      </w:pPr>
      <w:r w:rsidRPr="006D5BD3">
        <w:rPr>
          <w:rFonts w:ascii="Calibri" w:eastAsia="Calibri" w:hAnsi="Calibri" w:cs="Calibri"/>
          <w:b/>
          <w:bCs/>
          <w:color w:val="FF0000"/>
          <w:sz w:val="21"/>
          <w:szCs w:val="21"/>
        </w:rPr>
        <w:t>New</w:t>
      </w:r>
      <w:r w:rsidRPr="006D5BD3">
        <w:rPr>
          <w:rFonts w:ascii="Calibri" w:eastAsia="Calibri" w:hAnsi="Calibri" w:cs="Calibri"/>
          <w:sz w:val="21"/>
          <w:szCs w:val="21"/>
        </w:rPr>
        <w:t xml:space="preserve"> </w:t>
      </w:r>
      <w:proofErr w:type="spellStart"/>
      <w:r w:rsidRPr="006D5BD3">
        <w:rPr>
          <w:rFonts w:ascii="Calibri" w:eastAsia="Calibri" w:hAnsi="Calibri" w:cs="Calibri"/>
          <w:sz w:val="21"/>
          <w:szCs w:val="21"/>
        </w:rPr>
        <w:t>Moderna</w:t>
      </w:r>
      <w:proofErr w:type="spellEnd"/>
      <w:r w:rsidRPr="006D5BD3">
        <w:rPr>
          <w:rFonts w:ascii="Calibri" w:eastAsia="Calibri" w:hAnsi="Calibri" w:cs="Calibri"/>
          <w:sz w:val="21"/>
          <w:szCs w:val="21"/>
        </w:rPr>
        <w:t xml:space="preserve"> </w:t>
      </w:r>
      <w:r w:rsidR="0046539E">
        <w:rPr>
          <w:rFonts w:ascii="Calibri" w:eastAsia="Calibri" w:hAnsi="Calibri" w:cs="Calibri"/>
          <w:sz w:val="21"/>
          <w:szCs w:val="21"/>
        </w:rPr>
        <w:t>is offering</w:t>
      </w:r>
      <w:r w:rsidRPr="006D5BD3">
        <w:rPr>
          <w:rFonts w:ascii="Calibri" w:eastAsia="Calibri" w:hAnsi="Calibri" w:cs="Calibri"/>
          <w:sz w:val="21"/>
          <w:szCs w:val="21"/>
        </w:rPr>
        <w:t xml:space="preserve"> a webinar for vaccination providers to learn more about the </w:t>
      </w:r>
      <w:proofErr w:type="spellStart"/>
      <w:r w:rsidRPr="0049598E">
        <w:rPr>
          <w:rFonts w:ascii="Calibri" w:eastAsia="Calibri" w:hAnsi="Calibri" w:cs="Calibri"/>
          <w:sz w:val="21"/>
          <w:szCs w:val="21"/>
        </w:rPr>
        <w:t>Moderna</w:t>
      </w:r>
      <w:proofErr w:type="spellEnd"/>
      <w:r w:rsidRPr="0049598E">
        <w:rPr>
          <w:rFonts w:ascii="Calibri" w:eastAsia="Calibri" w:hAnsi="Calibri" w:cs="Calibri"/>
          <w:sz w:val="21"/>
          <w:szCs w:val="21"/>
        </w:rPr>
        <w:t xml:space="preserve"> COVID-19 Vaccine booster dose</w:t>
      </w:r>
      <w:r w:rsidRPr="006D5BD3">
        <w:rPr>
          <w:rFonts w:ascii="Calibri" w:eastAsia="Calibri" w:hAnsi="Calibri" w:cs="Calibri"/>
          <w:sz w:val="21"/>
          <w:szCs w:val="21"/>
        </w:rPr>
        <w:t xml:space="preserve">, which has been authorized for emergency use in the United States. There will be no continuing education offered for this webinar. Please register at the link below for one of our available sessions.  </w:t>
      </w:r>
    </w:p>
    <w:p w14:paraId="4C4E3473" w14:textId="77777777" w:rsidR="006D5BD3" w:rsidRPr="006D5BD3" w:rsidRDefault="006D5BD3" w:rsidP="006D5BD3">
      <w:pPr>
        <w:rPr>
          <w:rFonts w:ascii="Calibri" w:eastAsia="Calibri" w:hAnsi="Calibri" w:cs="Calibri"/>
          <w:sz w:val="21"/>
          <w:szCs w:val="21"/>
        </w:rPr>
      </w:pPr>
    </w:p>
    <w:p w14:paraId="6F3EF1BF" w14:textId="77777777" w:rsidR="006D5BD3" w:rsidRPr="006D5BD3" w:rsidRDefault="006D5BD3" w:rsidP="006D5BD3">
      <w:pPr>
        <w:rPr>
          <w:rFonts w:ascii="Calibri" w:eastAsia="Calibri" w:hAnsi="Calibri" w:cs="Calibri"/>
          <w:sz w:val="21"/>
          <w:szCs w:val="21"/>
        </w:rPr>
      </w:pPr>
      <w:r w:rsidRPr="006D5BD3">
        <w:rPr>
          <w:rFonts w:ascii="Calibri" w:eastAsia="Calibri" w:hAnsi="Calibri" w:cs="Calibri"/>
          <w:b/>
          <w:bCs/>
          <w:sz w:val="21"/>
          <w:szCs w:val="21"/>
        </w:rPr>
        <w:t>Webinar</w:t>
      </w:r>
      <w:r w:rsidRPr="006D5BD3">
        <w:rPr>
          <w:rFonts w:ascii="Calibri" w:eastAsia="Calibri" w:hAnsi="Calibri" w:cs="Calibri"/>
          <w:sz w:val="21"/>
          <w:szCs w:val="21"/>
        </w:rPr>
        <w:t xml:space="preserve">: Important updates on the mRNA-1273 50 µg Booster Dose </w:t>
      </w:r>
    </w:p>
    <w:p w14:paraId="5CCD21A6" w14:textId="77777777" w:rsidR="006D5BD3" w:rsidRPr="006D5BD3" w:rsidRDefault="006D5BD3" w:rsidP="006D5BD3">
      <w:pPr>
        <w:numPr>
          <w:ilvl w:val="0"/>
          <w:numId w:val="24"/>
        </w:numPr>
        <w:spacing w:after="160" w:line="252" w:lineRule="auto"/>
        <w:contextualSpacing/>
        <w:rPr>
          <w:rFonts w:ascii="Calibri" w:eastAsia="Times New Roman" w:hAnsi="Calibri" w:cs="Calibri"/>
          <w:sz w:val="21"/>
          <w:szCs w:val="21"/>
        </w:rPr>
      </w:pPr>
      <w:r w:rsidRPr="006D5BD3">
        <w:rPr>
          <w:rFonts w:ascii="Calibri" w:eastAsia="Times New Roman" w:hAnsi="Calibri" w:cs="Calibri"/>
          <w:sz w:val="21"/>
          <w:szCs w:val="21"/>
        </w:rPr>
        <w:t>Thursday, October 28</w:t>
      </w:r>
      <w:r w:rsidRPr="006D5BD3">
        <w:rPr>
          <w:rFonts w:ascii="Calibri" w:eastAsia="Times New Roman" w:hAnsi="Calibri" w:cs="Calibri"/>
          <w:sz w:val="21"/>
          <w:szCs w:val="21"/>
          <w:vertAlign w:val="superscript"/>
        </w:rPr>
        <w:t>th</w:t>
      </w:r>
      <w:r w:rsidRPr="006D5BD3">
        <w:rPr>
          <w:rFonts w:ascii="Calibri" w:eastAsia="Times New Roman" w:hAnsi="Calibri" w:cs="Calibri"/>
          <w:sz w:val="21"/>
          <w:szCs w:val="21"/>
        </w:rPr>
        <w:t xml:space="preserve"> at 12pm ET – </w:t>
      </w:r>
      <w:hyperlink r:id="rId37" w:history="1">
        <w:r w:rsidRPr="006D5BD3">
          <w:rPr>
            <w:rFonts w:ascii="Calibri" w:eastAsia="Times New Roman" w:hAnsi="Calibri" w:cs="Calibri"/>
            <w:color w:val="0563C1"/>
            <w:sz w:val="21"/>
            <w:szCs w:val="21"/>
            <w:u w:val="single"/>
          </w:rPr>
          <w:t>Register here for Oct 28</w:t>
        </w:r>
      </w:hyperlink>
      <w:r w:rsidRPr="006D5BD3">
        <w:rPr>
          <w:rFonts w:ascii="Calibri" w:eastAsia="Times New Roman" w:hAnsi="Calibri" w:cs="Calibri"/>
          <w:sz w:val="21"/>
          <w:szCs w:val="21"/>
        </w:rPr>
        <w:t xml:space="preserve"> </w:t>
      </w:r>
    </w:p>
    <w:p w14:paraId="1A6BE89F" w14:textId="77777777" w:rsidR="006D5BD3" w:rsidRDefault="006D5BD3" w:rsidP="006D5BD3">
      <w:pPr>
        <w:numPr>
          <w:ilvl w:val="0"/>
          <w:numId w:val="24"/>
        </w:numPr>
        <w:spacing w:after="160" w:line="252" w:lineRule="auto"/>
        <w:contextualSpacing/>
        <w:rPr>
          <w:rFonts w:ascii="Calibri" w:eastAsia="Times New Roman" w:hAnsi="Calibri" w:cs="Calibri"/>
          <w:sz w:val="21"/>
          <w:szCs w:val="21"/>
        </w:rPr>
      </w:pPr>
      <w:r w:rsidRPr="006D5BD3">
        <w:rPr>
          <w:rFonts w:ascii="Calibri" w:eastAsia="Times New Roman" w:hAnsi="Calibri" w:cs="Calibri"/>
          <w:sz w:val="21"/>
          <w:szCs w:val="21"/>
        </w:rPr>
        <w:t>Thursday, November 4</w:t>
      </w:r>
      <w:r w:rsidRPr="006D5BD3">
        <w:rPr>
          <w:rFonts w:ascii="Calibri" w:eastAsia="Times New Roman" w:hAnsi="Calibri" w:cs="Calibri"/>
          <w:sz w:val="21"/>
          <w:szCs w:val="21"/>
          <w:vertAlign w:val="superscript"/>
        </w:rPr>
        <w:t>th</w:t>
      </w:r>
      <w:r w:rsidRPr="006D5BD3">
        <w:rPr>
          <w:rFonts w:ascii="Calibri" w:eastAsia="Times New Roman" w:hAnsi="Calibri" w:cs="Calibri"/>
          <w:sz w:val="21"/>
          <w:szCs w:val="21"/>
        </w:rPr>
        <w:t xml:space="preserve"> at 3pm ET – </w:t>
      </w:r>
      <w:hyperlink r:id="rId38" w:history="1">
        <w:r w:rsidRPr="006D5BD3">
          <w:rPr>
            <w:rFonts w:ascii="Calibri" w:eastAsia="Times New Roman" w:hAnsi="Calibri" w:cs="Calibri"/>
            <w:color w:val="0563C1"/>
            <w:sz w:val="21"/>
            <w:szCs w:val="21"/>
            <w:u w:val="single"/>
          </w:rPr>
          <w:t>Register here for Nov 4</w:t>
        </w:r>
      </w:hyperlink>
      <w:r w:rsidRPr="006D5BD3">
        <w:rPr>
          <w:rFonts w:ascii="Calibri" w:eastAsia="Times New Roman" w:hAnsi="Calibri" w:cs="Calibri"/>
          <w:sz w:val="21"/>
          <w:szCs w:val="21"/>
        </w:rPr>
        <w:t xml:space="preserve"> </w:t>
      </w:r>
    </w:p>
    <w:p w14:paraId="005B8645" w14:textId="5CC8B245" w:rsidR="006D5BD3" w:rsidRPr="006D5BD3" w:rsidRDefault="006D5BD3" w:rsidP="006D5BD3">
      <w:pPr>
        <w:numPr>
          <w:ilvl w:val="0"/>
          <w:numId w:val="24"/>
        </w:numPr>
        <w:spacing w:after="160" w:line="252" w:lineRule="auto"/>
        <w:contextualSpacing/>
        <w:rPr>
          <w:rFonts w:ascii="Calibri" w:eastAsia="Times New Roman" w:hAnsi="Calibri" w:cs="Calibri"/>
          <w:sz w:val="21"/>
          <w:szCs w:val="21"/>
        </w:rPr>
      </w:pPr>
      <w:r w:rsidRPr="006D5BD3">
        <w:rPr>
          <w:rFonts w:ascii="Calibri" w:eastAsia="Times New Roman" w:hAnsi="Calibri" w:cs="Calibri"/>
          <w:sz w:val="21"/>
          <w:szCs w:val="21"/>
        </w:rPr>
        <w:t>Thursday, November 11</w:t>
      </w:r>
      <w:r w:rsidRPr="006D5BD3">
        <w:rPr>
          <w:rFonts w:ascii="Calibri" w:eastAsia="Times New Roman" w:hAnsi="Calibri" w:cs="Calibri"/>
          <w:sz w:val="21"/>
          <w:szCs w:val="21"/>
          <w:vertAlign w:val="superscript"/>
        </w:rPr>
        <w:t>th</w:t>
      </w:r>
      <w:r w:rsidRPr="006D5BD3">
        <w:rPr>
          <w:rFonts w:ascii="Calibri" w:eastAsia="Times New Roman" w:hAnsi="Calibri" w:cs="Calibri"/>
          <w:sz w:val="21"/>
          <w:szCs w:val="21"/>
        </w:rPr>
        <w:t xml:space="preserve"> at 12pm ET  – </w:t>
      </w:r>
      <w:hyperlink r:id="rId39" w:history="1">
        <w:r w:rsidRPr="006D5BD3">
          <w:rPr>
            <w:rFonts w:ascii="Calibri" w:eastAsia="Times New Roman" w:hAnsi="Calibri" w:cs="Calibri"/>
            <w:color w:val="0563C1"/>
            <w:sz w:val="21"/>
            <w:szCs w:val="21"/>
            <w:u w:val="single"/>
          </w:rPr>
          <w:t>Register here for Nov 11</w:t>
        </w:r>
      </w:hyperlink>
      <w:r w:rsidRPr="006D5BD3">
        <w:rPr>
          <w:rFonts w:ascii="Calibri" w:eastAsia="Times New Roman" w:hAnsi="Calibri" w:cs="Calibri"/>
          <w:sz w:val="21"/>
          <w:szCs w:val="21"/>
          <w:highlight w:val="yellow"/>
        </w:rPr>
        <w:t xml:space="preserve"> </w:t>
      </w:r>
    </w:p>
    <w:p w14:paraId="704FDABF" w14:textId="77777777" w:rsidR="006D5BD3" w:rsidRDefault="006D5BD3" w:rsidP="00CE525A">
      <w:pPr>
        <w:shd w:val="clear" w:color="auto" w:fill="FFFFFF"/>
        <w:rPr>
          <w:rFonts w:ascii="Calibri" w:hAnsi="Calibri"/>
          <w:b/>
          <w:bCs/>
          <w:color w:val="FF0000"/>
          <w:sz w:val="21"/>
          <w:szCs w:val="21"/>
        </w:rPr>
      </w:pPr>
    </w:p>
    <w:p w14:paraId="3BAACF82" w14:textId="10A6F69F" w:rsidR="00CE525A" w:rsidRDefault="00D35D29" w:rsidP="00CE525A">
      <w:pPr>
        <w:shd w:val="clear" w:color="auto" w:fill="FFFFFF"/>
        <w:rPr>
          <w:rFonts w:ascii="Calibri" w:hAnsi="Calibri"/>
          <w:color w:val="36495F"/>
          <w:sz w:val="21"/>
          <w:szCs w:val="21"/>
        </w:rPr>
      </w:pPr>
      <w:r>
        <w:rPr>
          <w:rFonts w:ascii="Calibri" w:hAnsi="Calibri"/>
          <w:b/>
          <w:bCs/>
          <w:color w:val="FF0000"/>
          <w:sz w:val="21"/>
          <w:szCs w:val="21"/>
        </w:rPr>
        <w:t>Reminder</w:t>
      </w:r>
      <w:r w:rsidR="00CE525A">
        <w:rPr>
          <w:rFonts w:ascii="Calibri" w:hAnsi="Calibri"/>
          <w:b/>
          <w:bCs/>
          <w:color w:val="000000"/>
          <w:sz w:val="21"/>
          <w:szCs w:val="21"/>
        </w:rPr>
        <w:t xml:space="preserve"> Preliminary information about Pfizer COVID-19 vaccines for children &lt;12 years old </w:t>
      </w:r>
    </w:p>
    <w:p w14:paraId="22E78A2A" w14:textId="77777777" w:rsidR="00CE525A" w:rsidRDefault="00CE525A" w:rsidP="00CE525A">
      <w:pPr>
        <w:numPr>
          <w:ilvl w:val="0"/>
          <w:numId w:val="4"/>
        </w:numPr>
        <w:shd w:val="clear" w:color="auto" w:fill="FFFFFF"/>
        <w:ind w:left="1320"/>
        <w:rPr>
          <w:rFonts w:ascii="Calibri" w:hAnsi="Calibri"/>
          <w:color w:val="000000"/>
          <w:sz w:val="21"/>
          <w:szCs w:val="21"/>
        </w:rPr>
      </w:pPr>
      <w:r>
        <w:rPr>
          <w:rFonts w:ascii="Calibri" w:hAnsi="Calibri"/>
          <w:color w:val="000000"/>
          <w:sz w:val="21"/>
          <w:szCs w:val="21"/>
        </w:rPr>
        <w:t xml:space="preserve">There are approximately 28M children between the ages of 5-11 years old in the United States. The US government has procured enough vaccine to support vaccination of this population. </w:t>
      </w:r>
    </w:p>
    <w:p w14:paraId="27AC423A" w14:textId="77777777" w:rsidR="00CE525A" w:rsidRDefault="00CE525A" w:rsidP="00CE525A">
      <w:pPr>
        <w:numPr>
          <w:ilvl w:val="0"/>
          <w:numId w:val="4"/>
        </w:numPr>
        <w:shd w:val="clear" w:color="auto" w:fill="FFFFFF"/>
        <w:ind w:left="1320"/>
        <w:rPr>
          <w:rFonts w:ascii="Calibri" w:hAnsi="Calibri"/>
          <w:color w:val="000000"/>
          <w:sz w:val="21"/>
          <w:szCs w:val="21"/>
        </w:rPr>
      </w:pPr>
      <w:r>
        <w:rPr>
          <w:rFonts w:ascii="Calibri" w:hAnsi="Calibri"/>
          <w:color w:val="000000"/>
          <w:sz w:val="21"/>
          <w:szCs w:val="21"/>
        </w:rPr>
        <w:t xml:space="preserve">The Pfizer-BioNTech COVID-19 Vaccine for 5–11-year-olds will be a new product with new packaging and a new national drug code (NDC). Current product for adults and adolescents should not be used in children. </w:t>
      </w:r>
    </w:p>
    <w:p w14:paraId="1675842A" w14:textId="77777777" w:rsidR="00CE525A" w:rsidRDefault="00CE525A" w:rsidP="00CE525A">
      <w:pPr>
        <w:numPr>
          <w:ilvl w:val="0"/>
          <w:numId w:val="4"/>
        </w:numPr>
        <w:shd w:val="clear" w:color="auto" w:fill="FFFFFF"/>
        <w:ind w:left="1320"/>
        <w:rPr>
          <w:rFonts w:ascii="Calibri" w:hAnsi="Calibri"/>
          <w:color w:val="000000"/>
          <w:sz w:val="21"/>
          <w:szCs w:val="21"/>
        </w:rPr>
      </w:pPr>
      <w:r>
        <w:rPr>
          <w:rFonts w:ascii="Calibri" w:hAnsi="Calibri"/>
          <w:color w:val="000000"/>
          <w:sz w:val="21"/>
          <w:szCs w:val="21"/>
        </w:rPr>
        <w:t xml:space="preserve">The new product configuration will be 10-dose vials, in packages of 10 vials (100 dose total) pending FDA authorization. The product can be stored for 10 weeks at 2-8°C. There will also be changes to the product shipper. </w:t>
      </w:r>
    </w:p>
    <w:p w14:paraId="355BF19C" w14:textId="77777777" w:rsidR="00CE525A" w:rsidRDefault="00CE525A" w:rsidP="00CE525A">
      <w:pPr>
        <w:numPr>
          <w:ilvl w:val="0"/>
          <w:numId w:val="4"/>
        </w:numPr>
        <w:shd w:val="clear" w:color="auto" w:fill="FFFFFF"/>
        <w:ind w:left="1320"/>
        <w:rPr>
          <w:rFonts w:ascii="Calibri" w:hAnsi="Calibri"/>
          <w:color w:val="000000"/>
          <w:sz w:val="21"/>
          <w:szCs w:val="21"/>
        </w:rPr>
      </w:pPr>
      <w:r>
        <w:rPr>
          <w:rFonts w:ascii="Calibri" w:hAnsi="Calibri"/>
          <w:color w:val="000000"/>
          <w:sz w:val="21"/>
          <w:szCs w:val="21"/>
        </w:rPr>
        <w:t xml:space="preserve">COVID-19 pediatric vaccines will require diluent, and this will be provided with ancillary supplies which are configured specific to new vaccine packaging and appropriate for use in children. </w:t>
      </w:r>
    </w:p>
    <w:p w14:paraId="411B1BDA" w14:textId="7F9CF070" w:rsidR="00A029D9" w:rsidRPr="000B2504" w:rsidRDefault="00CE525A" w:rsidP="000B2504">
      <w:pPr>
        <w:numPr>
          <w:ilvl w:val="0"/>
          <w:numId w:val="4"/>
        </w:numPr>
        <w:shd w:val="clear" w:color="auto" w:fill="FFFFFF"/>
        <w:ind w:left="1320"/>
        <w:rPr>
          <w:rFonts w:ascii="Calibri" w:hAnsi="Calibri"/>
          <w:color w:val="36495F"/>
          <w:sz w:val="21"/>
          <w:szCs w:val="21"/>
        </w:rPr>
      </w:pPr>
      <w:r>
        <w:rPr>
          <w:rFonts w:ascii="Calibri" w:hAnsi="Calibri"/>
          <w:color w:val="000000"/>
          <w:sz w:val="21"/>
          <w:szCs w:val="21"/>
        </w:rPr>
        <w:t>The new NDC will require additional coding and information technology accommodations, which are underway. </w:t>
      </w:r>
    </w:p>
    <w:p w14:paraId="47554C4B" w14:textId="77777777" w:rsidR="00FF565F" w:rsidRDefault="00FF565F" w:rsidP="008F62F8">
      <w:pPr>
        <w:pStyle w:val="NormalWeb"/>
        <w:shd w:val="clear" w:color="auto" w:fill="FFFFFF"/>
        <w:spacing w:before="0" w:beforeAutospacing="0" w:after="0" w:afterAutospacing="0"/>
        <w:rPr>
          <w:rFonts w:asciiTheme="minorHAnsi" w:hAnsiTheme="minorHAnsi" w:cs="Calibri"/>
          <w:b/>
          <w:bCs/>
          <w:color w:val="FF0000"/>
          <w:sz w:val="22"/>
          <w:szCs w:val="22"/>
        </w:rPr>
      </w:pPr>
    </w:p>
    <w:p w14:paraId="352F8616" w14:textId="487B881B" w:rsidR="00FF565F" w:rsidRDefault="00FF565F" w:rsidP="008F62F8">
      <w:pPr>
        <w:pStyle w:val="NormalWeb"/>
        <w:shd w:val="clear" w:color="auto" w:fill="FFFFFF"/>
        <w:spacing w:before="0" w:beforeAutospacing="0" w:after="0" w:afterAutospacing="0"/>
        <w:rPr>
          <w:rFonts w:asciiTheme="minorHAnsi" w:hAnsiTheme="minorHAnsi" w:cs="Calibri"/>
          <w:b/>
          <w:bCs/>
          <w:color w:val="FF0000"/>
          <w:sz w:val="22"/>
          <w:szCs w:val="22"/>
        </w:rPr>
      </w:pPr>
      <w:r>
        <w:rPr>
          <w:noProof/>
        </w:rPr>
        <w:lastRenderedPageBreak/>
        <w:drawing>
          <wp:inline distT="0" distB="0" distL="0" distR="0" wp14:anchorId="2C51F124" wp14:editId="6177B585">
            <wp:extent cx="5943600" cy="3962400"/>
            <wp:effectExtent l="38100" t="38100" r="38100" b="38100"/>
            <wp:docPr id="2"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40"/>
                    <a:stretch>
                      <a:fillRect/>
                    </a:stretch>
                  </pic:blipFill>
                  <pic:spPr>
                    <a:xfrm>
                      <a:off x="0" y="0"/>
                      <a:ext cx="5943600" cy="3962400"/>
                    </a:xfrm>
                    <a:prstGeom prst="rect">
                      <a:avLst/>
                    </a:prstGeom>
                    <a:ln w="25400">
                      <a:solidFill>
                        <a:schemeClr val="accent1"/>
                      </a:solidFill>
                    </a:ln>
                  </pic:spPr>
                </pic:pic>
              </a:graphicData>
            </a:graphic>
          </wp:inline>
        </w:drawing>
      </w:r>
    </w:p>
    <w:p w14:paraId="184D8CF0" w14:textId="77777777" w:rsidR="00CE525A" w:rsidRDefault="00CE525A" w:rsidP="00CE525A">
      <w:pPr>
        <w:shd w:val="clear" w:color="auto" w:fill="FFFFFF"/>
        <w:rPr>
          <w:rFonts w:ascii="Calibri" w:hAnsi="Calibri"/>
          <w:color w:val="36495F"/>
          <w:sz w:val="21"/>
          <w:szCs w:val="21"/>
        </w:rPr>
      </w:pPr>
    </w:p>
    <w:p w14:paraId="72248982" w14:textId="4491DFD3" w:rsidR="00CE525A" w:rsidRDefault="00D17C3E" w:rsidP="00CE525A">
      <w:pPr>
        <w:shd w:val="clear" w:color="auto" w:fill="FFFFFF"/>
        <w:rPr>
          <w:rFonts w:ascii="Calibri" w:hAnsi="Calibri"/>
          <w:color w:val="36495F"/>
          <w:sz w:val="21"/>
          <w:szCs w:val="21"/>
        </w:rPr>
      </w:pPr>
      <w:r>
        <w:rPr>
          <w:rFonts w:ascii="Calibri" w:hAnsi="Calibri"/>
          <w:b/>
          <w:bCs/>
          <w:color w:val="FF0000"/>
          <w:sz w:val="21"/>
          <w:szCs w:val="21"/>
        </w:rPr>
        <w:t>Reminder</w:t>
      </w:r>
      <w:r w:rsidR="00CE525A">
        <w:rPr>
          <w:rFonts w:ascii="Calibri" w:hAnsi="Calibri"/>
          <w:b/>
          <w:bCs/>
          <w:color w:val="FF0000"/>
          <w:sz w:val="21"/>
          <w:szCs w:val="21"/>
        </w:rPr>
        <w:t xml:space="preserve"> </w:t>
      </w:r>
      <w:proofErr w:type="gramStart"/>
      <w:r w:rsidR="00CE525A">
        <w:rPr>
          <w:rFonts w:ascii="Calibri" w:hAnsi="Calibri"/>
          <w:b/>
          <w:bCs/>
          <w:color w:val="36495F"/>
          <w:sz w:val="21"/>
          <w:szCs w:val="21"/>
        </w:rPr>
        <w:t>T</w:t>
      </w:r>
      <w:r w:rsidR="00CE525A">
        <w:rPr>
          <w:rFonts w:ascii="Calibri" w:hAnsi="Calibri"/>
          <w:b/>
          <w:bCs/>
          <w:color w:val="000000"/>
          <w:sz w:val="21"/>
          <w:szCs w:val="21"/>
        </w:rPr>
        <w:t>he</w:t>
      </w:r>
      <w:proofErr w:type="gramEnd"/>
      <w:r w:rsidR="00CE525A">
        <w:rPr>
          <w:rFonts w:ascii="Calibri" w:hAnsi="Calibri"/>
          <w:b/>
          <w:bCs/>
          <w:color w:val="000000"/>
          <w:sz w:val="21"/>
          <w:szCs w:val="21"/>
        </w:rPr>
        <w:t xml:space="preserve"> Importance of Keeping Consumer Demographic Information in MIIS Up to Date During COVID-19:</w:t>
      </w:r>
      <w:r w:rsidR="00CE525A">
        <w:rPr>
          <w:rFonts w:ascii="Calibri" w:hAnsi="Calibri"/>
          <w:color w:val="000000"/>
          <w:sz w:val="21"/>
          <w:szCs w:val="21"/>
        </w:rPr>
        <w:t xml:space="preserve"> Due to increased demand for access to vaccination records and proof of vaccination, it is critical that vaccination records remain as up-to-date as possible in the Massachusetts Immunization Information System (MIIS). As Massachusetts explores potential vaccine credential systems, the Department of Public Health is strongly encouraging providers to ensure they have an email address and/or phone number for every patient in their MIIS immunization records. For example, providers can do this via automated emails or text messages to their patients or by reconciling their internal records so each patient can be reached by phone or email.</w:t>
      </w:r>
    </w:p>
    <w:p w14:paraId="7EBC3483"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0D8A94B4" w14:textId="411A1604"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The MIIS allows providers to access their patient records through this web-based application to enable demographic and immunization updates. You can view</w:t>
      </w:r>
      <w:r>
        <w:rPr>
          <w:rFonts w:ascii="Calibri" w:hAnsi="Calibri"/>
          <w:color w:val="36495F"/>
          <w:sz w:val="21"/>
          <w:szCs w:val="21"/>
        </w:rPr>
        <w:t xml:space="preserve"> </w:t>
      </w:r>
      <w:hyperlink r:id="rId41" w:tgtFrame="_blank" w:history="1">
        <w:r w:rsidRPr="00E903CA">
          <w:rPr>
            <w:rStyle w:val="Hyperlink"/>
            <w:rFonts w:ascii="Calibri" w:hAnsi="Calibri"/>
            <w:color w:val="0070C0"/>
            <w:sz w:val="21"/>
            <w:szCs w:val="21"/>
          </w:rPr>
          <w:t>Patient Lookup in the MIIS</w:t>
        </w:r>
      </w:hyperlink>
      <w:r>
        <w:rPr>
          <w:rFonts w:ascii="Calibri" w:hAnsi="Calibri"/>
          <w:color w:val="4278EB"/>
          <w:sz w:val="21"/>
          <w:szCs w:val="21"/>
        </w:rPr>
        <w:t xml:space="preserve"> </w:t>
      </w:r>
      <w:r>
        <w:rPr>
          <w:rFonts w:ascii="Calibri" w:hAnsi="Calibri"/>
          <w:color w:val="000000"/>
          <w:sz w:val="21"/>
          <w:szCs w:val="21"/>
        </w:rPr>
        <w:t xml:space="preserve">for more information. Technical solutions will be available soon to allow demographic only updates to be sent directly from your electronic health record systems. Please contact the MIIS Helpdesk </w:t>
      </w:r>
      <w:hyperlink r:id="rId42" w:tgtFrame="_blank" w:history="1">
        <w:r w:rsidRPr="00E903CA">
          <w:rPr>
            <w:rStyle w:val="Hyperlink"/>
            <w:rFonts w:ascii="Calibri" w:hAnsi="Calibri"/>
            <w:color w:val="0070C0"/>
            <w:sz w:val="21"/>
            <w:szCs w:val="21"/>
          </w:rPr>
          <w:t>miishelpdesk@mass.gov</w:t>
        </w:r>
      </w:hyperlink>
      <w:r>
        <w:rPr>
          <w:rFonts w:ascii="Calibri" w:hAnsi="Calibri"/>
          <w:color w:val="36495F"/>
          <w:sz w:val="21"/>
          <w:szCs w:val="21"/>
        </w:rPr>
        <w:t xml:space="preserve"> </w:t>
      </w:r>
      <w:r>
        <w:rPr>
          <w:rFonts w:ascii="Calibri" w:hAnsi="Calibri"/>
          <w:color w:val="000000"/>
          <w:sz w:val="21"/>
          <w:szCs w:val="21"/>
        </w:rPr>
        <w:t xml:space="preserve">for more information. </w:t>
      </w:r>
    </w:p>
    <w:p w14:paraId="4BD1C6B6" w14:textId="60A51A46" w:rsidR="00CE525A" w:rsidRDefault="00CE525A" w:rsidP="00CE525A">
      <w:pPr>
        <w:shd w:val="clear" w:color="auto" w:fill="FFFFFF"/>
        <w:rPr>
          <w:rFonts w:ascii="Calibri" w:hAnsi="Calibri"/>
          <w:color w:val="36495F"/>
          <w:sz w:val="21"/>
          <w:szCs w:val="21"/>
        </w:rPr>
      </w:pPr>
    </w:p>
    <w:p w14:paraId="49C11BAB"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sidRPr="005D08C3">
        <w:rPr>
          <w:rFonts w:ascii="Calibri" w:hAnsi="Calibri"/>
          <w:b/>
          <w:bCs/>
          <w:color w:val="000000" w:themeColor="text1"/>
          <w:sz w:val="21"/>
          <w:szCs w:val="21"/>
        </w:rPr>
        <w:t>Massachusetts resources</w:t>
      </w:r>
    </w:p>
    <w:p w14:paraId="104F4A03" w14:textId="77777777" w:rsidR="00CE525A" w:rsidRDefault="00CE525A" w:rsidP="00CE525A">
      <w:pPr>
        <w:numPr>
          <w:ilvl w:val="0"/>
          <w:numId w:val="8"/>
        </w:numPr>
        <w:shd w:val="clear" w:color="auto" w:fill="FFFFFF"/>
        <w:ind w:left="1320"/>
        <w:rPr>
          <w:rFonts w:ascii="Calibri" w:hAnsi="Calibri"/>
          <w:color w:val="36495F"/>
          <w:sz w:val="21"/>
          <w:szCs w:val="21"/>
        </w:rPr>
      </w:pPr>
      <w:r>
        <w:rPr>
          <w:rFonts w:ascii="Calibri" w:hAnsi="Calibri"/>
          <w:color w:val="201F1E"/>
          <w:sz w:val="21"/>
          <w:szCs w:val="21"/>
        </w:rPr>
        <w:t xml:space="preserve">COVID-19 </w:t>
      </w:r>
      <w:hyperlink r:id="rId43" w:tgtFrame="_blank" w:history="1">
        <w:r w:rsidRPr="00E903CA">
          <w:rPr>
            <w:rStyle w:val="Hyperlink"/>
            <w:rFonts w:ascii="Calibri" w:hAnsi="Calibri"/>
            <w:color w:val="0070C0"/>
            <w:sz w:val="21"/>
            <w:szCs w:val="21"/>
          </w:rPr>
          <w:t>booster frequently asked questions</w:t>
        </w:r>
      </w:hyperlink>
      <w:r>
        <w:rPr>
          <w:rFonts w:ascii="Calibri" w:hAnsi="Calibri"/>
          <w:color w:val="201F1E"/>
          <w:sz w:val="21"/>
          <w:szCs w:val="21"/>
        </w:rPr>
        <w:t xml:space="preserve"> </w:t>
      </w:r>
    </w:p>
    <w:p w14:paraId="4CD7153A" w14:textId="77777777" w:rsidR="00CE525A" w:rsidRDefault="00CE525A" w:rsidP="00CE525A">
      <w:pPr>
        <w:numPr>
          <w:ilvl w:val="0"/>
          <w:numId w:val="8"/>
        </w:numPr>
        <w:shd w:val="clear" w:color="auto" w:fill="FFFFFF"/>
        <w:ind w:left="1320"/>
        <w:rPr>
          <w:rFonts w:ascii="Calibri" w:hAnsi="Calibri"/>
          <w:color w:val="36495F"/>
          <w:sz w:val="21"/>
          <w:szCs w:val="21"/>
        </w:rPr>
      </w:pPr>
      <w:r>
        <w:rPr>
          <w:rFonts w:ascii="Calibri" w:hAnsi="Calibri"/>
          <w:color w:val="201F1E"/>
          <w:sz w:val="21"/>
          <w:szCs w:val="21"/>
        </w:rPr>
        <w:t xml:space="preserve">Eligibility </w:t>
      </w:r>
      <w:hyperlink r:id="rId44" w:anchor="eligibility-" w:tgtFrame="_blank" w:history="1">
        <w:r w:rsidRPr="00E903CA">
          <w:rPr>
            <w:rStyle w:val="Hyperlink"/>
            <w:rFonts w:ascii="Calibri" w:hAnsi="Calibri"/>
            <w:color w:val="0070C0"/>
            <w:sz w:val="21"/>
            <w:szCs w:val="21"/>
          </w:rPr>
          <w:t>questions and an Eligibility Checker</w:t>
        </w:r>
      </w:hyperlink>
      <w:r>
        <w:rPr>
          <w:rFonts w:ascii="Calibri" w:hAnsi="Calibri"/>
          <w:color w:val="201F1E"/>
          <w:sz w:val="21"/>
          <w:szCs w:val="21"/>
        </w:rPr>
        <w:t xml:space="preserve"> tool</w:t>
      </w:r>
    </w:p>
    <w:p w14:paraId="72563E7D" w14:textId="77777777" w:rsidR="00CE525A" w:rsidRDefault="00CE525A" w:rsidP="00CE525A">
      <w:pPr>
        <w:numPr>
          <w:ilvl w:val="0"/>
          <w:numId w:val="8"/>
        </w:numPr>
        <w:shd w:val="clear" w:color="auto" w:fill="FFFFFF"/>
        <w:ind w:left="1320"/>
        <w:rPr>
          <w:rFonts w:ascii="Calibri" w:hAnsi="Calibri"/>
          <w:color w:val="36495F"/>
          <w:sz w:val="21"/>
          <w:szCs w:val="21"/>
        </w:rPr>
      </w:pPr>
      <w:r>
        <w:rPr>
          <w:rFonts w:ascii="Calibri" w:hAnsi="Calibri"/>
          <w:color w:val="201F1E"/>
          <w:sz w:val="21"/>
          <w:szCs w:val="21"/>
        </w:rPr>
        <w:t xml:space="preserve">Search for Vaccine locations: </w:t>
      </w:r>
      <w:hyperlink r:id="rId45" w:tgtFrame="_blank" w:history="1">
        <w:r w:rsidRPr="00E903CA">
          <w:rPr>
            <w:rStyle w:val="Hyperlink"/>
            <w:rFonts w:ascii="Calibri" w:hAnsi="Calibri"/>
            <w:color w:val="0070C0"/>
            <w:sz w:val="21"/>
            <w:szCs w:val="21"/>
          </w:rPr>
          <w:t>https://vaxfinder.mass.gov/</w:t>
        </w:r>
      </w:hyperlink>
      <w:r>
        <w:rPr>
          <w:rFonts w:ascii="Calibri" w:hAnsi="Calibri"/>
          <w:color w:val="0070C0"/>
          <w:sz w:val="21"/>
          <w:szCs w:val="21"/>
        </w:rPr>
        <w:t xml:space="preserve"> </w:t>
      </w:r>
    </w:p>
    <w:p w14:paraId="71A83B3E" w14:textId="77777777" w:rsidR="00CE525A" w:rsidRDefault="00CE525A" w:rsidP="00CE525A">
      <w:pPr>
        <w:numPr>
          <w:ilvl w:val="0"/>
          <w:numId w:val="8"/>
        </w:numPr>
        <w:shd w:val="clear" w:color="auto" w:fill="FFFFFF"/>
        <w:ind w:left="1320"/>
        <w:rPr>
          <w:rFonts w:ascii="Calibri" w:hAnsi="Calibri"/>
          <w:color w:val="36495F"/>
          <w:sz w:val="21"/>
          <w:szCs w:val="21"/>
        </w:rPr>
      </w:pPr>
      <w:r>
        <w:rPr>
          <w:rFonts w:ascii="Calibri" w:hAnsi="Calibri"/>
          <w:color w:val="000000"/>
          <w:sz w:val="21"/>
          <w:szCs w:val="21"/>
        </w:rPr>
        <w:t xml:space="preserve">COVID-19 Vaccine Resource Line/2-1-1 is available for individuals who are unable to use </w:t>
      </w:r>
      <w:proofErr w:type="spellStart"/>
      <w:r>
        <w:rPr>
          <w:rFonts w:ascii="Calibri" w:hAnsi="Calibri"/>
          <w:color w:val="000000"/>
          <w:sz w:val="21"/>
          <w:szCs w:val="21"/>
        </w:rPr>
        <w:t>Vaxfinder</w:t>
      </w:r>
      <w:proofErr w:type="spellEnd"/>
      <w:r>
        <w:rPr>
          <w:rFonts w:ascii="Calibri" w:hAnsi="Calibri"/>
          <w:color w:val="000000"/>
          <w:sz w:val="21"/>
          <w:szCs w:val="21"/>
        </w:rPr>
        <w:t>, or have difficulty accessing the internet. Available in English and Spanish and has translators available in approximately 100 additional languages</w:t>
      </w:r>
      <w:r>
        <w:rPr>
          <w:rFonts w:ascii="Calibri" w:hAnsi="Calibri"/>
          <w:color w:val="201F1E"/>
          <w:sz w:val="21"/>
          <w:szCs w:val="21"/>
        </w:rPr>
        <w:t>.</w:t>
      </w:r>
    </w:p>
    <w:p w14:paraId="5DF5A0D9" w14:textId="77777777" w:rsidR="00CE525A" w:rsidRDefault="00CE525A" w:rsidP="00CE525A">
      <w:pPr>
        <w:numPr>
          <w:ilvl w:val="0"/>
          <w:numId w:val="8"/>
        </w:numPr>
        <w:shd w:val="clear" w:color="auto" w:fill="FFFFFF"/>
        <w:ind w:left="1320"/>
        <w:rPr>
          <w:rFonts w:ascii="Calibri" w:hAnsi="Calibri"/>
          <w:color w:val="36495F"/>
          <w:sz w:val="21"/>
          <w:szCs w:val="21"/>
        </w:rPr>
      </w:pPr>
      <w:r>
        <w:rPr>
          <w:rFonts w:ascii="Calibri" w:hAnsi="Calibri"/>
          <w:color w:val="201F1E"/>
          <w:sz w:val="21"/>
          <w:szCs w:val="21"/>
        </w:rPr>
        <w:t xml:space="preserve">COVID-19 </w:t>
      </w:r>
      <w:hyperlink r:id="rId46" w:tgtFrame="_blank" w:history="1">
        <w:r w:rsidRPr="00E903CA">
          <w:rPr>
            <w:rStyle w:val="Hyperlink"/>
            <w:rFonts w:ascii="Calibri" w:hAnsi="Calibri"/>
            <w:color w:val="0070C0"/>
            <w:sz w:val="21"/>
            <w:szCs w:val="21"/>
          </w:rPr>
          <w:t>Vaccine Information</w:t>
        </w:r>
      </w:hyperlink>
    </w:p>
    <w:p w14:paraId="3992D17A" w14:textId="507B0DA9" w:rsidR="008F2747" w:rsidRDefault="008F2747" w:rsidP="00CE525A">
      <w:pPr>
        <w:shd w:val="clear" w:color="auto" w:fill="FFFFFF"/>
        <w:rPr>
          <w:rFonts w:ascii="Calibri" w:hAnsi="Calibri"/>
          <w:b/>
          <w:bCs/>
          <w:color w:val="000000"/>
          <w:sz w:val="21"/>
          <w:szCs w:val="21"/>
        </w:rPr>
      </w:pPr>
    </w:p>
    <w:p w14:paraId="1BC7EC28" w14:textId="3D9621AB" w:rsidR="008F2747" w:rsidRPr="008F2747" w:rsidRDefault="008F2747" w:rsidP="00CE525A">
      <w:pPr>
        <w:shd w:val="clear" w:color="auto" w:fill="FFFFFF"/>
        <w:rPr>
          <w:rFonts w:ascii="Calibri" w:hAnsi="Calibri"/>
          <w:color w:val="36495F"/>
          <w:sz w:val="21"/>
          <w:szCs w:val="21"/>
        </w:rPr>
      </w:pPr>
      <w:r w:rsidRPr="00314ED5">
        <w:rPr>
          <w:rFonts w:ascii="Calibri" w:hAnsi="Calibri"/>
          <w:b/>
          <w:bCs/>
          <w:color w:val="FF0000"/>
          <w:sz w:val="21"/>
          <w:szCs w:val="21"/>
        </w:rPr>
        <w:t>Reminde</w:t>
      </w:r>
      <w:r w:rsidR="0097437A" w:rsidRPr="005736DB">
        <w:rPr>
          <w:rFonts w:ascii="Calibri" w:hAnsi="Calibri"/>
          <w:b/>
          <w:bCs/>
          <w:color w:val="FF0000"/>
          <w:sz w:val="21"/>
          <w:szCs w:val="21"/>
        </w:rPr>
        <w:t>r</w:t>
      </w:r>
      <w:r w:rsidR="0097437A">
        <w:rPr>
          <w:rFonts w:ascii="Calibri" w:hAnsi="Calibri"/>
          <w:b/>
          <w:bCs/>
          <w:color w:val="FF0000"/>
          <w:sz w:val="21"/>
          <w:szCs w:val="21"/>
        </w:rPr>
        <w:t xml:space="preserve"> </w:t>
      </w:r>
      <w:r w:rsidR="0097437A" w:rsidRPr="00314ED5">
        <w:rPr>
          <w:rFonts w:ascii="Calibri" w:hAnsi="Calibri"/>
          <w:b/>
          <w:bCs/>
          <w:color w:val="000000"/>
          <w:sz w:val="21"/>
          <w:szCs w:val="21"/>
        </w:rPr>
        <w:t>Pfizer 1170 shipment suspended</w:t>
      </w:r>
      <w:r w:rsidR="0097437A">
        <w:rPr>
          <w:rFonts w:ascii="Calibri" w:hAnsi="Calibri"/>
          <w:color w:val="000000"/>
          <w:sz w:val="21"/>
          <w:szCs w:val="21"/>
        </w:rPr>
        <w:t xml:space="preserve"> </w:t>
      </w:r>
      <w:proofErr w:type="gramStart"/>
      <w:r w:rsidR="0097437A">
        <w:rPr>
          <w:rFonts w:ascii="Calibri" w:hAnsi="Calibri"/>
          <w:color w:val="000000"/>
          <w:sz w:val="21"/>
          <w:szCs w:val="21"/>
        </w:rPr>
        <w:t>To</w:t>
      </w:r>
      <w:proofErr w:type="gramEnd"/>
      <w:r w:rsidR="0097437A">
        <w:rPr>
          <w:rFonts w:ascii="Calibri" w:hAnsi="Calibri"/>
          <w:color w:val="000000"/>
          <w:sz w:val="21"/>
          <w:szCs w:val="21"/>
        </w:rPr>
        <w:t xml:space="preserve"> maximize delivery of Pfizer pediatric doses, </w:t>
      </w:r>
      <w:r w:rsidR="005736DB">
        <w:rPr>
          <w:rFonts w:ascii="Calibri" w:hAnsi="Calibri"/>
          <w:color w:val="000000"/>
          <w:sz w:val="21"/>
          <w:szCs w:val="21"/>
        </w:rPr>
        <w:t xml:space="preserve">shipment of the </w:t>
      </w:r>
      <w:r w:rsidR="0097437A">
        <w:rPr>
          <w:rFonts w:ascii="Calibri" w:hAnsi="Calibri"/>
          <w:color w:val="000000"/>
          <w:sz w:val="21"/>
          <w:szCs w:val="21"/>
        </w:rPr>
        <w:t>Pfizer 1170 trays will be suspende</w:t>
      </w:r>
      <w:r w:rsidR="00ED1F49">
        <w:rPr>
          <w:rFonts w:ascii="Calibri" w:hAnsi="Calibri"/>
          <w:color w:val="000000"/>
          <w:sz w:val="21"/>
          <w:szCs w:val="21"/>
        </w:rPr>
        <w:t>d on Friday, October 29</w:t>
      </w:r>
      <w:r w:rsidR="00ED1F49" w:rsidRPr="00314ED5">
        <w:rPr>
          <w:rFonts w:ascii="Calibri" w:hAnsi="Calibri"/>
          <w:color w:val="000000"/>
          <w:sz w:val="21"/>
          <w:szCs w:val="21"/>
          <w:vertAlign w:val="superscript"/>
        </w:rPr>
        <w:t>th</w:t>
      </w:r>
      <w:r w:rsidR="00ED1F49">
        <w:rPr>
          <w:rFonts w:ascii="Calibri" w:hAnsi="Calibri"/>
          <w:color w:val="000000"/>
          <w:sz w:val="21"/>
          <w:szCs w:val="21"/>
        </w:rPr>
        <w:t>.  Shipment</w:t>
      </w:r>
      <w:r w:rsidR="005736DB">
        <w:rPr>
          <w:rFonts w:ascii="Calibri" w:hAnsi="Calibri"/>
          <w:color w:val="000000"/>
          <w:sz w:val="21"/>
          <w:szCs w:val="21"/>
        </w:rPr>
        <w:t>s</w:t>
      </w:r>
      <w:r w:rsidR="00ED1F49">
        <w:rPr>
          <w:rFonts w:ascii="Calibri" w:hAnsi="Calibri"/>
          <w:color w:val="000000"/>
          <w:sz w:val="21"/>
          <w:szCs w:val="21"/>
        </w:rPr>
        <w:t xml:space="preserve"> will restart on Thursday, November 4 (or 6 days after the FDA meeting is set for).</w:t>
      </w:r>
    </w:p>
    <w:p w14:paraId="2F6C6490"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lastRenderedPageBreak/>
        <w:t> </w:t>
      </w:r>
    </w:p>
    <w:p w14:paraId="6C5ABCE7"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b/>
          <w:bCs/>
          <w:color w:val="000000"/>
          <w:sz w:val="21"/>
          <w:szCs w:val="21"/>
        </w:rPr>
        <w:t xml:space="preserve"> COVID Vaccine Ordering</w:t>
      </w:r>
      <w:r>
        <w:rPr>
          <w:rFonts w:ascii="Calibri" w:hAnsi="Calibri"/>
          <w:color w:val="000000"/>
          <w:sz w:val="21"/>
          <w:szCs w:val="21"/>
        </w:rPr>
        <w:t> All vaccine orders placed in the MIIS are reviewed and approved within 3 business days after being submitted. Once approved, the Vaccine Management Unit submits orders daily to the CDC for processing and shipping. CDC ships vaccines within 3-4 business days. Orders from sites showing large, expiring, or expired doses of COVID vaccine inventory could be delayed, reduced, or canceled by the Vaccine Management Unit. To prevent orders from being delayed, reduced, or canceled providers must:</w:t>
      </w:r>
    </w:p>
    <w:p w14:paraId="700DECE4" w14:textId="77777777" w:rsidR="00CE525A" w:rsidRDefault="00CE525A" w:rsidP="00CE525A">
      <w:pPr>
        <w:numPr>
          <w:ilvl w:val="0"/>
          <w:numId w:val="10"/>
        </w:numPr>
        <w:shd w:val="clear" w:color="auto" w:fill="FFFFFF"/>
        <w:ind w:left="1320"/>
        <w:rPr>
          <w:rFonts w:ascii="Calibri" w:hAnsi="Calibri"/>
          <w:color w:val="000000"/>
          <w:sz w:val="21"/>
          <w:szCs w:val="21"/>
        </w:rPr>
      </w:pPr>
      <w:r>
        <w:rPr>
          <w:rFonts w:ascii="Calibri" w:hAnsi="Calibri"/>
          <w:color w:val="000000"/>
          <w:sz w:val="21"/>
          <w:szCs w:val="21"/>
        </w:rPr>
        <w:t>ensure that the MIIS inventory matches the site’s physical inventory</w:t>
      </w:r>
    </w:p>
    <w:p w14:paraId="6145D426" w14:textId="77777777" w:rsidR="00CE525A" w:rsidRDefault="00CE525A" w:rsidP="00CE525A">
      <w:pPr>
        <w:numPr>
          <w:ilvl w:val="0"/>
          <w:numId w:val="10"/>
        </w:numPr>
        <w:shd w:val="clear" w:color="auto" w:fill="FFFFFF"/>
        <w:ind w:left="1320"/>
        <w:rPr>
          <w:rFonts w:ascii="Calibri" w:hAnsi="Calibri"/>
          <w:color w:val="000000"/>
          <w:sz w:val="21"/>
          <w:szCs w:val="21"/>
        </w:rPr>
      </w:pPr>
      <w:r>
        <w:rPr>
          <w:rFonts w:ascii="Calibri" w:hAnsi="Calibri"/>
          <w:color w:val="000000"/>
          <w:sz w:val="21"/>
          <w:szCs w:val="21"/>
        </w:rPr>
        <w:t>confirm that all doses administered have been reported and processed in MIIS</w:t>
      </w:r>
    </w:p>
    <w:p w14:paraId="4EE8903E" w14:textId="77777777" w:rsidR="00CE525A" w:rsidRDefault="00CE525A" w:rsidP="00CE525A">
      <w:pPr>
        <w:numPr>
          <w:ilvl w:val="0"/>
          <w:numId w:val="10"/>
        </w:numPr>
        <w:shd w:val="clear" w:color="auto" w:fill="FFFFFF"/>
        <w:ind w:left="1320"/>
        <w:rPr>
          <w:rFonts w:ascii="Calibri" w:hAnsi="Calibri"/>
          <w:color w:val="000000"/>
          <w:sz w:val="21"/>
          <w:szCs w:val="21"/>
        </w:rPr>
      </w:pPr>
      <w:r>
        <w:rPr>
          <w:rFonts w:ascii="Calibri" w:hAnsi="Calibri"/>
          <w:color w:val="000000"/>
          <w:sz w:val="21"/>
          <w:szCs w:val="21"/>
        </w:rPr>
        <w:t>confirm that all storage and handling issues have been reported in MIIS</w:t>
      </w:r>
    </w:p>
    <w:p w14:paraId="4AF27D9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w:t>
      </w:r>
    </w:p>
    <w:p w14:paraId="53C8758D" w14:textId="22D7F0CB" w:rsidR="00CE525A" w:rsidRDefault="00CE525A" w:rsidP="00CE525A">
      <w:pPr>
        <w:shd w:val="clear" w:color="auto" w:fill="FFFFFF"/>
        <w:rPr>
          <w:rFonts w:ascii="Calibri" w:hAnsi="Calibri"/>
          <w:color w:val="36495F"/>
          <w:sz w:val="21"/>
          <w:szCs w:val="21"/>
        </w:rPr>
      </w:pPr>
      <w:bookmarkStart w:id="1" w:name="_Hlk86129286"/>
      <w:r>
        <w:rPr>
          <w:rFonts w:ascii="Calibri" w:hAnsi="Calibri"/>
          <w:b/>
          <w:bCs/>
          <w:color w:val="000000"/>
          <w:sz w:val="21"/>
          <w:szCs w:val="21"/>
        </w:rPr>
        <w:t>Please Note:</w:t>
      </w:r>
      <w:r>
        <w:rPr>
          <w:rFonts w:ascii="Calibri" w:hAnsi="Calibri"/>
          <w:color w:val="000000"/>
          <w:sz w:val="21"/>
          <w:szCs w:val="21"/>
        </w:rPr>
        <w:t xml:space="preserve"> Repackaging of COVID vaccines doses for smaller ordering sizes is only available for primary care provider (PCP) offices</w:t>
      </w:r>
      <w:r w:rsidR="00314ED5">
        <w:rPr>
          <w:rFonts w:ascii="Calibri" w:hAnsi="Calibri"/>
          <w:color w:val="000000"/>
          <w:sz w:val="21"/>
          <w:szCs w:val="21"/>
        </w:rPr>
        <w:t xml:space="preserve"> </w:t>
      </w:r>
      <w:r>
        <w:rPr>
          <w:rFonts w:ascii="Calibri" w:hAnsi="Calibri"/>
          <w:color w:val="000000"/>
          <w:sz w:val="21"/>
          <w:szCs w:val="21"/>
        </w:rPr>
        <w:t>– (</w:t>
      </w:r>
      <w:r w:rsidR="00337236">
        <w:rPr>
          <w:rFonts w:ascii="Calibri" w:hAnsi="Calibri"/>
          <w:color w:val="000000"/>
          <w:sz w:val="21"/>
          <w:szCs w:val="21"/>
        </w:rPr>
        <w:t xml:space="preserve">community health centers, </w:t>
      </w:r>
      <w:r>
        <w:rPr>
          <w:rFonts w:ascii="Calibri" w:hAnsi="Calibri"/>
          <w:color w:val="000000"/>
          <w:sz w:val="21"/>
          <w:szCs w:val="21"/>
        </w:rPr>
        <w:t xml:space="preserve">pediatric, family medicine, internal medicine practices in addition to small specialty practices). Smaller dose orders can still be placed as usual in MIIS. Individual exceptions to these ordering limitations may be made on a </w:t>
      </w:r>
      <w:proofErr w:type="gramStart"/>
      <w:r>
        <w:rPr>
          <w:rFonts w:ascii="Calibri" w:hAnsi="Calibri"/>
          <w:color w:val="000000"/>
          <w:sz w:val="21"/>
          <w:szCs w:val="21"/>
        </w:rPr>
        <w:t>case by case</w:t>
      </w:r>
      <w:proofErr w:type="gramEnd"/>
      <w:r>
        <w:rPr>
          <w:rFonts w:ascii="Calibri" w:hAnsi="Calibri"/>
          <w:color w:val="000000"/>
          <w:sz w:val="21"/>
          <w:szCs w:val="21"/>
        </w:rPr>
        <w:t xml:space="preserve"> basis by contacting the Vaccine Unit.  </w:t>
      </w:r>
      <w:r w:rsidR="00314ED5">
        <w:rPr>
          <w:rFonts w:ascii="Calibri" w:hAnsi="Calibri"/>
          <w:color w:val="000000"/>
          <w:sz w:val="21"/>
          <w:szCs w:val="21"/>
        </w:rPr>
        <w:t xml:space="preserve"> </w:t>
      </w:r>
    </w:p>
    <w:bookmarkEnd w:id="1"/>
    <w:p w14:paraId="4C527372"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1223B25C"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xml:space="preserve">The minimum dose amounts orderable by PCPs: </w:t>
      </w:r>
    </w:p>
    <w:p w14:paraId="7E7E3402" w14:textId="77777777" w:rsidR="00CE525A" w:rsidRDefault="00CE525A" w:rsidP="00CE525A">
      <w:pPr>
        <w:numPr>
          <w:ilvl w:val="0"/>
          <w:numId w:val="11"/>
        </w:numPr>
        <w:shd w:val="clear" w:color="auto" w:fill="FFFFFF"/>
        <w:ind w:left="1320"/>
        <w:rPr>
          <w:rFonts w:ascii="Calibri" w:hAnsi="Calibri"/>
          <w:color w:val="000000"/>
          <w:sz w:val="21"/>
          <w:szCs w:val="21"/>
        </w:rPr>
      </w:pPr>
      <w:r>
        <w:rPr>
          <w:rFonts w:ascii="Calibri" w:hAnsi="Calibri"/>
          <w:b/>
          <w:bCs/>
          <w:color w:val="000000"/>
          <w:sz w:val="21"/>
          <w:szCs w:val="21"/>
        </w:rPr>
        <w:t xml:space="preserve">60 doses (6 dose vial) of Pfizer </w:t>
      </w:r>
    </w:p>
    <w:p w14:paraId="4A9E2098" w14:textId="77777777" w:rsidR="00CE525A" w:rsidRDefault="00CE525A" w:rsidP="00CE525A">
      <w:pPr>
        <w:numPr>
          <w:ilvl w:val="0"/>
          <w:numId w:val="11"/>
        </w:numPr>
        <w:shd w:val="clear" w:color="auto" w:fill="FFFFFF"/>
        <w:ind w:left="1320"/>
        <w:rPr>
          <w:rFonts w:ascii="Calibri" w:hAnsi="Calibri"/>
          <w:color w:val="000000"/>
          <w:sz w:val="21"/>
          <w:szCs w:val="21"/>
        </w:rPr>
      </w:pPr>
      <w:r>
        <w:rPr>
          <w:rFonts w:ascii="Calibri" w:hAnsi="Calibri"/>
          <w:b/>
          <w:bCs/>
          <w:color w:val="000000"/>
          <w:sz w:val="21"/>
          <w:szCs w:val="21"/>
        </w:rPr>
        <w:t>70 doses (14 dose vial) of Moderna</w:t>
      </w:r>
    </w:p>
    <w:p w14:paraId="2F554867" w14:textId="77777777" w:rsidR="00CE525A" w:rsidRDefault="00CE525A" w:rsidP="00CE525A">
      <w:pPr>
        <w:numPr>
          <w:ilvl w:val="0"/>
          <w:numId w:val="11"/>
        </w:numPr>
        <w:shd w:val="clear" w:color="auto" w:fill="FFFFFF"/>
        <w:ind w:left="1320"/>
        <w:rPr>
          <w:rFonts w:ascii="Calibri" w:hAnsi="Calibri"/>
          <w:color w:val="000000"/>
          <w:sz w:val="21"/>
          <w:szCs w:val="21"/>
        </w:rPr>
      </w:pPr>
      <w:r>
        <w:rPr>
          <w:rFonts w:ascii="Calibri" w:hAnsi="Calibri"/>
          <w:b/>
          <w:bCs/>
          <w:color w:val="000000"/>
          <w:sz w:val="21"/>
          <w:szCs w:val="21"/>
        </w:rPr>
        <w:t>25 doses (5 dose vial) of Johnson &amp; Johnson</w:t>
      </w:r>
    </w:p>
    <w:p w14:paraId="75C76172" w14:textId="77777777" w:rsidR="00CE525A" w:rsidRDefault="00CE525A" w:rsidP="00CE525A">
      <w:pPr>
        <w:shd w:val="clear" w:color="auto" w:fill="FFFFFF"/>
        <w:rPr>
          <w:rFonts w:ascii="Calibri" w:hAnsi="Calibri"/>
          <w:color w:val="36495F"/>
          <w:sz w:val="21"/>
          <w:szCs w:val="21"/>
        </w:rPr>
      </w:pPr>
      <w:r>
        <w:rPr>
          <w:rFonts w:ascii="Calibri" w:hAnsi="Calibri"/>
          <w:color w:val="2D2926"/>
          <w:sz w:val="21"/>
          <w:szCs w:val="21"/>
        </w:rPr>
        <w:t> </w:t>
      </w:r>
    </w:p>
    <w:p w14:paraId="7CF23DE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The Vaccine Unit will be fulfilling orders from the State Lab, and courier services will deliver vaccines and ancillary kits. Vaccines are transported in a cooler and in a refrigerated temperature range with a digital data logger. Upon receiving Pfizer and Moderna vaccines, ensure vaccines are placed in the refrigerator and write the beyond used date on the vials. </w:t>
      </w:r>
    </w:p>
    <w:p w14:paraId="743EECD6"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2D10C70D" w14:textId="77777777" w:rsidR="00CE525A" w:rsidRDefault="00CE525A" w:rsidP="00CE525A">
      <w:pPr>
        <w:shd w:val="clear" w:color="auto" w:fill="FFFFFF"/>
        <w:rPr>
          <w:rFonts w:ascii="Calibri" w:hAnsi="Calibri"/>
          <w:color w:val="36495F"/>
          <w:sz w:val="21"/>
          <w:szCs w:val="21"/>
        </w:rPr>
      </w:pPr>
      <w:bookmarkStart w:id="2" w:name="_Hlk86230832"/>
      <w:r>
        <w:rPr>
          <w:rFonts w:ascii="Calibri" w:hAnsi="Calibri"/>
          <w:color w:val="000000"/>
          <w:sz w:val="21"/>
          <w:szCs w:val="21"/>
        </w:rPr>
        <w:t xml:space="preserve">For all other provider sites, the following packaging presentation of COVID-19 vaccines are available for ordering: </w:t>
      </w:r>
    </w:p>
    <w:p w14:paraId="77B11A8E" w14:textId="77777777" w:rsidR="00CE525A" w:rsidRDefault="00CE525A" w:rsidP="00CE525A">
      <w:pPr>
        <w:numPr>
          <w:ilvl w:val="0"/>
          <w:numId w:val="12"/>
        </w:numPr>
        <w:shd w:val="clear" w:color="auto" w:fill="FFFFFF"/>
        <w:ind w:left="1320"/>
        <w:rPr>
          <w:rFonts w:ascii="Calibri" w:hAnsi="Calibri"/>
          <w:color w:val="000000"/>
          <w:sz w:val="21"/>
          <w:szCs w:val="21"/>
        </w:rPr>
      </w:pPr>
      <w:r>
        <w:rPr>
          <w:rFonts w:ascii="Calibri" w:hAnsi="Calibri"/>
          <w:color w:val="000000"/>
          <w:sz w:val="21"/>
          <w:szCs w:val="21"/>
        </w:rPr>
        <w:t>Pfizer 1170 doses</w:t>
      </w:r>
    </w:p>
    <w:p w14:paraId="6054BBCF" w14:textId="77777777" w:rsidR="00CE525A" w:rsidRDefault="00CE525A" w:rsidP="00CE525A">
      <w:pPr>
        <w:numPr>
          <w:ilvl w:val="0"/>
          <w:numId w:val="12"/>
        </w:numPr>
        <w:shd w:val="clear" w:color="auto" w:fill="FFFFFF"/>
        <w:ind w:left="1320"/>
        <w:rPr>
          <w:rFonts w:ascii="Calibri" w:hAnsi="Calibri"/>
          <w:color w:val="000000"/>
          <w:sz w:val="21"/>
          <w:szCs w:val="21"/>
        </w:rPr>
      </w:pPr>
      <w:r>
        <w:rPr>
          <w:rFonts w:ascii="Calibri" w:hAnsi="Calibri"/>
          <w:color w:val="000000"/>
          <w:sz w:val="21"/>
          <w:szCs w:val="21"/>
        </w:rPr>
        <w:t>Moderna 100 doses</w:t>
      </w:r>
    </w:p>
    <w:p w14:paraId="2DB5E8B7" w14:textId="77777777" w:rsidR="00CE525A" w:rsidRDefault="00CE525A" w:rsidP="00CE525A">
      <w:pPr>
        <w:numPr>
          <w:ilvl w:val="0"/>
          <w:numId w:val="12"/>
        </w:numPr>
        <w:shd w:val="clear" w:color="auto" w:fill="FFFFFF"/>
        <w:ind w:left="1320"/>
        <w:rPr>
          <w:rFonts w:ascii="Calibri" w:hAnsi="Calibri"/>
          <w:color w:val="000000"/>
          <w:sz w:val="21"/>
          <w:szCs w:val="21"/>
        </w:rPr>
      </w:pPr>
      <w:r>
        <w:rPr>
          <w:rFonts w:ascii="Calibri" w:hAnsi="Calibri"/>
          <w:color w:val="000000"/>
          <w:sz w:val="21"/>
          <w:szCs w:val="21"/>
        </w:rPr>
        <w:t>Moderna 140 doses</w:t>
      </w:r>
    </w:p>
    <w:p w14:paraId="36AD7944" w14:textId="77777777" w:rsidR="00CE525A" w:rsidRDefault="00CE525A" w:rsidP="00CE525A">
      <w:pPr>
        <w:numPr>
          <w:ilvl w:val="0"/>
          <w:numId w:val="12"/>
        </w:numPr>
        <w:shd w:val="clear" w:color="auto" w:fill="FFFFFF"/>
        <w:ind w:left="1320"/>
        <w:rPr>
          <w:rFonts w:ascii="Calibri" w:hAnsi="Calibri"/>
          <w:color w:val="000000"/>
          <w:sz w:val="21"/>
          <w:szCs w:val="21"/>
        </w:rPr>
      </w:pPr>
      <w:r>
        <w:rPr>
          <w:rFonts w:ascii="Calibri" w:hAnsi="Calibri"/>
          <w:color w:val="000000"/>
          <w:sz w:val="21"/>
          <w:szCs w:val="21"/>
        </w:rPr>
        <w:t>Johnson and Johnson 100 doses</w:t>
      </w:r>
    </w:p>
    <w:p w14:paraId="3811F5CD"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Pfizer 450 dose is no longer available for ordering.</w:t>
      </w:r>
      <w:r>
        <w:rPr>
          <w:rFonts w:ascii="Calibri" w:hAnsi="Calibri"/>
          <w:color w:val="36495F"/>
          <w:sz w:val="21"/>
          <w:szCs w:val="21"/>
        </w:rPr>
        <w:t xml:space="preserve"> </w:t>
      </w:r>
    </w:p>
    <w:bookmarkEnd w:id="2"/>
    <w:p w14:paraId="240F99FB"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05930A3A"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 xml:space="preserve">Reminder </w:t>
      </w:r>
      <w:r>
        <w:rPr>
          <w:rFonts w:ascii="Calibri" w:hAnsi="Calibri"/>
          <w:color w:val="000000"/>
          <w:sz w:val="21"/>
          <w:szCs w:val="21"/>
        </w:rPr>
        <w:t xml:space="preserve">Sites must provide a justification to order above the ceiling limits and meet the conditions below: </w:t>
      </w:r>
      <w:r>
        <w:rPr>
          <w:rFonts w:ascii="Calibri" w:hAnsi="Calibri"/>
          <w:color w:val="36495F"/>
          <w:sz w:val="21"/>
          <w:szCs w:val="21"/>
        </w:rPr>
        <w:t> </w:t>
      </w:r>
    </w:p>
    <w:p w14:paraId="74FC16F4" w14:textId="77777777" w:rsidR="00CE525A" w:rsidRDefault="00CE525A" w:rsidP="00CE525A">
      <w:pPr>
        <w:numPr>
          <w:ilvl w:val="0"/>
          <w:numId w:val="13"/>
        </w:numPr>
        <w:shd w:val="clear" w:color="auto" w:fill="FFFFFF"/>
        <w:ind w:left="1320"/>
        <w:rPr>
          <w:rFonts w:ascii="Calibri" w:hAnsi="Calibri"/>
          <w:color w:val="000000"/>
          <w:sz w:val="21"/>
          <w:szCs w:val="21"/>
        </w:rPr>
      </w:pPr>
      <w:r>
        <w:rPr>
          <w:rFonts w:ascii="Calibri" w:hAnsi="Calibri"/>
          <w:color w:val="000000"/>
          <w:sz w:val="21"/>
          <w:szCs w:val="21"/>
        </w:rPr>
        <w:t>Please plan your ordering and inventory to ensure you do not maintain more than a 30-day supply of vaccine (or up to a 45-day supply for primary care provider offices). Given the ample supply of vaccine, there is no need to order quantities beyond your anticipated 30-day/45-day throughput to ensure adequate supply.</w:t>
      </w:r>
    </w:p>
    <w:p w14:paraId="06097E36" w14:textId="77777777" w:rsidR="00CE525A" w:rsidRDefault="00CE525A" w:rsidP="00CE525A">
      <w:pPr>
        <w:numPr>
          <w:ilvl w:val="0"/>
          <w:numId w:val="13"/>
        </w:numPr>
        <w:shd w:val="clear" w:color="auto" w:fill="FFFFFF"/>
        <w:ind w:left="1320"/>
        <w:rPr>
          <w:rFonts w:ascii="Calibri" w:hAnsi="Calibri"/>
          <w:color w:val="000000"/>
          <w:sz w:val="21"/>
          <w:szCs w:val="21"/>
        </w:rPr>
      </w:pPr>
      <w:r>
        <w:rPr>
          <w:rFonts w:ascii="Calibri" w:hAnsi="Calibri"/>
          <w:color w:val="000000"/>
          <w:sz w:val="21"/>
          <w:szCs w:val="21"/>
        </w:rPr>
        <w:t>Report to the MIIS all doses within 24 hours of administration</w:t>
      </w:r>
    </w:p>
    <w:p w14:paraId="353BA2ED" w14:textId="77777777" w:rsidR="00CE525A" w:rsidRDefault="00CE525A" w:rsidP="00CE525A">
      <w:pPr>
        <w:numPr>
          <w:ilvl w:val="0"/>
          <w:numId w:val="13"/>
        </w:numPr>
        <w:shd w:val="clear" w:color="auto" w:fill="FFFFFF"/>
        <w:ind w:left="1320"/>
        <w:rPr>
          <w:rFonts w:ascii="Calibri" w:hAnsi="Calibri"/>
          <w:color w:val="36495F"/>
          <w:sz w:val="21"/>
          <w:szCs w:val="21"/>
        </w:rPr>
      </w:pPr>
      <w:r>
        <w:rPr>
          <w:rFonts w:ascii="Calibri" w:hAnsi="Calibri"/>
          <w:color w:val="000000"/>
          <w:sz w:val="21"/>
          <w:szCs w:val="21"/>
        </w:rPr>
        <w:t xml:space="preserve">Agree to </w:t>
      </w:r>
      <w:hyperlink r:id="rId47" w:tgtFrame="_blank" w:history="1">
        <w:r w:rsidRPr="00E903CA">
          <w:rPr>
            <w:rStyle w:val="Hyperlink"/>
            <w:rFonts w:ascii="Calibri" w:hAnsi="Calibri"/>
            <w:color w:val="0070C0"/>
            <w:sz w:val="21"/>
            <w:szCs w:val="21"/>
          </w:rPr>
          <w:t>allowable vaccine wastage guidelines</w:t>
        </w:r>
      </w:hyperlink>
      <w:r>
        <w:rPr>
          <w:rFonts w:ascii="Calibri" w:hAnsi="Calibri"/>
          <w:color w:val="0070C0"/>
          <w:sz w:val="21"/>
          <w:szCs w:val="21"/>
        </w:rPr>
        <w:t xml:space="preserve"> </w:t>
      </w:r>
      <w:r>
        <w:rPr>
          <w:rFonts w:ascii="Calibri" w:hAnsi="Calibri"/>
          <w:color w:val="000000"/>
          <w:sz w:val="21"/>
          <w:szCs w:val="21"/>
        </w:rPr>
        <w:t>(updated October 13, 2021)</w:t>
      </w:r>
    </w:p>
    <w:p w14:paraId="4BE6389C" w14:textId="68E28A81" w:rsidR="00CE525A" w:rsidRDefault="00CE525A" w:rsidP="00CE525A">
      <w:pPr>
        <w:shd w:val="clear" w:color="auto" w:fill="FFFFFF"/>
        <w:rPr>
          <w:rFonts w:ascii="Calibri" w:hAnsi="Calibri"/>
          <w:color w:val="000000"/>
          <w:sz w:val="21"/>
          <w:szCs w:val="21"/>
        </w:rPr>
      </w:pPr>
      <w:r>
        <w:rPr>
          <w:rFonts w:ascii="Calibri" w:hAnsi="Calibri"/>
          <w:color w:val="000000"/>
          <w:sz w:val="21"/>
          <w:szCs w:val="21"/>
        </w:rPr>
        <w:t> </w:t>
      </w:r>
    </w:p>
    <w:p w14:paraId="4B583571" w14:textId="06C99725" w:rsidR="00375B0C" w:rsidRPr="00E903CA" w:rsidRDefault="00375B0C" w:rsidP="00375B0C">
      <w:pPr>
        <w:shd w:val="clear" w:color="auto" w:fill="FFFFFF"/>
        <w:rPr>
          <w:rFonts w:ascii="Calibri" w:hAnsi="Calibri"/>
          <w:sz w:val="21"/>
          <w:szCs w:val="21"/>
        </w:rPr>
      </w:pPr>
      <w:r w:rsidRPr="00E903CA">
        <w:rPr>
          <w:rFonts w:ascii="Calibri" w:hAnsi="Calibri"/>
          <w:b/>
          <w:bCs/>
          <w:color w:val="FF0000"/>
          <w:sz w:val="21"/>
          <w:szCs w:val="21"/>
        </w:rPr>
        <w:t xml:space="preserve">New </w:t>
      </w:r>
      <w:proofErr w:type="spellStart"/>
      <w:r w:rsidRPr="00E903CA">
        <w:rPr>
          <w:rFonts w:ascii="Calibri" w:hAnsi="Calibri"/>
          <w:b/>
          <w:bCs/>
          <w:sz w:val="21"/>
          <w:szCs w:val="21"/>
        </w:rPr>
        <w:t>Moderna</w:t>
      </w:r>
      <w:proofErr w:type="spellEnd"/>
      <w:r w:rsidRPr="00E903CA">
        <w:rPr>
          <w:rFonts w:ascii="Calibri" w:hAnsi="Calibri"/>
          <w:b/>
          <w:bCs/>
          <w:sz w:val="21"/>
          <w:szCs w:val="21"/>
        </w:rPr>
        <w:t xml:space="preserve"> Expiry</w:t>
      </w:r>
      <w:r w:rsidR="005736DB" w:rsidRPr="00E903CA">
        <w:rPr>
          <w:rFonts w:ascii="Calibri" w:hAnsi="Calibri"/>
          <w:b/>
          <w:bCs/>
          <w:sz w:val="21"/>
          <w:szCs w:val="21"/>
        </w:rPr>
        <w:t xml:space="preserve"> Extension</w:t>
      </w:r>
      <w:r w:rsidR="005736DB" w:rsidRPr="00E903CA">
        <w:rPr>
          <w:rFonts w:ascii="Calibri" w:hAnsi="Calibri"/>
          <w:sz w:val="21"/>
          <w:szCs w:val="21"/>
        </w:rPr>
        <w:t xml:space="preserve"> </w:t>
      </w:r>
      <w:proofErr w:type="spellStart"/>
      <w:r w:rsidRPr="00E903CA">
        <w:rPr>
          <w:rFonts w:ascii="Calibri" w:hAnsi="Calibri"/>
          <w:sz w:val="21"/>
          <w:szCs w:val="21"/>
        </w:rPr>
        <w:t>Moderna</w:t>
      </w:r>
      <w:proofErr w:type="spellEnd"/>
      <w:r w:rsidRPr="00E903CA">
        <w:rPr>
          <w:rFonts w:ascii="Calibri" w:hAnsi="Calibri"/>
          <w:sz w:val="21"/>
          <w:szCs w:val="21"/>
        </w:rPr>
        <w:t xml:space="preserve"> continues to update data regarding extension of expired </w:t>
      </w:r>
      <w:r w:rsidR="005736DB" w:rsidRPr="00E903CA">
        <w:rPr>
          <w:rFonts w:ascii="Calibri" w:hAnsi="Calibri"/>
          <w:sz w:val="21"/>
          <w:szCs w:val="21"/>
        </w:rPr>
        <w:t>dates</w:t>
      </w:r>
      <w:r w:rsidRPr="00E903CA">
        <w:rPr>
          <w:rFonts w:ascii="Calibri" w:hAnsi="Calibri"/>
          <w:sz w:val="21"/>
          <w:szCs w:val="21"/>
        </w:rPr>
        <w:t>. A total of 78 lots have been approved for extension</w:t>
      </w:r>
      <w:r w:rsidR="005736DB" w:rsidRPr="00E903CA">
        <w:rPr>
          <w:rFonts w:ascii="Calibri" w:hAnsi="Calibri"/>
          <w:sz w:val="21"/>
          <w:szCs w:val="21"/>
        </w:rPr>
        <w:t xml:space="preserve"> to date.</w:t>
      </w:r>
      <w:r w:rsidR="00274B60" w:rsidRPr="00E903CA">
        <w:rPr>
          <w:rFonts w:ascii="Calibri" w:hAnsi="Calibri"/>
          <w:sz w:val="21"/>
          <w:szCs w:val="21"/>
        </w:rPr>
        <w:t xml:space="preserve"> Expiration dates are in the process of being updated in the MIIS inventory page. </w:t>
      </w:r>
    </w:p>
    <w:p w14:paraId="12070CD1" w14:textId="77777777" w:rsidR="00375B0C" w:rsidRPr="00E903CA" w:rsidRDefault="00375B0C" w:rsidP="00375B0C">
      <w:pPr>
        <w:shd w:val="clear" w:color="auto" w:fill="FFFFFF"/>
        <w:rPr>
          <w:rFonts w:ascii="Calibri" w:hAnsi="Calibri"/>
          <w:sz w:val="21"/>
          <w:szCs w:val="21"/>
        </w:rPr>
      </w:pPr>
    </w:p>
    <w:p w14:paraId="33835C75" w14:textId="67363145" w:rsidR="00375B0C" w:rsidRPr="00E903CA" w:rsidRDefault="00375B0C" w:rsidP="00375B0C">
      <w:pPr>
        <w:shd w:val="clear" w:color="auto" w:fill="FFFFFF"/>
        <w:rPr>
          <w:rFonts w:ascii="Calibri" w:hAnsi="Calibri"/>
          <w:sz w:val="21"/>
          <w:szCs w:val="21"/>
        </w:rPr>
      </w:pPr>
      <w:bookmarkStart w:id="3" w:name="_Hlk86129248"/>
      <w:r w:rsidRPr="00E903CA">
        <w:rPr>
          <w:rFonts w:ascii="Calibri" w:hAnsi="Calibri"/>
          <w:sz w:val="21"/>
          <w:szCs w:val="21"/>
        </w:rPr>
        <w:t xml:space="preserve">The product </w:t>
      </w:r>
      <w:r w:rsidRPr="007E6044">
        <w:rPr>
          <w:rFonts w:ascii="Calibri" w:hAnsi="Calibri"/>
          <w:b/>
          <w:bCs/>
          <w:sz w:val="21"/>
          <w:szCs w:val="21"/>
        </w:rPr>
        <w:t>must be maintained in the frozen state</w:t>
      </w:r>
      <w:r w:rsidRPr="00E903CA">
        <w:rPr>
          <w:rFonts w:ascii="Calibri" w:hAnsi="Calibri"/>
          <w:sz w:val="21"/>
          <w:szCs w:val="21"/>
        </w:rPr>
        <w:t xml:space="preserve"> for the extension to be applicable (extension does not apply to thawed vials).  Moderna’s look up tool remains the official indicator of product expiry.</w:t>
      </w:r>
    </w:p>
    <w:bookmarkEnd w:id="3"/>
    <w:p w14:paraId="517EC6A0" w14:textId="77777777" w:rsidR="00375B0C" w:rsidRPr="005F3DF7" w:rsidRDefault="00375B0C" w:rsidP="00375B0C">
      <w:pPr>
        <w:shd w:val="clear" w:color="auto" w:fill="FFFFFF"/>
        <w:rPr>
          <w:rFonts w:ascii="Calibri" w:hAnsi="Calibri"/>
          <w:sz w:val="21"/>
          <w:szCs w:val="21"/>
        </w:rPr>
      </w:pPr>
    </w:p>
    <w:p w14:paraId="0796C4F7" w14:textId="77777777" w:rsidR="00375B0C" w:rsidRPr="005F3DF7" w:rsidRDefault="0046539E" w:rsidP="00375B0C">
      <w:pPr>
        <w:shd w:val="clear" w:color="auto" w:fill="FFFFFF"/>
        <w:rPr>
          <w:rFonts w:ascii="Calibri" w:hAnsi="Calibri"/>
          <w:color w:val="0070C0"/>
          <w:sz w:val="21"/>
          <w:szCs w:val="21"/>
        </w:rPr>
      </w:pPr>
      <w:hyperlink r:id="rId48" w:history="1">
        <w:r w:rsidR="00375B0C" w:rsidRPr="00E903CA">
          <w:rPr>
            <w:rStyle w:val="Hyperlink"/>
            <w:rFonts w:ascii="Calibri" w:hAnsi="Calibri"/>
            <w:color w:val="0070C0"/>
            <w:sz w:val="21"/>
            <w:szCs w:val="21"/>
          </w:rPr>
          <w:t>https://www.modernatx.com/covid19vaccine-eua/providers/vial-lookup#vialLookUpTool</w:t>
        </w:r>
      </w:hyperlink>
    </w:p>
    <w:p w14:paraId="3E0EED3B" w14:textId="77777777" w:rsidR="00375B0C" w:rsidRPr="00375B0C" w:rsidRDefault="00375B0C" w:rsidP="00375B0C">
      <w:pPr>
        <w:shd w:val="clear" w:color="auto" w:fill="FFFFFF"/>
        <w:rPr>
          <w:rFonts w:ascii="Calibri" w:hAnsi="Calibri"/>
          <w:color w:val="36495F"/>
          <w:sz w:val="21"/>
          <w:szCs w:val="21"/>
        </w:rPr>
      </w:pPr>
    </w:p>
    <w:p w14:paraId="462C4013"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Resources &amp; Learning Opportunities</w:t>
      </w:r>
    </w:p>
    <w:p w14:paraId="2AA2E867"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w:t>
      </w:r>
    </w:p>
    <w:p w14:paraId="7BA9FF3C" w14:textId="43B1A27F" w:rsidR="00D17C3E" w:rsidRDefault="00D17C3E" w:rsidP="00D17C3E">
      <w:pPr>
        <w:shd w:val="clear" w:color="auto" w:fill="FFFFFF"/>
        <w:rPr>
          <w:rFonts w:ascii="Calibri" w:hAnsi="Calibri"/>
          <w:color w:val="000000"/>
          <w:sz w:val="21"/>
          <w:szCs w:val="21"/>
        </w:rPr>
      </w:pPr>
      <w:r>
        <w:rPr>
          <w:rFonts w:ascii="Calibri" w:hAnsi="Calibri"/>
          <w:b/>
          <w:bCs/>
          <w:color w:val="FF0000"/>
          <w:sz w:val="21"/>
          <w:szCs w:val="21"/>
        </w:rPr>
        <w:lastRenderedPageBreak/>
        <w:t>Reminder</w:t>
      </w:r>
      <w:r>
        <w:rPr>
          <w:rFonts w:ascii="Calibri" w:hAnsi="Calibri"/>
          <w:b/>
          <w:bCs/>
          <w:color w:val="000000"/>
          <w:sz w:val="21"/>
          <w:szCs w:val="21"/>
        </w:rPr>
        <w:t xml:space="preserve"> Morbidity and Mortality Weekly Report</w:t>
      </w:r>
      <w:r>
        <w:rPr>
          <w:rFonts w:ascii="Calibri" w:hAnsi="Calibri"/>
          <w:color w:val="000000"/>
          <w:sz w:val="21"/>
          <w:szCs w:val="21"/>
        </w:rPr>
        <w:t>, better known as MMWR, is CDC’s primary publication for disseminating the science it produces. The staff at MMWR have launched a</w:t>
      </w:r>
      <w:r w:rsidRPr="00E903CA">
        <w:rPr>
          <w:rFonts w:ascii="Calibri" w:hAnsi="Calibri"/>
          <w:color w:val="0070C0"/>
          <w:sz w:val="21"/>
          <w:szCs w:val="21"/>
        </w:rPr>
        <w:t xml:space="preserve"> </w:t>
      </w:r>
      <w:hyperlink r:id="rId49" w:tgtFrame="_blank" w:history="1">
        <w:r w:rsidRPr="00E903CA">
          <w:rPr>
            <w:rStyle w:val="Hyperlink"/>
            <w:rFonts w:ascii="Calibri" w:hAnsi="Calibri"/>
            <w:color w:val="0070C0"/>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38940BA6" w14:textId="77777777" w:rsidR="00D17C3E" w:rsidRDefault="00D17C3E" w:rsidP="00D17C3E">
      <w:pPr>
        <w:shd w:val="clear" w:color="auto" w:fill="FFFFFF"/>
        <w:rPr>
          <w:rFonts w:ascii="Calibri" w:hAnsi="Calibri"/>
          <w:color w:val="36495F"/>
          <w:sz w:val="21"/>
          <w:szCs w:val="21"/>
        </w:rPr>
      </w:pPr>
      <w:r>
        <w:rPr>
          <w:rFonts w:ascii="Calibri" w:hAnsi="Calibri"/>
          <w:b/>
          <w:bCs/>
          <w:color w:val="FF0000"/>
          <w:sz w:val="21"/>
          <w:szCs w:val="21"/>
        </w:rPr>
        <w:t>New</w:t>
      </w:r>
      <w:r>
        <w:rPr>
          <w:rFonts w:ascii="Calibri" w:hAnsi="Calibri"/>
          <w:color w:val="36495F"/>
          <w:sz w:val="21"/>
          <w:szCs w:val="21"/>
        </w:rPr>
        <w:t xml:space="preserve"> </w:t>
      </w:r>
      <w:r>
        <w:rPr>
          <w:rFonts w:ascii="Calibri" w:hAnsi="Calibri"/>
          <w:color w:val="000000"/>
          <w:sz w:val="21"/>
          <w:szCs w:val="21"/>
        </w:rPr>
        <w:t>CDC MMWRs</w:t>
      </w:r>
    </w:p>
    <w:p w14:paraId="32930C17" w14:textId="77777777" w:rsidR="00D17C3E" w:rsidRPr="00D17C3E" w:rsidRDefault="00D17C3E" w:rsidP="00D17C3E">
      <w:pPr>
        <w:pStyle w:val="NormalWeb"/>
        <w:spacing w:before="0" w:beforeAutospacing="0" w:after="0" w:afterAutospacing="0"/>
        <w:contextualSpacing/>
        <w:rPr>
          <w:rFonts w:asciiTheme="minorHAnsi" w:hAnsiTheme="minorHAnsi" w:cstheme="minorHAnsi"/>
          <w:color w:val="000000"/>
        </w:rPr>
      </w:pPr>
      <w:r w:rsidRPr="00D17C3E">
        <w:rPr>
          <w:rStyle w:val="Strong"/>
          <w:rFonts w:asciiTheme="minorHAnsi" w:hAnsiTheme="minorHAnsi" w:cstheme="minorHAnsi"/>
          <w:color w:val="000000"/>
        </w:rPr>
        <w:t>October 22, 2021 (Early Release) </w:t>
      </w:r>
    </w:p>
    <w:p w14:paraId="4E43A965" w14:textId="77777777" w:rsidR="00D17C3E" w:rsidRPr="00E903CA" w:rsidRDefault="0046539E" w:rsidP="00D17C3E">
      <w:pPr>
        <w:numPr>
          <w:ilvl w:val="0"/>
          <w:numId w:val="20"/>
        </w:numPr>
        <w:contextualSpacing/>
        <w:rPr>
          <w:rFonts w:asciiTheme="minorHAnsi" w:hAnsiTheme="minorHAnsi" w:cstheme="minorHAnsi"/>
          <w:color w:val="0070C0"/>
          <w:sz w:val="20"/>
          <w:szCs w:val="20"/>
        </w:rPr>
      </w:pPr>
      <w:hyperlink r:id="rId50" w:history="1">
        <w:r w:rsidR="00D17C3E" w:rsidRPr="00E903CA">
          <w:rPr>
            <w:rStyle w:val="Hyperlink"/>
            <w:rFonts w:asciiTheme="minorHAnsi" w:hAnsiTheme="minorHAnsi" w:cstheme="minorHAnsi"/>
            <w:color w:val="0070C0"/>
            <w:sz w:val="20"/>
            <w:szCs w:val="20"/>
          </w:rPr>
          <w:t>Severity of Disease Among Adults Hospitalized with Laboratory-Confirmed COVID-19 Before and During the Period of SARS-CoV-2 B.1.617.2 (Delta) Predominance — COVID-NET, 14 States, January–August 2021</w:t>
        </w:r>
      </w:hyperlink>
    </w:p>
    <w:p w14:paraId="14C655C5" w14:textId="77777777" w:rsidR="00D17C3E" w:rsidRPr="00E903CA" w:rsidRDefault="0046539E" w:rsidP="00D17C3E">
      <w:pPr>
        <w:numPr>
          <w:ilvl w:val="0"/>
          <w:numId w:val="20"/>
        </w:numPr>
        <w:contextualSpacing/>
        <w:rPr>
          <w:rFonts w:asciiTheme="minorHAnsi" w:hAnsiTheme="minorHAnsi" w:cstheme="minorHAnsi"/>
          <w:color w:val="0070C0"/>
          <w:sz w:val="20"/>
          <w:szCs w:val="20"/>
        </w:rPr>
      </w:pPr>
      <w:hyperlink r:id="rId51" w:history="1">
        <w:r w:rsidR="00D17C3E" w:rsidRPr="00E903CA">
          <w:rPr>
            <w:rStyle w:val="Hyperlink"/>
            <w:rFonts w:asciiTheme="minorHAnsi" w:hAnsiTheme="minorHAnsi" w:cstheme="minorHAnsi"/>
            <w:color w:val="0070C0"/>
            <w:sz w:val="20"/>
            <w:szCs w:val="20"/>
          </w:rPr>
          <w:t>COVID-19 Vaccination and Non–COVID-19 Mortality Risk — Seven Integrated Health Care Organizations, United States, December 14, 2020–July 31, 2021</w:t>
        </w:r>
      </w:hyperlink>
    </w:p>
    <w:p w14:paraId="17D52463" w14:textId="77777777" w:rsidR="00D17C3E" w:rsidRPr="00D17C3E" w:rsidRDefault="00D17C3E" w:rsidP="00D17C3E">
      <w:pPr>
        <w:pStyle w:val="NormalWeb"/>
        <w:spacing w:before="0" w:beforeAutospacing="0" w:after="0" w:afterAutospacing="0"/>
        <w:contextualSpacing/>
        <w:rPr>
          <w:rFonts w:asciiTheme="minorHAnsi" w:hAnsiTheme="minorHAnsi" w:cstheme="minorHAnsi"/>
          <w:color w:val="000000"/>
        </w:rPr>
      </w:pPr>
      <w:r w:rsidRPr="00D17C3E">
        <w:rPr>
          <w:rStyle w:val="Strong"/>
          <w:rFonts w:asciiTheme="minorHAnsi" w:hAnsiTheme="minorHAnsi" w:cstheme="minorHAnsi"/>
          <w:color w:val="000000"/>
        </w:rPr>
        <w:t>October 22, 2021 </w:t>
      </w:r>
    </w:p>
    <w:p w14:paraId="66E197D2" w14:textId="77777777" w:rsidR="00D17C3E" w:rsidRPr="00775A46" w:rsidRDefault="0046539E" w:rsidP="00D17C3E">
      <w:pPr>
        <w:numPr>
          <w:ilvl w:val="0"/>
          <w:numId w:val="21"/>
        </w:numPr>
        <w:contextualSpacing/>
        <w:rPr>
          <w:rFonts w:asciiTheme="minorHAnsi" w:hAnsiTheme="minorHAnsi" w:cstheme="minorHAnsi"/>
          <w:color w:val="0070C0"/>
          <w:sz w:val="20"/>
          <w:szCs w:val="20"/>
        </w:rPr>
      </w:pPr>
      <w:hyperlink r:id="rId52" w:history="1">
        <w:r w:rsidR="00D17C3E" w:rsidRPr="00775A46">
          <w:rPr>
            <w:rStyle w:val="Hyperlink"/>
            <w:rFonts w:asciiTheme="minorHAnsi" w:hAnsiTheme="minorHAnsi" w:cstheme="minorHAnsi"/>
            <w:color w:val="0070C0"/>
            <w:sz w:val="20"/>
            <w:szCs w:val="20"/>
          </w:rPr>
          <w:t>Effectiveness of Pfizer-BioNTech mRNA Vaccination Against COVID-19 Hospitalization Among Persons Aged 12–18 Years — United States, June–September 2021</w:t>
        </w:r>
      </w:hyperlink>
    </w:p>
    <w:p w14:paraId="10B3CC2A" w14:textId="77777777" w:rsidR="00D17C3E" w:rsidRDefault="00D17C3E" w:rsidP="00D17C3E">
      <w:pPr>
        <w:shd w:val="clear" w:color="auto" w:fill="FFFFFF"/>
        <w:rPr>
          <w:rFonts w:ascii="Calibri" w:hAnsi="Calibri"/>
          <w:color w:val="36495F"/>
          <w:sz w:val="21"/>
          <w:szCs w:val="21"/>
        </w:rPr>
      </w:pPr>
    </w:p>
    <w:p w14:paraId="46BA868B" w14:textId="30EA8D49" w:rsidR="00CE525A" w:rsidRDefault="00E93ECB" w:rsidP="00CE525A">
      <w:pPr>
        <w:shd w:val="clear" w:color="auto" w:fill="FFFFFF"/>
        <w:rPr>
          <w:rFonts w:ascii="Calibri" w:hAnsi="Calibri"/>
          <w:color w:val="36495F"/>
          <w:sz w:val="21"/>
          <w:szCs w:val="21"/>
        </w:rPr>
      </w:pPr>
      <w:r>
        <w:rPr>
          <w:rFonts w:ascii="Calibri" w:hAnsi="Calibri"/>
          <w:b/>
          <w:bCs/>
          <w:color w:val="FF0000"/>
          <w:sz w:val="21"/>
          <w:szCs w:val="21"/>
        </w:rPr>
        <w:t>Reminder</w:t>
      </w:r>
      <w:r w:rsidR="00CE525A">
        <w:rPr>
          <w:rFonts w:ascii="Arial" w:hAnsi="Arial" w:cs="Arial"/>
          <w:color w:val="333333"/>
          <w:sz w:val="21"/>
          <w:szCs w:val="21"/>
        </w:rPr>
        <w:t xml:space="preserve"> </w:t>
      </w:r>
      <w:r w:rsidR="00CE525A">
        <w:rPr>
          <w:rFonts w:ascii="Calibri" w:hAnsi="Calibri"/>
          <w:color w:val="333333"/>
          <w:sz w:val="21"/>
          <w:szCs w:val="21"/>
        </w:rPr>
        <w:t>IAC’s </w:t>
      </w:r>
      <w:hyperlink r:id="rId53" w:tgtFrame="_blank" w:history="1">
        <w:r w:rsidR="00CE525A" w:rsidRPr="00E903CA">
          <w:rPr>
            <w:rStyle w:val="Hyperlink"/>
            <w:rFonts w:ascii="Calibri" w:hAnsi="Calibri"/>
            <w:color w:val="0070C0"/>
            <w:sz w:val="21"/>
            <w:szCs w:val="21"/>
          </w:rPr>
          <w:t>Vaccines: COVID-19</w:t>
        </w:r>
      </w:hyperlink>
      <w:r w:rsidR="00CE525A">
        <w:rPr>
          <w:rFonts w:ascii="Calibri" w:hAnsi="Calibri"/>
          <w:color w:val="333333"/>
          <w:sz w:val="21"/>
          <w:szCs w:val="21"/>
        </w:rPr>
        <w:t> </w:t>
      </w:r>
      <w:r w:rsidR="00CE525A">
        <w:rPr>
          <w:rFonts w:ascii="Calibri" w:hAnsi="Calibri"/>
          <w:color w:val="000000"/>
          <w:sz w:val="21"/>
          <w:szCs w:val="21"/>
        </w:rPr>
        <w:t>main page has been updated to include the latest CDC materials on Pfizer-BioNTech COVID-19 Vaccine booster doses, additional doses for immunocompromised people, patient education, and vaccine confidence. This page provides links to key COVID-19 vaccine resource pages from IAC, CDC, and other partners.</w:t>
      </w:r>
    </w:p>
    <w:p w14:paraId="7CC85523" w14:textId="77777777" w:rsidR="00CE525A" w:rsidRDefault="00CE525A" w:rsidP="00CE525A">
      <w:pPr>
        <w:shd w:val="clear" w:color="auto" w:fill="FFFFFF"/>
        <w:rPr>
          <w:rFonts w:ascii="Calibri" w:hAnsi="Calibri"/>
          <w:color w:val="36495F"/>
          <w:sz w:val="21"/>
          <w:szCs w:val="21"/>
        </w:rPr>
      </w:pPr>
      <w:r>
        <w:rPr>
          <w:rFonts w:ascii="Calibri" w:hAnsi="Calibri"/>
          <w:color w:val="0D0D0D"/>
          <w:sz w:val="21"/>
          <w:szCs w:val="21"/>
        </w:rPr>
        <w:t> </w:t>
      </w:r>
    </w:p>
    <w:p w14:paraId="2C772D55" w14:textId="332143B3" w:rsidR="00CE525A" w:rsidRDefault="00E93ECB" w:rsidP="00CE525A">
      <w:pPr>
        <w:shd w:val="clear" w:color="auto" w:fill="FFFFFF"/>
        <w:rPr>
          <w:rFonts w:ascii="Calibri" w:hAnsi="Calibri"/>
          <w:color w:val="36495F"/>
          <w:sz w:val="21"/>
          <w:szCs w:val="21"/>
        </w:rPr>
      </w:pPr>
      <w:r>
        <w:rPr>
          <w:rFonts w:ascii="Calibri" w:hAnsi="Calibri"/>
          <w:b/>
          <w:bCs/>
          <w:color w:val="FF0000"/>
          <w:sz w:val="21"/>
          <w:szCs w:val="21"/>
        </w:rPr>
        <w:t>Reminder</w:t>
      </w:r>
      <w:r w:rsidR="00CE525A">
        <w:rPr>
          <w:rFonts w:ascii="Calibri" w:hAnsi="Calibri"/>
          <w:color w:val="36495F"/>
          <w:sz w:val="21"/>
          <w:szCs w:val="21"/>
        </w:rPr>
        <w:t> </w:t>
      </w:r>
      <w:hyperlink r:id="rId54" w:tgtFrame="_blank" w:history="1">
        <w:r w:rsidR="00CE525A" w:rsidRPr="00E903CA">
          <w:rPr>
            <w:rStyle w:val="Hyperlink"/>
            <w:rFonts w:ascii="Calibri" w:hAnsi="Calibri"/>
            <w:color w:val="0070C0"/>
            <w:sz w:val="21"/>
            <w:szCs w:val="21"/>
          </w:rPr>
          <w:t>Influenza During the COVID-19 Pandemic</w:t>
        </w:r>
      </w:hyperlink>
      <w:hyperlink r:id="rId55" w:tgtFrame="_blank" w:history="1">
        <w:r w:rsidR="00CE525A">
          <w:rPr>
            <w:rStyle w:val="Hyperlink"/>
            <w:rFonts w:ascii="Calibri" w:hAnsi="Calibri"/>
            <w:color w:val="0070C0"/>
            <w:sz w:val="21"/>
            <w:szCs w:val="21"/>
          </w:rPr>
          <w:t xml:space="preserve"> </w:t>
        </w:r>
      </w:hyperlink>
      <w:r w:rsidR="00CE525A">
        <w:rPr>
          <w:rFonts w:ascii="Calibri" w:hAnsi="Calibri"/>
          <w:color w:val="36495F"/>
          <w:sz w:val="21"/>
          <w:szCs w:val="21"/>
        </w:rPr>
        <w:t xml:space="preserve"> - </w:t>
      </w:r>
      <w:r w:rsidR="00CE525A">
        <w:rPr>
          <w:rFonts w:ascii="Calibri" w:hAnsi="Calibri"/>
          <w:color w:val="000000"/>
          <w:sz w:val="21"/>
          <w:szCs w:val="21"/>
        </w:rPr>
        <w:t xml:space="preserve">a new course from the American Academy of Pediatric - This four-part course series provides key information about the 2021-2022 flu season. The purpose of this </w:t>
      </w:r>
      <w:proofErr w:type="spellStart"/>
      <w:r w:rsidR="00CE525A">
        <w:rPr>
          <w:rFonts w:ascii="Calibri" w:hAnsi="Calibri"/>
          <w:color w:val="000000"/>
          <w:sz w:val="21"/>
          <w:szCs w:val="21"/>
        </w:rPr>
        <w:t>PediaLink</w:t>
      </w:r>
      <w:proofErr w:type="spellEnd"/>
      <w:r w:rsidR="00CE525A">
        <w:rPr>
          <w:rFonts w:ascii="Calibri" w:hAnsi="Calibri"/>
          <w:color w:val="000000"/>
          <w:sz w:val="21"/>
          <w:szCs w:val="21"/>
        </w:rPr>
        <w:t xml:space="preserve"> module is to educate pediatric health care professionals on the current American Academy of Pediatrics policy recommendations for routine use of seasonal influenza vaccine and antiviral medications for the prevention and treatment of influenza in infants, children, and adolescents. The recommendations for the prevention and treatment of influenza are updated annually.</w:t>
      </w:r>
    </w:p>
    <w:p w14:paraId="7312D50A" w14:textId="77777777" w:rsidR="00CE525A" w:rsidRDefault="00CE525A" w:rsidP="00CE525A">
      <w:pPr>
        <w:shd w:val="clear" w:color="auto" w:fill="FFFFFF"/>
        <w:rPr>
          <w:rFonts w:ascii="Calibri" w:hAnsi="Calibri"/>
          <w:color w:val="36495F"/>
          <w:sz w:val="21"/>
          <w:szCs w:val="21"/>
        </w:rPr>
      </w:pPr>
      <w:r>
        <w:rPr>
          <w:rFonts w:ascii="Calibri" w:hAnsi="Calibri"/>
          <w:color w:val="0D0D0D"/>
          <w:sz w:val="21"/>
          <w:szCs w:val="21"/>
        </w:rPr>
        <w:t> </w:t>
      </w:r>
    </w:p>
    <w:p w14:paraId="3483E58E"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Updated</w:t>
      </w:r>
      <w:r>
        <w:rPr>
          <w:rFonts w:ascii="Calibri" w:hAnsi="Calibri"/>
          <w:color w:val="000000"/>
          <w:sz w:val="21"/>
          <w:szCs w:val="21"/>
        </w:rPr>
        <w:t xml:space="preserve"> MDPH Immunization Division’s </w:t>
      </w:r>
      <w:hyperlink r:id="rId56" w:tgtFrame="_blank" w:history="1">
        <w:r w:rsidRPr="00E903CA">
          <w:rPr>
            <w:rStyle w:val="Hyperlink"/>
            <w:rFonts w:ascii="Calibri" w:hAnsi="Calibri"/>
            <w:color w:val="0070C0"/>
            <w:sz w:val="21"/>
            <w:szCs w:val="21"/>
          </w:rPr>
          <w:t>free accredited COVID-19 Vaccine Training</w:t>
        </w:r>
      </w:hyperlink>
      <w:r>
        <w:rPr>
          <w:rFonts w:ascii="Calibri" w:hAnsi="Calibri"/>
          <w:color w:val="0070C0"/>
          <w:sz w:val="21"/>
          <w:szCs w:val="21"/>
        </w:rPr>
        <w:t xml:space="preserve"> </w:t>
      </w:r>
      <w:r>
        <w:rPr>
          <w:rFonts w:ascii="Calibri" w:hAnsi="Calibri"/>
          <w:color w:val="000000"/>
          <w:sz w:val="21"/>
          <w:szCs w:val="21"/>
        </w:rPr>
        <w:t>was updated on October 13, 2021. A list of the updates is available from a link on the training site home page. These training sessions are designed for health care providers, vaccine coordinators, and all health care personnel who handle and/or administer COVID-19 vaccines. </w:t>
      </w:r>
    </w:p>
    <w:p w14:paraId="430A5B6B"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7F61E1BF"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000000"/>
          <w:sz w:val="21"/>
          <w:szCs w:val="21"/>
        </w:rPr>
        <w:t xml:space="preserve"> </w:t>
      </w:r>
      <w:r>
        <w:rPr>
          <w:rFonts w:ascii="Calibri" w:hAnsi="Calibri"/>
          <w:b/>
          <w:bCs/>
          <w:color w:val="000000"/>
          <w:sz w:val="21"/>
          <w:szCs w:val="21"/>
        </w:rPr>
        <w:t>Vaccine Providers: Check Out CDC’s New Learning Module on Vaccine Coadministration</w:t>
      </w:r>
      <w:r>
        <w:rPr>
          <w:rFonts w:ascii="Calibri" w:hAnsi="Calibri"/>
          <w:color w:val="000000"/>
          <w:sz w:val="21"/>
          <w:szCs w:val="21"/>
        </w:rPr>
        <w:t>   </w:t>
      </w:r>
    </w:p>
    <w:p w14:paraId="691E6055"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CDC has a new resource for vaccine providers on </w:t>
      </w:r>
      <w:hyperlink r:id="rId57" w:tgtFrame="_blank" w:history="1">
        <w:r w:rsidRPr="00E903CA">
          <w:rPr>
            <w:rStyle w:val="Hyperlink"/>
            <w:rFonts w:ascii="Calibri" w:hAnsi="Calibri"/>
            <w:color w:val="0070C0"/>
            <w:sz w:val="21"/>
            <w:szCs w:val="21"/>
          </w:rPr>
          <w:t>coadministration of COVID-19 vaccines with other vaccines</w:t>
        </w:r>
      </w:hyperlink>
      <w:r>
        <w:rPr>
          <w:rFonts w:ascii="Calibri" w:hAnsi="Calibri"/>
          <w:color w:val="000000"/>
          <w:sz w:val="21"/>
          <w:szCs w:val="21"/>
        </w:rPr>
        <w:t>, including flu vaccines. This module covers clinical considerations, best practices, and resources on coadministration. Providers are encouraged to offer patients COVID-19 vaccine and flu vaccine at the same visit if the timing coincides. Continuing education is available for this course. </w:t>
      </w:r>
    </w:p>
    <w:p w14:paraId="4D629823"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13BE1695" w14:textId="7F129E3A"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5B5B5B"/>
          <w:sz w:val="21"/>
          <w:szCs w:val="21"/>
        </w:rPr>
        <w:t xml:space="preserve"> </w:t>
      </w:r>
      <w:r>
        <w:rPr>
          <w:rFonts w:ascii="Calibri" w:hAnsi="Calibri"/>
          <w:color w:val="000000"/>
          <w:sz w:val="21"/>
          <w:szCs w:val="21"/>
        </w:rPr>
        <w:t xml:space="preserve">The AAP has launched a </w:t>
      </w:r>
      <w:hyperlink r:id="rId58" w:tgtFrame="_blank" w:history="1">
        <w:r w:rsidRPr="00E903CA">
          <w:rPr>
            <w:rStyle w:val="Hyperlink"/>
            <w:rFonts w:ascii="Calibri" w:hAnsi="Calibri"/>
            <w:color w:val="0070C0"/>
            <w:sz w:val="21"/>
            <w:szCs w:val="21"/>
          </w:rPr>
          <w:t>COVID-19 Vaccine Campaign Toolkit</w:t>
        </w:r>
      </w:hyperlink>
      <w:r>
        <w:rPr>
          <w:rFonts w:ascii="Calibri" w:hAnsi="Calibri"/>
          <w:color w:val="0562C1"/>
          <w:sz w:val="21"/>
          <w:szCs w:val="21"/>
        </w:rPr>
        <w:t xml:space="preserve"> </w:t>
      </w:r>
      <w:r>
        <w:rPr>
          <w:rFonts w:ascii="Calibri" w:hAnsi="Calibri"/>
          <w:color w:val="000000"/>
          <w:sz w:val="21"/>
          <w:szCs w:val="21"/>
        </w:rPr>
        <w:t>containing customizable messages, videos, and graphics to help reassure parents and caregivers about the COVID-19 vaccine for children, teens, and young adults. The contents of this toolkit are designed to reach parents who have not yet vaccinated their eligible children and encourage them to talk to a trusted provider.</w:t>
      </w:r>
    </w:p>
    <w:p w14:paraId="4D302BC1" w14:textId="77777777" w:rsidR="00A029D9" w:rsidRDefault="00A029D9" w:rsidP="008F62F8">
      <w:pPr>
        <w:pStyle w:val="NormalWeb"/>
        <w:shd w:val="clear" w:color="auto" w:fill="FFFFFF"/>
        <w:spacing w:before="0" w:beforeAutospacing="0" w:after="0" w:afterAutospacing="0"/>
        <w:rPr>
          <w:rFonts w:asciiTheme="minorHAnsi" w:hAnsiTheme="minorHAnsi" w:cs="Calibri"/>
          <w:b/>
          <w:bCs/>
          <w:color w:val="FF0000"/>
          <w:sz w:val="22"/>
          <w:szCs w:val="22"/>
        </w:rPr>
      </w:pPr>
    </w:p>
    <w:p w14:paraId="09406100" w14:textId="16946C51"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b/>
          <w:bCs/>
          <w:color w:val="3661BD"/>
          <w:sz w:val="22"/>
          <w:szCs w:val="22"/>
        </w:rPr>
        <w:t>MDPH Resources</w:t>
      </w:r>
    </w:p>
    <w:p w14:paraId="05D5F799" w14:textId="77777777" w:rsidR="006F2D15" w:rsidRDefault="006F2D15" w:rsidP="006F2D15">
      <w:pPr>
        <w:rPr>
          <w:rFonts w:ascii="Calibri" w:eastAsia="Times New Roman" w:hAnsi="Calibri"/>
          <w:color w:val="36495F"/>
          <w:sz w:val="21"/>
          <w:szCs w:val="21"/>
        </w:rPr>
      </w:pPr>
      <w:r>
        <w:rPr>
          <w:rFonts w:ascii="Arial" w:eastAsia="Times New Roman" w:hAnsi="Arial" w:cs="Arial"/>
          <w:color w:val="222222"/>
          <w:sz w:val="21"/>
          <w:szCs w:val="21"/>
        </w:rPr>
        <w:t> </w:t>
      </w:r>
    </w:p>
    <w:p w14:paraId="6C6DCD70"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Fax: 617-983-6840</w:t>
      </w:r>
    </w:p>
    <w:p w14:paraId="3BFB28D3" w14:textId="77777777" w:rsidR="00CE525A" w:rsidRPr="00E903CA" w:rsidRDefault="00CE525A" w:rsidP="00CE525A">
      <w:pPr>
        <w:shd w:val="clear" w:color="auto" w:fill="FFFFFF"/>
        <w:rPr>
          <w:rFonts w:ascii="Calibri" w:hAnsi="Calibri"/>
          <w:color w:val="0070C0"/>
          <w:sz w:val="21"/>
          <w:szCs w:val="21"/>
        </w:rPr>
      </w:pPr>
      <w:r>
        <w:rPr>
          <w:rFonts w:ascii="Calibri" w:hAnsi="Calibri"/>
          <w:color w:val="000000"/>
          <w:sz w:val="21"/>
          <w:szCs w:val="21"/>
        </w:rPr>
        <w:t>Website: </w:t>
      </w:r>
      <w:hyperlink r:id="rId59" w:tgtFrame="_blank" w:history="1">
        <w:r w:rsidRPr="00E903CA">
          <w:rPr>
            <w:rStyle w:val="Hyperlink"/>
            <w:rFonts w:ascii="Calibri" w:hAnsi="Calibri"/>
            <w:color w:val="0070C0"/>
            <w:sz w:val="21"/>
            <w:szCs w:val="21"/>
          </w:rPr>
          <w:t>https://www.mass.gov/topics/immunization</w:t>
        </w:r>
      </w:hyperlink>
      <w:r w:rsidRPr="00E903CA">
        <w:rPr>
          <w:rFonts w:ascii="Calibri" w:hAnsi="Calibri"/>
          <w:color w:val="0070C0"/>
          <w:sz w:val="21"/>
          <w:szCs w:val="21"/>
        </w:rPr>
        <w:t> </w:t>
      </w:r>
    </w:p>
    <w:p w14:paraId="2D59FCAC"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w:t>
      </w:r>
    </w:p>
    <w:p w14:paraId="703F1A0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Email questions to: </w:t>
      </w:r>
      <w:hyperlink r:id="rId60" w:tgtFrame="_blank" w:history="1">
        <w:r w:rsidRPr="00E903CA">
          <w:rPr>
            <w:rStyle w:val="Hyperlink"/>
            <w:rFonts w:ascii="Calibri" w:hAnsi="Calibri"/>
            <w:color w:val="0070C0"/>
            <w:sz w:val="21"/>
            <w:szCs w:val="21"/>
          </w:rPr>
          <w:t>miishelpdesk@mass.gov</w:t>
        </w:r>
      </w:hyperlink>
      <w:r>
        <w:rPr>
          <w:rFonts w:ascii="Calibri" w:hAnsi="Calibri"/>
          <w:color w:val="4278EB"/>
          <w:sz w:val="21"/>
          <w:szCs w:val="21"/>
        </w:rPr>
        <w:t xml:space="preserve"> </w:t>
      </w:r>
    </w:p>
    <w:p w14:paraId="35DC7135"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lastRenderedPageBreak/>
        <w:t>Website: </w:t>
      </w:r>
      <w:hyperlink r:id="rId61" w:tgtFrame="_blank" w:history="1">
        <w:r w:rsidRPr="00E903CA">
          <w:rPr>
            <w:rStyle w:val="Hyperlink"/>
            <w:rFonts w:ascii="Calibri" w:hAnsi="Calibri"/>
            <w:color w:val="0070C0"/>
            <w:sz w:val="21"/>
            <w:szCs w:val="21"/>
          </w:rPr>
          <w:t>https://www.mass.gov/service-details/massachusetts-immunization-information-system-miis</w:t>
        </w:r>
      </w:hyperlink>
      <w:r>
        <w:rPr>
          <w:rFonts w:ascii="Calibri" w:hAnsi="Calibri"/>
          <w:color w:val="4278EB"/>
          <w:sz w:val="21"/>
          <w:szCs w:val="21"/>
        </w:rPr>
        <w:t xml:space="preserve"> </w:t>
      </w:r>
    </w:p>
    <w:p w14:paraId="64EFCD14"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w:t>
      </w:r>
    </w:p>
    <w:p w14:paraId="5E9B5566"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MDPH Vaccine Unit</w:t>
      </w:r>
    </w:p>
    <w:p w14:paraId="082821CB"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617-983-6828</w:t>
      </w:r>
    </w:p>
    <w:p w14:paraId="06A5264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Email questions to: </w:t>
      </w:r>
      <w:hyperlink r:id="rId62" w:tgtFrame="_blank" w:history="1">
        <w:r w:rsidRPr="00E903CA">
          <w:rPr>
            <w:rStyle w:val="Hyperlink"/>
            <w:rFonts w:ascii="Calibri" w:hAnsi="Calibri"/>
            <w:color w:val="0070C0"/>
            <w:sz w:val="21"/>
            <w:szCs w:val="21"/>
          </w:rPr>
          <w:t>dph-vaccine-management@mass.gov</w:t>
        </w:r>
      </w:hyperlink>
      <w:r w:rsidRPr="00E903CA">
        <w:rPr>
          <w:rFonts w:ascii="Calibri" w:hAnsi="Calibri"/>
          <w:color w:val="0070C0"/>
          <w:sz w:val="21"/>
          <w:szCs w:val="21"/>
        </w:rPr>
        <w:t xml:space="preserve"> </w:t>
      </w:r>
    </w:p>
    <w:p w14:paraId="08B9B70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Website:</w:t>
      </w:r>
      <w:r>
        <w:rPr>
          <w:rFonts w:ascii="Calibri" w:hAnsi="Calibri"/>
          <w:color w:val="4278EB"/>
          <w:sz w:val="21"/>
          <w:szCs w:val="21"/>
        </w:rPr>
        <w:t> </w:t>
      </w:r>
      <w:hyperlink r:id="rId63" w:tgtFrame="_blank" w:history="1">
        <w:r w:rsidRPr="00E903CA">
          <w:rPr>
            <w:rStyle w:val="Hyperlink"/>
            <w:rFonts w:ascii="Calibri" w:hAnsi="Calibri"/>
            <w:color w:val="0070C0"/>
            <w:sz w:val="21"/>
            <w:szCs w:val="21"/>
          </w:rPr>
          <w:t>https://www.mass.gov/service-details/vaccine-management</w:t>
        </w:r>
      </w:hyperlink>
      <w:r>
        <w:rPr>
          <w:rFonts w:ascii="Calibri" w:hAnsi="Calibri"/>
          <w:color w:val="4278EB"/>
          <w:sz w:val="21"/>
          <w:szCs w:val="21"/>
        </w:rPr>
        <w:t xml:space="preserve"> </w:t>
      </w:r>
    </w:p>
    <w:p w14:paraId="57B037F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w:t>
      </w:r>
    </w:p>
    <w:p w14:paraId="1E604BE3"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COVID email box:</w:t>
      </w:r>
    </w:p>
    <w:p w14:paraId="6F4C03AD" w14:textId="77777777" w:rsidR="00CE525A" w:rsidRPr="00E903CA" w:rsidRDefault="00CE525A" w:rsidP="00CE525A">
      <w:pPr>
        <w:shd w:val="clear" w:color="auto" w:fill="FFFFFF"/>
        <w:rPr>
          <w:rFonts w:ascii="Calibri" w:hAnsi="Calibri"/>
          <w:color w:val="0070C0"/>
          <w:sz w:val="21"/>
          <w:szCs w:val="21"/>
        </w:rPr>
      </w:pPr>
      <w:r>
        <w:rPr>
          <w:rFonts w:ascii="Calibri" w:hAnsi="Calibri"/>
          <w:color w:val="000000"/>
          <w:sz w:val="21"/>
          <w:szCs w:val="21"/>
        </w:rPr>
        <w:t>Email questions to: </w:t>
      </w:r>
      <w:hyperlink r:id="rId64" w:tgtFrame="_blank" w:history="1">
        <w:r w:rsidRPr="00E903CA">
          <w:rPr>
            <w:rStyle w:val="Hyperlink"/>
            <w:rFonts w:ascii="Calibri" w:hAnsi="Calibri"/>
            <w:color w:val="0070C0"/>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A13B34">
      <w:footerReference w:type="even" r:id="rId65"/>
      <w:footerReference w:type="default" r:id="rId66"/>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8BBB6" w14:textId="77777777" w:rsidR="00596A0D" w:rsidRDefault="00596A0D" w:rsidP="003D3EDE">
      <w:r>
        <w:separator/>
      </w:r>
    </w:p>
  </w:endnote>
  <w:endnote w:type="continuationSeparator" w:id="0">
    <w:p w14:paraId="41527943" w14:textId="77777777" w:rsidR="00596A0D" w:rsidRDefault="00596A0D"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5736DB" w:rsidRDefault="005736D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5736DB" w:rsidRDefault="005736D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5736DB" w:rsidRPr="00625EBF" w:rsidRDefault="005736D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5736DB" w:rsidRDefault="005736D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81413" w14:textId="77777777" w:rsidR="00596A0D" w:rsidRDefault="00596A0D" w:rsidP="003D3EDE">
      <w:r>
        <w:separator/>
      </w:r>
    </w:p>
  </w:footnote>
  <w:footnote w:type="continuationSeparator" w:id="0">
    <w:p w14:paraId="56D0BF83" w14:textId="77777777" w:rsidR="00596A0D" w:rsidRDefault="00596A0D"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C21F29"/>
    <w:multiLevelType w:val="hybridMultilevel"/>
    <w:tmpl w:val="C91F6E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F090D"/>
    <w:multiLevelType w:val="multilevel"/>
    <w:tmpl w:val="E6EE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D2385"/>
    <w:multiLevelType w:val="hybridMultilevel"/>
    <w:tmpl w:val="9BC41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E53C75"/>
    <w:multiLevelType w:val="multilevel"/>
    <w:tmpl w:val="46C2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85755"/>
    <w:multiLevelType w:val="hybridMultilevel"/>
    <w:tmpl w:val="22A218FE"/>
    <w:lvl w:ilvl="0" w:tplc="E8128B86">
      <w:numFmt w:val="bullet"/>
      <w:lvlText w:val="-"/>
      <w:lvlJc w:val="left"/>
      <w:pPr>
        <w:ind w:left="580" w:hanging="360"/>
      </w:pPr>
      <w:rPr>
        <w:rFonts w:ascii="Calibri" w:eastAsiaTheme="minorHAnsi" w:hAnsi="Calibri" w:cs="Calibri"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6" w15:restartNumberingAfterBreak="0">
    <w:nsid w:val="10DA38D5"/>
    <w:multiLevelType w:val="multilevel"/>
    <w:tmpl w:val="23C8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B2B69"/>
    <w:multiLevelType w:val="hybridMultilevel"/>
    <w:tmpl w:val="5AE6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F45AA"/>
    <w:multiLevelType w:val="hybridMultilevel"/>
    <w:tmpl w:val="E5A6AA50"/>
    <w:lvl w:ilvl="0" w:tplc="E8128B8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61F19D5"/>
    <w:multiLevelType w:val="multilevel"/>
    <w:tmpl w:val="5BE4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FE18D0"/>
    <w:multiLevelType w:val="multilevel"/>
    <w:tmpl w:val="4378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273B0D"/>
    <w:multiLevelType w:val="multilevel"/>
    <w:tmpl w:val="41C6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C42B2F"/>
    <w:multiLevelType w:val="multilevel"/>
    <w:tmpl w:val="B0F2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404D40"/>
    <w:multiLevelType w:val="multilevel"/>
    <w:tmpl w:val="973A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741368"/>
    <w:multiLevelType w:val="multilevel"/>
    <w:tmpl w:val="488E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E10959"/>
    <w:multiLevelType w:val="multilevel"/>
    <w:tmpl w:val="AC20D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595820"/>
    <w:multiLevelType w:val="multilevel"/>
    <w:tmpl w:val="2FB0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F47C73"/>
    <w:multiLevelType w:val="multilevel"/>
    <w:tmpl w:val="5078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CB7369"/>
    <w:multiLevelType w:val="multilevel"/>
    <w:tmpl w:val="8F2C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E46A30"/>
    <w:multiLevelType w:val="multilevel"/>
    <w:tmpl w:val="0492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260C3B"/>
    <w:multiLevelType w:val="multilevel"/>
    <w:tmpl w:val="827E82B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3A61C6"/>
    <w:multiLevelType w:val="multilevel"/>
    <w:tmpl w:val="8ED6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13514C"/>
    <w:multiLevelType w:val="multilevel"/>
    <w:tmpl w:val="2910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1"/>
  </w:num>
  <w:num w:numId="3">
    <w:abstractNumId w:val="19"/>
  </w:num>
  <w:num w:numId="4">
    <w:abstractNumId w:val="11"/>
  </w:num>
  <w:num w:numId="5">
    <w:abstractNumId w:val="10"/>
  </w:num>
  <w:num w:numId="6">
    <w:abstractNumId w:val="4"/>
  </w:num>
  <w:num w:numId="7">
    <w:abstractNumId w:val="2"/>
  </w:num>
  <w:num w:numId="8">
    <w:abstractNumId w:val="1"/>
  </w:num>
  <w:num w:numId="9">
    <w:abstractNumId w:val="15"/>
  </w:num>
  <w:num w:numId="10">
    <w:abstractNumId w:val="23"/>
  </w:num>
  <w:num w:numId="11">
    <w:abstractNumId w:val="9"/>
  </w:num>
  <w:num w:numId="12">
    <w:abstractNumId w:val="14"/>
  </w:num>
  <w:num w:numId="13">
    <w:abstractNumId w:val="22"/>
  </w:num>
  <w:num w:numId="14">
    <w:abstractNumId w:val="16"/>
  </w:num>
  <w:num w:numId="15">
    <w:abstractNumId w:val="17"/>
  </w:num>
  <w:num w:numId="16">
    <w:abstractNumId w:val="5"/>
  </w:num>
  <w:num w:numId="17">
    <w:abstractNumId w:val="12"/>
  </w:num>
  <w:num w:numId="18">
    <w:abstractNumId w:val="7"/>
  </w:num>
  <w:num w:numId="19">
    <w:abstractNumId w:val="20"/>
  </w:num>
  <w:num w:numId="20">
    <w:abstractNumId w:val="13"/>
  </w:num>
  <w:num w:numId="21">
    <w:abstractNumId w:val="6"/>
  </w:num>
  <w:num w:numId="22">
    <w:abstractNumId w:val="8"/>
  </w:num>
  <w:num w:numId="23">
    <w:abstractNumId w:val="0"/>
  </w:num>
  <w:num w:numId="2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NK4FAHm7SKgtAAAA"/>
  </w:docVars>
  <w:rsids>
    <w:rsidRoot w:val="00FB0F58"/>
    <w:rsid w:val="00000099"/>
    <w:rsid w:val="000017F4"/>
    <w:rsid w:val="00001EE0"/>
    <w:rsid w:val="0000261B"/>
    <w:rsid w:val="0000325A"/>
    <w:rsid w:val="0000383C"/>
    <w:rsid w:val="00004A9E"/>
    <w:rsid w:val="00005A56"/>
    <w:rsid w:val="00007912"/>
    <w:rsid w:val="0001137C"/>
    <w:rsid w:val="00013095"/>
    <w:rsid w:val="00013C21"/>
    <w:rsid w:val="00014930"/>
    <w:rsid w:val="00014EF7"/>
    <w:rsid w:val="00014F1B"/>
    <w:rsid w:val="00015C30"/>
    <w:rsid w:val="000167E5"/>
    <w:rsid w:val="000217FA"/>
    <w:rsid w:val="00024C6B"/>
    <w:rsid w:val="000255F2"/>
    <w:rsid w:val="00030841"/>
    <w:rsid w:val="00033A92"/>
    <w:rsid w:val="0003415C"/>
    <w:rsid w:val="00034DBB"/>
    <w:rsid w:val="000353D8"/>
    <w:rsid w:val="00040426"/>
    <w:rsid w:val="000409D7"/>
    <w:rsid w:val="00041910"/>
    <w:rsid w:val="00041D79"/>
    <w:rsid w:val="00042EFB"/>
    <w:rsid w:val="0004368D"/>
    <w:rsid w:val="00045035"/>
    <w:rsid w:val="000460EE"/>
    <w:rsid w:val="000468B1"/>
    <w:rsid w:val="000478EE"/>
    <w:rsid w:val="00050EAF"/>
    <w:rsid w:val="00051ACA"/>
    <w:rsid w:val="00051E97"/>
    <w:rsid w:val="00052B15"/>
    <w:rsid w:val="00053D27"/>
    <w:rsid w:val="0005402E"/>
    <w:rsid w:val="000546E4"/>
    <w:rsid w:val="00054A8A"/>
    <w:rsid w:val="00055525"/>
    <w:rsid w:val="00060FF5"/>
    <w:rsid w:val="000611F5"/>
    <w:rsid w:val="0006203A"/>
    <w:rsid w:val="00064BDE"/>
    <w:rsid w:val="000655D7"/>
    <w:rsid w:val="00067D9A"/>
    <w:rsid w:val="000700AE"/>
    <w:rsid w:val="000703EF"/>
    <w:rsid w:val="00071EDF"/>
    <w:rsid w:val="0007208A"/>
    <w:rsid w:val="000751E6"/>
    <w:rsid w:val="00075769"/>
    <w:rsid w:val="00076A8B"/>
    <w:rsid w:val="00080212"/>
    <w:rsid w:val="00080C7D"/>
    <w:rsid w:val="000827A5"/>
    <w:rsid w:val="00084571"/>
    <w:rsid w:val="00085306"/>
    <w:rsid w:val="00085FA2"/>
    <w:rsid w:val="00086D15"/>
    <w:rsid w:val="0009045F"/>
    <w:rsid w:val="000912B2"/>
    <w:rsid w:val="00091424"/>
    <w:rsid w:val="00091CE6"/>
    <w:rsid w:val="000928EB"/>
    <w:rsid w:val="0009331C"/>
    <w:rsid w:val="00093844"/>
    <w:rsid w:val="00093C1C"/>
    <w:rsid w:val="000949CD"/>
    <w:rsid w:val="00096EE2"/>
    <w:rsid w:val="0009739B"/>
    <w:rsid w:val="00097D1D"/>
    <w:rsid w:val="000A07B4"/>
    <w:rsid w:val="000A0D56"/>
    <w:rsid w:val="000A1994"/>
    <w:rsid w:val="000A301C"/>
    <w:rsid w:val="000A352C"/>
    <w:rsid w:val="000A364E"/>
    <w:rsid w:val="000A3EF3"/>
    <w:rsid w:val="000A6045"/>
    <w:rsid w:val="000A68FF"/>
    <w:rsid w:val="000A6BE0"/>
    <w:rsid w:val="000A6DB9"/>
    <w:rsid w:val="000A7799"/>
    <w:rsid w:val="000A7C44"/>
    <w:rsid w:val="000B0ECA"/>
    <w:rsid w:val="000B2504"/>
    <w:rsid w:val="000B29E1"/>
    <w:rsid w:val="000B3F36"/>
    <w:rsid w:val="000B4326"/>
    <w:rsid w:val="000B4742"/>
    <w:rsid w:val="000B5F8E"/>
    <w:rsid w:val="000C0691"/>
    <w:rsid w:val="000C2063"/>
    <w:rsid w:val="000C2FDD"/>
    <w:rsid w:val="000C3635"/>
    <w:rsid w:val="000C4A45"/>
    <w:rsid w:val="000C5D13"/>
    <w:rsid w:val="000C610A"/>
    <w:rsid w:val="000C6219"/>
    <w:rsid w:val="000C6522"/>
    <w:rsid w:val="000C673A"/>
    <w:rsid w:val="000C68C5"/>
    <w:rsid w:val="000C7725"/>
    <w:rsid w:val="000D27B7"/>
    <w:rsid w:val="000D284F"/>
    <w:rsid w:val="000D32D9"/>
    <w:rsid w:val="000D343F"/>
    <w:rsid w:val="000D37CF"/>
    <w:rsid w:val="000D42F4"/>
    <w:rsid w:val="000D5787"/>
    <w:rsid w:val="000D5919"/>
    <w:rsid w:val="000D5992"/>
    <w:rsid w:val="000D6291"/>
    <w:rsid w:val="000D78B7"/>
    <w:rsid w:val="000E0464"/>
    <w:rsid w:val="000E04C9"/>
    <w:rsid w:val="000E132D"/>
    <w:rsid w:val="000E1C4A"/>
    <w:rsid w:val="000E2D75"/>
    <w:rsid w:val="000E5D57"/>
    <w:rsid w:val="000E6420"/>
    <w:rsid w:val="000E7325"/>
    <w:rsid w:val="000E77C6"/>
    <w:rsid w:val="000F0547"/>
    <w:rsid w:val="000F3329"/>
    <w:rsid w:val="000F55E3"/>
    <w:rsid w:val="000F6CDF"/>
    <w:rsid w:val="000F717C"/>
    <w:rsid w:val="00101DC7"/>
    <w:rsid w:val="001025DE"/>
    <w:rsid w:val="0010295B"/>
    <w:rsid w:val="001040D0"/>
    <w:rsid w:val="001050EA"/>
    <w:rsid w:val="00105E5D"/>
    <w:rsid w:val="0010680F"/>
    <w:rsid w:val="0010721A"/>
    <w:rsid w:val="001075EA"/>
    <w:rsid w:val="00107769"/>
    <w:rsid w:val="00111491"/>
    <w:rsid w:val="00111B49"/>
    <w:rsid w:val="00111B7B"/>
    <w:rsid w:val="00112A5C"/>
    <w:rsid w:val="0011413C"/>
    <w:rsid w:val="00114D40"/>
    <w:rsid w:val="001155B1"/>
    <w:rsid w:val="00115B4E"/>
    <w:rsid w:val="0012523E"/>
    <w:rsid w:val="001259AA"/>
    <w:rsid w:val="0012793B"/>
    <w:rsid w:val="001304EE"/>
    <w:rsid w:val="00130678"/>
    <w:rsid w:val="00131C67"/>
    <w:rsid w:val="001325FD"/>
    <w:rsid w:val="00133326"/>
    <w:rsid w:val="001337C3"/>
    <w:rsid w:val="00133ED1"/>
    <w:rsid w:val="0013542A"/>
    <w:rsid w:val="00135AA4"/>
    <w:rsid w:val="001366AB"/>
    <w:rsid w:val="00142ED6"/>
    <w:rsid w:val="001447E9"/>
    <w:rsid w:val="00144F8A"/>
    <w:rsid w:val="00145B34"/>
    <w:rsid w:val="00145F9E"/>
    <w:rsid w:val="00145FBF"/>
    <w:rsid w:val="00146097"/>
    <w:rsid w:val="001513DA"/>
    <w:rsid w:val="00153201"/>
    <w:rsid w:val="00154FFF"/>
    <w:rsid w:val="00155DC7"/>
    <w:rsid w:val="00157754"/>
    <w:rsid w:val="001602B4"/>
    <w:rsid w:val="0016344A"/>
    <w:rsid w:val="00171365"/>
    <w:rsid w:val="00171A9B"/>
    <w:rsid w:val="00175735"/>
    <w:rsid w:val="00175CB3"/>
    <w:rsid w:val="00176C0A"/>
    <w:rsid w:val="00176E05"/>
    <w:rsid w:val="0017779A"/>
    <w:rsid w:val="001834AE"/>
    <w:rsid w:val="001839F5"/>
    <w:rsid w:val="0018772D"/>
    <w:rsid w:val="001914C3"/>
    <w:rsid w:val="00191FAE"/>
    <w:rsid w:val="001920E7"/>
    <w:rsid w:val="00192116"/>
    <w:rsid w:val="00194C88"/>
    <w:rsid w:val="00194D37"/>
    <w:rsid w:val="00196801"/>
    <w:rsid w:val="001A0CC7"/>
    <w:rsid w:val="001A1682"/>
    <w:rsid w:val="001A1F89"/>
    <w:rsid w:val="001A2A68"/>
    <w:rsid w:val="001A3250"/>
    <w:rsid w:val="001A3833"/>
    <w:rsid w:val="001A4B8D"/>
    <w:rsid w:val="001A592B"/>
    <w:rsid w:val="001A69A2"/>
    <w:rsid w:val="001A6DDC"/>
    <w:rsid w:val="001A7A46"/>
    <w:rsid w:val="001A7C35"/>
    <w:rsid w:val="001B0550"/>
    <w:rsid w:val="001B1D72"/>
    <w:rsid w:val="001B406C"/>
    <w:rsid w:val="001B4B97"/>
    <w:rsid w:val="001B6492"/>
    <w:rsid w:val="001B707E"/>
    <w:rsid w:val="001B7198"/>
    <w:rsid w:val="001B72C0"/>
    <w:rsid w:val="001C0FEC"/>
    <w:rsid w:val="001C1F07"/>
    <w:rsid w:val="001C1FBE"/>
    <w:rsid w:val="001C51AC"/>
    <w:rsid w:val="001C53F8"/>
    <w:rsid w:val="001C5D54"/>
    <w:rsid w:val="001D06AA"/>
    <w:rsid w:val="001D0B07"/>
    <w:rsid w:val="001D2392"/>
    <w:rsid w:val="001D2930"/>
    <w:rsid w:val="001D2C80"/>
    <w:rsid w:val="001D2CB0"/>
    <w:rsid w:val="001D3371"/>
    <w:rsid w:val="001D3904"/>
    <w:rsid w:val="001D3C3F"/>
    <w:rsid w:val="001D476F"/>
    <w:rsid w:val="001D54BC"/>
    <w:rsid w:val="001D5891"/>
    <w:rsid w:val="001D5B44"/>
    <w:rsid w:val="001D61E3"/>
    <w:rsid w:val="001D6FE5"/>
    <w:rsid w:val="001E0BDB"/>
    <w:rsid w:val="001E12E9"/>
    <w:rsid w:val="001E14E7"/>
    <w:rsid w:val="001E34DC"/>
    <w:rsid w:val="001E4D4A"/>
    <w:rsid w:val="001E50D6"/>
    <w:rsid w:val="001E5B9A"/>
    <w:rsid w:val="001E6B33"/>
    <w:rsid w:val="001E719D"/>
    <w:rsid w:val="001E729C"/>
    <w:rsid w:val="001E76F7"/>
    <w:rsid w:val="001E7DF6"/>
    <w:rsid w:val="001F14C6"/>
    <w:rsid w:val="001F1BDC"/>
    <w:rsid w:val="001F25AA"/>
    <w:rsid w:val="001F3B2B"/>
    <w:rsid w:val="001F532A"/>
    <w:rsid w:val="001F61DD"/>
    <w:rsid w:val="001F7670"/>
    <w:rsid w:val="001F769F"/>
    <w:rsid w:val="0020230C"/>
    <w:rsid w:val="00202A9C"/>
    <w:rsid w:val="00203609"/>
    <w:rsid w:val="002060C1"/>
    <w:rsid w:val="002070C3"/>
    <w:rsid w:val="0021303A"/>
    <w:rsid w:val="002131DE"/>
    <w:rsid w:val="00213680"/>
    <w:rsid w:val="00213AC4"/>
    <w:rsid w:val="00213B73"/>
    <w:rsid w:val="002149EE"/>
    <w:rsid w:val="00215215"/>
    <w:rsid w:val="00216B7A"/>
    <w:rsid w:val="00216C1C"/>
    <w:rsid w:val="00221FE9"/>
    <w:rsid w:val="002224CB"/>
    <w:rsid w:val="00223BFD"/>
    <w:rsid w:val="0022406D"/>
    <w:rsid w:val="00225BEC"/>
    <w:rsid w:val="0022687B"/>
    <w:rsid w:val="00226B4B"/>
    <w:rsid w:val="00230BEE"/>
    <w:rsid w:val="00233956"/>
    <w:rsid w:val="00233BEE"/>
    <w:rsid w:val="00233F23"/>
    <w:rsid w:val="002341C9"/>
    <w:rsid w:val="002344E2"/>
    <w:rsid w:val="00234E2A"/>
    <w:rsid w:val="00235183"/>
    <w:rsid w:val="00236A1B"/>
    <w:rsid w:val="00237411"/>
    <w:rsid w:val="00237631"/>
    <w:rsid w:val="00237BDF"/>
    <w:rsid w:val="00241078"/>
    <w:rsid w:val="00242792"/>
    <w:rsid w:val="0024318D"/>
    <w:rsid w:val="00243E0B"/>
    <w:rsid w:val="002508FD"/>
    <w:rsid w:val="00252C19"/>
    <w:rsid w:val="0025434D"/>
    <w:rsid w:val="0025463F"/>
    <w:rsid w:val="00255136"/>
    <w:rsid w:val="00255D87"/>
    <w:rsid w:val="00256724"/>
    <w:rsid w:val="00256A85"/>
    <w:rsid w:val="00256CC4"/>
    <w:rsid w:val="00257D98"/>
    <w:rsid w:val="002603C7"/>
    <w:rsid w:val="002605DD"/>
    <w:rsid w:val="00261ECD"/>
    <w:rsid w:val="00264278"/>
    <w:rsid w:val="00264802"/>
    <w:rsid w:val="00264E96"/>
    <w:rsid w:val="0026515F"/>
    <w:rsid w:val="002651ED"/>
    <w:rsid w:val="00265889"/>
    <w:rsid w:val="00265CF2"/>
    <w:rsid w:val="0026682E"/>
    <w:rsid w:val="00267507"/>
    <w:rsid w:val="00267A3B"/>
    <w:rsid w:val="00271393"/>
    <w:rsid w:val="00272E7F"/>
    <w:rsid w:val="002745BA"/>
    <w:rsid w:val="00274B60"/>
    <w:rsid w:val="002775BD"/>
    <w:rsid w:val="00280093"/>
    <w:rsid w:val="00281D57"/>
    <w:rsid w:val="00282496"/>
    <w:rsid w:val="00282A7B"/>
    <w:rsid w:val="0028310D"/>
    <w:rsid w:val="00283B83"/>
    <w:rsid w:val="00286EC2"/>
    <w:rsid w:val="002872A7"/>
    <w:rsid w:val="0028795C"/>
    <w:rsid w:val="002909A0"/>
    <w:rsid w:val="00291575"/>
    <w:rsid w:val="002932D1"/>
    <w:rsid w:val="002933DF"/>
    <w:rsid w:val="00294275"/>
    <w:rsid w:val="0029465B"/>
    <w:rsid w:val="00296554"/>
    <w:rsid w:val="002975C5"/>
    <w:rsid w:val="002A0805"/>
    <w:rsid w:val="002A0E43"/>
    <w:rsid w:val="002A1600"/>
    <w:rsid w:val="002A1611"/>
    <w:rsid w:val="002A24C7"/>
    <w:rsid w:val="002A336A"/>
    <w:rsid w:val="002A3DF4"/>
    <w:rsid w:val="002A40D0"/>
    <w:rsid w:val="002A4A05"/>
    <w:rsid w:val="002A60E7"/>
    <w:rsid w:val="002A6E29"/>
    <w:rsid w:val="002B010F"/>
    <w:rsid w:val="002B031E"/>
    <w:rsid w:val="002B166A"/>
    <w:rsid w:val="002B298D"/>
    <w:rsid w:val="002B2F02"/>
    <w:rsid w:val="002B54BA"/>
    <w:rsid w:val="002B66FE"/>
    <w:rsid w:val="002B69BF"/>
    <w:rsid w:val="002B72B8"/>
    <w:rsid w:val="002B7961"/>
    <w:rsid w:val="002B7C89"/>
    <w:rsid w:val="002B7F42"/>
    <w:rsid w:val="002C0CB4"/>
    <w:rsid w:val="002C10B4"/>
    <w:rsid w:val="002C18C4"/>
    <w:rsid w:val="002C240F"/>
    <w:rsid w:val="002C46A4"/>
    <w:rsid w:val="002C485D"/>
    <w:rsid w:val="002C4F8F"/>
    <w:rsid w:val="002C6856"/>
    <w:rsid w:val="002C79CF"/>
    <w:rsid w:val="002D1FAC"/>
    <w:rsid w:val="002D2AF6"/>
    <w:rsid w:val="002D3170"/>
    <w:rsid w:val="002D39F6"/>
    <w:rsid w:val="002D6442"/>
    <w:rsid w:val="002D6CE5"/>
    <w:rsid w:val="002D777C"/>
    <w:rsid w:val="002E09F2"/>
    <w:rsid w:val="002E0FA1"/>
    <w:rsid w:val="002E38DE"/>
    <w:rsid w:val="002E4469"/>
    <w:rsid w:val="002E4F2C"/>
    <w:rsid w:val="002E4F7F"/>
    <w:rsid w:val="002E717B"/>
    <w:rsid w:val="002E73CF"/>
    <w:rsid w:val="002E7E20"/>
    <w:rsid w:val="002F18C1"/>
    <w:rsid w:val="002F580C"/>
    <w:rsid w:val="002F65FD"/>
    <w:rsid w:val="002F7052"/>
    <w:rsid w:val="002F75A9"/>
    <w:rsid w:val="00303B0C"/>
    <w:rsid w:val="0031037D"/>
    <w:rsid w:val="00310993"/>
    <w:rsid w:val="00310F5C"/>
    <w:rsid w:val="003128E6"/>
    <w:rsid w:val="00314251"/>
    <w:rsid w:val="00314ED5"/>
    <w:rsid w:val="003169A2"/>
    <w:rsid w:val="00316B95"/>
    <w:rsid w:val="00317C0A"/>
    <w:rsid w:val="003205F6"/>
    <w:rsid w:val="00321A27"/>
    <w:rsid w:val="00321EDF"/>
    <w:rsid w:val="0032332F"/>
    <w:rsid w:val="00327E83"/>
    <w:rsid w:val="00331B1B"/>
    <w:rsid w:val="00331DDB"/>
    <w:rsid w:val="00332FA1"/>
    <w:rsid w:val="00334BC1"/>
    <w:rsid w:val="003359B1"/>
    <w:rsid w:val="00335A1B"/>
    <w:rsid w:val="00337236"/>
    <w:rsid w:val="00337C1F"/>
    <w:rsid w:val="00341AF0"/>
    <w:rsid w:val="003425A9"/>
    <w:rsid w:val="0034484F"/>
    <w:rsid w:val="00344FC4"/>
    <w:rsid w:val="00345330"/>
    <w:rsid w:val="003471AD"/>
    <w:rsid w:val="0034748D"/>
    <w:rsid w:val="0035068D"/>
    <w:rsid w:val="00350981"/>
    <w:rsid w:val="00350E6D"/>
    <w:rsid w:val="0035196D"/>
    <w:rsid w:val="00352A21"/>
    <w:rsid w:val="00352DF4"/>
    <w:rsid w:val="00361594"/>
    <w:rsid w:val="00362279"/>
    <w:rsid w:val="00363526"/>
    <w:rsid w:val="0036371A"/>
    <w:rsid w:val="003644C5"/>
    <w:rsid w:val="0036579B"/>
    <w:rsid w:val="00366235"/>
    <w:rsid w:val="00367D43"/>
    <w:rsid w:val="00372A31"/>
    <w:rsid w:val="0037378D"/>
    <w:rsid w:val="003752E1"/>
    <w:rsid w:val="00375AA6"/>
    <w:rsid w:val="00375B0C"/>
    <w:rsid w:val="00375EA2"/>
    <w:rsid w:val="003762C1"/>
    <w:rsid w:val="00376D17"/>
    <w:rsid w:val="00376E16"/>
    <w:rsid w:val="00377302"/>
    <w:rsid w:val="003778D1"/>
    <w:rsid w:val="0038007A"/>
    <w:rsid w:val="00381C84"/>
    <w:rsid w:val="00382BCF"/>
    <w:rsid w:val="00382DA5"/>
    <w:rsid w:val="00383049"/>
    <w:rsid w:val="003830CC"/>
    <w:rsid w:val="003837F4"/>
    <w:rsid w:val="003847F2"/>
    <w:rsid w:val="003859F1"/>
    <w:rsid w:val="0038628D"/>
    <w:rsid w:val="00387095"/>
    <w:rsid w:val="003876E4"/>
    <w:rsid w:val="00390485"/>
    <w:rsid w:val="00390704"/>
    <w:rsid w:val="00391125"/>
    <w:rsid w:val="00392904"/>
    <w:rsid w:val="00394D30"/>
    <w:rsid w:val="003961F7"/>
    <w:rsid w:val="00396538"/>
    <w:rsid w:val="003966FE"/>
    <w:rsid w:val="003A10CE"/>
    <w:rsid w:val="003A2E1C"/>
    <w:rsid w:val="003A2E3C"/>
    <w:rsid w:val="003A34DC"/>
    <w:rsid w:val="003A36BF"/>
    <w:rsid w:val="003A53C6"/>
    <w:rsid w:val="003A684D"/>
    <w:rsid w:val="003B0169"/>
    <w:rsid w:val="003B05A1"/>
    <w:rsid w:val="003B08EB"/>
    <w:rsid w:val="003B1A91"/>
    <w:rsid w:val="003B1D77"/>
    <w:rsid w:val="003B2B00"/>
    <w:rsid w:val="003B31A8"/>
    <w:rsid w:val="003B3441"/>
    <w:rsid w:val="003C1B34"/>
    <w:rsid w:val="003C3B7F"/>
    <w:rsid w:val="003C5D5C"/>
    <w:rsid w:val="003C6927"/>
    <w:rsid w:val="003C745F"/>
    <w:rsid w:val="003D01FE"/>
    <w:rsid w:val="003D15F2"/>
    <w:rsid w:val="003D2E6E"/>
    <w:rsid w:val="003D3167"/>
    <w:rsid w:val="003D3EDE"/>
    <w:rsid w:val="003D56AB"/>
    <w:rsid w:val="003D63B9"/>
    <w:rsid w:val="003D662D"/>
    <w:rsid w:val="003D6D55"/>
    <w:rsid w:val="003D760B"/>
    <w:rsid w:val="003D7E44"/>
    <w:rsid w:val="003E128F"/>
    <w:rsid w:val="003E32EE"/>
    <w:rsid w:val="003E4975"/>
    <w:rsid w:val="003E6706"/>
    <w:rsid w:val="003E7D9F"/>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507A"/>
    <w:rsid w:val="004054FD"/>
    <w:rsid w:val="00405B1A"/>
    <w:rsid w:val="004067C3"/>
    <w:rsid w:val="00407BDC"/>
    <w:rsid w:val="00412683"/>
    <w:rsid w:val="004126D5"/>
    <w:rsid w:val="00413079"/>
    <w:rsid w:val="00413AA0"/>
    <w:rsid w:val="004145B5"/>
    <w:rsid w:val="00414DBB"/>
    <w:rsid w:val="00415829"/>
    <w:rsid w:val="004171B9"/>
    <w:rsid w:val="0042001B"/>
    <w:rsid w:val="004212A2"/>
    <w:rsid w:val="004219A8"/>
    <w:rsid w:val="00422841"/>
    <w:rsid w:val="00423966"/>
    <w:rsid w:val="00424737"/>
    <w:rsid w:val="00425095"/>
    <w:rsid w:val="00425BF4"/>
    <w:rsid w:val="00425CB4"/>
    <w:rsid w:val="004308EC"/>
    <w:rsid w:val="00430F7B"/>
    <w:rsid w:val="004332D8"/>
    <w:rsid w:val="004351E4"/>
    <w:rsid w:val="004354BB"/>
    <w:rsid w:val="00437B96"/>
    <w:rsid w:val="00443888"/>
    <w:rsid w:val="0044632A"/>
    <w:rsid w:val="0044641D"/>
    <w:rsid w:val="00450EF7"/>
    <w:rsid w:val="004511C6"/>
    <w:rsid w:val="00454435"/>
    <w:rsid w:val="00455438"/>
    <w:rsid w:val="004566B9"/>
    <w:rsid w:val="00457332"/>
    <w:rsid w:val="00457795"/>
    <w:rsid w:val="00457EC1"/>
    <w:rsid w:val="00460A28"/>
    <w:rsid w:val="00462300"/>
    <w:rsid w:val="004627DA"/>
    <w:rsid w:val="004650D7"/>
    <w:rsid w:val="0046539E"/>
    <w:rsid w:val="004658F3"/>
    <w:rsid w:val="00466807"/>
    <w:rsid w:val="004669C8"/>
    <w:rsid w:val="0047065B"/>
    <w:rsid w:val="004748B4"/>
    <w:rsid w:val="004751A0"/>
    <w:rsid w:val="00475C35"/>
    <w:rsid w:val="00476326"/>
    <w:rsid w:val="00481C3A"/>
    <w:rsid w:val="00481D4B"/>
    <w:rsid w:val="00483CDD"/>
    <w:rsid w:val="00483E7A"/>
    <w:rsid w:val="00485102"/>
    <w:rsid w:val="0048573B"/>
    <w:rsid w:val="00486D66"/>
    <w:rsid w:val="00486E10"/>
    <w:rsid w:val="004870BA"/>
    <w:rsid w:val="00487448"/>
    <w:rsid w:val="00487A54"/>
    <w:rsid w:val="004908F1"/>
    <w:rsid w:val="00490EA5"/>
    <w:rsid w:val="00491A99"/>
    <w:rsid w:val="004927C6"/>
    <w:rsid w:val="0049598E"/>
    <w:rsid w:val="00495C9E"/>
    <w:rsid w:val="00497230"/>
    <w:rsid w:val="0049762C"/>
    <w:rsid w:val="004A094E"/>
    <w:rsid w:val="004A1253"/>
    <w:rsid w:val="004A27CE"/>
    <w:rsid w:val="004A3A2E"/>
    <w:rsid w:val="004A4101"/>
    <w:rsid w:val="004A4931"/>
    <w:rsid w:val="004A4E81"/>
    <w:rsid w:val="004A65B2"/>
    <w:rsid w:val="004A676C"/>
    <w:rsid w:val="004B01CE"/>
    <w:rsid w:val="004B0D97"/>
    <w:rsid w:val="004B166D"/>
    <w:rsid w:val="004B3611"/>
    <w:rsid w:val="004B3A01"/>
    <w:rsid w:val="004B4E31"/>
    <w:rsid w:val="004B5002"/>
    <w:rsid w:val="004B70DF"/>
    <w:rsid w:val="004C00DC"/>
    <w:rsid w:val="004C1A12"/>
    <w:rsid w:val="004C2D21"/>
    <w:rsid w:val="004C33B5"/>
    <w:rsid w:val="004C450C"/>
    <w:rsid w:val="004C4679"/>
    <w:rsid w:val="004C48A4"/>
    <w:rsid w:val="004C5213"/>
    <w:rsid w:val="004C5285"/>
    <w:rsid w:val="004C58A3"/>
    <w:rsid w:val="004C5F64"/>
    <w:rsid w:val="004C6CB9"/>
    <w:rsid w:val="004C7F0E"/>
    <w:rsid w:val="004D0101"/>
    <w:rsid w:val="004D4114"/>
    <w:rsid w:val="004D4426"/>
    <w:rsid w:val="004D7BF0"/>
    <w:rsid w:val="004E0A65"/>
    <w:rsid w:val="004E0C1A"/>
    <w:rsid w:val="004E163E"/>
    <w:rsid w:val="004E1641"/>
    <w:rsid w:val="004E2EE0"/>
    <w:rsid w:val="004E497C"/>
    <w:rsid w:val="004E503F"/>
    <w:rsid w:val="004E585E"/>
    <w:rsid w:val="004E6886"/>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67F"/>
    <w:rsid w:val="00502D1E"/>
    <w:rsid w:val="005038A9"/>
    <w:rsid w:val="005048DD"/>
    <w:rsid w:val="00505087"/>
    <w:rsid w:val="005050C5"/>
    <w:rsid w:val="00506CD0"/>
    <w:rsid w:val="00507F6B"/>
    <w:rsid w:val="00511EE8"/>
    <w:rsid w:val="005129C4"/>
    <w:rsid w:val="00514C5F"/>
    <w:rsid w:val="00514F6E"/>
    <w:rsid w:val="00515AA9"/>
    <w:rsid w:val="00515E0E"/>
    <w:rsid w:val="00516BD2"/>
    <w:rsid w:val="00520376"/>
    <w:rsid w:val="00520753"/>
    <w:rsid w:val="005210A5"/>
    <w:rsid w:val="00522D6A"/>
    <w:rsid w:val="00523B86"/>
    <w:rsid w:val="00524545"/>
    <w:rsid w:val="00524CD3"/>
    <w:rsid w:val="00527A1F"/>
    <w:rsid w:val="00530A8F"/>
    <w:rsid w:val="005320D2"/>
    <w:rsid w:val="0053273C"/>
    <w:rsid w:val="00533063"/>
    <w:rsid w:val="005343E3"/>
    <w:rsid w:val="00535397"/>
    <w:rsid w:val="0053545C"/>
    <w:rsid w:val="0053674A"/>
    <w:rsid w:val="00536DE0"/>
    <w:rsid w:val="0054018D"/>
    <w:rsid w:val="005408A3"/>
    <w:rsid w:val="005414CD"/>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7264"/>
    <w:rsid w:val="0055740E"/>
    <w:rsid w:val="005600D8"/>
    <w:rsid w:val="0056190D"/>
    <w:rsid w:val="00561D77"/>
    <w:rsid w:val="005621CD"/>
    <w:rsid w:val="0056386F"/>
    <w:rsid w:val="00564876"/>
    <w:rsid w:val="00564BD6"/>
    <w:rsid w:val="0056766B"/>
    <w:rsid w:val="00567E7C"/>
    <w:rsid w:val="005722C7"/>
    <w:rsid w:val="005736DB"/>
    <w:rsid w:val="0057384E"/>
    <w:rsid w:val="00580856"/>
    <w:rsid w:val="00581124"/>
    <w:rsid w:val="005820BD"/>
    <w:rsid w:val="00582182"/>
    <w:rsid w:val="0058351B"/>
    <w:rsid w:val="00583A75"/>
    <w:rsid w:val="0058432E"/>
    <w:rsid w:val="00584F70"/>
    <w:rsid w:val="00585DD5"/>
    <w:rsid w:val="00585E5E"/>
    <w:rsid w:val="0058627D"/>
    <w:rsid w:val="00587949"/>
    <w:rsid w:val="00587D7C"/>
    <w:rsid w:val="00591493"/>
    <w:rsid w:val="00591938"/>
    <w:rsid w:val="00592341"/>
    <w:rsid w:val="005929B3"/>
    <w:rsid w:val="00593594"/>
    <w:rsid w:val="005949FC"/>
    <w:rsid w:val="00594E09"/>
    <w:rsid w:val="0059516F"/>
    <w:rsid w:val="00596A0D"/>
    <w:rsid w:val="005A0918"/>
    <w:rsid w:val="005A1212"/>
    <w:rsid w:val="005A16BA"/>
    <w:rsid w:val="005A506D"/>
    <w:rsid w:val="005A5A06"/>
    <w:rsid w:val="005A6203"/>
    <w:rsid w:val="005A6AE9"/>
    <w:rsid w:val="005A70FB"/>
    <w:rsid w:val="005B2E61"/>
    <w:rsid w:val="005B367F"/>
    <w:rsid w:val="005B4852"/>
    <w:rsid w:val="005B4C49"/>
    <w:rsid w:val="005B652D"/>
    <w:rsid w:val="005B6883"/>
    <w:rsid w:val="005C00FB"/>
    <w:rsid w:val="005C0151"/>
    <w:rsid w:val="005C0808"/>
    <w:rsid w:val="005C1E44"/>
    <w:rsid w:val="005C37F7"/>
    <w:rsid w:val="005C4F69"/>
    <w:rsid w:val="005C5EA5"/>
    <w:rsid w:val="005C6508"/>
    <w:rsid w:val="005C7F19"/>
    <w:rsid w:val="005D08C3"/>
    <w:rsid w:val="005D0931"/>
    <w:rsid w:val="005D0D57"/>
    <w:rsid w:val="005D2A5C"/>
    <w:rsid w:val="005D2A68"/>
    <w:rsid w:val="005D2AA6"/>
    <w:rsid w:val="005D3310"/>
    <w:rsid w:val="005D4842"/>
    <w:rsid w:val="005E15BE"/>
    <w:rsid w:val="005E294B"/>
    <w:rsid w:val="005E60FB"/>
    <w:rsid w:val="005E6D1A"/>
    <w:rsid w:val="005E7992"/>
    <w:rsid w:val="005E7ABB"/>
    <w:rsid w:val="005F1334"/>
    <w:rsid w:val="005F38D1"/>
    <w:rsid w:val="005F3DF7"/>
    <w:rsid w:val="005F4819"/>
    <w:rsid w:val="005F4C4D"/>
    <w:rsid w:val="005F64B6"/>
    <w:rsid w:val="00602396"/>
    <w:rsid w:val="00604505"/>
    <w:rsid w:val="00604B95"/>
    <w:rsid w:val="0060757C"/>
    <w:rsid w:val="0061000C"/>
    <w:rsid w:val="006148A8"/>
    <w:rsid w:val="0061714A"/>
    <w:rsid w:val="00620E4C"/>
    <w:rsid w:val="006219E9"/>
    <w:rsid w:val="00622CD5"/>
    <w:rsid w:val="006236A4"/>
    <w:rsid w:val="006239D9"/>
    <w:rsid w:val="00624377"/>
    <w:rsid w:val="00624DC9"/>
    <w:rsid w:val="00625EBF"/>
    <w:rsid w:val="006279B0"/>
    <w:rsid w:val="00630015"/>
    <w:rsid w:val="00630762"/>
    <w:rsid w:val="00633E53"/>
    <w:rsid w:val="00633F12"/>
    <w:rsid w:val="0063740D"/>
    <w:rsid w:val="00637971"/>
    <w:rsid w:val="00640996"/>
    <w:rsid w:val="006410CA"/>
    <w:rsid w:val="0064159E"/>
    <w:rsid w:val="0064202B"/>
    <w:rsid w:val="00642442"/>
    <w:rsid w:val="00642D2A"/>
    <w:rsid w:val="006438BF"/>
    <w:rsid w:val="00647586"/>
    <w:rsid w:val="00650516"/>
    <w:rsid w:val="0065298D"/>
    <w:rsid w:val="00652DCF"/>
    <w:rsid w:val="006531F4"/>
    <w:rsid w:val="00653E0F"/>
    <w:rsid w:val="00654083"/>
    <w:rsid w:val="00655AEA"/>
    <w:rsid w:val="006573AB"/>
    <w:rsid w:val="00660C8A"/>
    <w:rsid w:val="0066195C"/>
    <w:rsid w:val="00663769"/>
    <w:rsid w:val="00664227"/>
    <w:rsid w:val="00666400"/>
    <w:rsid w:val="006678A6"/>
    <w:rsid w:val="00667F72"/>
    <w:rsid w:val="00670A56"/>
    <w:rsid w:val="00670D89"/>
    <w:rsid w:val="00671455"/>
    <w:rsid w:val="00672249"/>
    <w:rsid w:val="0067234B"/>
    <w:rsid w:val="00672881"/>
    <w:rsid w:val="006752B3"/>
    <w:rsid w:val="006752CD"/>
    <w:rsid w:val="0067553E"/>
    <w:rsid w:val="00675CA1"/>
    <w:rsid w:val="006761CF"/>
    <w:rsid w:val="00677B1A"/>
    <w:rsid w:val="00680306"/>
    <w:rsid w:val="00681705"/>
    <w:rsid w:val="00681BE7"/>
    <w:rsid w:val="00682BFD"/>
    <w:rsid w:val="00684DED"/>
    <w:rsid w:val="00685A7A"/>
    <w:rsid w:val="00686AD9"/>
    <w:rsid w:val="00687160"/>
    <w:rsid w:val="00687B8E"/>
    <w:rsid w:val="00687E7E"/>
    <w:rsid w:val="00691643"/>
    <w:rsid w:val="006931CD"/>
    <w:rsid w:val="0069357E"/>
    <w:rsid w:val="006941AA"/>
    <w:rsid w:val="00694CA3"/>
    <w:rsid w:val="00695F73"/>
    <w:rsid w:val="006966D5"/>
    <w:rsid w:val="00697711"/>
    <w:rsid w:val="0069795E"/>
    <w:rsid w:val="006A33AB"/>
    <w:rsid w:val="006A401E"/>
    <w:rsid w:val="006A46F2"/>
    <w:rsid w:val="006A5E8D"/>
    <w:rsid w:val="006B04D6"/>
    <w:rsid w:val="006B0A6C"/>
    <w:rsid w:val="006B2488"/>
    <w:rsid w:val="006B3132"/>
    <w:rsid w:val="006B321B"/>
    <w:rsid w:val="006B3876"/>
    <w:rsid w:val="006B436C"/>
    <w:rsid w:val="006B4DA5"/>
    <w:rsid w:val="006B725E"/>
    <w:rsid w:val="006C1E26"/>
    <w:rsid w:val="006C2D8E"/>
    <w:rsid w:val="006C33C6"/>
    <w:rsid w:val="006C4319"/>
    <w:rsid w:val="006C5B8A"/>
    <w:rsid w:val="006C6268"/>
    <w:rsid w:val="006C6DDA"/>
    <w:rsid w:val="006C7AF1"/>
    <w:rsid w:val="006C7E7D"/>
    <w:rsid w:val="006C7F65"/>
    <w:rsid w:val="006D0A06"/>
    <w:rsid w:val="006D0D00"/>
    <w:rsid w:val="006D11DA"/>
    <w:rsid w:val="006D208A"/>
    <w:rsid w:val="006D2702"/>
    <w:rsid w:val="006D50B0"/>
    <w:rsid w:val="006D553B"/>
    <w:rsid w:val="006D5BD3"/>
    <w:rsid w:val="006D7783"/>
    <w:rsid w:val="006D7DF4"/>
    <w:rsid w:val="006D7EC7"/>
    <w:rsid w:val="006E0ED8"/>
    <w:rsid w:val="006E12BC"/>
    <w:rsid w:val="006E1EE4"/>
    <w:rsid w:val="006E30FB"/>
    <w:rsid w:val="006E3917"/>
    <w:rsid w:val="006E3962"/>
    <w:rsid w:val="006F0F94"/>
    <w:rsid w:val="006F2D15"/>
    <w:rsid w:val="006F32E7"/>
    <w:rsid w:val="006F3692"/>
    <w:rsid w:val="006F3EB7"/>
    <w:rsid w:val="006F42E6"/>
    <w:rsid w:val="006F613B"/>
    <w:rsid w:val="006F6213"/>
    <w:rsid w:val="006F7A19"/>
    <w:rsid w:val="00702D6F"/>
    <w:rsid w:val="00703117"/>
    <w:rsid w:val="00704C0B"/>
    <w:rsid w:val="007051C6"/>
    <w:rsid w:val="007059DA"/>
    <w:rsid w:val="00705FAC"/>
    <w:rsid w:val="00707185"/>
    <w:rsid w:val="007101E4"/>
    <w:rsid w:val="007110D9"/>
    <w:rsid w:val="00711C0F"/>
    <w:rsid w:val="007136D3"/>
    <w:rsid w:val="0071374A"/>
    <w:rsid w:val="00713803"/>
    <w:rsid w:val="00713DE2"/>
    <w:rsid w:val="0071426E"/>
    <w:rsid w:val="007146FC"/>
    <w:rsid w:val="007149F4"/>
    <w:rsid w:val="00715218"/>
    <w:rsid w:val="007158EA"/>
    <w:rsid w:val="00720C4C"/>
    <w:rsid w:val="00721CC7"/>
    <w:rsid w:val="00722B20"/>
    <w:rsid w:val="007232D8"/>
    <w:rsid w:val="00724FB2"/>
    <w:rsid w:val="007269A2"/>
    <w:rsid w:val="00727711"/>
    <w:rsid w:val="00730F00"/>
    <w:rsid w:val="00731B91"/>
    <w:rsid w:val="007324D8"/>
    <w:rsid w:val="0073342A"/>
    <w:rsid w:val="00733885"/>
    <w:rsid w:val="00734855"/>
    <w:rsid w:val="007357CF"/>
    <w:rsid w:val="007365B6"/>
    <w:rsid w:val="00740D65"/>
    <w:rsid w:val="00741EBC"/>
    <w:rsid w:val="00742AB2"/>
    <w:rsid w:val="007438D6"/>
    <w:rsid w:val="00744B9C"/>
    <w:rsid w:val="00744E3B"/>
    <w:rsid w:val="0074645E"/>
    <w:rsid w:val="00747A13"/>
    <w:rsid w:val="007502D8"/>
    <w:rsid w:val="00752202"/>
    <w:rsid w:val="00752284"/>
    <w:rsid w:val="0075345F"/>
    <w:rsid w:val="00753C80"/>
    <w:rsid w:val="00757CC1"/>
    <w:rsid w:val="007603E7"/>
    <w:rsid w:val="00760E74"/>
    <w:rsid w:val="00761E10"/>
    <w:rsid w:val="007620D1"/>
    <w:rsid w:val="0076410A"/>
    <w:rsid w:val="00765E3A"/>
    <w:rsid w:val="007668F3"/>
    <w:rsid w:val="00771D6F"/>
    <w:rsid w:val="00774747"/>
    <w:rsid w:val="00775A46"/>
    <w:rsid w:val="0077707B"/>
    <w:rsid w:val="00777315"/>
    <w:rsid w:val="00781774"/>
    <w:rsid w:val="0078208E"/>
    <w:rsid w:val="00785218"/>
    <w:rsid w:val="00785460"/>
    <w:rsid w:val="00786F89"/>
    <w:rsid w:val="00787BEE"/>
    <w:rsid w:val="00790DD0"/>
    <w:rsid w:val="00793D7D"/>
    <w:rsid w:val="0079473C"/>
    <w:rsid w:val="0079476F"/>
    <w:rsid w:val="007954A7"/>
    <w:rsid w:val="00797235"/>
    <w:rsid w:val="00797482"/>
    <w:rsid w:val="00797BAE"/>
    <w:rsid w:val="007A1932"/>
    <w:rsid w:val="007A23D6"/>
    <w:rsid w:val="007A27E6"/>
    <w:rsid w:val="007A3843"/>
    <w:rsid w:val="007A7A63"/>
    <w:rsid w:val="007B07C1"/>
    <w:rsid w:val="007B0B6F"/>
    <w:rsid w:val="007B0E8C"/>
    <w:rsid w:val="007B1C45"/>
    <w:rsid w:val="007B2C97"/>
    <w:rsid w:val="007B3437"/>
    <w:rsid w:val="007B34D5"/>
    <w:rsid w:val="007B3758"/>
    <w:rsid w:val="007B4E8F"/>
    <w:rsid w:val="007B4F76"/>
    <w:rsid w:val="007B4FDE"/>
    <w:rsid w:val="007C0E43"/>
    <w:rsid w:val="007C1FE0"/>
    <w:rsid w:val="007C384F"/>
    <w:rsid w:val="007C5C31"/>
    <w:rsid w:val="007C5F1D"/>
    <w:rsid w:val="007D0476"/>
    <w:rsid w:val="007D04EE"/>
    <w:rsid w:val="007D2BFF"/>
    <w:rsid w:val="007D2FC0"/>
    <w:rsid w:val="007D4203"/>
    <w:rsid w:val="007D4F13"/>
    <w:rsid w:val="007D6A07"/>
    <w:rsid w:val="007D6AB8"/>
    <w:rsid w:val="007D7E95"/>
    <w:rsid w:val="007E106D"/>
    <w:rsid w:val="007E14E9"/>
    <w:rsid w:val="007E1F14"/>
    <w:rsid w:val="007E3D7D"/>
    <w:rsid w:val="007E4216"/>
    <w:rsid w:val="007E4756"/>
    <w:rsid w:val="007E4ADF"/>
    <w:rsid w:val="007E5195"/>
    <w:rsid w:val="007E5E38"/>
    <w:rsid w:val="007E6044"/>
    <w:rsid w:val="007E7C7E"/>
    <w:rsid w:val="007F1073"/>
    <w:rsid w:val="007F53F5"/>
    <w:rsid w:val="007F55A4"/>
    <w:rsid w:val="007F5848"/>
    <w:rsid w:val="007F5F81"/>
    <w:rsid w:val="007F606D"/>
    <w:rsid w:val="007F6A07"/>
    <w:rsid w:val="00800064"/>
    <w:rsid w:val="008015C6"/>
    <w:rsid w:val="00801FAF"/>
    <w:rsid w:val="0080242B"/>
    <w:rsid w:val="00802F48"/>
    <w:rsid w:val="00803689"/>
    <w:rsid w:val="008045B4"/>
    <w:rsid w:val="0080473D"/>
    <w:rsid w:val="00805452"/>
    <w:rsid w:val="0080609E"/>
    <w:rsid w:val="00806164"/>
    <w:rsid w:val="0080631D"/>
    <w:rsid w:val="00807CE4"/>
    <w:rsid w:val="00807DDA"/>
    <w:rsid w:val="00810833"/>
    <w:rsid w:val="0081159B"/>
    <w:rsid w:val="008115EA"/>
    <w:rsid w:val="0081438E"/>
    <w:rsid w:val="00814D22"/>
    <w:rsid w:val="00815119"/>
    <w:rsid w:val="00815B4F"/>
    <w:rsid w:val="00815BCD"/>
    <w:rsid w:val="00816A52"/>
    <w:rsid w:val="00817083"/>
    <w:rsid w:val="008215E2"/>
    <w:rsid w:val="00821A0A"/>
    <w:rsid w:val="00822C37"/>
    <w:rsid w:val="00823B21"/>
    <w:rsid w:val="00824E23"/>
    <w:rsid w:val="00825CB7"/>
    <w:rsid w:val="0082618E"/>
    <w:rsid w:val="0082630E"/>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4136"/>
    <w:rsid w:val="008441D4"/>
    <w:rsid w:val="00845FCD"/>
    <w:rsid w:val="00847098"/>
    <w:rsid w:val="00847F58"/>
    <w:rsid w:val="00851F73"/>
    <w:rsid w:val="0085262F"/>
    <w:rsid w:val="00855A5F"/>
    <w:rsid w:val="00855DB3"/>
    <w:rsid w:val="00861213"/>
    <w:rsid w:val="00862BB2"/>
    <w:rsid w:val="008631AF"/>
    <w:rsid w:val="00863635"/>
    <w:rsid w:val="00863B4D"/>
    <w:rsid w:val="00863B64"/>
    <w:rsid w:val="00865321"/>
    <w:rsid w:val="00866C81"/>
    <w:rsid w:val="00870EFC"/>
    <w:rsid w:val="00871A99"/>
    <w:rsid w:val="00872131"/>
    <w:rsid w:val="008740F6"/>
    <w:rsid w:val="00874130"/>
    <w:rsid w:val="00874818"/>
    <w:rsid w:val="008765E3"/>
    <w:rsid w:val="00880601"/>
    <w:rsid w:val="00880F47"/>
    <w:rsid w:val="0088151B"/>
    <w:rsid w:val="0088154E"/>
    <w:rsid w:val="00882A7B"/>
    <w:rsid w:val="0088358B"/>
    <w:rsid w:val="00891F55"/>
    <w:rsid w:val="00892390"/>
    <w:rsid w:val="0089251F"/>
    <w:rsid w:val="00892E49"/>
    <w:rsid w:val="0089428D"/>
    <w:rsid w:val="0089524D"/>
    <w:rsid w:val="008952F7"/>
    <w:rsid w:val="00896214"/>
    <w:rsid w:val="008A022B"/>
    <w:rsid w:val="008A0B67"/>
    <w:rsid w:val="008A2220"/>
    <w:rsid w:val="008A3399"/>
    <w:rsid w:val="008A3689"/>
    <w:rsid w:val="008A3D34"/>
    <w:rsid w:val="008A48B7"/>
    <w:rsid w:val="008A5982"/>
    <w:rsid w:val="008A6306"/>
    <w:rsid w:val="008A65E4"/>
    <w:rsid w:val="008A68A8"/>
    <w:rsid w:val="008B1410"/>
    <w:rsid w:val="008B2101"/>
    <w:rsid w:val="008B2C69"/>
    <w:rsid w:val="008B35C0"/>
    <w:rsid w:val="008B44EE"/>
    <w:rsid w:val="008C0498"/>
    <w:rsid w:val="008C2F85"/>
    <w:rsid w:val="008C3175"/>
    <w:rsid w:val="008C5F17"/>
    <w:rsid w:val="008C7262"/>
    <w:rsid w:val="008C7482"/>
    <w:rsid w:val="008D02F2"/>
    <w:rsid w:val="008D06FB"/>
    <w:rsid w:val="008D0CDD"/>
    <w:rsid w:val="008D2A25"/>
    <w:rsid w:val="008D3309"/>
    <w:rsid w:val="008D4990"/>
    <w:rsid w:val="008D56E7"/>
    <w:rsid w:val="008D57A6"/>
    <w:rsid w:val="008D6376"/>
    <w:rsid w:val="008D66EC"/>
    <w:rsid w:val="008D6F6A"/>
    <w:rsid w:val="008D7A0B"/>
    <w:rsid w:val="008D7AE0"/>
    <w:rsid w:val="008D7F91"/>
    <w:rsid w:val="008E082B"/>
    <w:rsid w:val="008E0B30"/>
    <w:rsid w:val="008E157A"/>
    <w:rsid w:val="008E37A6"/>
    <w:rsid w:val="008E37AB"/>
    <w:rsid w:val="008E63A8"/>
    <w:rsid w:val="008E6B7F"/>
    <w:rsid w:val="008F04FD"/>
    <w:rsid w:val="008F19C9"/>
    <w:rsid w:val="008F2747"/>
    <w:rsid w:val="008F3478"/>
    <w:rsid w:val="008F3D55"/>
    <w:rsid w:val="008F47FB"/>
    <w:rsid w:val="008F52D9"/>
    <w:rsid w:val="008F62F8"/>
    <w:rsid w:val="00900A21"/>
    <w:rsid w:val="00900D3A"/>
    <w:rsid w:val="00900E6A"/>
    <w:rsid w:val="00901B46"/>
    <w:rsid w:val="00901D6F"/>
    <w:rsid w:val="00902524"/>
    <w:rsid w:val="00902E4F"/>
    <w:rsid w:val="009035E4"/>
    <w:rsid w:val="00904A28"/>
    <w:rsid w:val="00904C01"/>
    <w:rsid w:val="00906D49"/>
    <w:rsid w:val="00907419"/>
    <w:rsid w:val="00907EA4"/>
    <w:rsid w:val="009102EC"/>
    <w:rsid w:val="00910B91"/>
    <w:rsid w:val="00911AF4"/>
    <w:rsid w:val="00914B08"/>
    <w:rsid w:val="00914D1B"/>
    <w:rsid w:val="00914E39"/>
    <w:rsid w:val="009154FD"/>
    <w:rsid w:val="0092009B"/>
    <w:rsid w:val="00920E8A"/>
    <w:rsid w:val="00922035"/>
    <w:rsid w:val="00922428"/>
    <w:rsid w:val="00922D76"/>
    <w:rsid w:val="009237B6"/>
    <w:rsid w:val="00923C8F"/>
    <w:rsid w:val="00924FF0"/>
    <w:rsid w:val="009261A8"/>
    <w:rsid w:val="009270B6"/>
    <w:rsid w:val="00930424"/>
    <w:rsid w:val="00932152"/>
    <w:rsid w:val="00932DE8"/>
    <w:rsid w:val="00933859"/>
    <w:rsid w:val="00934B3B"/>
    <w:rsid w:val="0093539C"/>
    <w:rsid w:val="0093635E"/>
    <w:rsid w:val="009377C5"/>
    <w:rsid w:val="0094131E"/>
    <w:rsid w:val="0094153C"/>
    <w:rsid w:val="0094234E"/>
    <w:rsid w:val="00943068"/>
    <w:rsid w:val="009430B6"/>
    <w:rsid w:val="0094570F"/>
    <w:rsid w:val="00946F73"/>
    <w:rsid w:val="009472AB"/>
    <w:rsid w:val="00947C5B"/>
    <w:rsid w:val="00950079"/>
    <w:rsid w:val="00950480"/>
    <w:rsid w:val="009548F4"/>
    <w:rsid w:val="0095503F"/>
    <w:rsid w:val="00955477"/>
    <w:rsid w:val="009569E2"/>
    <w:rsid w:val="00956DD3"/>
    <w:rsid w:val="009601ED"/>
    <w:rsid w:val="0096199D"/>
    <w:rsid w:val="00963A56"/>
    <w:rsid w:val="00964480"/>
    <w:rsid w:val="00965CC6"/>
    <w:rsid w:val="009661B2"/>
    <w:rsid w:val="009675F7"/>
    <w:rsid w:val="0097013E"/>
    <w:rsid w:val="00970FE6"/>
    <w:rsid w:val="00971535"/>
    <w:rsid w:val="00972552"/>
    <w:rsid w:val="00972A5A"/>
    <w:rsid w:val="009734BA"/>
    <w:rsid w:val="00973D98"/>
    <w:rsid w:val="0097435F"/>
    <w:rsid w:val="0097437A"/>
    <w:rsid w:val="00974F80"/>
    <w:rsid w:val="00975E0B"/>
    <w:rsid w:val="00976D6F"/>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9045A"/>
    <w:rsid w:val="009918DF"/>
    <w:rsid w:val="009936A6"/>
    <w:rsid w:val="00994CDA"/>
    <w:rsid w:val="00995E3E"/>
    <w:rsid w:val="009A08DC"/>
    <w:rsid w:val="009A2891"/>
    <w:rsid w:val="009A3CCF"/>
    <w:rsid w:val="009A6EA4"/>
    <w:rsid w:val="009B258C"/>
    <w:rsid w:val="009B2A46"/>
    <w:rsid w:val="009B2F8B"/>
    <w:rsid w:val="009B349A"/>
    <w:rsid w:val="009B38DA"/>
    <w:rsid w:val="009B5DBF"/>
    <w:rsid w:val="009B6821"/>
    <w:rsid w:val="009C1407"/>
    <w:rsid w:val="009C1DB6"/>
    <w:rsid w:val="009C20E4"/>
    <w:rsid w:val="009C2F18"/>
    <w:rsid w:val="009C7EB5"/>
    <w:rsid w:val="009D08C1"/>
    <w:rsid w:val="009D2C46"/>
    <w:rsid w:val="009D36E0"/>
    <w:rsid w:val="009D4711"/>
    <w:rsid w:val="009D5141"/>
    <w:rsid w:val="009D5A70"/>
    <w:rsid w:val="009D60D5"/>
    <w:rsid w:val="009D6D9B"/>
    <w:rsid w:val="009E0C4E"/>
    <w:rsid w:val="009E13CD"/>
    <w:rsid w:val="009E1635"/>
    <w:rsid w:val="009E1EE0"/>
    <w:rsid w:val="009E5131"/>
    <w:rsid w:val="009E589C"/>
    <w:rsid w:val="009E629C"/>
    <w:rsid w:val="009E6A75"/>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29D9"/>
    <w:rsid w:val="00A04E3A"/>
    <w:rsid w:val="00A05556"/>
    <w:rsid w:val="00A05CFE"/>
    <w:rsid w:val="00A0605D"/>
    <w:rsid w:val="00A07B11"/>
    <w:rsid w:val="00A11DBE"/>
    <w:rsid w:val="00A1286F"/>
    <w:rsid w:val="00A12DF3"/>
    <w:rsid w:val="00A13B17"/>
    <w:rsid w:val="00A13B34"/>
    <w:rsid w:val="00A1447F"/>
    <w:rsid w:val="00A167BF"/>
    <w:rsid w:val="00A167E7"/>
    <w:rsid w:val="00A173A3"/>
    <w:rsid w:val="00A174C8"/>
    <w:rsid w:val="00A23505"/>
    <w:rsid w:val="00A254F0"/>
    <w:rsid w:val="00A25ABA"/>
    <w:rsid w:val="00A27625"/>
    <w:rsid w:val="00A27EAD"/>
    <w:rsid w:val="00A30966"/>
    <w:rsid w:val="00A3218D"/>
    <w:rsid w:val="00A32400"/>
    <w:rsid w:val="00A329D9"/>
    <w:rsid w:val="00A34C23"/>
    <w:rsid w:val="00A368A9"/>
    <w:rsid w:val="00A36ACB"/>
    <w:rsid w:val="00A37375"/>
    <w:rsid w:val="00A37691"/>
    <w:rsid w:val="00A40387"/>
    <w:rsid w:val="00A428A7"/>
    <w:rsid w:val="00A44973"/>
    <w:rsid w:val="00A44EF8"/>
    <w:rsid w:val="00A45CE9"/>
    <w:rsid w:val="00A4779B"/>
    <w:rsid w:val="00A50E95"/>
    <w:rsid w:val="00A511C7"/>
    <w:rsid w:val="00A532A6"/>
    <w:rsid w:val="00A54E6B"/>
    <w:rsid w:val="00A552D4"/>
    <w:rsid w:val="00A57F79"/>
    <w:rsid w:val="00A61B40"/>
    <w:rsid w:val="00A62004"/>
    <w:rsid w:val="00A63060"/>
    <w:rsid w:val="00A650CA"/>
    <w:rsid w:val="00A65C3B"/>
    <w:rsid w:val="00A65EE0"/>
    <w:rsid w:val="00A6757F"/>
    <w:rsid w:val="00A67A42"/>
    <w:rsid w:val="00A709F4"/>
    <w:rsid w:val="00A72253"/>
    <w:rsid w:val="00A72510"/>
    <w:rsid w:val="00A72EB9"/>
    <w:rsid w:val="00A73409"/>
    <w:rsid w:val="00A756C3"/>
    <w:rsid w:val="00A75C42"/>
    <w:rsid w:val="00A7648E"/>
    <w:rsid w:val="00A774B7"/>
    <w:rsid w:val="00A77F10"/>
    <w:rsid w:val="00A836BC"/>
    <w:rsid w:val="00A83F39"/>
    <w:rsid w:val="00A86173"/>
    <w:rsid w:val="00A86BFC"/>
    <w:rsid w:val="00A87897"/>
    <w:rsid w:val="00A90ABB"/>
    <w:rsid w:val="00A90C94"/>
    <w:rsid w:val="00A914C2"/>
    <w:rsid w:val="00A93920"/>
    <w:rsid w:val="00A94BA0"/>
    <w:rsid w:val="00A959BD"/>
    <w:rsid w:val="00A95AB6"/>
    <w:rsid w:val="00A9618E"/>
    <w:rsid w:val="00AA01D7"/>
    <w:rsid w:val="00AA03AF"/>
    <w:rsid w:val="00AA09D7"/>
    <w:rsid w:val="00AA20A3"/>
    <w:rsid w:val="00AA2705"/>
    <w:rsid w:val="00AA3031"/>
    <w:rsid w:val="00AA40A2"/>
    <w:rsid w:val="00AA48D0"/>
    <w:rsid w:val="00AA4AD8"/>
    <w:rsid w:val="00AA5765"/>
    <w:rsid w:val="00AA5C73"/>
    <w:rsid w:val="00AA613D"/>
    <w:rsid w:val="00AA617E"/>
    <w:rsid w:val="00AB0B80"/>
    <w:rsid w:val="00AB0DFE"/>
    <w:rsid w:val="00AB15B5"/>
    <w:rsid w:val="00AB181D"/>
    <w:rsid w:val="00AB2BB5"/>
    <w:rsid w:val="00AB3180"/>
    <w:rsid w:val="00AB336C"/>
    <w:rsid w:val="00AB57CB"/>
    <w:rsid w:val="00AB5826"/>
    <w:rsid w:val="00AB5994"/>
    <w:rsid w:val="00AB6226"/>
    <w:rsid w:val="00AB732C"/>
    <w:rsid w:val="00AB7DAD"/>
    <w:rsid w:val="00AC066B"/>
    <w:rsid w:val="00AC0A0C"/>
    <w:rsid w:val="00AC0EE6"/>
    <w:rsid w:val="00AC0F00"/>
    <w:rsid w:val="00AC0FFB"/>
    <w:rsid w:val="00AC18DC"/>
    <w:rsid w:val="00AC1C8D"/>
    <w:rsid w:val="00AC6363"/>
    <w:rsid w:val="00AC6D96"/>
    <w:rsid w:val="00AC748E"/>
    <w:rsid w:val="00AC7B69"/>
    <w:rsid w:val="00AD0068"/>
    <w:rsid w:val="00AD7E51"/>
    <w:rsid w:val="00AE012A"/>
    <w:rsid w:val="00AE0905"/>
    <w:rsid w:val="00AE0A77"/>
    <w:rsid w:val="00AE195B"/>
    <w:rsid w:val="00AE1B3B"/>
    <w:rsid w:val="00AE356E"/>
    <w:rsid w:val="00AE3F3A"/>
    <w:rsid w:val="00AE4483"/>
    <w:rsid w:val="00AE5254"/>
    <w:rsid w:val="00AE5F13"/>
    <w:rsid w:val="00AF202D"/>
    <w:rsid w:val="00AF41A4"/>
    <w:rsid w:val="00AF48BB"/>
    <w:rsid w:val="00AF4A57"/>
    <w:rsid w:val="00AF4A66"/>
    <w:rsid w:val="00AF5E4D"/>
    <w:rsid w:val="00AF622F"/>
    <w:rsid w:val="00AF6AF0"/>
    <w:rsid w:val="00AF6CD2"/>
    <w:rsid w:val="00AF7B10"/>
    <w:rsid w:val="00AF7C7E"/>
    <w:rsid w:val="00B00608"/>
    <w:rsid w:val="00B00CF3"/>
    <w:rsid w:val="00B01FE3"/>
    <w:rsid w:val="00B02E8C"/>
    <w:rsid w:val="00B04956"/>
    <w:rsid w:val="00B04E65"/>
    <w:rsid w:val="00B06734"/>
    <w:rsid w:val="00B1041B"/>
    <w:rsid w:val="00B114C8"/>
    <w:rsid w:val="00B12464"/>
    <w:rsid w:val="00B12811"/>
    <w:rsid w:val="00B12C73"/>
    <w:rsid w:val="00B16F21"/>
    <w:rsid w:val="00B20726"/>
    <w:rsid w:val="00B2139F"/>
    <w:rsid w:val="00B23AE5"/>
    <w:rsid w:val="00B26AF6"/>
    <w:rsid w:val="00B2749A"/>
    <w:rsid w:val="00B27F2D"/>
    <w:rsid w:val="00B27F5E"/>
    <w:rsid w:val="00B30579"/>
    <w:rsid w:val="00B31585"/>
    <w:rsid w:val="00B3210E"/>
    <w:rsid w:val="00B32658"/>
    <w:rsid w:val="00B32C79"/>
    <w:rsid w:val="00B33226"/>
    <w:rsid w:val="00B336ED"/>
    <w:rsid w:val="00B34A05"/>
    <w:rsid w:val="00B34F15"/>
    <w:rsid w:val="00B36AD1"/>
    <w:rsid w:val="00B40BD3"/>
    <w:rsid w:val="00B418E5"/>
    <w:rsid w:val="00B420DE"/>
    <w:rsid w:val="00B420E8"/>
    <w:rsid w:val="00B4293F"/>
    <w:rsid w:val="00B4435F"/>
    <w:rsid w:val="00B45305"/>
    <w:rsid w:val="00B45ADA"/>
    <w:rsid w:val="00B45BEC"/>
    <w:rsid w:val="00B45D90"/>
    <w:rsid w:val="00B468F4"/>
    <w:rsid w:val="00B50453"/>
    <w:rsid w:val="00B50493"/>
    <w:rsid w:val="00B50C6D"/>
    <w:rsid w:val="00B517D4"/>
    <w:rsid w:val="00B52647"/>
    <w:rsid w:val="00B52760"/>
    <w:rsid w:val="00B53DC7"/>
    <w:rsid w:val="00B557FF"/>
    <w:rsid w:val="00B56EE9"/>
    <w:rsid w:val="00B574D7"/>
    <w:rsid w:val="00B610D1"/>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5DCC"/>
    <w:rsid w:val="00B762DB"/>
    <w:rsid w:val="00B771A0"/>
    <w:rsid w:val="00B77D50"/>
    <w:rsid w:val="00B802C2"/>
    <w:rsid w:val="00B80645"/>
    <w:rsid w:val="00B81A3A"/>
    <w:rsid w:val="00B84484"/>
    <w:rsid w:val="00B85F7C"/>
    <w:rsid w:val="00B860BD"/>
    <w:rsid w:val="00B90752"/>
    <w:rsid w:val="00B90D01"/>
    <w:rsid w:val="00B91952"/>
    <w:rsid w:val="00B942B2"/>
    <w:rsid w:val="00B94C42"/>
    <w:rsid w:val="00B95EFC"/>
    <w:rsid w:val="00B96267"/>
    <w:rsid w:val="00BA1B6D"/>
    <w:rsid w:val="00BA216E"/>
    <w:rsid w:val="00BA31CD"/>
    <w:rsid w:val="00BA5335"/>
    <w:rsid w:val="00BA7558"/>
    <w:rsid w:val="00BB43BC"/>
    <w:rsid w:val="00BB4B0B"/>
    <w:rsid w:val="00BB541D"/>
    <w:rsid w:val="00BB59B1"/>
    <w:rsid w:val="00BB62AD"/>
    <w:rsid w:val="00BB7990"/>
    <w:rsid w:val="00BB7A71"/>
    <w:rsid w:val="00BC1B21"/>
    <w:rsid w:val="00BC49A1"/>
    <w:rsid w:val="00BC4FC3"/>
    <w:rsid w:val="00BC52F6"/>
    <w:rsid w:val="00BD03AB"/>
    <w:rsid w:val="00BD191C"/>
    <w:rsid w:val="00BD3114"/>
    <w:rsid w:val="00BD34B6"/>
    <w:rsid w:val="00BD35EF"/>
    <w:rsid w:val="00BD4247"/>
    <w:rsid w:val="00BD5BF8"/>
    <w:rsid w:val="00BD5CF0"/>
    <w:rsid w:val="00BD5FD5"/>
    <w:rsid w:val="00BE034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388A"/>
    <w:rsid w:val="00BF42DB"/>
    <w:rsid w:val="00BF43FF"/>
    <w:rsid w:val="00BF4E3C"/>
    <w:rsid w:val="00BF51EE"/>
    <w:rsid w:val="00BF6940"/>
    <w:rsid w:val="00BF6BFC"/>
    <w:rsid w:val="00BF6E01"/>
    <w:rsid w:val="00C02C54"/>
    <w:rsid w:val="00C02C84"/>
    <w:rsid w:val="00C02EA7"/>
    <w:rsid w:val="00C04B69"/>
    <w:rsid w:val="00C05567"/>
    <w:rsid w:val="00C070FC"/>
    <w:rsid w:val="00C13FCA"/>
    <w:rsid w:val="00C14B4C"/>
    <w:rsid w:val="00C16150"/>
    <w:rsid w:val="00C162BB"/>
    <w:rsid w:val="00C21EF7"/>
    <w:rsid w:val="00C228A5"/>
    <w:rsid w:val="00C22A7A"/>
    <w:rsid w:val="00C22ECC"/>
    <w:rsid w:val="00C24533"/>
    <w:rsid w:val="00C24728"/>
    <w:rsid w:val="00C263AC"/>
    <w:rsid w:val="00C26D8D"/>
    <w:rsid w:val="00C275CC"/>
    <w:rsid w:val="00C31F42"/>
    <w:rsid w:val="00C34A20"/>
    <w:rsid w:val="00C40FDF"/>
    <w:rsid w:val="00C42018"/>
    <w:rsid w:val="00C42621"/>
    <w:rsid w:val="00C4263B"/>
    <w:rsid w:val="00C43058"/>
    <w:rsid w:val="00C446A1"/>
    <w:rsid w:val="00C4667C"/>
    <w:rsid w:val="00C50AEF"/>
    <w:rsid w:val="00C5130C"/>
    <w:rsid w:val="00C557AD"/>
    <w:rsid w:val="00C61220"/>
    <w:rsid w:val="00C61D98"/>
    <w:rsid w:val="00C62662"/>
    <w:rsid w:val="00C639AC"/>
    <w:rsid w:val="00C654BC"/>
    <w:rsid w:val="00C6653E"/>
    <w:rsid w:val="00C66AB7"/>
    <w:rsid w:val="00C6749B"/>
    <w:rsid w:val="00C7056B"/>
    <w:rsid w:val="00C70AC6"/>
    <w:rsid w:val="00C71202"/>
    <w:rsid w:val="00C718B4"/>
    <w:rsid w:val="00C7448D"/>
    <w:rsid w:val="00C74524"/>
    <w:rsid w:val="00C75352"/>
    <w:rsid w:val="00C754EB"/>
    <w:rsid w:val="00C75696"/>
    <w:rsid w:val="00C76813"/>
    <w:rsid w:val="00C77C85"/>
    <w:rsid w:val="00C80823"/>
    <w:rsid w:val="00C80954"/>
    <w:rsid w:val="00C822E8"/>
    <w:rsid w:val="00C82882"/>
    <w:rsid w:val="00C83D80"/>
    <w:rsid w:val="00C845D4"/>
    <w:rsid w:val="00C84B3D"/>
    <w:rsid w:val="00C84B9B"/>
    <w:rsid w:val="00C86F54"/>
    <w:rsid w:val="00C876CB"/>
    <w:rsid w:val="00C8786B"/>
    <w:rsid w:val="00C87B84"/>
    <w:rsid w:val="00C87D36"/>
    <w:rsid w:val="00C91A7E"/>
    <w:rsid w:val="00C91C8F"/>
    <w:rsid w:val="00C93BB5"/>
    <w:rsid w:val="00C95369"/>
    <w:rsid w:val="00C97CF5"/>
    <w:rsid w:val="00CA1411"/>
    <w:rsid w:val="00CA1F30"/>
    <w:rsid w:val="00CA3676"/>
    <w:rsid w:val="00CA4AFC"/>
    <w:rsid w:val="00CA5E61"/>
    <w:rsid w:val="00CA652E"/>
    <w:rsid w:val="00CA6569"/>
    <w:rsid w:val="00CB0924"/>
    <w:rsid w:val="00CB0F77"/>
    <w:rsid w:val="00CB2015"/>
    <w:rsid w:val="00CB32C4"/>
    <w:rsid w:val="00CB3B77"/>
    <w:rsid w:val="00CB4F45"/>
    <w:rsid w:val="00CB71BF"/>
    <w:rsid w:val="00CB77F8"/>
    <w:rsid w:val="00CC196F"/>
    <w:rsid w:val="00CC1D0D"/>
    <w:rsid w:val="00CC2FF7"/>
    <w:rsid w:val="00CC42BD"/>
    <w:rsid w:val="00CC59D2"/>
    <w:rsid w:val="00CC60A2"/>
    <w:rsid w:val="00CC7101"/>
    <w:rsid w:val="00CC71A5"/>
    <w:rsid w:val="00CC7A07"/>
    <w:rsid w:val="00CD0237"/>
    <w:rsid w:val="00CD1D74"/>
    <w:rsid w:val="00CD1DDA"/>
    <w:rsid w:val="00CD299F"/>
    <w:rsid w:val="00CD4128"/>
    <w:rsid w:val="00CD56D2"/>
    <w:rsid w:val="00CD5D1E"/>
    <w:rsid w:val="00CD67C1"/>
    <w:rsid w:val="00CD6B02"/>
    <w:rsid w:val="00CE0227"/>
    <w:rsid w:val="00CE1756"/>
    <w:rsid w:val="00CE2839"/>
    <w:rsid w:val="00CE3021"/>
    <w:rsid w:val="00CE3285"/>
    <w:rsid w:val="00CE3AA8"/>
    <w:rsid w:val="00CE3DB7"/>
    <w:rsid w:val="00CE525A"/>
    <w:rsid w:val="00CE6B21"/>
    <w:rsid w:val="00CF0492"/>
    <w:rsid w:val="00CF1DA3"/>
    <w:rsid w:val="00CF294B"/>
    <w:rsid w:val="00CF357B"/>
    <w:rsid w:val="00CF4BBB"/>
    <w:rsid w:val="00CF4E60"/>
    <w:rsid w:val="00CF59CA"/>
    <w:rsid w:val="00CF6281"/>
    <w:rsid w:val="00CF7E8B"/>
    <w:rsid w:val="00D00E9F"/>
    <w:rsid w:val="00D027DF"/>
    <w:rsid w:val="00D02C90"/>
    <w:rsid w:val="00D02F3F"/>
    <w:rsid w:val="00D03369"/>
    <w:rsid w:val="00D0681F"/>
    <w:rsid w:val="00D06DE4"/>
    <w:rsid w:val="00D06FFF"/>
    <w:rsid w:val="00D0704D"/>
    <w:rsid w:val="00D07A97"/>
    <w:rsid w:val="00D10CF7"/>
    <w:rsid w:val="00D1124C"/>
    <w:rsid w:val="00D11FE3"/>
    <w:rsid w:val="00D12958"/>
    <w:rsid w:val="00D16BFA"/>
    <w:rsid w:val="00D17011"/>
    <w:rsid w:val="00D17C0B"/>
    <w:rsid w:val="00D17C3E"/>
    <w:rsid w:val="00D20AF7"/>
    <w:rsid w:val="00D21DEB"/>
    <w:rsid w:val="00D23725"/>
    <w:rsid w:val="00D2400F"/>
    <w:rsid w:val="00D24BF7"/>
    <w:rsid w:val="00D25BBD"/>
    <w:rsid w:val="00D27217"/>
    <w:rsid w:val="00D30079"/>
    <w:rsid w:val="00D3288C"/>
    <w:rsid w:val="00D32AA9"/>
    <w:rsid w:val="00D339E5"/>
    <w:rsid w:val="00D33A5B"/>
    <w:rsid w:val="00D33FDC"/>
    <w:rsid w:val="00D348FA"/>
    <w:rsid w:val="00D34DF6"/>
    <w:rsid w:val="00D35623"/>
    <w:rsid w:val="00D35AF1"/>
    <w:rsid w:val="00D35D29"/>
    <w:rsid w:val="00D378FC"/>
    <w:rsid w:val="00D4003F"/>
    <w:rsid w:val="00D422B8"/>
    <w:rsid w:val="00D42470"/>
    <w:rsid w:val="00D4364B"/>
    <w:rsid w:val="00D43BCF"/>
    <w:rsid w:val="00D43C6C"/>
    <w:rsid w:val="00D44138"/>
    <w:rsid w:val="00D44DEA"/>
    <w:rsid w:val="00D44F4D"/>
    <w:rsid w:val="00D46B18"/>
    <w:rsid w:val="00D47305"/>
    <w:rsid w:val="00D51971"/>
    <w:rsid w:val="00D52FC3"/>
    <w:rsid w:val="00D5735C"/>
    <w:rsid w:val="00D6297F"/>
    <w:rsid w:val="00D64010"/>
    <w:rsid w:val="00D64693"/>
    <w:rsid w:val="00D65073"/>
    <w:rsid w:val="00D6513C"/>
    <w:rsid w:val="00D65CFC"/>
    <w:rsid w:val="00D65FED"/>
    <w:rsid w:val="00D66D5F"/>
    <w:rsid w:val="00D67DDC"/>
    <w:rsid w:val="00D70343"/>
    <w:rsid w:val="00D712E2"/>
    <w:rsid w:val="00D71C51"/>
    <w:rsid w:val="00D72828"/>
    <w:rsid w:val="00D75699"/>
    <w:rsid w:val="00D758E4"/>
    <w:rsid w:val="00D75EC3"/>
    <w:rsid w:val="00D764DD"/>
    <w:rsid w:val="00D76D02"/>
    <w:rsid w:val="00D815B6"/>
    <w:rsid w:val="00D82DC1"/>
    <w:rsid w:val="00D82DD9"/>
    <w:rsid w:val="00D83DD1"/>
    <w:rsid w:val="00D83E91"/>
    <w:rsid w:val="00D8424B"/>
    <w:rsid w:val="00D8506F"/>
    <w:rsid w:val="00D86714"/>
    <w:rsid w:val="00D914DC"/>
    <w:rsid w:val="00D918D9"/>
    <w:rsid w:val="00D92307"/>
    <w:rsid w:val="00D93A6B"/>
    <w:rsid w:val="00D94431"/>
    <w:rsid w:val="00D95427"/>
    <w:rsid w:val="00D96642"/>
    <w:rsid w:val="00DA0A01"/>
    <w:rsid w:val="00DA124B"/>
    <w:rsid w:val="00DA32FF"/>
    <w:rsid w:val="00DA34CD"/>
    <w:rsid w:val="00DA41EB"/>
    <w:rsid w:val="00DA44B1"/>
    <w:rsid w:val="00DA4EEE"/>
    <w:rsid w:val="00DA51C6"/>
    <w:rsid w:val="00DA537C"/>
    <w:rsid w:val="00DA5CC9"/>
    <w:rsid w:val="00DB0953"/>
    <w:rsid w:val="00DB1BA9"/>
    <w:rsid w:val="00DB5726"/>
    <w:rsid w:val="00DB6085"/>
    <w:rsid w:val="00DC04A2"/>
    <w:rsid w:val="00DC113B"/>
    <w:rsid w:val="00DC2EDF"/>
    <w:rsid w:val="00DC31E1"/>
    <w:rsid w:val="00DC3A02"/>
    <w:rsid w:val="00DC4E1F"/>
    <w:rsid w:val="00DC638B"/>
    <w:rsid w:val="00DC63C8"/>
    <w:rsid w:val="00DC7327"/>
    <w:rsid w:val="00DD0022"/>
    <w:rsid w:val="00DD22E2"/>
    <w:rsid w:val="00DD38CF"/>
    <w:rsid w:val="00DD42A8"/>
    <w:rsid w:val="00DD459A"/>
    <w:rsid w:val="00DD50F1"/>
    <w:rsid w:val="00DD5E29"/>
    <w:rsid w:val="00DE022A"/>
    <w:rsid w:val="00DE050A"/>
    <w:rsid w:val="00DE06B5"/>
    <w:rsid w:val="00DE0B44"/>
    <w:rsid w:val="00DE24DE"/>
    <w:rsid w:val="00DE27BA"/>
    <w:rsid w:val="00DE2FBA"/>
    <w:rsid w:val="00DE38D9"/>
    <w:rsid w:val="00DE3CB3"/>
    <w:rsid w:val="00DE4412"/>
    <w:rsid w:val="00DE4D9D"/>
    <w:rsid w:val="00DE52D1"/>
    <w:rsid w:val="00DE5E38"/>
    <w:rsid w:val="00DF0414"/>
    <w:rsid w:val="00DF0463"/>
    <w:rsid w:val="00DF3517"/>
    <w:rsid w:val="00DF366D"/>
    <w:rsid w:val="00DF5BE4"/>
    <w:rsid w:val="00DF6289"/>
    <w:rsid w:val="00DF6794"/>
    <w:rsid w:val="00E000EC"/>
    <w:rsid w:val="00E005BC"/>
    <w:rsid w:val="00E008E4"/>
    <w:rsid w:val="00E02555"/>
    <w:rsid w:val="00E04920"/>
    <w:rsid w:val="00E05982"/>
    <w:rsid w:val="00E06046"/>
    <w:rsid w:val="00E105AD"/>
    <w:rsid w:val="00E131D2"/>
    <w:rsid w:val="00E13CFE"/>
    <w:rsid w:val="00E13F41"/>
    <w:rsid w:val="00E15A42"/>
    <w:rsid w:val="00E16EAA"/>
    <w:rsid w:val="00E2079A"/>
    <w:rsid w:val="00E21BE0"/>
    <w:rsid w:val="00E21C04"/>
    <w:rsid w:val="00E246F1"/>
    <w:rsid w:val="00E24A6E"/>
    <w:rsid w:val="00E25B9A"/>
    <w:rsid w:val="00E27976"/>
    <w:rsid w:val="00E30732"/>
    <w:rsid w:val="00E30C26"/>
    <w:rsid w:val="00E30FCC"/>
    <w:rsid w:val="00E32750"/>
    <w:rsid w:val="00E33BFC"/>
    <w:rsid w:val="00E345CD"/>
    <w:rsid w:val="00E34EAB"/>
    <w:rsid w:val="00E35B14"/>
    <w:rsid w:val="00E4178E"/>
    <w:rsid w:val="00E417DD"/>
    <w:rsid w:val="00E42854"/>
    <w:rsid w:val="00E44CF1"/>
    <w:rsid w:val="00E44DD3"/>
    <w:rsid w:val="00E507BE"/>
    <w:rsid w:val="00E51B1C"/>
    <w:rsid w:val="00E52E3B"/>
    <w:rsid w:val="00E54126"/>
    <w:rsid w:val="00E554DF"/>
    <w:rsid w:val="00E56429"/>
    <w:rsid w:val="00E610A6"/>
    <w:rsid w:val="00E62CC1"/>
    <w:rsid w:val="00E6335D"/>
    <w:rsid w:val="00E63CA2"/>
    <w:rsid w:val="00E709D8"/>
    <w:rsid w:val="00E7175C"/>
    <w:rsid w:val="00E731FA"/>
    <w:rsid w:val="00E74ED0"/>
    <w:rsid w:val="00E75B07"/>
    <w:rsid w:val="00E763B0"/>
    <w:rsid w:val="00E76E94"/>
    <w:rsid w:val="00E77AD8"/>
    <w:rsid w:val="00E77F2F"/>
    <w:rsid w:val="00E8040B"/>
    <w:rsid w:val="00E8118B"/>
    <w:rsid w:val="00E811D6"/>
    <w:rsid w:val="00E8124F"/>
    <w:rsid w:val="00E82019"/>
    <w:rsid w:val="00E8245F"/>
    <w:rsid w:val="00E828D3"/>
    <w:rsid w:val="00E876A3"/>
    <w:rsid w:val="00E87771"/>
    <w:rsid w:val="00E87F7A"/>
    <w:rsid w:val="00E903CA"/>
    <w:rsid w:val="00E91ECC"/>
    <w:rsid w:val="00E9323B"/>
    <w:rsid w:val="00E93ECB"/>
    <w:rsid w:val="00E958BC"/>
    <w:rsid w:val="00E96D91"/>
    <w:rsid w:val="00E97555"/>
    <w:rsid w:val="00E97631"/>
    <w:rsid w:val="00E97787"/>
    <w:rsid w:val="00EA2949"/>
    <w:rsid w:val="00EA31DD"/>
    <w:rsid w:val="00EA4131"/>
    <w:rsid w:val="00EA4D6F"/>
    <w:rsid w:val="00EA6149"/>
    <w:rsid w:val="00EA670B"/>
    <w:rsid w:val="00EA6864"/>
    <w:rsid w:val="00EB06E6"/>
    <w:rsid w:val="00EB0F97"/>
    <w:rsid w:val="00EB305C"/>
    <w:rsid w:val="00EB4E56"/>
    <w:rsid w:val="00EB5238"/>
    <w:rsid w:val="00EB7D04"/>
    <w:rsid w:val="00EC0112"/>
    <w:rsid w:val="00EC06AE"/>
    <w:rsid w:val="00EC1F46"/>
    <w:rsid w:val="00EC22B0"/>
    <w:rsid w:val="00EC3FA3"/>
    <w:rsid w:val="00EC61B6"/>
    <w:rsid w:val="00EC625D"/>
    <w:rsid w:val="00EC654F"/>
    <w:rsid w:val="00ED013B"/>
    <w:rsid w:val="00ED061E"/>
    <w:rsid w:val="00ED0BB5"/>
    <w:rsid w:val="00ED1893"/>
    <w:rsid w:val="00ED1F27"/>
    <w:rsid w:val="00ED1F49"/>
    <w:rsid w:val="00ED2865"/>
    <w:rsid w:val="00ED3538"/>
    <w:rsid w:val="00ED394A"/>
    <w:rsid w:val="00ED3CDC"/>
    <w:rsid w:val="00ED3EAA"/>
    <w:rsid w:val="00ED4995"/>
    <w:rsid w:val="00ED51E8"/>
    <w:rsid w:val="00ED67E2"/>
    <w:rsid w:val="00EE0668"/>
    <w:rsid w:val="00EE11FE"/>
    <w:rsid w:val="00EE2850"/>
    <w:rsid w:val="00EE2D01"/>
    <w:rsid w:val="00EE5094"/>
    <w:rsid w:val="00EE50FD"/>
    <w:rsid w:val="00EE5184"/>
    <w:rsid w:val="00EE5308"/>
    <w:rsid w:val="00EE61A4"/>
    <w:rsid w:val="00EE71E5"/>
    <w:rsid w:val="00EE78E7"/>
    <w:rsid w:val="00EF0BEB"/>
    <w:rsid w:val="00EF13C3"/>
    <w:rsid w:val="00EF17DB"/>
    <w:rsid w:val="00EF19BF"/>
    <w:rsid w:val="00EF1BA6"/>
    <w:rsid w:val="00EF1CF9"/>
    <w:rsid w:val="00EF2266"/>
    <w:rsid w:val="00EF36C2"/>
    <w:rsid w:val="00EF7119"/>
    <w:rsid w:val="00F014E7"/>
    <w:rsid w:val="00F01C7F"/>
    <w:rsid w:val="00F03A9B"/>
    <w:rsid w:val="00F051BE"/>
    <w:rsid w:val="00F05B8D"/>
    <w:rsid w:val="00F05DE4"/>
    <w:rsid w:val="00F1101D"/>
    <w:rsid w:val="00F11197"/>
    <w:rsid w:val="00F11F85"/>
    <w:rsid w:val="00F12E9F"/>
    <w:rsid w:val="00F131EE"/>
    <w:rsid w:val="00F138DF"/>
    <w:rsid w:val="00F14789"/>
    <w:rsid w:val="00F14A97"/>
    <w:rsid w:val="00F15F50"/>
    <w:rsid w:val="00F169E0"/>
    <w:rsid w:val="00F16B61"/>
    <w:rsid w:val="00F17402"/>
    <w:rsid w:val="00F1740A"/>
    <w:rsid w:val="00F209EE"/>
    <w:rsid w:val="00F21561"/>
    <w:rsid w:val="00F21AAE"/>
    <w:rsid w:val="00F22CCC"/>
    <w:rsid w:val="00F2337D"/>
    <w:rsid w:val="00F2419E"/>
    <w:rsid w:val="00F24C55"/>
    <w:rsid w:val="00F25E1D"/>
    <w:rsid w:val="00F25FB0"/>
    <w:rsid w:val="00F2727E"/>
    <w:rsid w:val="00F31C01"/>
    <w:rsid w:val="00F31DD7"/>
    <w:rsid w:val="00F3245F"/>
    <w:rsid w:val="00F326E7"/>
    <w:rsid w:val="00F3392F"/>
    <w:rsid w:val="00F3467E"/>
    <w:rsid w:val="00F34DD4"/>
    <w:rsid w:val="00F364D1"/>
    <w:rsid w:val="00F406E2"/>
    <w:rsid w:val="00F41B18"/>
    <w:rsid w:val="00F4236E"/>
    <w:rsid w:val="00F434B9"/>
    <w:rsid w:val="00F438A6"/>
    <w:rsid w:val="00F439E7"/>
    <w:rsid w:val="00F448BB"/>
    <w:rsid w:val="00F44B00"/>
    <w:rsid w:val="00F46FE6"/>
    <w:rsid w:val="00F47D0F"/>
    <w:rsid w:val="00F50617"/>
    <w:rsid w:val="00F50642"/>
    <w:rsid w:val="00F512A3"/>
    <w:rsid w:val="00F514F8"/>
    <w:rsid w:val="00F51DE3"/>
    <w:rsid w:val="00F53C5E"/>
    <w:rsid w:val="00F53D68"/>
    <w:rsid w:val="00F53FBA"/>
    <w:rsid w:val="00F56915"/>
    <w:rsid w:val="00F57032"/>
    <w:rsid w:val="00F60134"/>
    <w:rsid w:val="00F60655"/>
    <w:rsid w:val="00F60F2F"/>
    <w:rsid w:val="00F62326"/>
    <w:rsid w:val="00F63356"/>
    <w:rsid w:val="00F63559"/>
    <w:rsid w:val="00F64E3C"/>
    <w:rsid w:val="00F65159"/>
    <w:rsid w:val="00F65A54"/>
    <w:rsid w:val="00F65B8B"/>
    <w:rsid w:val="00F667E8"/>
    <w:rsid w:val="00F66DB2"/>
    <w:rsid w:val="00F67088"/>
    <w:rsid w:val="00F6771F"/>
    <w:rsid w:val="00F67A7B"/>
    <w:rsid w:val="00F70F56"/>
    <w:rsid w:val="00F725D8"/>
    <w:rsid w:val="00F72A13"/>
    <w:rsid w:val="00F72FDA"/>
    <w:rsid w:val="00F74EB3"/>
    <w:rsid w:val="00F76677"/>
    <w:rsid w:val="00F76D9B"/>
    <w:rsid w:val="00F77883"/>
    <w:rsid w:val="00F77F94"/>
    <w:rsid w:val="00F80FE9"/>
    <w:rsid w:val="00F824C3"/>
    <w:rsid w:val="00F836DC"/>
    <w:rsid w:val="00F83EE2"/>
    <w:rsid w:val="00F85B4D"/>
    <w:rsid w:val="00F85BAA"/>
    <w:rsid w:val="00F86245"/>
    <w:rsid w:val="00F868DF"/>
    <w:rsid w:val="00F878E0"/>
    <w:rsid w:val="00F9234F"/>
    <w:rsid w:val="00F9361C"/>
    <w:rsid w:val="00F94813"/>
    <w:rsid w:val="00F9576E"/>
    <w:rsid w:val="00F95FD9"/>
    <w:rsid w:val="00F96096"/>
    <w:rsid w:val="00F96F49"/>
    <w:rsid w:val="00F97E83"/>
    <w:rsid w:val="00FA1E6A"/>
    <w:rsid w:val="00FA5BE9"/>
    <w:rsid w:val="00FB0F58"/>
    <w:rsid w:val="00FB2244"/>
    <w:rsid w:val="00FB30B3"/>
    <w:rsid w:val="00FB52DF"/>
    <w:rsid w:val="00FB5523"/>
    <w:rsid w:val="00FB760C"/>
    <w:rsid w:val="00FB7FDD"/>
    <w:rsid w:val="00FC0D4D"/>
    <w:rsid w:val="00FC3B3B"/>
    <w:rsid w:val="00FC408E"/>
    <w:rsid w:val="00FC40FB"/>
    <w:rsid w:val="00FC426D"/>
    <w:rsid w:val="00FC4AEE"/>
    <w:rsid w:val="00FC4C08"/>
    <w:rsid w:val="00FD17EB"/>
    <w:rsid w:val="00FD1F32"/>
    <w:rsid w:val="00FD202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64AD"/>
    <w:rsid w:val="00FE6729"/>
    <w:rsid w:val="00FF0172"/>
    <w:rsid w:val="00FF0A59"/>
    <w:rsid w:val="00FF1D11"/>
    <w:rsid w:val="00FF565F"/>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F5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da.gov/media/144413/download" TargetMode="External"/><Relationship Id="rId18" Type="http://schemas.openxmlformats.org/officeDocument/2006/relationships/hyperlink" Target="https://www.fda.gov/media/146305/download" TargetMode="External"/><Relationship Id="rId26" Type="http://schemas.openxmlformats.org/officeDocument/2006/relationships/hyperlink" Target="https://www.mass.gov/info-details/massachusetts-covid-19-vaccine-program-mcvp-guidance-for-vaccine-providers-and-organizations" TargetMode="External"/><Relationship Id="rId39" Type="http://schemas.openxmlformats.org/officeDocument/2006/relationships/hyperlink" Target="https://urldefense.com/v3/__https:/ashfieldmeetings.zoom.us/webinar/register/WN_6uhSZx1oSfKqharrkvLU0Q__;!!CUhgQOZqV7M!3ZGdxVNL2y3PI0YmR0XFF-QMoRtL7X56dJSIqk1hpSvqfXZYFHyPDWR00CYC8B7AvXV7ln0$" TargetMode="External"/><Relationship Id="rId21" Type="http://schemas.openxmlformats.org/officeDocument/2006/relationships/hyperlink" Target="https://www.cdc.gov/vaccines/covid-19/info-by-product/index.html" TargetMode="External"/><Relationship Id="rId34" Type="http://schemas.openxmlformats.org/officeDocument/2006/relationships/hyperlink" Target="https://pfizerevents.webex.com/pfizerevents/onstage/g.php?MTID=ea6896d4cf79c1c6c6fc1d82ed0394254" TargetMode="External"/><Relationship Id="rId42" Type="http://schemas.openxmlformats.org/officeDocument/2006/relationships/hyperlink" Target="mailto:miishelpdesk@mass.gov" TargetMode="External"/><Relationship Id="rId47" Type="http://schemas.openxmlformats.org/officeDocument/2006/relationships/hyperlink" Target="https://www.mass.gov/doc/guidance-on-use-and-allowable-wastage-of-covid-19-vaccine/download" TargetMode="External"/><Relationship Id="rId50" Type="http://schemas.openxmlformats.org/officeDocument/2006/relationships/hyperlink" Target="https://www.cdc.gov/mmwr/volumes/70/wr/mm7043e1.htm?s_cid=mm7043e1_w" TargetMode="External"/><Relationship Id="rId55" Type="http://schemas.openxmlformats.org/officeDocument/2006/relationships/hyperlink" Target="https://shop.aap.org/influenza-during-the-covid-19-pandemic/" TargetMode="External"/><Relationship Id="rId63" Type="http://schemas.openxmlformats.org/officeDocument/2006/relationships/hyperlink" Target="https://www.mass.gov/service-details/vaccine-management"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da.gov/media/144638/download" TargetMode="External"/><Relationship Id="rId29" Type="http://schemas.openxmlformats.org/officeDocument/2006/relationships/hyperlink" Target="https://www.cdc.gov/vaccines/covid-19/clinical-considerations/covid-19-vaccines-us.html?CDC_AA_refVal=https%3A%2F%2Fwww.cdc.gov%2Fvaccines%2Fcovid-19%2Finfo-by-product%2Fclinical-consideration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vaccines/acip/index.html" TargetMode="External"/><Relationship Id="rId24" Type="http://schemas.openxmlformats.org/officeDocument/2006/relationships/hyperlink" Target="https://www.cdc.gov/coronavirus/2019-ncov/vaccines/booster-shot.html" TargetMode="External"/><Relationship Id="rId32" Type="http://schemas.openxmlformats.org/officeDocument/2006/relationships/hyperlink" Target="https://pfizerevents.webex.com/pfizerevents/onstage/g.php?MTID=eacafad0959c9b12bfb4f3735d7188eae" TargetMode="External"/><Relationship Id="rId37" Type="http://schemas.openxmlformats.org/officeDocument/2006/relationships/hyperlink" Target="https://urldefense.com/v3/__https:/ashfieldmeetings.zoom.us/webinar/register/WN_jZORMyxPTByhn71x5L3wAw__;!!CUhgQOZqV7M!3ZGdxVNL2y3PI0YmR0XFF-QMoRtL7X56dJSIqk1hpSvqfXZYFHyPDWR00CYC8B7ANDtKIHU$" TargetMode="External"/><Relationship Id="rId40" Type="http://schemas.openxmlformats.org/officeDocument/2006/relationships/image" Target="media/image2.png"/><Relationship Id="rId45" Type="http://schemas.openxmlformats.org/officeDocument/2006/relationships/hyperlink" Target="https://vaxfinder.mass.gov/" TargetMode="External"/><Relationship Id="rId53" Type="http://schemas.openxmlformats.org/officeDocument/2006/relationships/hyperlink" Target="https://www.immunize.org/covid-19/" TargetMode="External"/><Relationship Id="rId58" Type="http://schemas.openxmlformats.org/officeDocument/2006/relationships/hyperlink" Target="https://www.aap.org/en/news-room/campaigns-and-toolkits/covid-19-vaccine-toolkit/" TargetMode="External"/><Relationship Id="rId66"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da.gov/media/144637/download" TargetMode="External"/><Relationship Id="rId23" Type="http://schemas.openxmlformats.org/officeDocument/2006/relationships/hyperlink" Target="https://www.cdc.gov/coronavirus/2019-ncov/need-extra-precautions/people-with-medical-conditions.html" TargetMode="External"/><Relationship Id="rId28" Type="http://schemas.openxmlformats.org/officeDocument/2006/relationships/hyperlink" Target="https://www.cdc.gov/coronavirus/2019-ncov/vaccines/booster-shot.html" TargetMode="External"/><Relationship Id="rId36" Type="http://schemas.openxmlformats.org/officeDocument/2006/relationships/hyperlink" Target="https://pfizerevents.webex.com/pfizerevents/onstage/g.php?MTID=ea7acf464fed7cc11b959cf69c27917b8" TargetMode="External"/><Relationship Id="rId49" Type="http://schemas.openxmlformats.org/officeDocument/2006/relationships/hyperlink" Target="https://www.cdc.gov/mmwr/covid19_vaccine_safety.html" TargetMode="External"/><Relationship Id="rId57" Type="http://schemas.openxmlformats.org/officeDocument/2006/relationships/hyperlink" Target="https://www.cdc.gov/vaccines/covid-19/training-education/webinars.html" TargetMode="External"/><Relationship Id="rId61" Type="http://schemas.openxmlformats.org/officeDocument/2006/relationships/hyperlink" Target="https://www.mass.gov/service-details/massachusetts-immunization-information-system-miis" TargetMode="External"/><Relationship Id="rId10" Type="http://schemas.openxmlformats.org/officeDocument/2006/relationships/hyperlink" Target="https://www.fda.gov/advisory-committees/advisory-committee-calendar/vaccines-and-related-biological-products-advisory-committee-october-26-2021-meeting-announcement" TargetMode="External"/><Relationship Id="rId19" Type="http://schemas.openxmlformats.org/officeDocument/2006/relationships/hyperlink" Target="https://urldefense.com/v3/__https:/www.cdc.gov/coronavirus/2019-ncov/vaccines/booster-shot.html__;!!CUhgQOZqV7M!xthKBIGOeosQ9uiP6gD8BnN_4zwMCrJ0OBcgw_-Yq4mblX7zJy_n0-ju2ZDHZz49ah3z840$" TargetMode="External"/><Relationship Id="rId31" Type="http://schemas.openxmlformats.org/officeDocument/2006/relationships/hyperlink" Target="https://pfizerevents.webex.com/pfizerevents/onstage/g.php?MTID=efc5fe9d4fcc2fd0c1da72260a516a6d0" TargetMode="External"/><Relationship Id="rId44" Type="http://schemas.openxmlformats.org/officeDocument/2006/relationships/hyperlink" Target="https://www.mass.gov/info-details/covid-19-booster-frequently-asked-questions" TargetMode="External"/><Relationship Id="rId52" Type="http://schemas.openxmlformats.org/officeDocument/2006/relationships/hyperlink" Target="https://www.cdc.gov/mmwr/volumes/70/wr/mm7042e1.htm?s_cid=mm7042e1_w" TargetMode="External"/><Relationship Id="rId60" Type="http://schemas.openxmlformats.org/officeDocument/2006/relationships/hyperlink" Target="mailto:miishelpdesk@mass.gov"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c.gov/vaccines/covid-19/clinical-considerations/covid-19-vaccines-us.html" TargetMode="External"/><Relationship Id="rId14" Type="http://schemas.openxmlformats.org/officeDocument/2006/relationships/hyperlink" Target="https://www.fda.gov/media/144414/download" TargetMode="External"/><Relationship Id="rId22" Type="http://schemas.openxmlformats.org/officeDocument/2006/relationships/hyperlink" Target="https://www.cdc.gov/coronavirus/2019-ncov/vaccines/booster-shot.html" TargetMode="External"/><Relationship Id="rId27" Type="http://schemas.openxmlformats.org/officeDocument/2006/relationships/hyperlink" Target="https://resources.miisresourcecenter.com/trainingcenter/Storage%20Handling%20Problem_2018_Mini%20Guide.pdf" TargetMode="External"/><Relationship Id="rId30" Type="http://schemas.openxmlformats.org/officeDocument/2006/relationships/hyperlink" Target="https://pfizerevents.webex.com/mw3300/mywebex/default.do?nomenu=true&amp;siteurl=pfizerevents&amp;service=6&amp;rnd=0.7513273443206798&amp;main_url=https%3A%2F%2Fpfizerevents.webex.com%2Fec3300%2Feventcenter%2Fevent%2FeventAction.do%3FtheAction%3Ddetail%26%26%26EMK%3D4832534b0000000584bf559ba7429c72918e47bcd407295b62eb023b230308fe4ebc3f4a8db5c7b4%26siteurl%3Dpfizerevents%26confViewID%3D202814140389010289%26encryptTicket%3DSDJTSwAAAAUH3_DsSPaAE4Dbpgwyf69nCPF81UeQAmz0Q6ORQWUHeg2%26" TargetMode="External"/><Relationship Id="rId35" Type="http://schemas.openxmlformats.org/officeDocument/2006/relationships/hyperlink" Target="https://pfizerevents.webex.com/pfizerevents/onstage/g.php?MTID=e2bbd12b39538eeaddbc58f2caec88b43" TargetMode="External"/><Relationship Id="rId43" Type="http://schemas.openxmlformats.org/officeDocument/2006/relationships/hyperlink" Target="https://www.mass.gov/info-details/covid-19-booster-frequently-asked-questions" TargetMode="External"/><Relationship Id="rId48" Type="http://schemas.openxmlformats.org/officeDocument/2006/relationships/hyperlink" Target="https://urldefense.com/v3/__https:/www.modernatx.com/covid19vaccine-eua/providers/vial-lookup*vialLookUpTool__;Iw!!CUhgQOZqV7M!0sqgjHqCkk7Dk6mj2Y4gsmRIpuptUu4ulV_kkOhqpFytihq5cOesGMGL6av21Z3RK0lp$" TargetMode="External"/><Relationship Id="rId56" Type="http://schemas.openxmlformats.org/officeDocument/2006/relationships/hyperlink" Target="https://macovidvax.populationhealthexchange.org/" TargetMode="External"/><Relationship Id="rId64" Type="http://schemas.openxmlformats.org/officeDocument/2006/relationships/hyperlink" Target="mailto:COVID-19-Vaccine-Plan-MA@mass.gov" TargetMode="External"/><Relationship Id="rId8" Type="http://schemas.openxmlformats.org/officeDocument/2006/relationships/image" Target="media/image1.jpeg"/><Relationship Id="rId51" Type="http://schemas.openxmlformats.org/officeDocument/2006/relationships/hyperlink" Target="https://www.cdc.gov/mmwr/volumes/70/wr/mm7043e2.htm?s_cid=mm7043e2_w" TargetMode="External"/><Relationship Id="rId3" Type="http://schemas.openxmlformats.org/officeDocument/2006/relationships/styles" Target="styles.xml"/><Relationship Id="rId12" Type="http://schemas.openxmlformats.org/officeDocument/2006/relationships/hyperlink" Target="https://urldefense.com/v3/__https:/www.cdc.gov/media/releases/2021/p1021-covid-booster.html__;!!CUhgQOZqV7M!xthKBIGOeosQ9uiP6gD8BnN_4zwMCrJ0OBcgw_-Yq4mblX7zJy_n0-ju2ZDHZz49dMioJtk$" TargetMode="External"/><Relationship Id="rId17" Type="http://schemas.openxmlformats.org/officeDocument/2006/relationships/hyperlink" Target="https://www.fda.gov/media/146304/download" TargetMode="External"/><Relationship Id="rId25" Type="http://schemas.openxmlformats.org/officeDocument/2006/relationships/hyperlink" Target="https://www.cdc.gov/coronavirus/2019-ncov/vaccines/booster-shot.html" TargetMode="External"/><Relationship Id="rId33" Type="http://schemas.openxmlformats.org/officeDocument/2006/relationships/hyperlink" Target="https://pfizerevents.webex.com/pfizerevents/onstage/g.php?MTID=eefd3f8c65f625bf989a4727ab6c29205" TargetMode="External"/><Relationship Id="rId38" Type="http://schemas.openxmlformats.org/officeDocument/2006/relationships/hyperlink" Target="https://urldefense.com/v3/__https:/ashfieldmeetings.zoom.us/webinar/register/WN_YwgXNQ-dQ7SheJhzngW3uw__;!!CUhgQOZqV7M!3ZGdxVNL2y3PI0YmR0XFF-QMoRtL7X56dJSIqk1hpSvqfXZYFHyPDWR00CYC8B7AXhyr964$" TargetMode="External"/><Relationship Id="rId46" Type="http://schemas.openxmlformats.org/officeDocument/2006/relationships/hyperlink" Target="https://www.mass.gov/covid-19-vaccine" TargetMode="External"/><Relationship Id="rId59" Type="http://schemas.openxmlformats.org/officeDocument/2006/relationships/hyperlink" Target="https://www.mass.gov/topics/immunization" TargetMode="External"/><Relationship Id="rId67" Type="http://schemas.openxmlformats.org/officeDocument/2006/relationships/fontTable" Target="fontTable.xml"/><Relationship Id="rId20" Type="http://schemas.openxmlformats.org/officeDocument/2006/relationships/hyperlink" Target="https://urldefense.com/v3/__https:/www.cdc.gov/vaccines/covid-19/clinical-considerations/covid-19-vaccines-us.html?CDC_AA_refVal=https*3A*2F*2Fwww.cdc.gov*2Fvaccines*2Fcovid-19*2Finfo-by-product*2Fclinical-considerations.html__;JSUlJSUlJQ!!CUhgQOZqV7M!xthKBIGOeosQ9uiP6gD8BnN_4zwMCrJ0OBcgw_-Yq4mblX7zJy_n0-ju2ZDHZz496L3T74M$" TargetMode="External"/><Relationship Id="rId41" Type="http://schemas.openxmlformats.org/officeDocument/2006/relationships/hyperlink" Target="https://resources.miisresourcecenter.com/MIIS%20documents%20OS%20/Patient%20Lookup/Patient%20Lookup_player.html" TargetMode="External"/><Relationship Id="rId54" Type="http://schemas.openxmlformats.org/officeDocument/2006/relationships/hyperlink" Target="https://shop.aap.org/influenza-during-the-covid-19-pandemic/" TargetMode="External"/><Relationship Id="rId62" Type="http://schemas.openxmlformats.org/officeDocument/2006/relationships/hyperlink" Target="mailto:dph-vaccine-management@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3862</Words>
  <Characters>22018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Worthington, Pamela (DPH)</dc:creator>
  <cp:lastModifiedBy>Worthington, Pamela (DPH)</cp:lastModifiedBy>
  <cp:revision>10</cp:revision>
  <cp:lastPrinted>2021-05-18T19:57:00Z</cp:lastPrinted>
  <dcterms:created xsi:type="dcterms:W3CDTF">2021-10-27T11:14:00Z</dcterms:created>
  <dcterms:modified xsi:type="dcterms:W3CDTF">2021-10-27T18:44:00Z</dcterms:modified>
</cp:coreProperties>
</file>