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1CC6EAC6"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AA2C67">
        <w:rPr>
          <w:rFonts w:ascii="Calibri" w:hAnsi="Calibri" w:cs="Calibri"/>
          <w:b/>
          <w:bCs/>
          <w:color w:val="333333"/>
          <w:sz w:val="29"/>
          <w:szCs w:val="29"/>
        </w:rPr>
        <w:t>1/</w:t>
      </w:r>
      <w:r w:rsidR="009160D4">
        <w:rPr>
          <w:rFonts w:ascii="Calibri" w:hAnsi="Calibri" w:cs="Calibri"/>
          <w:b/>
          <w:bCs/>
          <w:color w:val="333333"/>
          <w:sz w:val="29"/>
          <w:szCs w:val="29"/>
        </w:rPr>
        <w:t>1</w:t>
      </w:r>
      <w:r w:rsidR="00E32970">
        <w:rPr>
          <w:rFonts w:ascii="Calibri" w:hAnsi="Calibri" w:cs="Calibri"/>
          <w:b/>
          <w:bCs/>
          <w:color w:val="333333"/>
          <w:sz w:val="29"/>
          <w:szCs w:val="29"/>
        </w:rPr>
        <w:t>1</w:t>
      </w:r>
      <w:r w:rsidR="00AA2C67">
        <w:rPr>
          <w:rFonts w:ascii="Calibri" w:hAnsi="Calibri" w:cs="Calibri"/>
          <w:b/>
          <w:bCs/>
          <w:color w:val="333333"/>
          <w:sz w:val="29"/>
          <w:szCs w:val="29"/>
        </w:rPr>
        <w:t>/2022</w:t>
      </w:r>
    </w:p>
    <w:p w14:paraId="633A5735" w14:textId="58112FF5" w:rsidR="003E611E" w:rsidRPr="00AE0D2A"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1B8129A3" w14:textId="615CDC2E" w:rsidR="00CE525A" w:rsidRPr="00813173" w:rsidRDefault="00CE525A" w:rsidP="00F24FD4">
      <w:pPr>
        <w:pStyle w:val="ListParagraph"/>
        <w:numPr>
          <w:ilvl w:val="0"/>
          <w:numId w:val="9"/>
        </w:numPr>
        <w:rPr>
          <w:color w:val="000000"/>
          <w:sz w:val="21"/>
          <w:szCs w:val="21"/>
        </w:rPr>
      </w:pPr>
      <w:r w:rsidRPr="00813173">
        <w:rPr>
          <w:rFonts w:ascii="Calibri" w:hAnsi="Calibri"/>
          <w:color w:val="000000"/>
          <w:sz w:val="21"/>
          <w:szCs w:val="21"/>
        </w:rPr>
        <w:t xml:space="preserve">As of </w:t>
      </w:r>
      <w:r w:rsidR="007738B3" w:rsidRPr="00813173">
        <w:rPr>
          <w:rFonts w:ascii="Calibri" w:hAnsi="Calibri"/>
          <w:color w:val="000000"/>
          <w:sz w:val="21"/>
          <w:szCs w:val="21"/>
        </w:rPr>
        <w:t>1</w:t>
      </w:r>
      <w:r w:rsidR="001A0316" w:rsidRPr="00813173">
        <w:rPr>
          <w:rFonts w:ascii="Calibri" w:hAnsi="Calibri"/>
          <w:color w:val="000000"/>
          <w:sz w:val="21"/>
          <w:szCs w:val="21"/>
        </w:rPr>
        <w:t>/</w:t>
      </w:r>
      <w:r w:rsidR="009160D4">
        <w:rPr>
          <w:rFonts w:ascii="Calibri" w:hAnsi="Calibri"/>
          <w:color w:val="000000"/>
          <w:sz w:val="21"/>
          <w:szCs w:val="21"/>
        </w:rPr>
        <w:t>1</w:t>
      </w:r>
      <w:r w:rsidR="00E32970">
        <w:rPr>
          <w:rFonts w:ascii="Calibri" w:hAnsi="Calibri"/>
          <w:color w:val="000000"/>
          <w:sz w:val="21"/>
          <w:szCs w:val="21"/>
        </w:rPr>
        <w:t>1</w:t>
      </w:r>
      <w:r w:rsidR="001A0316" w:rsidRPr="0081317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E32970" w:rsidRPr="00E32970">
        <w:rPr>
          <w:rFonts w:asciiTheme="minorHAnsi" w:hAnsiTheme="minorHAnsi" w:cstheme="minorHAnsi"/>
          <w:b/>
          <w:bCs/>
          <w:color w:val="000000"/>
          <w:sz w:val="20"/>
          <w:szCs w:val="20"/>
        </w:rPr>
        <w:t>5,132,780</w:t>
      </w:r>
      <w:r w:rsidR="00E32970">
        <w:rPr>
          <w:color w:val="000000"/>
        </w:rPr>
        <w:t xml:space="preserve"> </w:t>
      </w:r>
      <w:r w:rsidRPr="00813173">
        <w:rPr>
          <w:rFonts w:ascii="Calibri" w:hAnsi="Calibri"/>
          <w:color w:val="000000"/>
          <w:sz w:val="21"/>
          <w:szCs w:val="21"/>
        </w:rPr>
        <w:t>people in Massachusetts have been fully vaccinated.</w:t>
      </w:r>
    </w:p>
    <w:p w14:paraId="3A41D5DB" w14:textId="6EAAA9A2" w:rsidR="00AE6D91" w:rsidRPr="00813173" w:rsidRDefault="00AE6D91" w:rsidP="00AE6D91">
      <w:pPr>
        <w:pStyle w:val="ListParagraph"/>
        <w:rPr>
          <w:color w:val="000000"/>
          <w:sz w:val="21"/>
          <w:szCs w:val="21"/>
        </w:rPr>
      </w:pPr>
      <w:r w:rsidRPr="00813173">
        <w:rPr>
          <w:rFonts w:ascii="Calibri" w:hAnsi="Calibri" w:cs="Calibri"/>
          <w:color w:val="FF0000"/>
          <w:sz w:val="21"/>
          <w:szCs w:val="21"/>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717994B6" w:rsidR="003E611E" w:rsidRPr="00AE0D2A"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62E7099" w:rsidR="00211DE4" w:rsidRPr="00211DE4" w:rsidRDefault="00211DE4"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sidRPr="00232A6A">
        <w:rPr>
          <w:rFonts w:ascii="Calibri" w:hAnsi="Calibri"/>
          <w:b/>
          <w:bCs/>
          <w:color w:val="000000"/>
          <w:sz w:val="21"/>
          <w:szCs w:val="21"/>
        </w:rPr>
        <w:t xml:space="preserve">ages </w:t>
      </w:r>
      <w:r w:rsidR="00232A6A" w:rsidRPr="00232A6A">
        <w:rPr>
          <w:rFonts w:ascii="Calibri" w:hAnsi="Calibri"/>
          <w:b/>
          <w:bCs/>
          <w:color w:val="000000"/>
          <w:sz w:val="21"/>
          <w:szCs w:val="21"/>
        </w:rPr>
        <w:t>5</w:t>
      </w:r>
      <w:r w:rsidR="00DF6568" w:rsidRPr="00232A6A">
        <w:rPr>
          <w:rFonts w:ascii="Calibri" w:hAnsi="Calibri"/>
          <w:b/>
          <w:bCs/>
          <w:color w:val="000000"/>
          <w:sz w:val="21"/>
          <w:szCs w:val="21"/>
        </w:rPr>
        <w:t xml:space="preserve"> and older </w:t>
      </w:r>
      <w:r w:rsidR="00D94480" w:rsidRPr="00232A6A">
        <w:rPr>
          <w:rFonts w:ascii="Calibri" w:hAnsi="Calibri"/>
          <w:b/>
          <w:bCs/>
          <w:color w:val="000000"/>
          <w:sz w:val="21"/>
          <w:szCs w:val="21"/>
        </w:rPr>
        <w:t xml:space="preserve">who are </w:t>
      </w:r>
      <w:r w:rsidR="00D94480" w:rsidRPr="00232A6A">
        <w:rPr>
          <w:rFonts w:ascii="Calibri" w:hAnsi="Calibri"/>
          <w:b/>
          <w:bCs/>
          <w:sz w:val="21"/>
          <w:szCs w:val="21"/>
        </w:rPr>
        <w:t>moderately to severely immunocompromised</w:t>
      </w:r>
      <w:r w:rsidR="00DF6568" w:rsidRPr="00232A6A">
        <w:rPr>
          <w:rFonts w:ascii="Calibri" w:hAnsi="Calibri"/>
          <w:b/>
          <w:bCs/>
          <w:sz w:val="21"/>
          <w:szCs w:val="21"/>
        </w:rPr>
        <w:t>,</w:t>
      </w:r>
      <w:r w:rsidR="00D94480" w:rsidRPr="00232A6A">
        <w:rPr>
          <w:rFonts w:ascii="Calibri" w:hAnsi="Calibri"/>
          <w:b/>
          <w:bCs/>
          <w:color w:val="000000"/>
          <w:sz w:val="21"/>
          <w:szCs w:val="21"/>
        </w:rPr>
        <w:t xml:space="preserve"> at least 28 days after the completion of the </w:t>
      </w:r>
      <w:r w:rsidRPr="00232A6A">
        <w:rPr>
          <w:rFonts w:ascii="Calibri" w:hAnsi="Calibri"/>
          <w:b/>
          <w:bCs/>
          <w:color w:val="000000"/>
          <w:sz w:val="21"/>
          <w:szCs w:val="21"/>
        </w:rPr>
        <w:t>second</w:t>
      </w:r>
      <w:r w:rsidR="00D94480" w:rsidRPr="00232A6A">
        <w:rPr>
          <w:rFonts w:ascii="Calibri" w:hAnsi="Calibri"/>
          <w:b/>
          <w:bCs/>
          <w:color w:val="000000"/>
          <w:sz w:val="21"/>
          <w:szCs w:val="21"/>
        </w:rPr>
        <w:t xml:space="preserve"> mRNA COVID-19 vaccine </w:t>
      </w:r>
      <w:r w:rsidRPr="00232A6A">
        <w:rPr>
          <w:rFonts w:ascii="Calibri" w:hAnsi="Calibri"/>
          <w:b/>
          <w:bCs/>
          <w:color w:val="000000"/>
          <w:sz w:val="21"/>
          <w:szCs w:val="21"/>
        </w:rPr>
        <w:t>dose</w:t>
      </w:r>
      <w:r w:rsidR="00D94480" w:rsidRPr="00232A6A">
        <w:rPr>
          <w:rFonts w:ascii="Calibri" w:hAnsi="Calibri"/>
          <w:b/>
          <w:bCs/>
          <w:color w:val="000000"/>
          <w:sz w:val="21"/>
          <w:szCs w:val="21"/>
        </w:rPr>
        <w:t>.</w:t>
      </w:r>
      <w:r w:rsidR="00D94480" w:rsidRPr="00D94480">
        <w:rPr>
          <w:rFonts w:ascii="Calibri" w:hAnsi="Calibri"/>
          <w:b/>
          <w:bCs/>
          <w:color w:val="201F1E"/>
          <w:sz w:val="21"/>
          <w:szCs w:val="21"/>
        </w:rPr>
        <w:t>           </w:t>
      </w:r>
    </w:p>
    <w:p w14:paraId="4CC3A88E" w14:textId="3267D666" w:rsidR="008B126A" w:rsidRPr="008B126A" w:rsidRDefault="008B126A" w:rsidP="008B126A">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everyone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3E581392" w14:textId="5BA23773" w:rsidR="000D30B7" w:rsidRDefault="000D30B7" w:rsidP="008C540C">
      <w:pPr>
        <w:pStyle w:val="ListParagraph"/>
        <w:numPr>
          <w:ilvl w:val="0"/>
          <w:numId w:val="26"/>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p>
    <w:p w14:paraId="6AF314B5" w14:textId="7CCF52AE" w:rsidR="000D30B7" w:rsidRDefault="000D30B7" w:rsidP="000D30B7">
      <w:pPr>
        <w:pStyle w:val="ListParagraph"/>
        <w:shd w:val="clear" w:color="auto" w:fill="FFFFFF"/>
        <w:ind w:left="2003"/>
        <w:rPr>
          <w:rFonts w:ascii="Calibri" w:hAnsi="Calibri"/>
          <w:color w:val="201F1E"/>
          <w:sz w:val="21"/>
          <w:szCs w:val="21"/>
        </w:rPr>
      </w:pPr>
      <w:r w:rsidRPr="000D30B7">
        <w:rPr>
          <w:rFonts w:ascii="Calibri" w:hAnsi="Calibri"/>
          <w:color w:val="201F1E"/>
          <w:sz w:val="21"/>
          <w:szCs w:val="21"/>
        </w:rPr>
        <w:t>(includ</w:t>
      </w:r>
      <w:r w:rsidR="0084754C">
        <w:rPr>
          <w:rFonts w:ascii="Calibri" w:hAnsi="Calibri"/>
          <w:color w:val="201F1E"/>
          <w:sz w:val="21"/>
          <w:szCs w:val="21"/>
        </w:rPr>
        <w:t>es</w:t>
      </w:r>
      <w:r w:rsidRPr="000D30B7">
        <w:rPr>
          <w:rFonts w:ascii="Calibri" w:hAnsi="Calibri"/>
          <w:color w:val="201F1E"/>
          <w:sz w:val="21"/>
          <w:szCs w:val="21"/>
        </w:rPr>
        <w:t xml:space="preserve"> those who received two doses of different mRNA vaccine products</w:t>
      </w:r>
      <w:r w:rsidR="0084754C">
        <w:rPr>
          <w:rFonts w:ascii="Calibri" w:hAnsi="Calibri"/>
          <w:color w:val="201F1E"/>
          <w:sz w:val="21"/>
          <w:szCs w:val="21"/>
        </w:rPr>
        <w:t>, and those immunocompromised persons who received an additional primary series dose</w:t>
      </w:r>
      <w:r w:rsidRPr="000D30B7">
        <w:rPr>
          <w:rFonts w:ascii="Calibri" w:hAnsi="Calibri"/>
          <w:color w:val="201F1E"/>
          <w:sz w:val="21"/>
          <w:szCs w:val="21"/>
        </w:rPr>
        <w:t xml:space="preserve">) </w:t>
      </w:r>
    </w:p>
    <w:p w14:paraId="637567A6" w14:textId="12B7A83D" w:rsidR="002526BA" w:rsidRDefault="008B126A" w:rsidP="008C540C">
      <w:pPr>
        <w:pStyle w:val="ListParagraph"/>
        <w:numPr>
          <w:ilvl w:val="0"/>
          <w:numId w:val="26"/>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75127939" w14:textId="60C16575" w:rsidR="006A6C84" w:rsidRDefault="006A6C84" w:rsidP="006A6C84">
      <w:pPr>
        <w:pStyle w:val="ListParagraph"/>
        <w:shd w:val="clear" w:color="auto" w:fill="FFFFFF"/>
        <w:ind w:left="2003"/>
        <w:rPr>
          <w:rFonts w:ascii="Calibri" w:hAnsi="Calibri"/>
          <w:color w:val="201F1E"/>
          <w:sz w:val="21"/>
          <w:szCs w:val="21"/>
        </w:rPr>
      </w:pPr>
    </w:p>
    <w:p w14:paraId="21009A00" w14:textId="7936231F" w:rsidR="008D63F2" w:rsidRPr="00B60131" w:rsidRDefault="006A6C84" w:rsidP="00B60131">
      <w:pPr>
        <w:pStyle w:val="ListParagraph"/>
        <w:shd w:val="clear" w:color="auto" w:fill="FFFFFF"/>
        <w:ind w:left="1440"/>
        <w:rPr>
          <w:rFonts w:ascii="Calibri" w:hAnsi="Calibri"/>
          <w:color w:val="201F1E"/>
          <w:sz w:val="21"/>
          <w:szCs w:val="21"/>
        </w:rPr>
      </w:pPr>
      <w:r>
        <w:rPr>
          <w:noProof/>
        </w:rPr>
        <w:drawing>
          <wp:inline distT="0" distB="0" distL="0" distR="0" wp14:anchorId="09CC2409" wp14:editId="13879243">
            <wp:extent cx="3947160" cy="398342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9"/>
                    <a:stretch>
                      <a:fillRect/>
                    </a:stretch>
                  </pic:blipFill>
                  <pic:spPr>
                    <a:xfrm>
                      <a:off x="0" y="0"/>
                      <a:ext cx="4003221" cy="4040001"/>
                    </a:xfrm>
                    <a:prstGeom prst="rect">
                      <a:avLst/>
                    </a:prstGeom>
                  </pic:spPr>
                </pic:pic>
              </a:graphicData>
            </a:graphic>
          </wp:inline>
        </w:drawing>
      </w:r>
    </w:p>
    <w:p w14:paraId="75639A63" w14:textId="77777777" w:rsidR="00241A9A" w:rsidRDefault="00241A9A" w:rsidP="0063730E">
      <w:pPr>
        <w:shd w:val="clear" w:color="auto" w:fill="FFFFFF"/>
        <w:rPr>
          <w:rFonts w:ascii="Calibri" w:hAnsi="Calibri"/>
          <w:b/>
          <w:bCs/>
          <w:color w:val="3661BD"/>
          <w:sz w:val="21"/>
          <w:szCs w:val="21"/>
        </w:rPr>
      </w:pPr>
    </w:p>
    <w:p w14:paraId="2B3DB842" w14:textId="00016F8C" w:rsidR="0063730E" w:rsidRPr="00AE0D2A" w:rsidRDefault="00AE0D2A" w:rsidP="0063730E">
      <w:pPr>
        <w:shd w:val="clear" w:color="auto" w:fill="FFFFFF"/>
        <w:rPr>
          <w:rFonts w:ascii="Calibri" w:hAnsi="Calibri"/>
          <w:b/>
          <w:bCs/>
          <w:color w:val="000099"/>
        </w:rPr>
      </w:pPr>
      <w:r w:rsidRPr="00AE0D2A">
        <w:rPr>
          <w:rFonts w:ascii="Calibri" w:hAnsi="Calibri"/>
          <w:b/>
          <w:bCs/>
          <w:color w:val="000099"/>
        </w:rPr>
        <w:lastRenderedPageBreak/>
        <w:t>WHAT TO KNOW THIS WEEK</w:t>
      </w:r>
    </w:p>
    <w:p w14:paraId="13F39937" w14:textId="500FA519" w:rsidR="00B46E8B" w:rsidRPr="008805F6" w:rsidRDefault="00B46E8B" w:rsidP="0063730E">
      <w:pPr>
        <w:shd w:val="clear" w:color="auto" w:fill="FFFFFF"/>
        <w:rPr>
          <w:rFonts w:ascii="Calibri" w:hAnsi="Calibri"/>
          <w:strike/>
          <w:color w:val="000000"/>
          <w:sz w:val="21"/>
          <w:szCs w:val="21"/>
        </w:rPr>
      </w:pPr>
    </w:p>
    <w:p w14:paraId="468D8D95" w14:textId="13214DDD" w:rsidR="00AE5552" w:rsidRDefault="00AE5552" w:rsidP="0063730E">
      <w:pPr>
        <w:shd w:val="clear" w:color="auto" w:fill="FFFFFF"/>
        <w:rPr>
          <w:rFonts w:ascii="Calibri" w:hAnsi="Calibri"/>
          <w:b/>
          <w:bCs/>
          <w:color w:val="000000"/>
          <w:sz w:val="21"/>
          <w:szCs w:val="21"/>
        </w:rPr>
      </w:pPr>
      <w:r w:rsidRPr="0085140E">
        <w:rPr>
          <w:rFonts w:asciiTheme="minorHAnsi" w:hAnsiTheme="minorHAnsi" w:cstheme="minorHAnsi"/>
          <w:b/>
          <w:bCs/>
          <w:color w:val="FF0000"/>
          <w:sz w:val="21"/>
          <w:szCs w:val="21"/>
        </w:rPr>
        <w:t>New</w:t>
      </w:r>
      <w:r w:rsidRPr="00AE5552">
        <w:rPr>
          <w:rFonts w:ascii="Calibri" w:hAnsi="Calibri"/>
          <w:color w:val="000000"/>
          <w:sz w:val="21"/>
          <w:szCs w:val="21"/>
        </w:rPr>
        <w:t xml:space="preserve"> </w:t>
      </w:r>
      <w:r w:rsidRPr="00AE5552">
        <w:rPr>
          <w:rFonts w:ascii="Calibri" w:hAnsi="Calibri"/>
          <w:b/>
          <w:bCs/>
          <w:color w:val="000000"/>
          <w:sz w:val="21"/>
          <w:szCs w:val="21"/>
        </w:rPr>
        <w:t xml:space="preserve">Updated </w:t>
      </w:r>
      <w:r w:rsidR="006E1158">
        <w:rPr>
          <w:rFonts w:ascii="Calibri" w:hAnsi="Calibri"/>
          <w:b/>
          <w:bCs/>
          <w:color w:val="000000"/>
          <w:sz w:val="21"/>
          <w:szCs w:val="21"/>
        </w:rPr>
        <w:t>FDA/</w:t>
      </w:r>
      <w:r w:rsidRPr="00AE5552">
        <w:rPr>
          <w:rFonts w:ascii="Calibri" w:hAnsi="Calibri"/>
          <w:b/>
          <w:bCs/>
          <w:color w:val="000000"/>
          <w:sz w:val="21"/>
          <w:szCs w:val="21"/>
        </w:rPr>
        <w:t>CDC Recommendations</w:t>
      </w:r>
    </w:p>
    <w:p w14:paraId="32C63530" w14:textId="1EDF0DE8" w:rsidR="00D342E1" w:rsidRPr="00D342E1" w:rsidRDefault="00D342E1" w:rsidP="00D342E1">
      <w:pPr>
        <w:numPr>
          <w:ilvl w:val="0"/>
          <w:numId w:val="27"/>
        </w:numPr>
        <w:shd w:val="clear" w:color="auto" w:fill="FFFFFF"/>
        <w:rPr>
          <w:rFonts w:ascii="Calibri" w:hAnsi="Calibri"/>
          <w:color w:val="000000"/>
          <w:sz w:val="21"/>
          <w:szCs w:val="21"/>
        </w:rPr>
      </w:pPr>
      <w:r w:rsidRPr="00D342E1">
        <w:rPr>
          <w:rFonts w:ascii="Calibri" w:hAnsi="Calibri"/>
          <w:color w:val="000000"/>
          <w:sz w:val="21"/>
          <w:szCs w:val="21"/>
          <w:u w:val="single"/>
        </w:rPr>
        <w:t>(1/4/22)</w:t>
      </w:r>
      <w:r w:rsidRPr="00D342E1">
        <w:rPr>
          <w:rFonts w:ascii="Calibri" w:hAnsi="Calibri"/>
          <w:color w:val="000000"/>
          <w:sz w:val="21"/>
          <w:szCs w:val="21"/>
        </w:rPr>
        <w:t xml:space="preserve"> CDC recommend</w:t>
      </w:r>
      <w:r w:rsidR="00B13F3D">
        <w:rPr>
          <w:rFonts w:ascii="Calibri" w:hAnsi="Calibri"/>
          <w:color w:val="000000"/>
          <w:sz w:val="21"/>
          <w:szCs w:val="21"/>
        </w:rPr>
        <w:t>s</w:t>
      </w:r>
      <w:r w:rsidRPr="00D342E1">
        <w:rPr>
          <w:rFonts w:ascii="Calibri" w:hAnsi="Calibri"/>
          <w:color w:val="000000"/>
          <w:sz w:val="21"/>
          <w:szCs w:val="21"/>
        </w:rPr>
        <w:t xml:space="preserve"> Pfizer booster at 5 months, and additional primary dose for immunocompromised children ages 5-11. Read more: </w:t>
      </w:r>
      <w:hyperlink r:id="rId10" w:history="1">
        <w:r w:rsidRPr="00D342E1">
          <w:rPr>
            <w:rStyle w:val="Hyperlink"/>
            <w:rFonts w:ascii="Calibri" w:hAnsi="Calibri"/>
            <w:sz w:val="21"/>
            <w:szCs w:val="21"/>
          </w:rPr>
          <w:t>CDC press release.</w:t>
        </w:r>
      </w:hyperlink>
      <w:r w:rsidRPr="00D342E1">
        <w:rPr>
          <w:rFonts w:ascii="Calibri" w:hAnsi="Calibri"/>
          <w:color w:val="000000"/>
          <w:sz w:val="21"/>
          <w:szCs w:val="21"/>
        </w:rPr>
        <w:t xml:space="preserve"> </w:t>
      </w:r>
    </w:p>
    <w:p w14:paraId="78F32F80" w14:textId="4733EECF" w:rsidR="00D342E1" w:rsidRPr="00D342E1" w:rsidRDefault="00D342E1" w:rsidP="00D342E1">
      <w:pPr>
        <w:numPr>
          <w:ilvl w:val="0"/>
          <w:numId w:val="27"/>
        </w:numPr>
        <w:shd w:val="clear" w:color="auto" w:fill="FFFFFF"/>
        <w:rPr>
          <w:rFonts w:ascii="Calibri" w:hAnsi="Calibri"/>
          <w:color w:val="000000"/>
          <w:sz w:val="21"/>
          <w:szCs w:val="21"/>
        </w:rPr>
      </w:pPr>
      <w:r w:rsidRPr="00D342E1">
        <w:rPr>
          <w:rFonts w:ascii="Calibri" w:hAnsi="Calibri"/>
          <w:color w:val="000000"/>
          <w:sz w:val="21"/>
          <w:szCs w:val="21"/>
          <w:u w:val="single"/>
        </w:rPr>
        <w:t>(1/5/21)</w:t>
      </w:r>
      <w:r w:rsidRPr="00D342E1">
        <w:rPr>
          <w:rFonts w:ascii="Calibri" w:hAnsi="Calibri"/>
          <w:color w:val="000000"/>
          <w:sz w:val="21"/>
          <w:szCs w:val="21"/>
        </w:rPr>
        <w:t xml:space="preserve"> ACIP Recommends Adolescents 12-17 “Should” Get a Booster - ACIP voted 1</w:t>
      </w:r>
      <w:r w:rsidRPr="00D342E1">
        <w:rPr>
          <w:rFonts w:ascii="Calibri" w:hAnsi="Calibri"/>
          <w:i/>
          <w:iCs/>
          <w:color w:val="000000"/>
          <w:sz w:val="21"/>
          <w:szCs w:val="21"/>
        </w:rPr>
        <w:t>3 -1 to recommend “A single Pfizer-BioNTech COVID-19 vaccine booster dose is recommended for persons aged 12-17 years at least 5 months under FDA’s EUA”.</w:t>
      </w:r>
      <w:r w:rsidRPr="00D342E1">
        <w:rPr>
          <w:rFonts w:ascii="Calibri" w:hAnsi="Calibri"/>
          <w:color w:val="000000"/>
          <w:sz w:val="21"/>
          <w:szCs w:val="21"/>
        </w:rPr>
        <w:t xml:space="preserve"> </w:t>
      </w:r>
    </w:p>
    <w:p w14:paraId="1989E3BB" w14:textId="56E735AC" w:rsidR="006A6C84" w:rsidRPr="00D342E1" w:rsidRDefault="006A6C84" w:rsidP="006A6C84">
      <w:pPr>
        <w:numPr>
          <w:ilvl w:val="0"/>
          <w:numId w:val="27"/>
        </w:numPr>
        <w:shd w:val="clear" w:color="auto" w:fill="FFFFFF"/>
        <w:rPr>
          <w:rFonts w:ascii="Calibri" w:hAnsi="Calibri"/>
          <w:color w:val="000000"/>
          <w:sz w:val="21"/>
          <w:szCs w:val="21"/>
        </w:rPr>
      </w:pPr>
      <w:r w:rsidRPr="00D342E1">
        <w:rPr>
          <w:rFonts w:ascii="Calibri" w:hAnsi="Calibri"/>
          <w:color w:val="000000"/>
          <w:sz w:val="21"/>
          <w:szCs w:val="21"/>
          <w:u w:val="single"/>
        </w:rPr>
        <w:t>(1/7/21)</w:t>
      </w:r>
      <w:r w:rsidRPr="00D342E1">
        <w:rPr>
          <w:rFonts w:ascii="Calibri" w:hAnsi="Calibri"/>
          <w:color w:val="000000"/>
          <w:sz w:val="21"/>
          <w:szCs w:val="21"/>
        </w:rPr>
        <w:t> </w:t>
      </w:r>
      <w:r>
        <w:rPr>
          <w:rFonts w:ascii="Calibri" w:hAnsi="Calibri"/>
          <w:color w:val="000000"/>
          <w:sz w:val="21"/>
          <w:szCs w:val="21"/>
        </w:rPr>
        <w:t>CDC</w:t>
      </w:r>
      <w:r w:rsidRPr="00D342E1">
        <w:rPr>
          <w:rFonts w:ascii="Calibri" w:hAnsi="Calibri"/>
          <w:color w:val="000000"/>
          <w:sz w:val="21"/>
          <w:szCs w:val="21"/>
        </w:rPr>
        <w:t xml:space="preserve"> shortens interval for booster dose of Moderna COVID-19 vaccine to 5 months. </w:t>
      </w:r>
      <w:r>
        <w:rPr>
          <w:rFonts w:ascii="Calibri" w:hAnsi="Calibri"/>
          <w:color w:val="000000"/>
          <w:sz w:val="21"/>
          <w:szCs w:val="21"/>
        </w:rPr>
        <w:t xml:space="preserve">Read more </w:t>
      </w:r>
      <w:hyperlink r:id="rId11" w:history="1">
        <w:r w:rsidRPr="006A6C84">
          <w:rPr>
            <w:rStyle w:val="Hyperlink"/>
            <w:rFonts w:ascii="Calibri" w:hAnsi="Calibri"/>
            <w:sz w:val="21"/>
            <w:szCs w:val="21"/>
          </w:rPr>
          <w:t>here</w:t>
        </w:r>
      </w:hyperlink>
      <w:r>
        <w:rPr>
          <w:rFonts w:ascii="Calibri" w:hAnsi="Calibri"/>
          <w:color w:val="000000"/>
          <w:sz w:val="21"/>
          <w:szCs w:val="21"/>
        </w:rPr>
        <w:t>.</w:t>
      </w:r>
    </w:p>
    <w:p w14:paraId="5DF83B64" w14:textId="77777777" w:rsidR="006E1158" w:rsidRDefault="006E1158" w:rsidP="0063730E">
      <w:pPr>
        <w:shd w:val="clear" w:color="auto" w:fill="FFFFFF"/>
        <w:rPr>
          <w:rFonts w:ascii="Calibri" w:hAnsi="Calibri"/>
          <w:color w:val="000000"/>
          <w:sz w:val="21"/>
          <w:szCs w:val="21"/>
        </w:rPr>
      </w:pPr>
    </w:p>
    <w:p w14:paraId="3A8E402E" w14:textId="77777777" w:rsidR="006E1158" w:rsidRDefault="006E1158" w:rsidP="006E1158">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sz w:val="21"/>
          <w:szCs w:val="21"/>
        </w:rPr>
        <w:t xml:space="preserve"> </w:t>
      </w:r>
      <w:r w:rsidRPr="00447BBB">
        <w:rPr>
          <w:rFonts w:asciiTheme="minorHAnsi" w:hAnsiTheme="minorHAnsi" w:cstheme="minorHAnsi"/>
          <w:b/>
          <w:bCs/>
          <w:sz w:val="21"/>
          <w:szCs w:val="21"/>
        </w:rPr>
        <w:t xml:space="preserve">mRNA COVID-19 </w:t>
      </w:r>
      <w:r>
        <w:rPr>
          <w:rFonts w:asciiTheme="minorHAnsi" w:hAnsiTheme="minorHAnsi" w:cstheme="minorHAnsi"/>
          <w:b/>
          <w:bCs/>
          <w:sz w:val="21"/>
          <w:szCs w:val="21"/>
        </w:rPr>
        <w:t>V</w:t>
      </w:r>
      <w:r w:rsidRPr="00447BBB">
        <w:rPr>
          <w:rFonts w:asciiTheme="minorHAnsi" w:hAnsiTheme="minorHAnsi" w:cstheme="minorHAnsi"/>
          <w:b/>
          <w:bCs/>
          <w:sz w:val="21"/>
          <w:szCs w:val="21"/>
        </w:rPr>
        <w:t xml:space="preserve">accines </w:t>
      </w:r>
      <w:r>
        <w:rPr>
          <w:rFonts w:asciiTheme="minorHAnsi" w:hAnsiTheme="minorHAnsi" w:cstheme="minorHAnsi"/>
          <w:b/>
          <w:bCs/>
          <w:sz w:val="21"/>
          <w:szCs w:val="21"/>
        </w:rPr>
        <w:t>P</w:t>
      </w:r>
      <w:r w:rsidRPr="00447BBB">
        <w:rPr>
          <w:rFonts w:asciiTheme="minorHAnsi" w:hAnsiTheme="minorHAnsi" w:cstheme="minorHAnsi"/>
          <w:b/>
          <w:bCs/>
          <w:sz w:val="21"/>
          <w:szCs w:val="21"/>
        </w:rPr>
        <w:t xml:space="preserve">referred </w:t>
      </w:r>
      <w:r>
        <w:rPr>
          <w:rFonts w:asciiTheme="minorHAnsi" w:hAnsiTheme="minorHAnsi" w:cstheme="minorHAnsi"/>
          <w:b/>
          <w:bCs/>
          <w:sz w:val="21"/>
          <w:szCs w:val="21"/>
        </w:rPr>
        <w:t>O</w:t>
      </w:r>
      <w:r w:rsidRPr="00447BBB">
        <w:rPr>
          <w:rFonts w:asciiTheme="minorHAnsi" w:hAnsiTheme="minorHAnsi" w:cstheme="minorHAnsi"/>
          <w:b/>
          <w:bCs/>
          <w:sz w:val="21"/>
          <w:szCs w:val="21"/>
        </w:rPr>
        <w:t xml:space="preserve">ver the </w:t>
      </w:r>
      <w:r w:rsidRPr="008B2D28">
        <w:rPr>
          <w:rFonts w:ascii="Calibri" w:hAnsi="Calibri" w:cs="Calibri"/>
          <w:b/>
          <w:bCs/>
          <w:color w:val="000000"/>
          <w:sz w:val="21"/>
          <w:szCs w:val="21"/>
          <w:shd w:val="clear" w:color="auto" w:fill="FFFFFF"/>
        </w:rPr>
        <w:t>Janssen/J&amp;J</w:t>
      </w:r>
      <w:r w:rsidRPr="00447BBB">
        <w:rPr>
          <w:rFonts w:asciiTheme="minorHAnsi" w:hAnsiTheme="minorHAnsi" w:cstheme="minorHAnsi"/>
          <w:b/>
          <w:bCs/>
          <w:sz w:val="21"/>
          <w:szCs w:val="21"/>
        </w:rPr>
        <w:t xml:space="preserve"> COVID-19 </w:t>
      </w:r>
      <w:r>
        <w:rPr>
          <w:rFonts w:asciiTheme="minorHAnsi" w:hAnsiTheme="minorHAnsi" w:cstheme="minorHAnsi"/>
          <w:b/>
          <w:bCs/>
          <w:sz w:val="21"/>
          <w:szCs w:val="21"/>
        </w:rPr>
        <w:t>V</w:t>
      </w:r>
      <w:r w:rsidRPr="00447BBB">
        <w:rPr>
          <w:rFonts w:asciiTheme="minorHAnsi" w:hAnsiTheme="minorHAnsi" w:cstheme="minorHAnsi"/>
          <w:b/>
          <w:bCs/>
          <w:sz w:val="21"/>
          <w:szCs w:val="21"/>
        </w:rPr>
        <w:t xml:space="preserve">accine </w:t>
      </w:r>
    </w:p>
    <w:p w14:paraId="7E410404" w14:textId="77777777" w:rsidR="006E1158" w:rsidRDefault="006E1158" w:rsidP="006E1158">
      <w:pPr>
        <w:shd w:val="clear" w:color="auto" w:fill="FFFFFF"/>
        <w:rPr>
          <w:rFonts w:asciiTheme="minorHAnsi" w:hAnsiTheme="minorHAnsi" w:cstheme="minorHAnsi"/>
          <w:sz w:val="21"/>
          <w:szCs w:val="21"/>
        </w:rPr>
      </w:pPr>
      <w:r>
        <w:rPr>
          <w:rFonts w:asciiTheme="minorHAnsi" w:hAnsiTheme="minorHAnsi" w:cstheme="minorHAnsi"/>
          <w:sz w:val="21"/>
          <w:szCs w:val="21"/>
        </w:rPr>
        <w:t>On December 16</w:t>
      </w:r>
      <w:r w:rsidRPr="003E3457">
        <w:rPr>
          <w:rFonts w:asciiTheme="minorHAnsi" w:hAnsiTheme="minorHAnsi" w:cstheme="minorHAnsi"/>
          <w:sz w:val="21"/>
          <w:szCs w:val="21"/>
          <w:vertAlign w:val="superscript"/>
        </w:rPr>
        <w:t>th</w:t>
      </w:r>
      <w:r>
        <w:rPr>
          <w:rFonts w:asciiTheme="minorHAnsi" w:hAnsiTheme="minorHAnsi" w:cstheme="minorHAnsi"/>
          <w:sz w:val="21"/>
          <w:szCs w:val="21"/>
        </w:rPr>
        <w:t xml:space="preserve"> </w:t>
      </w:r>
      <w:r w:rsidRPr="00447BBB">
        <w:rPr>
          <w:rFonts w:asciiTheme="minorHAnsi" w:hAnsiTheme="minorHAnsi" w:cstheme="minorHAnsi"/>
          <w:sz w:val="21"/>
          <w:szCs w:val="21"/>
        </w:rPr>
        <w:t>CDC endorsed recommendations made by ACIP</w:t>
      </w:r>
      <w:r>
        <w:rPr>
          <w:rFonts w:asciiTheme="minorHAnsi" w:hAnsiTheme="minorHAnsi" w:cstheme="minorHAnsi"/>
          <w:sz w:val="21"/>
          <w:szCs w:val="21"/>
        </w:rPr>
        <w:t xml:space="preserve"> earlier in the day</w:t>
      </w:r>
      <w:r w:rsidRPr="00447BBB">
        <w:rPr>
          <w:rFonts w:asciiTheme="minorHAnsi" w:hAnsiTheme="minorHAnsi" w:cstheme="minorHAnsi"/>
          <w:sz w:val="21"/>
          <w:szCs w:val="21"/>
        </w:rPr>
        <w:t xml:space="preserve">, expressing a clinical preference for individuals to receive an mRNA COVID-19 vaccine over </w:t>
      </w:r>
      <w:r>
        <w:rPr>
          <w:rFonts w:ascii="Calibri" w:hAnsi="Calibri" w:cs="Calibri"/>
          <w:color w:val="000000"/>
          <w:sz w:val="21"/>
          <w:szCs w:val="21"/>
          <w:shd w:val="clear" w:color="auto" w:fill="FFFFFF"/>
        </w:rPr>
        <w:t>Janssen/J&amp;J</w:t>
      </w:r>
      <w:r w:rsidRPr="00447BBB" w:rsidDel="00B4031F">
        <w:rPr>
          <w:rFonts w:asciiTheme="minorHAnsi" w:hAnsiTheme="minorHAnsi" w:cstheme="minorHAnsi"/>
          <w:sz w:val="21"/>
          <w:szCs w:val="21"/>
        </w:rPr>
        <w:t xml:space="preserve"> </w:t>
      </w:r>
      <w:r w:rsidRPr="00447BBB">
        <w:rPr>
          <w:rFonts w:asciiTheme="minorHAnsi" w:hAnsiTheme="minorHAnsi" w:cstheme="minorHAnsi"/>
          <w:sz w:val="21"/>
          <w:szCs w:val="21"/>
        </w:rPr>
        <w:t xml:space="preserve">COVID-19 vaccine. </w:t>
      </w:r>
    </w:p>
    <w:p w14:paraId="1F440F75" w14:textId="77777777" w:rsidR="006E1158" w:rsidRPr="00447BBB" w:rsidRDefault="006E1158" w:rsidP="006E1158">
      <w:pPr>
        <w:shd w:val="clear" w:color="auto" w:fill="FFFFFF"/>
        <w:rPr>
          <w:rFonts w:asciiTheme="minorHAnsi" w:hAnsiTheme="minorHAnsi" w:cstheme="minorHAnsi"/>
          <w:sz w:val="21"/>
          <w:szCs w:val="21"/>
        </w:rPr>
      </w:pPr>
    </w:p>
    <w:p w14:paraId="1111B4AD" w14:textId="77777777" w:rsidR="006E1158" w:rsidRDefault="006E1158" w:rsidP="006E1158">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See the </w:t>
      </w:r>
      <w:hyperlink r:id="rId12" w:history="1">
        <w:r w:rsidRPr="00B93ECC">
          <w:rPr>
            <w:rStyle w:val="Hyperlink"/>
            <w:rFonts w:asciiTheme="minorHAnsi" w:hAnsiTheme="minorHAnsi" w:cstheme="minorHAnsi"/>
            <w:sz w:val="21"/>
            <w:szCs w:val="21"/>
          </w:rPr>
          <w:t>Clinical Considerations</w:t>
        </w:r>
      </w:hyperlink>
      <w:r>
        <w:rPr>
          <w:rFonts w:asciiTheme="minorHAnsi" w:hAnsiTheme="minorHAnsi" w:cstheme="minorHAnsi"/>
          <w:sz w:val="21"/>
          <w:szCs w:val="21"/>
        </w:rPr>
        <w:t xml:space="preserve"> for more information, some of which is detailed here: </w:t>
      </w:r>
    </w:p>
    <w:p w14:paraId="6F4D1B06" w14:textId="77777777" w:rsidR="006E1158" w:rsidRPr="00447BBB" w:rsidRDefault="006E1158" w:rsidP="006E1158">
      <w:pPr>
        <w:shd w:val="clear" w:color="auto" w:fill="FFFFFF"/>
        <w:rPr>
          <w:rFonts w:asciiTheme="minorHAnsi" w:hAnsiTheme="minorHAnsi" w:cstheme="minorHAnsi"/>
          <w:sz w:val="21"/>
          <w:szCs w:val="21"/>
        </w:rPr>
      </w:pPr>
    </w:p>
    <w:p w14:paraId="7C12AEA3" w14:textId="77777777" w:rsidR="006E1158" w:rsidRDefault="006E1158" w:rsidP="006E1158">
      <w:pPr>
        <w:numPr>
          <w:ilvl w:val="0"/>
          <w:numId w:val="13"/>
        </w:numPr>
        <w:shd w:val="clear" w:color="auto" w:fill="FFFFFF"/>
        <w:tabs>
          <w:tab w:val="clear" w:pos="720"/>
          <w:tab w:val="num" w:pos="360"/>
        </w:tabs>
        <w:ind w:left="360"/>
        <w:rPr>
          <w:rFonts w:asciiTheme="minorHAnsi" w:hAnsiTheme="minorHAnsi" w:cstheme="minorHAnsi"/>
          <w:sz w:val="21"/>
          <w:szCs w:val="21"/>
        </w:rPr>
      </w:pPr>
      <w:r w:rsidRPr="008F6DE1">
        <w:rPr>
          <w:rFonts w:asciiTheme="minorHAnsi" w:hAnsiTheme="minorHAnsi" w:cstheme="minorHAnsi"/>
          <w:sz w:val="21"/>
          <w:szCs w:val="21"/>
        </w:rPr>
        <w:t xml:space="preserve">In most situations, </w:t>
      </w:r>
      <w:r w:rsidRPr="00B93ECC">
        <w:rPr>
          <w:rFonts w:asciiTheme="minorHAnsi" w:hAnsiTheme="minorHAnsi" w:cstheme="minorHAnsi"/>
          <w:sz w:val="21"/>
          <w:szCs w:val="21"/>
        </w:rPr>
        <w:t xml:space="preserve">Pfizer-BioNTech or Moderna </w:t>
      </w:r>
      <w:r w:rsidRPr="008F6DE1">
        <w:rPr>
          <w:rFonts w:asciiTheme="minorHAnsi" w:hAnsiTheme="minorHAnsi" w:cstheme="minorHAnsi"/>
          <w:sz w:val="21"/>
          <w:szCs w:val="21"/>
        </w:rPr>
        <w:t xml:space="preserve">COVID-19 vaccines are preferred over the </w:t>
      </w:r>
      <w:r>
        <w:rPr>
          <w:rFonts w:ascii="Calibri" w:hAnsi="Calibri" w:cs="Calibri"/>
          <w:color w:val="000000"/>
          <w:sz w:val="21"/>
          <w:szCs w:val="21"/>
          <w:shd w:val="clear" w:color="auto" w:fill="FFFFFF"/>
        </w:rPr>
        <w:t>Janssen/J&amp;J</w:t>
      </w:r>
      <w:r w:rsidRPr="008F6DE1">
        <w:rPr>
          <w:rFonts w:asciiTheme="minorHAnsi" w:hAnsiTheme="minorHAnsi" w:cstheme="minorHAnsi"/>
          <w:sz w:val="21"/>
          <w:szCs w:val="21"/>
        </w:rPr>
        <w:t xml:space="preserve"> COVID-19 vaccine for primary and booster vaccination, including </w:t>
      </w:r>
      <w:r>
        <w:rPr>
          <w:rFonts w:asciiTheme="minorHAnsi" w:hAnsiTheme="minorHAnsi" w:cstheme="minorHAnsi"/>
          <w:sz w:val="21"/>
          <w:szCs w:val="21"/>
        </w:rPr>
        <w:t xml:space="preserve">boosters for </w:t>
      </w:r>
      <w:r w:rsidRPr="008F6DE1">
        <w:rPr>
          <w:rFonts w:asciiTheme="minorHAnsi" w:hAnsiTheme="minorHAnsi" w:cstheme="minorHAnsi"/>
          <w:sz w:val="21"/>
          <w:szCs w:val="21"/>
        </w:rPr>
        <w:t xml:space="preserve">those who received </w:t>
      </w:r>
      <w:r>
        <w:rPr>
          <w:rFonts w:ascii="Calibri" w:hAnsi="Calibri" w:cs="Calibri"/>
          <w:color w:val="000000"/>
          <w:sz w:val="21"/>
          <w:szCs w:val="21"/>
          <w:shd w:val="clear" w:color="auto" w:fill="FFFFFF"/>
        </w:rPr>
        <w:t>Janssen/J&amp;J</w:t>
      </w:r>
      <w:r w:rsidRPr="008F6DE1">
        <w:rPr>
          <w:rFonts w:asciiTheme="minorHAnsi" w:hAnsiTheme="minorHAnsi" w:cstheme="minorHAnsi"/>
          <w:sz w:val="21"/>
          <w:szCs w:val="21"/>
        </w:rPr>
        <w:t xml:space="preserve"> COVID-19 vaccine for their single dose primary series</w:t>
      </w:r>
    </w:p>
    <w:p w14:paraId="73C28DFC" w14:textId="77777777" w:rsidR="006E1158" w:rsidRPr="008F6DE1" w:rsidRDefault="006E1158" w:rsidP="006E1158">
      <w:pPr>
        <w:numPr>
          <w:ilvl w:val="0"/>
          <w:numId w:val="13"/>
        </w:numPr>
        <w:shd w:val="clear" w:color="auto" w:fill="FFFFFF"/>
        <w:tabs>
          <w:tab w:val="clear" w:pos="720"/>
          <w:tab w:val="num" w:pos="360"/>
        </w:tabs>
        <w:ind w:left="360"/>
        <w:rPr>
          <w:rFonts w:asciiTheme="minorHAnsi" w:hAnsiTheme="minorHAnsi" w:cstheme="minorHAnsi"/>
          <w:sz w:val="21"/>
          <w:szCs w:val="21"/>
        </w:rPr>
      </w:pPr>
      <w:r>
        <w:rPr>
          <w:rFonts w:ascii="Calibri" w:hAnsi="Calibri" w:cs="Calibri"/>
          <w:color w:val="000000"/>
          <w:sz w:val="21"/>
          <w:szCs w:val="21"/>
          <w:shd w:val="clear" w:color="auto" w:fill="FFFFFF"/>
        </w:rPr>
        <w:t>Janssen/J&amp;J</w:t>
      </w:r>
      <w:r w:rsidRPr="008F6DE1">
        <w:rPr>
          <w:rFonts w:asciiTheme="minorHAnsi" w:hAnsiTheme="minorHAnsi" w:cstheme="minorHAnsi"/>
          <w:sz w:val="21"/>
          <w:szCs w:val="21"/>
        </w:rPr>
        <w:t xml:space="preserve"> COVID-19 vaccines </w:t>
      </w:r>
      <w:r w:rsidRPr="00C53EB6">
        <w:rPr>
          <w:rFonts w:asciiTheme="minorHAnsi" w:hAnsiTheme="minorHAnsi" w:cstheme="minorHAnsi"/>
          <w:sz w:val="21"/>
          <w:szCs w:val="21"/>
        </w:rPr>
        <w:t xml:space="preserve">may be offered </w:t>
      </w:r>
      <w:r w:rsidRPr="008F6DE1">
        <w:rPr>
          <w:rFonts w:asciiTheme="minorHAnsi" w:hAnsiTheme="minorHAnsi" w:cstheme="minorHAnsi"/>
          <w:sz w:val="21"/>
          <w:szCs w:val="21"/>
        </w:rPr>
        <w:t>to the following populations:</w:t>
      </w:r>
    </w:p>
    <w:p w14:paraId="09CDF69C" w14:textId="77777777" w:rsidR="006E1158" w:rsidRPr="008F6DE1" w:rsidRDefault="006E1158" w:rsidP="006E1158">
      <w:pPr>
        <w:numPr>
          <w:ilvl w:val="1"/>
          <w:numId w:val="13"/>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Persons with a contraindication to mRNA COVID-19 vaccines (</w:t>
      </w:r>
      <w:proofErr w:type="gramStart"/>
      <w:r w:rsidRPr="008F6DE1">
        <w:rPr>
          <w:rFonts w:asciiTheme="minorHAnsi" w:hAnsiTheme="minorHAnsi" w:cstheme="minorHAnsi"/>
          <w:sz w:val="21"/>
          <w:szCs w:val="21"/>
        </w:rPr>
        <w:t>e.g.</w:t>
      </w:r>
      <w:proofErr w:type="gramEnd"/>
      <w:r w:rsidRPr="008F6DE1">
        <w:rPr>
          <w:rFonts w:asciiTheme="minorHAnsi" w:hAnsiTheme="minorHAnsi" w:cstheme="minorHAnsi"/>
          <w:sz w:val="21"/>
          <w:szCs w:val="21"/>
        </w:rPr>
        <w:t xml:space="preserve"> severe allergic reaction after a previous dose or to a component of an mRNA COVID-19 vaccine)</w:t>
      </w:r>
    </w:p>
    <w:p w14:paraId="3D7A6E1A" w14:textId="77777777" w:rsidR="006E1158" w:rsidRPr="008F6DE1" w:rsidRDefault="006E1158" w:rsidP="006E1158">
      <w:pPr>
        <w:numPr>
          <w:ilvl w:val="1"/>
          <w:numId w:val="13"/>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Persons who would otherwise remain unvaccinated for COVID-19 due to limited access to</w:t>
      </w:r>
      <w:r>
        <w:rPr>
          <w:rFonts w:asciiTheme="minorHAnsi" w:hAnsiTheme="minorHAnsi" w:cstheme="minorHAnsi"/>
          <w:sz w:val="21"/>
          <w:szCs w:val="21"/>
        </w:rPr>
        <w:t xml:space="preserve"> </w:t>
      </w:r>
      <w:r w:rsidRPr="008F6DE1">
        <w:rPr>
          <w:rFonts w:asciiTheme="minorHAnsi" w:hAnsiTheme="minorHAnsi" w:cstheme="minorHAnsi"/>
          <w:sz w:val="21"/>
          <w:szCs w:val="21"/>
        </w:rPr>
        <w:t>mRNA COVID-19 vaccines</w:t>
      </w:r>
    </w:p>
    <w:p w14:paraId="1CDEB476" w14:textId="77777777" w:rsidR="006E1158" w:rsidRPr="008F6DE1" w:rsidRDefault="006E1158" w:rsidP="006E1158">
      <w:pPr>
        <w:numPr>
          <w:ilvl w:val="1"/>
          <w:numId w:val="14"/>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 xml:space="preserve">Persons who would prefer the </w:t>
      </w:r>
      <w:r>
        <w:rPr>
          <w:rFonts w:ascii="Calibri" w:hAnsi="Calibri" w:cs="Calibri"/>
          <w:color w:val="000000"/>
          <w:sz w:val="21"/>
          <w:szCs w:val="21"/>
          <w:shd w:val="clear" w:color="auto" w:fill="FFFFFF"/>
        </w:rPr>
        <w:t>Janssen/J&amp;J</w:t>
      </w:r>
      <w:r w:rsidRPr="008F6DE1" w:rsidDel="008B2D28">
        <w:rPr>
          <w:rFonts w:asciiTheme="minorHAnsi" w:hAnsiTheme="minorHAnsi" w:cstheme="minorHAnsi"/>
          <w:sz w:val="21"/>
          <w:szCs w:val="21"/>
        </w:rPr>
        <w:t xml:space="preserve"> </w:t>
      </w:r>
      <w:r w:rsidRPr="008F6DE1">
        <w:rPr>
          <w:rFonts w:asciiTheme="minorHAnsi" w:hAnsiTheme="minorHAnsi" w:cstheme="minorHAnsi"/>
          <w:sz w:val="21"/>
          <w:szCs w:val="21"/>
        </w:rPr>
        <w:t>COVID-19 vaccine despite safety concerns identified</w:t>
      </w:r>
    </w:p>
    <w:p w14:paraId="7EB12C01" w14:textId="77777777" w:rsidR="00AE5552" w:rsidRDefault="00AE5552" w:rsidP="0063730E">
      <w:pPr>
        <w:shd w:val="clear" w:color="auto" w:fill="FFFFFF"/>
        <w:rPr>
          <w:rFonts w:ascii="Calibri" w:hAnsi="Calibri"/>
          <w:color w:val="000000"/>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5D12B67A" w14:textId="3B0C72B1" w:rsidR="00153F67" w:rsidRPr="00153F67" w:rsidRDefault="00153F67" w:rsidP="00153F67">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once they have received their primary series. For more information, please visit </w:t>
      </w:r>
      <w:hyperlink r:id="rId13"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34AB8AC9" w14:textId="77777777" w:rsidR="00153F67" w:rsidRDefault="00153F67" w:rsidP="0063730E">
      <w:pPr>
        <w:shd w:val="clear" w:color="auto" w:fill="FFFFFF"/>
        <w:rPr>
          <w:rFonts w:ascii="Calibri" w:hAnsi="Calibri"/>
          <w:color w:val="000000"/>
          <w:sz w:val="21"/>
          <w:szCs w:val="21"/>
        </w:rPr>
      </w:pPr>
    </w:p>
    <w:p w14:paraId="18870C63" w14:textId="1176CC18" w:rsidR="0085140E" w:rsidRPr="0085140E" w:rsidRDefault="00B13F3D" w:rsidP="0085140E">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85140E">
        <w:rPr>
          <w:rFonts w:asciiTheme="minorHAnsi" w:hAnsiTheme="minorHAnsi" w:cstheme="minorHAnsi"/>
          <w:sz w:val="21"/>
          <w:szCs w:val="21"/>
        </w:rPr>
        <w:t xml:space="preserve"> </w:t>
      </w:r>
      <w:r w:rsidR="0085140E" w:rsidRPr="0085140E">
        <w:rPr>
          <w:rFonts w:asciiTheme="minorHAnsi" w:hAnsiTheme="minorHAnsi" w:cstheme="minorHAnsi"/>
          <w:b/>
          <w:bCs/>
          <w:sz w:val="21"/>
          <w:szCs w:val="21"/>
        </w:rPr>
        <w:t>State</w:t>
      </w:r>
      <w:r w:rsidR="00FB38D4">
        <w:rPr>
          <w:rFonts w:asciiTheme="minorHAnsi" w:hAnsiTheme="minorHAnsi" w:cstheme="minorHAnsi"/>
          <w:b/>
          <w:bCs/>
          <w:sz w:val="21"/>
          <w:szCs w:val="21"/>
        </w:rPr>
        <w:t>-</w:t>
      </w:r>
      <w:r w:rsidR="0085140E" w:rsidRPr="0085140E">
        <w:rPr>
          <w:rFonts w:asciiTheme="minorHAnsi" w:hAnsiTheme="minorHAnsi" w:cstheme="minorHAnsi"/>
          <w:b/>
          <w:bCs/>
          <w:sz w:val="21"/>
          <w:szCs w:val="21"/>
        </w:rPr>
        <w:t>sponsored COVID-19 vaccination locations opening in Boston, Roxbury, Lynn, and Taunton</w:t>
      </w:r>
      <w:r w:rsidR="0085140E">
        <w:rPr>
          <w:rFonts w:asciiTheme="minorHAnsi" w:hAnsiTheme="minorHAnsi" w:cstheme="minorHAnsi"/>
          <w:b/>
          <w:bCs/>
          <w:sz w:val="21"/>
          <w:szCs w:val="21"/>
        </w:rPr>
        <w:t xml:space="preserve"> </w:t>
      </w:r>
      <w:r w:rsidR="0085140E" w:rsidRPr="0085140E">
        <w:rPr>
          <w:rFonts w:asciiTheme="minorHAnsi" w:hAnsiTheme="minorHAnsi" w:cstheme="minorHAnsi"/>
          <w:sz w:val="21"/>
          <w:szCs w:val="21"/>
        </w:rPr>
        <w:t xml:space="preserve">Beginning in early January, eligible residents aged 5 and older will be able to receive their primary series of COVID-19 vaccinations and residents aged 16 and older will be able to receive their booster shots at these locations. These sites add to the nearly 1,000 locations statewide where residents can receive their COVID-19 vaccine and booster. </w:t>
      </w:r>
    </w:p>
    <w:p w14:paraId="0FF2F52E" w14:textId="77777777"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Fenway Park</w:t>
      </w:r>
      <w:r w:rsidRPr="0085140E">
        <w:rPr>
          <w:rFonts w:asciiTheme="minorHAnsi" w:hAnsiTheme="minorHAnsi" w:cstheme="minorHAnsi"/>
          <w:sz w:val="21"/>
          <w:szCs w:val="21"/>
        </w:rPr>
        <w:t xml:space="preserve">: 4 Jersey Street, Boston, MA </w:t>
      </w:r>
    </w:p>
    <w:p w14:paraId="76B49690" w14:textId="182821E5"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w:t>
      </w:r>
      <w:r w:rsidR="002E3726">
        <w:rPr>
          <w:rFonts w:asciiTheme="minorHAnsi" w:hAnsiTheme="minorHAnsi" w:cstheme="minorHAnsi"/>
          <w:sz w:val="21"/>
          <w:szCs w:val="21"/>
        </w:rPr>
        <w:t>ed</w:t>
      </w:r>
      <w:r w:rsidRPr="0085140E">
        <w:rPr>
          <w:rFonts w:asciiTheme="minorHAnsi" w:hAnsiTheme="minorHAnsi" w:cstheme="minorHAnsi"/>
          <w:sz w:val="21"/>
          <w:szCs w:val="21"/>
        </w:rPr>
        <w:t xml:space="preserve"> January 6</w:t>
      </w:r>
      <w:r w:rsidRPr="0085140E">
        <w:rPr>
          <w:rFonts w:asciiTheme="minorHAnsi" w:hAnsiTheme="minorHAnsi" w:cstheme="minorHAnsi"/>
          <w:sz w:val="21"/>
          <w:szCs w:val="21"/>
          <w:vertAlign w:val="superscript"/>
        </w:rPr>
        <w:t>th</w:t>
      </w:r>
    </w:p>
    <w:p w14:paraId="0900FCA4" w14:textId="77777777"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Capacity to administer 1,300 doses daily.</w:t>
      </w:r>
    </w:p>
    <w:p w14:paraId="05E8C978" w14:textId="77777777"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4E85A250" w14:textId="12069FEC" w:rsidR="0085140E" w:rsidRPr="0085140E" w:rsidRDefault="0085140E" w:rsidP="00F24FD4">
      <w:pPr>
        <w:numPr>
          <w:ilvl w:val="0"/>
          <w:numId w:val="18"/>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Appointments are available by visiting  </w:t>
      </w:r>
      <w:hyperlink r:id="rId14"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r w:rsidRPr="0085140E">
        <w:rPr>
          <w:rFonts w:asciiTheme="minorHAnsi" w:hAnsiTheme="minorHAnsi" w:cstheme="minorHAnsi"/>
          <w:sz w:val="21"/>
          <w:szCs w:val="21"/>
        </w:rPr>
        <w:t>. Walk</w:t>
      </w:r>
      <w:r w:rsidR="00FB38D4">
        <w:rPr>
          <w:rFonts w:asciiTheme="minorHAnsi" w:hAnsiTheme="minorHAnsi" w:cstheme="minorHAnsi"/>
          <w:sz w:val="21"/>
          <w:szCs w:val="21"/>
        </w:rPr>
        <w:t>-</w:t>
      </w:r>
      <w:r w:rsidRPr="0085140E">
        <w:rPr>
          <w:rFonts w:asciiTheme="minorHAnsi" w:hAnsiTheme="minorHAnsi" w:cstheme="minorHAnsi"/>
          <w:sz w:val="21"/>
          <w:szCs w:val="21"/>
        </w:rPr>
        <w:t xml:space="preserve">ins also accepted. </w:t>
      </w:r>
    </w:p>
    <w:p w14:paraId="77B0A6DC" w14:textId="04C78361" w:rsidR="0085140E" w:rsidRPr="0085140E" w:rsidRDefault="0085140E" w:rsidP="0085140E">
      <w:pPr>
        <w:shd w:val="clear" w:color="auto" w:fill="FFFFFF"/>
        <w:rPr>
          <w:rFonts w:asciiTheme="minorHAnsi" w:hAnsiTheme="minorHAnsi" w:cstheme="minorHAnsi"/>
          <w:sz w:val="21"/>
          <w:szCs w:val="21"/>
        </w:rPr>
      </w:pPr>
      <w:proofErr w:type="spellStart"/>
      <w:r w:rsidRPr="0085140E">
        <w:rPr>
          <w:rFonts w:asciiTheme="minorHAnsi" w:hAnsiTheme="minorHAnsi" w:cstheme="minorHAnsi"/>
          <w:b/>
          <w:bCs/>
          <w:sz w:val="21"/>
          <w:szCs w:val="21"/>
        </w:rPr>
        <w:t>Melnea</w:t>
      </w:r>
      <w:proofErr w:type="spellEnd"/>
      <w:r w:rsidRPr="0085140E">
        <w:rPr>
          <w:rFonts w:asciiTheme="minorHAnsi" w:hAnsiTheme="minorHAnsi" w:cstheme="minorHAnsi"/>
          <w:b/>
          <w:bCs/>
          <w:sz w:val="21"/>
          <w:szCs w:val="21"/>
        </w:rPr>
        <w:t xml:space="preserve"> Cass Recreation Complex</w:t>
      </w:r>
      <w:r w:rsidRPr="0085140E">
        <w:rPr>
          <w:rFonts w:asciiTheme="minorHAnsi" w:hAnsiTheme="minorHAnsi" w:cstheme="minorHAnsi"/>
          <w:sz w:val="21"/>
          <w:szCs w:val="21"/>
        </w:rPr>
        <w:t>, 120 MLK Jr Blvd, Roxbury, MA</w:t>
      </w:r>
    </w:p>
    <w:p w14:paraId="4EFE30EB" w14:textId="186C3098"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w:t>
      </w:r>
      <w:r w:rsidR="002E3726">
        <w:rPr>
          <w:rFonts w:asciiTheme="minorHAnsi" w:hAnsiTheme="minorHAnsi" w:cstheme="minorHAnsi"/>
          <w:sz w:val="21"/>
          <w:szCs w:val="21"/>
        </w:rPr>
        <w:t>ed</w:t>
      </w:r>
      <w:r w:rsidRPr="0085140E">
        <w:rPr>
          <w:rFonts w:asciiTheme="minorHAnsi" w:hAnsiTheme="minorHAnsi" w:cstheme="minorHAnsi"/>
          <w:sz w:val="21"/>
          <w:szCs w:val="21"/>
        </w:rPr>
        <w:t xml:space="preserve"> January 5</w:t>
      </w:r>
      <w:r w:rsidRPr="0085140E">
        <w:rPr>
          <w:rFonts w:asciiTheme="minorHAnsi" w:hAnsiTheme="minorHAnsi" w:cstheme="minorHAnsi"/>
          <w:sz w:val="21"/>
          <w:szCs w:val="21"/>
          <w:vertAlign w:val="superscript"/>
        </w:rPr>
        <w:t>th</w:t>
      </w:r>
    </w:p>
    <w:p w14:paraId="08A78FE6" w14:textId="77777777"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400 doses daily. </w:t>
      </w:r>
    </w:p>
    <w:p w14:paraId="1F482CF2" w14:textId="77777777"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Pfizer primary series for individuals 5+, as well as Pfizer boosters. </w:t>
      </w:r>
    </w:p>
    <w:p w14:paraId="2EF0F0D8" w14:textId="67029994" w:rsidR="0085140E" w:rsidRPr="0085140E" w:rsidRDefault="0085140E" w:rsidP="00F24FD4">
      <w:pPr>
        <w:numPr>
          <w:ilvl w:val="0"/>
          <w:numId w:val="19"/>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Appointments are available by visiting</w:t>
      </w:r>
      <w:r w:rsidRPr="0085140E">
        <w:rPr>
          <w:rFonts w:asciiTheme="minorHAnsi" w:hAnsiTheme="minorHAnsi" w:cstheme="minorHAnsi"/>
          <w:color w:val="FF0000"/>
          <w:sz w:val="21"/>
          <w:szCs w:val="21"/>
        </w:rPr>
        <w:t xml:space="preserve"> </w:t>
      </w:r>
      <w:hyperlink r:id="rId15"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r w:rsidRPr="0085140E">
        <w:rPr>
          <w:rFonts w:asciiTheme="minorHAnsi" w:hAnsiTheme="minorHAnsi" w:cstheme="minorHAnsi"/>
          <w:sz w:val="21"/>
          <w:szCs w:val="21"/>
        </w:rPr>
        <w:t xml:space="preserve">. </w:t>
      </w:r>
      <w:r w:rsidR="00B4031F" w:rsidRPr="0085140E">
        <w:rPr>
          <w:rFonts w:asciiTheme="minorHAnsi" w:hAnsiTheme="minorHAnsi" w:cstheme="minorHAnsi"/>
          <w:sz w:val="21"/>
          <w:szCs w:val="21"/>
        </w:rPr>
        <w:t>Walk-ins</w:t>
      </w:r>
      <w:r w:rsidRPr="0085140E">
        <w:rPr>
          <w:rFonts w:asciiTheme="minorHAnsi" w:hAnsiTheme="minorHAnsi" w:cstheme="minorHAnsi"/>
          <w:sz w:val="21"/>
          <w:szCs w:val="21"/>
        </w:rPr>
        <w:t xml:space="preserve"> also accepted. </w:t>
      </w:r>
    </w:p>
    <w:p w14:paraId="6C545965" w14:textId="00365D4A"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Whittier Street Health Center</w:t>
      </w:r>
      <w:r w:rsidRPr="0085140E">
        <w:rPr>
          <w:rFonts w:asciiTheme="minorHAnsi" w:hAnsiTheme="minorHAnsi" w:cstheme="minorHAnsi"/>
          <w:sz w:val="21"/>
          <w:szCs w:val="21"/>
        </w:rPr>
        <w:t>, 1290 Tremont Street, Roxbury, MA</w:t>
      </w:r>
    </w:p>
    <w:p w14:paraId="7AF66A1B" w14:textId="77777777"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Opened in December</w:t>
      </w:r>
    </w:p>
    <w:p w14:paraId="5A5175BC" w14:textId="77777777"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500 doses daily. </w:t>
      </w:r>
    </w:p>
    <w:p w14:paraId="021E84BE" w14:textId="77777777"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67D71F86" w14:textId="5FEFFE0B" w:rsidR="0085140E" w:rsidRPr="0085140E" w:rsidRDefault="0085140E" w:rsidP="00F24FD4">
      <w:pPr>
        <w:numPr>
          <w:ilvl w:val="0"/>
          <w:numId w:val="20"/>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Appointments are available now by visiting  </w:t>
      </w:r>
      <w:hyperlink r:id="rId16"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r w:rsidRPr="0085140E">
        <w:rPr>
          <w:rFonts w:asciiTheme="minorHAnsi" w:hAnsiTheme="minorHAnsi" w:cstheme="minorHAnsi"/>
          <w:sz w:val="21"/>
          <w:szCs w:val="21"/>
        </w:rPr>
        <w:t>. Walk</w:t>
      </w:r>
      <w:r w:rsidR="00FB38D4">
        <w:rPr>
          <w:rFonts w:asciiTheme="minorHAnsi" w:hAnsiTheme="minorHAnsi" w:cstheme="minorHAnsi"/>
          <w:sz w:val="21"/>
          <w:szCs w:val="21"/>
        </w:rPr>
        <w:t>-</w:t>
      </w:r>
      <w:r w:rsidRPr="0085140E">
        <w:rPr>
          <w:rFonts w:asciiTheme="minorHAnsi" w:hAnsiTheme="minorHAnsi" w:cstheme="minorHAnsi"/>
          <w:sz w:val="21"/>
          <w:szCs w:val="21"/>
        </w:rPr>
        <w:t xml:space="preserve">ins also accepted. </w:t>
      </w:r>
    </w:p>
    <w:p w14:paraId="42E141DB" w14:textId="40A5A125"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North Shore Community College</w:t>
      </w:r>
      <w:r w:rsidRPr="0085140E">
        <w:rPr>
          <w:rFonts w:asciiTheme="minorHAnsi" w:hAnsiTheme="minorHAnsi" w:cstheme="minorHAnsi"/>
          <w:sz w:val="21"/>
          <w:szCs w:val="21"/>
        </w:rPr>
        <w:t>, Modular Building at 300 Broad Street, Lynn, MA</w:t>
      </w:r>
    </w:p>
    <w:p w14:paraId="56A847CC" w14:textId="1CC0FF52"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lastRenderedPageBreak/>
        <w:t>Open</w:t>
      </w:r>
      <w:r w:rsidR="002E3726">
        <w:rPr>
          <w:rFonts w:asciiTheme="minorHAnsi" w:hAnsiTheme="minorHAnsi" w:cstheme="minorHAnsi"/>
          <w:sz w:val="21"/>
          <w:szCs w:val="21"/>
        </w:rPr>
        <w:t>ed</w:t>
      </w:r>
      <w:r w:rsidRPr="0085140E">
        <w:rPr>
          <w:rFonts w:asciiTheme="minorHAnsi" w:hAnsiTheme="minorHAnsi" w:cstheme="minorHAnsi"/>
          <w:sz w:val="21"/>
          <w:szCs w:val="21"/>
        </w:rPr>
        <w:t xml:space="preserve"> January 5</w:t>
      </w:r>
      <w:r w:rsidRPr="0085140E">
        <w:rPr>
          <w:rFonts w:asciiTheme="minorHAnsi" w:hAnsiTheme="minorHAnsi" w:cstheme="minorHAnsi"/>
          <w:sz w:val="21"/>
          <w:szCs w:val="21"/>
          <w:vertAlign w:val="superscript"/>
        </w:rPr>
        <w:t>th</w:t>
      </w:r>
    </w:p>
    <w:p w14:paraId="10D743C4" w14:textId="77777777"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400 doses daily. </w:t>
      </w:r>
    </w:p>
    <w:p w14:paraId="2D4F63D6" w14:textId="77777777"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59B5D3F8" w14:textId="14F1C35E" w:rsidR="0085140E" w:rsidRPr="0085140E" w:rsidRDefault="0085140E" w:rsidP="00F24FD4">
      <w:pPr>
        <w:numPr>
          <w:ilvl w:val="0"/>
          <w:numId w:val="21"/>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Appointments are available now by visiting</w:t>
      </w:r>
      <w:r w:rsidRPr="0085140E">
        <w:rPr>
          <w:rFonts w:asciiTheme="minorHAnsi" w:hAnsiTheme="minorHAnsi" w:cstheme="minorHAnsi"/>
          <w:color w:val="FF0000"/>
          <w:sz w:val="21"/>
          <w:szCs w:val="21"/>
        </w:rPr>
        <w:t xml:space="preserve"> </w:t>
      </w:r>
      <w:hyperlink r:id="rId17" w:history="1">
        <w:r w:rsidRPr="0085140E">
          <w:rPr>
            <w:rStyle w:val="Hyperlink"/>
            <w:rFonts w:asciiTheme="minorHAnsi" w:hAnsiTheme="minorHAnsi" w:cstheme="minorHAnsi"/>
            <w:color w:val="auto"/>
            <w:sz w:val="21"/>
            <w:szCs w:val="21"/>
          </w:rPr>
          <w:t>vaxfinder.mass.gov</w:t>
        </w:r>
      </w:hyperlink>
      <w:r w:rsidRPr="0085140E">
        <w:rPr>
          <w:rFonts w:asciiTheme="minorHAnsi" w:hAnsiTheme="minorHAnsi" w:cstheme="minorHAnsi"/>
          <w:sz w:val="21"/>
          <w:szCs w:val="21"/>
        </w:rPr>
        <w:t xml:space="preserve"> . Walk</w:t>
      </w:r>
      <w:r w:rsidR="00FB38D4">
        <w:rPr>
          <w:rFonts w:asciiTheme="minorHAnsi" w:hAnsiTheme="minorHAnsi" w:cstheme="minorHAnsi"/>
          <w:sz w:val="21"/>
          <w:szCs w:val="21"/>
        </w:rPr>
        <w:t>-</w:t>
      </w:r>
      <w:r w:rsidRPr="0085140E">
        <w:rPr>
          <w:rFonts w:asciiTheme="minorHAnsi" w:hAnsiTheme="minorHAnsi" w:cstheme="minorHAnsi"/>
          <w:sz w:val="21"/>
          <w:szCs w:val="21"/>
        </w:rPr>
        <w:t xml:space="preserve">ins also accepted. </w:t>
      </w:r>
    </w:p>
    <w:p w14:paraId="2F91B905" w14:textId="7626914E" w:rsidR="0085140E" w:rsidRPr="0085140E" w:rsidRDefault="0085140E" w:rsidP="0085140E">
      <w:pPr>
        <w:shd w:val="clear" w:color="auto" w:fill="FFFFFF"/>
        <w:rPr>
          <w:rFonts w:asciiTheme="minorHAnsi" w:hAnsiTheme="minorHAnsi" w:cstheme="minorHAnsi"/>
          <w:sz w:val="21"/>
          <w:szCs w:val="21"/>
        </w:rPr>
      </w:pPr>
      <w:r w:rsidRPr="0085140E">
        <w:rPr>
          <w:rFonts w:asciiTheme="minorHAnsi" w:hAnsiTheme="minorHAnsi" w:cstheme="minorHAnsi"/>
          <w:b/>
          <w:bCs/>
          <w:sz w:val="21"/>
          <w:szCs w:val="21"/>
        </w:rPr>
        <w:t>Taunton COVID-19 Vaccine Clinic</w:t>
      </w:r>
      <w:r w:rsidRPr="0085140E">
        <w:rPr>
          <w:rFonts w:asciiTheme="minorHAnsi" w:hAnsiTheme="minorHAnsi" w:cstheme="minorHAnsi"/>
          <w:sz w:val="21"/>
          <w:szCs w:val="21"/>
        </w:rPr>
        <w:t>, 2005 Bay Street, Taunton, MA</w:t>
      </w:r>
    </w:p>
    <w:p w14:paraId="0473CC30" w14:textId="77777777" w:rsidR="0085140E" w:rsidRP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Opening January 6</w:t>
      </w:r>
      <w:r w:rsidRPr="0085140E">
        <w:rPr>
          <w:rFonts w:asciiTheme="minorHAnsi" w:hAnsiTheme="minorHAnsi" w:cstheme="minorHAnsi"/>
          <w:sz w:val="21"/>
          <w:szCs w:val="21"/>
          <w:vertAlign w:val="superscript"/>
        </w:rPr>
        <w:t>th</w:t>
      </w:r>
      <w:r w:rsidRPr="0085140E">
        <w:rPr>
          <w:rFonts w:asciiTheme="minorHAnsi" w:hAnsiTheme="minorHAnsi" w:cstheme="minorHAnsi"/>
          <w:sz w:val="21"/>
          <w:szCs w:val="21"/>
        </w:rPr>
        <w:t xml:space="preserve"> </w:t>
      </w:r>
    </w:p>
    <w:p w14:paraId="696CF8F8" w14:textId="77777777" w:rsidR="0085140E" w:rsidRP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Capacity to administer 400 doses daily. </w:t>
      </w:r>
    </w:p>
    <w:p w14:paraId="0865A0AA" w14:textId="77777777" w:rsid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 xml:space="preserve">Administering primary series for individuals 5+, as well as boosters. </w:t>
      </w:r>
    </w:p>
    <w:p w14:paraId="2D852E31" w14:textId="006D9E7C" w:rsidR="0085140E" w:rsidRPr="0085140E" w:rsidRDefault="0085140E" w:rsidP="00F24FD4">
      <w:pPr>
        <w:numPr>
          <w:ilvl w:val="0"/>
          <w:numId w:val="22"/>
        </w:numPr>
        <w:shd w:val="clear" w:color="auto" w:fill="FFFFFF"/>
        <w:rPr>
          <w:rFonts w:asciiTheme="minorHAnsi" w:hAnsiTheme="minorHAnsi" w:cstheme="minorHAnsi"/>
          <w:sz w:val="21"/>
          <w:szCs w:val="21"/>
        </w:rPr>
      </w:pPr>
      <w:r w:rsidRPr="0085140E">
        <w:rPr>
          <w:rFonts w:asciiTheme="minorHAnsi" w:hAnsiTheme="minorHAnsi" w:cstheme="minorHAnsi"/>
          <w:sz w:val="21"/>
          <w:szCs w:val="21"/>
        </w:rPr>
        <w:t>Appointments are available now by visiting</w:t>
      </w:r>
      <w:r w:rsidRPr="0085140E">
        <w:rPr>
          <w:rFonts w:asciiTheme="minorHAnsi" w:hAnsiTheme="minorHAnsi" w:cstheme="minorHAnsi"/>
          <w:color w:val="FF0000"/>
          <w:sz w:val="21"/>
          <w:szCs w:val="21"/>
        </w:rPr>
        <w:t xml:space="preserve"> </w:t>
      </w:r>
      <w:hyperlink r:id="rId18" w:history="1">
        <w:r w:rsidRPr="0085140E">
          <w:rPr>
            <w:rStyle w:val="Hyperlink"/>
            <w:rFonts w:asciiTheme="minorHAnsi" w:hAnsiTheme="minorHAnsi" w:cstheme="minorHAnsi"/>
            <w:sz w:val="21"/>
            <w:szCs w:val="21"/>
          </w:rPr>
          <w:t>vaxfinder.mass.gov</w:t>
        </w:r>
      </w:hyperlink>
      <w:r w:rsidRPr="0085140E">
        <w:rPr>
          <w:rFonts w:asciiTheme="minorHAnsi" w:hAnsiTheme="minorHAnsi" w:cstheme="minorHAnsi"/>
          <w:color w:val="FF0000"/>
          <w:sz w:val="21"/>
          <w:szCs w:val="21"/>
        </w:rPr>
        <w:t xml:space="preserve"> </w:t>
      </w:r>
    </w:p>
    <w:p w14:paraId="01749756" w14:textId="77777777" w:rsidR="00C3752B" w:rsidRDefault="00C3752B" w:rsidP="00C3752B">
      <w:pPr>
        <w:shd w:val="clear" w:color="auto" w:fill="FFFFFF"/>
        <w:rPr>
          <w:rFonts w:asciiTheme="minorHAnsi" w:hAnsiTheme="minorHAnsi" w:cstheme="minorHAnsi"/>
          <w:sz w:val="21"/>
          <w:szCs w:val="21"/>
        </w:rPr>
      </w:pPr>
    </w:p>
    <w:p w14:paraId="5AFBD575" w14:textId="69005593" w:rsidR="00DF781C" w:rsidRPr="006C0239" w:rsidRDefault="00DF781C" w:rsidP="00DF781C">
      <w:pPr>
        <w:shd w:val="clear" w:color="auto" w:fill="FFFFFF"/>
        <w:rPr>
          <w:rFonts w:ascii="Calibri" w:hAnsi="Calibri"/>
          <w:color w:val="000000"/>
          <w:sz w:val="21"/>
          <w:szCs w:val="21"/>
        </w:rPr>
      </w:pPr>
      <w:r w:rsidRPr="006C0239">
        <w:rPr>
          <w:rFonts w:asciiTheme="minorHAnsi" w:hAnsiTheme="minorHAnsi" w:cstheme="minorHAnsi"/>
          <w:b/>
          <w:bCs/>
          <w:color w:val="FF0000"/>
          <w:sz w:val="21"/>
          <w:szCs w:val="21"/>
        </w:rPr>
        <w:t>Reminder</w:t>
      </w:r>
      <w:r w:rsidRPr="006C0239">
        <w:rPr>
          <w:rFonts w:asciiTheme="minorHAnsi" w:hAnsiTheme="minorHAnsi" w:cstheme="minorHAnsi"/>
          <w:b/>
          <w:bCs/>
          <w:color w:val="1F497D" w:themeColor="text2"/>
          <w:sz w:val="21"/>
          <w:szCs w:val="21"/>
        </w:rPr>
        <w:t xml:space="preserve"> </w:t>
      </w:r>
      <w:r w:rsidRPr="006C0239">
        <w:rPr>
          <w:rFonts w:asciiTheme="minorHAnsi" w:hAnsiTheme="minorHAnsi" w:cstheme="minorHAnsi"/>
          <w:b/>
          <w:bCs/>
          <w:color w:val="000000" w:themeColor="text1"/>
          <w:sz w:val="21"/>
          <w:szCs w:val="21"/>
        </w:rPr>
        <w:t>Pfizer ‘</w:t>
      </w:r>
      <w:r w:rsidR="009D20AA">
        <w:rPr>
          <w:rFonts w:asciiTheme="minorHAnsi" w:hAnsiTheme="minorHAnsi" w:cstheme="minorHAnsi"/>
          <w:b/>
          <w:bCs/>
          <w:color w:val="000000" w:themeColor="text1"/>
          <w:sz w:val="21"/>
          <w:szCs w:val="21"/>
        </w:rPr>
        <w:t>g</w:t>
      </w:r>
      <w:r w:rsidRPr="006C0239">
        <w:rPr>
          <w:rFonts w:asciiTheme="minorHAnsi" w:hAnsiTheme="minorHAnsi" w:cstheme="minorHAnsi"/>
          <w:b/>
          <w:bCs/>
          <w:color w:val="000000" w:themeColor="text1"/>
          <w:sz w:val="21"/>
          <w:szCs w:val="21"/>
        </w:rPr>
        <w:t xml:space="preserve">ray </w:t>
      </w:r>
      <w:r w:rsidR="009D20AA">
        <w:rPr>
          <w:rFonts w:asciiTheme="minorHAnsi" w:hAnsiTheme="minorHAnsi" w:cstheme="minorHAnsi"/>
          <w:b/>
          <w:bCs/>
          <w:color w:val="000000" w:themeColor="text1"/>
          <w:sz w:val="21"/>
          <w:szCs w:val="21"/>
        </w:rPr>
        <w:t>t</w:t>
      </w:r>
      <w:r w:rsidRPr="006C0239">
        <w:rPr>
          <w:rFonts w:asciiTheme="minorHAnsi" w:hAnsiTheme="minorHAnsi" w:cstheme="minorHAnsi"/>
          <w:b/>
          <w:bCs/>
          <w:color w:val="000000" w:themeColor="text1"/>
          <w:sz w:val="21"/>
          <w:szCs w:val="21"/>
        </w:rPr>
        <w:t xml:space="preserve">op/Do Not Dilute/12+’ </w:t>
      </w:r>
      <w:r w:rsidR="00C53EB6">
        <w:rPr>
          <w:rFonts w:asciiTheme="minorHAnsi" w:hAnsiTheme="minorHAnsi" w:cstheme="minorHAnsi"/>
          <w:b/>
          <w:bCs/>
          <w:color w:val="000000" w:themeColor="text1"/>
          <w:sz w:val="21"/>
          <w:szCs w:val="21"/>
        </w:rPr>
        <w:t>Now Available</w:t>
      </w:r>
      <w:r w:rsidRPr="006C0239">
        <w:rPr>
          <w:rFonts w:ascii="Calibri" w:hAnsi="Calibri"/>
          <w:color w:val="000000"/>
          <w:sz w:val="21"/>
          <w:szCs w:val="21"/>
        </w:rPr>
        <w:t xml:space="preserve"> </w:t>
      </w:r>
    </w:p>
    <w:p w14:paraId="0A38C37F" w14:textId="470BE823" w:rsidR="00DF781C" w:rsidRPr="006C0239" w:rsidRDefault="00DF781C" w:rsidP="00DF781C">
      <w:pPr>
        <w:shd w:val="clear" w:color="auto" w:fill="FFFFFF"/>
        <w:rPr>
          <w:rFonts w:ascii="Calibri" w:hAnsi="Calibri"/>
          <w:b/>
          <w:bCs/>
          <w:color w:val="000000"/>
          <w:sz w:val="21"/>
          <w:szCs w:val="21"/>
        </w:rPr>
      </w:pPr>
      <w:r w:rsidRPr="006C0239">
        <w:rPr>
          <w:rFonts w:ascii="Calibri" w:hAnsi="Calibri"/>
          <w:color w:val="000000"/>
          <w:sz w:val="21"/>
          <w:szCs w:val="21"/>
        </w:rPr>
        <w:t xml:space="preserve">This formulation </w:t>
      </w:r>
      <w:r w:rsidR="00C53EB6">
        <w:rPr>
          <w:rFonts w:ascii="Calibri" w:hAnsi="Calibri"/>
          <w:color w:val="000000"/>
          <w:sz w:val="21"/>
          <w:szCs w:val="21"/>
        </w:rPr>
        <w:t>has</w:t>
      </w:r>
      <w:r w:rsidRPr="006C0239">
        <w:rPr>
          <w:rFonts w:ascii="Calibri" w:hAnsi="Calibri"/>
          <w:color w:val="000000"/>
          <w:sz w:val="21"/>
          <w:szCs w:val="21"/>
        </w:rPr>
        <w:t xml:space="preserve"> a </w:t>
      </w:r>
      <w:r w:rsidRPr="006C0239">
        <w:rPr>
          <w:rFonts w:ascii="Calibri" w:hAnsi="Calibri"/>
          <w:b/>
          <w:bCs/>
          <w:color w:val="000000"/>
          <w:sz w:val="21"/>
          <w:szCs w:val="21"/>
        </w:rPr>
        <w:t>gray</w:t>
      </w:r>
      <w:r w:rsidRPr="006C0239">
        <w:rPr>
          <w:rFonts w:ascii="Calibri" w:hAnsi="Calibri"/>
          <w:color w:val="000000"/>
          <w:sz w:val="21"/>
          <w:szCs w:val="21"/>
        </w:rPr>
        <w:t> vial cap</w:t>
      </w:r>
      <w:r w:rsidR="00C53EB6">
        <w:rPr>
          <w:rFonts w:ascii="Calibri" w:hAnsi="Calibri"/>
          <w:color w:val="000000"/>
          <w:sz w:val="21"/>
          <w:szCs w:val="21"/>
        </w:rPr>
        <w:t xml:space="preserve">, </w:t>
      </w:r>
      <w:r w:rsidRPr="006C0239">
        <w:rPr>
          <w:rFonts w:ascii="Calibri" w:hAnsi="Calibri"/>
          <w:color w:val="000000"/>
          <w:sz w:val="21"/>
          <w:szCs w:val="21"/>
        </w:rPr>
        <w:t>smaller pack ordering</w:t>
      </w:r>
      <w:r w:rsidR="00C53EB6">
        <w:rPr>
          <w:rFonts w:ascii="Calibri" w:hAnsi="Calibri"/>
          <w:color w:val="000000"/>
          <w:sz w:val="21"/>
          <w:szCs w:val="21"/>
        </w:rPr>
        <w:t>,</w:t>
      </w:r>
      <w:r w:rsidRPr="006C0239">
        <w:rPr>
          <w:rFonts w:ascii="Calibri" w:hAnsi="Calibri"/>
          <w:color w:val="000000"/>
          <w:sz w:val="21"/>
          <w:szCs w:val="21"/>
        </w:rPr>
        <w:t xml:space="preserve"> and easier use. The minimum order size </w:t>
      </w:r>
      <w:r w:rsidR="00C53EB6">
        <w:rPr>
          <w:rFonts w:ascii="Calibri" w:hAnsi="Calibri"/>
          <w:color w:val="000000"/>
          <w:sz w:val="21"/>
          <w:szCs w:val="21"/>
        </w:rPr>
        <w:t>is</w:t>
      </w:r>
      <w:r w:rsidRPr="006C0239">
        <w:rPr>
          <w:rFonts w:ascii="Calibri" w:hAnsi="Calibri"/>
          <w:color w:val="000000"/>
          <w:sz w:val="21"/>
          <w:szCs w:val="21"/>
        </w:rPr>
        <w:t xml:space="preserve"> 300 doses</w:t>
      </w:r>
      <w:r w:rsidR="00F31CA7">
        <w:rPr>
          <w:rFonts w:ascii="Calibri" w:hAnsi="Calibri"/>
          <w:color w:val="000000"/>
          <w:sz w:val="21"/>
          <w:szCs w:val="21"/>
        </w:rPr>
        <w:t>,</w:t>
      </w:r>
      <w:r w:rsidRPr="006C0239">
        <w:rPr>
          <w:rFonts w:ascii="Calibri" w:hAnsi="Calibri"/>
          <w:color w:val="000000"/>
          <w:sz w:val="21"/>
          <w:szCs w:val="21"/>
        </w:rPr>
        <w:t xml:space="preserve"> and the product does not require reconstitution with a diluent. The 6-dose vial </w:t>
      </w:r>
      <w:r w:rsidR="00C53EB6">
        <w:rPr>
          <w:rFonts w:ascii="Calibri" w:hAnsi="Calibri"/>
          <w:color w:val="000000"/>
          <w:sz w:val="21"/>
          <w:szCs w:val="21"/>
        </w:rPr>
        <w:t>has</w:t>
      </w:r>
      <w:r w:rsidRPr="006C0239">
        <w:rPr>
          <w:rFonts w:ascii="Calibri" w:hAnsi="Calibri"/>
          <w:color w:val="000000"/>
          <w:sz w:val="21"/>
          <w:szCs w:val="21"/>
        </w:rPr>
        <w:t xml:space="preserve"> the same dose volume as the purple cap (0.3mL) and </w:t>
      </w:r>
      <w:r w:rsidR="00C53EB6">
        <w:rPr>
          <w:rFonts w:ascii="Calibri" w:hAnsi="Calibri"/>
          <w:color w:val="000000"/>
          <w:sz w:val="21"/>
          <w:szCs w:val="21"/>
        </w:rPr>
        <w:t>is</w:t>
      </w:r>
      <w:r w:rsidRPr="006C0239">
        <w:rPr>
          <w:rFonts w:ascii="Calibri" w:hAnsi="Calibri"/>
          <w:color w:val="000000"/>
          <w:sz w:val="21"/>
          <w:szCs w:val="21"/>
        </w:rPr>
        <w:t xml:space="preserve"> stable at 2</w:t>
      </w:r>
      <w:r w:rsidRPr="006C0239">
        <w:rPr>
          <w:rFonts w:ascii="Calibri" w:hAnsi="Calibri"/>
          <w:color w:val="000000"/>
          <w:sz w:val="21"/>
          <w:szCs w:val="21"/>
          <w:vertAlign w:val="superscript"/>
        </w:rPr>
        <w:t>o</w:t>
      </w:r>
      <w:r w:rsidRPr="006C0239">
        <w:rPr>
          <w:rFonts w:ascii="Calibri" w:hAnsi="Calibri"/>
          <w:color w:val="000000"/>
          <w:sz w:val="21"/>
          <w:szCs w:val="21"/>
        </w:rPr>
        <w:t>C to 8</w:t>
      </w:r>
      <w:r w:rsidRPr="006C0239">
        <w:rPr>
          <w:rFonts w:ascii="Calibri" w:hAnsi="Calibri"/>
          <w:color w:val="000000"/>
          <w:sz w:val="21"/>
          <w:szCs w:val="21"/>
          <w:vertAlign w:val="superscript"/>
        </w:rPr>
        <w:t>o</w:t>
      </w:r>
      <w:r w:rsidRPr="006C0239">
        <w:rPr>
          <w:rFonts w:ascii="Calibri" w:hAnsi="Calibri"/>
          <w:color w:val="000000"/>
          <w:sz w:val="21"/>
          <w:szCs w:val="21"/>
        </w:rPr>
        <w:t>C for up to 10 weeks. The product can also be stored at ultra-low freezer temp (-90</w:t>
      </w:r>
      <w:r w:rsidRPr="006C0239">
        <w:rPr>
          <w:rFonts w:ascii="Calibri" w:hAnsi="Calibri"/>
          <w:color w:val="000000"/>
          <w:sz w:val="21"/>
          <w:szCs w:val="21"/>
          <w:vertAlign w:val="superscript"/>
        </w:rPr>
        <w:t>o</w:t>
      </w:r>
      <w:r w:rsidRPr="006C0239">
        <w:rPr>
          <w:rFonts w:ascii="Calibri" w:hAnsi="Calibri"/>
          <w:color w:val="000000"/>
          <w:sz w:val="21"/>
          <w:szCs w:val="21"/>
        </w:rPr>
        <w:t>C to -60</w:t>
      </w:r>
      <w:r w:rsidRPr="006C0239">
        <w:rPr>
          <w:rFonts w:ascii="Calibri" w:hAnsi="Calibri"/>
          <w:color w:val="000000"/>
          <w:sz w:val="21"/>
          <w:szCs w:val="21"/>
          <w:vertAlign w:val="superscript"/>
        </w:rPr>
        <w:t>o</w:t>
      </w:r>
      <w:r w:rsidRPr="006C0239">
        <w:rPr>
          <w:rFonts w:ascii="Calibri" w:hAnsi="Calibri"/>
          <w:color w:val="000000"/>
          <w:sz w:val="21"/>
          <w:szCs w:val="21"/>
        </w:rPr>
        <w:t>C) for up to 9 months. </w:t>
      </w:r>
      <w:r w:rsidRPr="006C0239">
        <w:rPr>
          <w:rFonts w:ascii="Calibri" w:hAnsi="Calibri"/>
          <w:b/>
          <w:bCs/>
          <w:color w:val="000000"/>
          <w:sz w:val="21"/>
          <w:szCs w:val="21"/>
        </w:rPr>
        <w:t>Do not store this formulation in a freezer (-25</w:t>
      </w:r>
      <w:r w:rsidRPr="006C0239">
        <w:rPr>
          <w:rFonts w:ascii="Calibri" w:hAnsi="Calibri"/>
          <w:b/>
          <w:bCs/>
          <w:color w:val="000000"/>
          <w:sz w:val="21"/>
          <w:szCs w:val="21"/>
          <w:vertAlign w:val="superscript"/>
        </w:rPr>
        <w:t>o</w:t>
      </w:r>
      <w:r w:rsidRPr="006C0239">
        <w:rPr>
          <w:rFonts w:ascii="Calibri" w:hAnsi="Calibri"/>
          <w:b/>
          <w:bCs/>
          <w:color w:val="000000"/>
          <w:sz w:val="21"/>
          <w:szCs w:val="21"/>
        </w:rPr>
        <w:t>C to -15</w:t>
      </w:r>
      <w:r w:rsidRPr="006C0239">
        <w:rPr>
          <w:rFonts w:ascii="Calibri" w:hAnsi="Calibri"/>
          <w:b/>
          <w:bCs/>
          <w:color w:val="000000"/>
          <w:sz w:val="21"/>
          <w:szCs w:val="21"/>
          <w:vertAlign w:val="superscript"/>
        </w:rPr>
        <w:t>o</w:t>
      </w:r>
      <w:r w:rsidRPr="006C0239">
        <w:rPr>
          <w:rFonts w:ascii="Calibri" w:hAnsi="Calibri"/>
          <w:b/>
          <w:bCs/>
          <w:color w:val="000000"/>
          <w:sz w:val="21"/>
          <w:szCs w:val="21"/>
        </w:rPr>
        <w:t xml:space="preserve">C). </w:t>
      </w:r>
    </w:p>
    <w:p w14:paraId="3EB09862" w14:textId="77777777" w:rsidR="00DF781C" w:rsidRPr="006C0239" w:rsidRDefault="00DF781C" w:rsidP="00DF781C">
      <w:pPr>
        <w:shd w:val="clear" w:color="auto" w:fill="FFFFFF"/>
        <w:rPr>
          <w:rFonts w:ascii="Calibri" w:hAnsi="Calibri"/>
          <w:b/>
          <w:bCs/>
          <w:color w:val="000000"/>
          <w:sz w:val="21"/>
          <w:szCs w:val="21"/>
        </w:rPr>
      </w:pPr>
    </w:p>
    <w:p w14:paraId="17D2B8C0" w14:textId="252459F1" w:rsidR="00DF781C" w:rsidRPr="006C0239" w:rsidRDefault="00DF781C" w:rsidP="00DF781C">
      <w:pPr>
        <w:shd w:val="clear" w:color="auto" w:fill="FFFFFF"/>
        <w:rPr>
          <w:rFonts w:ascii="Calibri" w:hAnsi="Calibri"/>
          <w:color w:val="000000"/>
          <w:sz w:val="21"/>
          <w:szCs w:val="21"/>
        </w:rPr>
      </w:pPr>
      <w:r w:rsidRPr="006C0239">
        <w:rPr>
          <w:rFonts w:ascii="Calibri" w:hAnsi="Calibri"/>
          <w:color w:val="000000"/>
          <w:sz w:val="21"/>
          <w:szCs w:val="21"/>
        </w:rPr>
        <w:t>To place an order for the Pfizer 12+ gray cap vaccines, create a COVID order</w:t>
      </w:r>
      <w:r w:rsidR="00ED166D">
        <w:rPr>
          <w:rFonts w:ascii="Calibri" w:hAnsi="Calibri"/>
          <w:color w:val="000000"/>
          <w:sz w:val="21"/>
          <w:szCs w:val="21"/>
        </w:rPr>
        <w:t>. You will find ‘COVID-19 Pfizer 12+’ under the Vaccine column. If you do not see th</w:t>
      </w:r>
      <w:r w:rsidR="00DA4458">
        <w:rPr>
          <w:rFonts w:ascii="Calibri" w:hAnsi="Calibri"/>
          <w:color w:val="000000"/>
          <w:sz w:val="21"/>
          <w:szCs w:val="21"/>
        </w:rPr>
        <w:t>is under the</w:t>
      </w:r>
      <w:r w:rsidR="00ED166D">
        <w:rPr>
          <w:rFonts w:ascii="Calibri" w:hAnsi="Calibri"/>
          <w:color w:val="000000"/>
          <w:sz w:val="21"/>
          <w:szCs w:val="21"/>
        </w:rPr>
        <w:t xml:space="preserve"> ‘Vaccine’ column, click on ‘add</w:t>
      </w:r>
      <w:r w:rsidR="00DA4458">
        <w:rPr>
          <w:rFonts w:ascii="Calibri" w:hAnsi="Calibri"/>
          <w:color w:val="000000"/>
          <w:sz w:val="21"/>
          <w:szCs w:val="21"/>
        </w:rPr>
        <w:t xml:space="preserve"> vaccine’</w:t>
      </w:r>
      <w:r w:rsidRPr="006C0239">
        <w:rPr>
          <w:rFonts w:ascii="Calibri" w:hAnsi="Calibri"/>
          <w:color w:val="000000"/>
          <w:sz w:val="21"/>
          <w:szCs w:val="21"/>
        </w:rPr>
        <w:t xml:space="preserve">. Select Pfizer, NDC </w:t>
      </w:r>
      <w:r w:rsidRPr="006C0239">
        <w:rPr>
          <w:rFonts w:asciiTheme="minorHAnsi" w:hAnsiTheme="minorHAnsi" w:cstheme="minorHAnsi"/>
          <w:color w:val="000000"/>
          <w:sz w:val="21"/>
          <w:szCs w:val="21"/>
        </w:rPr>
        <w:t>59267-1025-04. Vaccines are orderable in 300</w:t>
      </w:r>
      <w:r w:rsidR="00F31CA7">
        <w:rPr>
          <w:rFonts w:asciiTheme="minorHAnsi" w:hAnsiTheme="minorHAnsi" w:cstheme="minorHAnsi"/>
          <w:color w:val="000000"/>
          <w:sz w:val="21"/>
          <w:szCs w:val="21"/>
        </w:rPr>
        <w:t>-</w:t>
      </w:r>
      <w:r w:rsidRPr="006C0239">
        <w:rPr>
          <w:rFonts w:asciiTheme="minorHAnsi" w:hAnsiTheme="minorHAnsi" w:cstheme="minorHAnsi"/>
          <w:color w:val="000000"/>
          <w:sz w:val="21"/>
          <w:szCs w:val="21"/>
        </w:rPr>
        <w:t xml:space="preserve">dose increments. There will be no repackaging of vaccines for smaller order amounts. </w:t>
      </w:r>
    </w:p>
    <w:p w14:paraId="0A066CBA" w14:textId="77777777" w:rsidR="00DF781C" w:rsidRPr="006C0239" w:rsidRDefault="00DF781C" w:rsidP="00DF781C">
      <w:pPr>
        <w:shd w:val="clear" w:color="auto" w:fill="FFFFFF"/>
        <w:rPr>
          <w:rFonts w:ascii="Calibri" w:hAnsi="Calibri"/>
          <w:color w:val="000000"/>
          <w:sz w:val="21"/>
          <w:szCs w:val="21"/>
        </w:rPr>
      </w:pPr>
    </w:p>
    <w:p w14:paraId="3385E048" w14:textId="77777777" w:rsidR="00DF781C" w:rsidRPr="006C0239" w:rsidRDefault="00DF781C" w:rsidP="00DF781C">
      <w:pPr>
        <w:shd w:val="clear" w:color="auto" w:fill="FFFFFF"/>
        <w:rPr>
          <w:rFonts w:ascii="Calibri" w:hAnsi="Calibri"/>
          <w:color w:val="000000"/>
          <w:sz w:val="21"/>
          <w:szCs w:val="21"/>
        </w:rPr>
      </w:pPr>
      <w:r w:rsidRPr="006C0239">
        <w:rPr>
          <w:rFonts w:ascii="Calibri" w:hAnsi="Calibri"/>
          <w:color w:val="000000"/>
          <w:sz w:val="21"/>
          <w:szCs w:val="21"/>
        </w:rPr>
        <w:t>Providers should use up the Pfizer purple cap product in their inventory prior to transitioning to the new gray cap product to help ensure vaccine is not wasted and to reduce administration or storage errors.</w:t>
      </w:r>
    </w:p>
    <w:p w14:paraId="31F9F34A" w14:textId="77777777" w:rsidR="00DF781C" w:rsidRPr="006C0239" w:rsidRDefault="00DF781C" w:rsidP="00DF781C">
      <w:pPr>
        <w:shd w:val="clear" w:color="auto" w:fill="FFFFFF"/>
        <w:rPr>
          <w:rFonts w:asciiTheme="minorHAnsi" w:hAnsiTheme="minorHAnsi" w:cstheme="minorHAnsi"/>
          <w:b/>
          <w:bCs/>
          <w:color w:val="1F497D" w:themeColor="text2"/>
          <w:sz w:val="28"/>
          <w:szCs w:val="28"/>
        </w:rPr>
      </w:pPr>
    </w:p>
    <w:p w14:paraId="1BC09E45" w14:textId="19E098AF" w:rsidR="00302C1F" w:rsidRPr="00302C1F" w:rsidRDefault="00E058C6" w:rsidP="00302C1F">
      <w:pPr>
        <w:shd w:val="clear" w:color="auto" w:fill="FFFFFF"/>
        <w:rPr>
          <w:rFonts w:asciiTheme="minorHAnsi" w:hAnsiTheme="minorHAnsi" w:cstheme="minorHAnsi"/>
          <w:b/>
          <w:bCs/>
          <w:sz w:val="21"/>
          <w:szCs w:val="21"/>
        </w:rPr>
      </w:pPr>
      <w:bookmarkStart w:id="0" w:name="_Hlk89958754"/>
      <w:r>
        <w:rPr>
          <w:rFonts w:asciiTheme="minorHAnsi" w:hAnsiTheme="minorHAnsi" w:cstheme="minorHAnsi"/>
          <w:b/>
          <w:bCs/>
          <w:color w:val="FF0000"/>
          <w:sz w:val="21"/>
          <w:szCs w:val="21"/>
        </w:rPr>
        <w:t>Reminder</w:t>
      </w:r>
      <w:r w:rsidR="00302C1F">
        <w:rPr>
          <w:rFonts w:asciiTheme="minorHAnsi" w:hAnsiTheme="minorHAnsi" w:cstheme="minorHAnsi"/>
          <w:b/>
          <w:bCs/>
          <w:color w:val="FF0000"/>
          <w:sz w:val="21"/>
          <w:szCs w:val="21"/>
        </w:rPr>
        <w:t xml:space="preserve"> </w:t>
      </w:r>
      <w:r w:rsidR="0050237C" w:rsidRPr="0050237C">
        <w:rPr>
          <w:rFonts w:asciiTheme="minorHAnsi" w:hAnsiTheme="minorHAnsi" w:cstheme="minorHAnsi"/>
          <w:b/>
          <w:bCs/>
          <w:sz w:val="21"/>
          <w:szCs w:val="21"/>
        </w:rPr>
        <w:t xml:space="preserve">Expiration Extension for </w:t>
      </w:r>
      <w:r w:rsidR="00302C1F" w:rsidRPr="00302C1F">
        <w:rPr>
          <w:rFonts w:asciiTheme="minorHAnsi" w:hAnsiTheme="minorHAnsi" w:cstheme="minorHAnsi"/>
          <w:b/>
          <w:bCs/>
          <w:sz w:val="21"/>
          <w:szCs w:val="21"/>
        </w:rPr>
        <w:t xml:space="preserve">Pfizer </w:t>
      </w:r>
      <w:r w:rsidR="00A32AF8">
        <w:rPr>
          <w:rFonts w:asciiTheme="minorHAnsi" w:hAnsiTheme="minorHAnsi" w:cstheme="minorHAnsi"/>
          <w:b/>
          <w:bCs/>
          <w:sz w:val="21"/>
          <w:szCs w:val="21"/>
        </w:rPr>
        <w:t>o</w:t>
      </w:r>
      <w:r w:rsidR="00302C1F">
        <w:rPr>
          <w:rFonts w:asciiTheme="minorHAnsi" w:hAnsiTheme="minorHAnsi" w:cstheme="minorHAnsi"/>
          <w:b/>
          <w:bCs/>
          <w:sz w:val="21"/>
          <w:szCs w:val="21"/>
        </w:rPr>
        <w:t>range</w:t>
      </w:r>
      <w:r w:rsidR="0050237C">
        <w:rPr>
          <w:rFonts w:asciiTheme="minorHAnsi" w:hAnsiTheme="minorHAnsi" w:cstheme="minorHAnsi"/>
          <w:b/>
          <w:bCs/>
          <w:sz w:val="21"/>
          <w:szCs w:val="21"/>
        </w:rPr>
        <w:t xml:space="preserve"> </w:t>
      </w:r>
      <w:r w:rsidR="00A32AF8">
        <w:rPr>
          <w:rFonts w:asciiTheme="minorHAnsi" w:hAnsiTheme="minorHAnsi" w:cstheme="minorHAnsi"/>
          <w:b/>
          <w:bCs/>
          <w:sz w:val="21"/>
          <w:szCs w:val="21"/>
        </w:rPr>
        <w:t>c</w:t>
      </w:r>
      <w:r w:rsidR="0050237C">
        <w:rPr>
          <w:rFonts w:asciiTheme="minorHAnsi" w:hAnsiTheme="minorHAnsi" w:cstheme="minorHAnsi"/>
          <w:b/>
          <w:bCs/>
          <w:sz w:val="21"/>
          <w:szCs w:val="21"/>
        </w:rPr>
        <w:t>ap/Dilute/5-11y</w:t>
      </w:r>
      <w:r w:rsidR="00FF0CA0">
        <w:rPr>
          <w:rFonts w:asciiTheme="minorHAnsi" w:hAnsiTheme="minorHAnsi" w:cstheme="minorHAnsi"/>
          <w:b/>
          <w:bCs/>
          <w:sz w:val="21"/>
          <w:szCs w:val="21"/>
        </w:rPr>
        <w:t>ear old</w:t>
      </w:r>
      <w:r w:rsidR="0050237C">
        <w:rPr>
          <w:rFonts w:asciiTheme="minorHAnsi" w:hAnsiTheme="minorHAnsi" w:cstheme="minorHAnsi"/>
          <w:b/>
          <w:bCs/>
          <w:sz w:val="21"/>
          <w:szCs w:val="21"/>
        </w:rPr>
        <w:t xml:space="preserve"> and </w:t>
      </w:r>
      <w:r w:rsidR="00A32AF8">
        <w:rPr>
          <w:rFonts w:asciiTheme="minorHAnsi" w:hAnsiTheme="minorHAnsi" w:cstheme="minorHAnsi"/>
          <w:b/>
          <w:bCs/>
          <w:sz w:val="21"/>
          <w:szCs w:val="21"/>
        </w:rPr>
        <w:t>g</w:t>
      </w:r>
      <w:r w:rsidR="0050237C">
        <w:rPr>
          <w:rFonts w:asciiTheme="minorHAnsi" w:hAnsiTheme="minorHAnsi" w:cstheme="minorHAnsi"/>
          <w:b/>
          <w:bCs/>
          <w:sz w:val="21"/>
          <w:szCs w:val="21"/>
        </w:rPr>
        <w:t xml:space="preserve">ray </w:t>
      </w:r>
      <w:r w:rsidR="00A32AF8">
        <w:rPr>
          <w:rFonts w:asciiTheme="minorHAnsi" w:hAnsiTheme="minorHAnsi" w:cstheme="minorHAnsi"/>
          <w:b/>
          <w:bCs/>
          <w:sz w:val="21"/>
          <w:szCs w:val="21"/>
        </w:rPr>
        <w:t>c</w:t>
      </w:r>
      <w:r w:rsidR="0050237C">
        <w:rPr>
          <w:rFonts w:asciiTheme="minorHAnsi" w:hAnsiTheme="minorHAnsi" w:cstheme="minorHAnsi"/>
          <w:b/>
          <w:bCs/>
          <w:sz w:val="21"/>
          <w:szCs w:val="21"/>
        </w:rPr>
        <w:t>ap/Do Not Dilute/12+y</w:t>
      </w:r>
      <w:r w:rsidR="00FF0CA0">
        <w:rPr>
          <w:rFonts w:asciiTheme="minorHAnsi" w:hAnsiTheme="minorHAnsi" w:cstheme="minorHAnsi"/>
          <w:b/>
          <w:bCs/>
          <w:sz w:val="21"/>
          <w:szCs w:val="21"/>
        </w:rPr>
        <w:t>ear old</w:t>
      </w:r>
    </w:p>
    <w:p w14:paraId="4EF91E28" w14:textId="2AA22354" w:rsidR="004403FF" w:rsidRPr="004403FF" w:rsidRDefault="0050237C" w:rsidP="004403FF">
      <w:pPr>
        <w:shd w:val="clear" w:color="auto" w:fill="FFFFFF"/>
        <w:rPr>
          <w:rFonts w:asciiTheme="minorHAnsi" w:hAnsiTheme="minorHAnsi" w:cstheme="minorHAnsi"/>
          <w:sz w:val="21"/>
          <w:szCs w:val="21"/>
        </w:rPr>
      </w:pPr>
      <w:bookmarkStart w:id="1" w:name="_Hlk92356468"/>
      <w:r>
        <w:rPr>
          <w:rFonts w:asciiTheme="minorHAnsi" w:hAnsiTheme="minorHAnsi" w:cstheme="minorHAnsi"/>
          <w:sz w:val="21"/>
          <w:szCs w:val="21"/>
        </w:rPr>
        <w:t>On December 16</w:t>
      </w:r>
      <w:r w:rsidR="00DA7BD3" w:rsidRPr="00DA7BD3">
        <w:rPr>
          <w:rFonts w:asciiTheme="minorHAnsi" w:hAnsiTheme="minorHAnsi" w:cstheme="minorHAnsi"/>
          <w:sz w:val="21"/>
          <w:szCs w:val="21"/>
          <w:vertAlign w:val="superscript"/>
        </w:rPr>
        <w:t>th</w:t>
      </w:r>
      <w:r w:rsidR="00DA7BD3">
        <w:rPr>
          <w:rFonts w:asciiTheme="minorHAnsi" w:hAnsiTheme="minorHAnsi" w:cstheme="minorHAnsi"/>
          <w:sz w:val="21"/>
          <w:szCs w:val="21"/>
        </w:rPr>
        <w:t xml:space="preserve"> </w:t>
      </w:r>
      <w:r>
        <w:rPr>
          <w:rFonts w:asciiTheme="minorHAnsi" w:hAnsiTheme="minorHAnsi" w:cstheme="minorHAnsi"/>
          <w:sz w:val="21"/>
          <w:szCs w:val="21"/>
        </w:rPr>
        <w:t>the</w:t>
      </w:r>
      <w:r w:rsidR="00302C1F" w:rsidRPr="00302C1F">
        <w:rPr>
          <w:rFonts w:asciiTheme="minorHAnsi" w:hAnsiTheme="minorHAnsi" w:cstheme="minorHAnsi"/>
          <w:sz w:val="21"/>
          <w:szCs w:val="21"/>
        </w:rPr>
        <w:t xml:space="preserve"> FDA </w:t>
      </w:r>
      <w:r w:rsidR="004403FF" w:rsidRPr="004403FF">
        <w:rPr>
          <w:rFonts w:asciiTheme="minorHAnsi" w:hAnsiTheme="minorHAnsi" w:cstheme="minorHAnsi"/>
          <w:sz w:val="21"/>
          <w:szCs w:val="21"/>
        </w:rPr>
        <w:t>approved a shelf-life extension for the Pfizer Pediatric vaccine (</w:t>
      </w:r>
      <w:r w:rsidR="009D20AA">
        <w:rPr>
          <w:rFonts w:asciiTheme="minorHAnsi" w:hAnsiTheme="minorHAnsi" w:cstheme="minorHAnsi"/>
          <w:sz w:val="21"/>
          <w:szCs w:val="21"/>
        </w:rPr>
        <w:t>o</w:t>
      </w:r>
      <w:r w:rsidR="004403FF" w:rsidRPr="004403FF">
        <w:rPr>
          <w:rFonts w:asciiTheme="minorHAnsi" w:hAnsiTheme="minorHAnsi" w:cstheme="minorHAnsi"/>
          <w:sz w:val="21"/>
          <w:szCs w:val="21"/>
        </w:rPr>
        <w:t>range cap, 5-11</w:t>
      </w:r>
      <w:r w:rsidR="00AD5CE8">
        <w:rPr>
          <w:rFonts w:asciiTheme="minorHAnsi" w:hAnsiTheme="minorHAnsi" w:cstheme="minorHAnsi"/>
          <w:sz w:val="21"/>
          <w:szCs w:val="21"/>
        </w:rPr>
        <w:t xml:space="preserve"> year old</w:t>
      </w:r>
      <w:r w:rsidR="004403FF" w:rsidRPr="004403FF">
        <w:rPr>
          <w:rFonts w:asciiTheme="minorHAnsi" w:hAnsiTheme="minorHAnsi" w:cstheme="minorHAnsi"/>
          <w:sz w:val="21"/>
          <w:szCs w:val="21"/>
        </w:rPr>
        <w:t>, diluent required) and Adol</w:t>
      </w:r>
      <w:r w:rsidR="00E058C6">
        <w:rPr>
          <w:rFonts w:asciiTheme="minorHAnsi" w:hAnsiTheme="minorHAnsi" w:cstheme="minorHAnsi"/>
          <w:sz w:val="21"/>
          <w:szCs w:val="21"/>
        </w:rPr>
        <w:t>escent</w:t>
      </w:r>
      <w:r w:rsidR="004403FF" w:rsidRPr="004403FF">
        <w:rPr>
          <w:rFonts w:asciiTheme="minorHAnsi" w:hAnsiTheme="minorHAnsi" w:cstheme="minorHAnsi"/>
          <w:sz w:val="21"/>
          <w:szCs w:val="21"/>
        </w:rPr>
        <w:t xml:space="preserve">/Adult Tris </w:t>
      </w:r>
      <w:r w:rsidR="008439B3">
        <w:rPr>
          <w:rFonts w:asciiTheme="minorHAnsi" w:hAnsiTheme="minorHAnsi" w:cstheme="minorHAnsi"/>
          <w:sz w:val="21"/>
          <w:szCs w:val="21"/>
        </w:rPr>
        <w:t xml:space="preserve">vaccine </w:t>
      </w:r>
      <w:r w:rsidR="004403FF" w:rsidRPr="004403FF">
        <w:rPr>
          <w:rFonts w:asciiTheme="minorHAnsi" w:hAnsiTheme="minorHAnsi" w:cstheme="minorHAnsi"/>
          <w:sz w:val="21"/>
          <w:szCs w:val="21"/>
        </w:rPr>
        <w:t>(</w:t>
      </w:r>
      <w:r w:rsidR="009D20AA">
        <w:rPr>
          <w:rFonts w:asciiTheme="minorHAnsi" w:hAnsiTheme="minorHAnsi" w:cstheme="minorHAnsi"/>
          <w:sz w:val="21"/>
          <w:szCs w:val="21"/>
        </w:rPr>
        <w:t>g</w:t>
      </w:r>
      <w:r w:rsidR="004403FF" w:rsidRPr="004403FF">
        <w:rPr>
          <w:rFonts w:asciiTheme="minorHAnsi" w:hAnsiTheme="minorHAnsi" w:cstheme="minorHAnsi"/>
          <w:sz w:val="21"/>
          <w:szCs w:val="21"/>
        </w:rPr>
        <w:t xml:space="preserve">ray </w:t>
      </w:r>
      <w:r w:rsidR="009D20AA">
        <w:rPr>
          <w:rFonts w:asciiTheme="minorHAnsi" w:hAnsiTheme="minorHAnsi" w:cstheme="minorHAnsi"/>
          <w:sz w:val="21"/>
          <w:szCs w:val="21"/>
        </w:rPr>
        <w:t>c</w:t>
      </w:r>
      <w:r w:rsidR="004403FF" w:rsidRPr="004403FF">
        <w:rPr>
          <w:rFonts w:asciiTheme="minorHAnsi" w:hAnsiTheme="minorHAnsi" w:cstheme="minorHAnsi"/>
          <w:sz w:val="21"/>
          <w:szCs w:val="21"/>
        </w:rPr>
        <w:t xml:space="preserve">ap, age 12+, no diluent). This approval may be found at </w:t>
      </w:r>
      <w:hyperlink r:id="rId19" w:history="1">
        <w:r w:rsidR="004403FF" w:rsidRPr="004403FF">
          <w:rPr>
            <w:rStyle w:val="Hyperlink"/>
            <w:rFonts w:asciiTheme="minorHAnsi" w:hAnsiTheme="minorHAnsi" w:cstheme="minorHAnsi"/>
            <w:sz w:val="21"/>
            <w:szCs w:val="21"/>
          </w:rPr>
          <w:t>Healthcare Providers for 5-11 years of age, orange cap (must dilute) (fda.gov)</w:t>
        </w:r>
      </w:hyperlink>
      <w:r w:rsidR="004403FF" w:rsidRPr="004403FF">
        <w:rPr>
          <w:rFonts w:asciiTheme="minorHAnsi" w:hAnsiTheme="minorHAnsi" w:cstheme="minorHAnsi"/>
          <w:sz w:val="21"/>
          <w:szCs w:val="21"/>
        </w:rPr>
        <w:t xml:space="preserve"> ; </w:t>
      </w:r>
      <w:hyperlink r:id="rId20" w:history="1">
        <w:r w:rsidR="004403FF" w:rsidRPr="004403FF">
          <w:rPr>
            <w:rStyle w:val="Hyperlink"/>
            <w:rFonts w:asciiTheme="minorHAnsi" w:hAnsiTheme="minorHAnsi" w:cstheme="minorHAnsi"/>
            <w:sz w:val="21"/>
            <w:szCs w:val="21"/>
          </w:rPr>
          <w:t>Healthcare Providers for 12 years of age and older, gray cap (no dilution) (fda.gov)</w:t>
        </w:r>
      </w:hyperlink>
      <w:r w:rsidR="004403FF" w:rsidRPr="004403FF">
        <w:rPr>
          <w:rFonts w:asciiTheme="minorHAnsi" w:hAnsiTheme="minorHAnsi" w:cstheme="minorHAnsi"/>
          <w:sz w:val="21"/>
          <w:szCs w:val="21"/>
        </w:rPr>
        <w:t xml:space="preserve"> and takes effect immediately. </w:t>
      </w:r>
      <w:r w:rsidR="004403FF" w:rsidRPr="004403FF">
        <w:rPr>
          <w:rFonts w:asciiTheme="minorHAnsi" w:hAnsiTheme="minorHAnsi" w:cstheme="minorHAnsi"/>
          <w:b/>
          <w:bCs/>
          <w:sz w:val="21"/>
          <w:szCs w:val="21"/>
        </w:rPr>
        <w:t>This extension applies to frozen (ULT) inventories only.</w:t>
      </w:r>
    </w:p>
    <w:p w14:paraId="4606CA82"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781C2ABF" w14:textId="7E9B3545" w:rsid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As you are aware, the date printed on the Pfizer Pediatric (orange cap) and </w:t>
      </w:r>
      <w:r w:rsidR="00E058C6" w:rsidRPr="004403FF">
        <w:rPr>
          <w:rFonts w:asciiTheme="minorHAnsi" w:hAnsiTheme="minorHAnsi" w:cstheme="minorHAnsi"/>
          <w:sz w:val="21"/>
          <w:szCs w:val="21"/>
        </w:rPr>
        <w:t>Adolescent</w:t>
      </w:r>
      <w:r w:rsidR="00E058C6">
        <w:rPr>
          <w:rFonts w:asciiTheme="minorHAnsi" w:hAnsiTheme="minorHAnsi" w:cstheme="minorHAnsi"/>
          <w:sz w:val="21"/>
          <w:szCs w:val="21"/>
        </w:rPr>
        <w:t>/</w:t>
      </w:r>
      <w:r w:rsidRPr="004403FF">
        <w:rPr>
          <w:rFonts w:asciiTheme="minorHAnsi" w:hAnsiTheme="minorHAnsi" w:cstheme="minorHAnsi"/>
          <w:sz w:val="21"/>
          <w:szCs w:val="21"/>
        </w:rPr>
        <w:t>Adult</w:t>
      </w:r>
      <w:r w:rsidR="00E058C6">
        <w:rPr>
          <w:rFonts w:asciiTheme="minorHAnsi" w:hAnsiTheme="minorHAnsi" w:cstheme="minorHAnsi"/>
          <w:sz w:val="21"/>
          <w:szCs w:val="21"/>
        </w:rPr>
        <w:t xml:space="preserve"> </w:t>
      </w:r>
      <w:r w:rsidRPr="004403FF">
        <w:rPr>
          <w:rFonts w:asciiTheme="minorHAnsi" w:hAnsiTheme="minorHAnsi" w:cstheme="minorHAnsi"/>
          <w:sz w:val="21"/>
          <w:szCs w:val="21"/>
        </w:rPr>
        <w:t>(gray cap, 12+, no diluent) vaccine vials indicate the manufacture date and NOT the expiration date.  Originally, the expiration date was 6 months from the manufacture date.  </w:t>
      </w:r>
      <w:r w:rsidRPr="004403FF">
        <w:rPr>
          <w:rFonts w:asciiTheme="minorHAnsi" w:hAnsiTheme="minorHAnsi" w:cstheme="minorHAnsi"/>
          <w:b/>
          <w:bCs/>
          <w:sz w:val="21"/>
          <w:szCs w:val="21"/>
        </w:rPr>
        <w:t>The expiration date for Pfizer orange and gray cap vaccine has now been extended to 9 months (while held at ULT frozen)</w:t>
      </w:r>
      <w:r w:rsidR="00F31CA7">
        <w:rPr>
          <w:rFonts w:asciiTheme="minorHAnsi" w:hAnsiTheme="minorHAnsi" w:cstheme="minorHAnsi"/>
          <w:b/>
          <w:bCs/>
          <w:sz w:val="21"/>
          <w:szCs w:val="21"/>
        </w:rPr>
        <w:t>.</w:t>
      </w:r>
      <w:r w:rsidRPr="004403FF">
        <w:rPr>
          <w:rFonts w:asciiTheme="minorHAnsi" w:hAnsiTheme="minorHAnsi" w:cstheme="minorHAnsi"/>
          <w:sz w:val="21"/>
          <w:szCs w:val="21"/>
        </w:rPr>
        <w:t xml:space="preserve">  The Fact Sheets for both orange and gray cap vials provided by the FDA now reads, “regardless of storage conditions, vaccines should not be used after 9 months from the date of manufacture printed on the vial and cartons”.  </w:t>
      </w:r>
      <w:bookmarkEnd w:id="1"/>
      <w:r w:rsidRPr="004403FF">
        <w:rPr>
          <w:rFonts w:asciiTheme="minorHAnsi" w:hAnsiTheme="minorHAnsi" w:cstheme="minorHAnsi"/>
          <w:sz w:val="21"/>
          <w:szCs w:val="21"/>
        </w:rPr>
        <w:t>The updated expiry dates for both the orange and gray cap vials based on 9 months from the date of manufacture are provided below.</w:t>
      </w:r>
    </w:p>
    <w:p w14:paraId="6BA0EC4D"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tbl>
      <w:tblPr>
        <w:tblW w:w="0" w:type="auto"/>
        <w:tblCellMar>
          <w:left w:w="0" w:type="dxa"/>
          <w:right w:w="0" w:type="dxa"/>
        </w:tblCellMar>
        <w:tblLook w:val="04A0" w:firstRow="1" w:lastRow="0" w:firstColumn="1" w:lastColumn="0" w:noHBand="0" w:noVBand="1"/>
      </w:tblPr>
      <w:tblGrid>
        <w:gridCol w:w="2875"/>
        <w:gridCol w:w="2430"/>
      </w:tblGrid>
      <w:tr w:rsidR="004403FF" w:rsidRPr="004403FF" w14:paraId="58351C32" w14:textId="77777777" w:rsidTr="004403FF">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63D3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Printed Manufacturing Date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60D9C"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9-Month Expiry Date*</w:t>
            </w:r>
          </w:p>
        </w:tc>
      </w:tr>
      <w:tr w:rsidR="004403FF" w:rsidRPr="004403FF" w14:paraId="21D8470B"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7943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06/2021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44CD01A"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Feb. 28, 2022</w:t>
            </w:r>
          </w:p>
        </w:tc>
      </w:tr>
      <w:tr w:rsidR="004403FF" w:rsidRPr="004403FF" w14:paraId="57B859B9"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A436C"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07/2021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D69323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Mar. 31, 2022</w:t>
            </w:r>
          </w:p>
        </w:tc>
      </w:tr>
      <w:tr w:rsidR="004403FF" w:rsidRPr="004403FF" w14:paraId="1C75CEA8"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6E92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08/2021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F3C041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Apr. 30, 2022 </w:t>
            </w:r>
          </w:p>
        </w:tc>
      </w:tr>
      <w:tr w:rsidR="004403FF" w:rsidRPr="004403FF" w14:paraId="205F83DD"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5D6E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09/2021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F913308"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May 31, 2022 </w:t>
            </w:r>
          </w:p>
        </w:tc>
      </w:tr>
      <w:tr w:rsidR="004403FF" w:rsidRPr="004403FF" w14:paraId="22B2EB59"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2737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10/2021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524E004"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Jun. 30, 2022 </w:t>
            </w:r>
          </w:p>
        </w:tc>
      </w:tr>
      <w:tr w:rsidR="004403FF" w:rsidRPr="004403FF" w14:paraId="063F8528"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B6C68"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11/2021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C7A98A9"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July. 31, 2022 </w:t>
            </w:r>
          </w:p>
        </w:tc>
      </w:tr>
      <w:tr w:rsidR="004403FF" w:rsidRPr="004403FF" w14:paraId="2838F60B"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40973"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12/2021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04B6A4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Aug. 31, 2022 </w:t>
            </w:r>
          </w:p>
        </w:tc>
      </w:tr>
      <w:tr w:rsidR="004403FF" w:rsidRPr="004403FF" w14:paraId="4B5EAFCF"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3CC14"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01/2022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FF8EB1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Sept. 30, 2022 </w:t>
            </w:r>
          </w:p>
        </w:tc>
      </w:tr>
      <w:tr w:rsidR="004403FF" w:rsidRPr="004403FF" w14:paraId="45E18B4C"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B80BA"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02/2022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4D621F5"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Oct. 31, 2022</w:t>
            </w:r>
          </w:p>
        </w:tc>
      </w:tr>
    </w:tbl>
    <w:p w14:paraId="78A9AD89"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*Date of expiration always falls on the last day of the month</w:t>
      </w:r>
    </w:p>
    <w:p w14:paraId="2073533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034B1A01" w14:textId="6AA332B3" w:rsidR="004403FF" w:rsidRDefault="004403FF" w:rsidP="004403FF">
      <w:pPr>
        <w:shd w:val="clear" w:color="auto" w:fill="FFFFFF"/>
        <w:rPr>
          <w:rFonts w:asciiTheme="minorHAnsi" w:hAnsiTheme="minorHAnsi" w:cstheme="minorHAnsi"/>
          <w:b/>
          <w:bCs/>
          <w:sz w:val="21"/>
          <w:szCs w:val="21"/>
        </w:rPr>
      </w:pPr>
      <w:r w:rsidRPr="004403FF">
        <w:rPr>
          <w:rFonts w:asciiTheme="minorHAnsi" w:hAnsiTheme="minorHAnsi" w:cstheme="minorHAnsi"/>
          <w:b/>
          <w:bCs/>
          <w:sz w:val="21"/>
          <w:szCs w:val="21"/>
        </w:rPr>
        <w:t>The QR code provided on the Pfizer Pediatric Vaccine carton provides a link to the EUA but does not provide information on expiration dates.   </w:t>
      </w:r>
    </w:p>
    <w:p w14:paraId="11DCF597" w14:textId="77777777" w:rsidR="00810036" w:rsidRPr="004403FF" w:rsidRDefault="00810036" w:rsidP="004403FF">
      <w:pPr>
        <w:shd w:val="clear" w:color="auto" w:fill="FFFFFF"/>
        <w:rPr>
          <w:rFonts w:asciiTheme="minorHAnsi" w:hAnsiTheme="minorHAnsi" w:cstheme="minorHAnsi"/>
          <w:sz w:val="21"/>
          <w:szCs w:val="21"/>
        </w:rPr>
      </w:pPr>
    </w:p>
    <w:p w14:paraId="7331495D"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7FD834C1" w14:textId="61B9C2C5" w:rsidR="00D3149E" w:rsidRPr="00D3149E" w:rsidRDefault="00D3149E" w:rsidP="004403FF">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lastRenderedPageBreak/>
        <w:t xml:space="preserve">Reminder </w:t>
      </w:r>
      <w:r>
        <w:rPr>
          <w:rFonts w:asciiTheme="minorHAnsi" w:hAnsiTheme="minorHAnsi" w:cstheme="minorHAnsi"/>
          <w:b/>
          <w:bCs/>
          <w:sz w:val="21"/>
          <w:szCs w:val="21"/>
        </w:rPr>
        <w:t>Storage</w:t>
      </w:r>
      <w:r w:rsidRPr="0050237C">
        <w:rPr>
          <w:rFonts w:asciiTheme="minorHAnsi" w:hAnsiTheme="minorHAnsi" w:cstheme="minorHAnsi"/>
          <w:b/>
          <w:bCs/>
          <w:sz w:val="21"/>
          <w:szCs w:val="21"/>
        </w:rPr>
        <w:t xml:space="preserve"> </w:t>
      </w:r>
      <w:r>
        <w:rPr>
          <w:rFonts w:asciiTheme="minorHAnsi" w:hAnsiTheme="minorHAnsi" w:cstheme="minorHAnsi"/>
          <w:b/>
          <w:bCs/>
          <w:sz w:val="21"/>
          <w:szCs w:val="21"/>
        </w:rPr>
        <w:t>of</w:t>
      </w:r>
      <w:r w:rsidRPr="0050237C">
        <w:rPr>
          <w:rFonts w:asciiTheme="minorHAnsi" w:hAnsiTheme="minorHAnsi" w:cstheme="minorHAnsi"/>
          <w:b/>
          <w:bCs/>
          <w:sz w:val="21"/>
          <w:szCs w:val="21"/>
        </w:rPr>
        <w:t xml:space="preserve"> </w:t>
      </w:r>
      <w:r w:rsidRPr="00302C1F">
        <w:rPr>
          <w:rFonts w:asciiTheme="minorHAnsi" w:hAnsiTheme="minorHAnsi" w:cstheme="minorHAnsi"/>
          <w:b/>
          <w:bCs/>
          <w:sz w:val="21"/>
          <w:szCs w:val="21"/>
        </w:rPr>
        <w:t xml:space="preserve">Pfizer </w:t>
      </w:r>
      <w:r>
        <w:rPr>
          <w:rFonts w:asciiTheme="minorHAnsi" w:hAnsiTheme="minorHAnsi" w:cstheme="minorHAnsi"/>
          <w:b/>
          <w:bCs/>
          <w:sz w:val="21"/>
          <w:szCs w:val="21"/>
        </w:rPr>
        <w:t xml:space="preserve">Orange Cap/Dilute/5-11yo and Gray Cap/Do Not Dilute/12+yo </w:t>
      </w:r>
    </w:p>
    <w:p w14:paraId="44D86D0C" w14:textId="78F23B41"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Please follow EUA recommendations for storage:</w:t>
      </w:r>
    </w:p>
    <w:p w14:paraId="3DDC444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4634D068" w14:textId="71443716"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 5 through 11 years of age formulation </w:t>
      </w:r>
      <w:r w:rsidR="008439B3">
        <w:rPr>
          <w:rFonts w:asciiTheme="minorHAnsi" w:hAnsiTheme="minorHAnsi" w:cstheme="minorHAnsi"/>
          <w:sz w:val="21"/>
          <w:szCs w:val="21"/>
        </w:rPr>
        <w:t>(Orange Cap)</w:t>
      </w:r>
    </w:p>
    <w:p w14:paraId="732BF37B" w14:textId="77777777" w:rsidR="004403FF" w:rsidRPr="004403FF" w:rsidRDefault="004403FF" w:rsidP="00F24FD4">
      <w:pPr>
        <w:numPr>
          <w:ilvl w:val="0"/>
          <w:numId w:val="16"/>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If not previously thawed at 2ºC to 8ºC (35ºF to 46ºF), allow vials to thaw at room temperature [up to 25ºC (77ºF)] for 30 minutes. </w:t>
      </w:r>
    </w:p>
    <w:p w14:paraId="78289D62" w14:textId="77777777" w:rsidR="004403FF" w:rsidRPr="004403FF" w:rsidRDefault="004403FF" w:rsidP="00F24FD4">
      <w:pPr>
        <w:numPr>
          <w:ilvl w:val="0"/>
          <w:numId w:val="16"/>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Pfizer-BioNTech COVID-19 Vaccine multiple dose vials with orange caps and labels with orange borders may be stored at room temperature [8°C to 25°C (46°F to 77°F)] for a total of 12 hours prior to dilution. </w:t>
      </w:r>
    </w:p>
    <w:p w14:paraId="492AA16D" w14:textId="77777777" w:rsidR="004403FF" w:rsidRPr="008439B3" w:rsidRDefault="004403FF" w:rsidP="00F24FD4">
      <w:pPr>
        <w:numPr>
          <w:ilvl w:val="0"/>
          <w:numId w:val="16"/>
        </w:numPr>
        <w:shd w:val="clear" w:color="auto" w:fill="FFFFFF"/>
        <w:rPr>
          <w:rFonts w:asciiTheme="minorHAnsi" w:hAnsiTheme="minorHAnsi" w:cstheme="minorHAnsi"/>
          <w:b/>
          <w:bCs/>
          <w:sz w:val="21"/>
          <w:szCs w:val="21"/>
        </w:rPr>
      </w:pPr>
      <w:r w:rsidRPr="004403FF">
        <w:rPr>
          <w:rFonts w:asciiTheme="minorHAnsi" w:hAnsiTheme="minorHAnsi" w:cstheme="minorHAnsi"/>
          <w:sz w:val="21"/>
          <w:szCs w:val="21"/>
        </w:rPr>
        <w:t xml:space="preserve">After dilution, the vial should be held between 2ºC to 25°C (35°F to 77°F). </w:t>
      </w:r>
      <w:r w:rsidRPr="008439B3">
        <w:rPr>
          <w:rFonts w:asciiTheme="minorHAnsi" w:hAnsiTheme="minorHAnsi" w:cstheme="minorHAnsi"/>
          <w:b/>
          <w:bCs/>
          <w:sz w:val="21"/>
          <w:szCs w:val="21"/>
        </w:rPr>
        <w:t>Vials should be discarded 12 hours after dilution.</w:t>
      </w:r>
    </w:p>
    <w:p w14:paraId="037FB0F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54B38E99" w14:textId="32EFDA00"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 </w:t>
      </w:r>
      <w:r w:rsidR="008439B3">
        <w:rPr>
          <w:rFonts w:asciiTheme="minorHAnsi" w:hAnsiTheme="minorHAnsi" w:cstheme="minorHAnsi"/>
          <w:sz w:val="21"/>
          <w:szCs w:val="21"/>
        </w:rPr>
        <w:t>G</w:t>
      </w:r>
      <w:r w:rsidR="008439B3" w:rsidRPr="008439B3">
        <w:rPr>
          <w:rFonts w:asciiTheme="minorHAnsi" w:hAnsiTheme="minorHAnsi" w:cstheme="minorHAnsi"/>
          <w:sz w:val="21"/>
          <w:szCs w:val="21"/>
        </w:rPr>
        <w:t xml:space="preserve">ray </w:t>
      </w:r>
      <w:r w:rsidR="008439B3">
        <w:rPr>
          <w:rFonts w:asciiTheme="minorHAnsi" w:hAnsiTheme="minorHAnsi" w:cstheme="minorHAnsi"/>
          <w:sz w:val="21"/>
          <w:szCs w:val="21"/>
        </w:rPr>
        <w:t>C</w:t>
      </w:r>
      <w:r w:rsidR="008439B3" w:rsidRPr="008439B3">
        <w:rPr>
          <w:rFonts w:asciiTheme="minorHAnsi" w:hAnsiTheme="minorHAnsi" w:cstheme="minorHAnsi"/>
          <w:sz w:val="21"/>
          <w:szCs w:val="21"/>
        </w:rPr>
        <w:t>ap/Do Not Dilute/</w:t>
      </w:r>
      <w:r w:rsidRPr="004403FF">
        <w:rPr>
          <w:rFonts w:asciiTheme="minorHAnsi" w:hAnsiTheme="minorHAnsi" w:cstheme="minorHAnsi"/>
          <w:sz w:val="21"/>
          <w:szCs w:val="21"/>
        </w:rPr>
        <w:t xml:space="preserve">12 years and older formulation. </w:t>
      </w:r>
    </w:p>
    <w:p w14:paraId="07727241" w14:textId="6C722000" w:rsidR="004403FF" w:rsidRPr="004403FF" w:rsidRDefault="004403FF" w:rsidP="00F24FD4">
      <w:pPr>
        <w:numPr>
          <w:ilvl w:val="0"/>
          <w:numId w:val="17"/>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Frozen vials may be stored in an ultra-low temperature freezer at -90ºC to -60ºC (-130ºF to -76ºF). Do </w:t>
      </w:r>
      <w:r w:rsidRPr="004403FF">
        <w:rPr>
          <w:rFonts w:asciiTheme="minorHAnsi" w:hAnsiTheme="minorHAnsi" w:cstheme="minorHAnsi"/>
          <w:b/>
          <w:bCs/>
          <w:sz w:val="21"/>
          <w:szCs w:val="21"/>
        </w:rPr>
        <w:t xml:space="preserve">not </w:t>
      </w:r>
      <w:r w:rsidRPr="004403FF">
        <w:rPr>
          <w:rFonts w:asciiTheme="minorHAnsi" w:hAnsiTheme="minorHAnsi" w:cstheme="minorHAnsi"/>
          <w:sz w:val="21"/>
          <w:szCs w:val="21"/>
        </w:rPr>
        <w:t xml:space="preserve">store vials at -25°C to -15°C (-13°F to 5°F). Once vials are </w:t>
      </w:r>
      <w:r w:rsidR="000879C0" w:rsidRPr="004403FF">
        <w:rPr>
          <w:rFonts w:asciiTheme="minorHAnsi" w:hAnsiTheme="minorHAnsi" w:cstheme="minorHAnsi"/>
          <w:sz w:val="21"/>
          <w:szCs w:val="21"/>
        </w:rPr>
        <w:t>thawed,</w:t>
      </w:r>
      <w:r w:rsidRPr="004403FF">
        <w:rPr>
          <w:rFonts w:asciiTheme="minorHAnsi" w:hAnsiTheme="minorHAnsi" w:cstheme="minorHAnsi"/>
          <w:sz w:val="21"/>
          <w:szCs w:val="21"/>
        </w:rPr>
        <w:t xml:space="preserve"> they should not be refrozen. </w:t>
      </w:r>
    </w:p>
    <w:p w14:paraId="4C95E5F4" w14:textId="77777777" w:rsidR="004403FF" w:rsidRPr="004403FF" w:rsidRDefault="004403FF" w:rsidP="00F24FD4">
      <w:pPr>
        <w:numPr>
          <w:ilvl w:val="0"/>
          <w:numId w:val="17"/>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Vials may be transferred to the refrigerator [2ºC to 8ºC (35ºF to 46ºF)], thawed and stored for up to 10 weeks. The 10-week refrigerated expiry date should be recorded on the carton at the time of transfer. A carton of 10 vials may take up to 6 hours to thaw at this temperature. </w:t>
      </w:r>
    </w:p>
    <w:p w14:paraId="79488713" w14:textId="6E78B6E2"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r w:rsidRPr="004403FF">
        <w:rPr>
          <w:rFonts w:asciiTheme="minorHAnsi" w:hAnsiTheme="minorHAnsi" w:cstheme="minorHAnsi"/>
          <w:b/>
          <w:bCs/>
          <w:sz w:val="21"/>
          <w:szCs w:val="21"/>
        </w:rPr>
        <w:t> </w:t>
      </w:r>
    </w:p>
    <w:p w14:paraId="11EA9C87" w14:textId="2D19EEB4" w:rsidR="00901925" w:rsidRPr="009160D4" w:rsidRDefault="004403FF" w:rsidP="009160D4">
      <w:pPr>
        <w:shd w:val="clear" w:color="auto" w:fill="FFFFFF"/>
        <w:rPr>
          <w:rFonts w:asciiTheme="minorHAnsi" w:hAnsiTheme="minorHAnsi" w:cstheme="minorHAnsi"/>
          <w:b/>
          <w:bCs/>
          <w:sz w:val="21"/>
          <w:szCs w:val="21"/>
        </w:rPr>
      </w:pPr>
      <w:r w:rsidRPr="004403FF">
        <w:rPr>
          <w:rFonts w:asciiTheme="minorHAnsi" w:hAnsiTheme="minorHAnsi" w:cstheme="minorHAnsi"/>
          <w:b/>
          <w:bCs/>
          <w:sz w:val="21"/>
          <w:szCs w:val="21"/>
        </w:rPr>
        <w:t>Regardless of storage condition, vaccines should not be used after 9 months from the date of manufacture printed on the vial and cartons.</w:t>
      </w:r>
    </w:p>
    <w:p w14:paraId="40B58C2E" w14:textId="77777777" w:rsidR="00901925" w:rsidRDefault="00901925" w:rsidP="00901925">
      <w:pPr>
        <w:pStyle w:val="xparagraph"/>
        <w:shd w:val="clear" w:color="auto" w:fill="FFFFFF"/>
        <w:rPr>
          <w:sz w:val="21"/>
          <w:szCs w:val="21"/>
        </w:rPr>
      </w:pPr>
    </w:p>
    <w:p w14:paraId="2FE08ED6" w14:textId="5D71E00C" w:rsidR="00901925" w:rsidRDefault="00901925" w:rsidP="00B60131">
      <w:pPr>
        <w:pStyle w:val="xparagraph"/>
        <w:shd w:val="clear" w:color="auto" w:fill="FFFFFF"/>
        <w:rPr>
          <w:rStyle w:val="Hyperlink"/>
          <w:i/>
          <w:iCs/>
          <w:noProof/>
          <w:color w:val="FF0000"/>
          <w:sz w:val="21"/>
          <w:szCs w:val="21"/>
        </w:rPr>
      </w:pPr>
      <w:r w:rsidRPr="006C0239">
        <w:rPr>
          <w:sz w:val="21"/>
          <w:szCs w:val="21"/>
        </w:rPr>
        <w:t xml:space="preserve">There is a nice comparison guide from the Pfizer website  </w:t>
      </w:r>
      <w:hyperlink r:id="rId21" w:history="1">
        <w:r w:rsidRPr="006C0239">
          <w:rPr>
            <w:rStyle w:val="Hyperlink"/>
            <w:noProof/>
            <w:sz w:val="21"/>
            <w:szCs w:val="21"/>
          </w:rPr>
          <w:t xml:space="preserve">Pfizer Formulation/Presentation Guide – </w:t>
        </w:r>
        <w:r>
          <w:rPr>
            <w:rStyle w:val="Hyperlink"/>
            <w:noProof/>
            <w:sz w:val="21"/>
            <w:szCs w:val="21"/>
          </w:rPr>
          <w:t>Dec</w:t>
        </w:r>
        <w:r w:rsidRPr="006C0239">
          <w:rPr>
            <w:rStyle w:val="Hyperlink"/>
            <w:noProof/>
            <w:sz w:val="21"/>
            <w:szCs w:val="21"/>
          </w:rPr>
          <w:t xml:space="preserve"> 2021</w:t>
        </w:r>
      </w:hyperlink>
      <w:r w:rsidRPr="006C0239">
        <w:rPr>
          <w:rStyle w:val="Hyperlink"/>
          <w:noProof/>
          <w:sz w:val="21"/>
          <w:szCs w:val="21"/>
        </w:rPr>
        <w:t xml:space="preserve"> </w:t>
      </w:r>
      <w:r w:rsidRPr="00901925">
        <w:rPr>
          <w:rStyle w:val="Hyperlink"/>
          <w:i/>
          <w:iCs/>
          <w:noProof/>
          <w:color w:val="FF0000"/>
          <w:sz w:val="21"/>
          <w:szCs w:val="21"/>
        </w:rPr>
        <w:t>(please note, as of 1/5/2022 the extended expiration dates at ultra low freezer temps are not yet reflected in this document)</w:t>
      </w:r>
    </w:p>
    <w:p w14:paraId="74AD0A8B" w14:textId="77777777" w:rsidR="008A7F05" w:rsidRPr="00B60131" w:rsidRDefault="008A7F05" w:rsidP="00B60131">
      <w:pPr>
        <w:pStyle w:val="xparagraph"/>
        <w:shd w:val="clear" w:color="auto" w:fill="FFFFFF"/>
        <w:rPr>
          <w:noProof/>
          <w:sz w:val="21"/>
          <w:szCs w:val="21"/>
        </w:rPr>
      </w:pPr>
    </w:p>
    <w:p w14:paraId="728A7AB2" w14:textId="79FBE868" w:rsidR="00901925" w:rsidRPr="00650157" w:rsidRDefault="001D4572" w:rsidP="008A7F05">
      <w:pPr>
        <w:shd w:val="clear" w:color="auto" w:fill="FFFFFF"/>
        <w:rPr>
          <w:rFonts w:ascii="Calibri" w:hAnsi="Calibri"/>
          <w:color w:val="000000"/>
          <w:sz w:val="21"/>
          <w:szCs w:val="21"/>
        </w:rPr>
      </w:pPr>
      <w:r>
        <w:rPr>
          <w:noProof/>
        </w:rPr>
        <w:drawing>
          <wp:inline distT="0" distB="0" distL="0" distR="0" wp14:anchorId="5250234A" wp14:editId="556F2C6C">
            <wp:extent cx="4128073" cy="4862286"/>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72365" cy="4914456"/>
                    </a:xfrm>
                    <a:prstGeom prst="rect">
                      <a:avLst/>
                    </a:prstGeom>
                  </pic:spPr>
                </pic:pic>
              </a:graphicData>
            </a:graphic>
          </wp:inline>
        </w:drawing>
      </w:r>
    </w:p>
    <w:p w14:paraId="11633C2B" w14:textId="77777777" w:rsidR="00B60131" w:rsidRDefault="00B60131" w:rsidP="00B248E0">
      <w:pPr>
        <w:shd w:val="clear" w:color="auto" w:fill="FFFFFF"/>
        <w:rPr>
          <w:rFonts w:asciiTheme="minorHAnsi" w:hAnsiTheme="minorHAnsi" w:cstheme="minorHAnsi"/>
          <w:b/>
          <w:bCs/>
          <w:color w:val="FF0000"/>
          <w:sz w:val="21"/>
          <w:szCs w:val="21"/>
        </w:rPr>
      </w:pPr>
    </w:p>
    <w:p w14:paraId="6E0EBCE5" w14:textId="04281967" w:rsidR="00B248E0" w:rsidRPr="00B248E0" w:rsidRDefault="00D3149E" w:rsidP="00B248E0">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lastRenderedPageBreak/>
        <w:t>Reminder</w:t>
      </w:r>
      <w:r w:rsidR="00B248E0">
        <w:rPr>
          <w:rFonts w:asciiTheme="minorHAnsi" w:hAnsiTheme="minorHAnsi" w:cstheme="minorHAnsi"/>
          <w:sz w:val="21"/>
          <w:szCs w:val="21"/>
        </w:rPr>
        <w:t xml:space="preserve"> </w:t>
      </w:r>
      <w:r w:rsidR="00B248E0" w:rsidRPr="00B248E0">
        <w:rPr>
          <w:rFonts w:asciiTheme="minorHAnsi" w:hAnsiTheme="minorHAnsi" w:cstheme="minorHAnsi"/>
          <w:b/>
          <w:bCs/>
          <w:sz w:val="21"/>
          <w:szCs w:val="21"/>
        </w:rPr>
        <w:t>Monoclonal Antibody Treatment for COVID-19</w:t>
      </w:r>
    </w:p>
    <w:p w14:paraId="28D957E3" w14:textId="75060029" w:rsidR="00B248E0" w:rsidRDefault="00B248E0" w:rsidP="00B248E0">
      <w:pPr>
        <w:shd w:val="clear" w:color="auto" w:fill="FFFFFF"/>
        <w:rPr>
          <w:rStyle w:val="Hyperlink"/>
          <w:rFonts w:asciiTheme="minorHAnsi" w:hAnsiTheme="minorHAnsi" w:cstheme="minorHAnsi"/>
          <w:sz w:val="21"/>
          <w:szCs w:val="21"/>
        </w:rPr>
      </w:pPr>
      <w:r w:rsidRPr="00B248E0">
        <w:rPr>
          <w:rFonts w:asciiTheme="minorHAnsi" w:hAnsiTheme="minorHAnsi" w:cstheme="minorHAnsi"/>
          <w:sz w:val="21"/>
          <w:szCs w:val="21"/>
        </w:rPr>
        <w:t xml:space="preserve">Massachusetts has several public sites administering monoclonal antibody treatment, therapies that have shown to be effective in reducing severity of disease and keeping COVID-19-positive individuals from being hospitalized. Referral from a health care provider is required for treatment, which is provided at no cost to the patient and offered regardless of immigration status or health insurance. Patients should discuss with their health care providers whether monoclonal antibody treatment is right for them. </w:t>
      </w:r>
      <w:r>
        <w:rPr>
          <w:rFonts w:asciiTheme="minorHAnsi" w:hAnsiTheme="minorHAnsi" w:cstheme="minorHAnsi"/>
          <w:sz w:val="21"/>
          <w:szCs w:val="21"/>
        </w:rPr>
        <w:t>For m</w:t>
      </w:r>
      <w:r w:rsidRPr="00B248E0">
        <w:rPr>
          <w:rFonts w:asciiTheme="minorHAnsi" w:hAnsiTheme="minorHAnsi" w:cstheme="minorHAnsi"/>
          <w:sz w:val="21"/>
          <w:szCs w:val="21"/>
        </w:rPr>
        <w:t>ore in</w:t>
      </w:r>
      <w:r>
        <w:rPr>
          <w:rFonts w:asciiTheme="minorHAnsi" w:hAnsiTheme="minorHAnsi" w:cstheme="minorHAnsi"/>
          <w:sz w:val="21"/>
          <w:szCs w:val="21"/>
        </w:rPr>
        <w:t>fo see</w:t>
      </w:r>
      <w:r w:rsidRPr="00B248E0">
        <w:rPr>
          <w:rFonts w:asciiTheme="minorHAnsi" w:hAnsiTheme="minorHAnsi" w:cstheme="minorHAnsi"/>
          <w:sz w:val="21"/>
          <w:szCs w:val="21"/>
        </w:rPr>
        <w:t xml:space="preserve"> the press release here:</w:t>
      </w:r>
      <w:r>
        <w:rPr>
          <w:rFonts w:asciiTheme="minorHAnsi" w:hAnsiTheme="minorHAnsi" w:cstheme="minorHAnsi"/>
          <w:sz w:val="21"/>
          <w:szCs w:val="21"/>
        </w:rPr>
        <w:t xml:space="preserve"> </w:t>
      </w:r>
      <w:hyperlink r:id="rId23" w:history="1">
        <w:r w:rsidRPr="00B248E0">
          <w:rPr>
            <w:rStyle w:val="Hyperlink"/>
            <w:rFonts w:asciiTheme="minorHAnsi" w:hAnsiTheme="minorHAnsi" w:cstheme="minorHAnsi"/>
            <w:sz w:val="21"/>
            <w:szCs w:val="21"/>
          </w:rPr>
          <w:t>https://www.mass.gov/news/baker-polito-administration-announces-state-supported-monoclonal-antibody-treatment-sites-in-massachusetts</w:t>
        </w:r>
      </w:hyperlink>
    </w:p>
    <w:p w14:paraId="024118D0" w14:textId="1661970B" w:rsidR="00AB3B77" w:rsidRDefault="00AB3B77" w:rsidP="00B248E0">
      <w:pPr>
        <w:shd w:val="clear" w:color="auto" w:fill="FFFFFF"/>
        <w:rPr>
          <w:rStyle w:val="Hyperlink"/>
          <w:rFonts w:asciiTheme="minorHAnsi" w:hAnsiTheme="minorHAnsi" w:cstheme="minorHAnsi"/>
          <w:sz w:val="21"/>
          <w:szCs w:val="21"/>
        </w:rPr>
      </w:pPr>
    </w:p>
    <w:p w14:paraId="38EC2C4F" w14:textId="5CD82DFA" w:rsidR="00AB3B77" w:rsidRPr="00AB3B77" w:rsidRDefault="00AB3B77" w:rsidP="00B248E0">
      <w:pPr>
        <w:shd w:val="clear" w:color="auto" w:fill="FFFFFF"/>
        <w:rPr>
          <w:rFonts w:asciiTheme="minorHAnsi" w:hAnsiTheme="minorHAnsi" w:cstheme="minorHAnsi"/>
          <w:sz w:val="21"/>
          <w:szCs w:val="21"/>
        </w:rPr>
      </w:pPr>
      <w:r w:rsidRPr="00AB3B77">
        <w:rPr>
          <w:rFonts w:asciiTheme="minorHAnsi" w:hAnsiTheme="minorHAnsi" w:cstheme="minorHAnsi"/>
          <w:sz w:val="21"/>
          <w:szCs w:val="21"/>
        </w:rPr>
        <w:t xml:space="preserve">Provider information, including an </w:t>
      </w:r>
      <w:hyperlink r:id="rId24" w:anchor="overview-" w:history="1">
        <w:r w:rsidRPr="004213B8">
          <w:rPr>
            <w:rStyle w:val="Hyperlink"/>
            <w:rFonts w:asciiTheme="minorHAnsi" w:hAnsiTheme="minorHAnsi" w:cstheme="minorHAnsi"/>
            <w:sz w:val="21"/>
            <w:szCs w:val="21"/>
          </w:rPr>
          <w:t>overview</w:t>
        </w:r>
      </w:hyperlink>
      <w:r w:rsidRPr="00AB3B77">
        <w:rPr>
          <w:rFonts w:asciiTheme="minorHAnsi" w:hAnsiTheme="minorHAnsi" w:cstheme="minorHAnsi"/>
          <w:sz w:val="21"/>
          <w:szCs w:val="21"/>
        </w:rPr>
        <w:t xml:space="preserve">, </w:t>
      </w:r>
      <w:hyperlink r:id="rId25" w:anchor="guidance" w:history="1">
        <w:r w:rsidRPr="004213B8">
          <w:rPr>
            <w:rStyle w:val="Hyperlink"/>
            <w:rFonts w:asciiTheme="minorHAnsi" w:hAnsiTheme="minorHAnsi" w:cstheme="minorHAnsi"/>
            <w:sz w:val="21"/>
            <w:szCs w:val="21"/>
          </w:rPr>
          <w:t>guidance</w:t>
        </w:r>
      </w:hyperlink>
      <w:r>
        <w:rPr>
          <w:rFonts w:asciiTheme="minorHAnsi" w:hAnsiTheme="minorHAnsi" w:cstheme="minorHAnsi"/>
          <w:sz w:val="21"/>
          <w:szCs w:val="21"/>
        </w:rPr>
        <w:t xml:space="preserve">, and a </w:t>
      </w:r>
      <w:hyperlink r:id="rId26" w:anchor="monoclonal-antibody-therapy-locator-" w:history="1">
        <w:r w:rsidRPr="004213B8">
          <w:rPr>
            <w:rStyle w:val="Hyperlink"/>
            <w:rFonts w:asciiTheme="minorHAnsi" w:hAnsiTheme="minorHAnsi" w:cstheme="minorHAnsi"/>
            <w:sz w:val="21"/>
            <w:szCs w:val="21"/>
          </w:rPr>
          <w:t>Monoclonal Antibody Therapy Locator</w:t>
        </w:r>
      </w:hyperlink>
      <w:r w:rsidR="004213B8">
        <w:rPr>
          <w:rFonts w:asciiTheme="minorHAnsi" w:hAnsiTheme="minorHAnsi" w:cstheme="minorHAnsi"/>
          <w:sz w:val="21"/>
          <w:szCs w:val="21"/>
        </w:rPr>
        <w:t xml:space="preserve"> can be found </w:t>
      </w:r>
      <w:hyperlink r:id="rId27" w:anchor="monoclonal-antibody-therapy-locator-" w:history="1">
        <w:r w:rsidR="004213B8" w:rsidRPr="004213B8">
          <w:rPr>
            <w:rStyle w:val="Hyperlink"/>
            <w:rFonts w:asciiTheme="minorHAnsi" w:hAnsiTheme="minorHAnsi" w:cstheme="minorHAnsi"/>
            <w:sz w:val="21"/>
            <w:szCs w:val="21"/>
          </w:rPr>
          <w:t>here</w:t>
        </w:r>
      </w:hyperlink>
      <w:r w:rsidR="004213B8">
        <w:rPr>
          <w:rFonts w:asciiTheme="minorHAnsi" w:hAnsiTheme="minorHAnsi" w:cstheme="minorHAnsi"/>
          <w:sz w:val="21"/>
          <w:szCs w:val="21"/>
        </w:rPr>
        <w:t>.</w:t>
      </w:r>
    </w:p>
    <w:bookmarkEnd w:id="0"/>
    <w:p w14:paraId="3592C830" w14:textId="77777777" w:rsidR="008A7F05" w:rsidRDefault="008A7F05" w:rsidP="008A7F05">
      <w:pPr>
        <w:shd w:val="clear" w:color="auto" w:fill="FFFFFF"/>
        <w:rPr>
          <w:rFonts w:asciiTheme="minorHAnsi" w:hAnsiTheme="minorHAnsi" w:cstheme="minorHAnsi"/>
          <w:b/>
          <w:bCs/>
          <w:color w:val="FF0000"/>
          <w:sz w:val="21"/>
          <w:szCs w:val="21"/>
        </w:rPr>
      </w:pPr>
    </w:p>
    <w:p w14:paraId="10594C4C" w14:textId="1261309E" w:rsidR="008A7F05" w:rsidRPr="008A7F05" w:rsidRDefault="008A7F05" w:rsidP="008A7F05">
      <w:pPr>
        <w:shd w:val="clear" w:color="auto" w:fill="FFFFFF"/>
        <w:rPr>
          <w:rFonts w:asciiTheme="minorHAnsi" w:hAnsiTheme="minorHAnsi" w:cstheme="minorHAnsi"/>
          <w:strike/>
          <w:color w:val="000000"/>
          <w:sz w:val="21"/>
          <w:szCs w:val="21"/>
        </w:rPr>
      </w:pPr>
      <w:r w:rsidRPr="008A7F05">
        <w:rPr>
          <w:rFonts w:asciiTheme="minorHAnsi" w:hAnsiTheme="minorHAnsi" w:cstheme="minorHAnsi"/>
          <w:b/>
          <w:bCs/>
          <w:color w:val="FF0000"/>
          <w:sz w:val="21"/>
          <w:szCs w:val="21"/>
        </w:rPr>
        <w:t>New</w:t>
      </w:r>
      <w:r w:rsidRPr="008A7F05">
        <w:rPr>
          <w:rFonts w:asciiTheme="minorHAnsi" w:hAnsiTheme="minorHAnsi" w:cstheme="minorHAnsi"/>
          <w:b/>
          <w:bCs/>
          <w:color w:val="000000"/>
          <w:sz w:val="21"/>
          <w:szCs w:val="21"/>
        </w:rPr>
        <w:t xml:space="preserve"> Public Portal Launch – Please Ensure Patient Information in the MIIS is Up to Date.  </w:t>
      </w:r>
    </w:p>
    <w:p w14:paraId="4CD0C1C5" w14:textId="77777777" w:rsidR="008A7F05" w:rsidRPr="008A7F05" w:rsidRDefault="008A7F05" w:rsidP="008A7F05">
      <w:pPr>
        <w:spacing w:after="160" w:line="252" w:lineRule="auto"/>
        <w:rPr>
          <w:rFonts w:asciiTheme="minorHAnsi" w:hAnsiTheme="minorHAnsi" w:cstheme="minorHAnsi"/>
          <w:sz w:val="21"/>
          <w:szCs w:val="21"/>
        </w:rPr>
      </w:pPr>
      <w:r w:rsidRPr="008A7F05">
        <w:rPr>
          <w:rFonts w:asciiTheme="minorHAnsi" w:hAnsiTheme="minorHAnsi" w:cstheme="minorHAnsi"/>
          <w:sz w:val="21"/>
          <w:szCs w:val="21"/>
        </w:rPr>
        <w:t xml:space="preserve">On January 10, 2022 </w:t>
      </w:r>
      <w:hyperlink r:id="rId28" w:history="1">
        <w:r w:rsidRPr="008A7F05">
          <w:rPr>
            <w:rStyle w:val="Hyperlink"/>
            <w:rFonts w:asciiTheme="minorHAnsi" w:hAnsiTheme="minorHAnsi" w:cstheme="minorHAnsi"/>
            <w:sz w:val="21"/>
            <w:szCs w:val="21"/>
          </w:rPr>
          <w:t>the Baker-Polito administration announced</w:t>
        </w:r>
      </w:hyperlink>
      <w:r w:rsidRPr="008A7F05">
        <w:rPr>
          <w:rFonts w:asciiTheme="minorHAnsi" w:hAnsiTheme="minorHAnsi" w:cstheme="minorHAnsi"/>
          <w:sz w:val="21"/>
          <w:szCs w:val="21"/>
        </w:rPr>
        <w:t xml:space="preserve"> a new option for residents to access their COVID-19 vaccination record from the state’s immunization registry and obtain a ‘SMART Health Card’ QR code to indicate proof of vaccination.  Massachusetts residents can visit </w:t>
      </w:r>
      <w:hyperlink r:id="rId29" w:history="1">
        <w:r w:rsidRPr="008A7F05">
          <w:rPr>
            <w:rStyle w:val="Hyperlink"/>
            <w:rFonts w:asciiTheme="minorHAnsi" w:hAnsiTheme="minorHAnsi" w:cstheme="minorHAnsi"/>
            <w:sz w:val="21"/>
            <w:szCs w:val="21"/>
          </w:rPr>
          <w:t>www.myvaxrecords.mass.gov</w:t>
        </w:r>
      </w:hyperlink>
      <w:r w:rsidRPr="008A7F05">
        <w:rPr>
          <w:rFonts w:asciiTheme="minorHAnsi" w:hAnsiTheme="minorHAnsi" w:cstheme="minorHAnsi"/>
          <w:sz w:val="21"/>
          <w:szCs w:val="21"/>
        </w:rPr>
        <w:t>, a web portal that follows national standards for security and privacy and provides residents a way to electronically view and save their COVID-19 vaccine record.  By providing a cell phone number or email address, users can obtain a digital record of their vaccinations recorded in the Massachusetts Immunization Information System. Their COVID-19 vaccination record includes a unique QR code that can be saved to the user’s phone files, camera roll or the Apple Wallet. It can also be printed out for a paper record.</w:t>
      </w:r>
    </w:p>
    <w:p w14:paraId="7FA68B50" w14:textId="77777777" w:rsidR="008A7F05" w:rsidRPr="008A7F05" w:rsidRDefault="008A7F05" w:rsidP="008A7F05">
      <w:pPr>
        <w:shd w:val="clear" w:color="auto" w:fill="FFFFFF"/>
        <w:rPr>
          <w:rFonts w:asciiTheme="minorHAnsi" w:hAnsiTheme="minorHAnsi" w:cstheme="minorHAnsi"/>
          <w:color w:val="000000"/>
          <w:sz w:val="21"/>
          <w:szCs w:val="21"/>
        </w:rPr>
      </w:pPr>
      <w:r w:rsidRPr="008A7F05">
        <w:rPr>
          <w:rFonts w:asciiTheme="minorHAnsi" w:hAnsiTheme="minorHAnsi" w:cstheme="minorHAnsi"/>
          <w:color w:val="000000"/>
          <w:sz w:val="21"/>
          <w:szCs w:val="21"/>
        </w:rPr>
        <w:t xml:space="preserve">Patients now have increased accessibility to obtain their immunizations through </w:t>
      </w:r>
      <w:hyperlink r:id="rId30" w:history="1">
        <w:r w:rsidRPr="008A7F05">
          <w:rPr>
            <w:rStyle w:val="Hyperlink"/>
            <w:rFonts w:asciiTheme="minorHAnsi" w:hAnsiTheme="minorHAnsi" w:cstheme="minorHAnsi"/>
            <w:sz w:val="21"/>
            <w:szCs w:val="21"/>
          </w:rPr>
          <w:t>My Vax Records</w:t>
        </w:r>
      </w:hyperlink>
      <w:r w:rsidRPr="008A7F05">
        <w:rPr>
          <w:rFonts w:asciiTheme="minorHAnsi" w:hAnsiTheme="minorHAnsi" w:cstheme="minorHAnsi"/>
          <w:color w:val="000000"/>
          <w:sz w:val="21"/>
          <w:szCs w:val="21"/>
        </w:rPr>
        <w:t xml:space="preserve">. As a reminder it is important to keep patient demographic information in MIIS up to date during COVID-19. Massachusetts providers who vaccinate individuals are required to enter certain data into the Massachusetts Immunization Information System (MIIS). This allows users to access their vaccination records for any reason they may need them.  Patients with missing or out-of-date demographic information (such as phone, email) may not be able to return a match. These patients will be directed to their healthcare provider who is responsible for updating their immunization record in the MIIS.  Therefore, the Department of Public Health strongly encourages providers to ensure they have an email address and/or phone number for patients in their MIIS immunization records. </w:t>
      </w:r>
    </w:p>
    <w:p w14:paraId="333B79B8" w14:textId="77777777" w:rsidR="008A7F05" w:rsidRPr="008A7F05" w:rsidRDefault="008A7F05" w:rsidP="008A7F05">
      <w:pPr>
        <w:shd w:val="clear" w:color="auto" w:fill="FFFFFF"/>
        <w:rPr>
          <w:rFonts w:asciiTheme="minorHAnsi" w:hAnsiTheme="minorHAnsi" w:cstheme="minorHAnsi"/>
          <w:color w:val="36495F"/>
          <w:sz w:val="21"/>
          <w:szCs w:val="21"/>
        </w:rPr>
      </w:pPr>
      <w:r w:rsidRPr="008A7F05">
        <w:rPr>
          <w:rFonts w:asciiTheme="minorHAnsi" w:hAnsiTheme="minorHAnsi" w:cstheme="minorHAnsi"/>
          <w:color w:val="36495F"/>
          <w:sz w:val="21"/>
          <w:szCs w:val="21"/>
        </w:rPr>
        <w:t> </w:t>
      </w:r>
    </w:p>
    <w:p w14:paraId="0BB952DA" w14:textId="77777777" w:rsidR="008A7F05" w:rsidRPr="008A7F05" w:rsidRDefault="008A7F05" w:rsidP="008A7F05">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The MIIS allows providers to make updates to patient demographics in the following ways:</w:t>
      </w:r>
    </w:p>
    <w:p w14:paraId="5FAC21DA" w14:textId="77777777" w:rsidR="008A7F05" w:rsidRPr="008A7F05" w:rsidRDefault="008A7F05" w:rsidP="008A7F05">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 </w:t>
      </w:r>
    </w:p>
    <w:p w14:paraId="699B8BEC" w14:textId="77777777" w:rsidR="008A7F05" w:rsidRPr="008A7F05" w:rsidRDefault="008A7F05" w:rsidP="008A7F05">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1.  Access their patient records through this web-based application to enable demographic and immunization updates. You can view </w:t>
      </w:r>
      <w:hyperlink r:id="rId31" w:tgtFrame="_blank" w:history="1">
        <w:r w:rsidRPr="004A4CC2">
          <w:rPr>
            <w:rStyle w:val="Hyperlink"/>
            <w:rFonts w:asciiTheme="minorHAnsi" w:hAnsiTheme="minorHAnsi" w:cstheme="minorHAnsi"/>
            <w:sz w:val="21"/>
            <w:szCs w:val="21"/>
          </w:rPr>
          <w:t>Patient Lookup</w:t>
        </w:r>
      </w:hyperlink>
      <w:r w:rsidRPr="008A7F05">
        <w:rPr>
          <w:rFonts w:asciiTheme="minorHAnsi" w:hAnsiTheme="minorHAnsi" w:cstheme="minorHAnsi"/>
          <w:color w:val="000000"/>
          <w:sz w:val="21"/>
          <w:szCs w:val="21"/>
        </w:rPr>
        <w:t> in the MIIS for more information. </w:t>
      </w:r>
    </w:p>
    <w:p w14:paraId="0F53D3E0" w14:textId="77777777" w:rsidR="008A7F05" w:rsidRPr="008A7F05" w:rsidRDefault="008A7F05" w:rsidP="008A7F05">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2.  Technical solutions are available to allow demographic only updates to be sent directly from your electronic health record systems.</w:t>
      </w:r>
    </w:p>
    <w:p w14:paraId="1DF3E483" w14:textId="77777777" w:rsidR="008A7F05" w:rsidRPr="008A7F05" w:rsidRDefault="008A7F05" w:rsidP="008A7F05">
      <w:pPr>
        <w:shd w:val="clear" w:color="auto" w:fill="FFFFFF"/>
        <w:rPr>
          <w:rFonts w:asciiTheme="minorHAnsi" w:hAnsiTheme="minorHAnsi" w:cstheme="minorHAnsi"/>
          <w:color w:val="36495F"/>
          <w:sz w:val="21"/>
          <w:szCs w:val="21"/>
        </w:rPr>
      </w:pPr>
      <w:r w:rsidRPr="008A7F05">
        <w:rPr>
          <w:rFonts w:asciiTheme="minorHAnsi" w:hAnsiTheme="minorHAnsi" w:cstheme="minorHAnsi"/>
          <w:color w:val="000000"/>
          <w:sz w:val="21"/>
          <w:szCs w:val="21"/>
        </w:rPr>
        <w:t>3.  A one-time bulk file will be accepted and uploaded into the MIIS. </w:t>
      </w:r>
    </w:p>
    <w:p w14:paraId="3092288B" w14:textId="77777777" w:rsidR="008A7F05" w:rsidRPr="008A7F05" w:rsidRDefault="008A7F05" w:rsidP="008A7F05">
      <w:pPr>
        <w:shd w:val="clear" w:color="auto" w:fill="FFFFFF"/>
        <w:rPr>
          <w:rFonts w:asciiTheme="minorHAnsi" w:hAnsiTheme="minorHAnsi" w:cstheme="minorHAnsi"/>
          <w:color w:val="36495F"/>
          <w:sz w:val="21"/>
          <w:szCs w:val="21"/>
        </w:rPr>
      </w:pPr>
    </w:p>
    <w:p w14:paraId="722A23C0" w14:textId="77777777" w:rsidR="008A7F05" w:rsidRPr="008A7F05" w:rsidRDefault="008A7F05" w:rsidP="008A7F05">
      <w:pPr>
        <w:shd w:val="clear" w:color="auto" w:fill="FFFFFF"/>
        <w:rPr>
          <w:rFonts w:asciiTheme="minorHAnsi" w:hAnsiTheme="minorHAnsi" w:cstheme="minorHAnsi"/>
          <w:color w:val="0070C0"/>
          <w:sz w:val="21"/>
          <w:szCs w:val="21"/>
        </w:rPr>
      </w:pPr>
      <w:r w:rsidRPr="008A7F05">
        <w:rPr>
          <w:rFonts w:asciiTheme="minorHAnsi" w:hAnsiTheme="minorHAnsi" w:cstheme="minorHAnsi"/>
          <w:color w:val="000000"/>
          <w:sz w:val="21"/>
          <w:szCs w:val="21"/>
        </w:rPr>
        <w:t>Please contact the MIIS Helpdesk </w:t>
      </w:r>
      <w:hyperlink r:id="rId32" w:tgtFrame="_blank" w:history="1">
        <w:r w:rsidRPr="004A4CC2">
          <w:rPr>
            <w:rStyle w:val="Hyperlink"/>
            <w:rFonts w:asciiTheme="minorHAnsi" w:hAnsiTheme="minorHAnsi" w:cstheme="minorHAnsi"/>
            <w:sz w:val="21"/>
            <w:szCs w:val="21"/>
          </w:rPr>
          <w:t>miishelpdesk@mass.gov</w:t>
        </w:r>
      </w:hyperlink>
      <w:r w:rsidRPr="008A7F05">
        <w:rPr>
          <w:rFonts w:asciiTheme="minorHAnsi" w:hAnsiTheme="minorHAnsi" w:cstheme="minorHAnsi"/>
          <w:color w:val="000000"/>
          <w:sz w:val="21"/>
          <w:szCs w:val="21"/>
        </w:rPr>
        <w:t> for more information. </w:t>
      </w:r>
    </w:p>
    <w:p w14:paraId="136BF777" w14:textId="77777777" w:rsidR="00C06600" w:rsidRDefault="00C06600" w:rsidP="00C06600">
      <w:pPr>
        <w:shd w:val="clear" w:color="auto" w:fill="FFFFFF"/>
        <w:rPr>
          <w:rFonts w:ascii="Calibri" w:hAnsi="Calibri"/>
          <w:b/>
          <w:bCs/>
          <w:color w:val="FF0000"/>
          <w:sz w:val="21"/>
          <w:szCs w:val="21"/>
        </w:rPr>
      </w:pPr>
    </w:p>
    <w:p w14:paraId="555016FC" w14:textId="0FDAA2F0" w:rsidR="00ED60DA" w:rsidRPr="00AE0D2A" w:rsidRDefault="00A9112E" w:rsidP="00ED60DA">
      <w:pPr>
        <w:autoSpaceDE w:val="0"/>
        <w:autoSpaceDN w:val="0"/>
        <w:adjustRightInd w:val="0"/>
        <w:rPr>
          <w:rFonts w:ascii="Calibri" w:hAnsi="Calibri" w:cs="Calibri"/>
          <w:b/>
          <w:bCs/>
          <w:color w:val="000099"/>
        </w:rPr>
      </w:pPr>
      <w:r w:rsidRPr="00AE0D2A">
        <w:rPr>
          <w:rFonts w:ascii="Calibri" w:hAnsi="Calibri" w:cs="Calibri"/>
          <w:b/>
          <w:bCs/>
          <w:color w:val="000099"/>
        </w:rPr>
        <w:t>COVID-19 VACCINE DOSAGES AND OTHER INFORMATION</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33"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E32970" w:rsidP="00F24FD4">
      <w:pPr>
        <w:pStyle w:val="ListParagraph"/>
        <w:numPr>
          <w:ilvl w:val="0"/>
          <w:numId w:val="9"/>
        </w:numPr>
        <w:shd w:val="clear" w:color="auto" w:fill="FFFFFF"/>
        <w:rPr>
          <w:rFonts w:ascii="Calibri" w:hAnsi="Calibri"/>
          <w:sz w:val="21"/>
          <w:szCs w:val="21"/>
        </w:rPr>
      </w:pPr>
      <w:hyperlink r:id="rId34" w:history="1">
        <w:r w:rsidR="00701170" w:rsidRPr="00701170">
          <w:rPr>
            <w:rStyle w:val="Hyperlink"/>
            <w:rFonts w:ascii="Calibri" w:hAnsi="Calibri"/>
            <w:sz w:val="21"/>
            <w:szCs w:val="21"/>
          </w:rPr>
          <w:t>Orange Cap Age 5 through 11</w:t>
        </w:r>
      </w:hyperlink>
    </w:p>
    <w:p w14:paraId="6FBE1105" w14:textId="71EE3EE9" w:rsidR="00701170" w:rsidRDefault="00E32970" w:rsidP="00F24FD4">
      <w:pPr>
        <w:pStyle w:val="ListParagraph"/>
        <w:numPr>
          <w:ilvl w:val="0"/>
          <w:numId w:val="9"/>
        </w:numPr>
        <w:shd w:val="clear" w:color="auto" w:fill="FFFFFF"/>
        <w:rPr>
          <w:rFonts w:ascii="Calibri" w:hAnsi="Calibri"/>
          <w:sz w:val="21"/>
          <w:szCs w:val="21"/>
        </w:rPr>
      </w:pPr>
      <w:hyperlink r:id="rId35" w:history="1">
        <w:r w:rsidR="00701170" w:rsidRPr="00701170">
          <w:rPr>
            <w:rStyle w:val="Hyperlink"/>
            <w:rFonts w:ascii="Calibri" w:hAnsi="Calibri"/>
            <w:sz w:val="21"/>
            <w:szCs w:val="21"/>
          </w:rPr>
          <w:t>Purple Cap Age 12 and Older</w:t>
        </w:r>
      </w:hyperlink>
    </w:p>
    <w:p w14:paraId="0AE16730" w14:textId="7F57B8B0" w:rsidR="00701170" w:rsidRPr="008611CA" w:rsidRDefault="00E32970" w:rsidP="00F24FD4">
      <w:pPr>
        <w:pStyle w:val="ListParagraph"/>
        <w:numPr>
          <w:ilvl w:val="0"/>
          <w:numId w:val="9"/>
        </w:numPr>
        <w:shd w:val="clear" w:color="auto" w:fill="FFFFFF"/>
        <w:rPr>
          <w:rFonts w:ascii="Calibri" w:hAnsi="Calibri"/>
          <w:sz w:val="21"/>
          <w:szCs w:val="21"/>
        </w:rPr>
      </w:pPr>
      <w:hyperlink r:id="rId36" w:history="1">
        <w:r w:rsidR="00701170" w:rsidRPr="00701170">
          <w:rPr>
            <w:rStyle w:val="Hyperlink"/>
            <w:rFonts w:ascii="Calibri" w:hAnsi="Calibri"/>
            <w:sz w:val="21"/>
            <w:szCs w:val="21"/>
          </w:rPr>
          <w:t>Gray Cap Age 12 and Older</w:t>
        </w:r>
      </w:hyperlink>
    </w:p>
    <w:p w14:paraId="209E0052" w14:textId="77777777" w:rsidR="008611CA" w:rsidRPr="00C06600" w:rsidRDefault="008611CA" w:rsidP="005D750F">
      <w:pPr>
        <w:shd w:val="clear" w:color="auto" w:fill="FFFFFF"/>
        <w:rPr>
          <w:rFonts w:ascii="Calibri" w:hAnsi="Calibri"/>
          <w:sz w:val="21"/>
          <w:szCs w:val="21"/>
        </w:rPr>
      </w:pPr>
    </w:p>
    <w:p w14:paraId="16FD721E" w14:textId="77777777"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Updated EUAs</w:t>
      </w:r>
      <w:r w:rsidR="00C32C84">
        <w:rPr>
          <w:rFonts w:asciiTheme="minorHAnsi" w:hAnsiTheme="minorHAnsi" w:cstheme="minorHAnsi"/>
          <w:color w:val="000000"/>
          <w:sz w:val="21"/>
          <w:szCs w:val="21"/>
        </w:rPr>
        <w:t xml:space="preserve"> </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7"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8"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9"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lastRenderedPageBreak/>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40"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2" w:name="_Hlk89415268"/>
      <w:r>
        <w:rPr>
          <w:rFonts w:asciiTheme="minorHAnsi" w:hAnsiTheme="minorHAnsi" w:cstheme="minorHAnsi"/>
          <w:color w:val="000000"/>
          <w:sz w:val="21"/>
          <w:szCs w:val="21"/>
        </w:rPr>
        <w:t xml:space="preserve">Pfizer, Recipient, 5-11 years: </w:t>
      </w:r>
      <w:hyperlink r:id="rId41"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2"/>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42"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43"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44"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F586000" w14:textId="56A1922E" w:rsidR="001D4572" w:rsidRDefault="000D30F5" w:rsidP="001D457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45"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0CB0BFD7" w14:textId="56D51142" w:rsidR="00E721E4" w:rsidRDefault="00E721E4" w:rsidP="00E721E4">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006F9FBF" w14:textId="552D07D7" w:rsidR="00ED60DA" w:rsidRDefault="00E32970" w:rsidP="0036201E">
      <w:pPr>
        <w:keepNext/>
        <w:ind w:right="225"/>
        <w:contextualSpacing/>
        <w:rPr>
          <w:rStyle w:val="Hyperlink"/>
          <w:rFonts w:asciiTheme="minorHAnsi" w:hAnsiTheme="minorHAnsi" w:cstheme="minorHAnsi"/>
          <w:b/>
          <w:bCs/>
          <w:sz w:val="21"/>
          <w:szCs w:val="21"/>
        </w:rPr>
      </w:pPr>
      <w:hyperlink r:id="rId46" w:anchor="primary-series" w:history="1">
        <w:r w:rsidR="00E721E4" w:rsidRPr="00F24FD4">
          <w:rPr>
            <w:rStyle w:val="Hyperlink"/>
            <w:rFonts w:asciiTheme="minorHAnsi" w:hAnsiTheme="minorHAnsi" w:cstheme="minorHAnsi"/>
            <w:b/>
            <w:bCs/>
            <w:sz w:val="21"/>
            <w:szCs w:val="21"/>
          </w:rPr>
          <w:t>Primary Series</w:t>
        </w:r>
      </w:hyperlink>
    </w:p>
    <w:p w14:paraId="3B929E12" w14:textId="02C6DFA6" w:rsidR="008472BD" w:rsidRDefault="008472BD" w:rsidP="0036201E">
      <w:pPr>
        <w:keepNext/>
        <w:ind w:right="225"/>
        <w:contextualSpacing/>
        <w:rPr>
          <w:rStyle w:val="Hyperlink"/>
          <w:rFonts w:asciiTheme="minorHAnsi" w:hAnsiTheme="minorHAnsi" w:cstheme="minorHAnsi"/>
          <w:b/>
          <w:bCs/>
          <w:sz w:val="21"/>
          <w:szCs w:val="21"/>
        </w:rPr>
      </w:pPr>
    </w:p>
    <w:p w14:paraId="227EA53E" w14:textId="064FA86F" w:rsidR="008472BD" w:rsidRPr="00E721E4" w:rsidRDefault="008472BD" w:rsidP="0036201E">
      <w:pPr>
        <w:keepNext/>
        <w:ind w:right="225"/>
        <w:contextualSpacing/>
        <w:rPr>
          <w:rFonts w:asciiTheme="minorHAnsi" w:hAnsiTheme="minorHAnsi" w:cstheme="minorHAnsi"/>
          <w:b/>
          <w:bCs/>
          <w:color w:val="000000"/>
          <w:sz w:val="21"/>
          <w:szCs w:val="21"/>
        </w:rPr>
      </w:pPr>
      <w:r>
        <w:rPr>
          <w:noProof/>
        </w:rPr>
        <w:drawing>
          <wp:inline distT="0" distB="0" distL="0" distR="0" wp14:anchorId="38FD6645" wp14:editId="13039061">
            <wp:extent cx="6268153" cy="1748520"/>
            <wp:effectExtent l="0" t="0" r="0" b="4445"/>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47"/>
                    <a:stretch>
                      <a:fillRect/>
                    </a:stretch>
                  </pic:blipFill>
                  <pic:spPr>
                    <a:xfrm>
                      <a:off x="0" y="0"/>
                      <a:ext cx="6275385" cy="1750537"/>
                    </a:xfrm>
                    <a:prstGeom prst="rect">
                      <a:avLst/>
                    </a:prstGeom>
                  </pic:spPr>
                </pic:pic>
              </a:graphicData>
            </a:graphic>
          </wp:inline>
        </w:drawing>
      </w:r>
    </w:p>
    <w:p w14:paraId="61B3BB17" w14:textId="471D5EA3" w:rsidR="00E721E4" w:rsidRDefault="00E721E4" w:rsidP="0036201E">
      <w:pPr>
        <w:keepNext/>
        <w:autoSpaceDE w:val="0"/>
        <w:autoSpaceDN w:val="0"/>
        <w:adjustRightInd w:val="0"/>
        <w:rPr>
          <w:rFonts w:ascii="Calibri" w:hAnsi="Calibri"/>
          <w:b/>
          <w:bCs/>
          <w:color w:val="FF0000"/>
          <w:sz w:val="20"/>
          <w:szCs w:val="20"/>
        </w:rPr>
      </w:pPr>
    </w:p>
    <w:p w14:paraId="4CC461AA" w14:textId="0991FB9B" w:rsidR="00E721E4" w:rsidRPr="00E721E4" w:rsidRDefault="00E32970" w:rsidP="0036201E">
      <w:pPr>
        <w:keepNext/>
        <w:ind w:right="225"/>
        <w:contextualSpacing/>
        <w:rPr>
          <w:rFonts w:asciiTheme="minorHAnsi" w:hAnsiTheme="minorHAnsi" w:cstheme="minorHAnsi"/>
          <w:b/>
          <w:bCs/>
          <w:color w:val="000000"/>
          <w:sz w:val="21"/>
          <w:szCs w:val="21"/>
        </w:rPr>
      </w:pPr>
      <w:hyperlink r:id="rId48" w:anchor="booster-dose" w:history="1">
        <w:r w:rsidR="00E721E4" w:rsidRPr="00F24FD4">
          <w:rPr>
            <w:rStyle w:val="Hyperlink"/>
            <w:rFonts w:asciiTheme="minorHAnsi" w:hAnsiTheme="minorHAnsi" w:cstheme="minorHAnsi"/>
            <w:b/>
            <w:bCs/>
            <w:sz w:val="21"/>
            <w:szCs w:val="21"/>
          </w:rPr>
          <w:t>Boosters</w:t>
        </w:r>
      </w:hyperlink>
    </w:p>
    <w:p w14:paraId="63013C0E" w14:textId="2F88ADDD" w:rsidR="008063D9" w:rsidRDefault="008063D9" w:rsidP="00D35D29">
      <w:pPr>
        <w:autoSpaceDE w:val="0"/>
        <w:autoSpaceDN w:val="0"/>
        <w:adjustRightInd w:val="0"/>
        <w:rPr>
          <w:rStyle w:val="Hyperlink"/>
          <w:rFonts w:ascii="Calibri" w:hAnsi="Calibri" w:cs="Calibri"/>
          <w:sz w:val="21"/>
          <w:szCs w:val="21"/>
        </w:rPr>
      </w:pPr>
      <w:bookmarkStart w:id="3" w:name="_Hlk87260835"/>
    </w:p>
    <w:p w14:paraId="23B2EF21" w14:textId="4F163649" w:rsidR="004635AA" w:rsidRDefault="008063D9" w:rsidP="00D35D29">
      <w:pPr>
        <w:autoSpaceDE w:val="0"/>
        <w:autoSpaceDN w:val="0"/>
        <w:adjustRightInd w:val="0"/>
        <w:rPr>
          <w:rStyle w:val="Hyperlink"/>
          <w:rFonts w:ascii="Calibri" w:hAnsi="Calibri" w:cs="Calibri"/>
          <w:sz w:val="21"/>
          <w:szCs w:val="21"/>
        </w:rPr>
      </w:pPr>
      <w:r>
        <w:rPr>
          <w:noProof/>
        </w:rPr>
        <w:drawing>
          <wp:inline distT="0" distB="0" distL="0" distR="0" wp14:anchorId="264BA3F7" wp14:editId="4DBFD3DE">
            <wp:extent cx="6227188" cy="2186834"/>
            <wp:effectExtent l="0" t="0" r="2540" b="444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49"/>
                    <a:stretch>
                      <a:fillRect/>
                    </a:stretch>
                  </pic:blipFill>
                  <pic:spPr>
                    <a:xfrm>
                      <a:off x="0" y="0"/>
                      <a:ext cx="6232808" cy="2188807"/>
                    </a:xfrm>
                    <a:prstGeom prst="rect">
                      <a:avLst/>
                    </a:prstGeom>
                  </pic:spPr>
                </pic:pic>
              </a:graphicData>
            </a:graphic>
          </wp:inline>
        </w:drawing>
      </w:r>
    </w:p>
    <w:p w14:paraId="5CF1C8CF" w14:textId="00582F64" w:rsidR="008A7F05" w:rsidRDefault="008A7F05" w:rsidP="00D35D29">
      <w:pPr>
        <w:autoSpaceDE w:val="0"/>
        <w:autoSpaceDN w:val="0"/>
        <w:adjustRightInd w:val="0"/>
        <w:rPr>
          <w:rStyle w:val="Hyperlink"/>
          <w:rFonts w:ascii="Calibri" w:hAnsi="Calibri" w:cs="Calibri"/>
          <w:color w:val="auto"/>
          <w:sz w:val="21"/>
          <w:szCs w:val="21"/>
          <w:u w:val="none"/>
        </w:rPr>
      </w:pPr>
    </w:p>
    <w:p w14:paraId="40DB98E7"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2608A4A1"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095F594B"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28827694"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510FF887"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560C1470"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42448E4D"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268647B4"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3BAF9B01"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035F981A"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08FE6AEE"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24CA3DE5"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2CDEF130"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0B5BC017"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3FF84F88" w14:textId="77777777" w:rsidR="008A7F05" w:rsidRDefault="008A7F05" w:rsidP="00D35D29">
      <w:pPr>
        <w:autoSpaceDE w:val="0"/>
        <w:autoSpaceDN w:val="0"/>
        <w:adjustRightInd w:val="0"/>
        <w:rPr>
          <w:rStyle w:val="Hyperlink"/>
          <w:rFonts w:ascii="Calibri" w:hAnsi="Calibri" w:cs="Calibri"/>
          <w:color w:val="auto"/>
          <w:sz w:val="21"/>
          <w:szCs w:val="21"/>
          <w:u w:val="none"/>
        </w:rPr>
      </w:pPr>
    </w:p>
    <w:p w14:paraId="4FB2BCD2" w14:textId="1B2AEC89" w:rsidR="004A4CC2" w:rsidRDefault="004A4CC2" w:rsidP="00D35D29">
      <w:pPr>
        <w:autoSpaceDE w:val="0"/>
        <w:autoSpaceDN w:val="0"/>
        <w:adjustRightInd w:val="0"/>
        <w:rPr>
          <w:rStyle w:val="Hyperlink"/>
          <w:rFonts w:ascii="Calibri" w:hAnsi="Calibri" w:cs="Calibri"/>
          <w:color w:val="auto"/>
          <w:sz w:val="21"/>
          <w:szCs w:val="21"/>
          <w:u w:val="none"/>
        </w:rPr>
      </w:pPr>
    </w:p>
    <w:p w14:paraId="58C0F4FF" w14:textId="77777777" w:rsidR="00AE0D2A" w:rsidRDefault="00AE0D2A" w:rsidP="00D35D29">
      <w:pPr>
        <w:autoSpaceDE w:val="0"/>
        <w:autoSpaceDN w:val="0"/>
        <w:adjustRightInd w:val="0"/>
        <w:rPr>
          <w:rStyle w:val="Hyperlink"/>
          <w:rFonts w:ascii="Calibri" w:hAnsi="Calibri" w:cs="Calibri"/>
          <w:color w:val="auto"/>
          <w:sz w:val="21"/>
          <w:szCs w:val="21"/>
          <w:u w:val="none"/>
        </w:rPr>
      </w:pPr>
    </w:p>
    <w:p w14:paraId="56640115" w14:textId="391E0501" w:rsidR="004635AA" w:rsidRDefault="004635AA" w:rsidP="00D35D29">
      <w:pPr>
        <w:autoSpaceDE w:val="0"/>
        <w:autoSpaceDN w:val="0"/>
        <w:adjustRightInd w:val="0"/>
        <w:rPr>
          <w:rStyle w:val="Hyperlink"/>
          <w:rFonts w:ascii="Calibri" w:hAnsi="Calibri" w:cs="Calibri"/>
          <w:color w:val="auto"/>
          <w:sz w:val="21"/>
          <w:szCs w:val="21"/>
          <w:u w:val="none"/>
        </w:rPr>
      </w:pPr>
      <w:r w:rsidRPr="004635AA">
        <w:rPr>
          <w:rStyle w:val="Hyperlink"/>
          <w:rFonts w:ascii="Calibri" w:hAnsi="Calibri" w:cs="Calibri"/>
          <w:color w:val="auto"/>
          <w:sz w:val="21"/>
          <w:szCs w:val="21"/>
          <w:u w:val="none"/>
        </w:rPr>
        <w:lastRenderedPageBreak/>
        <w:t xml:space="preserve">Vaccinate Your Family has put together this </w:t>
      </w:r>
      <w:hyperlink r:id="rId50" w:history="1">
        <w:r w:rsidRPr="004635AA">
          <w:rPr>
            <w:rStyle w:val="Hyperlink"/>
            <w:rFonts w:ascii="Calibri" w:hAnsi="Calibri" w:cs="Calibri"/>
            <w:sz w:val="21"/>
            <w:szCs w:val="21"/>
          </w:rPr>
          <w:t>chart</w:t>
        </w:r>
      </w:hyperlink>
      <w:r w:rsidRPr="004635AA">
        <w:rPr>
          <w:rStyle w:val="Hyperlink"/>
          <w:rFonts w:ascii="Calibri" w:hAnsi="Calibri" w:cs="Calibri"/>
          <w:color w:val="auto"/>
          <w:sz w:val="21"/>
          <w:szCs w:val="21"/>
          <w:u w:val="none"/>
        </w:rPr>
        <w:t>:</w:t>
      </w:r>
    </w:p>
    <w:p w14:paraId="08F3F440" w14:textId="77777777" w:rsidR="008A7F05" w:rsidRPr="008A7F05" w:rsidRDefault="008A7F05" w:rsidP="00D35D29">
      <w:pPr>
        <w:autoSpaceDE w:val="0"/>
        <w:autoSpaceDN w:val="0"/>
        <w:adjustRightInd w:val="0"/>
        <w:rPr>
          <w:rStyle w:val="Hyperlink"/>
          <w:rFonts w:ascii="Calibri" w:hAnsi="Calibri" w:cs="Calibri"/>
          <w:color w:val="auto"/>
          <w:sz w:val="21"/>
          <w:szCs w:val="21"/>
          <w:u w:val="none"/>
        </w:rPr>
      </w:pPr>
    </w:p>
    <w:p w14:paraId="0ADCE2E5" w14:textId="5FB05A36" w:rsidR="001D4572" w:rsidRPr="007C72E7" w:rsidRDefault="004635AA" w:rsidP="008A7F05">
      <w:pPr>
        <w:autoSpaceDE w:val="0"/>
        <w:autoSpaceDN w:val="0"/>
        <w:adjustRightInd w:val="0"/>
        <w:ind w:left="720"/>
        <w:rPr>
          <w:rFonts w:ascii="Calibri" w:hAnsi="Calibri" w:cs="Calibri"/>
          <w:sz w:val="21"/>
          <w:szCs w:val="21"/>
        </w:rPr>
      </w:pPr>
      <w:r>
        <w:rPr>
          <w:noProof/>
        </w:rPr>
        <w:drawing>
          <wp:inline distT="0" distB="0" distL="0" distR="0" wp14:anchorId="0B81BC7C" wp14:editId="576D2735">
            <wp:extent cx="4468395" cy="4463143"/>
            <wp:effectExtent l="0" t="0" r="8890" b="0"/>
            <wp:docPr id="5" name="Picture 5"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pic:cNvPicPr/>
                  </pic:nvPicPr>
                  <pic:blipFill>
                    <a:blip r:embed="rId51"/>
                    <a:stretch>
                      <a:fillRect/>
                    </a:stretch>
                  </pic:blipFill>
                  <pic:spPr>
                    <a:xfrm>
                      <a:off x="0" y="0"/>
                      <a:ext cx="4541496" cy="4536158"/>
                    </a:xfrm>
                    <a:prstGeom prst="rect">
                      <a:avLst/>
                    </a:prstGeom>
                  </pic:spPr>
                </pic:pic>
              </a:graphicData>
            </a:graphic>
          </wp:inline>
        </w:drawing>
      </w:r>
    </w:p>
    <w:p w14:paraId="5826A316" w14:textId="3ECDC196" w:rsidR="00F754A7" w:rsidRDefault="00F754A7" w:rsidP="00D35D29">
      <w:pPr>
        <w:autoSpaceDE w:val="0"/>
        <w:autoSpaceDN w:val="0"/>
        <w:adjustRightInd w:val="0"/>
        <w:rPr>
          <w:rFonts w:ascii="Calibri" w:hAnsi="Calibri" w:cs="Calibri"/>
          <w:color w:val="000000"/>
          <w:sz w:val="20"/>
          <w:szCs w:val="20"/>
        </w:rPr>
      </w:pPr>
    </w:p>
    <w:bookmarkEnd w:id="3"/>
    <w:p w14:paraId="7D46ED63" w14:textId="555D18B7" w:rsidR="00243E39" w:rsidRDefault="00C72A2E" w:rsidP="00243E39">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243E39">
        <w:rPr>
          <w:rFonts w:asciiTheme="minorHAnsi" w:hAnsiTheme="minorHAnsi" w:cstheme="minorHAnsi"/>
          <w:sz w:val="21"/>
          <w:szCs w:val="21"/>
        </w:rPr>
        <w:t xml:space="preserve"> </w:t>
      </w:r>
      <w:r w:rsidR="00243E39">
        <w:rPr>
          <w:rFonts w:asciiTheme="minorHAnsi" w:hAnsiTheme="minorHAnsi" w:cstheme="minorHAnsi"/>
          <w:b/>
          <w:bCs/>
          <w:sz w:val="21"/>
          <w:szCs w:val="21"/>
        </w:rPr>
        <w:t xml:space="preserve">Booster doses for </w:t>
      </w:r>
      <w:r w:rsidR="00243E39" w:rsidRPr="0020635E">
        <w:rPr>
          <w:rFonts w:asciiTheme="minorHAnsi" w:hAnsiTheme="minorHAnsi" w:cstheme="minorHAnsi"/>
          <w:b/>
          <w:bCs/>
          <w:sz w:val="21"/>
          <w:szCs w:val="21"/>
        </w:rPr>
        <w:t>People who received COVID-19 vaccine outside the United States</w:t>
      </w:r>
      <w:r w:rsidR="00243E39">
        <w:rPr>
          <w:rFonts w:asciiTheme="minorHAnsi" w:hAnsiTheme="minorHAnsi" w:cstheme="minorHAnsi"/>
          <w:b/>
          <w:bCs/>
          <w:sz w:val="21"/>
          <w:szCs w:val="21"/>
        </w:rPr>
        <w:t xml:space="preserve"> </w:t>
      </w:r>
    </w:p>
    <w:p w14:paraId="250DDDB7" w14:textId="77777777" w:rsidR="00243E39" w:rsidRDefault="00243E39" w:rsidP="00243E39">
      <w:pPr>
        <w:ind w:right="230"/>
        <w:contextualSpacing/>
        <w:rPr>
          <w:rFonts w:asciiTheme="minorHAnsi" w:hAnsiTheme="minorHAnsi" w:cstheme="minorHAnsi"/>
          <w:sz w:val="21"/>
          <w:szCs w:val="21"/>
        </w:rPr>
      </w:pPr>
      <w:r w:rsidRPr="0020635E">
        <w:rPr>
          <w:rFonts w:asciiTheme="minorHAnsi" w:hAnsiTheme="minorHAnsi" w:cstheme="minorHAnsi"/>
          <w:sz w:val="21"/>
          <w:szCs w:val="21"/>
        </w:rPr>
        <w:t>The Interim Clinical Considerations contain</w:t>
      </w:r>
      <w:r>
        <w:rPr>
          <w:rFonts w:asciiTheme="minorHAnsi" w:hAnsiTheme="minorHAnsi" w:cstheme="minorHAnsi"/>
          <w:sz w:val="21"/>
          <w:szCs w:val="21"/>
        </w:rPr>
        <w:t xml:space="preserve"> guidance for these situations. Please refer to the guidance </w:t>
      </w:r>
      <w:hyperlink r:id="rId52" w:anchor="people-vaccinated-outside-us" w:history="1">
        <w:r w:rsidRPr="0020635E">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FFF6B82" w14:textId="77777777" w:rsidR="00243E39" w:rsidRDefault="00243E39" w:rsidP="00243E39">
      <w:pPr>
        <w:ind w:right="230"/>
        <w:rPr>
          <w:rFonts w:asciiTheme="minorHAnsi" w:hAnsiTheme="minorHAnsi" w:cstheme="minorHAnsi"/>
          <w:sz w:val="21"/>
          <w:szCs w:val="21"/>
        </w:rPr>
      </w:pPr>
    </w:p>
    <w:p w14:paraId="24CC0C48" w14:textId="267120AF" w:rsidR="00243E39" w:rsidRPr="0020635E" w:rsidRDefault="00243E39" w:rsidP="00243E39">
      <w:pPr>
        <w:ind w:right="230"/>
        <w:rPr>
          <w:rFonts w:asciiTheme="minorHAnsi" w:hAnsiTheme="minorHAnsi" w:cstheme="minorHAnsi"/>
          <w:sz w:val="21"/>
          <w:szCs w:val="21"/>
        </w:rPr>
      </w:pPr>
      <w:r w:rsidRPr="0020635E">
        <w:rPr>
          <w:rFonts w:asciiTheme="minorHAnsi" w:hAnsiTheme="minorHAnsi" w:cstheme="minorHAnsi"/>
          <w:sz w:val="21"/>
          <w:szCs w:val="21"/>
        </w:rPr>
        <w:t xml:space="preserve">People who completed </w:t>
      </w:r>
      <w:proofErr w:type="gramStart"/>
      <w:r w:rsidRPr="0020635E">
        <w:rPr>
          <w:rFonts w:asciiTheme="minorHAnsi" w:hAnsiTheme="minorHAnsi" w:cstheme="minorHAnsi"/>
          <w:sz w:val="21"/>
          <w:szCs w:val="21"/>
        </w:rPr>
        <w:t>all of</w:t>
      </w:r>
      <w:proofErr w:type="gramEnd"/>
      <w:r w:rsidRPr="0020635E">
        <w:rPr>
          <w:rFonts w:asciiTheme="minorHAnsi" w:hAnsiTheme="minorHAnsi" w:cstheme="minorHAnsi"/>
          <w:sz w:val="21"/>
          <w:szCs w:val="21"/>
        </w:rPr>
        <w:t xml:space="preserve"> the recommended doses of an WHO-EUL COVID-19 vaccine not approved or authorized by FDA, or people who completed a heterologous (mix</w:t>
      </w:r>
      <w:r w:rsidR="002C5F67">
        <w:rPr>
          <w:rFonts w:asciiTheme="minorHAnsi" w:hAnsiTheme="minorHAnsi" w:cstheme="minorHAnsi"/>
          <w:sz w:val="21"/>
          <w:szCs w:val="21"/>
        </w:rPr>
        <w:t>-</w:t>
      </w:r>
      <w:r w:rsidRPr="0020635E">
        <w:rPr>
          <w:rFonts w:asciiTheme="minorHAnsi" w:hAnsiTheme="minorHAnsi" w:cstheme="minorHAnsi"/>
          <w:sz w:val="21"/>
          <w:szCs w:val="21"/>
        </w:rPr>
        <w:t>and</w:t>
      </w:r>
      <w:r w:rsidR="002C5F67">
        <w:rPr>
          <w:rFonts w:asciiTheme="minorHAnsi" w:hAnsiTheme="minorHAnsi" w:cstheme="minorHAnsi"/>
          <w:sz w:val="21"/>
          <w:szCs w:val="21"/>
        </w:rPr>
        <w:t>-</w:t>
      </w:r>
      <w:r w:rsidRPr="0020635E">
        <w:rPr>
          <w:rFonts w:asciiTheme="minorHAnsi" w:hAnsiTheme="minorHAnsi" w:cstheme="minorHAnsi"/>
          <w:sz w:val="21"/>
          <w:szCs w:val="21"/>
        </w:rPr>
        <w:t>match) series composed of any combination of FDA-approved, FDA-authorized, or WHO-EUL COVID-19 vaccines:</w:t>
      </w:r>
    </w:p>
    <w:p w14:paraId="42FFE685" w14:textId="77777777" w:rsidR="00243E39" w:rsidRPr="0020635E" w:rsidRDefault="00243E39" w:rsidP="00F24FD4">
      <w:pPr>
        <w:pStyle w:val="ListParagraph"/>
        <w:numPr>
          <w:ilvl w:val="0"/>
          <w:numId w:val="7"/>
        </w:numPr>
        <w:ind w:right="230"/>
        <w:rPr>
          <w:rFonts w:asciiTheme="minorHAnsi" w:hAnsiTheme="minorHAnsi" w:cstheme="minorHAnsi"/>
          <w:sz w:val="21"/>
          <w:szCs w:val="21"/>
        </w:rPr>
      </w:pPr>
      <w:r w:rsidRPr="0020635E">
        <w:rPr>
          <w:rFonts w:asciiTheme="minorHAnsi" w:hAnsiTheme="minorHAnsi" w:cstheme="minorHAnsi"/>
          <w:sz w:val="21"/>
          <w:szCs w:val="21"/>
        </w:rPr>
        <w:t>Are considered fully vaccinated.</w:t>
      </w:r>
    </w:p>
    <w:p w14:paraId="6E3B5747" w14:textId="56CEF273" w:rsidR="00243E39" w:rsidRDefault="00243E39" w:rsidP="00F24FD4">
      <w:pPr>
        <w:pStyle w:val="ListParagraph"/>
        <w:numPr>
          <w:ilvl w:val="0"/>
          <w:numId w:val="7"/>
        </w:numPr>
        <w:ind w:right="230"/>
        <w:rPr>
          <w:rFonts w:asciiTheme="minorHAnsi" w:hAnsiTheme="minorHAnsi" w:cstheme="minorHAnsi"/>
          <w:sz w:val="21"/>
          <w:szCs w:val="21"/>
        </w:rPr>
      </w:pPr>
      <w:r>
        <w:rPr>
          <w:rFonts w:asciiTheme="minorHAnsi" w:hAnsiTheme="minorHAnsi" w:cstheme="minorHAnsi"/>
          <w:sz w:val="21"/>
          <w:szCs w:val="21"/>
        </w:rPr>
        <w:t>P</w:t>
      </w:r>
      <w:r w:rsidRPr="0020635E">
        <w:rPr>
          <w:rFonts w:asciiTheme="minorHAnsi" w:hAnsiTheme="minorHAnsi" w:cstheme="minorHAnsi"/>
          <w:sz w:val="21"/>
          <w:szCs w:val="21"/>
        </w:rPr>
        <w:t xml:space="preserve">eople aged ≥ </w:t>
      </w:r>
      <w:r w:rsidR="00A8128D">
        <w:rPr>
          <w:rFonts w:asciiTheme="minorHAnsi" w:hAnsiTheme="minorHAnsi" w:cstheme="minorHAnsi"/>
          <w:sz w:val="21"/>
          <w:szCs w:val="21"/>
        </w:rPr>
        <w:t>12</w:t>
      </w:r>
      <w:r w:rsidR="006A53C5">
        <w:rPr>
          <w:rFonts w:asciiTheme="minorHAnsi" w:hAnsiTheme="minorHAnsi" w:cstheme="minorHAnsi"/>
          <w:sz w:val="21"/>
          <w:szCs w:val="21"/>
        </w:rPr>
        <w:t xml:space="preserve"> </w:t>
      </w:r>
      <w:r w:rsidRPr="0020635E">
        <w:rPr>
          <w:rFonts w:asciiTheme="minorHAnsi" w:hAnsiTheme="minorHAnsi" w:cstheme="minorHAnsi"/>
          <w:sz w:val="21"/>
          <w:szCs w:val="21"/>
        </w:rPr>
        <w:t xml:space="preserve">years (including moderately or severely immunocompromised people who received an additional primary dose) should receive a single booster dose of Pfizer-BioNTech COVID-19 Vaccine at least </w:t>
      </w:r>
      <w:r w:rsidR="00A8128D">
        <w:rPr>
          <w:rFonts w:asciiTheme="minorHAnsi" w:hAnsiTheme="minorHAnsi" w:cstheme="minorHAnsi"/>
          <w:sz w:val="21"/>
          <w:szCs w:val="21"/>
        </w:rPr>
        <w:t>5</w:t>
      </w:r>
      <w:r w:rsidRPr="0020635E">
        <w:rPr>
          <w:rFonts w:asciiTheme="minorHAnsi" w:hAnsiTheme="minorHAnsi" w:cstheme="minorHAnsi"/>
          <w:sz w:val="21"/>
          <w:szCs w:val="21"/>
        </w:rPr>
        <w:t xml:space="preserve"> months after completing their primary series.</w:t>
      </w:r>
    </w:p>
    <w:p w14:paraId="75902C43" w14:textId="77777777" w:rsidR="00243E39" w:rsidRDefault="00243E39" w:rsidP="00243E39">
      <w:pPr>
        <w:ind w:right="230"/>
        <w:rPr>
          <w:rFonts w:asciiTheme="minorHAnsi" w:hAnsiTheme="minorHAnsi" w:cstheme="minorHAnsi"/>
          <w:sz w:val="21"/>
          <w:szCs w:val="21"/>
        </w:rPr>
      </w:pPr>
    </w:p>
    <w:p w14:paraId="36FEEEB7" w14:textId="675B1CB2" w:rsidR="00243E39" w:rsidRPr="00F6075B" w:rsidRDefault="00E32970" w:rsidP="00243E39">
      <w:pPr>
        <w:ind w:right="230"/>
        <w:rPr>
          <w:rFonts w:asciiTheme="minorHAnsi" w:hAnsiTheme="minorHAnsi" w:cstheme="minorHAnsi"/>
          <w:sz w:val="21"/>
          <w:szCs w:val="21"/>
        </w:rPr>
      </w:pPr>
      <w:hyperlink r:id="rId53" w:anchor="foot-04" w:history="1">
        <w:r w:rsidR="00243E39" w:rsidRPr="00590FA5">
          <w:rPr>
            <w:rStyle w:val="Hyperlink"/>
            <w:rFonts w:asciiTheme="minorHAnsi" w:hAnsiTheme="minorHAnsi" w:cstheme="minorHAnsi"/>
            <w:sz w:val="21"/>
            <w:szCs w:val="21"/>
          </w:rPr>
          <w:t>Footnote 4</w:t>
        </w:r>
      </w:hyperlink>
      <w:r w:rsidR="00243E39">
        <w:rPr>
          <w:rFonts w:asciiTheme="minorHAnsi" w:hAnsiTheme="minorHAnsi" w:cstheme="minorHAnsi"/>
          <w:sz w:val="21"/>
          <w:szCs w:val="21"/>
        </w:rPr>
        <w:t xml:space="preserve">, in the Clinical Considerations, has a list of </w:t>
      </w:r>
      <w:r w:rsidR="00243E39" w:rsidRPr="00F6075B">
        <w:rPr>
          <w:rFonts w:asciiTheme="minorHAnsi" w:hAnsiTheme="minorHAnsi" w:cstheme="minorHAnsi"/>
          <w:sz w:val="21"/>
          <w:szCs w:val="21"/>
        </w:rPr>
        <w:t>WHO</w:t>
      </w:r>
      <w:r w:rsidR="00243E39">
        <w:rPr>
          <w:rFonts w:asciiTheme="minorHAnsi" w:hAnsiTheme="minorHAnsi" w:cstheme="minorHAnsi"/>
          <w:sz w:val="21"/>
          <w:szCs w:val="21"/>
        </w:rPr>
        <w:t>-EUL COVID-19 vaccines. The</w:t>
      </w:r>
      <w:r w:rsidR="00243E39" w:rsidRPr="00F6075B">
        <w:rPr>
          <w:rFonts w:asciiTheme="minorHAnsi" w:hAnsiTheme="minorHAnsi" w:cstheme="minorHAnsi"/>
          <w:sz w:val="21"/>
          <w:szCs w:val="21"/>
        </w:rPr>
        <w:t xml:space="preserve"> list will be updated as additional COVID-19 vaccines receive an EUL from WHO.</w:t>
      </w:r>
      <w:r w:rsidR="00243E39">
        <w:rPr>
          <w:rFonts w:asciiTheme="minorHAnsi" w:hAnsiTheme="minorHAnsi" w:cstheme="minorHAnsi"/>
          <w:sz w:val="21"/>
          <w:szCs w:val="21"/>
        </w:rPr>
        <w:t xml:space="preserve"> As of </w:t>
      </w:r>
      <w:r w:rsidR="00863D35">
        <w:rPr>
          <w:rFonts w:asciiTheme="minorHAnsi" w:hAnsiTheme="minorHAnsi" w:cstheme="minorHAnsi"/>
          <w:sz w:val="21"/>
          <w:szCs w:val="21"/>
        </w:rPr>
        <w:t>1/5/2022</w:t>
      </w:r>
      <w:r w:rsidR="00243E39">
        <w:rPr>
          <w:rFonts w:asciiTheme="minorHAnsi" w:hAnsiTheme="minorHAnsi" w:cstheme="minorHAnsi"/>
          <w:sz w:val="21"/>
          <w:szCs w:val="21"/>
        </w:rPr>
        <w:t xml:space="preserve"> the list is:</w:t>
      </w:r>
    </w:p>
    <w:p w14:paraId="6D18BD5E" w14:textId="77777777" w:rsidR="00243E39" w:rsidRPr="00F6075B" w:rsidRDefault="00243E39" w:rsidP="00243E39">
      <w:pPr>
        <w:ind w:right="230"/>
        <w:rPr>
          <w:rFonts w:asciiTheme="minorHAnsi" w:hAnsiTheme="minorHAnsi" w:cstheme="minorHAnsi"/>
          <w:sz w:val="21"/>
          <w:szCs w:val="21"/>
        </w:rPr>
      </w:pPr>
    </w:p>
    <w:p w14:paraId="6925A5A6"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Pfizer-BioNTech COVID-19 Vaccine (e.g., BNT162b2, COMIRNATY, Tozinameran)</w:t>
      </w:r>
    </w:p>
    <w:p w14:paraId="6450BDB9"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 xml:space="preserve">AstraZeneca-Oxford COVID-19 Vaccine (e.g., [ChAdOx1-S (recombinant)], AZD1222, </w:t>
      </w:r>
      <w:proofErr w:type="spellStart"/>
      <w:r w:rsidRPr="00F6075B">
        <w:rPr>
          <w:rFonts w:asciiTheme="minorHAnsi" w:hAnsiTheme="minorHAnsi" w:cstheme="minorHAnsi"/>
          <w:sz w:val="21"/>
          <w:szCs w:val="21"/>
        </w:rPr>
        <w:t>Covishield</w:t>
      </w:r>
      <w:proofErr w:type="spellEnd"/>
      <w:r w:rsidRPr="00F6075B">
        <w:rPr>
          <w:rFonts w:asciiTheme="minorHAnsi" w:hAnsiTheme="minorHAnsi" w:cstheme="minorHAnsi"/>
          <w:sz w:val="21"/>
          <w:szCs w:val="21"/>
        </w:rPr>
        <w:t xml:space="preserve">, </w:t>
      </w:r>
      <w:proofErr w:type="spellStart"/>
      <w:r w:rsidRPr="00F6075B">
        <w:rPr>
          <w:rFonts w:asciiTheme="minorHAnsi" w:hAnsiTheme="minorHAnsi" w:cstheme="minorHAnsi"/>
          <w:sz w:val="21"/>
          <w:szCs w:val="21"/>
        </w:rPr>
        <w:t>Vaxzevria</w:t>
      </w:r>
      <w:proofErr w:type="spellEnd"/>
      <w:r w:rsidRPr="00F6075B">
        <w:rPr>
          <w:rFonts w:asciiTheme="minorHAnsi" w:hAnsiTheme="minorHAnsi" w:cstheme="minorHAnsi"/>
          <w:sz w:val="21"/>
          <w:szCs w:val="21"/>
        </w:rPr>
        <w:t>)</w:t>
      </w:r>
    </w:p>
    <w:p w14:paraId="088B5C0B"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Janssen (Johnson &amp; Johnson) COVID-19 Vaccine (e.g., Ad26.COV</w:t>
      </w:r>
      <w:proofErr w:type="gramStart"/>
      <w:r w:rsidRPr="00F6075B">
        <w:rPr>
          <w:rFonts w:asciiTheme="minorHAnsi" w:hAnsiTheme="minorHAnsi" w:cstheme="minorHAnsi"/>
          <w:sz w:val="21"/>
          <w:szCs w:val="21"/>
        </w:rPr>
        <w:t>2.S</w:t>
      </w:r>
      <w:proofErr w:type="gramEnd"/>
      <w:r w:rsidRPr="00F6075B">
        <w:rPr>
          <w:rFonts w:asciiTheme="minorHAnsi" w:hAnsiTheme="minorHAnsi" w:cstheme="minorHAnsi"/>
          <w:sz w:val="21"/>
          <w:szCs w:val="21"/>
        </w:rPr>
        <w:t>)</w:t>
      </w:r>
    </w:p>
    <w:p w14:paraId="6556D2CF"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 xml:space="preserve">Moderna COVID-19 Vaccine (e.g., mRNA 1273, Takeda, </w:t>
      </w:r>
      <w:proofErr w:type="spellStart"/>
      <w:r w:rsidRPr="00F6075B">
        <w:rPr>
          <w:rFonts w:asciiTheme="minorHAnsi" w:hAnsiTheme="minorHAnsi" w:cstheme="minorHAnsi"/>
          <w:sz w:val="21"/>
          <w:szCs w:val="21"/>
        </w:rPr>
        <w:t>Spikevax</w:t>
      </w:r>
      <w:proofErr w:type="spellEnd"/>
      <w:r w:rsidRPr="00F6075B">
        <w:rPr>
          <w:rFonts w:asciiTheme="minorHAnsi" w:hAnsiTheme="minorHAnsi" w:cstheme="minorHAnsi"/>
          <w:sz w:val="21"/>
          <w:szCs w:val="21"/>
        </w:rPr>
        <w:t>)</w:t>
      </w:r>
    </w:p>
    <w:p w14:paraId="4EE22D9C"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Sinopharm-BIBP COVID-19 Vaccine</w:t>
      </w:r>
    </w:p>
    <w:p w14:paraId="55FC8E6A" w14:textId="77777777" w:rsidR="00243E39" w:rsidRPr="00F6075B"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Sinovac-CoronaVac COVID-19 Vaccine</w:t>
      </w:r>
    </w:p>
    <w:p w14:paraId="54F0630E" w14:textId="2D6C63C7" w:rsidR="00243E39" w:rsidRDefault="00243E39" w:rsidP="00F24FD4">
      <w:pPr>
        <w:pStyle w:val="ListParagraph"/>
        <w:numPr>
          <w:ilvl w:val="0"/>
          <w:numId w:val="7"/>
        </w:numPr>
        <w:ind w:right="230"/>
        <w:rPr>
          <w:rFonts w:asciiTheme="minorHAnsi" w:hAnsiTheme="minorHAnsi" w:cstheme="minorHAnsi"/>
          <w:sz w:val="21"/>
          <w:szCs w:val="21"/>
        </w:rPr>
      </w:pPr>
      <w:r w:rsidRPr="00F6075B">
        <w:rPr>
          <w:rFonts w:asciiTheme="minorHAnsi" w:hAnsiTheme="minorHAnsi" w:cstheme="minorHAnsi"/>
          <w:sz w:val="21"/>
          <w:szCs w:val="21"/>
        </w:rPr>
        <w:t>Bharat Biotech International COVID-19 Vaccine (e.g., BBV152, COVAXIN)</w:t>
      </w:r>
    </w:p>
    <w:p w14:paraId="323C8BAE" w14:textId="2859403A" w:rsidR="00911607" w:rsidRPr="00631B3C" w:rsidRDefault="00911607" w:rsidP="00F24FD4">
      <w:pPr>
        <w:pStyle w:val="ListParagraph"/>
        <w:numPr>
          <w:ilvl w:val="0"/>
          <w:numId w:val="7"/>
        </w:numPr>
        <w:ind w:right="230"/>
        <w:rPr>
          <w:rFonts w:asciiTheme="minorHAnsi" w:hAnsiTheme="minorHAnsi" w:cstheme="minorHAnsi"/>
          <w:sz w:val="21"/>
          <w:szCs w:val="21"/>
        </w:rPr>
      </w:pPr>
      <w:r w:rsidRPr="00911607">
        <w:rPr>
          <w:rFonts w:asciiTheme="minorHAnsi" w:hAnsiTheme="minorHAnsi" w:cstheme="minorHAnsi"/>
          <w:sz w:val="21"/>
          <w:szCs w:val="21"/>
        </w:rPr>
        <w:t xml:space="preserve">Novavax COVID-19 Vaccine (e.g., NVX-CoV2373, </w:t>
      </w:r>
      <w:proofErr w:type="spellStart"/>
      <w:r w:rsidRPr="00911607">
        <w:rPr>
          <w:rFonts w:asciiTheme="minorHAnsi" w:hAnsiTheme="minorHAnsi" w:cstheme="minorHAnsi"/>
          <w:sz w:val="21"/>
          <w:szCs w:val="21"/>
        </w:rPr>
        <w:t>Covovax</w:t>
      </w:r>
      <w:proofErr w:type="spellEnd"/>
      <w:r w:rsidRPr="00911607">
        <w:rPr>
          <w:rFonts w:asciiTheme="minorHAnsi" w:hAnsiTheme="minorHAnsi" w:cstheme="minorHAnsi"/>
          <w:sz w:val="21"/>
          <w:szCs w:val="21"/>
        </w:rPr>
        <w:t>)</w:t>
      </w:r>
    </w:p>
    <w:p w14:paraId="747C3E9D" w14:textId="1156A39D" w:rsidR="003E06DA" w:rsidRDefault="003E06DA" w:rsidP="003E06DA">
      <w:pPr>
        <w:shd w:val="clear" w:color="auto" w:fill="FFFFFF"/>
        <w:rPr>
          <w:rFonts w:ascii="Calibri" w:hAnsi="Calibri"/>
          <w:color w:val="36495F"/>
          <w:sz w:val="21"/>
          <w:szCs w:val="21"/>
        </w:rPr>
      </w:pPr>
    </w:p>
    <w:p w14:paraId="43CF7EC6" w14:textId="77777777" w:rsidR="008A7F05" w:rsidRDefault="008A7F05" w:rsidP="003E06DA">
      <w:pPr>
        <w:shd w:val="clear" w:color="auto" w:fill="FFFFFF"/>
        <w:rPr>
          <w:rFonts w:ascii="Calibri" w:hAnsi="Calibri"/>
          <w:color w:val="36495F"/>
          <w:sz w:val="21"/>
          <w:szCs w:val="21"/>
        </w:rPr>
      </w:pPr>
    </w:p>
    <w:p w14:paraId="3330B466" w14:textId="7E349A9C" w:rsidR="00236001" w:rsidRPr="00CB00D4" w:rsidRDefault="007B3A60" w:rsidP="007B5EB8">
      <w:pPr>
        <w:pStyle w:val="xparagraph"/>
        <w:shd w:val="clear" w:color="auto" w:fill="FFFFFF"/>
        <w:rPr>
          <w:sz w:val="21"/>
          <w:szCs w:val="21"/>
        </w:rPr>
      </w:pPr>
      <w:r>
        <w:rPr>
          <w:b/>
          <w:bCs/>
          <w:color w:val="FF0000"/>
          <w:sz w:val="21"/>
          <w:szCs w:val="21"/>
        </w:rPr>
        <w:lastRenderedPageBreak/>
        <w:t>Reminder</w:t>
      </w:r>
      <w:r w:rsidR="00236001">
        <w:rPr>
          <w:b/>
          <w:bCs/>
          <w:color w:val="FF0000"/>
          <w:sz w:val="21"/>
          <w:szCs w:val="21"/>
        </w:rPr>
        <w:t xml:space="preserve"> </w:t>
      </w:r>
      <w:r w:rsidR="00236001" w:rsidRPr="00CB00D4">
        <w:rPr>
          <w:b/>
          <w:bCs/>
          <w:sz w:val="21"/>
          <w:szCs w:val="21"/>
        </w:rPr>
        <w:t xml:space="preserve">Pfizer </w:t>
      </w:r>
      <w:r w:rsidR="00897AD2">
        <w:rPr>
          <w:b/>
          <w:bCs/>
          <w:sz w:val="21"/>
          <w:szCs w:val="21"/>
        </w:rPr>
        <w:t xml:space="preserve">1170 (effective 12/23) and </w:t>
      </w:r>
      <w:r w:rsidR="00236001" w:rsidRPr="00CB00D4">
        <w:rPr>
          <w:b/>
          <w:bCs/>
          <w:sz w:val="21"/>
          <w:szCs w:val="21"/>
        </w:rPr>
        <w:t xml:space="preserve">450 trays </w:t>
      </w:r>
      <w:r w:rsidR="00897AD2">
        <w:rPr>
          <w:b/>
          <w:bCs/>
          <w:sz w:val="21"/>
          <w:szCs w:val="21"/>
        </w:rPr>
        <w:t>are</w:t>
      </w:r>
      <w:r w:rsidR="00236001" w:rsidRPr="00CB00D4">
        <w:rPr>
          <w:b/>
          <w:bCs/>
          <w:sz w:val="21"/>
          <w:szCs w:val="21"/>
        </w:rPr>
        <w:t xml:space="preserve"> discontinued </w:t>
      </w:r>
      <w:r w:rsidR="00236001" w:rsidRPr="00CB00D4">
        <w:rPr>
          <w:sz w:val="21"/>
          <w:szCs w:val="21"/>
        </w:rPr>
        <w:t xml:space="preserve">and no longer available for ordering in the MIIS. </w:t>
      </w:r>
    </w:p>
    <w:p w14:paraId="308F91FD" w14:textId="77777777" w:rsidR="00236001" w:rsidRDefault="00236001" w:rsidP="007B5EB8">
      <w:pPr>
        <w:pStyle w:val="xparagraph"/>
        <w:shd w:val="clear" w:color="auto" w:fill="FFFFFF"/>
        <w:rPr>
          <w:b/>
          <w:bCs/>
          <w:color w:val="FF0000"/>
          <w:sz w:val="21"/>
          <w:szCs w:val="21"/>
        </w:rPr>
      </w:pPr>
    </w:p>
    <w:p w14:paraId="16720515" w14:textId="2C531179" w:rsidR="00022532" w:rsidRDefault="00990C59" w:rsidP="007B5EB8">
      <w:pPr>
        <w:pStyle w:val="xparagraph"/>
        <w:shd w:val="clear" w:color="auto" w:fill="FFFFFF"/>
        <w:rPr>
          <w:rFonts w:eastAsia="Calibri"/>
          <w:color w:val="000000"/>
          <w:sz w:val="21"/>
          <w:szCs w:val="21"/>
        </w:rPr>
      </w:pPr>
      <w:r w:rsidRPr="00A134CD">
        <w:rPr>
          <w:b/>
          <w:bCs/>
          <w:color w:val="FF0000"/>
          <w:sz w:val="21"/>
          <w:szCs w:val="21"/>
        </w:rPr>
        <w:t>Reminder</w:t>
      </w:r>
      <w:r w:rsidR="001668D5" w:rsidRPr="00A134CD">
        <w:rPr>
          <w:b/>
          <w:bCs/>
          <w:color w:val="FF0000"/>
          <w:sz w:val="21"/>
          <w:szCs w:val="21"/>
        </w:rPr>
        <w:t xml:space="preserve"> </w:t>
      </w:r>
      <w:r w:rsidR="00022532" w:rsidRPr="007B5EB8">
        <w:rPr>
          <w:rFonts w:eastAsia="Calibri"/>
          <w:b/>
          <w:bCs/>
          <w:color w:val="000000"/>
          <w:sz w:val="21"/>
          <w:szCs w:val="21"/>
        </w:rPr>
        <w:t xml:space="preserve">Moderna 14 </w:t>
      </w:r>
      <w:r w:rsidR="0006652E">
        <w:rPr>
          <w:rFonts w:eastAsia="Calibri"/>
          <w:b/>
          <w:bCs/>
          <w:color w:val="000000"/>
          <w:sz w:val="21"/>
          <w:szCs w:val="21"/>
        </w:rPr>
        <w:t xml:space="preserve">is </w:t>
      </w:r>
      <w:r w:rsidR="00FB41F4">
        <w:rPr>
          <w:rFonts w:eastAsia="Calibri"/>
          <w:b/>
          <w:bCs/>
          <w:color w:val="000000"/>
          <w:sz w:val="21"/>
          <w:szCs w:val="21"/>
        </w:rPr>
        <w:t>d</w:t>
      </w:r>
      <w:r w:rsidR="00022532" w:rsidRPr="007B5EB8">
        <w:rPr>
          <w:rFonts w:eastAsia="Calibri"/>
          <w:b/>
          <w:bCs/>
          <w:color w:val="000000"/>
          <w:sz w:val="21"/>
          <w:szCs w:val="21"/>
        </w:rPr>
        <w:t>iscontinued</w:t>
      </w:r>
      <w:r w:rsidR="00022532" w:rsidRPr="007B5EB8">
        <w:rPr>
          <w:rFonts w:eastAsia="Calibri"/>
          <w:color w:val="000000"/>
          <w:sz w:val="21"/>
          <w:szCs w:val="21"/>
        </w:rPr>
        <w:t> </w:t>
      </w:r>
      <w:r w:rsidR="00FB41F4">
        <w:rPr>
          <w:rFonts w:eastAsia="Calibri"/>
          <w:color w:val="000000"/>
          <w:sz w:val="21"/>
          <w:szCs w:val="21"/>
        </w:rPr>
        <w:t>and</w:t>
      </w:r>
      <w:r w:rsidR="00022532" w:rsidRPr="007B5EB8">
        <w:rPr>
          <w:rFonts w:eastAsia="Calibri"/>
          <w:color w:val="000000"/>
          <w:sz w:val="21"/>
          <w:szCs w:val="21"/>
        </w:rPr>
        <w:t xml:space="preserve"> no longer available for ordering</w:t>
      </w:r>
      <w:r w:rsidR="00FB41F4">
        <w:rPr>
          <w:rFonts w:eastAsia="Calibri"/>
          <w:color w:val="000000"/>
          <w:sz w:val="21"/>
          <w:szCs w:val="21"/>
        </w:rPr>
        <w:t xml:space="preserve"> in the MIIS</w:t>
      </w:r>
      <w:r w:rsidR="00022532" w:rsidRPr="007B5EB8">
        <w:rPr>
          <w:rFonts w:eastAsia="Calibri"/>
          <w:color w:val="000000"/>
          <w:sz w:val="21"/>
          <w:szCs w:val="21"/>
        </w:rPr>
        <w:t>. Orders for Moderna 10 will be identified by the same NDC as previous Moderna 10 orders (NDC= 80777-273-99). </w:t>
      </w:r>
    </w:p>
    <w:p w14:paraId="4FF86DF0" w14:textId="03F74E81" w:rsidR="00022532" w:rsidRPr="007B5EB8" w:rsidRDefault="00022532" w:rsidP="00022532">
      <w:pPr>
        <w:shd w:val="clear" w:color="auto" w:fill="FFFFFF"/>
        <w:rPr>
          <w:rFonts w:ascii="Calibri" w:eastAsia="Calibri" w:hAnsi="Calibri" w:cs="Calibri"/>
          <w:sz w:val="21"/>
          <w:szCs w:val="21"/>
        </w:rPr>
      </w:pP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All Moderna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F24FD4">
      <w:pPr>
        <w:pStyle w:val="ListParagraph"/>
        <w:numPr>
          <w:ilvl w:val="0"/>
          <w:numId w:val="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54" w:history="1">
        <w:r w:rsidRPr="00686ECC">
          <w:rPr>
            <w:rStyle w:val="Hyperlink"/>
            <w:rFonts w:ascii="Calibri" w:hAnsi="Calibri"/>
            <w:sz w:val="21"/>
            <w:szCs w:val="21"/>
          </w:rPr>
          <w:t>Vaccine Storage and Handling Problem - mini guide</w:t>
        </w:r>
      </w:hyperlink>
      <w:r w:rsidR="001764B2" w:rsidRPr="007738B3">
        <w:rPr>
          <w:rFonts w:ascii="Calibri" w:hAnsi="Calibri"/>
          <w:color w:val="0070C0"/>
          <w:sz w:val="21"/>
          <w:szCs w:val="21"/>
        </w:rPr>
        <w:t>.</w:t>
      </w:r>
    </w:p>
    <w:p w14:paraId="2110C666" w14:textId="1B97E7FC" w:rsidR="006D0FCE" w:rsidRDefault="006D0FCE" w:rsidP="00CE525A">
      <w:pPr>
        <w:shd w:val="clear" w:color="auto" w:fill="FFFFFF"/>
        <w:rPr>
          <w:rFonts w:ascii="Calibri" w:hAnsi="Calibri"/>
          <w:color w:val="000000"/>
          <w:sz w:val="21"/>
          <w:szCs w:val="21"/>
        </w:rPr>
      </w:pPr>
    </w:p>
    <w:p w14:paraId="7B06A7A1" w14:textId="77777777" w:rsidR="0036201E"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p>
    <w:p w14:paraId="4B583571" w14:textId="12525153" w:rsidR="00375B0C" w:rsidRPr="00E903CA" w:rsidRDefault="00375B0C" w:rsidP="00375B0C">
      <w:pPr>
        <w:shd w:val="clear" w:color="auto" w:fill="FFFFFF"/>
        <w:rPr>
          <w:rFonts w:ascii="Calibri" w:hAnsi="Calibri"/>
          <w:sz w:val="21"/>
          <w:szCs w:val="21"/>
        </w:rPr>
      </w:pPr>
      <w:r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p w14:paraId="0D161941" w14:textId="7D83C16F" w:rsidR="00B60131"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55" w:history="1">
        <w:r w:rsidRPr="00686ECC">
          <w:rPr>
            <w:rStyle w:val="Hyperlink"/>
            <w:rFonts w:asciiTheme="minorHAnsi" w:hAnsiTheme="minorHAnsi" w:cstheme="minorHAnsi"/>
            <w:sz w:val="21"/>
            <w:szCs w:val="21"/>
          </w:rPr>
          <w:t> expiration date lookup feature</w:t>
        </w:r>
      </w:hyperlink>
      <w:r w:rsidRPr="006F499E">
        <w:rPr>
          <w:rFonts w:asciiTheme="minorHAnsi" w:hAnsiTheme="minorHAnsi" w:cstheme="minorHAnsi"/>
          <w:color w:val="222222"/>
          <w:sz w:val="21"/>
          <w:szCs w:val="21"/>
        </w:rPr>
        <w:t> on its website. </w:t>
      </w:r>
    </w:p>
    <w:p w14:paraId="42A0C79E" w14:textId="77777777" w:rsidR="00AE0D2A" w:rsidRPr="006F499E" w:rsidRDefault="00AE0D2A" w:rsidP="006F499E">
      <w:pPr>
        <w:spacing w:before="150" w:after="150"/>
        <w:rPr>
          <w:rFonts w:asciiTheme="minorHAnsi" w:hAnsiTheme="minorHAnsi" w:cstheme="minorHAnsi"/>
          <w:color w:val="222222"/>
          <w:sz w:val="21"/>
          <w:szCs w:val="21"/>
        </w:rPr>
      </w:pPr>
    </w:p>
    <w:p w14:paraId="462C4013" w14:textId="0E3C3F10"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2B7492D6" w14:textId="77777777" w:rsidR="009E683B" w:rsidRPr="00432F78" w:rsidRDefault="009E683B" w:rsidP="009E683B">
      <w:pPr>
        <w:shd w:val="clear" w:color="auto" w:fill="FFFFFF"/>
        <w:rPr>
          <w:rFonts w:ascii="Calibri" w:hAnsi="Calibri"/>
          <w:b/>
          <w:bCs/>
          <w:color w:val="FF0000"/>
          <w:sz w:val="21"/>
          <w:szCs w:val="21"/>
        </w:rPr>
      </w:pPr>
      <w:r>
        <w:rPr>
          <w:rFonts w:ascii="Calibri" w:hAnsi="Calibri"/>
          <w:b/>
          <w:bCs/>
          <w:color w:val="FF0000"/>
          <w:sz w:val="21"/>
          <w:szCs w:val="21"/>
        </w:rPr>
        <w:t xml:space="preserve">New </w:t>
      </w:r>
      <w:r w:rsidRPr="00432F78">
        <w:rPr>
          <w:rFonts w:ascii="Calibri" w:hAnsi="Calibri"/>
          <w:b/>
          <w:bCs/>
          <w:sz w:val="21"/>
          <w:szCs w:val="21"/>
        </w:rPr>
        <w:t>From MAPC - Creative COVID-19 Communications</w:t>
      </w:r>
    </w:p>
    <w:p w14:paraId="3231EA91" w14:textId="400099D0" w:rsidR="009E683B" w:rsidRDefault="00E32970" w:rsidP="009E683B">
      <w:pPr>
        <w:shd w:val="clear" w:color="auto" w:fill="FFFFFF"/>
        <w:rPr>
          <w:rFonts w:ascii="Calibri" w:hAnsi="Calibri"/>
          <w:sz w:val="21"/>
          <w:szCs w:val="21"/>
        </w:rPr>
      </w:pPr>
      <w:hyperlink r:id="rId56" w:history="1">
        <w:r w:rsidR="009E683B" w:rsidRPr="00432F78">
          <w:rPr>
            <w:rStyle w:val="Hyperlink"/>
            <w:rFonts w:ascii="Calibri" w:hAnsi="Calibri"/>
            <w:sz w:val="21"/>
            <w:szCs w:val="21"/>
          </w:rPr>
          <w:t>Free-to-use graphics, videos, and more</w:t>
        </w:r>
      </w:hyperlink>
      <w:r w:rsidR="009E683B" w:rsidRPr="00432F78">
        <w:rPr>
          <w:rFonts w:ascii="Calibri" w:hAnsi="Calibri"/>
          <w:sz w:val="21"/>
          <w:szCs w:val="21"/>
        </w:rPr>
        <w:t>! MAPC’s Arts &amp; Culture and Public Health teams partnered with local artists and designers to produce creative, culturally resonant communications about COVID-19 and vaccinations. The materials are available for public use. Municipalities, health agencies, community groups, and members of the public can freely use them to encourage vaccinations in their communities.</w:t>
      </w:r>
    </w:p>
    <w:p w14:paraId="721991EF" w14:textId="77777777" w:rsidR="009E683B" w:rsidRPr="00432F78" w:rsidRDefault="009E683B" w:rsidP="009E683B">
      <w:pPr>
        <w:shd w:val="clear" w:color="auto" w:fill="FFFFFF"/>
        <w:rPr>
          <w:rFonts w:ascii="Calibri" w:hAnsi="Calibri"/>
          <w:sz w:val="21"/>
          <w:szCs w:val="21"/>
        </w:rPr>
      </w:pPr>
    </w:p>
    <w:p w14:paraId="0C96B169" w14:textId="08E96BC2" w:rsidR="00232A6A" w:rsidRDefault="009E683B" w:rsidP="00232A6A">
      <w:pPr>
        <w:shd w:val="clear" w:color="auto" w:fill="FFFFFF"/>
        <w:rPr>
          <w:rFonts w:ascii="Calibri" w:hAnsi="Calibri"/>
          <w:color w:val="FF0000"/>
          <w:sz w:val="21"/>
          <w:szCs w:val="21"/>
        </w:rPr>
      </w:pPr>
      <w:r>
        <w:rPr>
          <w:rFonts w:ascii="Calibri" w:hAnsi="Calibri"/>
          <w:b/>
          <w:bCs/>
          <w:color w:val="FF0000"/>
          <w:sz w:val="21"/>
          <w:szCs w:val="21"/>
        </w:rPr>
        <w:t>Reminder</w:t>
      </w:r>
      <w:r w:rsidR="00232A6A">
        <w:rPr>
          <w:rFonts w:ascii="Calibri" w:hAnsi="Calibri"/>
          <w:color w:val="FF0000"/>
          <w:sz w:val="21"/>
          <w:szCs w:val="21"/>
        </w:rPr>
        <w:t xml:space="preserve"> </w:t>
      </w:r>
      <w:r w:rsidR="00232A6A" w:rsidRPr="00232A6A">
        <w:rPr>
          <w:rFonts w:ascii="Calibri" w:hAnsi="Calibri"/>
          <w:b/>
          <w:bCs/>
          <w:sz w:val="21"/>
          <w:szCs w:val="21"/>
        </w:rPr>
        <w:t>Communication Skills for Clinicians Discussing COVID-19 Vaccination</w:t>
      </w:r>
    </w:p>
    <w:p w14:paraId="3DC6155A" w14:textId="4F19CF52" w:rsidR="00232A6A" w:rsidRPr="00232A6A" w:rsidRDefault="00E32970" w:rsidP="00232A6A">
      <w:pPr>
        <w:shd w:val="clear" w:color="auto" w:fill="FFFFFF"/>
        <w:rPr>
          <w:rFonts w:ascii="Calibri" w:hAnsi="Calibri"/>
          <w:sz w:val="21"/>
          <w:szCs w:val="21"/>
        </w:rPr>
      </w:pPr>
      <w:hyperlink r:id="rId57" w:history="1">
        <w:r w:rsidR="00232A6A" w:rsidRPr="00232A6A">
          <w:rPr>
            <w:rStyle w:val="Hyperlink"/>
            <w:rFonts w:ascii="Calibri" w:hAnsi="Calibri"/>
            <w:sz w:val="21"/>
            <w:szCs w:val="21"/>
          </w:rPr>
          <w:t>PNQIN</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(Perinatal Neonatal Quality Improvement Network) and UMass Chan Medical School are offering </w:t>
      </w:r>
      <w:hyperlink r:id="rId58" w:history="1">
        <w:r w:rsidR="00232A6A" w:rsidRPr="00232A6A">
          <w:rPr>
            <w:rStyle w:val="Hyperlink"/>
            <w:rFonts w:ascii="Calibri" w:hAnsi="Calibri"/>
            <w:sz w:val="21"/>
            <w:szCs w:val="21"/>
          </w:rPr>
          <w:t>free trainings</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on: </w:t>
      </w:r>
      <w:r w:rsidR="00232A6A" w:rsidRPr="00232A6A">
        <w:rPr>
          <w:rFonts w:ascii="Calibri" w:hAnsi="Calibri"/>
          <w:i/>
          <w:iCs/>
          <w:sz w:val="21"/>
          <w:szCs w:val="21"/>
        </w:rPr>
        <w:t xml:space="preserve">Communication Skills for Clinicians Discussing COVID-19 Vaccination. </w:t>
      </w:r>
      <w:r w:rsidR="00232A6A" w:rsidRPr="00232A6A">
        <w:rPr>
          <w:rFonts w:ascii="Calibri" w:hAnsi="Calibri"/>
          <w:sz w:val="21"/>
          <w:szCs w:val="21"/>
        </w:rPr>
        <w:t xml:space="preserve">This training is a 90-minute webinar designed to improve the counseling skills of Massachusetts clinicians and other providers for discussing COVID-19 vaccination with pregnant and postpartum people, parents and caregivers of young children, and families. The training will also focus on addressing vaccine hesitancy and reducing racial disparities in rates of COVID-19 vaccination. Continuing Education credits available. </w:t>
      </w:r>
    </w:p>
    <w:p w14:paraId="732DE254" w14:textId="77777777" w:rsidR="00232A6A" w:rsidRPr="00232A6A" w:rsidRDefault="00232A6A" w:rsidP="00232A6A">
      <w:pPr>
        <w:shd w:val="clear" w:color="auto" w:fill="FFFFFF"/>
        <w:rPr>
          <w:rFonts w:ascii="Calibri" w:hAnsi="Calibri"/>
          <w:sz w:val="21"/>
          <w:szCs w:val="21"/>
        </w:rPr>
      </w:pPr>
    </w:p>
    <w:p w14:paraId="4250990A" w14:textId="77777777" w:rsidR="00232A6A" w:rsidRPr="00232A6A" w:rsidRDefault="00232A6A" w:rsidP="00232A6A">
      <w:pPr>
        <w:shd w:val="clear" w:color="auto" w:fill="FFFFFF"/>
        <w:rPr>
          <w:rFonts w:ascii="Calibri" w:hAnsi="Calibri"/>
          <w:sz w:val="21"/>
          <w:szCs w:val="21"/>
        </w:rPr>
      </w:pPr>
      <w:r w:rsidRPr="00232A6A">
        <w:rPr>
          <w:rFonts w:ascii="Calibri" w:hAnsi="Calibri"/>
          <w:sz w:val="21"/>
          <w:szCs w:val="21"/>
        </w:rPr>
        <w:t>Registration links and info:</w:t>
      </w:r>
    </w:p>
    <w:p w14:paraId="290BFD76" w14:textId="77777777" w:rsidR="00232A6A" w:rsidRPr="00232A6A" w:rsidRDefault="00E32970" w:rsidP="00232A6A">
      <w:pPr>
        <w:shd w:val="clear" w:color="auto" w:fill="FFFFFF"/>
        <w:rPr>
          <w:rFonts w:ascii="Calibri" w:hAnsi="Calibri"/>
          <w:color w:val="FF0000"/>
          <w:sz w:val="21"/>
          <w:szCs w:val="21"/>
        </w:rPr>
      </w:pPr>
      <w:hyperlink r:id="rId59" w:tgtFrame="_blank" w:history="1">
        <w:r w:rsidR="00232A6A" w:rsidRPr="00232A6A">
          <w:rPr>
            <w:rStyle w:val="Hyperlink"/>
            <w:rFonts w:ascii="Calibri" w:hAnsi="Calibri"/>
            <w:sz w:val="21"/>
            <w:szCs w:val="21"/>
          </w:rPr>
          <w:t>January 14th:</w:t>
        </w:r>
      </w:hyperlink>
      <w:r w:rsidR="00232A6A" w:rsidRPr="00232A6A">
        <w:rPr>
          <w:rFonts w:ascii="Calibri" w:hAnsi="Calibri"/>
          <w:color w:val="FF0000"/>
          <w:sz w:val="21"/>
          <w:szCs w:val="21"/>
        </w:rPr>
        <w:t xml:space="preserve">  </w:t>
      </w:r>
      <w:r w:rsidR="00232A6A" w:rsidRPr="00232A6A">
        <w:rPr>
          <w:rFonts w:ascii="Calibri" w:hAnsi="Calibri"/>
          <w:sz w:val="21"/>
          <w:szCs w:val="21"/>
        </w:rPr>
        <w:t xml:space="preserve">12:00pm – 1:30pm </w:t>
      </w:r>
    </w:p>
    <w:p w14:paraId="4C074FC3" w14:textId="77777777" w:rsidR="00232A6A" w:rsidRPr="00232A6A" w:rsidRDefault="00E32970" w:rsidP="00232A6A">
      <w:pPr>
        <w:shd w:val="clear" w:color="auto" w:fill="FFFFFF"/>
        <w:rPr>
          <w:rFonts w:ascii="Calibri" w:hAnsi="Calibri"/>
          <w:color w:val="FF0000"/>
          <w:sz w:val="21"/>
          <w:szCs w:val="21"/>
        </w:rPr>
      </w:pPr>
      <w:hyperlink r:id="rId60" w:tgtFrame="_blank" w:history="1">
        <w:r w:rsidR="00232A6A" w:rsidRPr="00232A6A">
          <w:rPr>
            <w:rStyle w:val="Hyperlink"/>
            <w:rFonts w:ascii="Calibri" w:hAnsi="Calibri"/>
            <w:sz w:val="21"/>
            <w:szCs w:val="21"/>
          </w:rPr>
          <w:t>January 21st:</w:t>
        </w:r>
      </w:hyperlink>
      <w:r w:rsidR="00232A6A" w:rsidRPr="00232A6A">
        <w:rPr>
          <w:rFonts w:ascii="Calibri" w:hAnsi="Calibri"/>
          <w:color w:val="FF0000"/>
          <w:sz w:val="21"/>
          <w:szCs w:val="21"/>
        </w:rPr>
        <w:t xml:space="preserve"> </w:t>
      </w:r>
      <w:r w:rsidR="00232A6A" w:rsidRPr="00232A6A">
        <w:rPr>
          <w:rFonts w:ascii="Calibri" w:hAnsi="Calibri"/>
          <w:sz w:val="21"/>
          <w:szCs w:val="21"/>
        </w:rPr>
        <w:t>12:00pm – 1:30pm</w:t>
      </w:r>
    </w:p>
    <w:p w14:paraId="1731C27B" w14:textId="6F3649E0" w:rsidR="00232A6A" w:rsidRDefault="00E32970" w:rsidP="00710A98">
      <w:pPr>
        <w:shd w:val="clear" w:color="auto" w:fill="FFFFFF"/>
        <w:rPr>
          <w:rFonts w:ascii="Calibri" w:hAnsi="Calibri"/>
          <w:b/>
          <w:bCs/>
          <w:color w:val="FF0000"/>
          <w:sz w:val="21"/>
          <w:szCs w:val="21"/>
        </w:rPr>
      </w:pPr>
      <w:hyperlink r:id="rId61" w:tgtFrame="_blank" w:history="1">
        <w:r w:rsidR="00232A6A" w:rsidRPr="00232A6A">
          <w:rPr>
            <w:rStyle w:val="Hyperlink"/>
            <w:rFonts w:ascii="Calibri" w:hAnsi="Calibri"/>
            <w:sz w:val="21"/>
            <w:szCs w:val="21"/>
          </w:rPr>
          <w:t>February 11th:</w:t>
        </w:r>
      </w:hyperlink>
      <w:r w:rsidR="00232A6A" w:rsidRPr="00232A6A">
        <w:rPr>
          <w:rFonts w:ascii="Calibri" w:hAnsi="Calibri"/>
          <w:color w:val="FF0000"/>
          <w:sz w:val="21"/>
          <w:szCs w:val="21"/>
        </w:rPr>
        <w:t xml:space="preserve"> </w:t>
      </w:r>
      <w:r w:rsidR="00232A6A" w:rsidRPr="00232A6A">
        <w:rPr>
          <w:rFonts w:ascii="Calibri" w:hAnsi="Calibri"/>
          <w:sz w:val="21"/>
          <w:szCs w:val="21"/>
        </w:rPr>
        <w:t>12:00pm – 1:30pm</w:t>
      </w:r>
    </w:p>
    <w:p w14:paraId="47998175" w14:textId="77777777" w:rsidR="00232A6A" w:rsidRDefault="00232A6A" w:rsidP="00710A98">
      <w:pPr>
        <w:shd w:val="clear" w:color="auto" w:fill="FFFFFF"/>
        <w:rPr>
          <w:rFonts w:ascii="Calibri" w:hAnsi="Calibri"/>
          <w:b/>
          <w:bCs/>
          <w:color w:val="FF000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62"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1C431017" w14:textId="77777777" w:rsidR="00710A98" w:rsidRPr="00EC63B9" w:rsidRDefault="00710A98" w:rsidP="00F24FD4">
      <w:pPr>
        <w:numPr>
          <w:ilvl w:val="0"/>
          <w:numId w:val="10"/>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53CD0318" w14:textId="77777777" w:rsidR="00710A98" w:rsidRPr="00EC63B9" w:rsidRDefault="00710A98" w:rsidP="00F24FD4">
      <w:pPr>
        <w:numPr>
          <w:ilvl w:val="0"/>
          <w:numId w:val="10"/>
        </w:numPr>
        <w:shd w:val="clear" w:color="auto" w:fill="FFFFFF"/>
        <w:rPr>
          <w:rFonts w:ascii="Calibri" w:hAnsi="Calibri"/>
          <w:sz w:val="21"/>
          <w:szCs w:val="21"/>
        </w:rPr>
      </w:pPr>
      <w:r w:rsidRPr="00EC63B9">
        <w:rPr>
          <w:rFonts w:ascii="Calibri" w:hAnsi="Calibri"/>
          <w:sz w:val="21"/>
          <w:szCs w:val="21"/>
        </w:rPr>
        <w:t>Vaccine Conversations in Practice: Case Scenarios </w:t>
      </w:r>
    </w:p>
    <w:p w14:paraId="3A341961" w14:textId="5545544E" w:rsidR="00710A98" w:rsidRDefault="00710A98" w:rsidP="00ED6832">
      <w:pPr>
        <w:shd w:val="clear" w:color="auto" w:fill="FFFFFF"/>
        <w:rPr>
          <w:rFonts w:ascii="Calibri" w:hAnsi="Calibri"/>
          <w:b/>
          <w:bCs/>
          <w:color w:val="FF0000"/>
          <w:sz w:val="21"/>
          <w:szCs w:val="21"/>
        </w:rPr>
      </w:pPr>
    </w:p>
    <w:p w14:paraId="5FC00495" w14:textId="39373951" w:rsidR="002124FC" w:rsidRDefault="00E77D2C" w:rsidP="00ED6832">
      <w:pPr>
        <w:shd w:val="clear" w:color="auto" w:fill="FFFFFF"/>
        <w:rPr>
          <w:rFonts w:ascii="Calibri" w:hAnsi="Calibri"/>
          <w:color w:val="36495F"/>
          <w:sz w:val="21"/>
          <w:szCs w:val="21"/>
        </w:rPr>
      </w:pPr>
      <w:bookmarkStart w:id="4" w:name="_Hlk90542952"/>
      <w:r>
        <w:rPr>
          <w:rFonts w:ascii="Calibri" w:hAnsi="Calibri"/>
          <w:b/>
          <w:bCs/>
          <w:color w:val="FF0000"/>
          <w:sz w:val="21"/>
          <w:szCs w:val="21"/>
        </w:rPr>
        <w:t>Reminder</w:t>
      </w:r>
      <w:r w:rsidR="002124FC">
        <w:rPr>
          <w:rFonts w:ascii="Calibri" w:hAnsi="Calibri"/>
          <w:b/>
          <w:bCs/>
          <w:color w:val="FF0000"/>
          <w:sz w:val="21"/>
          <w:szCs w:val="21"/>
        </w:rPr>
        <w:t xml:space="preserve">  </w:t>
      </w:r>
      <w:r w:rsidR="002124FC" w:rsidRPr="00EC63B9">
        <w:rPr>
          <w:rFonts w:ascii="Calibri" w:hAnsi="Calibri"/>
          <w:b/>
          <w:bCs/>
          <w:sz w:val="21"/>
          <w:szCs w:val="21"/>
        </w:rPr>
        <w:t xml:space="preserve">Vaccine Education Center at Children’s Hospital of Philadelphia </w:t>
      </w:r>
      <w:r w:rsidR="002124FC" w:rsidRPr="00EC63B9">
        <w:rPr>
          <w:rFonts w:ascii="Calibri" w:hAnsi="Calibri"/>
          <w:sz w:val="21"/>
          <w:szCs w:val="21"/>
        </w:rPr>
        <w:t xml:space="preserve">has a new video series, </w:t>
      </w:r>
      <w:r w:rsidR="002124FC" w:rsidRPr="002124FC">
        <w:rPr>
          <w:rFonts w:ascii="Calibri" w:hAnsi="Calibri"/>
          <w:color w:val="36495F"/>
          <w:sz w:val="21"/>
          <w:szCs w:val="21"/>
        </w:rPr>
        <w:t>“</w:t>
      </w:r>
      <w:hyperlink r:id="rId63" w:history="1">
        <w:r w:rsidR="002124FC" w:rsidRPr="009D354E">
          <w:rPr>
            <w:rStyle w:val="Hyperlink"/>
            <w:rFonts w:ascii="Calibri" w:hAnsi="Calibri"/>
            <w:sz w:val="21"/>
            <w:szCs w:val="21"/>
          </w:rPr>
          <w:t>Vaccine Conversations</w:t>
        </w:r>
      </w:hyperlink>
      <w:r w:rsidR="002124FC" w:rsidRPr="002124FC">
        <w:rPr>
          <w:rFonts w:ascii="Calibri" w:hAnsi="Calibri"/>
          <w:color w:val="36495F"/>
          <w:sz w:val="21"/>
          <w:szCs w:val="21"/>
        </w:rPr>
        <w:t>”</w:t>
      </w:r>
      <w:r w:rsidR="002124FC" w:rsidRPr="00EC63B9">
        <w:rPr>
          <w:rFonts w:ascii="Calibri" w:hAnsi="Calibri"/>
          <w:sz w:val="21"/>
          <w:szCs w:val="21"/>
        </w:rPr>
        <w:t>, which features topics that today’s parents are commonly asking. The first videos for this series feature Dr. Offit and some pediatricians active on social media discussing vaccine topics related to their specialties. More videos will be coming soon.</w:t>
      </w:r>
    </w:p>
    <w:p w14:paraId="0AA9B3AB" w14:textId="14DFD35F" w:rsidR="00B13189" w:rsidRPr="00710A98" w:rsidRDefault="00E32970" w:rsidP="00F24FD4">
      <w:pPr>
        <w:numPr>
          <w:ilvl w:val="0"/>
          <w:numId w:val="10"/>
        </w:numPr>
        <w:shd w:val="clear" w:color="auto" w:fill="FFFFFF"/>
        <w:rPr>
          <w:rFonts w:ascii="Calibri" w:hAnsi="Calibri"/>
          <w:color w:val="36495F"/>
          <w:sz w:val="21"/>
          <w:szCs w:val="21"/>
        </w:rPr>
      </w:pPr>
      <w:hyperlink r:id="rId64" w:history="1">
        <w:r w:rsidR="00B13189" w:rsidRPr="00B13189">
          <w:rPr>
            <w:rStyle w:val="Hyperlink"/>
            <w:rFonts w:ascii="Calibri" w:hAnsi="Calibri"/>
            <w:sz w:val="21"/>
            <w:szCs w:val="21"/>
          </w:rPr>
          <w:t>Vaccines, the Immune System, and Autoimmunity </w:t>
        </w:r>
      </w:hyperlink>
    </w:p>
    <w:p w14:paraId="2B5E6D08" w14:textId="07A6AAEC" w:rsidR="00B13189" w:rsidRDefault="00E32970" w:rsidP="00F24FD4">
      <w:pPr>
        <w:numPr>
          <w:ilvl w:val="0"/>
          <w:numId w:val="10"/>
        </w:numPr>
        <w:shd w:val="clear" w:color="auto" w:fill="FFFFFF"/>
        <w:rPr>
          <w:rFonts w:ascii="Calibri" w:hAnsi="Calibri"/>
          <w:color w:val="36495F"/>
          <w:sz w:val="21"/>
          <w:szCs w:val="21"/>
        </w:rPr>
      </w:pPr>
      <w:hyperlink r:id="rId65" w:history="1">
        <w:r w:rsidR="00B13189" w:rsidRPr="00B13189">
          <w:rPr>
            <w:rStyle w:val="Hyperlink"/>
            <w:rFonts w:ascii="Calibri" w:hAnsi="Calibri"/>
            <w:sz w:val="21"/>
            <w:szCs w:val="21"/>
          </w:rPr>
          <w:t>Vaccines and Breastfeeding</w:t>
        </w:r>
      </w:hyperlink>
    </w:p>
    <w:p w14:paraId="1FF7D9F5" w14:textId="403E80B0" w:rsidR="00B13189" w:rsidRDefault="00E32970" w:rsidP="00F24FD4">
      <w:pPr>
        <w:numPr>
          <w:ilvl w:val="0"/>
          <w:numId w:val="10"/>
        </w:numPr>
        <w:shd w:val="clear" w:color="auto" w:fill="FFFFFF"/>
        <w:rPr>
          <w:rFonts w:ascii="Calibri" w:hAnsi="Calibri"/>
          <w:color w:val="36495F"/>
          <w:sz w:val="21"/>
          <w:szCs w:val="21"/>
        </w:rPr>
      </w:pPr>
      <w:hyperlink r:id="rId66" w:history="1">
        <w:r w:rsidR="00B13189" w:rsidRPr="00B13189">
          <w:rPr>
            <w:rStyle w:val="Hyperlink"/>
            <w:rFonts w:ascii="Calibri" w:hAnsi="Calibri"/>
            <w:sz w:val="21"/>
            <w:szCs w:val="21"/>
          </w:rPr>
          <w:t>Why Do We Give Vaccines for Diseases We Do Not See?</w:t>
        </w:r>
      </w:hyperlink>
    </w:p>
    <w:p w14:paraId="63B9638A" w14:textId="3EFC779C" w:rsidR="00B13189" w:rsidRPr="009D354E" w:rsidRDefault="00E32970" w:rsidP="00F24FD4">
      <w:pPr>
        <w:numPr>
          <w:ilvl w:val="0"/>
          <w:numId w:val="10"/>
        </w:numPr>
        <w:shd w:val="clear" w:color="auto" w:fill="FFFFFF"/>
        <w:rPr>
          <w:rFonts w:ascii="Calibri" w:hAnsi="Calibri"/>
          <w:color w:val="36495F"/>
          <w:sz w:val="21"/>
          <w:szCs w:val="21"/>
        </w:rPr>
      </w:pPr>
      <w:hyperlink r:id="rId67" w:history="1">
        <w:r w:rsidR="00B13189" w:rsidRPr="00B13189">
          <w:rPr>
            <w:rStyle w:val="Hyperlink"/>
            <w:rFonts w:ascii="Calibri" w:hAnsi="Calibri"/>
            <w:sz w:val="21"/>
            <w:szCs w:val="21"/>
          </w:rPr>
          <w:t>Why Do Unvaccinated People Pose a Risk to vaccinated People?</w:t>
        </w:r>
      </w:hyperlink>
    </w:p>
    <w:bookmarkEnd w:id="4"/>
    <w:p w14:paraId="790B3076" w14:textId="77777777" w:rsidR="002124FC" w:rsidRPr="002124FC" w:rsidRDefault="002124FC" w:rsidP="00ED6832">
      <w:pPr>
        <w:shd w:val="clear" w:color="auto" w:fill="FFFFFF"/>
        <w:rPr>
          <w:rFonts w:ascii="Calibri" w:hAnsi="Calibri"/>
          <w:color w:val="FF0000"/>
          <w:sz w:val="21"/>
          <w:szCs w:val="21"/>
        </w:rPr>
      </w:pPr>
    </w:p>
    <w:p w14:paraId="38EE9A61" w14:textId="77777777" w:rsidR="008A7F05" w:rsidRDefault="008A7F05" w:rsidP="006B0060">
      <w:pPr>
        <w:rPr>
          <w:rFonts w:ascii="Calibri" w:hAnsi="Calibri"/>
          <w:b/>
          <w:bCs/>
          <w:color w:val="FF0000"/>
          <w:sz w:val="21"/>
          <w:szCs w:val="21"/>
        </w:rPr>
      </w:pPr>
      <w:bookmarkStart w:id="5" w:name="_Hlk90628685"/>
    </w:p>
    <w:p w14:paraId="3B68F733" w14:textId="0A3F4960" w:rsidR="006B0060" w:rsidRPr="006B0060" w:rsidRDefault="00E77D2C" w:rsidP="006B0060">
      <w:pPr>
        <w:rPr>
          <w:rFonts w:ascii="Calibri" w:hAnsi="Calibri"/>
          <w:color w:val="FF0000"/>
          <w:sz w:val="21"/>
          <w:szCs w:val="21"/>
        </w:rPr>
      </w:pPr>
      <w:r>
        <w:rPr>
          <w:rFonts w:ascii="Calibri" w:hAnsi="Calibri"/>
          <w:b/>
          <w:bCs/>
          <w:color w:val="FF0000"/>
          <w:sz w:val="21"/>
          <w:szCs w:val="21"/>
        </w:rPr>
        <w:t>Reminder</w:t>
      </w:r>
      <w:r w:rsidR="006B0060">
        <w:rPr>
          <w:rFonts w:ascii="Calibri" w:hAnsi="Calibri"/>
          <w:b/>
          <w:bCs/>
          <w:color w:val="FF0000"/>
          <w:sz w:val="21"/>
          <w:szCs w:val="21"/>
        </w:rPr>
        <w:t xml:space="preserve"> </w:t>
      </w:r>
      <w:r w:rsidR="006B0060" w:rsidRPr="006B0060">
        <w:rPr>
          <w:rFonts w:ascii="Calibri" w:hAnsi="Calibri"/>
          <w:b/>
          <w:bCs/>
          <w:sz w:val="21"/>
          <w:szCs w:val="21"/>
        </w:rPr>
        <w:t>COVID-19 Vaccine Webinar Series</w:t>
      </w:r>
    </w:p>
    <w:p w14:paraId="44BE03E5" w14:textId="74EDC176" w:rsidR="006B0060" w:rsidRDefault="006B0060" w:rsidP="006B0060">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68"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bookmarkEnd w:id="5"/>
    <w:p w14:paraId="046FFDD0" w14:textId="77777777" w:rsidR="006B0060" w:rsidRDefault="006B0060" w:rsidP="006B0060">
      <w:pPr>
        <w:shd w:val="clear" w:color="auto" w:fill="FFFFFF"/>
        <w:rPr>
          <w:rFonts w:ascii="Calibri" w:hAnsi="Calibri"/>
          <w:color w:val="000000"/>
          <w:sz w:val="21"/>
          <w:szCs w:val="21"/>
        </w:rPr>
      </w:pPr>
    </w:p>
    <w:p w14:paraId="614FB916" w14:textId="6DC204F9" w:rsidR="009012AC" w:rsidRPr="009012AC" w:rsidRDefault="00E77D2C" w:rsidP="00A33ECD">
      <w:pPr>
        <w:shd w:val="clear" w:color="auto" w:fill="FFFFFF"/>
        <w:rPr>
          <w:rFonts w:ascii="Calibri" w:hAnsi="Calibri"/>
          <w:sz w:val="21"/>
          <w:szCs w:val="21"/>
        </w:rPr>
      </w:pPr>
      <w:r>
        <w:rPr>
          <w:rFonts w:ascii="Calibri" w:hAnsi="Calibri"/>
          <w:b/>
          <w:bCs/>
          <w:color w:val="FF0000"/>
          <w:sz w:val="21"/>
          <w:szCs w:val="21"/>
        </w:rPr>
        <w:t>Reminder</w:t>
      </w:r>
      <w:r w:rsidRPr="00A33ECD">
        <w:rPr>
          <w:rFonts w:ascii="Calibri" w:hAnsi="Calibri"/>
          <w:b/>
          <w:bCs/>
          <w:sz w:val="21"/>
          <w:szCs w:val="21"/>
        </w:rPr>
        <w:t xml:space="preserve"> </w:t>
      </w:r>
      <w:r w:rsidR="009012AC" w:rsidRPr="00A33ECD">
        <w:rPr>
          <w:rFonts w:ascii="Calibri" w:hAnsi="Calibri"/>
          <w:b/>
          <w:bCs/>
          <w:sz w:val="21"/>
          <w:szCs w:val="21"/>
        </w:rPr>
        <w:t>Access hundreds of free and accurate educational materials to support COVID-19 and flu vaccination in your community</w:t>
      </w:r>
      <w:r w:rsidR="00A33ECD" w:rsidRPr="00A33ECD">
        <w:rPr>
          <w:rFonts w:ascii="Calibri" w:hAnsi="Calibri"/>
          <w:b/>
          <w:bCs/>
          <w:sz w:val="21"/>
          <w:szCs w:val="21"/>
        </w:rPr>
        <w:t xml:space="preserve"> at the </w:t>
      </w:r>
      <w:hyperlink r:id="rId69" w:history="1">
        <w:r w:rsidR="00A33ECD" w:rsidRPr="00A33ECD">
          <w:rPr>
            <w:rStyle w:val="Hyperlink"/>
            <w:rFonts w:ascii="Calibri" w:hAnsi="Calibri"/>
            <w:b/>
            <w:bCs/>
            <w:sz w:val="21"/>
            <w:szCs w:val="21"/>
          </w:rPr>
          <w:t>Vaccine Resource Hub</w:t>
        </w:r>
      </w:hyperlink>
      <w:r w:rsidR="00A33ECD" w:rsidRPr="00A33ECD">
        <w:rPr>
          <w:rFonts w:ascii="Calibri" w:hAnsi="Calibri"/>
          <w:b/>
          <w:bCs/>
          <w:sz w:val="21"/>
          <w:szCs w:val="21"/>
        </w:rPr>
        <w:t>.</w:t>
      </w:r>
      <w:r w:rsidR="00A33ECD" w:rsidRPr="00A33ECD">
        <w:rPr>
          <w:rFonts w:ascii="Calibri" w:hAnsi="Calibri"/>
          <w:sz w:val="21"/>
          <w:szCs w:val="21"/>
        </w:rPr>
        <w:t xml:space="preserve"> </w:t>
      </w:r>
      <w:r w:rsidR="00A33ECD">
        <w:rPr>
          <w:rFonts w:ascii="Calibri" w:hAnsi="Calibri"/>
          <w:sz w:val="21"/>
          <w:szCs w:val="21"/>
        </w:rPr>
        <w:t xml:space="preserve">The Vaccine Resource Hub </w:t>
      </w:r>
      <w:r w:rsidR="00A33ECD" w:rsidRPr="00A33ECD">
        <w:rPr>
          <w:rFonts w:ascii="Calibri" w:hAnsi="Calibri"/>
          <w:sz w:val="21"/>
          <w:szCs w:val="21"/>
        </w:rPr>
        <w:t xml:space="preserve">has been developed </w:t>
      </w:r>
      <w:r w:rsidR="00A33ECD" w:rsidRPr="009012AC">
        <w:rPr>
          <w:rFonts w:ascii="Calibri" w:hAnsi="Calibri"/>
          <w:sz w:val="21"/>
          <w:szCs w:val="21"/>
        </w:rPr>
        <w:t>as a part of the</w:t>
      </w:r>
      <w:r w:rsidR="00A33ECD" w:rsidRPr="009012AC">
        <w:rPr>
          <w:rFonts w:ascii="Calibri" w:hAnsi="Calibri"/>
          <w:b/>
          <w:bCs/>
          <w:sz w:val="21"/>
          <w:szCs w:val="21"/>
        </w:rPr>
        <w:t xml:space="preserve"> </w:t>
      </w:r>
      <w:r w:rsidR="00A33ECD" w:rsidRPr="00A33ECD">
        <w:rPr>
          <w:rFonts w:ascii="Calibri" w:hAnsi="Calibri"/>
          <w:sz w:val="21"/>
          <w:szCs w:val="21"/>
        </w:rPr>
        <w:t>CDC Foundation’s</w:t>
      </w:r>
      <w:r w:rsidR="00A33ECD">
        <w:rPr>
          <w:rFonts w:ascii="Calibri" w:hAnsi="Calibri"/>
          <w:b/>
          <w:bCs/>
          <w:sz w:val="21"/>
          <w:szCs w:val="21"/>
        </w:rPr>
        <w:t xml:space="preserve"> </w:t>
      </w:r>
      <w:r w:rsidR="00A33ECD" w:rsidRPr="009012AC">
        <w:rPr>
          <w:rFonts w:ascii="Calibri" w:hAnsi="Calibri"/>
          <w:i/>
          <w:iCs/>
          <w:sz w:val="21"/>
          <w:szCs w:val="21"/>
        </w:rPr>
        <w:t xml:space="preserve">Partnering for Vaccine Equity </w:t>
      </w:r>
      <w:r w:rsidR="00A33ECD" w:rsidRPr="009012AC">
        <w:rPr>
          <w:rFonts w:ascii="Calibri" w:hAnsi="Calibri"/>
          <w:sz w:val="21"/>
          <w:szCs w:val="21"/>
        </w:rPr>
        <w:t>program</w:t>
      </w:r>
      <w:r w:rsidR="00A33ECD" w:rsidRPr="00A33ECD">
        <w:rPr>
          <w:rFonts w:ascii="Calibri" w:hAnsi="Calibri"/>
          <w:sz w:val="21"/>
          <w:szCs w:val="21"/>
        </w:rPr>
        <w:t xml:space="preserve"> to support individuals and organizations working to increase immunization across all communities, especially those experiencing racial and ethnic disparities. Resources include infographics, toolkits, videos, unbranded digital assets, messaging, and much more</w:t>
      </w:r>
      <w:r w:rsidR="00396AC1">
        <w:rPr>
          <w:rFonts w:ascii="Calibri" w:hAnsi="Calibri"/>
          <w:sz w:val="21"/>
          <w:szCs w:val="21"/>
        </w:rPr>
        <w:t xml:space="preserve"> - a</w:t>
      </w:r>
      <w:r w:rsidR="009012AC" w:rsidRPr="009012AC">
        <w:rPr>
          <w:rFonts w:ascii="Calibri" w:hAnsi="Calibri"/>
          <w:sz w:val="21"/>
          <w:szCs w:val="21"/>
        </w:rPr>
        <w:t>ll free and available for download and sharing.  </w:t>
      </w:r>
    </w:p>
    <w:p w14:paraId="4A7C63E6" w14:textId="77777777" w:rsidR="009012AC" w:rsidRPr="009012AC" w:rsidRDefault="009012AC" w:rsidP="009012AC">
      <w:pPr>
        <w:shd w:val="clear" w:color="auto" w:fill="FFFFFF"/>
        <w:rPr>
          <w:rFonts w:ascii="Calibri" w:hAnsi="Calibri"/>
          <w:sz w:val="21"/>
          <w:szCs w:val="21"/>
        </w:rPr>
      </w:pPr>
    </w:p>
    <w:p w14:paraId="339FA2CB" w14:textId="1073C813" w:rsidR="009012AC" w:rsidRDefault="009012AC" w:rsidP="009012AC">
      <w:pPr>
        <w:shd w:val="clear" w:color="auto" w:fill="FFFFFF"/>
        <w:rPr>
          <w:rFonts w:ascii="Calibri" w:hAnsi="Calibri"/>
          <w:sz w:val="21"/>
          <w:szCs w:val="21"/>
        </w:rPr>
      </w:pPr>
      <w:r w:rsidRPr="009012AC">
        <w:rPr>
          <w:rFonts w:ascii="Calibri" w:hAnsi="Calibri"/>
          <w:sz w:val="21"/>
          <w:szCs w:val="21"/>
        </w:rPr>
        <w:t>Please note, the Hub is being launched in two phases. During Phase One (now) the site already has many features, links, and content that you can search and download. In Phase Two (early 2022), the site will have even more content, pages, stories, webinars, and links.</w:t>
      </w:r>
    </w:p>
    <w:p w14:paraId="44CF2D43" w14:textId="5B082B32" w:rsidR="006C0239" w:rsidRDefault="006C0239" w:rsidP="009012AC">
      <w:pPr>
        <w:shd w:val="clear" w:color="auto" w:fill="FFFFFF"/>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F24FD4">
      <w:pPr>
        <w:numPr>
          <w:ilvl w:val="0"/>
          <w:numId w:val="6"/>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70"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71"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2A88C16" w14:textId="638C4AF5"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5FB29396" w14:textId="77777777" w:rsidR="00432F78" w:rsidRPr="00432F78" w:rsidRDefault="00432F78" w:rsidP="00432F78">
      <w:pPr>
        <w:shd w:val="clear" w:color="auto" w:fill="FFFFFF"/>
        <w:rPr>
          <w:rFonts w:ascii="Calibri" w:hAnsi="Calibri"/>
          <w:color w:val="000000" w:themeColor="text1"/>
          <w:sz w:val="21"/>
          <w:szCs w:val="21"/>
        </w:rPr>
      </w:pPr>
      <w:r w:rsidRPr="00432F78">
        <w:rPr>
          <w:rFonts w:ascii="Calibri" w:hAnsi="Calibri"/>
          <w:color w:val="000000" w:themeColor="text1"/>
          <w:sz w:val="21"/>
          <w:szCs w:val="21"/>
        </w:rPr>
        <w:t>January 7, 2022 (EARLY RELEASE)</w:t>
      </w:r>
    </w:p>
    <w:p w14:paraId="60D4CBD0" w14:textId="77777777" w:rsidR="00432F78" w:rsidRPr="00432F78" w:rsidRDefault="00E32970" w:rsidP="00432F78">
      <w:pPr>
        <w:numPr>
          <w:ilvl w:val="0"/>
          <w:numId w:val="28"/>
        </w:numPr>
        <w:shd w:val="clear" w:color="auto" w:fill="FFFFFF"/>
        <w:rPr>
          <w:rFonts w:ascii="Calibri" w:hAnsi="Calibri"/>
          <w:color w:val="000000" w:themeColor="text1"/>
          <w:sz w:val="21"/>
          <w:szCs w:val="21"/>
        </w:rPr>
      </w:pPr>
      <w:hyperlink r:id="rId72" w:history="1">
        <w:r w:rsidR="00432F78" w:rsidRPr="00432F78">
          <w:rPr>
            <w:rStyle w:val="Hyperlink"/>
            <w:rFonts w:ascii="Calibri" w:hAnsi="Calibri"/>
            <w:sz w:val="21"/>
            <w:szCs w:val="21"/>
          </w:rPr>
          <w:t>Effectiveness of BNT162b2 (Pfizer-BioNTech) mRNA Vaccination Against Multisystem Inflammatory Syndrome in Children Among Persons Aged 12–18 Years — United States, July–December 2021</w:t>
        </w:r>
      </w:hyperlink>
    </w:p>
    <w:p w14:paraId="5E9BE119" w14:textId="77777777" w:rsidR="00432F78" w:rsidRPr="00432F78" w:rsidRDefault="00E32970" w:rsidP="00432F78">
      <w:pPr>
        <w:numPr>
          <w:ilvl w:val="0"/>
          <w:numId w:val="28"/>
        </w:numPr>
        <w:shd w:val="clear" w:color="auto" w:fill="FFFFFF"/>
        <w:rPr>
          <w:rFonts w:ascii="Calibri" w:hAnsi="Calibri"/>
          <w:color w:val="000000" w:themeColor="text1"/>
          <w:sz w:val="21"/>
          <w:szCs w:val="21"/>
        </w:rPr>
      </w:pPr>
      <w:hyperlink r:id="rId73" w:history="1">
        <w:r w:rsidR="00432F78" w:rsidRPr="00432F78">
          <w:rPr>
            <w:rStyle w:val="Hyperlink"/>
            <w:rFonts w:ascii="Calibri" w:hAnsi="Calibri"/>
            <w:sz w:val="21"/>
            <w:szCs w:val="21"/>
          </w:rPr>
          <w:t>Risk for Newly Diagnosed Diabetes &gt;30 Days After SARS-CoV-2 Infection Among Persons Aged &lt;18 years — United States, March 1, 2020–June 28, 2021</w:t>
        </w:r>
      </w:hyperlink>
    </w:p>
    <w:p w14:paraId="1D17638F" w14:textId="77777777" w:rsidR="00432F78" w:rsidRPr="00432F78" w:rsidRDefault="00432F78" w:rsidP="00432F78">
      <w:pPr>
        <w:shd w:val="clear" w:color="auto" w:fill="FFFFFF"/>
        <w:rPr>
          <w:rFonts w:ascii="Calibri" w:hAnsi="Calibri"/>
          <w:color w:val="000000" w:themeColor="text1"/>
          <w:sz w:val="21"/>
          <w:szCs w:val="21"/>
        </w:rPr>
      </w:pPr>
      <w:r w:rsidRPr="00432F78">
        <w:rPr>
          <w:rFonts w:ascii="Calibri" w:hAnsi="Calibri"/>
          <w:color w:val="000000" w:themeColor="text1"/>
          <w:sz w:val="21"/>
          <w:szCs w:val="21"/>
        </w:rPr>
        <w:t>January 7, 2022</w:t>
      </w:r>
    </w:p>
    <w:p w14:paraId="255338DF" w14:textId="77777777" w:rsidR="00432F78" w:rsidRPr="00432F78" w:rsidRDefault="00E32970" w:rsidP="00432F78">
      <w:pPr>
        <w:numPr>
          <w:ilvl w:val="0"/>
          <w:numId w:val="29"/>
        </w:numPr>
        <w:shd w:val="clear" w:color="auto" w:fill="FFFFFF"/>
        <w:rPr>
          <w:rFonts w:ascii="Calibri" w:hAnsi="Calibri"/>
          <w:color w:val="000000" w:themeColor="text1"/>
          <w:sz w:val="21"/>
          <w:szCs w:val="21"/>
        </w:rPr>
      </w:pPr>
      <w:hyperlink r:id="rId74" w:history="1">
        <w:r w:rsidR="00432F78" w:rsidRPr="00432F78">
          <w:rPr>
            <w:rStyle w:val="Hyperlink"/>
            <w:rFonts w:ascii="Calibri" w:hAnsi="Calibri"/>
            <w:sz w:val="21"/>
            <w:szCs w:val="21"/>
          </w:rPr>
          <w:t>Risk Factors for Severe COVID-19 Outcomes Among Persons Aged ≥18 Years Who Completed a Primary COVID-19 Vaccination Series — 465 Health Care Facilities, United States, December 2020–October 2021</w:t>
        </w:r>
      </w:hyperlink>
    </w:p>
    <w:p w14:paraId="3AA7C691" w14:textId="2C106A71" w:rsidR="00A51083" w:rsidRPr="008A7F05" w:rsidRDefault="00E32970" w:rsidP="003839EF">
      <w:pPr>
        <w:numPr>
          <w:ilvl w:val="0"/>
          <w:numId w:val="29"/>
        </w:numPr>
        <w:shd w:val="clear" w:color="auto" w:fill="FFFFFF"/>
        <w:rPr>
          <w:rFonts w:ascii="Calibri" w:hAnsi="Calibri"/>
          <w:color w:val="000000" w:themeColor="text1"/>
          <w:sz w:val="21"/>
          <w:szCs w:val="21"/>
        </w:rPr>
      </w:pPr>
      <w:hyperlink r:id="rId75" w:history="1">
        <w:r w:rsidR="00432F78" w:rsidRPr="00432F78">
          <w:rPr>
            <w:rStyle w:val="Hyperlink"/>
            <w:rFonts w:ascii="Calibri" w:hAnsi="Calibri"/>
            <w:sz w:val="21"/>
            <w:szCs w:val="21"/>
          </w:rPr>
          <w:t>Receipt of COVID-19 Vaccine During Pregnancy and Preterm or Small-for-Gestational-Age at Birth — Eight Integrated Health Care Organizations, United States, December 15, 2020–July 22, 2021</w:t>
        </w:r>
      </w:hyperlink>
    </w:p>
    <w:p w14:paraId="3D295848" w14:textId="77777777" w:rsidR="00A51083" w:rsidRDefault="00A51083" w:rsidP="003839EF">
      <w:pPr>
        <w:shd w:val="clear" w:color="auto" w:fill="FFFFFF"/>
        <w:rPr>
          <w:rFonts w:ascii="Calibri" w:hAnsi="Calibri"/>
          <w:b/>
          <w:bCs/>
          <w:color w:val="000000" w:themeColor="text1"/>
          <w:sz w:val="21"/>
          <w:szCs w:val="21"/>
        </w:rPr>
      </w:pPr>
    </w:p>
    <w:p w14:paraId="09406100" w14:textId="2803325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64E32AA5"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p>
    <w:p w14:paraId="12401038" w14:textId="77777777" w:rsidR="004E13DE" w:rsidRPr="003A63D9" w:rsidRDefault="004E13DE" w:rsidP="00F24FD4">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6" w:tgtFrame="_blank" w:history="1">
        <w:r w:rsidRPr="00686ECC">
          <w:rPr>
            <w:rStyle w:val="Hyperlink"/>
            <w:rFonts w:ascii="Calibri" w:hAnsi="Calibri"/>
            <w:sz w:val="21"/>
            <w:szCs w:val="21"/>
          </w:rPr>
          <w:t>Vaccine Information</w:t>
        </w:r>
      </w:hyperlink>
    </w:p>
    <w:p w14:paraId="4A721421" w14:textId="5009BF15"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77"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8"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9"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lastRenderedPageBreak/>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80"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81"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82"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83"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84"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85"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86"/>
      <w:footerReference w:type="default" r:id="rId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F9BB" w14:textId="77777777" w:rsidR="00914B53" w:rsidRDefault="00914B53" w:rsidP="003D3EDE">
      <w:r>
        <w:separator/>
      </w:r>
    </w:p>
  </w:endnote>
  <w:endnote w:type="continuationSeparator" w:id="0">
    <w:p w14:paraId="4703CDC2" w14:textId="77777777" w:rsidR="00914B53" w:rsidRDefault="00914B53"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2936" w14:textId="77777777" w:rsidR="00914B53" w:rsidRDefault="00914B53" w:rsidP="003D3EDE">
      <w:r>
        <w:separator/>
      </w:r>
    </w:p>
  </w:footnote>
  <w:footnote w:type="continuationSeparator" w:id="0">
    <w:p w14:paraId="09EC0CB0" w14:textId="77777777" w:rsidR="00914B53" w:rsidRDefault="00914B53"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4B6"/>
    <w:multiLevelType w:val="multilevel"/>
    <w:tmpl w:val="C9D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FB36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8294322"/>
    <w:multiLevelType w:val="hybridMultilevel"/>
    <w:tmpl w:val="3E8E202A"/>
    <w:lvl w:ilvl="0" w:tplc="6E52C2E0">
      <w:start w:val="1"/>
      <w:numFmt w:val="bullet"/>
      <w:lvlText w:val="•"/>
      <w:lvlJc w:val="left"/>
      <w:pPr>
        <w:tabs>
          <w:tab w:val="num" w:pos="720"/>
        </w:tabs>
        <w:ind w:left="720" w:hanging="360"/>
      </w:pPr>
      <w:rPr>
        <w:rFonts w:ascii="Arial" w:hAnsi="Arial" w:hint="default"/>
      </w:rPr>
    </w:lvl>
    <w:lvl w:ilvl="1" w:tplc="BC4E8072">
      <w:numFmt w:val="bullet"/>
      <w:lvlText w:val="–"/>
      <w:lvlJc w:val="left"/>
      <w:pPr>
        <w:tabs>
          <w:tab w:val="num" w:pos="1440"/>
        </w:tabs>
        <w:ind w:left="1440" w:hanging="360"/>
      </w:pPr>
      <w:rPr>
        <w:rFonts w:ascii="Times New Roman" w:hAnsi="Times New Roman" w:hint="default"/>
      </w:rPr>
    </w:lvl>
    <w:lvl w:ilvl="2" w:tplc="18F84C88" w:tentative="1">
      <w:start w:val="1"/>
      <w:numFmt w:val="bullet"/>
      <w:lvlText w:val="•"/>
      <w:lvlJc w:val="left"/>
      <w:pPr>
        <w:tabs>
          <w:tab w:val="num" w:pos="2160"/>
        </w:tabs>
        <w:ind w:left="2160" w:hanging="360"/>
      </w:pPr>
      <w:rPr>
        <w:rFonts w:ascii="Arial" w:hAnsi="Arial" w:hint="default"/>
      </w:rPr>
    </w:lvl>
    <w:lvl w:ilvl="3" w:tplc="79ECE5BE" w:tentative="1">
      <w:start w:val="1"/>
      <w:numFmt w:val="bullet"/>
      <w:lvlText w:val="•"/>
      <w:lvlJc w:val="left"/>
      <w:pPr>
        <w:tabs>
          <w:tab w:val="num" w:pos="2880"/>
        </w:tabs>
        <w:ind w:left="2880" w:hanging="360"/>
      </w:pPr>
      <w:rPr>
        <w:rFonts w:ascii="Arial" w:hAnsi="Arial" w:hint="default"/>
      </w:rPr>
    </w:lvl>
    <w:lvl w:ilvl="4" w:tplc="701EC200" w:tentative="1">
      <w:start w:val="1"/>
      <w:numFmt w:val="bullet"/>
      <w:lvlText w:val="•"/>
      <w:lvlJc w:val="left"/>
      <w:pPr>
        <w:tabs>
          <w:tab w:val="num" w:pos="3600"/>
        </w:tabs>
        <w:ind w:left="3600" w:hanging="360"/>
      </w:pPr>
      <w:rPr>
        <w:rFonts w:ascii="Arial" w:hAnsi="Arial" w:hint="default"/>
      </w:rPr>
    </w:lvl>
    <w:lvl w:ilvl="5" w:tplc="0C44D926" w:tentative="1">
      <w:start w:val="1"/>
      <w:numFmt w:val="bullet"/>
      <w:lvlText w:val="•"/>
      <w:lvlJc w:val="left"/>
      <w:pPr>
        <w:tabs>
          <w:tab w:val="num" w:pos="4320"/>
        </w:tabs>
        <w:ind w:left="4320" w:hanging="360"/>
      </w:pPr>
      <w:rPr>
        <w:rFonts w:ascii="Arial" w:hAnsi="Arial" w:hint="default"/>
      </w:rPr>
    </w:lvl>
    <w:lvl w:ilvl="6" w:tplc="168A2EF0" w:tentative="1">
      <w:start w:val="1"/>
      <w:numFmt w:val="bullet"/>
      <w:lvlText w:val="•"/>
      <w:lvlJc w:val="left"/>
      <w:pPr>
        <w:tabs>
          <w:tab w:val="num" w:pos="5040"/>
        </w:tabs>
        <w:ind w:left="5040" w:hanging="360"/>
      </w:pPr>
      <w:rPr>
        <w:rFonts w:ascii="Arial" w:hAnsi="Arial" w:hint="default"/>
      </w:rPr>
    </w:lvl>
    <w:lvl w:ilvl="7" w:tplc="29B8E422" w:tentative="1">
      <w:start w:val="1"/>
      <w:numFmt w:val="bullet"/>
      <w:lvlText w:val="•"/>
      <w:lvlJc w:val="left"/>
      <w:pPr>
        <w:tabs>
          <w:tab w:val="num" w:pos="5760"/>
        </w:tabs>
        <w:ind w:left="5760" w:hanging="360"/>
      </w:pPr>
      <w:rPr>
        <w:rFonts w:ascii="Arial" w:hAnsi="Arial" w:hint="default"/>
      </w:rPr>
    </w:lvl>
    <w:lvl w:ilvl="8" w:tplc="A2A414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3E1AA7"/>
    <w:multiLevelType w:val="multilevel"/>
    <w:tmpl w:val="80C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25D63"/>
    <w:multiLevelType w:val="multilevel"/>
    <w:tmpl w:val="AE2E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224C"/>
    <w:multiLevelType w:val="hybridMultilevel"/>
    <w:tmpl w:val="0D9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60171"/>
    <w:multiLevelType w:val="multilevel"/>
    <w:tmpl w:val="1AFA4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287453C"/>
    <w:multiLevelType w:val="hybridMultilevel"/>
    <w:tmpl w:val="7EA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C3E6D"/>
    <w:multiLevelType w:val="multilevel"/>
    <w:tmpl w:val="18F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649F0"/>
    <w:multiLevelType w:val="hybridMultilevel"/>
    <w:tmpl w:val="74E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82E53"/>
    <w:multiLevelType w:val="multilevel"/>
    <w:tmpl w:val="D50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E5B7A"/>
    <w:multiLevelType w:val="multilevel"/>
    <w:tmpl w:val="5DA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32F8C"/>
    <w:multiLevelType w:val="hybridMultilevel"/>
    <w:tmpl w:val="B3009690"/>
    <w:lvl w:ilvl="0" w:tplc="874A975A">
      <w:start w:val="1"/>
      <w:numFmt w:val="bullet"/>
      <w:lvlText w:val="–"/>
      <w:lvlJc w:val="left"/>
      <w:pPr>
        <w:tabs>
          <w:tab w:val="num" w:pos="720"/>
        </w:tabs>
        <w:ind w:left="720" w:hanging="360"/>
      </w:pPr>
      <w:rPr>
        <w:rFonts w:ascii="Times New Roman" w:hAnsi="Times New Roman" w:hint="default"/>
      </w:rPr>
    </w:lvl>
    <w:lvl w:ilvl="1" w:tplc="DAAA3524">
      <w:start w:val="1"/>
      <w:numFmt w:val="bullet"/>
      <w:lvlText w:val="–"/>
      <w:lvlJc w:val="left"/>
      <w:pPr>
        <w:tabs>
          <w:tab w:val="num" w:pos="1440"/>
        </w:tabs>
        <w:ind w:left="1440" w:hanging="360"/>
      </w:pPr>
      <w:rPr>
        <w:rFonts w:ascii="Times New Roman" w:hAnsi="Times New Roman" w:hint="default"/>
      </w:rPr>
    </w:lvl>
    <w:lvl w:ilvl="2" w:tplc="2C76F016" w:tentative="1">
      <w:start w:val="1"/>
      <w:numFmt w:val="bullet"/>
      <w:lvlText w:val="–"/>
      <w:lvlJc w:val="left"/>
      <w:pPr>
        <w:tabs>
          <w:tab w:val="num" w:pos="2160"/>
        </w:tabs>
        <w:ind w:left="2160" w:hanging="360"/>
      </w:pPr>
      <w:rPr>
        <w:rFonts w:ascii="Times New Roman" w:hAnsi="Times New Roman" w:hint="default"/>
      </w:rPr>
    </w:lvl>
    <w:lvl w:ilvl="3" w:tplc="FA9273B8" w:tentative="1">
      <w:start w:val="1"/>
      <w:numFmt w:val="bullet"/>
      <w:lvlText w:val="–"/>
      <w:lvlJc w:val="left"/>
      <w:pPr>
        <w:tabs>
          <w:tab w:val="num" w:pos="2880"/>
        </w:tabs>
        <w:ind w:left="2880" w:hanging="360"/>
      </w:pPr>
      <w:rPr>
        <w:rFonts w:ascii="Times New Roman" w:hAnsi="Times New Roman" w:hint="default"/>
      </w:rPr>
    </w:lvl>
    <w:lvl w:ilvl="4" w:tplc="EB0483AC" w:tentative="1">
      <w:start w:val="1"/>
      <w:numFmt w:val="bullet"/>
      <w:lvlText w:val="–"/>
      <w:lvlJc w:val="left"/>
      <w:pPr>
        <w:tabs>
          <w:tab w:val="num" w:pos="3600"/>
        </w:tabs>
        <w:ind w:left="3600" w:hanging="360"/>
      </w:pPr>
      <w:rPr>
        <w:rFonts w:ascii="Times New Roman" w:hAnsi="Times New Roman" w:hint="default"/>
      </w:rPr>
    </w:lvl>
    <w:lvl w:ilvl="5" w:tplc="BB86A2E8" w:tentative="1">
      <w:start w:val="1"/>
      <w:numFmt w:val="bullet"/>
      <w:lvlText w:val="–"/>
      <w:lvlJc w:val="left"/>
      <w:pPr>
        <w:tabs>
          <w:tab w:val="num" w:pos="4320"/>
        </w:tabs>
        <w:ind w:left="4320" w:hanging="360"/>
      </w:pPr>
      <w:rPr>
        <w:rFonts w:ascii="Times New Roman" w:hAnsi="Times New Roman" w:hint="default"/>
      </w:rPr>
    </w:lvl>
    <w:lvl w:ilvl="6" w:tplc="4460AAFC" w:tentative="1">
      <w:start w:val="1"/>
      <w:numFmt w:val="bullet"/>
      <w:lvlText w:val="–"/>
      <w:lvlJc w:val="left"/>
      <w:pPr>
        <w:tabs>
          <w:tab w:val="num" w:pos="5040"/>
        </w:tabs>
        <w:ind w:left="5040" w:hanging="360"/>
      </w:pPr>
      <w:rPr>
        <w:rFonts w:ascii="Times New Roman" w:hAnsi="Times New Roman" w:hint="default"/>
      </w:rPr>
    </w:lvl>
    <w:lvl w:ilvl="7" w:tplc="36CA5816" w:tentative="1">
      <w:start w:val="1"/>
      <w:numFmt w:val="bullet"/>
      <w:lvlText w:val="–"/>
      <w:lvlJc w:val="left"/>
      <w:pPr>
        <w:tabs>
          <w:tab w:val="num" w:pos="5760"/>
        </w:tabs>
        <w:ind w:left="5760" w:hanging="360"/>
      </w:pPr>
      <w:rPr>
        <w:rFonts w:ascii="Times New Roman" w:hAnsi="Times New Roman" w:hint="default"/>
      </w:rPr>
    </w:lvl>
    <w:lvl w:ilvl="8" w:tplc="CBE6B92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D98762D"/>
    <w:multiLevelType w:val="hybridMultilevel"/>
    <w:tmpl w:val="F64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B4099"/>
    <w:multiLevelType w:val="multilevel"/>
    <w:tmpl w:val="EA788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702C63"/>
    <w:multiLevelType w:val="multilevel"/>
    <w:tmpl w:val="2F5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B7CA8"/>
    <w:multiLevelType w:val="multilevel"/>
    <w:tmpl w:val="FF5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E56F0"/>
    <w:multiLevelType w:val="hybridMultilevel"/>
    <w:tmpl w:val="13003BA4"/>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6" w15:restartNumberingAfterBreak="0">
    <w:nsid w:val="75947968"/>
    <w:multiLevelType w:val="multilevel"/>
    <w:tmpl w:val="CF56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B7E62"/>
    <w:multiLevelType w:val="hybridMultilevel"/>
    <w:tmpl w:val="816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6"/>
  </w:num>
  <w:num w:numId="4">
    <w:abstractNumId w:val="8"/>
  </w:num>
  <w:num w:numId="5">
    <w:abstractNumId w:val="15"/>
  </w:num>
  <w:num w:numId="6">
    <w:abstractNumId w:val="20"/>
  </w:num>
  <w:num w:numId="7">
    <w:abstractNumId w:val="23"/>
  </w:num>
  <w:num w:numId="8">
    <w:abstractNumId w:val="9"/>
  </w:num>
  <w:num w:numId="9">
    <w:abstractNumId w:val="1"/>
  </w:num>
  <w:num w:numId="10">
    <w:abstractNumId w:val="6"/>
  </w:num>
  <w:num w:numId="11">
    <w:abstractNumId w:val="22"/>
  </w:num>
  <w:num w:numId="12">
    <w:abstractNumId w:val="4"/>
  </w:num>
  <w:num w:numId="13">
    <w:abstractNumId w:val="3"/>
  </w:num>
  <w:num w:numId="14">
    <w:abstractNumId w:val="18"/>
  </w:num>
  <w:num w:numId="15">
    <w:abstractNumId w:val="0"/>
  </w:num>
  <w:num w:numId="16">
    <w:abstractNumId w:val="21"/>
  </w:num>
  <w:num w:numId="17">
    <w:abstractNumId w:val="5"/>
  </w:num>
  <w:num w:numId="18">
    <w:abstractNumId w:val="19"/>
  </w:num>
  <w:num w:numId="19">
    <w:abstractNumId w:val="13"/>
  </w:num>
  <w:num w:numId="20">
    <w:abstractNumId w:val="7"/>
  </w:num>
  <w:num w:numId="21">
    <w:abstractNumId w:val="11"/>
  </w:num>
  <w:num w:numId="22">
    <w:abstractNumId w:val="28"/>
  </w:num>
  <w:num w:numId="23">
    <w:abstractNumId w:val="24"/>
  </w:num>
  <w:num w:numId="24">
    <w:abstractNumId w:val="12"/>
  </w:num>
  <w:num w:numId="25">
    <w:abstractNumId w:val="26"/>
  </w:num>
  <w:num w:numId="26">
    <w:abstractNumId w:val="25"/>
  </w:num>
  <w:num w:numId="27">
    <w:abstractNumId w:val="10"/>
  </w:num>
  <w:num w:numId="28">
    <w:abstractNumId w:val="17"/>
  </w:num>
  <w:num w:numId="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gFAONWI4EtAAAA"/>
  </w:docVars>
  <w:rsids>
    <w:rsidRoot w:val="00FB0F58"/>
    <w:rsid w:val="00000099"/>
    <w:rsid w:val="000017F4"/>
    <w:rsid w:val="00001EE0"/>
    <w:rsid w:val="0000261B"/>
    <w:rsid w:val="0000325A"/>
    <w:rsid w:val="0000383C"/>
    <w:rsid w:val="00004A9E"/>
    <w:rsid w:val="00005A56"/>
    <w:rsid w:val="00007912"/>
    <w:rsid w:val="00011179"/>
    <w:rsid w:val="0001137C"/>
    <w:rsid w:val="0001277B"/>
    <w:rsid w:val="00013095"/>
    <w:rsid w:val="00013C21"/>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BAF"/>
    <w:rsid w:val="00050EAF"/>
    <w:rsid w:val="00050EEF"/>
    <w:rsid w:val="00051ACA"/>
    <w:rsid w:val="00051E97"/>
    <w:rsid w:val="00052B15"/>
    <w:rsid w:val="00053D27"/>
    <w:rsid w:val="0005402E"/>
    <w:rsid w:val="000546E4"/>
    <w:rsid w:val="00054A8A"/>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51E6"/>
    <w:rsid w:val="00075769"/>
    <w:rsid w:val="00076A8B"/>
    <w:rsid w:val="00080212"/>
    <w:rsid w:val="00080C7D"/>
    <w:rsid w:val="000827A5"/>
    <w:rsid w:val="00084571"/>
    <w:rsid w:val="00085306"/>
    <w:rsid w:val="00085FA2"/>
    <w:rsid w:val="00086D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27B7"/>
    <w:rsid w:val="000D284F"/>
    <w:rsid w:val="000D2A0B"/>
    <w:rsid w:val="000D30B7"/>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6D84"/>
    <w:rsid w:val="0010721A"/>
    <w:rsid w:val="001075EA"/>
    <w:rsid w:val="00107769"/>
    <w:rsid w:val="00111491"/>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0AD4"/>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3F67"/>
    <w:rsid w:val="00154EDD"/>
    <w:rsid w:val="00154FFF"/>
    <w:rsid w:val="00155DC7"/>
    <w:rsid w:val="00157754"/>
    <w:rsid w:val="001602B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508FD"/>
    <w:rsid w:val="002526BA"/>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0E"/>
    <w:rsid w:val="00272E7F"/>
    <w:rsid w:val="00272F01"/>
    <w:rsid w:val="002745BA"/>
    <w:rsid w:val="00274B60"/>
    <w:rsid w:val="002775BD"/>
    <w:rsid w:val="00280093"/>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4C5"/>
    <w:rsid w:val="00364740"/>
    <w:rsid w:val="0036579B"/>
    <w:rsid w:val="00366235"/>
    <w:rsid w:val="00367D43"/>
    <w:rsid w:val="00370FE1"/>
    <w:rsid w:val="00372A31"/>
    <w:rsid w:val="0037378D"/>
    <w:rsid w:val="003752E1"/>
    <w:rsid w:val="00375AA6"/>
    <w:rsid w:val="00375B0C"/>
    <w:rsid w:val="00375EA2"/>
    <w:rsid w:val="003762C1"/>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904"/>
    <w:rsid w:val="00394D30"/>
    <w:rsid w:val="003961F7"/>
    <w:rsid w:val="00396538"/>
    <w:rsid w:val="003966FE"/>
    <w:rsid w:val="00396AC1"/>
    <w:rsid w:val="003A10CE"/>
    <w:rsid w:val="003A2E1C"/>
    <w:rsid w:val="003A2E3C"/>
    <w:rsid w:val="003A340C"/>
    <w:rsid w:val="003A34DC"/>
    <w:rsid w:val="003A36BF"/>
    <w:rsid w:val="003A382F"/>
    <w:rsid w:val="003A53C6"/>
    <w:rsid w:val="003A5FA3"/>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7065B"/>
    <w:rsid w:val="004743D8"/>
    <w:rsid w:val="004748B4"/>
    <w:rsid w:val="00474FFE"/>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658"/>
    <w:rsid w:val="00520753"/>
    <w:rsid w:val="005210A5"/>
    <w:rsid w:val="00522548"/>
    <w:rsid w:val="00522D6A"/>
    <w:rsid w:val="00523B86"/>
    <w:rsid w:val="00524545"/>
    <w:rsid w:val="00524CD3"/>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7185"/>
    <w:rsid w:val="0071013E"/>
    <w:rsid w:val="007101E4"/>
    <w:rsid w:val="00710A98"/>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E10"/>
    <w:rsid w:val="007620D1"/>
    <w:rsid w:val="0076410A"/>
    <w:rsid w:val="00765E3A"/>
    <w:rsid w:val="007668F3"/>
    <w:rsid w:val="00766E2E"/>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012"/>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5C31"/>
    <w:rsid w:val="007C5F1D"/>
    <w:rsid w:val="007C72E7"/>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611CA"/>
    <w:rsid w:val="00861213"/>
    <w:rsid w:val="00862BB2"/>
    <w:rsid w:val="00862BE9"/>
    <w:rsid w:val="008631AF"/>
    <w:rsid w:val="00863635"/>
    <w:rsid w:val="00863B4D"/>
    <w:rsid w:val="00863B64"/>
    <w:rsid w:val="00863D35"/>
    <w:rsid w:val="00865321"/>
    <w:rsid w:val="00866C81"/>
    <w:rsid w:val="00867A82"/>
    <w:rsid w:val="00870EFC"/>
    <w:rsid w:val="00871A99"/>
    <w:rsid w:val="00872131"/>
    <w:rsid w:val="00873D3A"/>
    <w:rsid w:val="008740F6"/>
    <w:rsid w:val="00874130"/>
    <w:rsid w:val="00874818"/>
    <w:rsid w:val="008765E3"/>
    <w:rsid w:val="008805F6"/>
    <w:rsid w:val="00880601"/>
    <w:rsid w:val="00880F47"/>
    <w:rsid w:val="0088151B"/>
    <w:rsid w:val="0088154E"/>
    <w:rsid w:val="008816FE"/>
    <w:rsid w:val="00881B77"/>
    <w:rsid w:val="00881FB9"/>
    <w:rsid w:val="00882A7B"/>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5982"/>
    <w:rsid w:val="008A6306"/>
    <w:rsid w:val="008A65E4"/>
    <w:rsid w:val="008A68A8"/>
    <w:rsid w:val="008A7F05"/>
    <w:rsid w:val="008B126A"/>
    <w:rsid w:val="008B1410"/>
    <w:rsid w:val="008B2101"/>
    <w:rsid w:val="008B2C69"/>
    <w:rsid w:val="008B2D28"/>
    <w:rsid w:val="008B35C0"/>
    <w:rsid w:val="008B44EE"/>
    <w:rsid w:val="008B5A62"/>
    <w:rsid w:val="008C0498"/>
    <w:rsid w:val="008C2F85"/>
    <w:rsid w:val="008C3175"/>
    <w:rsid w:val="008C3DD0"/>
    <w:rsid w:val="008C540C"/>
    <w:rsid w:val="008C5F17"/>
    <w:rsid w:val="008C7262"/>
    <w:rsid w:val="008C7482"/>
    <w:rsid w:val="008D02F2"/>
    <w:rsid w:val="008D06FB"/>
    <w:rsid w:val="008D0CDD"/>
    <w:rsid w:val="008D2A25"/>
    <w:rsid w:val="008D3309"/>
    <w:rsid w:val="008D4990"/>
    <w:rsid w:val="008D4E00"/>
    <w:rsid w:val="008D56E7"/>
    <w:rsid w:val="008D57A6"/>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0AA"/>
    <w:rsid w:val="009D2C46"/>
    <w:rsid w:val="009D317F"/>
    <w:rsid w:val="009D354E"/>
    <w:rsid w:val="009D36E0"/>
    <w:rsid w:val="009D4711"/>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625"/>
    <w:rsid w:val="00A27EAD"/>
    <w:rsid w:val="00A30966"/>
    <w:rsid w:val="00A3218D"/>
    <w:rsid w:val="00A32400"/>
    <w:rsid w:val="00A329D9"/>
    <w:rsid w:val="00A32AF8"/>
    <w:rsid w:val="00A33ECD"/>
    <w:rsid w:val="00A34C23"/>
    <w:rsid w:val="00A35FBD"/>
    <w:rsid w:val="00A368A9"/>
    <w:rsid w:val="00A36ACB"/>
    <w:rsid w:val="00A37375"/>
    <w:rsid w:val="00A37691"/>
    <w:rsid w:val="00A40387"/>
    <w:rsid w:val="00A428A7"/>
    <w:rsid w:val="00A44973"/>
    <w:rsid w:val="00A44EF8"/>
    <w:rsid w:val="00A45CE9"/>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3189"/>
    <w:rsid w:val="00B13F02"/>
    <w:rsid w:val="00B13F3D"/>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6600"/>
    <w:rsid w:val="00C070FC"/>
    <w:rsid w:val="00C112AC"/>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627"/>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25E"/>
    <w:rsid w:val="00E61885"/>
    <w:rsid w:val="00E62CC1"/>
    <w:rsid w:val="00E6335D"/>
    <w:rsid w:val="00E63CA2"/>
    <w:rsid w:val="00E709D8"/>
    <w:rsid w:val="00E7175C"/>
    <w:rsid w:val="00E721E4"/>
    <w:rsid w:val="00E72425"/>
    <w:rsid w:val="00E731F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4414"/>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4FD4"/>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6A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38D4"/>
    <w:rsid w:val="00FB41F4"/>
    <w:rsid w:val="00FB52DF"/>
    <w:rsid w:val="00FB5523"/>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0CA0"/>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cdc.gov/coronavirus/2019-ncov/vaccines/stay-up-to-date.html__;!!CUhgQOZqV7M!0bvqomVp3-NQWsKsAQuLGJN_K7OJQLFHvKwDMK9-LmSVGPGhUS1Sy58DTVFTpb-siRSIPQ$" TargetMode="External"/><Relationship Id="rId18" Type="http://schemas.openxmlformats.org/officeDocument/2006/relationships/hyperlink" Target="https://vaxfinder.mass.gov/" TargetMode="External"/><Relationship Id="rId26" Type="http://schemas.openxmlformats.org/officeDocument/2006/relationships/hyperlink" Target="https://www.mass.gov/info-details/information-for-providers-about-monoclonal-antibody-mab-therapy-treatment-for-covid-19" TargetMode="External"/><Relationship Id="rId39" Type="http://schemas.openxmlformats.org/officeDocument/2006/relationships/hyperlink" Target="https://www.fda.gov/media/153714/download" TargetMode="External"/><Relationship Id="rId21" Type="http://schemas.openxmlformats.org/officeDocument/2006/relationships/hyperlink" Target="https://www.cvdvaccine-us.com/images/pdf/Vaccine-Formulation-Presentation-Guide.pdf" TargetMode="External"/><Relationship Id="rId34" Type="http://schemas.openxmlformats.org/officeDocument/2006/relationships/hyperlink" Target="https://www.cdc.gov/vaccines/covid-19/info-by-product/pfizer/pfizer-bioNTech-children-adolescents.html" TargetMode="External"/><Relationship Id="rId42" Type="http://schemas.openxmlformats.org/officeDocument/2006/relationships/hyperlink" Target="https://www.fda.gov/media/144637/download" TargetMode="External"/><Relationship Id="rId47" Type="http://schemas.openxmlformats.org/officeDocument/2006/relationships/image" Target="media/image4.png"/><Relationship Id="rId50" Type="http://schemas.openxmlformats.org/officeDocument/2006/relationships/hyperlink" Target="https://149400210.v2.pressablecdn.com/wp-content/uploads/1-7-22-UPDATED-Booster-and-Third-Dose-Graphic.png" TargetMode="External"/><Relationship Id="rId55"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63" Type="http://schemas.openxmlformats.org/officeDocument/2006/relationships/hyperlink" Target="https://www.chop.edu/centers-programs/vaccine-education-center/vaccine-conversations" TargetMode="External"/><Relationship Id="rId68" Type="http://schemas.openxmlformats.org/officeDocument/2006/relationships/hyperlink" Target="https://www.cdc.gov/vaccines/covid-19/training-education/webinars.html" TargetMode="External"/><Relationship Id="rId76" Type="http://schemas.openxmlformats.org/officeDocument/2006/relationships/hyperlink" Target="https://www.mass.gov/covid-19-vaccine" TargetMode="External"/><Relationship Id="rId84" Type="http://schemas.openxmlformats.org/officeDocument/2006/relationships/hyperlink" Target="https://www.mass.gov/service-details/vaccine-management"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cdc.gov/mmwr/covid19_vaccine_safety.html" TargetMode="External"/><Relationship Id="rId2" Type="http://schemas.openxmlformats.org/officeDocument/2006/relationships/numbering" Target="numbering.xml"/><Relationship Id="rId16" Type="http://schemas.openxmlformats.org/officeDocument/2006/relationships/hyperlink" Target="https://vaxfinder.mass.gov/" TargetMode="External"/><Relationship Id="rId29" Type="http://schemas.openxmlformats.org/officeDocument/2006/relationships/hyperlink" Target="http://www.myvaxrecords.mass.gov" TargetMode="External"/><Relationship Id="rId11" Type="http://schemas.openxmlformats.org/officeDocument/2006/relationships/hyperlink" Target="https://www.cdc.gov/media/releases/2022/t0107-covid-update.html" TargetMode="External"/><Relationship Id="rId24" Type="http://schemas.openxmlformats.org/officeDocument/2006/relationships/hyperlink" Target="https://www.mass.gov/info-details/information-for-providers-about-monoclonal-antibody-mab-therapy-treatment-for-covid-19" TargetMode="External"/><Relationship Id="rId32" Type="http://schemas.openxmlformats.org/officeDocument/2006/relationships/hyperlink" Target="mailto:miishelpdesk@mass.gov" TargetMode="External"/><Relationship Id="rId37" Type="http://schemas.openxmlformats.org/officeDocument/2006/relationships/hyperlink" Target="https://www.fda.gov/media/153713/download" TargetMode="External"/><Relationship Id="rId40" Type="http://schemas.openxmlformats.org/officeDocument/2006/relationships/hyperlink" Target="https://www.fda.gov/media/144414/download" TargetMode="External"/><Relationship Id="rId45" Type="http://schemas.openxmlformats.org/officeDocument/2006/relationships/hyperlink" Target="https://www.fda.gov/media/146305/download" TargetMode="External"/><Relationship Id="rId53" Type="http://schemas.openxmlformats.org/officeDocument/2006/relationships/hyperlink" Target="https://www.cdc.gov/vaccines/covid-19/clinical-considerations/covid-19-vaccines-us.html" TargetMode="External"/><Relationship Id="rId58" Type="http://schemas.openxmlformats.org/officeDocument/2006/relationships/hyperlink" Target="https://www.pnqinma.org/vaccine-initiative-events-trainings" TargetMode="External"/><Relationship Id="rId66" Type="http://schemas.openxmlformats.org/officeDocument/2006/relationships/hyperlink" Target="https://www.youtube.com/watch?v=N6nPjO0Yt3Q&amp;list=PLUv9oht3hC6SC9Cr_mV-P4UTzdzwrb42i" TargetMode="External"/><Relationship Id="rId74" Type="http://schemas.openxmlformats.org/officeDocument/2006/relationships/hyperlink" Target="https://www.cdc.gov/mmwr/volumes/71/wr/mm7101a4.htm?s_cid=mm7101a4_w" TargetMode="External"/><Relationship Id="rId79" Type="http://schemas.openxmlformats.org/officeDocument/2006/relationships/hyperlink" Target="https://vaxfinder.mass.gov/"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urldefense.com/v3/__https:/us02web.zoom.us/meeting/register/tZwocOqvqT4rE9JjBan51Vn0pzSinQNU41rL__;!!CUhgQOZqV7M!1k0pCGlt9eYSmCvcSnFILfKmtd8oEmnDvt3k0NrQ6CJ6EHabdTIRhY1Xb69VtQX9iZKOqg$" TargetMode="External"/><Relationship Id="rId82" Type="http://schemas.openxmlformats.org/officeDocument/2006/relationships/hyperlink" Target="https://www.mass.gov/service-details/massachusetts-immunization-information-system-miis" TargetMode="External"/><Relationship Id="rId19" Type="http://schemas.openxmlformats.org/officeDocument/2006/relationships/hyperlink" Target="https://urldefense.com/v3/__https:/www.fda.gov/media/153714/download__;!!CUhgQOZqV7M!3IZrvIleQM4qbC_WsqxGaepfhPn1-chH3KTDLthxJ4X76_8HficOsKEownU54HGG90AeCl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axfinder.mass.gov/" TargetMode="External"/><Relationship Id="rId22" Type="http://schemas.openxmlformats.org/officeDocument/2006/relationships/image" Target="media/image3.png"/><Relationship Id="rId27" Type="http://schemas.openxmlformats.org/officeDocument/2006/relationships/hyperlink" Target="https://www.mass.gov/info-details/information-for-providers-about-monoclonal-antibody-mab-therapy-treatment-for-covid-19" TargetMode="External"/><Relationship Id="rId30" Type="http://schemas.openxmlformats.org/officeDocument/2006/relationships/hyperlink" Target="http://www.myvaxrecords.mass.gov/" TargetMode="External"/><Relationship Id="rId35" Type="http://schemas.openxmlformats.org/officeDocument/2006/relationships/hyperlink" Target="https://www.cdc.gov/vaccines/covid-19/info-by-product/pfizer/bioNTech-purple-cap-12-and-over.html" TargetMode="External"/><Relationship Id="rId43" Type="http://schemas.openxmlformats.org/officeDocument/2006/relationships/hyperlink" Target="https://www.fda.gov/media/144638/download" TargetMode="External"/><Relationship Id="rId48" Type="http://schemas.openxmlformats.org/officeDocument/2006/relationships/hyperlink" Target="https://www.cdc.gov/vaccines/covid-19/clinical-considerations/covid-19-vaccines-us.html" TargetMode="External"/><Relationship Id="rId56" Type="http://schemas.openxmlformats.org/officeDocument/2006/relationships/hyperlink" Target="https://www.mapc.org/resource-library/covid19-art/" TargetMode="External"/><Relationship Id="rId64" Type="http://schemas.openxmlformats.org/officeDocument/2006/relationships/hyperlink" Target="https://www.youtube.com/watch?v=-6NFOGJW3ZI&amp;list=PLUv9oht3hC6SC9Cr_mV-P4UTzdzwrb42i&amp;index=2" TargetMode="External"/><Relationship Id="rId69" Type="http://schemas.openxmlformats.org/officeDocument/2006/relationships/hyperlink" Target="https://vaccineresourcehub.org/" TargetMode="External"/><Relationship Id="rId77" Type="http://schemas.openxmlformats.org/officeDocument/2006/relationships/hyperlink" Target="https://www.mass.gov/info-details/covid-19-booster-frequently-asked-questions" TargetMode="External"/><Relationship Id="rId8" Type="http://schemas.openxmlformats.org/officeDocument/2006/relationships/image" Target="media/image1.jpeg"/><Relationship Id="rId51" Type="http://schemas.openxmlformats.org/officeDocument/2006/relationships/image" Target="media/image6.png"/><Relationship Id="rId72" Type="http://schemas.openxmlformats.org/officeDocument/2006/relationships/hyperlink" Target="https://www.cdc.gov/mmwr/volumes/71/wr/mm7102e1.htm?s_cid=mm7102e1_w" TargetMode="External"/><Relationship Id="rId80" Type="http://schemas.openxmlformats.org/officeDocument/2006/relationships/hyperlink" Target="https://www.mass.gov/topics/immunization" TargetMode="External"/><Relationship Id="rId85" Type="http://schemas.openxmlformats.org/officeDocument/2006/relationships/hyperlink" Target="mailto:COVID-19-Vaccine-Plan-MA@mass.gov" TargetMode="External"/><Relationship Id="rId3" Type="http://schemas.openxmlformats.org/officeDocument/2006/relationships/styles" Target="styles.xml"/><Relationship Id="rId12" Type="http://schemas.openxmlformats.org/officeDocument/2006/relationships/hyperlink" Target="https://www.cdc.gov/vaccines/covid-19/clinical-considerations/covid-19-vaccines-us.html" TargetMode="External"/><Relationship Id="rId17" Type="http://schemas.openxmlformats.org/officeDocument/2006/relationships/hyperlink" Target="https://vaxfinder.mass.gov/" TargetMode="External"/><Relationship Id="rId25" Type="http://schemas.openxmlformats.org/officeDocument/2006/relationships/hyperlink" Target="https://www.mass.gov/info-details/information-for-providers-about-monoclonal-antibody-mab-therapy-treatment-for-covid-19" TargetMode="External"/><Relationship Id="rId33" Type="http://schemas.openxmlformats.org/officeDocument/2006/relationships/hyperlink" Target="https://www.cdc.gov/vaccines/covid-19/downloads/covid19-vaccine-quick-reference-guide-2pages.pdf" TargetMode="External"/><Relationship Id="rId38" Type="http://schemas.openxmlformats.org/officeDocument/2006/relationships/hyperlink" Target="https://www.fda.gov/media/153715/download" TargetMode="External"/><Relationship Id="rId46" Type="http://schemas.openxmlformats.org/officeDocument/2006/relationships/hyperlink" Target="https://www.cdc.gov/vaccines/covid-19/clinical-considerations/covid-19-vaccines-us.html" TargetMode="External"/><Relationship Id="rId59" Type="http://schemas.openxmlformats.org/officeDocument/2006/relationships/hyperlink" Target="https://urldefense.com/v3/__https:/us02web.zoom.us/meeting/register/tZYocuCurTwqG9JhyrscwZhh4aVZN_RutQRQ__;!!CUhgQOZqV7M!1k0pCGlt9eYSmCvcSnFILfKmtd8oEmnDvt3k0NrQ6CJ6EHabdTIRhY1Xb69VtQXyAmEfYw$" TargetMode="External"/><Relationship Id="rId67" Type="http://schemas.openxmlformats.org/officeDocument/2006/relationships/hyperlink" Target="https://www.youtube.com/watch?v=RCU_f3HkVvU&amp;list=PLUv9oht3hC6SC9Cr_mV-P4UTzdzwrb42i&amp;index=5" TargetMode="External"/><Relationship Id="rId20" Type="http://schemas.openxmlformats.org/officeDocument/2006/relationships/hyperlink" Target="https://urldefense.com/v3/__https:/www.fda.gov/media/153715/download__;!!CUhgQOZqV7M!3IZrvIleQM4qbC_WsqxGaepfhPn1-chH3KTDLthxJ4X76_8HficOsKEownU54HGG0G00sjY$" TargetMode="External"/><Relationship Id="rId41" Type="http://schemas.openxmlformats.org/officeDocument/2006/relationships/hyperlink" Target="https://www.fda.gov/media/153717/download" TargetMode="External"/><Relationship Id="rId54" Type="http://schemas.openxmlformats.org/officeDocument/2006/relationships/hyperlink" Target="https://resources.miisresourcecenter.com/trainingcenter/Storage%20Handling%20Problem_2018_QSG.pdf" TargetMode="External"/><Relationship Id="rId62" Type="http://schemas.openxmlformats.org/officeDocument/2006/relationships/hyperlink" Target="https://www.cdc.gov/vaccines/covid-19/hcp/conversations-module.html" TargetMode="External"/><Relationship Id="rId70" Type="http://schemas.openxmlformats.org/officeDocument/2006/relationships/hyperlink" Target="https://urldefense.com/v3/__https:/www.pfizermedicalinformation.com/en-us/medical-updates__;!!CUhgQOZqV7M!wnopdixLkKhCVeMjUiwcd-KVQVUN9jXipkisyDlTme9oe3pB9EYR1yJo7AhKgBWejq3FUBI$" TargetMode="External"/><Relationship Id="rId75" Type="http://schemas.openxmlformats.org/officeDocument/2006/relationships/hyperlink" Target="https://www.cdc.gov/mmwr/volumes/71/wr/mm7101e1.htm?s_cid=mm7101e1_w" TargetMode="External"/><Relationship Id="rId83" Type="http://schemas.openxmlformats.org/officeDocument/2006/relationships/hyperlink" Target="mailto:dph-vaccine-management@mass.go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axfinder.mass.gov/" TargetMode="External"/><Relationship Id="rId23" Type="http://schemas.openxmlformats.org/officeDocument/2006/relationships/hyperlink" Target="https://www.mass.gov/news/baker-polito-administration-announces-state-supported-monoclonal-antibody-treatment-sites-in-massachusetts" TargetMode="External"/><Relationship Id="rId28" Type="http://schemas.openxmlformats.org/officeDocument/2006/relationships/hyperlink" Target="https://www.mass.gov/news/baker-polito-administration-launches-tool-for-residents-to-access-covid-19-digital-vaccine-card" TargetMode="External"/><Relationship Id="rId36" Type="http://schemas.openxmlformats.org/officeDocument/2006/relationships/hyperlink" Target="https://www.cdc.gov/vaccines/covid-19/info-by-product/pfizer/bioNTech-gray-cap-12-and-over.html" TargetMode="External"/><Relationship Id="rId49" Type="http://schemas.openxmlformats.org/officeDocument/2006/relationships/image" Target="media/image5.png"/><Relationship Id="rId57" Type="http://schemas.openxmlformats.org/officeDocument/2006/relationships/hyperlink" Target="https://www.pnqinma.org/" TargetMode="External"/><Relationship Id="rId10" Type="http://schemas.openxmlformats.org/officeDocument/2006/relationships/hyperlink" Target="https://urldefense.com/v3/__https:/www.cdc.gov/media/releases/2022/s0104-Pfizer-Booster.html__;!!CUhgQOZqV7M!1not3-lxvaB049NDknrcu76m6mYVJZyhEOTi2d4wjgmk2L91apIbAd7OFwmMcuyBF20$" TargetMode="External"/><Relationship Id="rId31" Type="http://schemas.openxmlformats.org/officeDocument/2006/relationships/hyperlink" Target="https://resources.miisresourcecenter.com/MIIS%20documents%20OS%20/Patient%20Lookup/Patient%20Lookup_player.html" TargetMode="External"/><Relationship Id="rId44" Type="http://schemas.openxmlformats.org/officeDocument/2006/relationships/hyperlink" Target="https://www.fda.gov/media/146304/download" TargetMode="External"/><Relationship Id="rId52" Type="http://schemas.openxmlformats.org/officeDocument/2006/relationships/hyperlink" Target="https://www.cdc.gov/vaccines/covid-19/clinical-considerations/covid-19-vaccines-us.html" TargetMode="External"/><Relationship Id="rId60" Type="http://schemas.openxmlformats.org/officeDocument/2006/relationships/hyperlink" Target="https://urldefense.com/v3/__https:/us02web.zoom.us/meeting/register/tZcofu6tqTgiGtyCQRPyV9Ksk_T97igpmkMV__;!!CUhgQOZqV7M!1k0pCGlt9eYSmCvcSnFILfKmtd8oEmnDvt3k0NrQ6CJ6EHabdTIRhY1Xb69VtQXpykAoqA$" TargetMode="External"/><Relationship Id="rId65" Type="http://schemas.openxmlformats.org/officeDocument/2006/relationships/hyperlink" Target="https://www.youtube.com/watch?v=XExCbxaYLS0&amp;list=PLUv9oht3hC6SC9Cr_mV-P4UTzdzwrb42i" TargetMode="External"/><Relationship Id="rId73" Type="http://schemas.openxmlformats.org/officeDocument/2006/relationships/hyperlink" Target="https://www.cdc.gov/mmwr/volumes/71/wr/mm7102e2.htm?s_cid=mm7102e2_w" TargetMode="External"/><Relationship Id="rId78" Type="http://schemas.openxmlformats.org/officeDocument/2006/relationships/hyperlink" Target="https://www.mass.gov/info-details/covid-19-booster-frequently-asked-questions" TargetMode="External"/><Relationship Id="rId81" Type="http://schemas.openxmlformats.org/officeDocument/2006/relationships/hyperlink" Target="mailto:miishelpdesk@mass.gov"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6</cp:revision>
  <cp:lastPrinted>2021-05-18T19:57:00Z</cp:lastPrinted>
  <dcterms:created xsi:type="dcterms:W3CDTF">2022-01-11T18:09:00Z</dcterms:created>
  <dcterms:modified xsi:type="dcterms:W3CDTF">2022-01-11T19:43:00Z</dcterms:modified>
</cp:coreProperties>
</file>