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652DBFAD"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1115A8">
        <w:rPr>
          <w:rFonts w:ascii="Calibri" w:hAnsi="Calibri" w:cs="Calibri"/>
          <w:b/>
          <w:bCs/>
          <w:color w:val="333333"/>
          <w:sz w:val="29"/>
          <w:szCs w:val="29"/>
        </w:rPr>
        <w:t>2</w:t>
      </w:r>
      <w:r w:rsidR="00AA2C67">
        <w:rPr>
          <w:rFonts w:ascii="Calibri" w:hAnsi="Calibri" w:cs="Calibri"/>
          <w:b/>
          <w:bCs/>
          <w:color w:val="333333"/>
          <w:sz w:val="29"/>
          <w:szCs w:val="29"/>
        </w:rPr>
        <w:t>/</w:t>
      </w:r>
      <w:r w:rsidR="001178D8">
        <w:rPr>
          <w:rFonts w:ascii="Calibri" w:hAnsi="Calibri" w:cs="Calibri"/>
          <w:b/>
          <w:bCs/>
          <w:color w:val="333333"/>
          <w:sz w:val="29"/>
          <w:szCs w:val="29"/>
        </w:rPr>
        <w:t>23</w:t>
      </w:r>
      <w:r w:rsidR="00AA2C67">
        <w:rPr>
          <w:rFonts w:ascii="Calibri" w:hAnsi="Calibri" w:cs="Calibri"/>
          <w:b/>
          <w:bCs/>
          <w:color w:val="333333"/>
          <w:sz w:val="29"/>
          <w:szCs w:val="29"/>
        </w:rPr>
        <w:t>/2022</w:t>
      </w: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71B2C60E"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3922CE">
        <w:rPr>
          <w:rFonts w:ascii="Calibri" w:hAnsi="Calibri"/>
          <w:color w:val="000000"/>
          <w:sz w:val="21"/>
          <w:szCs w:val="21"/>
        </w:rPr>
        <w:t>2</w:t>
      </w:r>
      <w:r w:rsidR="001A0316" w:rsidRPr="00813173">
        <w:rPr>
          <w:rFonts w:ascii="Calibri" w:hAnsi="Calibri"/>
          <w:color w:val="000000"/>
          <w:sz w:val="21"/>
          <w:szCs w:val="21"/>
        </w:rPr>
        <w:t>/</w:t>
      </w:r>
      <w:r w:rsidR="00494FC2">
        <w:rPr>
          <w:rFonts w:ascii="Calibri" w:hAnsi="Calibri"/>
          <w:color w:val="000000"/>
          <w:sz w:val="21"/>
          <w:szCs w:val="21"/>
        </w:rPr>
        <w:t>23/</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7966BD" w:rsidRPr="007966BD">
        <w:rPr>
          <w:rFonts w:asciiTheme="minorHAnsi" w:hAnsiTheme="minorHAnsi" w:cstheme="minorHAnsi"/>
          <w:b/>
          <w:bCs/>
          <w:color w:val="000000"/>
          <w:sz w:val="22"/>
          <w:szCs w:val="22"/>
        </w:rPr>
        <w:t>5,275,850</w:t>
      </w:r>
      <w:r w:rsidR="007966BD">
        <w:rPr>
          <w:color w:val="000000"/>
        </w:rPr>
        <w:t xml:space="preserve"> </w:t>
      </w:r>
      <w:r w:rsidRPr="00813173">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1E76E12C" w14:textId="135201E4" w:rsidR="007112F8" w:rsidRPr="007112F8" w:rsidRDefault="007112F8" w:rsidP="007112F8">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below for new details</w:t>
      </w:r>
    </w:p>
    <w:p w14:paraId="75127939" w14:textId="779D72EA" w:rsidR="006A6C84" w:rsidRPr="007112F8" w:rsidRDefault="006A6C84" w:rsidP="007112F8">
      <w:pPr>
        <w:shd w:val="clear" w:color="auto" w:fill="FFFFFF"/>
        <w:rPr>
          <w:rFonts w:ascii="Calibri" w:hAnsi="Calibri"/>
          <w:color w:val="000000"/>
          <w:sz w:val="21"/>
          <w:szCs w:val="21"/>
        </w:rPr>
      </w:pPr>
    </w:p>
    <w:p w14:paraId="2C3F35AE" w14:textId="4BCBC8D3" w:rsidR="00D654CB" w:rsidRDefault="00AE0D2A" w:rsidP="0063730E">
      <w:pPr>
        <w:shd w:val="clear" w:color="auto" w:fill="FFFFFF"/>
        <w:rPr>
          <w:rFonts w:ascii="Calibri" w:hAnsi="Calibri"/>
          <w:b/>
          <w:bCs/>
          <w:color w:val="000099"/>
        </w:rPr>
      </w:pPr>
      <w:r w:rsidRPr="00AE0D2A">
        <w:rPr>
          <w:rFonts w:ascii="Calibri" w:hAnsi="Calibri"/>
          <w:b/>
          <w:bCs/>
          <w:color w:val="000099"/>
        </w:rPr>
        <w:t>WHAT TO KNOW THIS WEEK</w:t>
      </w:r>
    </w:p>
    <w:p w14:paraId="0F8A1F38" w14:textId="77777777" w:rsidR="008F6A51" w:rsidRDefault="008F6A51" w:rsidP="008F6A51">
      <w:pPr>
        <w:shd w:val="clear" w:color="auto" w:fill="FFFFFF"/>
        <w:rPr>
          <w:rFonts w:asciiTheme="minorHAnsi" w:hAnsiTheme="minorHAnsi" w:cstheme="minorHAnsi"/>
          <w:b/>
          <w:bCs/>
          <w:color w:val="FF0000"/>
          <w:sz w:val="21"/>
          <w:szCs w:val="21"/>
        </w:rPr>
      </w:pPr>
    </w:p>
    <w:p w14:paraId="7ABA6343" w14:textId="74FFAC83" w:rsidR="008F6A51" w:rsidRPr="00086E15" w:rsidRDefault="008F6A51" w:rsidP="008F6A51">
      <w:pPr>
        <w:shd w:val="clear" w:color="auto" w:fill="FFFFFF"/>
        <w:rPr>
          <w:rFonts w:asciiTheme="minorHAnsi" w:hAnsiTheme="minorHAnsi" w:cstheme="minorHAnsi"/>
          <w:b/>
          <w:bCs/>
          <w:sz w:val="21"/>
          <w:szCs w:val="21"/>
        </w:rPr>
      </w:pPr>
      <w:r w:rsidRPr="00086E15">
        <w:rPr>
          <w:rFonts w:asciiTheme="minorHAnsi" w:hAnsiTheme="minorHAnsi" w:cstheme="minorHAnsi"/>
          <w:b/>
          <w:bCs/>
          <w:color w:val="FF0000"/>
          <w:sz w:val="21"/>
          <w:szCs w:val="21"/>
        </w:rPr>
        <w:t xml:space="preserve">New </w:t>
      </w:r>
      <w:proofErr w:type="gramStart"/>
      <w:r w:rsidRPr="00086E15">
        <w:rPr>
          <w:rFonts w:asciiTheme="minorHAnsi" w:hAnsiTheme="minorHAnsi" w:cstheme="minorHAnsi"/>
          <w:b/>
          <w:bCs/>
          <w:sz w:val="21"/>
          <w:szCs w:val="21"/>
        </w:rPr>
        <w:t>The</w:t>
      </w:r>
      <w:proofErr w:type="gramEnd"/>
      <w:r w:rsidRPr="00086E15">
        <w:rPr>
          <w:rFonts w:asciiTheme="minorHAnsi" w:hAnsiTheme="minorHAnsi" w:cstheme="minorHAnsi"/>
          <w:b/>
          <w:bCs/>
          <w:sz w:val="21"/>
          <w:szCs w:val="21"/>
        </w:rPr>
        <w:t xml:space="preserve"> Interim Clinical Considerations were updated Tuesday February 22</w:t>
      </w:r>
    </w:p>
    <w:p w14:paraId="5B7F0271" w14:textId="77777777" w:rsidR="008F6A51" w:rsidRPr="00086E15" w:rsidRDefault="008F6A51" w:rsidP="008F6A51">
      <w:p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On February 22, CDC updated its Clinical Considerations and </w:t>
      </w:r>
      <w:r w:rsidRPr="00086E15">
        <w:rPr>
          <w:rFonts w:asciiTheme="minorHAnsi" w:hAnsiTheme="minorHAnsi" w:cstheme="minorHAnsi"/>
          <w:b/>
          <w:bCs/>
          <w:color w:val="FF0000"/>
          <w:sz w:val="21"/>
          <w:szCs w:val="21"/>
        </w:rPr>
        <w:t>added considerations for an 8-week interval between the first and second doses of a primary mRNA vaccine schedule</w:t>
      </w:r>
      <w:r w:rsidRPr="00086E15">
        <w:rPr>
          <w:rFonts w:asciiTheme="minorHAnsi" w:hAnsiTheme="minorHAnsi" w:cstheme="minorHAnsi"/>
          <w:sz w:val="21"/>
          <w:szCs w:val="21"/>
        </w:rPr>
        <w:t>.</w:t>
      </w:r>
    </w:p>
    <w:p w14:paraId="328D81B1" w14:textId="77777777" w:rsidR="008F6A51" w:rsidRPr="00086E15" w:rsidRDefault="008F6A51" w:rsidP="008F6A51">
      <w:pPr>
        <w:shd w:val="clear" w:color="auto" w:fill="FFFFFF"/>
        <w:rPr>
          <w:rFonts w:asciiTheme="minorHAnsi" w:hAnsiTheme="minorHAnsi" w:cstheme="minorHAnsi"/>
          <w:sz w:val="21"/>
          <w:szCs w:val="21"/>
        </w:rPr>
      </w:pPr>
    </w:p>
    <w:p w14:paraId="79B53891" w14:textId="77777777" w:rsidR="008F6A51" w:rsidRPr="00086E15" w:rsidRDefault="008F6A51" w:rsidP="008F6A51">
      <w:pPr>
        <w:shd w:val="clear" w:color="auto" w:fill="FFFFFF"/>
        <w:rPr>
          <w:rFonts w:asciiTheme="minorHAnsi" w:hAnsiTheme="minorHAnsi" w:cstheme="minorHAnsi"/>
          <w:b/>
          <w:bCs/>
          <w:sz w:val="21"/>
          <w:szCs w:val="21"/>
        </w:rPr>
      </w:pPr>
      <w:r w:rsidRPr="00086E15">
        <w:rPr>
          <w:rFonts w:asciiTheme="minorHAnsi" w:hAnsiTheme="minorHAnsi" w:cstheme="minorHAnsi"/>
          <w:sz w:val="21"/>
          <w:szCs w:val="21"/>
        </w:rPr>
        <w:t xml:space="preserve">Following a thorough evaluation of the latest safety and effectiveness data, CDC is providing new information to help healthcare providers recommend the optimal COVID-19 vaccination schedule based on the individual patient. This updated guidance is specific to the mRNA (Pfizer or </w:t>
      </w:r>
      <w:proofErr w:type="spellStart"/>
      <w:r w:rsidRPr="00086E15">
        <w:rPr>
          <w:rFonts w:asciiTheme="minorHAnsi" w:hAnsiTheme="minorHAnsi" w:cstheme="minorHAnsi"/>
          <w:sz w:val="21"/>
          <w:szCs w:val="21"/>
        </w:rPr>
        <w:t>Moderna</w:t>
      </w:r>
      <w:proofErr w:type="spellEnd"/>
      <w:r w:rsidRPr="00086E15">
        <w:rPr>
          <w:rFonts w:asciiTheme="minorHAnsi" w:hAnsiTheme="minorHAnsi" w:cstheme="minorHAnsi"/>
          <w:sz w:val="21"/>
          <w:szCs w:val="21"/>
        </w:rPr>
        <w:t xml:space="preserve">) COVID-19 vaccine primary series and is </w:t>
      </w:r>
      <w:r w:rsidRPr="00086E15">
        <w:rPr>
          <w:rFonts w:asciiTheme="minorHAnsi" w:hAnsiTheme="minorHAnsi" w:cstheme="minorHAnsi"/>
          <w:b/>
          <w:bCs/>
          <w:sz w:val="21"/>
          <w:szCs w:val="21"/>
        </w:rPr>
        <w:t xml:space="preserve">only for some patients who are not yet vaccinated. </w:t>
      </w:r>
    </w:p>
    <w:p w14:paraId="384807A4" w14:textId="77777777" w:rsidR="008F6A51" w:rsidRPr="00086E15" w:rsidRDefault="008F6A51" w:rsidP="008F6A51">
      <w:pPr>
        <w:pStyle w:val="ListParagraph"/>
        <w:numPr>
          <w:ilvl w:val="0"/>
          <w:numId w:val="5"/>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Specifically, </w:t>
      </w:r>
      <w:r w:rsidRPr="00086E15">
        <w:rPr>
          <w:rFonts w:asciiTheme="minorHAnsi" w:hAnsiTheme="minorHAnsi" w:cstheme="minorHAnsi"/>
          <w:b/>
          <w:bCs/>
          <w:sz w:val="21"/>
          <w:szCs w:val="21"/>
        </w:rPr>
        <w:t>people ages 12 through 64 years who are not moderately or severely immunocompromised—and particularly males ages 12 through 39 years</w:t>
      </w:r>
      <w:r w:rsidRPr="00086E15">
        <w:rPr>
          <w:rFonts w:asciiTheme="minorHAnsi" w:hAnsiTheme="minorHAnsi" w:cstheme="minorHAnsi"/>
          <w:sz w:val="21"/>
          <w:szCs w:val="21"/>
        </w:rPr>
        <w:t>—may benefit from getting their second mRNA vaccine dose 8 weeks after their first dose, instead of after the 3-week (Pfizer) or 4-week (</w:t>
      </w:r>
      <w:proofErr w:type="spellStart"/>
      <w:r w:rsidRPr="00086E15">
        <w:rPr>
          <w:rFonts w:asciiTheme="minorHAnsi" w:hAnsiTheme="minorHAnsi" w:cstheme="minorHAnsi"/>
          <w:sz w:val="21"/>
          <w:szCs w:val="21"/>
        </w:rPr>
        <w:t>Moderna</w:t>
      </w:r>
      <w:proofErr w:type="spellEnd"/>
      <w:r w:rsidRPr="00086E15">
        <w:rPr>
          <w:rFonts w:asciiTheme="minorHAnsi" w:hAnsiTheme="minorHAnsi" w:cstheme="minorHAnsi"/>
          <w:sz w:val="21"/>
          <w:szCs w:val="21"/>
        </w:rPr>
        <w:t xml:space="preserve">) interval. The potential benefits of this extended interval are two-fold: </w:t>
      </w:r>
    </w:p>
    <w:p w14:paraId="3E59E6E2" w14:textId="77777777" w:rsidR="008F6A51" w:rsidRPr="00086E15" w:rsidRDefault="008F6A51" w:rsidP="008F6A51">
      <w:pPr>
        <w:pStyle w:val="ListParagraph"/>
        <w:numPr>
          <w:ilvl w:val="0"/>
          <w:numId w:val="21"/>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Stronger immune response—Data show that a longer interval between the first and second doses may give the body a chance to build a stronger immune response, increasing the effectiveness of these vaccines. </w:t>
      </w:r>
    </w:p>
    <w:p w14:paraId="19FB50CF" w14:textId="77777777" w:rsidR="008F6A51" w:rsidRPr="00086E15" w:rsidRDefault="008F6A51" w:rsidP="008F6A51">
      <w:pPr>
        <w:pStyle w:val="ListParagraph"/>
        <w:numPr>
          <w:ilvl w:val="0"/>
          <w:numId w:val="21"/>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Further minimization of the already rare risk of adverse events—New studies have shown the small risk of myocarditis and pericarditis associated with mRNA vaccination—mostly among males between the ages of 12 and 39 years—might be reduced with a longer interval. </w:t>
      </w:r>
    </w:p>
    <w:p w14:paraId="5957CD78" w14:textId="77777777" w:rsidR="008F6A51" w:rsidRPr="00086E15" w:rsidRDefault="008F6A51" w:rsidP="008F6A51">
      <w:pPr>
        <w:numPr>
          <w:ilvl w:val="1"/>
          <w:numId w:val="20"/>
        </w:numPr>
        <w:shd w:val="clear" w:color="auto" w:fill="FFFFFF"/>
        <w:rPr>
          <w:rFonts w:asciiTheme="minorHAnsi" w:hAnsiTheme="minorHAnsi" w:cstheme="minorHAnsi"/>
          <w:sz w:val="21"/>
          <w:szCs w:val="21"/>
        </w:rPr>
      </w:pPr>
    </w:p>
    <w:p w14:paraId="18725E3F" w14:textId="77777777" w:rsidR="008F6A51" w:rsidRPr="00086E15" w:rsidRDefault="008F6A51" w:rsidP="008F6A51">
      <w:pPr>
        <w:pStyle w:val="ListParagraph"/>
        <w:numPr>
          <w:ilvl w:val="0"/>
          <w:numId w:val="5"/>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It’s important to note that patients who meet these criteria and have already received their primary mRNA series at the 3-week (Pfizer) or 4-week (</w:t>
      </w:r>
      <w:proofErr w:type="spellStart"/>
      <w:r w:rsidRPr="00086E15">
        <w:rPr>
          <w:rFonts w:asciiTheme="minorHAnsi" w:hAnsiTheme="minorHAnsi" w:cstheme="minorHAnsi"/>
          <w:sz w:val="21"/>
          <w:szCs w:val="21"/>
        </w:rPr>
        <w:t>Moderna</w:t>
      </w:r>
      <w:proofErr w:type="spellEnd"/>
      <w:r w:rsidRPr="00086E15">
        <w:rPr>
          <w:rFonts w:asciiTheme="minorHAnsi" w:hAnsiTheme="minorHAnsi" w:cstheme="minorHAnsi"/>
          <w:sz w:val="21"/>
          <w:szCs w:val="21"/>
        </w:rPr>
        <w:t xml:space="preserve">) interval remain well-protected—especially if they have received a booster dose—and </w:t>
      </w:r>
      <w:r w:rsidRPr="00086E15">
        <w:rPr>
          <w:rFonts w:asciiTheme="minorHAnsi" w:hAnsiTheme="minorHAnsi" w:cstheme="minorHAnsi"/>
          <w:b/>
          <w:bCs/>
          <w:sz w:val="21"/>
          <w:szCs w:val="21"/>
        </w:rPr>
        <w:t>do not need to repeat any doses</w:t>
      </w:r>
      <w:r w:rsidRPr="00086E15">
        <w:rPr>
          <w:rFonts w:asciiTheme="minorHAnsi" w:hAnsiTheme="minorHAnsi" w:cstheme="minorHAnsi"/>
          <w:sz w:val="21"/>
          <w:szCs w:val="21"/>
        </w:rPr>
        <w:t xml:space="preserve">. </w:t>
      </w:r>
    </w:p>
    <w:p w14:paraId="76964EB5" w14:textId="77777777" w:rsidR="008F6A51" w:rsidRPr="00086E15" w:rsidRDefault="008F6A51" w:rsidP="008F6A51">
      <w:pPr>
        <w:pStyle w:val="ListParagraph"/>
        <w:numPr>
          <w:ilvl w:val="0"/>
          <w:numId w:val="5"/>
        </w:numPr>
        <w:shd w:val="clear" w:color="auto" w:fill="FFFFFF"/>
        <w:rPr>
          <w:rFonts w:asciiTheme="minorHAnsi" w:hAnsiTheme="minorHAnsi" w:cstheme="minorHAnsi"/>
          <w:b/>
          <w:bCs/>
          <w:sz w:val="21"/>
          <w:szCs w:val="21"/>
        </w:rPr>
      </w:pPr>
      <w:r w:rsidRPr="00086E15">
        <w:rPr>
          <w:rFonts w:asciiTheme="minorHAnsi" w:hAnsiTheme="minorHAnsi" w:cstheme="minorHAnsi"/>
          <w:sz w:val="21"/>
          <w:szCs w:val="21"/>
        </w:rPr>
        <w:t>The extended interval is not recommended for all people ages 12 through 64 years, and there are situations where providers should continue to recommend the 3-week (Pfizer) or 4-week (</w:t>
      </w:r>
      <w:proofErr w:type="spellStart"/>
      <w:r w:rsidRPr="00086E15">
        <w:rPr>
          <w:rFonts w:asciiTheme="minorHAnsi" w:hAnsiTheme="minorHAnsi" w:cstheme="minorHAnsi"/>
          <w:sz w:val="21"/>
          <w:szCs w:val="21"/>
        </w:rPr>
        <w:t>Moderna</w:t>
      </w:r>
      <w:proofErr w:type="spellEnd"/>
      <w:r w:rsidRPr="00086E15">
        <w:rPr>
          <w:rFonts w:asciiTheme="minorHAnsi" w:hAnsiTheme="minorHAnsi" w:cstheme="minorHAnsi"/>
          <w:sz w:val="21"/>
          <w:szCs w:val="21"/>
        </w:rPr>
        <w:t xml:space="preserve">) intervals between primary doses. These include when there is concern about high levels of community transmission, and among people who are </w:t>
      </w:r>
      <w:r w:rsidRPr="00086E15">
        <w:rPr>
          <w:rFonts w:asciiTheme="minorHAnsi" w:hAnsiTheme="minorHAnsi" w:cstheme="minorHAnsi"/>
          <w:sz w:val="21"/>
          <w:szCs w:val="21"/>
        </w:rPr>
        <w:lastRenderedPageBreak/>
        <w:t xml:space="preserve">moderately or severely immunocompromised. In addition, </w:t>
      </w:r>
      <w:r w:rsidRPr="00086E15">
        <w:rPr>
          <w:rFonts w:asciiTheme="minorHAnsi" w:hAnsiTheme="minorHAnsi" w:cstheme="minorHAnsi"/>
          <w:b/>
          <w:bCs/>
          <w:sz w:val="21"/>
          <w:szCs w:val="21"/>
        </w:rPr>
        <w:t xml:space="preserve">the extended interval is not recommended for anyone ages 65 years or older. </w:t>
      </w:r>
    </w:p>
    <w:p w14:paraId="7F565BF4" w14:textId="77777777" w:rsidR="008F6A51" w:rsidRPr="00086E15" w:rsidRDefault="008F6A51" w:rsidP="008F6A51">
      <w:pPr>
        <w:pStyle w:val="ListParagraph"/>
        <w:shd w:val="clear" w:color="auto" w:fill="FFFFFF"/>
        <w:rPr>
          <w:rFonts w:asciiTheme="minorHAnsi" w:hAnsiTheme="minorHAnsi" w:cstheme="minorHAnsi"/>
          <w:b/>
          <w:bCs/>
          <w:sz w:val="21"/>
          <w:szCs w:val="21"/>
        </w:rPr>
      </w:pPr>
    </w:p>
    <w:p w14:paraId="2F12968E" w14:textId="77777777" w:rsidR="008F6A51" w:rsidRPr="00086E15" w:rsidRDefault="008F6A51" w:rsidP="008F6A51">
      <w:p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Healthcare providers are a valued and trusted source of health information and can play a key role in a patient’s decision to get vaccinated. This new guidance is intended to help inform clinical decision-making by giving providers additional information to tailor vaccine recommendations based on the patient. </w:t>
      </w:r>
    </w:p>
    <w:p w14:paraId="77268340" w14:textId="77777777" w:rsidR="008F6A51" w:rsidRPr="00086E15" w:rsidRDefault="008F6A51" w:rsidP="008F6A51">
      <w:pPr>
        <w:shd w:val="clear" w:color="auto" w:fill="FFFFFF"/>
        <w:rPr>
          <w:rFonts w:asciiTheme="minorHAnsi" w:hAnsiTheme="minorHAnsi" w:cstheme="minorHAnsi"/>
          <w:sz w:val="11"/>
          <w:szCs w:val="11"/>
        </w:rPr>
      </w:pPr>
    </w:p>
    <w:p w14:paraId="1B861AE6" w14:textId="77777777" w:rsidR="008F6A51" w:rsidRPr="00086E15" w:rsidRDefault="008F6A51" w:rsidP="008F6A51">
      <w:p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The interval between COVID-19 mRNA vaccine doses is best determined by considering the balance of risks and benefits, based on the individual’s age and health conditions. Regardless of the interval between the first and second dose, data show mRNA vaccines remain highly effective at reducing the risk of hospitalization or serious complications from COVID-19 infection. </w:t>
      </w:r>
    </w:p>
    <w:p w14:paraId="02C2ABB8" w14:textId="77777777" w:rsidR="008F6A51" w:rsidRPr="00086E15" w:rsidRDefault="008F6A51" w:rsidP="008F6A51">
      <w:pPr>
        <w:shd w:val="clear" w:color="auto" w:fill="FFFFFF"/>
        <w:rPr>
          <w:rFonts w:asciiTheme="minorHAnsi" w:hAnsiTheme="minorHAnsi" w:cstheme="minorHAnsi"/>
          <w:sz w:val="11"/>
          <w:szCs w:val="11"/>
        </w:rPr>
      </w:pPr>
    </w:p>
    <w:p w14:paraId="0142743C" w14:textId="77777777" w:rsidR="008F6A51" w:rsidRDefault="008F6A51" w:rsidP="008F6A51">
      <w:p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CDC continues to update recommendations based on the latest science and data </w:t>
      </w:r>
      <w:proofErr w:type="gramStart"/>
      <w:r w:rsidRPr="00086E15">
        <w:rPr>
          <w:rFonts w:asciiTheme="minorHAnsi" w:hAnsiTheme="minorHAnsi" w:cstheme="minorHAnsi"/>
          <w:sz w:val="21"/>
          <w:szCs w:val="21"/>
        </w:rPr>
        <w:t>in order to</w:t>
      </w:r>
      <w:proofErr w:type="gramEnd"/>
      <w:r w:rsidRPr="00086E15">
        <w:rPr>
          <w:rFonts w:asciiTheme="minorHAnsi" w:hAnsiTheme="minorHAnsi" w:cstheme="minorHAnsi"/>
          <w:sz w:val="21"/>
          <w:szCs w:val="21"/>
        </w:rPr>
        <w:t xml:space="preserve"> best protect people in the United States.</w:t>
      </w:r>
      <w:r w:rsidRPr="005001E7">
        <w:rPr>
          <w:rFonts w:asciiTheme="minorHAnsi" w:hAnsiTheme="minorHAnsi" w:cstheme="minorHAnsi"/>
          <w:sz w:val="21"/>
          <w:szCs w:val="21"/>
        </w:rPr>
        <w:t xml:space="preserve"> </w:t>
      </w:r>
    </w:p>
    <w:p w14:paraId="6D71D2BA" w14:textId="77777777" w:rsidR="008F6A51" w:rsidRDefault="008F6A51" w:rsidP="008F6A51">
      <w:pPr>
        <w:shd w:val="clear" w:color="auto" w:fill="FFFFFF"/>
        <w:rPr>
          <w:rFonts w:asciiTheme="minorHAnsi" w:hAnsiTheme="minorHAnsi" w:cstheme="minorHAnsi"/>
          <w:sz w:val="21"/>
          <w:szCs w:val="21"/>
        </w:rPr>
      </w:pPr>
    </w:p>
    <w:p w14:paraId="42AE0B7F" w14:textId="77777777" w:rsidR="008F6A51" w:rsidRPr="005001E7" w:rsidRDefault="008F6A51" w:rsidP="008F6A51">
      <w:pPr>
        <w:shd w:val="clear" w:color="auto" w:fill="FFFFFF"/>
        <w:rPr>
          <w:rFonts w:asciiTheme="minorHAnsi" w:hAnsiTheme="minorHAnsi" w:cstheme="minorHAnsi"/>
          <w:sz w:val="21"/>
          <w:szCs w:val="21"/>
        </w:rPr>
      </w:pPr>
      <w:r w:rsidRPr="009F389F">
        <w:rPr>
          <w:rFonts w:asciiTheme="minorHAnsi" w:hAnsiTheme="minorHAnsi" w:cstheme="minorHAnsi"/>
          <w:b/>
          <w:bCs/>
          <w:color w:val="FF0000"/>
          <w:sz w:val="21"/>
          <w:szCs w:val="21"/>
        </w:rPr>
        <w:t>NEW</w:t>
      </w:r>
      <w:r>
        <w:rPr>
          <w:rFonts w:asciiTheme="minorHAnsi" w:hAnsiTheme="minorHAnsi" w:cstheme="minorHAnsi"/>
          <w:b/>
          <w:bCs/>
          <w:sz w:val="21"/>
          <w:szCs w:val="21"/>
        </w:rPr>
        <w:t xml:space="preserve"> </w:t>
      </w:r>
      <w:r w:rsidRPr="008F6A51">
        <w:rPr>
          <w:rFonts w:asciiTheme="minorHAnsi" w:hAnsiTheme="minorHAnsi" w:cstheme="minorHAnsi"/>
          <w:b/>
          <w:bCs/>
          <w:color w:val="FF0000"/>
          <w:sz w:val="21"/>
          <w:szCs w:val="21"/>
        </w:rPr>
        <w:t>COVID-19 vaccination schedule for the primary series in the general population</w:t>
      </w:r>
    </w:p>
    <w:p w14:paraId="29FBDD61" w14:textId="77777777" w:rsidR="008F6A51" w:rsidRDefault="008F6A51" w:rsidP="008F6A51">
      <w:pPr>
        <w:shd w:val="clear" w:color="auto" w:fill="FFFFFF"/>
        <w:rPr>
          <w:rFonts w:asciiTheme="minorHAnsi" w:hAnsiTheme="minorHAnsi" w:cstheme="minorHAnsi"/>
          <w:sz w:val="21"/>
          <w:szCs w:val="21"/>
        </w:rPr>
      </w:pPr>
      <w:r w:rsidRPr="00F4621B">
        <w:rPr>
          <w:noProof/>
        </w:rPr>
        <w:drawing>
          <wp:inline distT="0" distB="0" distL="0" distR="0" wp14:anchorId="3E68AEB3" wp14:editId="5102E869">
            <wp:extent cx="6858000" cy="3251835"/>
            <wp:effectExtent l="0" t="0" r="0" b="5715"/>
            <wp:docPr id="7" name="Picture 7"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low confidence"/>
                    <pic:cNvPicPr/>
                  </pic:nvPicPr>
                  <pic:blipFill>
                    <a:blip r:embed="rId9"/>
                    <a:stretch>
                      <a:fillRect/>
                    </a:stretch>
                  </pic:blipFill>
                  <pic:spPr>
                    <a:xfrm>
                      <a:off x="0" y="0"/>
                      <a:ext cx="6858000" cy="3251835"/>
                    </a:xfrm>
                    <a:prstGeom prst="rect">
                      <a:avLst/>
                    </a:prstGeom>
                  </pic:spPr>
                </pic:pic>
              </a:graphicData>
            </a:graphic>
          </wp:inline>
        </w:drawing>
      </w:r>
    </w:p>
    <w:p w14:paraId="1C495E3E" w14:textId="77777777" w:rsidR="000F13FF" w:rsidRDefault="000F13FF" w:rsidP="00541BF3">
      <w:pPr>
        <w:shd w:val="clear" w:color="auto" w:fill="FFFFFF"/>
        <w:rPr>
          <w:rFonts w:asciiTheme="minorHAnsi" w:hAnsiTheme="minorHAnsi" w:cstheme="minorHAnsi"/>
          <w:b/>
          <w:bCs/>
          <w:color w:val="FF0000"/>
          <w:sz w:val="21"/>
          <w:szCs w:val="21"/>
        </w:rPr>
      </w:pPr>
    </w:p>
    <w:p w14:paraId="26D10E6C" w14:textId="77777777" w:rsidR="000F13FF" w:rsidRDefault="000F13FF" w:rsidP="000F13FF">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 xml:space="preserve">New </w:t>
      </w:r>
      <w:r w:rsidRPr="000F13FF">
        <w:rPr>
          <w:rFonts w:asciiTheme="minorHAnsi" w:hAnsiTheme="minorHAnsi" w:cstheme="minorHAnsi"/>
          <w:b/>
          <w:bCs/>
          <w:sz w:val="21"/>
          <w:szCs w:val="21"/>
        </w:rPr>
        <w:t>CDC Clinician Outreach and Communication Activity (COCA)</w:t>
      </w:r>
      <w:r>
        <w:rPr>
          <w:rFonts w:asciiTheme="minorHAnsi" w:hAnsiTheme="minorHAnsi" w:cstheme="minorHAnsi"/>
          <w:b/>
          <w:bCs/>
          <w:sz w:val="21"/>
          <w:szCs w:val="21"/>
        </w:rPr>
        <w:t xml:space="preserve"> Call </w:t>
      </w:r>
      <w:r w:rsidRPr="000F13FF">
        <w:rPr>
          <w:rFonts w:asciiTheme="minorHAnsi" w:hAnsiTheme="minorHAnsi" w:cstheme="minorHAnsi"/>
          <w:sz w:val="21"/>
          <w:szCs w:val="21"/>
        </w:rPr>
        <w:t>Thursday, February 24,</w:t>
      </w:r>
      <w:r>
        <w:rPr>
          <w:rFonts w:asciiTheme="minorHAnsi" w:hAnsiTheme="minorHAnsi" w:cstheme="minorHAnsi"/>
          <w:sz w:val="21"/>
          <w:szCs w:val="21"/>
        </w:rPr>
        <w:t xml:space="preserve"> </w:t>
      </w:r>
      <w:r w:rsidRPr="000F13FF">
        <w:rPr>
          <w:rFonts w:asciiTheme="minorHAnsi" w:hAnsiTheme="minorHAnsi" w:cstheme="minorHAnsi"/>
          <w:sz w:val="21"/>
          <w:szCs w:val="21"/>
        </w:rPr>
        <w:t>2PM – 3PM ET</w:t>
      </w:r>
    </w:p>
    <w:p w14:paraId="3D22F99C" w14:textId="77777777" w:rsidR="000F13FF" w:rsidRDefault="00086E15" w:rsidP="000F13FF">
      <w:pPr>
        <w:shd w:val="clear" w:color="auto" w:fill="FFFFFF"/>
        <w:rPr>
          <w:rFonts w:asciiTheme="minorHAnsi" w:hAnsiTheme="minorHAnsi" w:cstheme="minorHAnsi"/>
          <w:sz w:val="21"/>
          <w:szCs w:val="21"/>
        </w:rPr>
      </w:pPr>
      <w:hyperlink r:id="rId10" w:history="1">
        <w:r w:rsidR="000F13FF" w:rsidRPr="000F13FF">
          <w:rPr>
            <w:rStyle w:val="Hyperlink"/>
            <w:rFonts w:asciiTheme="minorHAnsi" w:hAnsiTheme="minorHAnsi" w:cstheme="minorHAnsi"/>
            <w:sz w:val="21"/>
            <w:szCs w:val="21"/>
          </w:rPr>
          <w:t>Updated Guidance for Clinicians on COVID-19 Vaccines</w:t>
        </w:r>
      </w:hyperlink>
    </w:p>
    <w:p w14:paraId="01CEAE3E" w14:textId="77777777" w:rsidR="000F13FF" w:rsidRPr="000F13FF" w:rsidRDefault="000F13FF" w:rsidP="000F13FF">
      <w:pPr>
        <w:shd w:val="clear" w:color="auto" w:fill="FFFFFF"/>
        <w:rPr>
          <w:rFonts w:asciiTheme="minorHAnsi" w:hAnsiTheme="minorHAnsi" w:cstheme="minorHAnsi"/>
          <w:sz w:val="21"/>
          <w:szCs w:val="21"/>
        </w:rPr>
      </w:pPr>
      <w:r w:rsidRPr="000F13FF">
        <w:rPr>
          <w:rFonts w:asciiTheme="minorHAnsi" w:hAnsiTheme="minorHAnsi" w:cstheme="minorHAnsi"/>
          <w:sz w:val="21"/>
          <w:szCs w:val="21"/>
        </w:rPr>
        <w:t>During this COCA Call, CDC experts will present:</w:t>
      </w:r>
    </w:p>
    <w:p w14:paraId="70FF2875" w14:textId="7EAD2B20" w:rsidR="000F13FF" w:rsidRPr="000F13FF" w:rsidRDefault="000F13FF" w:rsidP="000F13FF">
      <w:pPr>
        <w:numPr>
          <w:ilvl w:val="0"/>
          <w:numId w:val="19"/>
        </w:numPr>
        <w:shd w:val="clear" w:color="auto" w:fill="FFFFFF"/>
        <w:rPr>
          <w:rFonts w:asciiTheme="minorHAnsi" w:hAnsiTheme="minorHAnsi" w:cstheme="minorHAnsi"/>
          <w:sz w:val="21"/>
          <w:szCs w:val="21"/>
        </w:rPr>
      </w:pPr>
      <w:r w:rsidRPr="000F13FF">
        <w:rPr>
          <w:rFonts w:asciiTheme="minorHAnsi" w:hAnsiTheme="minorHAnsi" w:cstheme="minorHAnsi"/>
          <w:sz w:val="21"/>
          <w:szCs w:val="21"/>
        </w:rPr>
        <w:t>Updated recommendations on COVID-19 vaccines for people who are moderately or severely immunocompromised</w:t>
      </w:r>
    </w:p>
    <w:p w14:paraId="07C00998" w14:textId="2A394276" w:rsidR="000F13FF" w:rsidRPr="000F13FF" w:rsidRDefault="000F13FF" w:rsidP="000F13FF">
      <w:pPr>
        <w:numPr>
          <w:ilvl w:val="0"/>
          <w:numId w:val="19"/>
        </w:numPr>
        <w:shd w:val="clear" w:color="auto" w:fill="FFFFFF"/>
        <w:rPr>
          <w:rFonts w:asciiTheme="minorHAnsi" w:hAnsiTheme="minorHAnsi" w:cstheme="minorHAnsi"/>
          <w:sz w:val="21"/>
          <w:szCs w:val="21"/>
        </w:rPr>
      </w:pPr>
      <w:r w:rsidRPr="000F13FF">
        <w:rPr>
          <w:rFonts w:asciiTheme="minorHAnsi" w:hAnsiTheme="minorHAnsi" w:cstheme="minorHAnsi"/>
          <w:sz w:val="21"/>
          <w:szCs w:val="21"/>
        </w:rPr>
        <w:t>Simplified recommendations for vaccination following receipt of passive antibody therapy</w:t>
      </w:r>
    </w:p>
    <w:p w14:paraId="6D3CC4CA" w14:textId="4F56588B" w:rsidR="000F13FF" w:rsidRDefault="000F13FF" w:rsidP="000F13FF">
      <w:pPr>
        <w:numPr>
          <w:ilvl w:val="0"/>
          <w:numId w:val="19"/>
        </w:numPr>
        <w:shd w:val="clear" w:color="auto" w:fill="FFFFFF"/>
        <w:rPr>
          <w:rFonts w:asciiTheme="minorHAnsi" w:hAnsiTheme="minorHAnsi" w:cstheme="minorHAnsi"/>
          <w:sz w:val="21"/>
          <w:szCs w:val="21"/>
        </w:rPr>
      </w:pPr>
      <w:r w:rsidRPr="000F13FF">
        <w:rPr>
          <w:rFonts w:asciiTheme="minorHAnsi" w:hAnsiTheme="minorHAnsi" w:cstheme="minorHAnsi"/>
          <w:sz w:val="21"/>
          <w:szCs w:val="21"/>
        </w:rPr>
        <w:t>Summarized recommendations for COVID-19 vaccination by age group</w:t>
      </w:r>
    </w:p>
    <w:p w14:paraId="3E8F9A59" w14:textId="77777777" w:rsidR="000F13FF" w:rsidRPr="000F13FF" w:rsidRDefault="000F13FF" w:rsidP="000F13FF">
      <w:pPr>
        <w:shd w:val="clear" w:color="auto" w:fill="FFFFFF"/>
        <w:ind w:left="720"/>
        <w:rPr>
          <w:rFonts w:asciiTheme="minorHAnsi" w:hAnsiTheme="minorHAnsi" w:cstheme="minorHAnsi"/>
          <w:sz w:val="21"/>
          <w:szCs w:val="21"/>
        </w:rPr>
      </w:pPr>
    </w:p>
    <w:p w14:paraId="2D08BACD" w14:textId="63A3C1A9" w:rsidR="00F46888" w:rsidRDefault="00F46888" w:rsidP="00541BF3">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sidRPr="00F46888">
        <w:rPr>
          <w:rFonts w:asciiTheme="minorHAnsi" w:hAnsiTheme="minorHAnsi" w:cstheme="minorHAnsi"/>
          <w:b/>
          <w:bCs/>
          <w:sz w:val="21"/>
          <w:szCs w:val="21"/>
        </w:rPr>
        <w:t>American College of Obstetricians and Gynecologists</w:t>
      </w:r>
      <w:r>
        <w:rPr>
          <w:rFonts w:asciiTheme="minorHAnsi" w:hAnsiTheme="minorHAnsi" w:cstheme="minorHAnsi"/>
          <w:b/>
          <w:bCs/>
          <w:sz w:val="21"/>
          <w:szCs w:val="21"/>
        </w:rPr>
        <w:t xml:space="preserve"> (ACOG) Resources</w:t>
      </w:r>
    </w:p>
    <w:p w14:paraId="30149015" w14:textId="75A42EC7" w:rsidR="00F46888" w:rsidRPr="00C81D84" w:rsidRDefault="00DE2AA8" w:rsidP="00541BF3">
      <w:pPr>
        <w:shd w:val="clear" w:color="auto" w:fill="FFFFFF"/>
        <w:rPr>
          <w:rFonts w:asciiTheme="minorHAnsi" w:hAnsiTheme="minorHAnsi" w:cstheme="minorHAnsi"/>
          <w:b/>
          <w:bCs/>
          <w:color w:val="FF0000"/>
          <w:sz w:val="21"/>
          <w:szCs w:val="21"/>
        </w:rPr>
      </w:pPr>
      <w:r>
        <w:rPr>
          <w:rFonts w:asciiTheme="minorHAnsi" w:hAnsiTheme="minorHAnsi" w:cstheme="minorHAnsi"/>
          <w:sz w:val="21"/>
          <w:szCs w:val="21"/>
        </w:rPr>
        <w:t xml:space="preserve">Visit the </w:t>
      </w:r>
      <w:r w:rsidR="00F46888" w:rsidRPr="00DE2AA8">
        <w:rPr>
          <w:rFonts w:asciiTheme="minorHAnsi" w:hAnsiTheme="minorHAnsi" w:cstheme="minorHAnsi"/>
          <w:sz w:val="21"/>
          <w:szCs w:val="21"/>
        </w:rPr>
        <w:t>ACOG</w:t>
      </w:r>
      <w:r>
        <w:rPr>
          <w:rFonts w:asciiTheme="minorHAnsi" w:hAnsiTheme="minorHAnsi" w:cstheme="minorHAnsi"/>
          <w:sz w:val="21"/>
          <w:szCs w:val="21"/>
        </w:rPr>
        <w:t xml:space="preserve"> website for</w:t>
      </w:r>
      <w:r w:rsidR="00F46888" w:rsidRPr="00DE2AA8">
        <w:rPr>
          <w:rFonts w:asciiTheme="minorHAnsi" w:hAnsiTheme="minorHAnsi" w:cstheme="minorHAnsi"/>
          <w:sz w:val="21"/>
          <w:szCs w:val="21"/>
        </w:rPr>
        <w:t xml:space="preserve"> </w:t>
      </w:r>
      <w:r w:rsidRPr="00DE2AA8">
        <w:rPr>
          <w:rFonts w:asciiTheme="minorHAnsi" w:hAnsiTheme="minorHAnsi" w:cstheme="minorHAnsi"/>
          <w:sz w:val="21"/>
          <w:szCs w:val="21"/>
        </w:rPr>
        <w:t xml:space="preserve">COVID-19 </w:t>
      </w:r>
      <w:r w:rsidR="00F46888" w:rsidRPr="00DE2AA8">
        <w:rPr>
          <w:rFonts w:asciiTheme="minorHAnsi" w:hAnsiTheme="minorHAnsi" w:cstheme="minorHAnsi"/>
          <w:sz w:val="21"/>
          <w:szCs w:val="21"/>
        </w:rPr>
        <w:t>resources for individuals, families, and health care professionals</w:t>
      </w:r>
      <w:r>
        <w:rPr>
          <w:rFonts w:asciiTheme="minorHAnsi" w:hAnsiTheme="minorHAnsi" w:cstheme="minorHAnsi"/>
          <w:sz w:val="21"/>
          <w:szCs w:val="21"/>
        </w:rPr>
        <w:t xml:space="preserve">, including these </w:t>
      </w:r>
      <w:r w:rsidRPr="00C81D84">
        <w:rPr>
          <w:rFonts w:asciiTheme="minorHAnsi" w:hAnsiTheme="minorHAnsi" w:cstheme="minorHAnsi"/>
          <w:b/>
          <w:bCs/>
          <w:sz w:val="21"/>
          <w:szCs w:val="21"/>
        </w:rPr>
        <w:t>two new items:</w:t>
      </w:r>
    </w:p>
    <w:p w14:paraId="48234F0A" w14:textId="77777777" w:rsidR="00C81D84" w:rsidRDefault="00F46888" w:rsidP="00C81D84">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ACOG’s first-ever video PSA encouraging all people who are pregnant, thinking about becoming pregnant, and lactating to get vaccinated against COVID-19. This PSA is designed to work on multiple platforms including TV, radio, social media, and websites. You can find the PSA here: </w:t>
      </w:r>
      <w:hyperlink r:id="rId11" w:history="1">
        <w:r w:rsidRPr="00C81D84">
          <w:rPr>
            <w:rStyle w:val="Hyperlink"/>
            <w:rFonts w:asciiTheme="minorHAnsi" w:hAnsiTheme="minorHAnsi" w:cstheme="minorHAnsi"/>
            <w:sz w:val="21"/>
            <w:szCs w:val="21"/>
          </w:rPr>
          <w:t>www.acog.org/covidvaccine</w:t>
        </w:r>
      </w:hyperlink>
      <w:r w:rsidRPr="00C81D84">
        <w:rPr>
          <w:rFonts w:asciiTheme="minorHAnsi" w:hAnsiTheme="minorHAnsi" w:cstheme="minorHAnsi"/>
          <w:sz w:val="21"/>
          <w:szCs w:val="21"/>
        </w:rPr>
        <w:t> and on ACOG’s Twitter page: </w:t>
      </w:r>
      <w:hyperlink r:id="rId12" w:history="1">
        <w:r w:rsidRPr="00C81D84">
          <w:rPr>
            <w:rStyle w:val="Hyperlink"/>
            <w:rFonts w:asciiTheme="minorHAnsi" w:hAnsiTheme="minorHAnsi" w:cstheme="minorHAnsi"/>
            <w:sz w:val="21"/>
            <w:szCs w:val="21"/>
          </w:rPr>
          <w:t>@ACOG</w:t>
        </w:r>
      </w:hyperlink>
    </w:p>
    <w:p w14:paraId="4D74CFF1" w14:textId="56925DBF" w:rsidR="00F46888" w:rsidRPr="00C81D84" w:rsidRDefault="00F46888" w:rsidP="00C81D84">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COVID-19 Patient Education Video, which can be shared on clinician websites and via social media. ACOG hopes that this resource helps to support clinicians and partners in counseling their patients to get vaccinated against COVID-19. </w:t>
      </w:r>
      <w:hyperlink r:id="rId13" w:history="1">
        <w:r w:rsidRPr="00C81D84">
          <w:rPr>
            <w:rStyle w:val="Hyperlink"/>
            <w:rFonts w:asciiTheme="minorHAnsi" w:hAnsiTheme="minorHAnsi" w:cstheme="minorHAnsi"/>
            <w:sz w:val="21"/>
            <w:szCs w:val="21"/>
          </w:rPr>
          <w:t>Get Your Recommended COVID-19 Vaccine During Pregnancy | ACOG</w:t>
        </w:r>
      </w:hyperlink>
    </w:p>
    <w:p w14:paraId="6C094E84" w14:textId="77777777" w:rsidR="00F46888" w:rsidRPr="00F46888" w:rsidRDefault="00F46888" w:rsidP="00541BF3">
      <w:pPr>
        <w:shd w:val="clear" w:color="auto" w:fill="FFFFFF"/>
        <w:rPr>
          <w:rFonts w:asciiTheme="minorHAnsi" w:hAnsiTheme="minorHAnsi" w:cstheme="minorHAnsi"/>
          <w:b/>
          <w:bCs/>
          <w:sz w:val="21"/>
          <w:szCs w:val="21"/>
        </w:rPr>
      </w:pPr>
    </w:p>
    <w:p w14:paraId="313FDD85" w14:textId="33A07ED9" w:rsidR="003D47A1" w:rsidRDefault="001178D8" w:rsidP="00541BF3">
      <w:pPr>
        <w:shd w:val="clear" w:color="auto" w:fill="FFFFFF"/>
        <w:rPr>
          <w:rFonts w:ascii="Calibri" w:hAnsi="Calibri"/>
          <w:sz w:val="21"/>
          <w:szCs w:val="21"/>
        </w:rPr>
      </w:pPr>
      <w:r>
        <w:rPr>
          <w:rFonts w:asciiTheme="minorHAnsi" w:hAnsiTheme="minorHAnsi" w:cstheme="minorHAnsi"/>
          <w:b/>
          <w:bCs/>
          <w:color w:val="FF0000"/>
          <w:sz w:val="21"/>
          <w:szCs w:val="21"/>
        </w:rPr>
        <w:lastRenderedPageBreak/>
        <w:t>Reminder</w:t>
      </w:r>
      <w:r w:rsidR="00541BF3" w:rsidRPr="003D47A1">
        <w:rPr>
          <w:rFonts w:ascii="Calibri" w:hAnsi="Calibri"/>
          <w:sz w:val="21"/>
          <w:szCs w:val="21"/>
        </w:rPr>
        <w:t> </w:t>
      </w:r>
      <w:r w:rsidR="003D47A1" w:rsidRPr="003D47A1">
        <w:rPr>
          <w:rFonts w:ascii="Calibri" w:hAnsi="Calibri"/>
          <w:b/>
          <w:bCs/>
          <w:sz w:val="21"/>
          <w:szCs w:val="21"/>
        </w:rPr>
        <w:t>COVID-19 vaccine for the 6 months through 4-year-old population delayed</w:t>
      </w:r>
      <w:r w:rsidR="003D47A1">
        <w:rPr>
          <w:rFonts w:ascii="Calibri" w:hAnsi="Calibri"/>
          <w:sz w:val="21"/>
          <w:szCs w:val="21"/>
        </w:rPr>
        <w:t xml:space="preserve">. </w:t>
      </w:r>
    </w:p>
    <w:p w14:paraId="210C7855" w14:textId="0B5EBA35" w:rsidR="00541BF3" w:rsidRDefault="00541BF3" w:rsidP="00541BF3">
      <w:pPr>
        <w:shd w:val="clear" w:color="auto" w:fill="FFFFFF"/>
        <w:rPr>
          <w:rFonts w:ascii="Calibri" w:hAnsi="Calibri"/>
          <w:sz w:val="21"/>
          <w:szCs w:val="21"/>
        </w:rPr>
      </w:pPr>
      <w:r w:rsidRPr="003D47A1">
        <w:rPr>
          <w:rFonts w:ascii="Calibri" w:hAnsi="Calibri"/>
          <w:sz w:val="21"/>
          <w:szCs w:val="21"/>
        </w:rPr>
        <w:t>On Friday February 11, Pfizer-BioNTech said it is postponing its rolling application to the FDA to expand the use of its two-dose Covid-19 vaccine for children ages 6 months to 4 years. The move means that vaccines for this age group will not be available in the coming weeks. Pfizer said that it will wait for its data on a three-dose series of the vaccine, because it believes three doses "may provide a higher level of protection in this age group." Data on the third dose is expected in early April, the company said.</w:t>
      </w:r>
    </w:p>
    <w:p w14:paraId="4C1A4437" w14:textId="77777777" w:rsidR="00494FC2" w:rsidRDefault="00494FC2" w:rsidP="00541BF3">
      <w:pPr>
        <w:shd w:val="clear" w:color="auto" w:fill="FFFFFF"/>
        <w:rPr>
          <w:rFonts w:asciiTheme="minorHAnsi" w:hAnsiTheme="minorHAnsi" w:cstheme="minorHAnsi"/>
          <w:b/>
          <w:bCs/>
          <w:sz w:val="21"/>
          <w:szCs w:val="21"/>
        </w:rPr>
      </w:pPr>
    </w:p>
    <w:p w14:paraId="74FAE5F6" w14:textId="102EC4F3" w:rsidR="007112F8" w:rsidRDefault="001178D8" w:rsidP="007112F8">
      <w:pPr>
        <w:shd w:val="clear" w:color="auto" w:fill="FFFFFF"/>
        <w:rPr>
          <w:rFonts w:ascii="Calibri" w:hAnsi="Calibri"/>
          <w:b/>
          <w:bCs/>
          <w:sz w:val="21"/>
          <w:szCs w:val="21"/>
        </w:rPr>
      </w:pPr>
      <w:r>
        <w:rPr>
          <w:rFonts w:asciiTheme="minorHAnsi" w:hAnsiTheme="minorHAnsi" w:cstheme="minorHAnsi"/>
          <w:b/>
          <w:bCs/>
          <w:color w:val="FF0000"/>
          <w:sz w:val="21"/>
          <w:szCs w:val="21"/>
        </w:rPr>
        <w:t>Reminder</w:t>
      </w:r>
      <w:r w:rsidR="00305045">
        <w:rPr>
          <w:rFonts w:ascii="Calibri" w:hAnsi="Calibri"/>
          <w:b/>
          <w:bCs/>
          <w:color w:val="FF0000"/>
          <w:sz w:val="21"/>
          <w:szCs w:val="21"/>
        </w:rPr>
        <w:t xml:space="preserve"> </w:t>
      </w:r>
      <w:proofErr w:type="gramStart"/>
      <w:r w:rsidR="00305045">
        <w:rPr>
          <w:rFonts w:ascii="Calibri" w:hAnsi="Calibri"/>
          <w:b/>
          <w:bCs/>
          <w:sz w:val="21"/>
          <w:szCs w:val="21"/>
        </w:rPr>
        <w:t>The</w:t>
      </w:r>
      <w:proofErr w:type="gramEnd"/>
      <w:r w:rsidR="00305045">
        <w:rPr>
          <w:rFonts w:ascii="Calibri" w:hAnsi="Calibri"/>
          <w:b/>
          <w:bCs/>
          <w:sz w:val="21"/>
          <w:szCs w:val="21"/>
        </w:rPr>
        <w:t xml:space="preserve"> Interim Clinical Considerations were updated Friday February 11</w:t>
      </w:r>
    </w:p>
    <w:p w14:paraId="469C9DA3" w14:textId="255F840B" w:rsidR="00305045" w:rsidRDefault="00305045" w:rsidP="007112F8">
      <w:pPr>
        <w:shd w:val="clear" w:color="auto" w:fill="FFFFFF"/>
        <w:rPr>
          <w:rFonts w:ascii="Calibri" w:hAnsi="Calibri"/>
          <w:sz w:val="21"/>
          <w:szCs w:val="21"/>
        </w:rPr>
      </w:pPr>
      <w:r>
        <w:rPr>
          <w:rFonts w:ascii="Calibri" w:hAnsi="Calibri"/>
          <w:sz w:val="21"/>
          <w:szCs w:val="21"/>
        </w:rPr>
        <w:t>Updates</w:t>
      </w:r>
      <w:r w:rsidR="00F97069">
        <w:rPr>
          <w:rFonts w:ascii="Calibri" w:hAnsi="Calibri"/>
          <w:sz w:val="21"/>
          <w:szCs w:val="21"/>
        </w:rPr>
        <w:t xml:space="preserve"> on February 11</w:t>
      </w:r>
      <w:r>
        <w:rPr>
          <w:rFonts w:ascii="Calibri" w:hAnsi="Calibri"/>
          <w:sz w:val="21"/>
          <w:szCs w:val="21"/>
        </w:rPr>
        <w:t xml:space="preserve"> include:</w:t>
      </w:r>
    </w:p>
    <w:p w14:paraId="6D019005" w14:textId="77777777" w:rsidR="00305045" w:rsidRPr="00305045" w:rsidRDefault="00305045" w:rsidP="00B10DFE">
      <w:pPr>
        <w:numPr>
          <w:ilvl w:val="0"/>
          <w:numId w:val="12"/>
        </w:numPr>
        <w:shd w:val="clear" w:color="auto" w:fill="FFFFFF"/>
        <w:rPr>
          <w:rFonts w:ascii="Calibri" w:hAnsi="Calibri"/>
          <w:sz w:val="21"/>
          <w:szCs w:val="21"/>
        </w:rPr>
      </w:pPr>
      <w:r w:rsidRPr="00305045">
        <w:rPr>
          <w:rFonts w:ascii="Calibri" w:hAnsi="Calibri"/>
          <w:sz w:val="21"/>
          <w:szCs w:val="21"/>
        </w:rPr>
        <w:t>Updated guidance for moderately or severely immunocompromised people</w:t>
      </w:r>
    </w:p>
    <w:p w14:paraId="6FFEF14C"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Clarification of existing recommendation to receive a 3-dose mRNA vaccine primary series followed by a booster dose for a total of 4 doses</w:t>
      </w:r>
    </w:p>
    <w:p w14:paraId="227BD697"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New guidance to shorten the interval between completion of the mRNA vaccine primary series and the booster dose to at least 3 months (instead of 5 months)</w:t>
      </w:r>
    </w:p>
    <w:p w14:paraId="03E41A94"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New guidance for those who received the Janssen COVID-19 Vaccine primary series to receive an additional dose and a booster dose, for a total of 3 doses to be up to date</w:t>
      </w:r>
    </w:p>
    <w:p w14:paraId="7EFA0CD2" w14:textId="59CACB80" w:rsidR="00086E15" w:rsidRPr="00305045" w:rsidRDefault="00305045" w:rsidP="00B10DFE">
      <w:pPr>
        <w:numPr>
          <w:ilvl w:val="0"/>
          <w:numId w:val="12"/>
        </w:numPr>
        <w:shd w:val="clear" w:color="auto" w:fill="FFFFFF"/>
        <w:rPr>
          <w:rFonts w:ascii="Calibri" w:hAnsi="Calibri"/>
          <w:sz w:val="21"/>
          <w:szCs w:val="21"/>
        </w:rPr>
      </w:pPr>
      <w:r w:rsidRPr="00305045">
        <w:rPr>
          <w:rFonts w:ascii="Calibri" w:hAnsi="Calibri"/>
          <w:sz w:val="21"/>
          <w:szCs w:val="21"/>
        </w:rPr>
        <w:t>Updated guidance that it is no longer necessary to delay COVID-19 vaccination following receipt of monoclonal antibodies or convalescent plasma</w:t>
      </w:r>
    </w:p>
    <w:p w14:paraId="329ADA12" w14:textId="27EF3971" w:rsidR="003D47A1" w:rsidRPr="00086E15" w:rsidRDefault="00305045" w:rsidP="00086E15">
      <w:pPr>
        <w:numPr>
          <w:ilvl w:val="0"/>
          <w:numId w:val="12"/>
        </w:numPr>
        <w:shd w:val="clear" w:color="auto" w:fill="FFFFFF"/>
        <w:rPr>
          <w:rFonts w:asciiTheme="minorHAnsi" w:hAnsiTheme="minorHAnsi" w:cstheme="minorHAnsi"/>
          <w:b/>
          <w:bCs/>
          <w:color w:val="FF0000"/>
          <w:sz w:val="21"/>
          <w:szCs w:val="21"/>
        </w:rPr>
      </w:pPr>
      <w:proofErr w:type="spellStart"/>
      <w:r w:rsidRPr="00086E15">
        <w:rPr>
          <w:rFonts w:ascii="Calibri" w:hAnsi="Calibri"/>
          <w:sz w:val="21"/>
          <w:szCs w:val="21"/>
        </w:rPr>
        <w:t>Updated</w:t>
      </w:r>
      <w:proofErr w:type="spellEnd"/>
      <w:r w:rsidRPr="00086E15">
        <w:rPr>
          <w:rFonts w:ascii="Calibri" w:hAnsi="Calibri"/>
          <w:sz w:val="21"/>
          <w:szCs w:val="21"/>
        </w:rPr>
        <w:t xml:space="preserve"> guidance on receiving a booster dose if vaccinated outside the United States</w:t>
      </w:r>
    </w:p>
    <w:p w14:paraId="3436D07B" w14:textId="77777777" w:rsidR="00494FC2" w:rsidRDefault="00494FC2" w:rsidP="007112F8">
      <w:pPr>
        <w:shd w:val="clear" w:color="auto" w:fill="FFFFFF"/>
        <w:rPr>
          <w:rFonts w:asciiTheme="minorHAnsi" w:hAnsiTheme="minorHAnsi" w:cstheme="minorHAnsi"/>
          <w:b/>
          <w:bCs/>
          <w:color w:val="FF0000"/>
          <w:sz w:val="21"/>
          <w:szCs w:val="21"/>
        </w:rPr>
      </w:pPr>
    </w:p>
    <w:p w14:paraId="61BE8FC1" w14:textId="3C484BE2" w:rsidR="00305045" w:rsidRDefault="001178D8" w:rsidP="007112F8">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w:t>
      </w:r>
      <w:r w:rsidR="00541BF3" w:rsidRPr="00133032">
        <w:rPr>
          <w:rFonts w:asciiTheme="minorHAnsi" w:hAnsiTheme="minorHAnsi" w:cstheme="minorHAnsi"/>
          <w:b/>
          <w:bCs/>
          <w:sz w:val="21"/>
          <w:szCs w:val="21"/>
        </w:rPr>
        <w:t>COVID-19 vaccine formulations currently approved or authorized in the United States</w:t>
      </w:r>
    </w:p>
    <w:p w14:paraId="76ABBD5A" w14:textId="358C2AD8" w:rsidR="00541BF3" w:rsidRDefault="00541BF3" w:rsidP="007112F8">
      <w:pPr>
        <w:shd w:val="clear" w:color="auto" w:fill="FFFFFF"/>
        <w:rPr>
          <w:rFonts w:asciiTheme="minorHAnsi" w:hAnsiTheme="minorHAnsi" w:cstheme="minorHAnsi"/>
          <w:b/>
          <w:bCs/>
          <w:sz w:val="21"/>
          <w:szCs w:val="21"/>
        </w:rPr>
      </w:pPr>
    </w:p>
    <w:p w14:paraId="5D5471C4" w14:textId="53761DA4" w:rsidR="00541BF3" w:rsidRDefault="00541BF3" w:rsidP="007112F8">
      <w:pPr>
        <w:shd w:val="clear" w:color="auto" w:fill="FFFFFF"/>
        <w:rPr>
          <w:rFonts w:asciiTheme="minorHAnsi" w:hAnsiTheme="minorHAnsi" w:cstheme="minorHAnsi"/>
          <w:b/>
          <w:bCs/>
          <w:sz w:val="21"/>
          <w:szCs w:val="21"/>
        </w:rPr>
      </w:pPr>
      <w:r>
        <w:rPr>
          <w:noProof/>
        </w:rPr>
        <w:drawing>
          <wp:inline distT="0" distB="0" distL="0" distR="0" wp14:anchorId="755BECF9" wp14:editId="38438890">
            <wp:extent cx="6858000" cy="222440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6858000" cy="2224405"/>
                    </a:xfrm>
                    <a:prstGeom prst="rect">
                      <a:avLst/>
                    </a:prstGeom>
                  </pic:spPr>
                </pic:pic>
              </a:graphicData>
            </a:graphic>
          </wp:inline>
        </w:drawing>
      </w:r>
    </w:p>
    <w:p w14:paraId="652645CA" w14:textId="35E8D527" w:rsidR="003D47A1" w:rsidRDefault="003D47A1" w:rsidP="003D47A1">
      <w:pPr>
        <w:shd w:val="clear" w:color="auto" w:fill="FFFFFF"/>
        <w:rPr>
          <w:rFonts w:asciiTheme="minorHAnsi" w:hAnsiTheme="minorHAnsi" w:cstheme="minorHAnsi"/>
          <w:b/>
          <w:bCs/>
          <w:color w:val="FF0000"/>
          <w:sz w:val="21"/>
          <w:szCs w:val="21"/>
        </w:rPr>
      </w:pPr>
    </w:p>
    <w:p w14:paraId="68FFFB03" w14:textId="6CFED269" w:rsidR="007112F8" w:rsidRDefault="001178D8" w:rsidP="007112F8">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COVID-19 vaccination schedule for</w:t>
      </w:r>
      <w:r w:rsidR="007112F8" w:rsidRPr="008B126A">
        <w:rPr>
          <w:rFonts w:ascii="Calibri" w:hAnsi="Calibri"/>
          <w:color w:val="201F1E"/>
          <w:sz w:val="21"/>
          <w:szCs w:val="21"/>
        </w:rPr>
        <w:t xml:space="preserve"> </w:t>
      </w:r>
      <w:hyperlink r:id="rId15"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p>
    <w:p w14:paraId="2365AC3C" w14:textId="6BD9232A" w:rsidR="00305045" w:rsidRDefault="00305045" w:rsidP="00154A11">
      <w:pPr>
        <w:shd w:val="clear" w:color="auto" w:fill="FFFFFF"/>
        <w:rPr>
          <w:rFonts w:ascii="Calibri" w:hAnsi="Calibri"/>
          <w:b/>
          <w:bCs/>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r w:rsidRPr="00305045">
        <w:rPr>
          <w:rFonts w:ascii="Calibri" w:hAnsi="Calibri"/>
          <w:b/>
          <w:bCs/>
          <w:sz w:val="21"/>
          <w:szCs w:val="21"/>
        </w:rPr>
        <w:t>Use of mRNA vaccines is preferred.</w:t>
      </w:r>
    </w:p>
    <w:p w14:paraId="62F31019" w14:textId="34C65FCC" w:rsidR="00541BF3" w:rsidRDefault="00541BF3" w:rsidP="00154A11">
      <w:pPr>
        <w:shd w:val="clear" w:color="auto" w:fill="FFFFFF"/>
        <w:rPr>
          <w:rFonts w:ascii="Calibri" w:hAnsi="Calibri"/>
          <w:b/>
          <w:bCs/>
          <w:sz w:val="21"/>
          <w:szCs w:val="21"/>
        </w:rPr>
      </w:pPr>
    </w:p>
    <w:p w14:paraId="76EA0D17" w14:textId="77777777" w:rsidR="00494FC2" w:rsidRDefault="00494FC2" w:rsidP="00154A11">
      <w:pPr>
        <w:shd w:val="clear" w:color="auto" w:fill="FFFFFF"/>
        <w:rPr>
          <w:rFonts w:ascii="Calibri" w:hAnsi="Calibri"/>
          <w:b/>
          <w:bCs/>
          <w:sz w:val="21"/>
          <w:szCs w:val="21"/>
        </w:rPr>
      </w:pPr>
    </w:p>
    <w:p w14:paraId="77CDD116" w14:textId="0426E385" w:rsidR="00541BF3" w:rsidRDefault="00541BF3" w:rsidP="00154A11">
      <w:pPr>
        <w:shd w:val="clear" w:color="auto" w:fill="FFFFFF"/>
        <w:rPr>
          <w:rFonts w:ascii="Calibri" w:hAnsi="Calibri"/>
          <w:b/>
          <w:bCs/>
          <w:sz w:val="21"/>
          <w:szCs w:val="21"/>
        </w:rPr>
      </w:pPr>
      <w:r w:rsidRPr="00541BF3">
        <w:rPr>
          <w:rFonts w:ascii="Calibri" w:hAnsi="Calibri"/>
          <w:b/>
          <w:bCs/>
          <w:sz w:val="21"/>
          <w:szCs w:val="21"/>
        </w:rPr>
        <w:t>Primary series for people with moderate or severe immunocompromise</w:t>
      </w:r>
    </w:p>
    <w:p w14:paraId="66B4144D" w14:textId="77777777" w:rsidR="00541BF3" w:rsidRPr="00541BF3" w:rsidRDefault="00541BF3" w:rsidP="00541BF3">
      <w:pPr>
        <w:shd w:val="clear" w:color="auto" w:fill="FFFFFF"/>
        <w:ind w:left="720"/>
        <w:rPr>
          <w:rFonts w:ascii="Calibri" w:hAnsi="Calibri"/>
          <w:b/>
          <w:bCs/>
          <w:sz w:val="21"/>
          <w:szCs w:val="21"/>
        </w:rPr>
      </w:pPr>
      <w:r w:rsidRPr="00541BF3">
        <w:rPr>
          <w:rFonts w:ascii="Calibri" w:hAnsi="Calibri"/>
          <w:b/>
          <w:bCs/>
          <w:sz w:val="21"/>
          <w:szCs w:val="21"/>
        </w:rPr>
        <w:t>mRNA COVID-19 vaccines</w:t>
      </w:r>
    </w:p>
    <w:p w14:paraId="257BB719" w14:textId="27AA309A"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3-dose primary series</w:t>
      </w:r>
      <w:r w:rsidRPr="00541BF3">
        <w:rPr>
          <w:rFonts w:ascii="Calibri" w:hAnsi="Calibri"/>
          <w:sz w:val="21"/>
          <w:szCs w:val="21"/>
        </w:rPr>
        <w:t> is recommended for people ages 5 years and older who are moderately or severely immunocompromised </w:t>
      </w:r>
      <w:r w:rsidRPr="00541BF3">
        <w:rPr>
          <w:rFonts w:ascii="Calibri" w:hAnsi="Calibri"/>
          <w:b/>
          <w:bCs/>
          <w:sz w:val="21"/>
          <w:szCs w:val="21"/>
        </w:rPr>
        <w:t>at the time of vaccination</w:t>
      </w:r>
      <w:r w:rsidRPr="00541BF3">
        <w:rPr>
          <w:rFonts w:ascii="Calibri" w:hAnsi="Calibri"/>
          <w:sz w:val="21"/>
          <w:szCs w:val="21"/>
        </w:rPr>
        <w:t> (</w:t>
      </w:r>
      <w:r>
        <w:rPr>
          <w:rFonts w:ascii="Calibri" w:hAnsi="Calibri"/>
          <w:sz w:val="21"/>
          <w:szCs w:val="21"/>
        </w:rPr>
        <w:t xml:space="preserve">see Clinical Considerations, </w:t>
      </w:r>
      <w:hyperlink r:id="rId16" w:anchor="table-03" w:history="1">
        <w:r w:rsidRPr="00541BF3">
          <w:rPr>
            <w:rStyle w:val="Hyperlink"/>
            <w:rFonts w:ascii="Calibri" w:hAnsi="Calibri"/>
            <w:sz w:val="21"/>
            <w:szCs w:val="21"/>
          </w:rPr>
          <w:t>Table 3</w:t>
        </w:r>
      </w:hyperlink>
      <w:r w:rsidR="00037C09">
        <w:rPr>
          <w:rFonts w:ascii="Calibri" w:hAnsi="Calibri"/>
          <w:sz w:val="21"/>
          <w:szCs w:val="21"/>
        </w:rPr>
        <w:t>, below</w:t>
      </w:r>
      <w:r w:rsidRPr="00541BF3">
        <w:rPr>
          <w:rFonts w:ascii="Calibri" w:hAnsi="Calibri"/>
          <w:sz w:val="21"/>
          <w:szCs w:val="21"/>
        </w:rPr>
        <w:t>). The same mRNA vaccine product should be used for all doses of the primary series.</w:t>
      </w:r>
    </w:p>
    <w:p w14:paraId="4E678253" w14:textId="77777777" w:rsidR="00541BF3" w:rsidRPr="00154A11" w:rsidRDefault="00541BF3" w:rsidP="00154A11">
      <w:pPr>
        <w:shd w:val="clear" w:color="auto" w:fill="FFFFFF"/>
        <w:rPr>
          <w:rFonts w:ascii="Calibri" w:hAnsi="Calibri"/>
          <w:sz w:val="21"/>
          <w:szCs w:val="21"/>
        </w:rPr>
      </w:pPr>
    </w:p>
    <w:p w14:paraId="73222881" w14:textId="4A5C9B43" w:rsidR="00541BF3" w:rsidRPr="00541BF3" w:rsidRDefault="00085A92" w:rsidP="00541BF3">
      <w:pPr>
        <w:shd w:val="clear" w:color="auto" w:fill="FFFFFF"/>
        <w:ind w:left="720"/>
        <w:rPr>
          <w:rFonts w:ascii="Calibri" w:hAnsi="Calibri"/>
          <w:b/>
          <w:bCs/>
          <w:sz w:val="21"/>
          <w:szCs w:val="21"/>
        </w:rPr>
      </w:pPr>
      <w:r w:rsidRPr="00085A92">
        <w:rPr>
          <w:rFonts w:ascii="Calibri" w:hAnsi="Calibri"/>
          <w:b/>
          <w:bCs/>
          <w:sz w:val="21"/>
          <w:szCs w:val="21"/>
        </w:rPr>
        <w:t>Janssen/J&amp;J</w:t>
      </w:r>
      <w:r w:rsidR="00541BF3" w:rsidRPr="00541BF3">
        <w:rPr>
          <w:rFonts w:ascii="Calibri" w:hAnsi="Calibri"/>
          <w:b/>
          <w:bCs/>
          <w:sz w:val="21"/>
          <w:szCs w:val="21"/>
        </w:rPr>
        <w:t xml:space="preserve"> COVID-19 Vaccine</w:t>
      </w:r>
    </w:p>
    <w:p w14:paraId="0078C0AC" w14:textId="79CDED2C"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 xml:space="preserve">primary </w:t>
      </w:r>
      <w:r w:rsidR="00085A92" w:rsidRPr="00085A92">
        <w:rPr>
          <w:rFonts w:ascii="Calibri" w:hAnsi="Calibri"/>
          <w:b/>
          <w:bCs/>
          <w:sz w:val="21"/>
          <w:szCs w:val="21"/>
        </w:rPr>
        <w:t>Janssen/J&amp;J</w:t>
      </w:r>
      <w:r w:rsidR="00085A92" w:rsidRPr="00541BF3">
        <w:rPr>
          <w:rFonts w:ascii="Calibri" w:hAnsi="Calibri"/>
          <w:b/>
          <w:bCs/>
          <w:sz w:val="21"/>
          <w:szCs w:val="21"/>
        </w:rPr>
        <w:t xml:space="preserve"> </w:t>
      </w:r>
      <w:r w:rsidRPr="00541BF3">
        <w:rPr>
          <w:rFonts w:ascii="Calibri" w:hAnsi="Calibri"/>
          <w:b/>
          <w:bCs/>
          <w:sz w:val="21"/>
          <w:szCs w:val="21"/>
        </w:rPr>
        <w:t>vaccine dose</w:t>
      </w:r>
      <w:r w:rsidRPr="00541BF3">
        <w:rPr>
          <w:rFonts w:ascii="Calibri" w:hAnsi="Calibri"/>
          <w:sz w:val="21"/>
          <w:szCs w:val="21"/>
        </w:rPr>
        <w:t> is recommended for people ages 18 years and older who are moderately or severely immunocompromised, followed by a </w:t>
      </w:r>
      <w:r w:rsidRPr="00541BF3">
        <w:rPr>
          <w:rFonts w:ascii="Calibri" w:hAnsi="Calibri"/>
          <w:b/>
          <w:bCs/>
          <w:sz w:val="21"/>
          <w:szCs w:val="21"/>
        </w:rPr>
        <w:t>second (additional) dose</w:t>
      </w:r>
      <w:r w:rsidRPr="00541BF3">
        <w:rPr>
          <w:rFonts w:ascii="Calibri" w:hAnsi="Calibri"/>
          <w:sz w:val="21"/>
          <w:szCs w:val="21"/>
        </w:rPr>
        <w:t> </w:t>
      </w:r>
      <w:r w:rsidRPr="00541BF3">
        <w:rPr>
          <w:rFonts w:ascii="Calibri" w:hAnsi="Calibri"/>
          <w:b/>
          <w:bCs/>
          <w:sz w:val="21"/>
          <w:szCs w:val="21"/>
        </w:rPr>
        <w:t>using an mRNA COVID-19 vaccine</w:t>
      </w:r>
      <w:r w:rsidRPr="00541BF3">
        <w:rPr>
          <w:rFonts w:ascii="Calibri" w:hAnsi="Calibri"/>
          <w:sz w:val="21"/>
          <w:szCs w:val="21"/>
        </w:rPr>
        <w:t> at least 4 weeks later (see </w:t>
      </w:r>
      <w:r>
        <w:rPr>
          <w:rFonts w:ascii="Calibri" w:hAnsi="Calibri"/>
          <w:sz w:val="21"/>
          <w:szCs w:val="21"/>
        </w:rPr>
        <w:t xml:space="preserve">Clinical Considerations, </w:t>
      </w:r>
      <w:hyperlink r:id="rId17" w:anchor="appendix-b" w:history="1">
        <w:r w:rsidRPr="00541BF3">
          <w:rPr>
            <w:rStyle w:val="Hyperlink"/>
            <w:rFonts w:ascii="Calibri" w:hAnsi="Calibri"/>
            <w:sz w:val="21"/>
            <w:szCs w:val="21"/>
          </w:rPr>
          <w:t>Appendix B</w:t>
        </w:r>
      </w:hyperlink>
      <w:r w:rsidRPr="00541BF3">
        <w:rPr>
          <w:rFonts w:ascii="Calibri" w:hAnsi="Calibri"/>
          <w:sz w:val="21"/>
          <w:szCs w:val="21"/>
        </w:rPr>
        <w:t> for additional information). If Moderna COVID-19 vaccine is used for the second dose, administer a 100 mcg (0.5 ml) dose.</w:t>
      </w:r>
    </w:p>
    <w:p w14:paraId="10A5E9AB" w14:textId="77777777" w:rsidR="00154A11" w:rsidRPr="007112F8" w:rsidRDefault="00154A11" w:rsidP="00154A11">
      <w:pPr>
        <w:shd w:val="clear" w:color="auto" w:fill="FFFFFF"/>
        <w:rPr>
          <w:rFonts w:ascii="Calibri" w:hAnsi="Calibri"/>
          <w:sz w:val="21"/>
          <w:szCs w:val="21"/>
        </w:rPr>
      </w:pPr>
    </w:p>
    <w:p w14:paraId="2FB5FF69" w14:textId="77777777" w:rsidR="00541BF3" w:rsidRPr="00541BF3" w:rsidRDefault="00541BF3" w:rsidP="00541BF3">
      <w:pPr>
        <w:shd w:val="clear" w:color="auto" w:fill="FFFFFF"/>
        <w:rPr>
          <w:rFonts w:ascii="Calibri" w:hAnsi="Calibri"/>
          <w:b/>
          <w:bCs/>
          <w:color w:val="000000"/>
          <w:sz w:val="21"/>
          <w:szCs w:val="21"/>
        </w:rPr>
      </w:pPr>
      <w:r w:rsidRPr="00541BF3">
        <w:rPr>
          <w:rFonts w:ascii="Calibri" w:hAnsi="Calibri"/>
          <w:b/>
          <w:bCs/>
          <w:color w:val="000000"/>
          <w:sz w:val="21"/>
          <w:szCs w:val="21"/>
        </w:rPr>
        <w:lastRenderedPageBreak/>
        <w:t>Booster doses for people with moderate or severe immunocompromise</w:t>
      </w:r>
    </w:p>
    <w:p w14:paraId="74143456" w14:textId="77777777" w:rsidR="00541BF3" w:rsidRPr="00541BF3" w:rsidRDefault="00541BF3" w:rsidP="00541BF3">
      <w:pPr>
        <w:shd w:val="clear" w:color="auto" w:fill="FFFFFF"/>
        <w:rPr>
          <w:rFonts w:ascii="Calibri" w:hAnsi="Calibri"/>
          <w:color w:val="000000"/>
          <w:sz w:val="21"/>
          <w:szCs w:val="21"/>
        </w:rPr>
      </w:pPr>
      <w:r w:rsidRPr="00541BF3">
        <w:rPr>
          <w:rFonts w:ascii="Calibri" w:hAnsi="Calibri"/>
          <w:color w:val="000000"/>
          <w:sz w:val="21"/>
          <w:szCs w:val="21"/>
        </w:rPr>
        <w:t>Booster doses are recommended for people 12 years of age and older after completion of primary vaccination.</w:t>
      </w:r>
    </w:p>
    <w:p w14:paraId="0CC2A52A" w14:textId="6A3DB2B8" w:rsidR="007112F8" w:rsidRDefault="007112F8" w:rsidP="007112F8">
      <w:pPr>
        <w:shd w:val="clear" w:color="auto" w:fill="FFFFFF"/>
        <w:rPr>
          <w:rFonts w:ascii="Calibri" w:hAnsi="Calibri"/>
          <w:color w:val="000000"/>
          <w:sz w:val="21"/>
          <w:szCs w:val="21"/>
        </w:rPr>
      </w:pPr>
    </w:p>
    <w:p w14:paraId="4AF31F5C" w14:textId="77777777" w:rsidR="00541BF3" w:rsidRPr="00541BF3" w:rsidRDefault="00541BF3" w:rsidP="00541BF3">
      <w:pPr>
        <w:shd w:val="clear" w:color="auto" w:fill="FFFFFF"/>
        <w:ind w:left="720"/>
        <w:rPr>
          <w:rFonts w:ascii="Calibri" w:hAnsi="Calibri"/>
          <w:b/>
          <w:bCs/>
          <w:color w:val="000000"/>
          <w:sz w:val="21"/>
          <w:szCs w:val="21"/>
        </w:rPr>
      </w:pPr>
      <w:r w:rsidRPr="00541BF3">
        <w:rPr>
          <w:rFonts w:ascii="Calibri" w:hAnsi="Calibri"/>
          <w:b/>
          <w:bCs/>
          <w:color w:val="000000"/>
          <w:sz w:val="21"/>
          <w:szCs w:val="21"/>
        </w:rPr>
        <w:t>mRNA COVID-19 vaccine primary series</w:t>
      </w:r>
    </w:p>
    <w:p w14:paraId="6C06E476" w14:textId="77777777"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3 months after the third dose in the primary series, </w:t>
      </w:r>
      <w:r w:rsidRPr="00541BF3">
        <w:rPr>
          <w:rFonts w:ascii="Calibri" w:hAnsi="Calibri"/>
          <w:b/>
          <w:bCs/>
          <w:color w:val="000000"/>
          <w:sz w:val="21"/>
          <w:szCs w:val="21"/>
        </w:rPr>
        <w:t>for a total of four doses</w:t>
      </w:r>
      <w:r w:rsidRPr="00541BF3">
        <w:rPr>
          <w:rFonts w:ascii="Calibri" w:hAnsi="Calibri"/>
          <w:color w:val="000000"/>
          <w:sz w:val="21"/>
          <w:szCs w:val="21"/>
        </w:rPr>
        <w:t>, preferably with an mRNA COVID-19 vaccine. If Moderna vaccine is used for the booster dose, a 50 mcg (0.25 mL) dose should be used.</w:t>
      </w:r>
    </w:p>
    <w:p w14:paraId="50AD07ED" w14:textId="77777777" w:rsidR="00541BF3" w:rsidRDefault="00541BF3" w:rsidP="00541BF3">
      <w:pPr>
        <w:shd w:val="clear" w:color="auto" w:fill="FFFFFF"/>
        <w:ind w:left="720"/>
        <w:rPr>
          <w:rFonts w:ascii="Calibri" w:hAnsi="Calibri"/>
          <w:color w:val="000000"/>
          <w:sz w:val="21"/>
          <w:szCs w:val="21"/>
        </w:rPr>
      </w:pPr>
    </w:p>
    <w:p w14:paraId="5F776D1D" w14:textId="3843F036" w:rsidR="00541BF3" w:rsidRPr="00541BF3" w:rsidRDefault="00085A92" w:rsidP="00541BF3">
      <w:pPr>
        <w:shd w:val="clear" w:color="auto" w:fill="FFFFFF"/>
        <w:ind w:left="720"/>
        <w:rPr>
          <w:rFonts w:ascii="Calibri" w:hAnsi="Calibri"/>
          <w:b/>
          <w:bCs/>
          <w:color w:val="000000"/>
          <w:sz w:val="21"/>
          <w:szCs w:val="21"/>
        </w:rPr>
      </w:pPr>
      <w:r w:rsidRPr="00085A92">
        <w:rPr>
          <w:rFonts w:ascii="Calibri" w:hAnsi="Calibri"/>
          <w:b/>
          <w:bCs/>
          <w:sz w:val="21"/>
          <w:szCs w:val="21"/>
        </w:rPr>
        <w:t>Janssen/J&amp;J</w:t>
      </w:r>
      <w:r w:rsidR="00541BF3" w:rsidRPr="00541BF3">
        <w:rPr>
          <w:rFonts w:ascii="Calibri" w:hAnsi="Calibri"/>
          <w:b/>
          <w:bCs/>
          <w:color w:val="000000"/>
          <w:sz w:val="21"/>
          <w:szCs w:val="21"/>
        </w:rPr>
        <w:t xml:space="preserve"> COVID-19 primary vaccination</w:t>
      </w:r>
    </w:p>
    <w:p w14:paraId="03A1E142" w14:textId="7204A2D0" w:rsid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w:t>
      </w:r>
      <w:r w:rsidRPr="00541BF3">
        <w:rPr>
          <w:rFonts w:ascii="Calibri" w:hAnsi="Calibri"/>
          <w:b/>
          <w:bCs/>
          <w:color w:val="000000"/>
          <w:sz w:val="21"/>
          <w:szCs w:val="21"/>
        </w:rPr>
        <w:t>2 months</w:t>
      </w:r>
      <w:r w:rsidRPr="00541BF3">
        <w:rPr>
          <w:rFonts w:ascii="Calibri" w:hAnsi="Calibri"/>
          <w:color w:val="000000"/>
          <w:sz w:val="21"/>
          <w:szCs w:val="21"/>
        </w:rPr>
        <w:t> after the 2</w:t>
      </w:r>
      <w:r w:rsidRPr="00541BF3">
        <w:rPr>
          <w:rFonts w:ascii="Calibri" w:hAnsi="Calibri"/>
          <w:color w:val="000000"/>
          <w:sz w:val="21"/>
          <w:szCs w:val="21"/>
          <w:vertAlign w:val="superscript"/>
        </w:rPr>
        <w:t>nd</w:t>
      </w:r>
      <w:r w:rsidRPr="00541BF3">
        <w:rPr>
          <w:rFonts w:ascii="Calibri" w:hAnsi="Calibri"/>
          <w:color w:val="000000"/>
          <w:sz w:val="21"/>
          <w:szCs w:val="21"/>
        </w:rPr>
        <w:t> (additional) dose, for a total of </w:t>
      </w:r>
      <w:r w:rsidRPr="00541BF3">
        <w:rPr>
          <w:rFonts w:ascii="Calibri" w:hAnsi="Calibri"/>
          <w:b/>
          <w:bCs/>
          <w:color w:val="000000"/>
          <w:sz w:val="21"/>
          <w:szCs w:val="21"/>
        </w:rPr>
        <w:t>3 doses</w:t>
      </w:r>
      <w:r w:rsidRPr="00541BF3">
        <w:rPr>
          <w:rFonts w:ascii="Calibri" w:hAnsi="Calibri"/>
          <w:color w:val="000000"/>
          <w:sz w:val="21"/>
          <w:szCs w:val="21"/>
        </w:rPr>
        <w:t xml:space="preserve"> (1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vaccine dose followed by 1 additional mRNA vaccine dose, then 1 booster dose). mRNA vaccines are preferred for the booster dose. If the Moderna vaccine is used for the booster dose, a 50 mcg (0.25 ml) dose should be used.</w:t>
      </w:r>
    </w:p>
    <w:p w14:paraId="7BD7AB5A" w14:textId="77777777" w:rsidR="00541BF3" w:rsidRPr="00541BF3" w:rsidRDefault="00541BF3" w:rsidP="00541BF3">
      <w:pPr>
        <w:shd w:val="clear" w:color="auto" w:fill="FFFFFF"/>
        <w:ind w:left="720"/>
        <w:rPr>
          <w:rFonts w:ascii="Calibri" w:hAnsi="Calibri"/>
          <w:color w:val="000000"/>
          <w:sz w:val="21"/>
          <w:szCs w:val="21"/>
        </w:rPr>
      </w:pPr>
    </w:p>
    <w:p w14:paraId="744B4DC8" w14:textId="1608001C"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b/>
          <w:bCs/>
          <w:color w:val="FF0000"/>
          <w:sz w:val="21"/>
          <w:szCs w:val="21"/>
        </w:rPr>
        <w:t>Special situation</w:t>
      </w:r>
      <w:r w:rsidRPr="00541BF3">
        <w:rPr>
          <w:rFonts w:ascii="Calibri" w:hAnsi="Calibri"/>
          <w:color w:val="000000"/>
          <w:sz w:val="21"/>
          <w:szCs w:val="21"/>
        </w:rPr>
        <w:t>: Many recipients of</w:t>
      </w:r>
      <w:r w:rsidR="00085A92">
        <w:rPr>
          <w:rFonts w:ascii="Calibri" w:hAnsi="Calibri"/>
          <w:color w:val="000000"/>
          <w:sz w:val="21"/>
          <w:szCs w:val="21"/>
        </w:rPr>
        <w:t xml:space="preserve"> </w:t>
      </w:r>
      <w:bookmarkStart w:id="1" w:name="_Hlk95895644"/>
      <w:r w:rsidR="00085A92" w:rsidRPr="00085A92">
        <w:rPr>
          <w:rFonts w:ascii="Calibri" w:hAnsi="Calibri"/>
          <w:sz w:val="21"/>
          <w:szCs w:val="21"/>
        </w:rPr>
        <w:t>Janssen/J&amp;J</w:t>
      </w:r>
      <w:r w:rsidRPr="00541BF3">
        <w:rPr>
          <w:rFonts w:ascii="Calibri" w:hAnsi="Calibri"/>
          <w:color w:val="000000"/>
          <w:sz w:val="21"/>
          <w:szCs w:val="21"/>
        </w:rPr>
        <w:t xml:space="preserve"> </w:t>
      </w:r>
      <w:bookmarkEnd w:id="1"/>
      <w:r w:rsidRPr="00541BF3">
        <w:rPr>
          <w:rFonts w:ascii="Calibri" w:hAnsi="Calibri"/>
          <w:color w:val="000000"/>
          <w:sz w:val="21"/>
          <w:szCs w:val="21"/>
        </w:rPr>
        <w:t xml:space="preserve">COVID-19 Vaccine may have already received a booster dose (Pfizer-BioNTech, </w:t>
      </w:r>
      <w:proofErr w:type="spellStart"/>
      <w:r w:rsidRPr="00541BF3">
        <w:rPr>
          <w:rFonts w:ascii="Calibri" w:hAnsi="Calibri"/>
          <w:color w:val="000000"/>
          <w:sz w:val="21"/>
          <w:szCs w:val="21"/>
        </w:rPr>
        <w:t>Moderna</w:t>
      </w:r>
      <w:proofErr w:type="spellEnd"/>
      <w:r w:rsidRPr="00541BF3">
        <w:rPr>
          <w:rFonts w:ascii="Calibri" w:hAnsi="Calibri"/>
          <w:color w:val="000000"/>
          <w:sz w:val="21"/>
          <w:szCs w:val="21"/>
        </w:rPr>
        <w:t xml:space="preserve"> [50 mcg, 0.25 ml], or Janssen vaccine), without having had the 2</w:t>
      </w:r>
      <w:r w:rsidRPr="00541BF3">
        <w:rPr>
          <w:rFonts w:ascii="Calibri" w:hAnsi="Calibri"/>
          <w:color w:val="000000"/>
          <w:sz w:val="21"/>
          <w:szCs w:val="21"/>
          <w:vertAlign w:val="superscript"/>
        </w:rPr>
        <w:t>nd</w:t>
      </w:r>
      <w:r w:rsidRPr="00541BF3">
        <w:rPr>
          <w:rFonts w:ascii="Calibri" w:hAnsi="Calibri"/>
          <w:color w:val="000000"/>
          <w:sz w:val="21"/>
          <w:szCs w:val="21"/>
        </w:rPr>
        <w:t> (additional) mRNA vaccine dose. In this situation, regardless of type and timing of vaccine received as the 2</w:t>
      </w:r>
      <w:r w:rsidRPr="00541BF3">
        <w:rPr>
          <w:rFonts w:ascii="Calibri" w:hAnsi="Calibri"/>
          <w:color w:val="000000"/>
          <w:sz w:val="21"/>
          <w:szCs w:val="21"/>
          <w:vertAlign w:val="superscript"/>
        </w:rPr>
        <w:t>nd</w:t>
      </w:r>
      <w:r w:rsidRPr="00541BF3">
        <w:rPr>
          <w:rFonts w:ascii="Calibri" w:hAnsi="Calibri"/>
          <w:color w:val="000000"/>
          <w:sz w:val="21"/>
          <w:szCs w:val="21"/>
        </w:rPr>
        <w:t> dose, administer a Pfizer-BioNTech vaccine or a Moderna vaccine (100 mcg [0.5 mL]) as the 3</w:t>
      </w:r>
      <w:r w:rsidRPr="00541BF3">
        <w:rPr>
          <w:rFonts w:ascii="Calibri" w:hAnsi="Calibri"/>
          <w:color w:val="000000"/>
          <w:sz w:val="21"/>
          <w:szCs w:val="21"/>
          <w:vertAlign w:val="superscript"/>
        </w:rPr>
        <w:t>rd</w:t>
      </w:r>
      <w:r w:rsidRPr="00541BF3">
        <w:rPr>
          <w:rFonts w:ascii="Calibri" w:hAnsi="Calibri"/>
          <w:color w:val="000000"/>
          <w:sz w:val="21"/>
          <w:szCs w:val="21"/>
        </w:rPr>
        <w:t> dose at least 2 months after dose 2. See </w:t>
      </w:r>
      <w:r>
        <w:rPr>
          <w:rFonts w:ascii="Calibri" w:hAnsi="Calibri"/>
          <w:color w:val="000000"/>
          <w:sz w:val="21"/>
          <w:szCs w:val="21"/>
        </w:rPr>
        <w:t xml:space="preserve">Clinical Considerations </w:t>
      </w:r>
      <w:hyperlink r:id="rId18" w:anchor="appendix-b" w:history="1">
        <w:r w:rsidRPr="00541BF3">
          <w:rPr>
            <w:rStyle w:val="Hyperlink"/>
            <w:rFonts w:ascii="Calibri" w:hAnsi="Calibri"/>
            <w:sz w:val="21"/>
            <w:szCs w:val="21"/>
          </w:rPr>
          <w:t>Appendix B</w:t>
        </w:r>
      </w:hyperlink>
      <w:r w:rsidRPr="00541BF3">
        <w:rPr>
          <w:rFonts w:ascii="Calibri" w:hAnsi="Calibri"/>
          <w:color w:val="000000"/>
          <w:sz w:val="21"/>
          <w:szCs w:val="21"/>
        </w:rPr>
        <w:t xml:space="preserve"> for additional dose information for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COVID-19 Vaccine recipients.</w:t>
      </w:r>
    </w:p>
    <w:p w14:paraId="5BFE382D" w14:textId="77777777" w:rsidR="00541BF3" w:rsidRDefault="00541BF3" w:rsidP="007112F8">
      <w:pPr>
        <w:shd w:val="clear" w:color="auto" w:fill="FFFFFF"/>
        <w:rPr>
          <w:rFonts w:ascii="Calibri" w:hAnsi="Calibri"/>
          <w:color w:val="000000"/>
          <w:sz w:val="21"/>
          <w:szCs w:val="21"/>
        </w:rPr>
      </w:pPr>
    </w:p>
    <w:p w14:paraId="2BE70A94" w14:textId="1C5A59D0" w:rsidR="007112F8" w:rsidRDefault="003D47A1" w:rsidP="0063730E">
      <w:pPr>
        <w:shd w:val="clear" w:color="auto" w:fill="FFFFFF"/>
        <w:rPr>
          <w:rFonts w:ascii="Calibri" w:hAnsi="Calibri"/>
          <w:b/>
          <w:bCs/>
          <w:color w:val="000099"/>
        </w:rPr>
      </w:pPr>
      <w:r>
        <w:rPr>
          <w:noProof/>
        </w:rPr>
        <w:drawing>
          <wp:inline distT="0" distB="0" distL="0" distR="0" wp14:anchorId="74CD9322" wp14:editId="7AC61681">
            <wp:extent cx="6858000" cy="21907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9"/>
                    <a:stretch>
                      <a:fillRect/>
                    </a:stretch>
                  </pic:blipFill>
                  <pic:spPr>
                    <a:xfrm>
                      <a:off x="0" y="0"/>
                      <a:ext cx="6858000" cy="2190750"/>
                    </a:xfrm>
                    <a:prstGeom prst="rect">
                      <a:avLst/>
                    </a:prstGeom>
                  </pic:spPr>
                </pic:pic>
              </a:graphicData>
            </a:graphic>
          </wp:inline>
        </w:drawing>
      </w:r>
    </w:p>
    <w:p w14:paraId="51343948" w14:textId="15EB15E6" w:rsidR="003D47A1" w:rsidRDefault="00E529A1" w:rsidP="001170AB">
      <w:pPr>
        <w:shd w:val="clear" w:color="auto" w:fill="FFFFFF"/>
        <w:jc w:val="center"/>
        <w:rPr>
          <w:rFonts w:ascii="Calibri" w:hAnsi="Calibri"/>
          <w:b/>
          <w:bCs/>
          <w:color w:val="000099"/>
        </w:rPr>
      </w:pPr>
      <w:r>
        <w:rPr>
          <w:noProof/>
        </w:rPr>
        <w:drawing>
          <wp:inline distT="0" distB="0" distL="0" distR="0" wp14:anchorId="76B3E13B" wp14:editId="1A0448EC">
            <wp:extent cx="5773479" cy="3448050"/>
            <wp:effectExtent l="19050" t="19050" r="17780" b="1905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0"/>
                    <a:stretch>
                      <a:fillRect/>
                    </a:stretch>
                  </pic:blipFill>
                  <pic:spPr>
                    <a:xfrm>
                      <a:off x="0" y="0"/>
                      <a:ext cx="5789120" cy="3457391"/>
                    </a:xfrm>
                    <a:prstGeom prst="rect">
                      <a:avLst/>
                    </a:prstGeom>
                    <a:ln>
                      <a:solidFill>
                        <a:schemeClr val="tx1"/>
                      </a:solidFill>
                    </a:ln>
                  </pic:spPr>
                </pic:pic>
              </a:graphicData>
            </a:graphic>
          </wp:inline>
        </w:drawing>
      </w:r>
    </w:p>
    <w:p w14:paraId="79D38105" w14:textId="42D56E4E" w:rsidR="00591E34" w:rsidRPr="00AE0D2A" w:rsidRDefault="00591E34" w:rsidP="006E1E27">
      <w:pPr>
        <w:shd w:val="clear" w:color="auto" w:fill="FFFFFF"/>
        <w:jc w:val="center"/>
        <w:rPr>
          <w:rFonts w:ascii="Calibri" w:hAnsi="Calibri"/>
          <w:b/>
          <w:bCs/>
          <w:color w:val="000099"/>
        </w:rPr>
      </w:pPr>
    </w:p>
    <w:p w14:paraId="33DBA39A" w14:textId="77777777" w:rsidR="00684BD5" w:rsidRDefault="00684BD5" w:rsidP="003A46CA">
      <w:pPr>
        <w:shd w:val="clear" w:color="auto" w:fill="FFFFFF"/>
        <w:rPr>
          <w:rFonts w:asciiTheme="minorHAnsi" w:hAnsiTheme="minorHAnsi" w:cstheme="minorHAnsi"/>
          <w:b/>
          <w:bCs/>
          <w:color w:val="FF0000"/>
          <w:sz w:val="21"/>
          <w:szCs w:val="21"/>
        </w:rPr>
      </w:pPr>
    </w:p>
    <w:p w14:paraId="69EB6A87" w14:textId="77777777" w:rsidR="002323F9" w:rsidRDefault="002323F9" w:rsidP="003A46CA">
      <w:pPr>
        <w:shd w:val="clear" w:color="auto" w:fill="FFFFFF"/>
        <w:rPr>
          <w:rFonts w:asciiTheme="minorHAnsi" w:hAnsiTheme="minorHAnsi" w:cstheme="minorHAnsi"/>
          <w:b/>
          <w:bCs/>
          <w:sz w:val="21"/>
          <w:szCs w:val="21"/>
        </w:rPr>
      </w:pPr>
    </w:p>
    <w:p w14:paraId="057489F8" w14:textId="44368116" w:rsidR="00FF1499" w:rsidRPr="00FF1499" w:rsidRDefault="001178D8" w:rsidP="00FF1499">
      <w:pPr>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FF1499">
        <w:rPr>
          <w:rFonts w:asciiTheme="minorHAnsi" w:hAnsiTheme="minorHAnsi" w:cstheme="minorHAnsi"/>
          <w:b/>
          <w:bCs/>
          <w:sz w:val="21"/>
          <w:szCs w:val="21"/>
        </w:rPr>
        <w:t xml:space="preserve"> </w:t>
      </w:r>
      <w:r w:rsidR="00FF1499" w:rsidRPr="00FF1499">
        <w:rPr>
          <w:rFonts w:asciiTheme="minorHAnsi" w:hAnsiTheme="minorHAnsi" w:cstheme="minorHAnsi"/>
          <w:b/>
          <w:bCs/>
          <w:sz w:val="21"/>
          <w:szCs w:val="21"/>
        </w:rPr>
        <w:t>People who received COVID-19 vaccine outside the United States</w:t>
      </w:r>
    </w:p>
    <w:p w14:paraId="240CA444" w14:textId="5F2B0380" w:rsidR="00FF1499" w:rsidRPr="00FF1499" w:rsidRDefault="00FF1499" w:rsidP="00B10DFE">
      <w:pPr>
        <w:pStyle w:val="ListParagraph"/>
        <w:numPr>
          <w:ilvl w:val="0"/>
          <w:numId w:val="13"/>
        </w:numPr>
        <w:shd w:val="clear" w:color="auto" w:fill="FFFFFF"/>
        <w:rPr>
          <w:rFonts w:asciiTheme="minorHAnsi" w:hAnsiTheme="minorHAnsi" w:cstheme="minorHAnsi"/>
          <w:sz w:val="21"/>
          <w:szCs w:val="21"/>
        </w:rPr>
      </w:pPr>
      <w:r w:rsidRPr="00FF1499">
        <w:rPr>
          <w:rFonts w:asciiTheme="minorHAnsi" w:hAnsiTheme="minorHAnsi" w:cstheme="minorHAnsi"/>
          <w:sz w:val="21"/>
          <w:szCs w:val="21"/>
        </w:rPr>
        <w:t xml:space="preserve">Emergency Use Instructions (EUI) and EUI Factsheets are now available for Pfizer and Moderna on the </w:t>
      </w:r>
      <w:hyperlink r:id="rId21" w:history="1">
        <w:r w:rsidRPr="00FF1499">
          <w:rPr>
            <w:rStyle w:val="Hyperlink"/>
            <w:rFonts w:asciiTheme="minorHAnsi" w:hAnsiTheme="minorHAnsi" w:cstheme="minorHAnsi"/>
            <w:sz w:val="21"/>
            <w:szCs w:val="21"/>
          </w:rPr>
          <w:t>EUI</w:t>
        </w:r>
      </w:hyperlink>
      <w:r w:rsidRPr="00FF1499">
        <w:rPr>
          <w:rFonts w:asciiTheme="minorHAnsi" w:hAnsiTheme="minorHAnsi" w:cstheme="minorHAnsi"/>
          <w:sz w:val="21"/>
          <w:szCs w:val="21"/>
        </w:rPr>
        <w:t xml:space="preserve"> tab</w:t>
      </w:r>
    </w:p>
    <w:p w14:paraId="10321CF2" w14:textId="0A193059" w:rsidR="00FF1499" w:rsidRPr="00FF1499" w:rsidRDefault="00086E15" w:rsidP="00B10DFE">
      <w:pPr>
        <w:pStyle w:val="ListParagraph"/>
        <w:numPr>
          <w:ilvl w:val="0"/>
          <w:numId w:val="13"/>
        </w:numPr>
        <w:shd w:val="clear" w:color="auto" w:fill="FFFFFF"/>
        <w:rPr>
          <w:rFonts w:asciiTheme="minorHAnsi" w:hAnsiTheme="minorHAnsi" w:cstheme="minorHAnsi"/>
          <w:sz w:val="21"/>
          <w:szCs w:val="21"/>
        </w:rPr>
      </w:pPr>
      <w:hyperlink r:id="rId22" w:anchor="appendix-e" w:history="1">
        <w:r w:rsidR="00FF1499" w:rsidRPr="00FF1499">
          <w:rPr>
            <w:rStyle w:val="Hyperlink"/>
            <w:rFonts w:asciiTheme="minorHAnsi" w:hAnsiTheme="minorHAnsi" w:cstheme="minorHAnsi"/>
            <w:sz w:val="21"/>
            <w:szCs w:val="21"/>
          </w:rPr>
          <w:t>Appendix E</w:t>
        </w:r>
      </w:hyperlink>
      <w:r w:rsidR="00FF1499" w:rsidRPr="00FF1499">
        <w:rPr>
          <w:rFonts w:asciiTheme="minorHAnsi" w:hAnsiTheme="minorHAnsi" w:cstheme="minorHAnsi"/>
          <w:sz w:val="21"/>
          <w:szCs w:val="21"/>
        </w:rPr>
        <w:t xml:space="preserve"> of the Clinical Considerations also has extensive details and tables describing different scenarios and how to proceed</w:t>
      </w:r>
    </w:p>
    <w:p w14:paraId="61719DDA" w14:textId="77777777" w:rsidR="00FF1499" w:rsidRDefault="00FF1499" w:rsidP="00E529A1">
      <w:pPr>
        <w:shd w:val="clear" w:color="auto" w:fill="FFFFFF"/>
        <w:rPr>
          <w:rFonts w:asciiTheme="minorHAnsi" w:hAnsiTheme="minorHAnsi" w:cstheme="minorHAnsi"/>
          <w:b/>
          <w:bCs/>
          <w:color w:val="FF0000"/>
          <w:sz w:val="21"/>
          <w:szCs w:val="21"/>
        </w:rPr>
      </w:pPr>
    </w:p>
    <w:p w14:paraId="21E81E4C" w14:textId="62EC1BE4" w:rsidR="00E529A1" w:rsidRPr="00E529A1" w:rsidRDefault="001178D8" w:rsidP="00E529A1">
      <w:pPr>
        <w:shd w:val="clear" w:color="auto" w:fill="FFFFFF"/>
        <w:rPr>
          <w:rFonts w:asciiTheme="minorHAnsi" w:hAnsiTheme="minorHAnsi" w:cstheme="minorHAnsi"/>
          <w:b/>
          <w:bCs/>
          <w:color w:val="FF0000"/>
          <w:sz w:val="21"/>
          <w:szCs w:val="21"/>
        </w:rPr>
      </w:pPr>
      <w:r>
        <w:rPr>
          <w:rFonts w:asciiTheme="minorHAnsi" w:hAnsiTheme="minorHAnsi" w:cstheme="minorHAnsi"/>
          <w:b/>
          <w:bCs/>
          <w:color w:val="FF0000"/>
          <w:sz w:val="21"/>
          <w:szCs w:val="21"/>
        </w:rPr>
        <w:t>Reminder</w:t>
      </w:r>
      <w:r w:rsidR="00E529A1">
        <w:rPr>
          <w:rFonts w:asciiTheme="minorHAnsi" w:hAnsiTheme="minorHAnsi" w:cstheme="minorHAnsi"/>
          <w:b/>
          <w:bCs/>
          <w:color w:val="FF0000"/>
          <w:sz w:val="21"/>
          <w:szCs w:val="21"/>
        </w:rPr>
        <w:t xml:space="preserve"> </w:t>
      </w:r>
      <w:r w:rsidR="00E529A1" w:rsidRPr="00E529A1">
        <w:rPr>
          <w:rFonts w:asciiTheme="minorHAnsi" w:hAnsiTheme="minorHAnsi" w:cstheme="minorHAnsi"/>
          <w:b/>
          <w:bCs/>
          <w:sz w:val="21"/>
          <w:szCs w:val="21"/>
        </w:rPr>
        <w:t>People who received passive antibody products</w:t>
      </w:r>
    </w:p>
    <w:p w14:paraId="2A509051" w14:textId="77777777" w:rsidR="00FF1499" w:rsidRDefault="00E529A1" w:rsidP="00E529A1">
      <w:pPr>
        <w:shd w:val="clear" w:color="auto" w:fill="FFFFFF"/>
        <w:rPr>
          <w:rFonts w:asciiTheme="minorHAnsi" w:hAnsiTheme="minorHAnsi" w:cstheme="minorHAnsi"/>
          <w:sz w:val="21"/>
          <w:szCs w:val="21"/>
        </w:rPr>
      </w:pPr>
      <w:r w:rsidRPr="00E529A1">
        <w:rPr>
          <w:rFonts w:asciiTheme="minorHAnsi" w:hAnsiTheme="minorHAnsi" w:cstheme="minorHAnsi"/>
          <w:sz w:val="21"/>
          <w:szCs w:val="21"/>
        </w:rPr>
        <w:t xml:space="preserve">People who previously received antibody products (anti-SARS-CoV-2 monoclonal antibodies or convalescent plasma) as part of COVID-19 treatment, post-exposure prophylaxis, or pre-exposure prophylaxis can be vaccinated at any time; COVID-19 vaccination does not need to be delayed following receipt of monoclonal antibodies or convalescent plasma. </w:t>
      </w:r>
    </w:p>
    <w:p w14:paraId="60DF0C12" w14:textId="71D24290" w:rsidR="00E529A1" w:rsidRPr="00E529A1" w:rsidRDefault="00E529A1" w:rsidP="00E529A1">
      <w:pPr>
        <w:shd w:val="clear" w:color="auto" w:fill="FFFFFF"/>
        <w:rPr>
          <w:rFonts w:asciiTheme="minorHAnsi" w:hAnsiTheme="minorHAnsi" w:cstheme="minorHAnsi"/>
          <w:sz w:val="21"/>
          <w:szCs w:val="21"/>
        </w:rPr>
      </w:pPr>
      <w:r w:rsidRPr="00E529A1">
        <w:rPr>
          <w:rFonts w:asciiTheme="minorHAnsi" w:hAnsiTheme="minorHAnsi" w:cstheme="minorHAnsi"/>
          <w:sz w:val="21"/>
          <w:szCs w:val="21"/>
        </w:rPr>
        <w:t>Although some reduction in vaccine-induced antibody titers</w:t>
      </w:r>
      <w:r w:rsidRPr="00E529A1">
        <w:rPr>
          <w:rFonts w:asciiTheme="minorHAnsi" w:hAnsiTheme="minorHAnsi" w:cstheme="minorHAnsi"/>
          <w:b/>
          <w:bCs/>
          <w:sz w:val="21"/>
          <w:szCs w:val="21"/>
        </w:rPr>
        <w:t> </w:t>
      </w:r>
      <w:r w:rsidRPr="00E529A1">
        <w:rPr>
          <w:rFonts w:asciiTheme="minorHAnsi" w:hAnsiTheme="minorHAnsi" w:cstheme="minorHAnsi"/>
          <w:sz w:val="21"/>
          <w:szCs w:val="21"/>
        </w:rPr>
        <w:t>was observed in people who previously received antibody products, the clinical significance of this reduction is unknown, and the balance of benefits vs. risks favors proceeding with vaccination even considering the possibility of diminished vaccine effectiveness in this situation.</w:t>
      </w:r>
    </w:p>
    <w:p w14:paraId="7BE7019F" w14:textId="1FE5FF20" w:rsidR="00265764" w:rsidRDefault="00E529A1" w:rsidP="00732C9E">
      <w:pPr>
        <w:shd w:val="clear" w:color="auto" w:fill="FFFFFF"/>
        <w:rPr>
          <w:rFonts w:asciiTheme="minorHAnsi" w:hAnsiTheme="minorHAnsi" w:cstheme="minorHAnsi"/>
          <w:b/>
          <w:bCs/>
          <w:color w:val="FF0000"/>
          <w:sz w:val="21"/>
          <w:szCs w:val="21"/>
        </w:rPr>
      </w:pPr>
      <w:r w:rsidRPr="00E529A1">
        <w:rPr>
          <w:rFonts w:asciiTheme="minorHAnsi" w:hAnsiTheme="minorHAnsi" w:cstheme="minorHAnsi"/>
          <w:sz w:val="21"/>
          <w:szCs w:val="21"/>
        </w:rPr>
        <w:t xml:space="preserve">However, in people who previously received a COVID-19 vaccine, administration of </w:t>
      </w:r>
      <w:proofErr w:type="spellStart"/>
      <w:r w:rsidRPr="00E529A1">
        <w:rPr>
          <w:rFonts w:asciiTheme="minorHAnsi" w:hAnsiTheme="minorHAnsi" w:cstheme="minorHAnsi"/>
          <w:sz w:val="21"/>
          <w:szCs w:val="21"/>
        </w:rPr>
        <w:t>tixagevimab</w:t>
      </w:r>
      <w:proofErr w:type="spellEnd"/>
      <w:r w:rsidRPr="00E529A1">
        <w:rPr>
          <w:rFonts w:asciiTheme="minorHAnsi" w:hAnsiTheme="minorHAnsi" w:cstheme="minorHAnsi"/>
          <w:sz w:val="21"/>
          <w:szCs w:val="21"/>
        </w:rPr>
        <w:t>/</w:t>
      </w:r>
      <w:proofErr w:type="spellStart"/>
      <w:r w:rsidRPr="00E529A1">
        <w:rPr>
          <w:rFonts w:asciiTheme="minorHAnsi" w:hAnsiTheme="minorHAnsi" w:cstheme="minorHAnsi"/>
          <w:sz w:val="21"/>
          <w:szCs w:val="21"/>
        </w:rPr>
        <w:t>cilgavimab</w:t>
      </w:r>
      <w:proofErr w:type="spellEnd"/>
      <w:r w:rsidRPr="00E529A1">
        <w:rPr>
          <w:rFonts w:asciiTheme="minorHAnsi" w:hAnsiTheme="minorHAnsi" w:cstheme="minorHAnsi"/>
          <w:sz w:val="21"/>
          <w:szCs w:val="21"/>
        </w:rPr>
        <w:t xml:space="preserve"> (EVUSHELD™) for pre-exposure prophylaxis should be deferred for at least two weeks after vaccination, per the product</w:t>
      </w:r>
      <w:r>
        <w:rPr>
          <w:rFonts w:asciiTheme="minorHAnsi" w:hAnsiTheme="minorHAnsi" w:cstheme="minorHAnsi"/>
          <w:sz w:val="21"/>
          <w:szCs w:val="21"/>
        </w:rPr>
        <w:t xml:space="preserve"> </w:t>
      </w:r>
      <w:hyperlink r:id="rId23" w:history="1">
        <w:r w:rsidRPr="00E529A1">
          <w:rPr>
            <w:rStyle w:val="Hyperlink"/>
            <w:rFonts w:asciiTheme="minorHAnsi" w:hAnsiTheme="minorHAnsi" w:cstheme="minorHAnsi"/>
            <w:sz w:val="21"/>
            <w:szCs w:val="21"/>
          </w:rPr>
          <w:t>EUA</w:t>
        </w:r>
      </w:hyperlink>
      <w:r>
        <w:rPr>
          <w:rFonts w:asciiTheme="minorHAnsi" w:hAnsiTheme="minorHAnsi" w:cstheme="minorHAnsi"/>
          <w:b/>
          <w:bCs/>
          <w:sz w:val="21"/>
          <w:szCs w:val="21"/>
        </w:rPr>
        <w:t xml:space="preserve"> .</w:t>
      </w:r>
      <w:r w:rsidRPr="00E529A1">
        <w:rPr>
          <w:rFonts w:asciiTheme="minorHAnsi" w:hAnsiTheme="minorHAnsi" w:cstheme="minorHAnsi"/>
          <w:b/>
          <w:bCs/>
          <w:color w:val="FF0000"/>
          <w:sz w:val="21"/>
          <w:szCs w:val="21"/>
        </w:rPr>
        <w:t xml:space="preserve"> </w:t>
      </w:r>
    </w:p>
    <w:p w14:paraId="13E38260" w14:textId="0D712B9E" w:rsidR="00684BD5" w:rsidRDefault="00684BD5" w:rsidP="003A46CA">
      <w:pPr>
        <w:shd w:val="clear" w:color="auto" w:fill="FFFFFF"/>
        <w:rPr>
          <w:rFonts w:asciiTheme="minorHAnsi" w:hAnsiTheme="minorHAnsi" w:cstheme="minorHAnsi"/>
          <w:b/>
          <w:bCs/>
          <w:sz w:val="21"/>
          <w:szCs w:val="21"/>
        </w:rPr>
      </w:pPr>
    </w:p>
    <w:p w14:paraId="16FB710C" w14:textId="032D65E5"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086E15" w:rsidP="00B10DFE">
      <w:pPr>
        <w:pStyle w:val="ListParagraph"/>
        <w:numPr>
          <w:ilvl w:val="0"/>
          <w:numId w:val="9"/>
        </w:numPr>
        <w:shd w:val="clear" w:color="auto" w:fill="FFFFFF"/>
        <w:rPr>
          <w:rFonts w:asciiTheme="minorHAnsi" w:hAnsiTheme="minorHAnsi" w:cstheme="minorHAnsi"/>
          <w:sz w:val="21"/>
          <w:szCs w:val="21"/>
        </w:rPr>
      </w:pPr>
      <w:hyperlink r:id="rId24"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086E15" w:rsidP="00B10DFE">
      <w:pPr>
        <w:pStyle w:val="ListParagraph"/>
        <w:numPr>
          <w:ilvl w:val="0"/>
          <w:numId w:val="9"/>
        </w:numPr>
        <w:shd w:val="clear" w:color="auto" w:fill="FFFFFF"/>
        <w:rPr>
          <w:rFonts w:asciiTheme="minorHAnsi" w:hAnsiTheme="minorHAnsi" w:cstheme="minorHAnsi"/>
          <w:sz w:val="21"/>
          <w:szCs w:val="21"/>
        </w:rPr>
      </w:pPr>
      <w:hyperlink r:id="rId25"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086E15" w:rsidP="00B10DFE">
      <w:pPr>
        <w:pStyle w:val="ListParagraph"/>
        <w:numPr>
          <w:ilvl w:val="0"/>
          <w:numId w:val="9"/>
        </w:numPr>
        <w:shd w:val="clear" w:color="auto" w:fill="FFFFFF"/>
        <w:rPr>
          <w:rFonts w:asciiTheme="minorHAnsi" w:hAnsiTheme="minorHAnsi" w:cstheme="minorHAnsi"/>
          <w:sz w:val="21"/>
          <w:szCs w:val="21"/>
        </w:rPr>
      </w:pPr>
      <w:hyperlink r:id="rId26" w:tgtFrame="_blank" w:history="1">
        <w:r w:rsidR="00CA2224" w:rsidRPr="00F45B25">
          <w:rPr>
            <w:rStyle w:val="Hyperlink"/>
            <w:rFonts w:asciiTheme="minorHAnsi" w:hAnsiTheme="minorHAnsi" w:cstheme="minorHAnsi"/>
            <w:sz w:val="21"/>
            <w:szCs w:val="21"/>
          </w:rPr>
          <w:t xml:space="preserve">J&amp;J Expiration Date Lookup Tool </w:t>
        </w:r>
      </w:hyperlink>
    </w:p>
    <w:p w14:paraId="7DCEBEA9" w14:textId="7F7555EC" w:rsidR="00963C7A" w:rsidRDefault="00963C7A" w:rsidP="00963C7A">
      <w:pPr>
        <w:shd w:val="clear" w:color="auto" w:fill="FFFFFF"/>
        <w:rPr>
          <w:rFonts w:asciiTheme="minorHAnsi" w:hAnsiTheme="minorHAnsi" w:cstheme="minorHAnsi"/>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27"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8"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086E15" w:rsidP="00B10DFE">
      <w:pPr>
        <w:pStyle w:val="ListParagraph"/>
        <w:numPr>
          <w:ilvl w:val="0"/>
          <w:numId w:val="5"/>
        </w:numPr>
        <w:shd w:val="clear" w:color="auto" w:fill="FFFFFF"/>
        <w:rPr>
          <w:rFonts w:ascii="Calibri" w:hAnsi="Calibri"/>
          <w:sz w:val="21"/>
          <w:szCs w:val="21"/>
        </w:rPr>
      </w:pPr>
      <w:hyperlink r:id="rId29" w:history="1">
        <w:r w:rsidR="00701170" w:rsidRPr="00701170">
          <w:rPr>
            <w:rStyle w:val="Hyperlink"/>
            <w:rFonts w:ascii="Calibri" w:hAnsi="Calibri"/>
            <w:sz w:val="21"/>
            <w:szCs w:val="21"/>
          </w:rPr>
          <w:t>Orange Cap Age 5 through 11</w:t>
        </w:r>
      </w:hyperlink>
    </w:p>
    <w:p w14:paraId="6FBE1105" w14:textId="71EE3EE9" w:rsidR="00701170" w:rsidRDefault="00086E15" w:rsidP="00B10DFE">
      <w:pPr>
        <w:pStyle w:val="ListParagraph"/>
        <w:numPr>
          <w:ilvl w:val="0"/>
          <w:numId w:val="5"/>
        </w:numPr>
        <w:shd w:val="clear" w:color="auto" w:fill="FFFFFF"/>
        <w:rPr>
          <w:rFonts w:ascii="Calibri" w:hAnsi="Calibri"/>
          <w:sz w:val="21"/>
          <w:szCs w:val="21"/>
        </w:rPr>
      </w:pPr>
      <w:hyperlink r:id="rId30" w:history="1">
        <w:r w:rsidR="00701170" w:rsidRPr="00701170">
          <w:rPr>
            <w:rStyle w:val="Hyperlink"/>
            <w:rFonts w:ascii="Calibri" w:hAnsi="Calibri"/>
            <w:sz w:val="21"/>
            <w:szCs w:val="21"/>
          </w:rPr>
          <w:t>Purple Cap Age 12 and Older</w:t>
        </w:r>
      </w:hyperlink>
    </w:p>
    <w:p w14:paraId="0AE16730" w14:textId="0AE3CC07" w:rsidR="00701170" w:rsidRPr="00DD7CC6" w:rsidRDefault="00086E15" w:rsidP="00B10DFE">
      <w:pPr>
        <w:pStyle w:val="ListParagraph"/>
        <w:numPr>
          <w:ilvl w:val="0"/>
          <w:numId w:val="5"/>
        </w:numPr>
        <w:shd w:val="clear" w:color="auto" w:fill="FFFFFF"/>
        <w:rPr>
          <w:rStyle w:val="Hyperlink"/>
          <w:rFonts w:ascii="Calibri" w:hAnsi="Calibri"/>
          <w:color w:val="auto"/>
          <w:sz w:val="21"/>
          <w:szCs w:val="21"/>
          <w:u w:val="none"/>
        </w:rPr>
      </w:pPr>
      <w:hyperlink r:id="rId31" w:history="1">
        <w:r w:rsidR="00701170" w:rsidRPr="00701170">
          <w:rPr>
            <w:rStyle w:val="Hyperlink"/>
            <w:rFonts w:ascii="Calibri" w:hAnsi="Calibri"/>
            <w:sz w:val="21"/>
            <w:szCs w:val="21"/>
          </w:rPr>
          <w:t>Gray Cap Age 12 and Older</w:t>
        </w:r>
      </w:hyperlink>
    </w:p>
    <w:p w14:paraId="503E41B7" w14:textId="77777777" w:rsidR="001C078A" w:rsidRDefault="001C078A" w:rsidP="000D30F5">
      <w:pPr>
        <w:shd w:val="clear" w:color="auto" w:fill="FFFFFF"/>
        <w:rPr>
          <w:rFonts w:asciiTheme="minorHAnsi" w:hAnsiTheme="minorHAnsi" w:cstheme="minorHAnsi"/>
          <w:b/>
          <w:bCs/>
          <w:color w:val="FF0000"/>
          <w:sz w:val="21"/>
          <w:szCs w:val="21"/>
        </w:rPr>
      </w:pPr>
    </w:p>
    <w:p w14:paraId="16FD721E" w14:textId="2C478ECE"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2"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3"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4"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2" w:name="_Hlk89415268"/>
      <w:r>
        <w:rPr>
          <w:rFonts w:asciiTheme="minorHAnsi" w:hAnsiTheme="minorHAnsi" w:cstheme="minorHAnsi"/>
          <w:color w:val="000000"/>
          <w:sz w:val="21"/>
          <w:szCs w:val="21"/>
        </w:rPr>
        <w:t xml:space="preserve">Pfizer, Recipient, 5-11 years: </w:t>
      </w:r>
      <w:hyperlink r:id="rId36"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2"/>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7"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8"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39"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40"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or Moderna so they can be better protected against COVID-19. The EUI are currently issued only for Pfizer-BioNTech 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41"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42"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43"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319C4520" w:rsidR="00037C09" w:rsidRPr="00752738"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44"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6C5EBE84" w14:textId="0E496BE1" w:rsidR="00976941" w:rsidRDefault="00976941" w:rsidP="00DD7CC6">
      <w:pPr>
        <w:shd w:val="clear" w:color="auto" w:fill="FFFFFF"/>
        <w:rPr>
          <w:rFonts w:asciiTheme="minorHAnsi" w:hAnsiTheme="minorHAnsi" w:cstheme="minorHAnsi"/>
          <w:color w:val="0070C0"/>
          <w:sz w:val="21"/>
          <w:szCs w:val="21"/>
        </w:rPr>
      </w:pPr>
    </w:p>
    <w:p w14:paraId="202C83C2" w14:textId="4A7771D1" w:rsidR="00C96849" w:rsidRDefault="00C96849" w:rsidP="00C96849">
      <w:pPr>
        <w:rPr>
          <w:rFonts w:ascii="Calibri" w:hAnsi="Calibri"/>
          <w:b/>
          <w:bCs/>
          <w:sz w:val="21"/>
          <w:szCs w:val="21"/>
        </w:rPr>
      </w:pPr>
      <w:r>
        <w:rPr>
          <w:rFonts w:ascii="Calibri" w:hAnsi="Calibri"/>
          <w:b/>
          <w:bCs/>
          <w:color w:val="FF0000"/>
          <w:sz w:val="21"/>
          <w:szCs w:val="21"/>
        </w:rPr>
        <w:t xml:space="preserve">Reminder </w:t>
      </w:r>
      <w:r w:rsidRPr="00C96849">
        <w:rPr>
          <w:rFonts w:ascii="Calibri" w:hAnsi="Calibri"/>
          <w:b/>
          <w:bCs/>
          <w:sz w:val="21"/>
          <w:szCs w:val="21"/>
        </w:rPr>
        <w:t>v-safe After Vaccination Health Checker</w:t>
      </w:r>
    </w:p>
    <w:p w14:paraId="0729CC06" w14:textId="77777777" w:rsidR="00C96849" w:rsidRDefault="00C96849" w:rsidP="00C96849">
      <w:pPr>
        <w:rPr>
          <w:rFonts w:ascii="Calibri" w:hAnsi="Calibri"/>
          <w:sz w:val="21"/>
          <w:szCs w:val="21"/>
        </w:rPr>
      </w:pPr>
      <w:r>
        <w:rPr>
          <w:rFonts w:ascii="Calibri" w:hAnsi="Calibri"/>
          <w:sz w:val="21"/>
          <w:szCs w:val="21"/>
        </w:rPr>
        <w:t>Encourage everyone to enroll in v-safe!</w:t>
      </w:r>
    </w:p>
    <w:p w14:paraId="63564EB8" w14:textId="366621C1" w:rsidR="00C96849" w:rsidRDefault="00C96849" w:rsidP="00C96849">
      <w:pPr>
        <w:rPr>
          <w:rFonts w:ascii="Calibri" w:hAnsi="Calibri"/>
          <w:sz w:val="21"/>
          <w:szCs w:val="21"/>
        </w:rPr>
      </w:pPr>
      <w:r w:rsidRPr="00C96849">
        <w:rPr>
          <w:rFonts w:ascii="Calibri" w:hAnsi="Calibri"/>
          <w:sz w:val="21"/>
          <w:szCs w:val="21"/>
        </w:rPr>
        <w:t>v-safe provides personalized and confidential health check-ins via text messages and web surveys so you can quickly and easily share with CDC how you, or your dependent, feel after getting a COVID-19 vaccine. This information helps CDC monitor the safety of COVID-19 vaccines in near real time.</w:t>
      </w:r>
    </w:p>
    <w:p w14:paraId="24B55E21" w14:textId="2820B264" w:rsidR="00C96849" w:rsidRPr="00C96849" w:rsidRDefault="00C96849" w:rsidP="00B10DFE">
      <w:pPr>
        <w:pStyle w:val="ListParagraph"/>
        <w:numPr>
          <w:ilvl w:val="0"/>
          <w:numId w:val="14"/>
        </w:numPr>
        <w:rPr>
          <w:rFonts w:ascii="Calibri" w:hAnsi="Calibri"/>
          <w:sz w:val="21"/>
          <w:szCs w:val="21"/>
        </w:rPr>
      </w:pPr>
      <w:r w:rsidRPr="00C96849">
        <w:rPr>
          <w:rFonts w:ascii="Calibri" w:hAnsi="Calibri"/>
          <w:sz w:val="21"/>
          <w:szCs w:val="21"/>
        </w:rPr>
        <w:t xml:space="preserve">You need a smartphone and your COVID19 vaccination record to </w:t>
      </w:r>
      <w:hyperlink r:id="rId45" w:history="1">
        <w:r w:rsidRPr="00C96849">
          <w:rPr>
            <w:rStyle w:val="Hyperlink"/>
            <w:rFonts w:ascii="Calibri" w:hAnsi="Calibri"/>
            <w:sz w:val="21"/>
            <w:szCs w:val="21"/>
          </w:rPr>
          <w:t>enroll</w:t>
        </w:r>
      </w:hyperlink>
    </w:p>
    <w:p w14:paraId="4F238667" w14:textId="3F0ABE3D" w:rsidR="00C96849" w:rsidRDefault="00C96849" w:rsidP="00B10DFE">
      <w:pPr>
        <w:pStyle w:val="ListParagraph"/>
        <w:numPr>
          <w:ilvl w:val="0"/>
          <w:numId w:val="14"/>
        </w:numPr>
        <w:rPr>
          <w:rFonts w:ascii="Calibri" w:hAnsi="Calibri"/>
          <w:sz w:val="21"/>
          <w:szCs w:val="21"/>
        </w:rPr>
      </w:pPr>
      <w:r w:rsidRPr="00C96849">
        <w:rPr>
          <w:rFonts w:ascii="Calibri" w:hAnsi="Calibri"/>
          <w:sz w:val="21"/>
          <w:szCs w:val="21"/>
        </w:rPr>
        <w:t xml:space="preserve">Available in </w:t>
      </w:r>
      <w:hyperlink r:id="rId46" w:anchor="Information" w:history="1">
        <w:r w:rsidRPr="00C96849">
          <w:rPr>
            <w:rStyle w:val="Hyperlink"/>
            <w:rFonts w:ascii="Calibri" w:hAnsi="Calibri"/>
            <w:sz w:val="21"/>
            <w:szCs w:val="21"/>
          </w:rPr>
          <w:t>multiple languages</w:t>
        </w:r>
      </w:hyperlink>
      <w:r w:rsidRPr="00C96849">
        <w:rPr>
          <w:rFonts w:ascii="Calibri" w:hAnsi="Calibri"/>
          <w:sz w:val="21"/>
          <w:szCs w:val="21"/>
        </w:rPr>
        <w:t xml:space="preserve"> including English, Spanish, Chinese, Korean, and Vietnamese</w:t>
      </w:r>
    </w:p>
    <w:p w14:paraId="1A30F311" w14:textId="77777777" w:rsidR="00494FC2" w:rsidRPr="00C96849" w:rsidRDefault="00494FC2" w:rsidP="00494FC2">
      <w:pPr>
        <w:pStyle w:val="ListParagraph"/>
        <w:rPr>
          <w:rFonts w:ascii="Calibri" w:hAnsi="Calibri"/>
          <w:sz w:val="21"/>
          <w:szCs w:val="21"/>
        </w:rPr>
      </w:pPr>
    </w:p>
    <w:p w14:paraId="27B6CE0E" w14:textId="01F521CF" w:rsidR="00C96849" w:rsidRDefault="00C96849" w:rsidP="00C96849">
      <w:pPr>
        <w:shd w:val="clear" w:color="auto" w:fill="FFFFFF"/>
        <w:jc w:val="center"/>
        <w:rPr>
          <w:rFonts w:ascii="Calibri" w:hAnsi="Calibri"/>
          <w:b/>
          <w:bCs/>
          <w:sz w:val="21"/>
          <w:szCs w:val="21"/>
        </w:rPr>
      </w:pPr>
      <w:r>
        <w:rPr>
          <w:noProof/>
        </w:rPr>
        <w:drawing>
          <wp:inline distT="0" distB="0" distL="0" distR="0" wp14:anchorId="341EA6D7" wp14:editId="3ECC9B87">
            <wp:extent cx="3746500" cy="1699801"/>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47"/>
                    <a:stretch>
                      <a:fillRect/>
                    </a:stretch>
                  </pic:blipFill>
                  <pic:spPr>
                    <a:xfrm>
                      <a:off x="0" y="0"/>
                      <a:ext cx="3755319" cy="1703802"/>
                    </a:xfrm>
                    <a:prstGeom prst="rect">
                      <a:avLst/>
                    </a:prstGeom>
                  </pic:spPr>
                </pic:pic>
              </a:graphicData>
            </a:graphic>
          </wp:inline>
        </w:drawing>
      </w:r>
    </w:p>
    <w:p w14:paraId="7BC09F93" w14:textId="77777777" w:rsidR="00C96849" w:rsidRPr="008A7F05" w:rsidRDefault="00C96849" w:rsidP="00DD7CC6">
      <w:pPr>
        <w:shd w:val="clear" w:color="auto" w:fill="FFFFFF"/>
        <w:rPr>
          <w:rFonts w:asciiTheme="minorHAnsi" w:hAnsiTheme="minorHAnsi" w:cstheme="minorHAnsi"/>
          <w:color w:val="0070C0"/>
          <w:sz w:val="21"/>
          <w:szCs w:val="21"/>
        </w:rPr>
      </w:pPr>
    </w:p>
    <w:p w14:paraId="04A6B8A5" w14:textId="77777777" w:rsidR="00494FC2" w:rsidRDefault="00494FC2"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4788CE7" w14:textId="277E5ABE" w:rsidR="00CD65B6" w:rsidRDefault="00CD65B6" w:rsidP="009E683B">
      <w:pPr>
        <w:shd w:val="clear" w:color="auto" w:fill="FFFFFF"/>
        <w:rPr>
          <w:rFonts w:ascii="Calibri" w:hAnsi="Calibri"/>
          <w:sz w:val="21"/>
          <w:szCs w:val="21"/>
        </w:rPr>
      </w:pPr>
      <w:r>
        <w:rPr>
          <w:rFonts w:ascii="Calibri" w:hAnsi="Calibri"/>
          <w:b/>
          <w:bCs/>
          <w:color w:val="FF0000"/>
          <w:sz w:val="21"/>
          <w:szCs w:val="21"/>
        </w:rPr>
        <w:t xml:space="preserve">Save the Date </w:t>
      </w:r>
      <w:r w:rsidRPr="00CD65B6">
        <w:rPr>
          <w:rFonts w:ascii="Calibri" w:hAnsi="Calibri"/>
          <w:sz w:val="21"/>
          <w:szCs w:val="21"/>
        </w:rPr>
        <w:t>for the 27</w:t>
      </w:r>
      <w:r w:rsidRPr="004D2F40">
        <w:rPr>
          <w:rFonts w:ascii="Calibri" w:hAnsi="Calibri"/>
          <w:sz w:val="21"/>
          <w:szCs w:val="21"/>
          <w:vertAlign w:val="superscript"/>
        </w:rPr>
        <w:t>th</w:t>
      </w:r>
      <w:r w:rsidRPr="00CD65B6">
        <w:rPr>
          <w:rFonts w:ascii="Calibri" w:hAnsi="Calibri"/>
          <w:sz w:val="21"/>
          <w:szCs w:val="21"/>
        </w:rPr>
        <w:t xml:space="preserve"> Annual Massachusetts </w:t>
      </w:r>
      <w:hyperlink r:id="rId48" w:history="1">
        <w:r w:rsidRPr="004D2F40">
          <w:rPr>
            <w:rStyle w:val="Hyperlink"/>
            <w:rFonts w:ascii="Calibri" w:hAnsi="Calibri"/>
            <w:sz w:val="21"/>
            <w:szCs w:val="21"/>
          </w:rPr>
          <w:t>Adult Immunization Conference</w:t>
        </w:r>
      </w:hyperlink>
      <w:r w:rsidRPr="00CD65B6">
        <w:rPr>
          <w:rFonts w:ascii="Calibri" w:hAnsi="Calibri"/>
          <w:sz w:val="21"/>
          <w:szCs w:val="21"/>
        </w:rPr>
        <w:t xml:space="preserve">! This all-day event will be held virtually on Tuesday, April 5, 2022.  Registration </w:t>
      </w:r>
      <w:r w:rsidR="00B73850" w:rsidRPr="004D2F40">
        <w:rPr>
          <w:rFonts w:ascii="Calibri" w:hAnsi="Calibri"/>
          <w:sz w:val="21"/>
          <w:szCs w:val="21"/>
        </w:rPr>
        <w:t xml:space="preserve">is now open: </w:t>
      </w:r>
      <w:r w:rsidR="004D2F40" w:rsidRPr="004D2F40">
        <w:rPr>
          <w:rFonts w:asciiTheme="minorHAnsi" w:hAnsiTheme="minorHAnsi" w:cstheme="minorHAnsi"/>
          <w:sz w:val="21"/>
          <w:szCs w:val="21"/>
        </w:rPr>
        <w:t xml:space="preserve">click </w:t>
      </w:r>
      <w:hyperlink r:id="rId49" w:history="1">
        <w:r w:rsidR="004D2F40" w:rsidRPr="004D2F40">
          <w:rPr>
            <w:rStyle w:val="Hyperlink"/>
            <w:rFonts w:asciiTheme="minorHAnsi" w:hAnsiTheme="minorHAnsi" w:cstheme="minorHAnsi"/>
            <w:sz w:val="21"/>
            <w:szCs w:val="21"/>
          </w:rPr>
          <w:t>here</w:t>
        </w:r>
      </w:hyperlink>
      <w:r w:rsidR="004D2F40" w:rsidRPr="004D2F40">
        <w:rPr>
          <w:rFonts w:asciiTheme="minorHAnsi" w:hAnsiTheme="minorHAnsi" w:cstheme="minorHAnsi"/>
          <w:sz w:val="21"/>
          <w:szCs w:val="21"/>
        </w:rPr>
        <w:t xml:space="preserve"> to register</w:t>
      </w:r>
      <w:r w:rsidR="004D2F40">
        <w:rPr>
          <w:rFonts w:asciiTheme="minorHAnsi" w:hAnsiTheme="minorHAnsi" w:cstheme="minorHAnsi"/>
          <w:sz w:val="21"/>
          <w:szCs w:val="21"/>
        </w:rPr>
        <w:t>.</w:t>
      </w:r>
    </w:p>
    <w:p w14:paraId="1D356324" w14:textId="77777777" w:rsidR="00B73850" w:rsidRDefault="00B73850" w:rsidP="009E683B">
      <w:pPr>
        <w:shd w:val="clear" w:color="auto" w:fill="FFFFFF"/>
        <w:rPr>
          <w:rFonts w:ascii="Calibri" w:hAnsi="Calibri"/>
          <w:b/>
          <w:bCs/>
          <w:color w:val="FF0000"/>
          <w:sz w:val="21"/>
          <w:szCs w:val="21"/>
        </w:rPr>
      </w:pP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0"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1"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47998175" w14:textId="77777777" w:rsidR="00232A6A" w:rsidRDefault="00232A6A" w:rsidP="00710A98">
      <w:pPr>
        <w:shd w:val="clear" w:color="auto" w:fill="FFFFFF"/>
        <w:rPr>
          <w:rFonts w:ascii="Calibri" w:hAnsi="Calibri"/>
          <w:b/>
          <w:bCs/>
          <w:color w:val="FF0000"/>
          <w:sz w:val="21"/>
          <w:szCs w:val="21"/>
        </w:rPr>
      </w:pPr>
    </w:p>
    <w:p w14:paraId="62DEC15D" w14:textId="77777777" w:rsidR="00EA3F21" w:rsidRPr="00963C7A" w:rsidRDefault="00EA3F21" w:rsidP="00EA3F21">
      <w:pPr>
        <w:shd w:val="clear" w:color="auto" w:fill="FFFFFF"/>
        <w:rPr>
          <w:rFonts w:asciiTheme="minorHAnsi" w:hAnsiTheme="minorHAnsi" w:cstheme="minorHAnsi"/>
          <w:color w:val="0070C0"/>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52" w:anchor="printable-flyers-" w:history="1">
        <w:r w:rsidRPr="00963C7A">
          <w:rPr>
            <w:rStyle w:val="Hyperlink"/>
            <w:rFonts w:asciiTheme="minorHAnsi" w:hAnsiTheme="minorHAnsi" w:cstheme="minorHAnsi"/>
            <w:sz w:val="21"/>
            <w:szCs w:val="21"/>
          </w:rPr>
          <w:t>now available in 12 languages.</w:t>
        </w:r>
      </w:hyperlink>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 xml:space="preserve">CDC has launched a new resource to equip healthcare professionals with the tools they need to have effective COVID-19 </w:t>
      </w:r>
      <w:r w:rsidR="00710A98" w:rsidRPr="00EC63B9">
        <w:rPr>
          <w:rFonts w:ascii="Calibri" w:hAnsi="Calibri"/>
          <w:sz w:val="21"/>
          <w:szCs w:val="21"/>
        </w:rPr>
        <w:lastRenderedPageBreak/>
        <w:t>vaccine conversations with patients. The </w:t>
      </w:r>
      <w:hyperlink r:id="rId53"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4"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55"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6C9AE099" w:rsidR="00453833" w:rsidRDefault="00453833" w:rsidP="00D17C3E">
      <w:pPr>
        <w:shd w:val="clear" w:color="auto" w:fill="FFFFFF"/>
        <w:rPr>
          <w:rFonts w:ascii="Calibri" w:hAnsi="Calibri"/>
          <w:b/>
          <w:bCs/>
          <w:color w:val="000000" w:themeColor="text1"/>
          <w:sz w:val="21"/>
          <w:szCs w:val="21"/>
        </w:rPr>
      </w:pPr>
    </w:p>
    <w:p w14:paraId="32A88C16" w14:textId="53EDC70A"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63F9A6CB" w14:textId="77777777" w:rsidR="00086E15" w:rsidRDefault="00086E15" w:rsidP="003839EF">
      <w:pPr>
        <w:shd w:val="clear" w:color="auto" w:fill="FFFFFF"/>
        <w:rPr>
          <w:rFonts w:ascii="Calibri" w:hAnsi="Calibri"/>
          <w:b/>
          <w:bCs/>
          <w:color w:val="000000" w:themeColor="text1"/>
          <w:sz w:val="21"/>
          <w:szCs w:val="21"/>
        </w:rPr>
      </w:pPr>
    </w:p>
    <w:p w14:paraId="4009FA6F" w14:textId="77777777" w:rsidR="009125F1" w:rsidRPr="009125F1" w:rsidRDefault="009125F1" w:rsidP="009125F1">
      <w:pPr>
        <w:rPr>
          <w:rFonts w:ascii="Calibri" w:hAnsi="Calibri"/>
          <w:color w:val="000000" w:themeColor="text1"/>
          <w:sz w:val="21"/>
          <w:szCs w:val="21"/>
        </w:rPr>
      </w:pPr>
      <w:r w:rsidRPr="009125F1">
        <w:rPr>
          <w:rFonts w:ascii="Calibri" w:hAnsi="Calibri"/>
          <w:color w:val="000000" w:themeColor="text1"/>
          <w:sz w:val="21"/>
          <w:szCs w:val="21"/>
        </w:rPr>
        <w:t>February 18, 2022 (EARLY RELEASE) </w:t>
      </w:r>
    </w:p>
    <w:p w14:paraId="59D959A0" w14:textId="51E649F6" w:rsidR="009125F1" w:rsidRDefault="00086E15" w:rsidP="009125F1">
      <w:pPr>
        <w:numPr>
          <w:ilvl w:val="0"/>
          <w:numId w:val="15"/>
        </w:numPr>
        <w:rPr>
          <w:rFonts w:ascii="Calibri" w:hAnsi="Calibri"/>
          <w:color w:val="000000" w:themeColor="text1"/>
          <w:sz w:val="21"/>
          <w:szCs w:val="21"/>
        </w:rPr>
      </w:pPr>
      <w:hyperlink r:id="rId56" w:history="1">
        <w:r w:rsidR="009125F1" w:rsidRPr="009125F1">
          <w:rPr>
            <w:rStyle w:val="Hyperlink"/>
            <w:rFonts w:ascii="Calibri" w:hAnsi="Calibri"/>
            <w:sz w:val="21"/>
            <w:szCs w:val="21"/>
          </w:rPr>
          <w:t>Pediatric Emergency Department Visits Before and During the COVID-19 Pandemic — United States, January 2019–January 2022</w:t>
        </w:r>
      </w:hyperlink>
    </w:p>
    <w:p w14:paraId="0AB03B63" w14:textId="77777777" w:rsidR="009125F1" w:rsidRPr="009125F1" w:rsidRDefault="009125F1" w:rsidP="009125F1">
      <w:pPr>
        <w:ind w:left="720"/>
        <w:rPr>
          <w:rFonts w:ascii="Calibri" w:hAnsi="Calibri"/>
          <w:color w:val="000000" w:themeColor="text1"/>
          <w:sz w:val="11"/>
          <w:szCs w:val="11"/>
        </w:rPr>
      </w:pPr>
    </w:p>
    <w:p w14:paraId="02503F26" w14:textId="77777777" w:rsidR="009125F1" w:rsidRPr="009125F1" w:rsidRDefault="00086E15" w:rsidP="009125F1">
      <w:pPr>
        <w:numPr>
          <w:ilvl w:val="0"/>
          <w:numId w:val="15"/>
        </w:numPr>
        <w:rPr>
          <w:rFonts w:ascii="Calibri" w:hAnsi="Calibri"/>
          <w:color w:val="000000" w:themeColor="text1"/>
          <w:sz w:val="21"/>
          <w:szCs w:val="21"/>
        </w:rPr>
      </w:pPr>
      <w:hyperlink r:id="rId57" w:history="1">
        <w:r w:rsidR="009125F1" w:rsidRPr="009125F1">
          <w:rPr>
            <w:rStyle w:val="Hyperlink"/>
            <w:rFonts w:ascii="Calibri" w:hAnsi="Calibri"/>
            <w:sz w:val="21"/>
            <w:szCs w:val="21"/>
          </w:rPr>
          <w:t>Pediatric Emergency Department Visits Associated with Mental Health Conditions Before and During the COVID-19 Pandemic — United States, January 2019–January 2022</w:t>
        </w:r>
      </w:hyperlink>
    </w:p>
    <w:p w14:paraId="5B93371F" w14:textId="77777777" w:rsidR="009125F1" w:rsidRPr="009125F1" w:rsidRDefault="009125F1" w:rsidP="009125F1">
      <w:pPr>
        <w:rPr>
          <w:rFonts w:ascii="Calibri" w:hAnsi="Calibri"/>
          <w:color w:val="000000" w:themeColor="text1"/>
          <w:sz w:val="21"/>
          <w:szCs w:val="21"/>
        </w:rPr>
      </w:pPr>
      <w:r w:rsidRPr="009125F1">
        <w:rPr>
          <w:rFonts w:ascii="Calibri" w:hAnsi="Calibri"/>
          <w:color w:val="000000" w:themeColor="text1"/>
          <w:sz w:val="21"/>
          <w:szCs w:val="21"/>
        </w:rPr>
        <w:t>February 18, 2022 </w:t>
      </w:r>
    </w:p>
    <w:p w14:paraId="39B68172" w14:textId="25E2F05A" w:rsidR="009125F1" w:rsidRDefault="00086E15" w:rsidP="009125F1">
      <w:pPr>
        <w:numPr>
          <w:ilvl w:val="0"/>
          <w:numId w:val="16"/>
        </w:numPr>
        <w:rPr>
          <w:rFonts w:ascii="Calibri" w:hAnsi="Calibri"/>
          <w:color w:val="000000" w:themeColor="text1"/>
          <w:sz w:val="21"/>
          <w:szCs w:val="21"/>
        </w:rPr>
      </w:pPr>
      <w:hyperlink r:id="rId58" w:history="1">
        <w:r w:rsidR="009125F1" w:rsidRPr="009125F1">
          <w:rPr>
            <w:rStyle w:val="Hyperlink"/>
            <w:rFonts w:ascii="Calibri" w:hAnsi="Calibri"/>
            <w:sz w:val="21"/>
            <w:szCs w:val="21"/>
          </w:rPr>
          <w:t>Multistate Outbreak of SARS-CoV-2 B.1.1.529 (Omicron) Variant Infections Among Persons in a Social Network Attending a Convention — New York City, November 18–December 20, 2021</w:t>
        </w:r>
      </w:hyperlink>
    </w:p>
    <w:p w14:paraId="0E2B66B1" w14:textId="2B3E30FE" w:rsidR="009125F1" w:rsidRPr="009125F1" w:rsidRDefault="009125F1" w:rsidP="009125F1">
      <w:pPr>
        <w:ind w:left="720"/>
        <w:rPr>
          <w:rFonts w:ascii="Calibri" w:hAnsi="Calibri"/>
          <w:color w:val="000000" w:themeColor="text1"/>
          <w:sz w:val="11"/>
          <w:szCs w:val="11"/>
        </w:rPr>
      </w:pPr>
    </w:p>
    <w:p w14:paraId="2990D373" w14:textId="320F5E68" w:rsidR="009125F1" w:rsidRDefault="00086E15" w:rsidP="009125F1">
      <w:pPr>
        <w:numPr>
          <w:ilvl w:val="0"/>
          <w:numId w:val="16"/>
        </w:numPr>
        <w:rPr>
          <w:rFonts w:ascii="Calibri" w:hAnsi="Calibri"/>
          <w:color w:val="000000" w:themeColor="text1"/>
          <w:sz w:val="21"/>
          <w:szCs w:val="21"/>
        </w:rPr>
      </w:pPr>
      <w:hyperlink r:id="rId59" w:history="1">
        <w:r w:rsidR="009125F1" w:rsidRPr="009125F1">
          <w:rPr>
            <w:rStyle w:val="Hyperlink"/>
            <w:rFonts w:ascii="Calibri" w:hAnsi="Calibri"/>
            <w:sz w:val="21"/>
            <w:szCs w:val="21"/>
          </w:rPr>
          <w:t xml:space="preserve">Investigation of SARS-CoV-2 Transmission Associated </w:t>
        </w:r>
        <w:proofErr w:type="gramStart"/>
        <w:r w:rsidR="009125F1" w:rsidRPr="009125F1">
          <w:rPr>
            <w:rStyle w:val="Hyperlink"/>
            <w:rFonts w:ascii="Calibri" w:hAnsi="Calibri"/>
            <w:sz w:val="21"/>
            <w:szCs w:val="21"/>
          </w:rPr>
          <w:t>With</w:t>
        </w:r>
        <w:proofErr w:type="gramEnd"/>
        <w:r w:rsidR="009125F1" w:rsidRPr="009125F1">
          <w:rPr>
            <w:rStyle w:val="Hyperlink"/>
            <w:rFonts w:ascii="Calibri" w:hAnsi="Calibri"/>
            <w:sz w:val="21"/>
            <w:szCs w:val="21"/>
          </w:rPr>
          <w:t xml:space="preserve"> a Large Indoor Convention — New York City, November–December 2021</w:t>
        </w:r>
      </w:hyperlink>
    </w:p>
    <w:p w14:paraId="12A587E9" w14:textId="77777777" w:rsidR="009125F1" w:rsidRPr="009125F1" w:rsidRDefault="009125F1" w:rsidP="009125F1">
      <w:pPr>
        <w:rPr>
          <w:rFonts w:ascii="Calibri" w:hAnsi="Calibri"/>
          <w:color w:val="000000" w:themeColor="text1"/>
          <w:sz w:val="11"/>
          <w:szCs w:val="11"/>
        </w:rPr>
      </w:pPr>
    </w:p>
    <w:p w14:paraId="340C9EDF" w14:textId="2198B7B9" w:rsidR="009125F1" w:rsidRDefault="00086E15" w:rsidP="009125F1">
      <w:pPr>
        <w:numPr>
          <w:ilvl w:val="0"/>
          <w:numId w:val="16"/>
        </w:numPr>
        <w:rPr>
          <w:rFonts w:ascii="Calibri" w:hAnsi="Calibri"/>
          <w:color w:val="000000" w:themeColor="text1"/>
          <w:sz w:val="21"/>
          <w:szCs w:val="21"/>
        </w:rPr>
      </w:pPr>
      <w:hyperlink r:id="rId60" w:history="1">
        <w:r w:rsidR="009125F1" w:rsidRPr="009125F1">
          <w:rPr>
            <w:rStyle w:val="Hyperlink"/>
            <w:rFonts w:ascii="Calibri" w:hAnsi="Calibri"/>
            <w:sz w:val="21"/>
            <w:szCs w:val="21"/>
          </w:rPr>
          <w:t>Safety Monitoring of COVID-19 Vaccine Booster Doses Among Adults — United States, September 22, 2021–February 6, 2022</w:t>
        </w:r>
      </w:hyperlink>
    </w:p>
    <w:p w14:paraId="7ACD0ABF" w14:textId="77777777" w:rsidR="009125F1" w:rsidRPr="009125F1" w:rsidRDefault="009125F1" w:rsidP="009125F1">
      <w:pPr>
        <w:rPr>
          <w:rFonts w:ascii="Calibri" w:hAnsi="Calibri"/>
          <w:color w:val="000000" w:themeColor="text1"/>
          <w:sz w:val="11"/>
          <w:szCs w:val="11"/>
        </w:rPr>
      </w:pPr>
    </w:p>
    <w:p w14:paraId="63379E69" w14:textId="670D3D41" w:rsidR="009125F1" w:rsidRDefault="00086E15" w:rsidP="009125F1">
      <w:pPr>
        <w:numPr>
          <w:ilvl w:val="0"/>
          <w:numId w:val="16"/>
        </w:numPr>
        <w:rPr>
          <w:rFonts w:ascii="Calibri" w:hAnsi="Calibri"/>
          <w:color w:val="000000" w:themeColor="text1"/>
          <w:sz w:val="21"/>
          <w:szCs w:val="21"/>
        </w:rPr>
      </w:pPr>
      <w:hyperlink r:id="rId61" w:history="1">
        <w:r w:rsidR="009125F1" w:rsidRPr="009125F1">
          <w:rPr>
            <w:rStyle w:val="Hyperlink"/>
            <w:rFonts w:ascii="Calibri" w:hAnsi="Calibri"/>
            <w:sz w:val="21"/>
            <w:szCs w:val="21"/>
          </w:rPr>
          <w:t>Waning 2-Dose and 3-Dose Effectiveness of mRNA Vaccines Against COVID-19–Associated Emergency Department and Urgent Care Encounters and Hospitalizations Among Adults During Periods of Delta and Omicron Variant Predominance — VISION Network, 10 States, August 2021–January 2022</w:t>
        </w:r>
      </w:hyperlink>
    </w:p>
    <w:p w14:paraId="01F3D8A9" w14:textId="77777777" w:rsidR="009125F1" w:rsidRPr="009125F1" w:rsidRDefault="009125F1" w:rsidP="009125F1">
      <w:pPr>
        <w:rPr>
          <w:rFonts w:ascii="Calibri" w:hAnsi="Calibri"/>
          <w:color w:val="000000" w:themeColor="text1"/>
          <w:sz w:val="11"/>
          <w:szCs w:val="11"/>
        </w:rPr>
      </w:pPr>
    </w:p>
    <w:p w14:paraId="67C51455" w14:textId="50AFE6A3" w:rsidR="009125F1" w:rsidRDefault="00086E15" w:rsidP="009125F1">
      <w:pPr>
        <w:numPr>
          <w:ilvl w:val="0"/>
          <w:numId w:val="16"/>
        </w:numPr>
        <w:rPr>
          <w:rFonts w:ascii="Calibri" w:hAnsi="Calibri"/>
          <w:color w:val="000000" w:themeColor="text1"/>
          <w:sz w:val="21"/>
          <w:szCs w:val="21"/>
        </w:rPr>
      </w:pPr>
      <w:hyperlink r:id="rId62" w:history="1">
        <w:r w:rsidR="009125F1" w:rsidRPr="009125F1">
          <w:rPr>
            <w:rStyle w:val="Hyperlink"/>
            <w:rFonts w:ascii="Calibri" w:hAnsi="Calibri"/>
            <w:sz w:val="21"/>
            <w:szCs w:val="21"/>
          </w:rPr>
          <w:t>Effectiveness of Maternal Vaccination with mRNA COVID-19 Vaccine During Pregnancy Against COVID-19–Associated Hospitalization in Infants Aged &lt;6 Months — 17 States, July 2021–January 2022</w:t>
        </w:r>
      </w:hyperlink>
    </w:p>
    <w:p w14:paraId="072FE65D" w14:textId="77777777" w:rsidR="009125F1" w:rsidRPr="009125F1" w:rsidRDefault="009125F1" w:rsidP="009125F1">
      <w:pPr>
        <w:rPr>
          <w:rFonts w:ascii="Calibri" w:hAnsi="Calibri"/>
          <w:color w:val="000000" w:themeColor="text1"/>
          <w:sz w:val="11"/>
          <w:szCs w:val="11"/>
        </w:rPr>
      </w:pPr>
    </w:p>
    <w:p w14:paraId="0EA9FA31" w14:textId="72A07082" w:rsidR="009125F1" w:rsidRDefault="00086E15" w:rsidP="009125F1">
      <w:pPr>
        <w:numPr>
          <w:ilvl w:val="0"/>
          <w:numId w:val="16"/>
        </w:numPr>
        <w:rPr>
          <w:rFonts w:ascii="Calibri" w:hAnsi="Calibri"/>
          <w:color w:val="000000" w:themeColor="text1"/>
          <w:sz w:val="21"/>
          <w:szCs w:val="21"/>
        </w:rPr>
      </w:pPr>
      <w:hyperlink r:id="rId63" w:history="1">
        <w:r w:rsidR="009125F1" w:rsidRPr="009125F1">
          <w:rPr>
            <w:rStyle w:val="Hyperlink"/>
            <w:rFonts w:ascii="Calibri" w:hAnsi="Calibri"/>
            <w:sz w:val="21"/>
            <w:szCs w:val="21"/>
          </w:rPr>
          <w:t>Hospitalizations of Children and Adolescents with Laboratory-Confirmed COVID-19 — COVID-NET, 14 States, July 2021–January 2022</w:t>
        </w:r>
      </w:hyperlink>
    </w:p>
    <w:p w14:paraId="491C2092" w14:textId="77777777" w:rsidR="009125F1" w:rsidRDefault="009125F1" w:rsidP="009125F1">
      <w:pPr>
        <w:pStyle w:val="ListParagraph"/>
        <w:rPr>
          <w:rFonts w:ascii="Calibri" w:hAnsi="Calibri"/>
          <w:color w:val="000000" w:themeColor="text1"/>
          <w:sz w:val="21"/>
          <w:szCs w:val="21"/>
        </w:rPr>
      </w:pPr>
    </w:p>
    <w:p w14:paraId="10091FF8" w14:textId="5A0CE823" w:rsidR="009125F1" w:rsidRDefault="009125F1" w:rsidP="009125F1">
      <w:pPr>
        <w:rPr>
          <w:rFonts w:ascii="Calibri" w:hAnsi="Calibri"/>
          <w:color w:val="000000" w:themeColor="text1"/>
          <w:sz w:val="21"/>
          <w:szCs w:val="21"/>
        </w:rPr>
      </w:pPr>
      <w:r w:rsidRPr="009125F1">
        <w:rPr>
          <w:rFonts w:ascii="Calibri" w:hAnsi="Calibri"/>
          <w:color w:val="000000" w:themeColor="text1"/>
          <w:sz w:val="21"/>
          <w:szCs w:val="21"/>
        </w:rPr>
        <w:t>February 18, 2022 </w:t>
      </w:r>
      <w:r>
        <w:rPr>
          <w:rFonts w:ascii="Calibri" w:hAnsi="Calibri"/>
          <w:color w:val="000000" w:themeColor="text1"/>
          <w:sz w:val="21"/>
          <w:szCs w:val="21"/>
        </w:rPr>
        <w:t>(non-COVID-19 related)</w:t>
      </w:r>
    </w:p>
    <w:p w14:paraId="3FA1D4FA" w14:textId="77777777" w:rsidR="009125F1" w:rsidRDefault="009125F1" w:rsidP="009125F1">
      <w:pPr>
        <w:pStyle w:val="ListParagraph"/>
        <w:rPr>
          <w:rFonts w:ascii="Calibri" w:hAnsi="Calibri"/>
          <w:color w:val="000000" w:themeColor="text1"/>
          <w:sz w:val="21"/>
          <w:szCs w:val="21"/>
        </w:rPr>
      </w:pPr>
    </w:p>
    <w:p w14:paraId="42CBE237" w14:textId="77777777" w:rsidR="009125F1" w:rsidRPr="009125F1" w:rsidRDefault="00086E15" w:rsidP="009125F1">
      <w:pPr>
        <w:numPr>
          <w:ilvl w:val="0"/>
          <w:numId w:val="17"/>
        </w:numPr>
        <w:rPr>
          <w:rFonts w:ascii="Calibri" w:hAnsi="Calibri"/>
          <w:color w:val="000000" w:themeColor="text1"/>
          <w:sz w:val="21"/>
          <w:szCs w:val="21"/>
        </w:rPr>
      </w:pPr>
      <w:hyperlink r:id="rId64" w:history="1">
        <w:r w:rsidR="009125F1" w:rsidRPr="009125F1">
          <w:rPr>
            <w:rStyle w:val="Hyperlink"/>
            <w:rFonts w:ascii="Calibri" w:hAnsi="Calibri"/>
            <w:sz w:val="21"/>
            <w:szCs w:val="21"/>
          </w:rPr>
          <w:t>Advisory Committee on Immunization Practices Recommended Immunization Schedule for Adults Aged 19 Years or Older — United States, 2022</w:t>
        </w:r>
      </w:hyperlink>
    </w:p>
    <w:p w14:paraId="22B2205D" w14:textId="73640608" w:rsidR="009125F1" w:rsidRPr="009125F1" w:rsidRDefault="009125F1" w:rsidP="009125F1">
      <w:pPr>
        <w:rPr>
          <w:rFonts w:ascii="Calibri" w:hAnsi="Calibri"/>
          <w:color w:val="000000" w:themeColor="text1"/>
          <w:sz w:val="21"/>
          <w:szCs w:val="21"/>
        </w:rPr>
      </w:pPr>
    </w:p>
    <w:p w14:paraId="26905519" w14:textId="77777777" w:rsidR="009125F1" w:rsidRPr="009125F1" w:rsidRDefault="00086E15" w:rsidP="009125F1">
      <w:pPr>
        <w:numPr>
          <w:ilvl w:val="0"/>
          <w:numId w:val="18"/>
        </w:numPr>
        <w:rPr>
          <w:rFonts w:ascii="Calibri" w:hAnsi="Calibri"/>
          <w:color w:val="000000" w:themeColor="text1"/>
          <w:sz w:val="21"/>
          <w:szCs w:val="21"/>
        </w:rPr>
      </w:pPr>
      <w:hyperlink r:id="rId65" w:history="1">
        <w:r w:rsidR="009125F1" w:rsidRPr="009125F1">
          <w:rPr>
            <w:rStyle w:val="Hyperlink"/>
            <w:rFonts w:ascii="Calibri" w:hAnsi="Calibri"/>
            <w:sz w:val="21"/>
            <w:szCs w:val="21"/>
          </w:rPr>
          <w:t>Advisory Committee on Immunization Practices Recommended Immunization Schedule for Children and Adolescents Aged 18 Years or Younger — United States, 2022</w:t>
        </w:r>
      </w:hyperlink>
    </w:p>
    <w:p w14:paraId="41CC1590" w14:textId="77777777" w:rsidR="00EC558D" w:rsidRDefault="00EC558D"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6"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7"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68"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9"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0"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2623104A" w:rsidR="00FF272B" w:rsidRPr="00FF272B" w:rsidRDefault="00FF272B" w:rsidP="00FF272B">
      <w:pPr>
        <w:numPr>
          <w:ilvl w:val="0"/>
          <w:numId w:val="2"/>
        </w:numPr>
        <w:shd w:val="clear" w:color="auto" w:fill="FFFFFF"/>
        <w:ind w:left="1080"/>
        <w:rPr>
          <w:rFonts w:ascii="Calibri" w:hAnsi="Calibri"/>
          <w:color w:val="36495F"/>
          <w:sz w:val="21"/>
          <w:szCs w:val="21"/>
        </w:rPr>
      </w:pPr>
      <w:r w:rsidRPr="00FF272B">
        <w:rPr>
          <w:rFonts w:ascii="Calibri" w:hAnsi="Calibri"/>
          <w:b/>
          <w:bCs/>
          <w:color w:val="FF0000"/>
          <w:sz w:val="21"/>
          <w:szCs w:val="21"/>
        </w:rPr>
        <w:t>Reminder</w:t>
      </w:r>
      <w:r>
        <w:rPr>
          <w:rFonts w:ascii="Calibri" w:hAnsi="Calibri"/>
          <w:color w:val="36495F"/>
          <w:sz w:val="21"/>
          <w:szCs w:val="21"/>
        </w:rPr>
        <w:t xml:space="preserve"> </w:t>
      </w:r>
      <w:hyperlink r:id="rId71" w:history="1">
        <w:r w:rsidRPr="00FF272B">
          <w:rPr>
            <w:rStyle w:val="Hyperlink"/>
            <w:rFonts w:ascii="Calibri" w:hAnsi="Calibri"/>
            <w:sz w:val="21"/>
            <w:szCs w:val="21"/>
          </w:rPr>
          <w:t>Multilingual COVID-19 Materials</w:t>
        </w:r>
      </w:hyperlink>
      <w:r w:rsidRPr="00FF272B">
        <w:rPr>
          <w:rFonts w:ascii="Calibri" w:hAnsi="Calibri"/>
          <w:sz w:val="21"/>
          <w:szCs w:val="21"/>
        </w:rPr>
        <w:t xml:space="preserve">. Resources related to Coronavirus Disease 2019 (COVID-19) in multiple languages. Includes videos and </w:t>
      </w:r>
      <w:proofErr w:type="spellStart"/>
      <w:r w:rsidRPr="00FF272B">
        <w:rPr>
          <w:rFonts w:ascii="Calibri" w:hAnsi="Calibri"/>
          <w:sz w:val="21"/>
          <w:szCs w:val="21"/>
        </w:rPr>
        <w:t>printables</w:t>
      </w:r>
      <w:proofErr w:type="spellEnd"/>
      <w:r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2"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3"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4"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75"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76"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77"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78"/>
      <w:foot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E6E" w14:textId="77777777" w:rsidR="00117F09" w:rsidRDefault="00117F09" w:rsidP="003D3EDE">
      <w:r>
        <w:separator/>
      </w:r>
    </w:p>
  </w:endnote>
  <w:endnote w:type="continuationSeparator" w:id="0">
    <w:p w14:paraId="1EA79557" w14:textId="77777777" w:rsidR="00117F09" w:rsidRDefault="00117F09"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770F" w14:textId="77777777" w:rsidR="00117F09" w:rsidRDefault="00117F09" w:rsidP="003D3EDE">
      <w:r>
        <w:separator/>
      </w:r>
    </w:p>
  </w:footnote>
  <w:footnote w:type="continuationSeparator" w:id="0">
    <w:p w14:paraId="0F7A2406" w14:textId="77777777" w:rsidR="00117F09" w:rsidRDefault="00117F09"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6C4AA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19"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9"/>
  </w:num>
  <w:num w:numId="4">
    <w:abstractNumId w:val="12"/>
  </w:num>
  <w:num w:numId="5">
    <w:abstractNumId w:val="1"/>
  </w:num>
  <w:num w:numId="6">
    <w:abstractNumId w:val="6"/>
  </w:num>
  <w:num w:numId="7">
    <w:abstractNumId w:val="18"/>
  </w:num>
  <w:num w:numId="8">
    <w:abstractNumId w:val="5"/>
  </w:num>
  <w:num w:numId="9">
    <w:abstractNumId w:val="13"/>
  </w:num>
  <w:num w:numId="10">
    <w:abstractNumId w:val="15"/>
  </w:num>
  <w:num w:numId="11">
    <w:abstractNumId w:val="7"/>
  </w:num>
  <w:num w:numId="12">
    <w:abstractNumId w:val="11"/>
  </w:num>
  <w:num w:numId="13">
    <w:abstractNumId w:val="8"/>
  </w:num>
  <w:num w:numId="14">
    <w:abstractNumId w:val="10"/>
  </w:num>
  <w:num w:numId="15">
    <w:abstractNumId w:val="4"/>
  </w:num>
  <w:num w:numId="16">
    <w:abstractNumId w:val="3"/>
  </w:num>
  <w:num w:numId="17">
    <w:abstractNumId w:val="14"/>
  </w:num>
  <w:num w:numId="18">
    <w:abstractNumId w:val="16"/>
  </w:num>
  <w:num w:numId="19">
    <w:abstractNumId w:val="19"/>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13FF"/>
    <w:rsid w:val="000F3329"/>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B01"/>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375"/>
    <w:rsid w:val="00A37691"/>
    <w:rsid w:val="00A40387"/>
    <w:rsid w:val="00A428A7"/>
    <w:rsid w:val="00A43002"/>
    <w:rsid w:val="00A44973"/>
    <w:rsid w:val="00A44EF8"/>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742D"/>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21B"/>
    <w:rsid w:val="00F46888"/>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izsummitpartners.us5.list-manage.com/track/click?u=63fa859772a808b03f5b61467&amp;id=399bdd6782&amp;e=ccdbed0273__;!!CUhgQOZqV7M!1TMkE7eEHjlhl2eBeHYekhsE3oUNFY8hObXgvVv6B_LwtZd00WQT8XWc2Mys6Z0-pbLprUU$" TargetMode="External"/><Relationship Id="rId18" Type="http://schemas.openxmlformats.org/officeDocument/2006/relationships/hyperlink" Target="https://www.cdc.gov/vaccines/covid-19/clinical-considerations/covid-19-vaccines-us.html" TargetMode="External"/><Relationship Id="rId26" Type="http://schemas.openxmlformats.org/officeDocument/2006/relationships/hyperlink" Target="https://urldefense.com/v3/__https:/vaxcheck.jnj/__;!!CUhgQOZqV7M!yGxVYV8BHtqcZ60FKi8HB3uTYxz3dJj1bcC-2OzWyfsACxpCz6nJTr6JC4lms1wWIR4woRQ$" TargetMode="External"/><Relationship Id="rId39" Type="http://schemas.openxmlformats.org/officeDocument/2006/relationships/hyperlink" Target="https://www.fda.gov/media/146304/download" TargetMode="External"/><Relationship Id="rId21" Type="http://schemas.openxmlformats.org/officeDocument/2006/relationships/hyperlink" Target="https://www.cdc.gov/vaccines/covid-19/eui/index.html" TargetMode="External"/><Relationship Id="rId34" Type="http://schemas.openxmlformats.org/officeDocument/2006/relationships/hyperlink" Target="https://www.fda.gov/media/153714/download" TargetMode="External"/><Relationship Id="rId42" Type="http://schemas.openxmlformats.org/officeDocument/2006/relationships/hyperlink" Target="https://www.cdc.gov/vaccines/covid-19/eui/downloads/Pfizer-Caregiver.pdf" TargetMode="External"/><Relationship Id="rId47" Type="http://schemas.openxmlformats.org/officeDocument/2006/relationships/image" Target="media/image6.png"/><Relationship Id="rId50" Type="http://schemas.openxmlformats.org/officeDocument/2006/relationships/hyperlink" Target="https://www2.cdc.gov/vaccines/ed/covid19/" TargetMode="External"/><Relationship Id="rId55" Type="http://schemas.openxmlformats.org/officeDocument/2006/relationships/hyperlink" Target="https://www.cdc.gov/mmwr/covid19_vaccine_safety.html" TargetMode="External"/><Relationship Id="rId63" Type="http://schemas.openxmlformats.org/officeDocument/2006/relationships/hyperlink" Target="https://www.cdc.gov/mmwr/volumes/71/wr/mm7107e4.htm?s_cid=mm7107e4_w" TargetMode="External"/><Relationship Id="rId68" Type="http://schemas.openxmlformats.org/officeDocument/2006/relationships/hyperlink" Target="https://www.mass.gov/info-details/covid-19-booster-frequently-asked-questions" TargetMode="External"/><Relationship Id="rId76" Type="http://schemas.openxmlformats.org/officeDocument/2006/relationships/hyperlink" Target="https://www.mass.gov/service-details/vaccine-management" TargetMode="External"/><Relationship Id="rId7" Type="http://schemas.openxmlformats.org/officeDocument/2006/relationships/endnotes" Target="endnotes.xml"/><Relationship Id="rId71" Type="http://schemas.openxmlformats.org/officeDocument/2006/relationships/hyperlink" Target="https://www.mass.gov/resource/multilingual-covid-19-materials"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covid-19-vaccines-us.html" TargetMode="External"/><Relationship Id="rId29" Type="http://schemas.openxmlformats.org/officeDocument/2006/relationships/hyperlink" Target="https://www.cdc.gov/vaccines/covid-19/info-by-product/pfizer/pfizer-bioNTech-children-adolescents.html" TargetMode="External"/><Relationship Id="rId11" Type="http://schemas.openxmlformats.org/officeDocument/2006/relationships/hyperlink" Target="https://urldefense.com/v3/__https:/izsummitpartners.us5.list-manage.com/track/click?u=63fa859772a808b03f5b61467&amp;id=8456ef33a4&amp;e=ccdbed0273__;!!CUhgQOZqV7M!1TMkE7eEHjlhl2eBeHYekhsE3oUNFY8hObXgvVv6B_LwtZd00WQT8XWc2Mys6Z0-4zVuwgg$" TargetMode="External"/><Relationship Id="rId24"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32" Type="http://schemas.openxmlformats.org/officeDocument/2006/relationships/hyperlink" Target="https://www.fda.gov/media/153713/download" TargetMode="External"/><Relationship Id="rId37" Type="http://schemas.openxmlformats.org/officeDocument/2006/relationships/hyperlink" Target="https://www.fda.gov/media/144637/download" TargetMode="External"/><Relationship Id="rId40" Type="http://schemas.openxmlformats.org/officeDocument/2006/relationships/hyperlink" Target="https://www.fda.gov/media/146305/download" TargetMode="External"/><Relationship Id="rId45" Type="http://schemas.openxmlformats.org/officeDocument/2006/relationships/hyperlink" Target="https://www.cdc.gov/coronavirus/2019-ncov/vaccines/safety/register-for-v-safe.html" TargetMode="External"/><Relationship Id="rId53" Type="http://schemas.openxmlformats.org/officeDocument/2006/relationships/hyperlink" Target="https://www.cdc.gov/vaccines/covid-19/hcp/conversations-module.html" TargetMode="External"/><Relationship Id="rId58" Type="http://schemas.openxmlformats.org/officeDocument/2006/relationships/hyperlink" Target="https://www.cdc.gov/mmwr/volumes/71/wr/mm7107a3.htm?s_cid=mm7107a3_w" TargetMode="External"/><Relationship Id="rId66" Type="http://schemas.openxmlformats.org/officeDocument/2006/relationships/hyperlink" Target="https://www.mass.gov/covid-19-vaccine" TargetMode="External"/><Relationship Id="rId74" Type="http://schemas.openxmlformats.org/officeDocument/2006/relationships/hyperlink" Target="https://www.mass.gov/service-details/massachusetts-immunization-information-system-mii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dc.gov/mmwr/volumes/71/wr/mm7107e2.htm?s_cid=mm7107e2_w" TargetMode="External"/><Relationship Id="rId10" Type="http://schemas.openxmlformats.org/officeDocument/2006/relationships/hyperlink" Target="https://emergency.cdc.gov/coca/calls/2022/callinfo_022422.asp" TargetMode="External"/><Relationship Id="rId19" Type="http://schemas.openxmlformats.org/officeDocument/2006/relationships/image" Target="media/image4.png"/><Relationship Id="rId31" Type="http://schemas.openxmlformats.org/officeDocument/2006/relationships/hyperlink" Target="https://www.cdc.gov/vaccines/covid-19/info-by-product/pfizer/bioNTech-gray-cap-12-and-over.html" TargetMode="External"/><Relationship Id="rId44" Type="http://schemas.openxmlformats.org/officeDocument/2006/relationships/hyperlink" Target="https://www.cdc.gov/vaccines/covid-19/eui/downloads/Moderna-Caregiver.pdf" TargetMode="External"/><Relationship Id="rId52" Type="http://schemas.openxmlformats.org/officeDocument/2006/relationships/hyperlink" Target="https://edit.mass.gov/info-details/trust-the-facts-get-the-vax-campaign-materials-for-parents-and-pregnant-people" TargetMode="External"/><Relationship Id="rId60" Type="http://schemas.openxmlformats.org/officeDocument/2006/relationships/hyperlink" Target="https://www.cdc.gov/mmwr/volumes/71/wr/mm7107e1.htm?s_cid=mm7107e1_w" TargetMode="External"/><Relationship Id="rId65" Type="http://schemas.openxmlformats.org/officeDocument/2006/relationships/hyperlink" Target="https://www.cdc.gov/mmwr/volumes/71/wr/mm7107a2.htm?s_cid=mm7107a2_w" TargetMode="External"/><Relationship Id="rId73" Type="http://schemas.openxmlformats.org/officeDocument/2006/relationships/hyperlink" Target="mailto:miishelpdesk@mass.gov"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cdc.gov/vaccines/covid-19/clinical-considerations/covid-19-vaccines-us.html" TargetMode="External"/><Relationship Id="rId27" Type="http://schemas.openxmlformats.org/officeDocument/2006/relationships/hyperlink" Target="https://urldefense.com/v3/__https:/www.cdc.gov/coronavirus/2019-ncov/vaccines/stay-up-to-date.html__;!!CUhgQOZqV7M!0bvqomVp3-NQWsKsAQuLGJN_K7OJQLFHvKwDMK9-LmSVGPGhUS1Sy58DTVFTpb-siRSIPQ$" TargetMode="External"/><Relationship Id="rId30" Type="http://schemas.openxmlformats.org/officeDocument/2006/relationships/hyperlink" Target="https://www.cdc.gov/vaccines/covid-19/info-by-product/pfizer/bioNTech-purple-cap-12-and-over.html" TargetMode="External"/><Relationship Id="rId35" Type="http://schemas.openxmlformats.org/officeDocument/2006/relationships/hyperlink" Target="https://www.fda.gov/media/144414/download" TargetMode="External"/><Relationship Id="rId43" Type="http://schemas.openxmlformats.org/officeDocument/2006/relationships/hyperlink" Target="https://www.cdc.gov/vaccines/covid-19/eui/downloads/Moderna-HCP.pdf" TargetMode="External"/><Relationship Id="rId48" Type="http://schemas.openxmlformats.org/officeDocument/2006/relationships/hyperlink" Target="https://2qsf1u174j2d3r972h1pj24g-wpengine.netdna-ssl.com/wp-content/uploads/2022/01/MAIC-SavetheDate-2022.pdf" TargetMode="External"/><Relationship Id="rId56" Type="http://schemas.openxmlformats.org/officeDocument/2006/relationships/hyperlink" Target="https://www.cdc.gov/mmwr/volumes/71/wr/mm7108e1.htm?s_cid=mm7108e1_w" TargetMode="External"/><Relationship Id="rId64" Type="http://schemas.openxmlformats.org/officeDocument/2006/relationships/hyperlink" Target="https://www.cdc.gov/mmwr/volumes/71/wr/mm7107a1.htm?s_cid=mm7107a1_w" TargetMode="External"/><Relationship Id="rId69" Type="http://schemas.openxmlformats.org/officeDocument/2006/relationships/hyperlink" Target="https://vaxfinder.mass.gov/" TargetMode="External"/><Relationship Id="rId77"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www.cdc.gov/vaccines/covid-19/training-education/webinars.html" TargetMode="External"/><Relationship Id="rId72" Type="http://schemas.openxmlformats.org/officeDocument/2006/relationships/hyperlink" Target="https://www.mass.gov/topics/immuniza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rldefense.com/v3/__https:/izsummitpartners.us5.list-manage.com/track/click?u=63fa859772a808b03f5b61467&amp;id=e4b93dadaa&amp;e=ccdbed0273__;!!CUhgQOZqV7M!1TMkE7eEHjlhl2eBeHYekhsE3oUNFY8hObXgvVv6B_LwtZd00WQT8XWc2Mys6Z0-OQdzbTU$" TargetMode="External"/><Relationship Id="rId17" Type="http://schemas.openxmlformats.org/officeDocument/2006/relationships/hyperlink" Target="https://www.cdc.gov/vaccines/covid-19/clinical-considerations/covid-19-vaccines-us.html" TargetMode="External"/><Relationship Id="rId25"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33" Type="http://schemas.openxmlformats.org/officeDocument/2006/relationships/hyperlink" Target="https://www.fda.gov/media/153715/download" TargetMode="External"/><Relationship Id="rId38" Type="http://schemas.openxmlformats.org/officeDocument/2006/relationships/hyperlink" Target="https://www.fda.gov/media/144638/download" TargetMode="External"/><Relationship Id="rId46" Type="http://schemas.openxmlformats.org/officeDocument/2006/relationships/hyperlink" Target="https://www.cdc.gov/coronavirus/2019-ncov/vaccines/safety/vsafe/printresources.html" TargetMode="External"/><Relationship Id="rId59" Type="http://schemas.openxmlformats.org/officeDocument/2006/relationships/hyperlink" Target="https://www.cdc.gov/mmwr/volumes/71/wr/mm7107a4.htm?s_cid=mm7107a4_w" TargetMode="External"/><Relationship Id="rId67" Type="http://schemas.openxmlformats.org/officeDocument/2006/relationships/hyperlink" Target="https://www.mass.gov/info-details/covid-19-booster-frequently-asked-questions" TargetMode="External"/><Relationship Id="rId20" Type="http://schemas.openxmlformats.org/officeDocument/2006/relationships/image" Target="media/image5.png"/><Relationship Id="rId41" Type="http://schemas.openxmlformats.org/officeDocument/2006/relationships/hyperlink" Target="https://www.cdc.gov/vaccines/covid-19/eui/downloads/pfizer-HCP.pdf" TargetMode="External"/><Relationship Id="rId54" Type="http://schemas.openxmlformats.org/officeDocument/2006/relationships/hyperlink" Target="https://urldefense.com/v3/__https:/www.pfizermedicalinformation.com/en-us/medical-updates__;!!CUhgQOZqV7M!wnopdixLkKhCVeMjUiwcd-KVQVUN9jXipkisyDlTme9oe3pB9EYR1yJo7AhKgBWejq3FUBI$" TargetMode="External"/><Relationship Id="rId62" Type="http://schemas.openxmlformats.org/officeDocument/2006/relationships/hyperlink" Target="https://www.cdc.gov/mmwr/volumes/71/wr/mm7107e3.htm?s_cid=mm7107e3_w" TargetMode="External"/><Relationship Id="rId70" Type="http://schemas.openxmlformats.org/officeDocument/2006/relationships/hyperlink" Target="https://www.mass.gov/info-details/covid-19-vaccine-training-and-education-resources-for-providers" TargetMode="External"/><Relationship Id="rId75" Type="http://schemas.openxmlformats.org/officeDocument/2006/relationships/hyperlink" Target="mailto:dph-vaccine-management@mas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clinical-considerations/covid-19-vaccines-us.html" TargetMode="External"/><Relationship Id="rId23" Type="http://schemas.openxmlformats.org/officeDocument/2006/relationships/hyperlink" Target="https://www.fda.gov/media/154701/download" TargetMode="External"/><Relationship Id="rId28" Type="http://schemas.openxmlformats.org/officeDocument/2006/relationships/hyperlink" Target="https://www.cdc.gov/vaccines/covid-19/downloads/covid19-vaccine-quick-reference-guide-2pages.pdf" TargetMode="External"/><Relationship Id="rId36" Type="http://schemas.openxmlformats.org/officeDocument/2006/relationships/hyperlink" Target="https://www.fda.gov/media/153717/download" TargetMode="External"/><Relationship Id="rId49" Type="http://schemas.openxmlformats.org/officeDocument/2006/relationships/hyperlink" Target="https://cvent.me/l7NbGP?RefId=DPH" TargetMode="External"/><Relationship Id="rId57" Type="http://schemas.openxmlformats.org/officeDocument/2006/relationships/hyperlink" Target="https://www.cdc.gov/mmwr/volumes/71/wr/mm7108e2.htm?s_cid=mm7108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12</cp:revision>
  <cp:lastPrinted>2021-05-18T19:57:00Z</cp:lastPrinted>
  <dcterms:created xsi:type="dcterms:W3CDTF">2022-02-22T14:19:00Z</dcterms:created>
  <dcterms:modified xsi:type="dcterms:W3CDTF">2022-02-23T15:31:00Z</dcterms:modified>
</cp:coreProperties>
</file>