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85697AE" w14:textId="2F2D8BDB" w:rsidR="007651EC" w:rsidRDefault="001075EA" w:rsidP="00A370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7C1160">
        <w:rPr>
          <w:rFonts w:ascii="Calibri" w:hAnsi="Calibri" w:cs="Calibri"/>
          <w:b/>
          <w:bCs/>
          <w:color w:val="333333"/>
          <w:sz w:val="29"/>
          <w:szCs w:val="29"/>
        </w:rPr>
        <w:t>3</w:t>
      </w:r>
      <w:r w:rsidR="00AA2C67">
        <w:rPr>
          <w:rFonts w:ascii="Calibri" w:hAnsi="Calibri" w:cs="Calibri"/>
          <w:b/>
          <w:bCs/>
          <w:color w:val="333333"/>
          <w:sz w:val="29"/>
          <w:szCs w:val="29"/>
        </w:rPr>
        <w:t>/</w:t>
      </w:r>
      <w:r w:rsidR="00280694">
        <w:rPr>
          <w:rFonts w:ascii="Calibri" w:hAnsi="Calibri" w:cs="Calibri"/>
          <w:b/>
          <w:bCs/>
          <w:color w:val="333333"/>
          <w:sz w:val="29"/>
          <w:szCs w:val="29"/>
        </w:rPr>
        <w:t>8</w:t>
      </w:r>
      <w:r w:rsidR="00AA2C67">
        <w:rPr>
          <w:rFonts w:ascii="Calibri" w:hAnsi="Calibri" w:cs="Calibri"/>
          <w:b/>
          <w:bCs/>
          <w:color w:val="333333"/>
          <w:sz w:val="29"/>
          <w:szCs w:val="29"/>
        </w:rPr>
        <w:t>/2022</w:t>
      </w:r>
    </w:p>
    <w:p w14:paraId="015B2EF9" w14:textId="77777777" w:rsidR="00A37041" w:rsidRPr="00A37041" w:rsidRDefault="00A37041" w:rsidP="00A37041">
      <w:pPr>
        <w:shd w:val="clear" w:color="auto" w:fill="FFFFFF"/>
        <w:jc w:val="center"/>
        <w:rPr>
          <w:rFonts w:ascii="Calibri" w:hAnsi="Calibri" w:cs="Calibri"/>
          <w:b/>
          <w:bCs/>
          <w:color w:val="333333"/>
          <w:sz w:val="29"/>
          <w:szCs w:val="29"/>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0A296D72"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0735DD">
        <w:rPr>
          <w:rFonts w:ascii="Calibri" w:hAnsi="Calibri"/>
          <w:color w:val="000000"/>
          <w:sz w:val="21"/>
          <w:szCs w:val="21"/>
        </w:rPr>
        <w:t>3</w:t>
      </w:r>
      <w:r w:rsidR="001A0316" w:rsidRPr="00813173">
        <w:rPr>
          <w:rFonts w:ascii="Calibri" w:hAnsi="Calibri"/>
          <w:color w:val="000000"/>
          <w:sz w:val="21"/>
          <w:szCs w:val="21"/>
        </w:rPr>
        <w:t>/</w:t>
      </w:r>
      <w:r w:rsidR="00280694">
        <w:rPr>
          <w:rFonts w:ascii="Calibri" w:hAnsi="Calibri"/>
          <w:color w:val="000000"/>
          <w:sz w:val="21"/>
          <w:szCs w:val="21"/>
        </w:rPr>
        <w:t>8</w:t>
      </w:r>
      <w:r w:rsidR="00494FC2">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092538" w:rsidRPr="00092538">
        <w:rPr>
          <w:rFonts w:asciiTheme="minorHAnsi" w:hAnsiTheme="minorHAnsi" w:cstheme="minorHAnsi"/>
          <w:b/>
          <w:bCs/>
          <w:color w:val="000000"/>
          <w:sz w:val="20"/>
          <w:szCs w:val="20"/>
        </w:rPr>
        <w:t>5,298,708</w:t>
      </w:r>
      <w:r w:rsidR="00092538">
        <w:rPr>
          <w:color w:val="000000"/>
        </w:rPr>
        <w:t xml:space="preserve"> </w:t>
      </w:r>
      <w:r w:rsidRPr="00813173">
        <w:rPr>
          <w:rFonts w:ascii="Calibri" w:hAnsi="Calibri"/>
          <w:color w:val="000000"/>
          <w:sz w:val="21"/>
          <w:szCs w:val="21"/>
        </w:rPr>
        <w:t>people in Massachusetts have been fully vaccinated.</w:t>
      </w:r>
    </w:p>
    <w:p w14:paraId="5EF88D80" w14:textId="10E6FA1F" w:rsidR="007651EC" w:rsidRPr="00A37041"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413BDB10" w14:textId="04ABDD29" w:rsidR="002B784F" w:rsidRPr="00A37041" w:rsidRDefault="007112F8" w:rsidP="00A37041">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w:t>
      </w:r>
      <w:r w:rsidR="007C1160">
        <w:rPr>
          <w:rFonts w:ascii="Calibri" w:hAnsi="Calibri"/>
          <w:color w:val="000000"/>
          <w:sz w:val="21"/>
          <w:szCs w:val="21"/>
        </w:rPr>
        <w:t xml:space="preserve">section </w:t>
      </w:r>
      <w:r>
        <w:rPr>
          <w:rFonts w:ascii="Calibri" w:hAnsi="Calibri"/>
          <w:color w:val="000000"/>
          <w:sz w:val="21"/>
          <w:szCs w:val="21"/>
        </w:rPr>
        <w:t>below</w:t>
      </w:r>
      <w:r w:rsidR="007C1160">
        <w:rPr>
          <w:rFonts w:ascii="Calibri" w:hAnsi="Calibri"/>
          <w:color w:val="000000"/>
          <w:sz w:val="21"/>
          <w:szCs w:val="21"/>
        </w:rPr>
        <w:t xml:space="preserve">, </w:t>
      </w:r>
      <w:r w:rsidR="007C1160" w:rsidRPr="007C1160">
        <w:rPr>
          <w:rFonts w:ascii="Calibri" w:hAnsi="Calibri"/>
          <w:color w:val="000000"/>
          <w:sz w:val="21"/>
          <w:szCs w:val="21"/>
        </w:rPr>
        <w:t>vaccination schedule for moderately or severely immunocompromised persons ages 5 years and older</w:t>
      </w:r>
      <w:r w:rsidR="007C1160">
        <w:rPr>
          <w:rFonts w:ascii="Calibri" w:hAnsi="Calibri"/>
          <w:color w:val="000000"/>
          <w:sz w:val="21"/>
          <w:szCs w:val="21"/>
        </w:rPr>
        <w:t>,</w:t>
      </w:r>
      <w:r>
        <w:rPr>
          <w:rFonts w:ascii="Calibri" w:hAnsi="Calibri"/>
          <w:color w:val="000000"/>
          <w:sz w:val="21"/>
          <w:szCs w:val="21"/>
        </w:rPr>
        <w:t xml:space="preserve"> for details</w:t>
      </w:r>
    </w:p>
    <w:p w14:paraId="7E00D7AF" w14:textId="77777777" w:rsidR="007651EC" w:rsidRPr="002B784F" w:rsidRDefault="007651EC" w:rsidP="002B784F">
      <w:pPr>
        <w:shd w:val="clear" w:color="auto" w:fill="FFFFFF"/>
        <w:ind w:left="1320"/>
        <w:rPr>
          <w:rFonts w:ascii="Calibri" w:hAnsi="Calibri"/>
          <w:color w:val="000000"/>
          <w:sz w:val="21"/>
          <w:szCs w:val="21"/>
        </w:rPr>
      </w:pPr>
    </w:p>
    <w:p w14:paraId="591383ED" w14:textId="26CA0389" w:rsidR="007C1160" w:rsidRPr="007C1160" w:rsidRDefault="007C1160" w:rsidP="007C1160">
      <w:pPr>
        <w:shd w:val="clear" w:color="auto" w:fill="FFFFFF"/>
        <w:rPr>
          <w:rFonts w:ascii="Calibri" w:hAnsi="Calibri"/>
          <w:b/>
          <w:bCs/>
          <w:color w:val="000099"/>
        </w:rPr>
      </w:pPr>
      <w:bookmarkStart w:id="1" w:name="_Hlk96939976"/>
      <w:r w:rsidRPr="007C1160">
        <w:rPr>
          <w:rFonts w:ascii="Calibri" w:hAnsi="Calibri"/>
          <w:b/>
          <w:bCs/>
          <w:color w:val="000099"/>
        </w:rPr>
        <w:t>KEY POINTS</w:t>
      </w:r>
    </w:p>
    <w:p w14:paraId="5CB8FB01"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COVID-19 vaccines currently approved or authorized by FDA are effective in preventing serious outcomes of coronavirus disease 2019 (COVID-19), including severe disease, hospitalization, and death.</w:t>
      </w:r>
    </w:p>
    <w:p w14:paraId="3F824262"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COVID-19 primary series vaccination is recommended for everyone ages 5 years and older in the United States for the prevention of COVID-19.</w:t>
      </w:r>
    </w:p>
    <w:p w14:paraId="0527DC2A" w14:textId="4A424805"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In most situations, Pfizer-BioNTech or Moderna COVID-19 Vaccines are preferred over the Janssen</w:t>
      </w:r>
      <w:r w:rsidR="00B408FC">
        <w:rPr>
          <w:rFonts w:ascii="Calibri" w:hAnsi="Calibri"/>
          <w:color w:val="000000"/>
          <w:sz w:val="21"/>
          <w:szCs w:val="21"/>
        </w:rPr>
        <w:t>/</w:t>
      </w:r>
      <w:r w:rsidR="00867FEA">
        <w:rPr>
          <w:rFonts w:ascii="Calibri" w:hAnsi="Calibri"/>
          <w:color w:val="000000"/>
          <w:sz w:val="21"/>
          <w:szCs w:val="21"/>
        </w:rPr>
        <w:t xml:space="preserve">J&amp;J </w:t>
      </w:r>
      <w:r w:rsidRPr="007C1160">
        <w:rPr>
          <w:rFonts w:ascii="Calibri" w:hAnsi="Calibri"/>
          <w:color w:val="000000"/>
          <w:sz w:val="21"/>
          <w:szCs w:val="21"/>
        </w:rPr>
        <w:t>COVID-19 Vaccine for primary and booster vaccination.</w:t>
      </w:r>
    </w:p>
    <w:bookmarkEnd w:id="1"/>
    <w:p w14:paraId="03398E76"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A 3-dose primary mRNA COVID-19 vaccine series is recommended for people ages 5 years and older who are moderately or severely immunocompromised, followed by a booster dose in those ages 12 years and older.</w:t>
      </w:r>
    </w:p>
    <w:p w14:paraId="6CC4FB86"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A booster dose of COVID-19 vaccine is recommended for everyone ages 12 years and older. Timing of a booster dose varies based on COVID-19 vaccine product and immunocompetence.</w:t>
      </w:r>
    </w:p>
    <w:p w14:paraId="15935332" w14:textId="687B1587" w:rsidR="002B784F" w:rsidRPr="00A37041" w:rsidRDefault="007C1160" w:rsidP="007112F8">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Efforts to increase the number of people in the United States who are up to date with their COVID-19 vaccines remain critical to preventing illness, hospitalizations, and deaths from COVID-19.</w:t>
      </w:r>
    </w:p>
    <w:p w14:paraId="16A26FFD" w14:textId="77777777" w:rsidR="002B784F" w:rsidRPr="007112F8" w:rsidRDefault="002B784F" w:rsidP="007112F8">
      <w:pPr>
        <w:shd w:val="clear" w:color="auto" w:fill="FFFFFF"/>
        <w:rPr>
          <w:rFonts w:ascii="Calibri" w:hAnsi="Calibri"/>
          <w:color w:val="000000"/>
          <w:sz w:val="21"/>
          <w:szCs w:val="21"/>
        </w:rPr>
      </w:pPr>
    </w:p>
    <w:p w14:paraId="37ECD9D4" w14:textId="4D0F4114" w:rsidR="006424A1" w:rsidRDefault="00AE0D2A" w:rsidP="0063730E">
      <w:pPr>
        <w:shd w:val="clear" w:color="auto" w:fill="FFFFFF"/>
        <w:rPr>
          <w:rFonts w:ascii="Calibri" w:hAnsi="Calibri"/>
          <w:b/>
          <w:bCs/>
          <w:color w:val="000099"/>
        </w:rPr>
      </w:pPr>
      <w:bookmarkStart w:id="2" w:name="_Hlk97624811"/>
      <w:r w:rsidRPr="00AE0D2A">
        <w:rPr>
          <w:rFonts w:ascii="Calibri" w:hAnsi="Calibri"/>
          <w:b/>
          <w:bCs/>
          <w:color w:val="000099"/>
        </w:rPr>
        <w:t>WHAT TO KNOW THIS WEEK</w:t>
      </w:r>
    </w:p>
    <w:p w14:paraId="5D406A90" w14:textId="77777777" w:rsidR="008F3B28" w:rsidRDefault="008F3B28" w:rsidP="0063730E">
      <w:pPr>
        <w:shd w:val="clear" w:color="auto" w:fill="FFFFFF"/>
        <w:rPr>
          <w:rFonts w:ascii="Calibri" w:hAnsi="Calibri"/>
          <w:b/>
          <w:bCs/>
          <w:color w:val="000099"/>
        </w:rPr>
      </w:pPr>
    </w:p>
    <w:p w14:paraId="369A3A55" w14:textId="6B1E4258" w:rsidR="008F3B28" w:rsidRPr="00092A90" w:rsidRDefault="008F3B28" w:rsidP="008F3B28">
      <w:pPr>
        <w:pStyle w:val="NormalWeb"/>
        <w:shd w:val="clear" w:color="auto" w:fill="FFFFFF"/>
        <w:spacing w:before="0" w:beforeAutospacing="0" w:after="0" w:afterAutospacing="0"/>
        <w:rPr>
          <w:rFonts w:asciiTheme="minorHAnsi" w:hAnsiTheme="minorHAnsi" w:cstheme="minorHAnsi"/>
          <w:sz w:val="21"/>
          <w:szCs w:val="21"/>
        </w:rPr>
      </w:pPr>
      <w:bookmarkStart w:id="3" w:name="_Hlk97625526"/>
      <w:r>
        <w:rPr>
          <w:rFonts w:asciiTheme="minorHAnsi" w:hAnsiTheme="minorHAnsi" w:cstheme="minorHAnsi"/>
          <w:b/>
          <w:bCs/>
          <w:color w:val="FF0000"/>
          <w:sz w:val="21"/>
          <w:szCs w:val="21"/>
        </w:rPr>
        <w:t>New</w:t>
      </w:r>
      <w:r w:rsidR="00092A90">
        <w:rPr>
          <w:rFonts w:asciiTheme="minorHAnsi" w:hAnsiTheme="minorHAnsi" w:cstheme="minorHAnsi"/>
          <w:b/>
          <w:bCs/>
          <w:color w:val="FF0000"/>
          <w:sz w:val="21"/>
          <w:szCs w:val="21"/>
        </w:rPr>
        <w:t xml:space="preserve"> </w:t>
      </w:r>
      <w:r w:rsidR="00092A90" w:rsidRPr="00092A90">
        <w:rPr>
          <w:rFonts w:asciiTheme="minorHAnsi" w:hAnsiTheme="minorHAnsi" w:cstheme="minorHAnsi"/>
          <w:b/>
          <w:bCs/>
          <w:sz w:val="21"/>
          <w:szCs w:val="21"/>
        </w:rPr>
        <w:t xml:space="preserve">J&amp;J/Janssen </w:t>
      </w:r>
      <w:r w:rsidR="00092A90">
        <w:rPr>
          <w:rFonts w:asciiTheme="minorHAnsi" w:hAnsiTheme="minorHAnsi" w:cstheme="minorHAnsi"/>
          <w:b/>
          <w:bCs/>
          <w:sz w:val="21"/>
          <w:szCs w:val="21"/>
        </w:rPr>
        <w:t xml:space="preserve">Vaccine </w:t>
      </w:r>
      <w:r w:rsidR="00092A90" w:rsidRPr="00092A90">
        <w:rPr>
          <w:rFonts w:asciiTheme="minorHAnsi" w:hAnsiTheme="minorHAnsi" w:cstheme="minorHAnsi"/>
          <w:b/>
          <w:bCs/>
          <w:sz w:val="21"/>
          <w:szCs w:val="21"/>
        </w:rPr>
        <w:t>Expiration Extension</w:t>
      </w:r>
    </w:p>
    <w:p w14:paraId="6761B256" w14:textId="425BA484" w:rsidR="006424A1" w:rsidRPr="006424A1" w:rsidRDefault="006424A1" w:rsidP="008F3B28">
      <w:pPr>
        <w:pStyle w:val="NormalWeb"/>
        <w:shd w:val="clear" w:color="auto" w:fill="FFFFFF"/>
        <w:spacing w:before="0" w:beforeAutospacing="0" w:after="0" w:afterAutospacing="0"/>
        <w:rPr>
          <w:rFonts w:asciiTheme="minorHAnsi" w:hAnsiTheme="minorHAnsi" w:cstheme="minorHAnsi"/>
          <w:sz w:val="21"/>
          <w:szCs w:val="21"/>
        </w:rPr>
      </w:pPr>
      <w:r w:rsidRPr="006424A1">
        <w:rPr>
          <w:rFonts w:asciiTheme="minorHAnsi" w:hAnsiTheme="minorHAnsi" w:cstheme="minorHAnsi"/>
          <w:color w:val="000000"/>
          <w:sz w:val="21"/>
          <w:szCs w:val="21"/>
        </w:rPr>
        <w:t xml:space="preserve">The </w:t>
      </w:r>
      <w:r w:rsidR="00092A90">
        <w:rPr>
          <w:rFonts w:asciiTheme="minorHAnsi" w:hAnsiTheme="minorHAnsi" w:cstheme="minorHAnsi"/>
          <w:color w:val="000000"/>
          <w:sz w:val="21"/>
          <w:szCs w:val="21"/>
        </w:rPr>
        <w:t xml:space="preserve">FDA </w:t>
      </w:r>
      <w:r w:rsidRPr="006424A1">
        <w:rPr>
          <w:rFonts w:asciiTheme="minorHAnsi" w:hAnsiTheme="minorHAnsi" w:cstheme="minorHAnsi"/>
          <w:color w:val="000000"/>
          <w:sz w:val="21"/>
          <w:szCs w:val="21"/>
        </w:rPr>
        <w:t xml:space="preserve">announced the approval of a </w:t>
      </w:r>
      <w:r w:rsidR="00092A90" w:rsidRPr="006424A1">
        <w:rPr>
          <w:rFonts w:asciiTheme="minorHAnsi" w:hAnsiTheme="minorHAnsi" w:cstheme="minorHAnsi"/>
          <w:color w:val="000000"/>
          <w:sz w:val="21"/>
          <w:szCs w:val="21"/>
        </w:rPr>
        <w:t>shelf-life</w:t>
      </w:r>
      <w:r w:rsidRPr="006424A1">
        <w:rPr>
          <w:rFonts w:asciiTheme="minorHAnsi" w:hAnsiTheme="minorHAnsi" w:cstheme="minorHAnsi"/>
          <w:color w:val="000000"/>
          <w:sz w:val="21"/>
          <w:szCs w:val="21"/>
        </w:rPr>
        <w:t xml:space="preserve"> extension for the </w:t>
      </w:r>
      <w:r w:rsidRPr="00092A90">
        <w:rPr>
          <w:rFonts w:asciiTheme="minorHAnsi" w:hAnsiTheme="minorHAnsi" w:cstheme="minorHAnsi"/>
          <w:sz w:val="21"/>
          <w:szCs w:val="21"/>
        </w:rPr>
        <w:t>J</w:t>
      </w:r>
      <w:r w:rsidR="00092A90">
        <w:rPr>
          <w:rFonts w:asciiTheme="minorHAnsi" w:hAnsiTheme="minorHAnsi" w:cstheme="minorHAnsi"/>
          <w:sz w:val="21"/>
          <w:szCs w:val="21"/>
        </w:rPr>
        <w:t>&amp;J/</w:t>
      </w:r>
      <w:r w:rsidRPr="00092A90">
        <w:rPr>
          <w:rFonts w:asciiTheme="minorHAnsi" w:hAnsiTheme="minorHAnsi" w:cstheme="minorHAnsi"/>
          <w:sz w:val="21"/>
          <w:szCs w:val="21"/>
        </w:rPr>
        <w:t>Janssen vaccine</w:t>
      </w:r>
      <w:r w:rsidRPr="006424A1">
        <w:rPr>
          <w:rFonts w:asciiTheme="minorHAnsi" w:hAnsiTheme="minorHAnsi" w:cstheme="minorHAnsi"/>
          <w:color w:val="000000"/>
          <w:sz w:val="21"/>
          <w:szCs w:val="21"/>
        </w:rPr>
        <w:t> for </w:t>
      </w:r>
      <w:r w:rsidRPr="006424A1">
        <w:rPr>
          <w:rFonts w:asciiTheme="minorHAnsi" w:hAnsiTheme="minorHAnsi" w:cstheme="minorHAnsi"/>
          <w:b/>
          <w:bCs/>
          <w:color w:val="000000"/>
          <w:sz w:val="21"/>
          <w:szCs w:val="21"/>
        </w:rPr>
        <w:t>an additional three months</w:t>
      </w:r>
      <w:r w:rsidRPr="006424A1">
        <w:rPr>
          <w:rFonts w:asciiTheme="minorHAnsi" w:hAnsiTheme="minorHAnsi" w:cstheme="minorHAnsi"/>
          <w:color w:val="000000"/>
          <w:sz w:val="21"/>
          <w:szCs w:val="21"/>
        </w:rPr>
        <w:t>. The shelf life of this vaccine has been updated from 6 months to </w:t>
      </w:r>
      <w:r w:rsidRPr="00E86C8D">
        <w:rPr>
          <w:rFonts w:asciiTheme="minorHAnsi" w:hAnsiTheme="minorHAnsi" w:cstheme="minorHAnsi"/>
          <w:b/>
          <w:bCs/>
          <w:color w:val="FF0000"/>
          <w:sz w:val="21"/>
          <w:szCs w:val="21"/>
        </w:rPr>
        <w:t>9 months</w:t>
      </w:r>
      <w:r w:rsidRPr="006424A1">
        <w:rPr>
          <w:rFonts w:asciiTheme="minorHAnsi" w:hAnsiTheme="minorHAnsi" w:cstheme="minorHAnsi"/>
          <w:color w:val="000000"/>
          <w:sz w:val="21"/>
          <w:szCs w:val="21"/>
        </w:rPr>
        <w:t>. This decision is based on data from ongoing stability assessment studies, which have demonstrated that the vaccine is stable at 9 months when refrigerated at temperatures of </w:t>
      </w:r>
      <w:r w:rsidRPr="006424A1">
        <w:rPr>
          <w:rFonts w:asciiTheme="minorHAnsi" w:hAnsiTheme="minorHAnsi" w:cstheme="minorHAnsi"/>
          <w:color w:val="000000"/>
          <w:sz w:val="21"/>
          <w:szCs w:val="21"/>
          <w:shd w:val="clear" w:color="auto" w:fill="FFFFFF"/>
        </w:rPr>
        <w:t>36</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 46</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w:t>
      </w:r>
      <w:r w:rsidRPr="006424A1">
        <w:rPr>
          <w:rFonts w:asciiTheme="minorHAnsi" w:hAnsiTheme="minorHAnsi" w:cstheme="minorHAnsi"/>
          <w:color w:val="000000"/>
          <w:sz w:val="21"/>
          <w:szCs w:val="21"/>
        </w:rPr>
        <w:t>Fahrenheit (</w:t>
      </w:r>
      <w:r w:rsidRPr="006424A1">
        <w:rPr>
          <w:rFonts w:asciiTheme="minorHAnsi" w:hAnsiTheme="minorHAnsi" w:cstheme="minorHAnsi"/>
          <w:color w:val="000000"/>
          <w:sz w:val="21"/>
          <w:szCs w:val="21"/>
          <w:shd w:val="clear" w:color="auto" w:fill="FFFFFF"/>
        </w:rPr>
        <w:t>2</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 8</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Celsius</w:t>
      </w:r>
      <w:r w:rsidRPr="006424A1">
        <w:rPr>
          <w:rFonts w:asciiTheme="minorHAnsi" w:hAnsiTheme="minorHAnsi" w:cstheme="minorHAnsi"/>
          <w:color w:val="000000"/>
          <w:sz w:val="21"/>
          <w:szCs w:val="21"/>
        </w:rPr>
        <w:t>).</w:t>
      </w:r>
    </w:p>
    <w:p w14:paraId="687A8228" w14:textId="77777777" w:rsidR="005C29CE" w:rsidRDefault="006424A1" w:rsidP="00A37041">
      <w:pPr>
        <w:pStyle w:val="NormalWeb"/>
        <w:shd w:val="clear" w:color="auto" w:fill="FFFFFF"/>
        <w:rPr>
          <w:rFonts w:asciiTheme="minorHAnsi" w:hAnsiTheme="minorHAnsi" w:cstheme="minorHAnsi"/>
          <w:color w:val="000000"/>
          <w:sz w:val="21"/>
          <w:szCs w:val="21"/>
        </w:rPr>
      </w:pPr>
      <w:r w:rsidRPr="006424A1">
        <w:rPr>
          <w:rFonts w:asciiTheme="minorHAnsi" w:hAnsiTheme="minorHAnsi" w:cstheme="minorHAnsi"/>
          <w:color w:val="000000"/>
          <w:sz w:val="21"/>
          <w:szCs w:val="21"/>
        </w:rPr>
        <w:lastRenderedPageBreak/>
        <w:t xml:space="preserve">This </w:t>
      </w:r>
      <w:r w:rsidR="00CC67CD" w:rsidRPr="006424A1">
        <w:rPr>
          <w:rFonts w:asciiTheme="minorHAnsi" w:hAnsiTheme="minorHAnsi" w:cstheme="minorHAnsi"/>
          <w:color w:val="000000"/>
          <w:sz w:val="21"/>
          <w:szCs w:val="21"/>
        </w:rPr>
        <w:t>shelf-life</w:t>
      </w:r>
      <w:r w:rsidRPr="006424A1">
        <w:rPr>
          <w:rFonts w:asciiTheme="minorHAnsi" w:hAnsiTheme="minorHAnsi" w:cstheme="minorHAnsi"/>
          <w:color w:val="000000"/>
          <w:sz w:val="21"/>
          <w:szCs w:val="21"/>
        </w:rPr>
        <w:t xml:space="preserve"> extension </w:t>
      </w:r>
      <w:r w:rsidRPr="00CC67CD">
        <w:rPr>
          <w:rFonts w:asciiTheme="minorHAnsi" w:hAnsiTheme="minorHAnsi" w:cstheme="minorHAnsi"/>
          <w:color w:val="FF0000"/>
          <w:sz w:val="21"/>
          <w:szCs w:val="21"/>
        </w:rPr>
        <w:t>applies to all </w:t>
      </w:r>
      <w:r w:rsidR="00CC67CD" w:rsidRPr="00CC67CD">
        <w:rPr>
          <w:rFonts w:asciiTheme="minorHAnsi" w:hAnsiTheme="minorHAnsi" w:cstheme="minorHAnsi"/>
          <w:color w:val="FF0000"/>
          <w:sz w:val="21"/>
          <w:szCs w:val="21"/>
        </w:rPr>
        <w:t>inventory dated to expire on March 7, 2022 or later</w:t>
      </w:r>
      <w:r w:rsidR="00CC67CD">
        <w:rPr>
          <w:rFonts w:asciiTheme="minorHAnsi" w:hAnsiTheme="minorHAnsi" w:cstheme="minorHAnsi"/>
          <w:color w:val="000000"/>
          <w:sz w:val="21"/>
          <w:szCs w:val="21"/>
        </w:rPr>
        <w:t>.</w:t>
      </w:r>
      <w:r w:rsidRPr="006424A1">
        <w:rPr>
          <w:rFonts w:asciiTheme="minorHAnsi" w:hAnsiTheme="minorHAnsi" w:cstheme="minorHAnsi"/>
          <w:color w:val="000000"/>
          <w:sz w:val="21"/>
          <w:szCs w:val="21"/>
        </w:rPr>
        <w:t xml:space="preserve"> Vaccine dated prior to March 7, 2022 should be disposed of</w:t>
      </w:r>
      <w:r w:rsidR="00CC67CD">
        <w:rPr>
          <w:rFonts w:asciiTheme="minorHAnsi" w:hAnsiTheme="minorHAnsi" w:cstheme="minorHAnsi"/>
          <w:color w:val="000000"/>
          <w:sz w:val="21"/>
          <w:szCs w:val="21"/>
        </w:rPr>
        <w:t>.</w:t>
      </w:r>
      <w:r w:rsidRPr="006424A1">
        <w:rPr>
          <w:rFonts w:asciiTheme="minorHAnsi" w:hAnsiTheme="minorHAnsi" w:cstheme="minorHAnsi"/>
          <w:color w:val="000000"/>
          <w:sz w:val="21"/>
          <w:szCs w:val="21"/>
        </w:rPr>
        <w:t xml:space="preserve"> </w:t>
      </w:r>
    </w:p>
    <w:p w14:paraId="0F4460DA" w14:textId="41EB8C74" w:rsidR="00CC67CD" w:rsidRDefault="006424A1" w:rsidP="005C29CE">
      <w:pPr>
        <w:pStyle w:val="NormalWeb"/>
        <w:numPr>
          <w:ilvl w:val="0"/>
          <w:numId w:val="27"/>
        </w:numPr>
        <w:shd w:val="clear" w:color="auto" w:fill="FFFFFF"/>
        <w:rPr>
          <w:rFonts w:asciiTheme="minorHAnsi" w:hAnsiTheme="minorHAnsi" w:cstheme="minorHAnsi"/>
          <w:color w:val="000000"/>
          <w:sz w:val="21"/>
          <w:szCs w:val="21"/>
        </w:rPr>
      </w:pPr>
      <w:r w:rsidRPr="00CC67CD">
        <w:rPr>
          <w:rFonts w:asciiTheme="minorHAnsi" w:hAnsiTheme="minorHAnsi" w:cstheme="minorHAnsi"/>
          <w:color w:val="000000"/>
          <w:sz w:val="21"/>
          <w:szCs w:val="21"/>
        </w:rPr>
        <w:t>Vaccine providers should visit the </w:t>
      </w:r>
      <w:hyperlink r:id="rId9" w:tgtFrame="_blank" w:tooltip="https://vaxcheck.jnj/" w:history="1">
        <w:r w:rsidRPr="00CC67CD">
          <w:rPr>
            <w:rStyle w:val="Hyperlink"/>
            <w:rFonts w:asciiTheme="minorHAnsi" w:hAnsiTheme="minorHAnsi" w:cstheme="minorHAnsi"/>
            <w:sz w:val="21"/>
            <w:szCs w:val="21"/>
          </w:rPr>
          <w:t>Janssen COVID-19 Vaccine Expiry Checker</w:t>
        </w:r>
      </w:hyperlink>
      <w:r w:rsidRPr="00CC67CD">
        <w:rPr>
          <w:rFonts w:asciiTheme="minorHAnsi" w:hAnsiTheme="minorHAnsi" w:cstheme="minorHAnsi"/>
          <w:color w:val="000000"/>
          <w:sz w:val="21"/>
          <w:szCs w:val="21"/>
        </w:rPr>
        <w:t xml:space="preserve"> webpage to confirm the expiration dates. </w:t>
      </w:r>
    </w:p>
    <w:p w14:paraId="2702CF42" w14:textId="6A9EAAEA" w:rsidR="005C29CE" w:rsidRDefault="005C29CE" w:rsidP="005C29CE">
      <w:pPr>
        <w:pStyle w:val="NormalWeb"/>
        <w:numPr>
          <w:ilvl w:val="0"/>
          <w:numId w:val="27"/>
        </w:numPr>
        <w:shd w:val="clear" w:color="auto" w:fill="FFFFFF"/>
        <w:rPr>
          <w:rFonts w:asciiTheme="minorHAnsi" w:hAnsiTheme="minorHAnsi" w:cstheme="minorHAnsi"/>
          <w:color w:val="000000"/>
          <w:sz w:val="21"/>
          <w:szCs w:val="21"/>
        </w:rPr>
      </w:pPr>
      <w:r w:rsidRPr="008D6C43">
        <w:rPr>
          <w:rFonts w:asciiTheme="minorHAnsi" w:hAnsiTheme="minorHAnsi" w:cstheme="minorHAnsi"/>
          <w:color w:val="000000"/>
          <w:sz w:val="21"/>
          <w:szCs w:val="21"/>
        </w:rPr>
        <w:t xml:space="preserve">J&amp;J/Janssen COVID-19 vaccine </w:t>
      </w:r>
      <w:r>
        <w:rPr>
          <w:rFonts w:asciiTheme="minorHAnsi" w:hAnsiTheme="minorHAnsi" w:cstheme="minorHAnsi"/>
          <w:color w:val="000000"/>
          <w:sz w:val="21"/>
          <w:szCs w:val="21"/>
        </w:rPr>
        <w:t>expiration dates will be update</w:t>
      </w:r>
      <w:r w:rsidR="00482025">
        <w:rPr>
          <w:rFonts w:asciiTheme="minorHAnsi" w:hAnsiTheme="minorHAnsi" w:cstheme="minorHAnsi"/>
          <w:color w:val="000000"/>
          <w:sz w:val="21"/>
          <w:szCs w:val="21"/>
        </w:rPr>
        <w:t>d</w:t>
      </w:r>
      <w:r>
        <w:rPr>
          <w:rFonts w:asciiTheme="minorHAnsi" w:hAnsiTheme="minorHAnsi" w:cstheme="minorHAnsi"/>
          <w:color w:val="000000"/>
          <w:sz w:val="21"/>
          <w:szCs w:val="21"/>
        </w:rPr>
        <w:t xml:space="preserve"> in the MIIS by 3/11</w:t>
      </w:r>
      <w:r w:rsidR="00E86C8D">
        <w:rPr>
          <w:rFonts w:asciiTheme="minorHAnsi" w:hAnsiTheme="minorHAnsi" w:cstheme="minorHAnsi"/>
          <w:color w:val="000000"/>
          <w:sz w:val="21"/>
          <w:szCs w:val="21"/>
        </w:rPr>
        <w:t>.</w:t>
      </w:r>
    </w:p>
    <w:p w14:paraId="620BE5FA" w14:textId="3F2FC76F" w:rsidR="006424A1" w:rsidRPr="005C29CE" w:rsidRDefault="006424A1" w:rsidP="005C29CE">
      <w:pPr>
        <w:pStyle w:val="NormalWeb"/>
        <w:numPr>
          <w:ilvl w:val="0"/>
          <w:numId w:val="27"/>
        </w:numPr>
        <w:shd w:val="clear" w:color="auto" w:fill="FFFFFF"/>
        <w:rPr>
          <w:rFonts w:asciiTheme="minorHAnsi" w:hAnsiTheme="minorHAnsi" w:cstheme="minorHAnsi"/>
          <w:color w:val="000000"/>
          <w:sz w:val="21"/>
          <w:szCs w:val="21"/>
        </w:rPr>
      </w:pPr>
      <w:r w:rsidRPr="005C29CE">
        <w:rPr>
          <w:rFonts w:asciiTheme="minorHAnsi" w:hAnsiTheme="minorHAnsi" w:cstheme="minorHAnsi"/>
          <w:color w:val="000000"/>
          <w:sz w:val="21"/>
          <w:szCs w:val="21"/>
        </w:rPr>
        <w:t xml:space="preserve">This </w:t>
      </w:r>
      <w:r w:rsidR="00CC67CD" w:rsidRPr="005C29CE">
        <w:rPr>
          <w:rFonts w:asciiTheme="minorHAnsi" w:hAnsiTheme="minorHAnsi" w:cstheme="minorHAnsi"/>
          <w:color w:val="000000"/>
          <w:sz w:val="21"/>
          <w:szCs w:val="21"/>
        </w:rPr>
        <w:t>shelf-life</w:t>
      </w:r>
      <w:r w:rsidRPr="005C29CE">
        <w:rPr>
          <w:rFonts w:asciiTheme="minorHAnsi" w:hAnsiTheme="minorHAnsi" w:cstheme="minorHAnsi"/>
          <w:color w:val="000000"/>
          <w:sz w:val="21"/>
          <w:szCs w:val="21"/>
        </w:rPr>
        <w:t xml:space="preserve"> extension applies to refrigerated vials of J&amp;J/Janssen COVID-19 vaccine that have been held in accordance with the manufacturer’s storage conditions.</w:t>
      </w:r>
    </w:p>
    <w:bookmarkEnd w:id="3"/>
    <w:p w14:paraId="763C7A6F" w14:textId="2405253B" w:rsidR="003A7E04" w:rsidRPr="006424A1" w:rsidRDefault="006424A1" w:rsidP="006424A1">
      <w:pPr>
        <w:pStyle w:val="NormalWeb"/>
        <w:shd w:val="clear" w:color="auto" w:fill="FFFFFF"/>
        <w:rPr>
          <w:rFonts w:asciiTheme="minorHAnsi" w:hAnsiTheme="minorHAnsi" w:cstheme="minorHAnsi"/>
          <w:sz w:val="21"/>
          <w:szCs w:val="21"/>
        </w:rPr>
      </w:pPr>
      <w:r w:rsidRPr="006424A1">
        <w:rPr>
          <w:rFonts w:asciiTheme="minorHAnsi" w:hAnsiTheme="minorHAnsi" w:cstheme="minorHAnsi"/>
          <w:color w:val="000000"/>
          <w:sz w:val="21"/>
          <w:szCs w:val="21"/>
        </w:rPr>
        <w:t>COVID-19 vaccines that are authorized under an EUA do not have fixed expiration dates, and expiration dates may be extended as we get more stability data.  Always check the manufacturer’s website to obtain the most up-to-date expiration dates for the COVID-19 vaccines you have on hand.</w:t>
      </w:r>
    </w:p>
    <w:bookmarkEnd w:id="2"/>
    <w:p w14:paraId="2B5C372B" w14:textId="0BBD3F92" w:rsidR="003A7E04" w:rsidRDefault="003A7E04"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COVID-19 vaccine formulations currently approved or authorized in the United States</w:t>
      </w:r>
    </w:p>
    <w:p w14:paraId="0652935B" w14:textId="055605DE" w:rsidR="003A7E04" w:rsidRDefault="003A7E04" w:rsidP="003A7E04">
      <w:pPr>
        <w:shd w:val="clear" w:color="auto" w:fill="FFFFFF"/>
        <w:rPr>
          <w:rFonts w:asciiTheme="minorHAnsi" w:hAnsiTheme="minorHAnsi" w:cstheme="minorHAnsi"/>
          <w:b/>
          <w:bCs/>
          <w:color w:val="FF0000"/>
          <w:sz w:val="21"/>
          <w:szCs w:val="21"/>
        </w:rPr>
      </w:pPr>
      <w:r>
        <w:rPr>
          <w:noProof/>
        </w:rPr>
        <w:drawing>
          <wp:inline distT="0" distB="0" distL="0" distR="0" wp14:anchorId="781346CF" wp14:editId="165DAF8A">
            <wp:extent cx="6858000" cy="2224405"/>
            <wp:effectExtent l="0" t="0" r="0" b="444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0"/>
                    <a:stretch>
                      <a:fillRect/>
                    </a:stretch>
                  </pic:blipFill>
                  <pic:spPr>
                    <a:xfrm>
                      <a:off x="0" y="0"/>
                      <a:ext cx="6858000" cy="2224405"/>
                    </a:xfrm>
                    <a:prstGeom prst="rect">
                      <a:avLst/>
                    </a:prstGeom>
                  </pic:spPr>
                </pic:pic>
              </a:graphicData>
            </a:graphic>
          </wp:inline>
        </w:drawing>
      </w:r>
    </w:p>
    <w:p w14:paraId="3E2156C9" w14:textId="77777777" w:rsidR="00E23C57" w:rsidRDefault="00E23C57" w:rsidP="008F6A51">
      <w:pPr>
        <w:shd w:val="clear" w:color="auto" w:fill="FFFFFF"/>
        <w:rPr>
          <w:rFonts w:asciiTheme="minorHAnsi" w:hAnsiTheme="minorHAnsi" w:cstheme="minorHAnsi"/>
          <w:b/>
          <w:bCs/>
          <w:color w:val="FF0000"/>
          <w:sz w:val="21"/>
          <w:szCs w:val="21"/>
        </w:rPr>
      </w:pPr>
    </w:p>
    <w:p w14:paraId="7ABA6343" w14:textId="629933C7" w:rsidR="008F6A51" w:rsidRPr="00086E15" w:rsidRDefault="007C1160" w:rsidP="008F6A51">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8F6A51" w:rsidRPr="00086E15">
        <w:rPr>
          <w:rFonts w:asciiTheme="minorHAnsi" w:hAnsiTheme="minorHAnsi" w:cstheme="minorHAnsi"/>
          <w:b/>
          <w:bCs/>
          <w:color w:val="FF0000"/>
          <w:sz w:val="21"/>
          <w:szCs w:val="21"/>
        </w:rPr>
        <w:t xml:space="preserve"> </w:t>
      </w:r>
      <w:r w:rsidR="008F6A51" w:rsidRPr="00086E15">
        <w:rPr>
          <w:rFonts w:asciiTheme="minorHAnsi" w:hAnsiTheme="minorHAnsi" w:cstheme="minorHAnsi"/>
          <w:b/>
          <w:bCs/>
          <w:sz w:val="21"/>
          <w:szCs w:val="21"/>
        </w:rPr>
        <w:t>The Interim Clinical Considerations were updated Tuesday February 22</w:t>
      </w:r>
    </w:p>
    <w:p w14:paraId="5B7F0271" w14:textId="44418E36"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CDC updated its Clinical Considerations and </w:t>
      </w:r>
      <w:r w:rsidRPr="00086E15">
        <w:rPr>
          <w:rFonts w:asciiTheme="minorHAnsi" w:hAnsiTheme="minorHAnsi" w:cstheme="minorHAnsi"/>
          <w:b/>
          <w:bCs/>
          <w:color w:val="FF0000"/>
          <w:sz w:val="21"/>
          <w:szCs w:val="21"/>
        </w:rPr>
        <w:t>added considerations for an 8-</w:t>
      </w:r>
      <w:r w:rsidRPr="00E86C8D">
        <w:rPr>
          <w:rFonts w:asciiTheme="minorHAnsi" w:hAnsiTheme="minorHAnsi" w:cstheme="minorHAnsi"/>
          <w:b/>
          <w:bCs/>
          <w:color w:val="FF0000"/>
          <w:sz w:val="21"/>
          <w:szCs w:val="21"/>
        </w:rPr>
        <w:t xml:space="preserve">week interval between </w:t>
      </w:r>
      <w:r w:rsidRPr="00086E15">
        <w:rPr>
          <w:rFonts w:asciiTheme="minorHAnsi" w:hAnsiTheme="minorHAnsi" w:cstheme="minorHAnsi"/>
          <w:b/>
          <w:bCs/>
          <w:color w:val="FF0000"/>
          <w:sz w:val="21"/>
          <w:szCs w:val="21"/>
        </w:rPr>
        <w:t>the first and second doses of a primary mRNA vaccine schedule</w:t>
      </w:r>
      <w:r w:rsidRPr="00086E15">
        <w:rPr>
          <w:rFonts w:asciiTheme="minorHAnsi" w:hAnsiTheme="minorHAnsi" w:cstheme="minorHAnsi"/>
          <w:sz w:val="21"/>
          <w:szCs w:val="21"/>
        </w:rPr>
        <w:t>.</w:t>
      </w:r>
    </w:p>
    <w:p w14:paraId="328D81B1" w14:textId="77777777" w:rsidR="008F6A51" w:rsidRPr="00086E15" w:rsidRDefault="008F6A51" w:rsidP="008F6A51">
      <w:pPr>
        <w:shd w:val="clear" w:color="auto" w:fill="FFFFFF"/>
        <w:rPr>
          <w:rFonts w:asciiTheme="minorHAnsi" w:hAnsiTheme="minorHAnsi" w:cstheme="minorHAnsi"/>
          <w:sz w:val="21"/>
          <w:szCs w:val="21"/>
        </w:rPr>
      </w:pPr>
    </w:p>
    <w:p w14:paraId="79B53891" w14:textId="04AE40AD" w:rsidR="008F6A51" w:rsidRPr="00086E15" w:rsidRDefault="008F6A51" w:rsidP="008F6A51">
      <w:pPr>
        <w:shd w:val="clear" w:color="auto" w:fill="FFFFFF"/>
        <w:rPr>
          <w:rFonts w:asciiTheme="minorHAnsi" w:hAnsiTheme="minorHAnsi" w:cstheme="minorHAnsi"/>
          <w:b/>
          <w:bCs/>
          <w:sz w:val="21"/>
          <w:szCs w:val="21"/>
        </w:rPr>
      </w:pPr>
      <w:r w:rsidRPr="00086E15">
        <w:rPr>
          <w:rFonts w:asciiTheme="minorHAnsi" w:hAnsiTheme="minorHAnsi" w:cstheme="minorHAnsi"/>
          <w:sz w:val="21"/>
          <w:szCs w:val="21"/>
        </w:rPr>
        <w:t xml:space="preserve">This updated guidance is specific to the mRNA (Pfizer or Moderna) COVID-19 vaccine primary series and is </w:t>
      </w:r>
      <w:r w:rsidRPr="00086E15">
        <w:rPr>
          <w:rFonts w:asciiTheme="minorHAnsi" w:hAnsiTheme="minorHAnsi" w:cstheme="minorHAnsi"/>
          <w:b/>
          <w:bCs/>
          <w:sz w:val="21"/>
          <w:szCs w:val="21"/>
        </w:rPr>
        <w:t xml:space="preserve">only for some patients who are not yet vaccinated. </w:t>
      </w:r>
    </w:p>
    <w:p w14:paraId="384807A4" w14:textId="77777777" w:rsidR="008F6A51" w:rsidRPr="00086E15" w:rsidRDefault="008F6A51" w:rsidP="008F6A51">
      <w:pPr>
        <w:pStyle w:val="ListParagraph"/>
        <w:numPr>
          <w:ilvl w:val="0"/>
          <w:numId w:val="5"/>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Specifically, </w:t>
      </w:r>
      <w:r w:rsidRPr="00086E15">
        <w:rPr>
          <w:rFonts w:asciiTheme="minorHAnsi" w:hAnsiTheme="minorHAnsi" w:cstheme="minorHAnsi"/>
          <w:b/>
          <w:bCs/>
          <w:sz w:val="21"/>
          <w:szCs w:val="21"/>
        </w:rPr>
        <w:t>people ages 12 through 64 years who are not moderately or severely immunocompromised—and particularly males ages 12 through 39 years</w:t>
      </w:r>
      <w:r w:rsidRPr="00086E15">
        <w:rPr>
          <w:rFonts w:asciiTheme="minorHAnsi" w:hAnsiTheme="minorHAnsi" w:cstheme="minorHAnsi"/>
          <w:sz w:val="21"/>
          <w:szCs w:val="21"/>
        </w:rPr>
        <w:t xml:space="preserve">—may benefit from getting their second mRNA vaccine dose 8 weeks after their first dose, instead of after the 3-week (Pfizer) or 4-week (Moderna) interval. The potential benefits of this extended interval are two-fold: </w:t>
      </w:r>
    </w:p>
    <w:p w14:paraId="3E59E6E2" w14:textId="77777777" w:rsidR="008F6A51" w:rsidRPr="00086E15" w:rsidRDefault="008F6A51" w:rsidP="008F6A51">
      <w:pPr>
        <w:pStyle w:val="ListParagraph"/>
        <w:numPr>
          <w:ilvl w:val="0"/>
          <w:numId w:val="21"/>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Stronger immune response—Data show that a longer interval between the first and second doses may give the body a chance to build a stronger immune response, increasing the effectiveness of these vaccines. </w:t>
      </w:r>
    </w:p>
    <w:p w14:paraId="19FB50CF" w14:textId="77777777" w:rsidR="008F6A51" w:rsidRPr="00086E15" w:rsidRDefault="008F6A51" w:rsidP="008F6A51">
      <w:pPr>
        <w:pStyle w:val="ListParagraph"/>
        <w:numPr>
          <w:ilvl w:val="0"/>
          <w:numId w:val="21"/>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Further minimization of the already rare risk of adverse events—New studies have shown the small risk of myocarditis and pericarditis associated with mRNA vaccination—mostly among males between the ages of 12 and 39 years—might be reduced with a longer interval. </w:t>
      </w:r>
    </w:p>
    <w:p w14:paraId="5957CD78" w14:textId="77777777" w:rsidR="008F6A51" w:rsidRPr="00086E15" w:rsidRDefault="008F6A51" w:rsidP="008F6A51">
      <w:pPr>
        <w:numPr>
          <w:ilvl w:val="1"/>
          <w:numId w:val="20"/>
        </w:numPr>
        <w:shd w:val="clear" w:color="auto" w:fill="FFFFFF"/>
        <w:rPr>
          <w:rFonts w:asciiTheme="minorHAnsi" w:hAnsiTheme="minorHAnsi" w:cstheme="minorHAnsi"/>
          <w:sz w:val="21"/>
          <w:szCs w:val="21"/>
        </w:rPr>
      </w:pPr>
    </w:p>
    <w:p w14:paraId="18725E3F" w14:textId="77777777" w:rsidR="008F6A51" w:rsidRPr="00086E15" w:rsidRDefault="008F6A51" w:rsidP="008F6A51">
      <w:pPr>
        <w:pStyle w:val="ListParagraph"/>
        <w:numPr>
          <w:ilvl w:val="0"/>
          <w:numId w:val="5"/>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It’s important to note that patients who meet these criteria and have already received their primary mRNA series at the 3-week (Pfizer) or 4-week (Moderna) interval remain well-protected—especially if they have received a booster dose—and </w:t>
      </w:r>
      <w:r w:rsidRPr="00086E15">
        <w:rPr>
          <w:rFonts w:asciiTheme="minorHAnsi" w:hAnsiTheme="minorHAnsi" w:cstheme="minorHAnsi"/>
          <w:b/>
          <w:bCs/>
          <w:sz w:val="21"/>
          <w:szCs w:val="21"/>
        </w:rPr>
        <w:t>do not need to repeat any doses</w:t>
      </w:r>
      <w:r w:rsidRPr="00086E15">
        <w:rPr>
          <w:rFonts w:asciiTheme="minorHAnsi" w:hAnsiTheme="minorHAnsi" w:cstheme="minorHAnsi"/>
          <w:sz w:val="21"/>
          <w:szCs w:val="21"/>
        </w:rPr>
        <w:t xml:space="preserve">. </w:t>
      </w:r>
    </w:p>
    <w:p w14:paraId="2C220D88" w14:textId="44BC1412" w:rsidR="002B784F" w:rsidRDefault="008F6A51" w:rsidP="008F6A51">
      <w:pPr>
        <w:pStyle w:val="ListParagraph"/>
        <w:numPr>
          <w:ilvl w:val="0"/>
          <w:numId w:val="5"/>
        </w:numPr>
        <w:shd w:val="clear" w:color="auto" w:fill="FFFFFF"/>
        <w:rPr>
          <w:rFonts w:asciiTheme="minorHAnsi" w:hAnsiTheme="minorHAnsi" w:cstheme="minorHAnsi"/>
          <w:b/>
          <w:bCs/>
          <w:sz w:val="21"/>
          <w:szCs w:val="21"/>
        </w:rPr>
      </w:pPr>
      <w:r w:rsidRPr="00086E15">
        <w:rPr>
          <w:rFonts w:asciiTheme="minorHAnsi" w:hAnsiTheme="minorHAnsi" w:cstheme="minorHAnsi"/>
          <w:sz w:val="21"/>
          <w:szCs w:val="21"/>
        </w:rPr>
        <w:t xml:space="preserve">The extended interval is not recommended for all people ages 12 through 64 years, and there are situations where providers should continue to recommend the 3-week (Pfizer) or 4-week (Moderna) intervals between primary doses. These include when there is concern about high levels of community transmission, and among people who are moderately or severely immunocompromised. In addition, </w:t>
      </w:r>
      <w:r w:rsidRPr="00086E15">
        <w:rPr>
          <w:rFonts w:asciiTheme="minorHAnsi" w:hAnsiTheme="minorHAnsi" w:cstheme="minorHAnsi"/>
          <w:b/>
          <w:bCs/>
          <w:sz w:val="21"/>
          <w:szCs w:val="21"/>
        </w:rPr>
        <w:t xml:space="preserve">the extended interval is not recommended for anyone ages 65 years or older. </w:t>
      </w:r>
    </w:p>
    <w:p w14:paraId="7E5AC463" w14:textId="015F51A3" w:rsidR="007651EC" w:rsidRDefault="007651EC" w:rsidP="007651EC">
      <w:pPr>
        <w:pStyle w:val="ListParagraph"/>
        <w:shd w:val="clear" w:color="auto" w:fill="FFFFFF"/>
        <w:rPr>
          <w:rFonts w:asciiTheme="minorHAnsi" w:hAnsiTheme="minorHAnsi" w:cstheme="minorHAnsi"/>
          <w:b/>
          <w:bCs/>
          <w:sz w:val="21"/>
          <w:szCs w:val="21"/>
        </w:rPr>
      </w:pPr>
    </w:p>
    <w:p w14:paraId="40CB7BDC" w14:textId="26818404" w:rsidR="007651EC" w:rsidRDefault="007651EC" w:rsidP="007651EC">
      <w:pPr>
        <w:pStyle w:val="ListParagraph"/>
        <w:shd w:val="clear" w:color="auto" w:fill="FFFFFF"/>
        <w:rPr>
          <w:rFonts w:asciiTheme="minorHAnsi" w:hAnsiTheme="minorHAnsi" w:cstheme="minorHAnsi"/>
          <w:b/>
          <w:bCs/>
          <w:sz w:val="21"/>
          <w:szCs w:val="21"/>
        </w:rPr>
      </w:pPr>
    </w:p>
    <w:p w14:paraId="42AE0B7F" w14:textId="62971F2D" w:rsidR="008F6A51" w:rsidRPr="005001E7" w:rsidRDefault="002540A6" w:rsidP="008F6A5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8F6A51">
        <w:rPr>
          <w:rFonts w:asciiTheme="minorHAnsi" w:hAnsiTheme="minorHAnsi" w:cstheme="minorHAnsi"/>
          <w:b/>
          <w:bCs/>
          <w:sz w:val="21"/>
          <w:szCs w:val="21"/>
        </w:rPr>
        <w:t xml:space="preserve"> </w:t>
      </w:r>
      <w:r w:rsidR="008F6A51" w:rsidRPr="00540804">
        <w:rPr>
          <w:rFonts w:asciiTheme="minorHAnsi" w:hAnsiTheme="minorHAnsi" w:cstheme="minorHAnsi"/>
          <w:b/>
          <w:bCs/>
          <w:sz w:val="21"/>
          <w:szCs w:val="21"/>
        </w:rPr>
        <w:t>COVID-19 vaccination schedule for the primary series in the general population</w:t>
      </w:r>
    </w:p>
    <w:p w14:paraId="72E85EED" w14:textId="200A7E19" w:rsidR="002B784F" w:rsidRPr="00AE03CF" w:rsidRDefault="008F6A51" w:rsidP="00541BF3">
      <w:pPr>
        <w:shd w:val="clear" w:color="auto" w:fill="FFFFFF"/>
        <w:rPr>
          <w:rFonts w:asciiTheme="minorHAnsi" w:hAnsiTheme="minorHAnsi" w:cstheme="minorHAnsi"/>
          <w:sz w:val="21"/>
          <w:szCs w:val="21"/>
        </w:rPr>
      </w:pPr>
      <w:r w:rsidRPr="00F4621B">
        <w:rPr>
          <w:noProof/>
        </w:rPr>
        <w:drawing>
          <wp:inline distT="0" distB="0" distL="0" distR="0" wp14:anchorId="3E68AEB3" wp14:editId="5102E869">
            <wp:extent cx="6858000" cy="3251835"/>
            <wp:effectExtent l="0" t="0" r="0" b="5715"/>
            <wp:docPr id="7" name="Picture 7"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with low confidence"/>
                    <pic:cNvPicPr/>
                  </pic:nvPicPr>
                  <pic:blipFill>
                    <a:blip r:embed="rId11"/>
                    <a:stretch>
                      <a:fillRect/>
                    </a:stretch>
                  </pic:blipFill>
                  <pic:spPr>
                    <a:xfrm>
                      <a:off x="0" y="0"/>
                      <a:ext cx="6858000" cy="3251835"/>
                    </a:xfrm>
                    <a:prstGeom prst="rect">
                      <a:avLst/>
                    </a:prstGeom>
                  </pic:spPr>
                </pic:pic>
              </a:graphicData>
            </a:graphic>
          </wp:inline>
        </w:drawing>
      </w:r>
    </w:p>
    <w:p w14:paraId="506385F3" w14:textId="77777777" w:rsidR="00AE03CF" w:rsidRDefault="00AE03CF" w:rsidP="00541BF3">
      <w:pPr>
        <w:shd w:val="clear" w:color="auto" w:fill="FFFFFF"/>
        <w:rPr>
          <w:rFonts w:asciiTheme="minorHAnsi" w:hAnsiTheme="minorHAnsi" w:cstheme="minorHAnsi"/>
          <w:b/>
          <w:bCs/>
          <w:color w:val="FF0000"/>
          <w:sz w:val="21"/>
          <w:szCs w:val="21"/>
        </w:rPr>
      </w:pPr>
    </w:p>
    <w:p w14:paraId="2B3210CE" w14:textId="66DB6468" w:rsidR="002540A6" w:rsidRDefault="002540A6" w:rsidP="00541BF3">
      <w:pPr>
        <w:shd w:val="clear" w:color="auto" w:fill="FFFFFF"/>
        <w:rPr>
          <w:rFonts w:asciiTheme="minorHAnsi" w:hAnsiTheme="minorHAnsi" w:cstheme="minorHAnsi"/>
          <w:sz w:val="21"/>
          <w:szCs w:val="21"/>
        </w:rPr>
      </w:pPr>
      <w:bookmarkStart w:id="4" w:name="_Hlk97545584"/>
      <w:r>
        <w:rPr>
          <w:rFonts w:asciiTheme="minorHAnsi" w:hAnsiTheme="minorHAnsi" w:cstheme="minorHAnsi"/>
          <w:b/>
          <w:bCs/>
          <w:color w:val="FF0000"/>
          <w:sz w:val="21"/>
          <w:szCs w:val="21"/>
        </w:rPr>
        <w:t xml:space="preserve">New Graphic </w:t>
      </w:r>
      <w:r w:rsidRPr="002540A6">
        <w:rPr>
          <w:rFonts w:asciiTheme="minorHAnsi" w:hAnsiTheme="minorHAnsi" w:cstheme="minorHAnsi"/>
          <w:b/>
          <w:bCs/>
          <w:sz w:val="21"/>
          <w:szCs w:val="21"/>
        </w:rPr>
        <w:t>Primary Series</w:t>
      </w:r>
      <w:r>
        <w:rPr>
          <w:rFonts w:asciiTheme="minorHAnsi" w:hAnsiTheme="minorHAnsi" w:cstheme="minorHAnsi"/>
          <w:b/>
          <w:bCs/>
          <w:sz w:val="21"/>
          <w:szCs w:val="21"/>
        </w:rPr>
        <w:t xml:space="preserve"> </w:t>
      </w:r>
      <w:r w:rsidRPr="002540A6">
        <w:rPr>
          <w:rFonts w:asciiTheme="minorHAnsi" w:hAnsiTheme="minorHAnsi" w:cstheme="minorHAnsi"/>
          <w:sz w:val="21"/>
          <w:szCs w:val="21"/>
        </w:rPr>
        <w:t xml:space="preserve">(for people who are </w:t>
      </w:r>
      <w:r w:rsidRPr="002540A6">
        <w:rPr>
          <w:rFonts w:asciiTheme="minorHAnsi" w:hAnsiTheme="minorHAnsi" w:cstheme="minorHAnsi"/>
          <w:color w:val="FF0000"/>
          <w:sz w:val="21"/>
          <w:szCs w:val="21"/>
        </w:rPr>
        <w:t>NOT</w:t>
      </w:r>
      <w:r w:rsidRPr="002540A6">
        <w:rPr>
          <w:rFonts w:asciiTheme="minorHAnsi" w:hAnsiTheme="minorHAnsi" w:cstheme="minorHAnsi"/>
          <w:sz w:val="21"/>
          <w:szCs w:val="21"/>
        </w:rPr>
        <w:t xml:space="preserve"> immunocompromised)</w:t>
      </w:r>
    </w:p>
    <w:p w14:paraId="4190BC78" w14:textId="77777777" w:rsidR="002540A6" w:rsidRDefault="002540A6" w:rsidP="00541BF3">
      <w:pPr>
        <w:shd w:val="clear" w:color="auto" w:fill="FFFFFF"/>
        <w:rPr>
          <w:rFonts w:asciiTheme="minorHAnsi" w:hAnsiTheme="minorHAnsi" w:cstheme="minorHAnsi"/>
          <w:b/>
          <w:bCs/>
          <w:color w:val="FF0000"/>
          <w:sz w:val="21"/>
          <w:szCs w:val="21"/>
        </w:rPr>
      </w:pPr>
    </w:p>
    <w:p w14:paraId="1588F7BB" w14:textId="3A1C4D67" w:rsidR="002540A6" w:rsidRDefault="002540A6" w:rsidP="00541BF3">
      <w:pPr>
        <w:shd w:val="clear" w:color="auto" w:fill="FFFFFF"/>
        <w:rPr>
          <w:rFonts w:asciiTheme="minorHAnsi" w:hAnsiTheme="minorHAnsi" w:cstheme="minorHAnsi"/>
          <w:b/>
          <w:bCs/>
          <w:color w:val="FF0000"/>
          <w:sz w:val="21"/>
          <w:szCs w:val="21"/>
        </w:rPr>
      </w:pPr>
      <w:r>
        <w:rPr>
          <w:noProof/>
        </w:rPr>
        <w:drawing>
          <wp:inline distT="0" distB="0" distL="0" distR="0" wp14:anchorId="6AD22DA6" wp14:editId="43D18D96">
            <wp:extent cx="6858000" cy="2010410"/>
            <wp:effectExtent l="0" t="0" r="0" b="889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12"/>
                    <a:stretch>
                      <a:fillRect/>
                    </a:stretch>
                  </pic:blipFill>
                  <pic:spPr>
                    <a:xfrm>
                      <a:off x="0" y="0"/>
                      <a:ext cx="6858000" cy="2010410"/>
                    </a:xfrm>
                    <a:prstGeom prst="rect">
                      <a:avLst/>
                    </a:prstGeom>
                  </pic:spPr>
                </pic:pic>
              </a:graphicData>
            </a:graphic>
          </wp:inline>
        </w:drawing>
      </w:r>
    </w:p>
    <w:bookmarkEnd w:id="4"/>
    <w:p w14:paraId="1B97604B" w14:textId="77777777" w:rsidR="00A37041" w:rsidRDefault="00A37041" w:rsidP="007112F8">
      <w:pPr>
        <w:shd w:val="clear" w:color="auto" w:fill="FFFFFF"/>
        <w:rPr>
          <w:rFonts w:asciiTheme="minorHAnsi" w:hAnsiTheme="minorHAnsi" w:cstheme="minorHAnsi"/>
          <w:b/>
          <w:bCs/>
          <w:sz w:val="21"/>
          <w:szCs w:val="21"/>
        </w:rPr>
      </w:pPr>
    </w:p>
    <w:p w14:paraId="5417F33E" w14:textId="28CF8CF2" w:rsidR="00A37041" w:rsidRDefault="00A37041" w:rsidP="007112F8">
      <w:pPr>
        <w:shd w:val="clear" w:color="auto" w:fill="FFFFFF"/>
        <w:rPr>
          <w:rFonts w:asciiTheme="minorHAnsi" w:hAnsiTheme="minorHAnsi" w:cstheme="minorHAnsi"/>
          <w:b/>
          <w:bCs/>
          <w:sz w:val="21"/>
          <w:szCs w:val="21"/>
        </w:rPr>
      </w:pPr>
    </w:p>
    <w:p w14:paraId="3D5EECC1" w14:textId="77777777" w:rsidR="00A37041" w:rsidRDefault="00A37041" w:rsidP="007112F8">
      <w:pPr>
        <w:shd w:val="clear" w:color="auto" w:fill="FFFFFF"/>
        <w:rPr>
          <w:rFonts w:asciiTheme="minorHAnsi" w:hAnsiTheme="minorHAnsi" w:cstheme="minorHAnsi"/>
          <w:b/>
          <w:bCs/>
          <w:sz w:val="21"/>
          <w:szCs w:val="21"/>
        </w:rPr>
      </w:pPr>
    </w:p>
    <w:p w14:paraId="68FFFB03" w14:textId="6CFED269" w:rsidR="007112F8" w:rsidRDefault="001178D8"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5"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13"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5"/>
    </w:p>
    <w:p w14:paraId="2365AC3C" w14:textId="6BD9232A" w:rsidR="00305045" w:rsidRDefault="00305045" w:rsidP="00154A11">
      <w:pPr>
        <w:shd w:val="clear" w:color="auto" w:fill="FFFFFF"/>
        <w:rPr>
          <w:rFonts w:ascii="Calibri" w:hAnsi="Calibri"/>
          <w:b/>
          <w:bCs/>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r w:rsidRPr="00305045">
        <w:rPr>
          <w:rFonts w:ascii="Calibri" w:hAnsi="Calibri"/>
          <w:b/>
          <w:bCs/>
          <w:sz w:val="21"/>
          <w:szCs w:val="21"/>
        </w:rPr>
        <w:t>Use of mRNA vaccines is preferred.</w:t>
      </w:r>
    </w:p>
    <w:p w14:paraId="76EA0D17" w14:textId="77777777" w:rsidR="00494FC2" w:rsidRDefault="00494FC2" w:rsidP="00154A11">
      <w:pPr>
        <w:shd w:val="clear" w:color="auto" w:fill="FFFFFF"/>
        <w:rPr>
          <w:rFonts w:ascii="Calibri" w:hAnsi="Calibri"/>
          <w:b/>
          <w:bCs/>
          <w:sz w:val="21"/>
          <w:szCs w:val="21"/>
        </w:rPr>
      </w:pPr>
    </w:p>
    <w:p w14:paraId="77CDD116" w14:textId="0426E385" w:rsidR="00541BF3" w:rsidRDefault="00541BF3" w:rsidP="00154A11">
      <w:pPr>
        <w:shd w:val="clear" w:color="auto" w:fill="FFFFFF"/>
        <w:rPr>
          <w:rFonts w:ascii="Calibri" w:hAnsi="Calibri"/>
          <w:b/>
          <w:bCs/>
          <w:sz w:val="21"/>
          <w:szCs w:val="21"/>
        </w:rPr>
      </w:pPr>
      <w:r w:rsidRPr="00541BF3">
        <w:rPr>
          <w:rFonts w:ascii="Calibri" w:hAnsi="Calibri"/>
          <w:b/>
          <w:bCs/>
          <w:sz w:val="21"/>
          <w:szCs w:val="21"/>
        </w:rPr>
        <w:t>Primary series for people with moderate or severe immunocompromise</w:t>
      </w:r>
    </w:p>
    <w:p w14:paraId="66B4144D" w14:textId="77777777" w:rsidR="00541BF3" w:rsidRPr="00541BF3" w:rsidRDefault="00541BF3" w:rsidP="00541BF3">
      <w:pPr>
        <w:shd w:val="clear" w:color="auto" w:fill="FFFFFF"/>
        <w:ind w:left="720"/>
        <w:rPr>
          <w:rFonts w:ascii="Calibri" w:hAnsi="Calibri"/>
          <w:b/>
          <w:bCs/>
          <w:sz w:val="21"/>
          <w:szCs w:val="21"/>
        </w:rPr>
      </w:pPr>
      <w:r w:rsidRPr="00541BF3">
        <w:rPr>
          <w:rFonts w:ascii="Calibri" w:hAnsi="Calibri"/>
          <w:b/>
          <w:bCs/>
          <w:sz w:val="21"/>
          <w:szCs w:val="21"/>
        </w:rPr>
        <w:t>mRNA COVID-19 vaccines</w:t>
      </w:r>
    </w:p>
    <w:p w14:paraId="257BB719" w14:textId="27AA309A"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3-dose primary series</w:t>
      </w:r>
      <w:r w:rsidRPr="00541BF3">
        <w:rPr>
          <w:rFonts w:ascii="Calibri" w:hAnsi="Calibri"/>
          <w:sz w:val="21"/>
          <w:szCs w:val="21"/>
        </w:rPr>
        <w:t> is recommended for people ages 5 years and older who are moderately or severely immunocompromised </w:t>
      </w:r>
      <w:r w:rsidRPr="00541BF3">
        <w:rPr>
          <w:rFonts w:ascii="Calibri" w:hAnsi="Calibri"/>
          <w:b/>
          <w:bCs/>
          <w:sz w:val="21"/>
          <w:szCs w:val="21"/>
        </w:rPr>
        <w:t>at the time of vaccination</w:t>
      </w:r>
      <w:r w:rsidRPr="00541BF3">
        <w:rPr>
          <w:rFonts w:ascii="Calibri" w:hAnsi="Calibri"/>
          <w:sz w:val="21"/>
          <w:szCs w:val="21"/>
        </w:rPr>
        <w:t> (</w:t>
      </w:r>
      <w:r>
        <w:rPr>
          <w:rFonts w:ascii="Calibri" w:hAnsi="Calibri"/>
          <w:sz w:val="21"/>
          <w:szCs w:val="21"/>
        </w:rPr>
        <w:t xml:space="preserve">see Clinical Considerations, </w:t>
      </w:r>
      <w:hyperlink r:id="rId14" w:anchor="table-03" w:history="1">
        <w:r w:rsidRPr="00541BF3">
          <w:rPr>
            <w:rStyle w:val="Hyperlink"/>
            <w:rFonts w:ascii="Calibri" w:hAnsi="Calibri"/>
            <w:sz w:val="21"/>
            <w:szCs w:val="21"/>
          </w:rPr>
          <w:t>Table 3</w:t>
        </w:r>
      </w:hyperlink>
      <w:r w:rsidR="00037C09">
        <w:rPr>
          <w:rFonts w:ascii="Calibri" w:hAnsi="Calibri"/>
          <w:sz w:val="21"/>
          <w:szCs w:val="21"/>
        </w:rPr>
        <w:t>, below</w:t>
      </w:r>
      <w:r w:rsidRPr="00541BF3">
        <w:rPr>
          <w:rFonts w:ascii="Calibri" w:hAnsi="Calibri"/>
          <w:sz w:val="21"/>
          <w:szCs w:val="21"/>
        </w:rPr>
        <w:t>). The same mRNA vaccine product should be used for all doses of the primary series.</w:t>
      </w:r>
    </w:p>
    <w:p w14:paraId="4E678253" w14:textId="77777777" w:rsidR="00541BF3" w:rsidRPr="00154A11" w:rsidRDefault="00541BF3" w:rsidP="00154A11">
      <w:pPr>
        <w:shd w:val="clear" w:color="auto" w:fill="FFFFFF"/>
        <w:rPr>
          <w:rFonts w:ascii="Calibri" w:hAnsi="Calibri"/>
          <w:sz w:val="21"/>
          <w:szCs w:val="21"/>
        </w:rPr>
      </w:pPr>
    </w:p>
    <w:p w14:paraId="73222881" w14:textId="4A5C9B43" w:rsidR="00541BF3" w:rsidRPr="00541BF3" w:rsidRDefault="00085A92" w:rsidP="00541BF3">
      <w:pPr>
        <w:shd w:val="clear" w:color="auto" w:fill="FFFFFF"/>
        <w:ind w:left="720"/>
        <w:rPr>
          <w:rFonts w:ascii="Calibri" w:hAnsi="Calibri"/>
          <w:b/>
          <w:bCs/>
          <w:sz w:val="21"/>
          <w:szCs w:val="21"/>
        </w:rPr>
      </w:pPr>
      <w:r w:rsidRPr="00085A92">
        <w:rPr>
          <w:rFonts w:ascii="Calibri" w:hAnsi="Calibri"/>
          <w:b/>
          <w:bCs/>
          <w:sz w:val="21"/>
          <w:szCs w:val="21"/>
        </w:rPr>
        <w:t>Janssen/J&amp;J</w:t>
      </w:r>
      <w:r w:rsidR="00541BF3" w:rsidRPr="00541BF3">
        <w:rPr>
          <w:rFonts w:ascii="Calibri" w:hAnsi="Calibri"/>
          <w:b/>
          <w:bCs/>
          <w:sz w:val="21"/>
          <w:szCs w:val="21"/>
        </w:rPr>
        <w:t xml:space="preserve"> COVID-19 Vaccine</w:t>
      </w:r>
    </w:p>
    <w:p w14:paraId="0078C0AC" w14:textId="79CDED2C"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 xml:space="preserve">primary </w:t>
      </w:r>
      <w:r w:rsidR="00085A92" w:rsidRPr="00085A92">
        <w:rPr>
          <w:rFonts w:ascii="Calibri" w:hAnsi="Calibri"/>
          <w:b/>
          <w:bCs/>
          <w:sz w:val="21"/>
          <w:szCs w:val="21"/>
        </w:rPr>
        <w:t>Janssen/J&amp;J</w:t>
      </w:r>
      <w:r w:rsidR="00085A92" w:rsidRPr="00541BF3">
        <w:rPr>
          <w:rFonts w:ascii="Calibri" w:hAnsi="Calibri"/>
          <w:b/>
          <w:bCs/>
          <w:sz w:val="21"/>
          <w:szCs w:val="21"/>
        </w:rPr>
        <w:t xml:space="preserve"> </w:t>
      </w:r>
      <w:r w:rsidRPr="00541BF3">
        <w:rPr>
          <w:rFonts w:ascii="Calibri" w:hAnsi="Calibri"/>
          <w:b/>
          <w:bCs/>
          <w:sz w:val="21"/>
          <w:szCs w:val="21"/>
        </w:rPr>
        <w:t>vaccine dose</w:t>
      </w:r>
      <w:r w:rsidRPr="00541BF3">
        <w:rPr>
          <w:rFonts w:ascii="Calibri" w:hAnsi="Calibri"/>
          <w:sz w:val="21"/>
          <w:szCs w:val="21"/>
        </w:rPr>
        <w:t> is recommended for people ages 18 years and older who are moderately or severely immunocompromised, followed by a </w:t>
      </w:r>
      <w:r w:rsidRPr="00541BF3">
        <w:rPr>
          <w:rFonts w:ascii="Calibri" w:hAnsi="Calibri"/>
          <w:b/>
          <w:bCs/>
          <w:sz w:val="21"/>
          <w:szCs w:val="21"/>
        </w:rPr>
        <w:t>second (additional) dose</w:t>
      </w:r>
      <w:r w:rsidRPr="00541BF3">
        <w:rPr>
          <w:rFonts w:ascii="Calibri" w:hAnsi="Calibri"/>
          <w:sz w:val="21"/>
          <w:szCs w:val="21"/>
        </w:rPr>
        <w:t> </w:t>
      </w:r>
      <w:r w:rsidRPr="00541BF3">
        <w:rPr>
          <w:rFonts w:ascii="Calibri" w:hAnsi="Calibri"/>
          <w:b/>
          <w:bCs/>
          <w:sz w:val="21"/>
          <w:szCs w:val="21"/>
        </w:rPr>
        <w:t>using an mRNA COVID-19 vaccine</w:t>
      </w:r>
      <w:r w:rsidRPr="00541BF3">
        <w:rPr>
          <w:rFonts w:ascii="Calibri" w:hAnsi="Calibri"/>
          <w:sz w:val="21"/>
          <w:szCs w:val="21"/>
        </w:rPr>
        <w:t xml:space="preserve"> at least 4 </w:t>
      </w:r>
      <w:r w:rsidRPr="00541BF3">
        <w:rPr>
          <w:rFonts w:ascii="Calibri" w:hAnsi="Calibri"/>
          <w:sz w:val="21"/>
          <w:szCs w:val="21"/>
        </w:rPr>
        <w:lastRenderedPageBreak/>
        <w:t>weeks later (see </w:t>
      </w:r>
      <w:r>
        <w:rPr>
          <w:rFonts w:ascii="Calibri" w:hAnsi="Calibri"/>
          <w:sz w:val="21"/>
          <w:szCs w:val="21"/>
        </w:rPr>
        <w:t xml:space="preserve">Clinical Considerations, </w:t>
      </w:r>
      <w:hyperlink r:id="rId15" w:anchor="appendix-b" w:history="1">
        <w:r w:rsidRPr="00541BF3">
          <w:rPr>
            <w:rStyle w:val="Hyperlink"/>
            <w:rFonts w:ascii="Calibri" w:hAnsi="Calibri"/>
            <w:sz w:val="21"/>
            <w:szCs w:val="21"/>
          </w:rPr>
          <w:t>Appendix B</w:t>
        </w:r>
      </w:hyperlink>
      <w:r w:rsidRPr="00541BF3">
        <w:rPr>
          <w:rFonts w:ascii="Calibri" w:hAnsi="Calibri"/>
          <w:sz w:val="21"/>
          <w:szCs w:val="21"/>
        </w:rPr>
        <w:t> for additional information). If Moderna COVID-19 vaccine is used for the second dose, administer a 100 mcg (0.5 ml) dose.</w:t>
      </w:r>
    </w:p>
    <w:p w14:paraId="10A5E9AB" w14:textId="77777777" w:rsidR="00154A11" w:rsidRPr="007112F8" w:rsidRDefault="00154A11" w:rsidP="00154A11">
      <w:pPr>
        <w:shd w:val="clear" w:color="auto" w:fill="FFFFFF"/>
        <w:rPr>
          <w:rFonts w:ascii="Calibri" w:hAnsi="Calibri"/>
          <w:sz w:val="21"/>
          <w:szCs w:val="21"/>
        </w:rPr>
      </w:pPr>
    </w:p>
    <w:p w14:paraId="2FB5FF69" w14:textId="77777777" w:rsidR="00541BF3" w:rsidRPr="00541BF3" w:rsidRDefault="00541BF3" w:rsidP="00541BF3">
      <w:pPr>
        <w:shd w:val="clear" w:color="auto" w:fill="FFFFFF"/>
        <w:rPr>
          <w:rFonts w:ascii="Calibri" w:hAnsi="Calibri"/>
          <w:b/>
          <w:bCs/>
          <w:color w:val="000000"/>
          <w:sz w:val="21"/>
          <w:szCs w:val="21"/>
        </w:rPr>
      </w:pPr>
      <w:r w:rsidRPr="00541BF3">
        <w:rPr>
          <w:rFonts w:ascii="Calibri" w:hAnsi="Calibri"/>
          <w:b/>
          <w:bCs/>
          <w:color w:val="000000"/>
          <w:sz w:val="21"/>
          <w:szCs w:val="21"/>
        </w:rPr>
        <w:t>Booster doses for people with moderate or severe immunocompromise</w:t>
      </w:r>
    </w:p>
    <w:p w14:paraId="74143456" w14:textId="77777777" w:rsidR="00541BF3" w:rsidRPr="00541BF3" w:rsidRDefault="00541BF3" w:rsidP="00541BF3">
      <w:pPr>
        <w:shd w:val="clear" w:color="auto" w:fill="FFFFFF"/>
        <w:rPr>
          <w:rFonts w:ascii="Calibri" w:hAnsi="Calibri"/>
          <w:color w:val="000000"/>
          <w:sz w:val="21"/>
          <w:szCs w:val="21"/>
        </w:rPr>
      </w:pPr>
      <w:r w:rsidRPr="00541BF3">
        <w:rPr>
          <w:rFonts w:ascii="Calibri" w:hAnsi="Calibri"/>
          <w:color w:val="000000"/>
          <w:sz w:val="21"/>
          <w:szCs w:val="21"/>
        </w:rPr>
        <w:t>Booster doses are recommended for people 12 years of age and older after completion of primary vaccination.</w:t>
      </w:r>
    </w:p>
    <w:p w14:paraId="0CC2A52A" w14:textId="6A3DB2B8" w:rsidR="007112F8" w:rsidRDefault="007112F8" w:rsidP="007112F8">
      <w:pPr>
        <w:shd w:val="clear" w:color="auto" w:fill="FFFFFF"/>
        <w:rPr>
          <w:rFonts w:ascii="Calibri" w:hAnsi="Calibri"/>
          <w:color w:val="000000"/>
          <w:sz w:val="21"/>
          <w:szCs w:val="21"/>
        </w:rPr>
      </w:pPr>
    </w:p>
    <w:p w14:paraId="4AF31F5C" w14:textId="77777777" w:rsidR="00541BF3" w:rsidRPr="00541BF3" w:rsidRDefault="00541BF3" w:rsidP="00541BF3">
      <w:pPr>
        <w:shd w:val="clear" w:color="auto" w:fill="FFFFFF"/>
        <w:ind w:left="720"/>
        <w:rPr>
          <w:rFonts w:ascii="Calibri" w:hAnsi="Calibri"/>
          <w:b/>
          <w:bCs/>
          <w:color w:val="000000"/>
          <w:sz w:val="21"/>
          <w:szCs w:val="21"/>
        </w:rPr>
      </w:pPr>
      <w:r w:rsidRPr="00541BF3">
        <w:rPr>
          <w:rFonts w:ascii="Calibri" w:hAnsi="Calibri"/>
          <w:b/>
          <w:bCs/>
          <w:color w:val="000000"/>
          <w:sz w:val="21"/>
          <w:szCs w:val="21"/>
        </w:rPr>
        <w:t>mRNA COVID-19 vaccine primary series</w:t>
      </w:r>
    </w:p>
    <w:p w14:paraId="6C06E476" w14:textId="77777777"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3 months after the third dose in the primary series, </w:t>
      </w:r>
      <w:r w:rsidRPr="00541BF3">
        <w:rPr>
          <w:rFonts w:ascii="Calibri" w:hAnsi="Calibri"/>
          <w:b/>
          <w:bCs/>
          <w:color w:val="000000"/>
          <w:sz w:val="21"/>
          <w:szCs w:val="21"/>
        </w:rPr>
        <w:t>for a total of four doses</w:t>
      </w:r>
      <w:r w:rsidRPr="00541BF3">
        <w:rPr>
          <w:rFonts w:ascii="Calibri" w:hAnsi="Calibri"/>
          <w:color w:val="000000"/>
          <w:sz w:val="21"/>
          <w:szCs w:val="21"/>
        </w:rPr>
        <w:t>, preferably with an mRNA COVID-19 vaccine. If Moderna vaccine is used for the booster dose, a 50 mcg (0.25 mL) dose should be used.</w:t>
      </w:r>
    </w:p>
    <w:p w14:paraId="50AD07ED" w14:textId="77777777" w:rsidR="00541BF3" w:rsidRDefault="00541BF3" w:rsidP="00541BF3">
      <w:pPr>
        <w:shd w:val="clear" w:color="auto" w:fill="FFFFFF"/>
        <w:ind w:left="720"/>
        <w:rPr>
          <w:rFonts w:ascii="Calibri" w:hAnsi="Calibri"/>
          <w:color w:val="000000"/>
          <w:sz w:val="21"/>
          <w:szCs w:val="21"/>
        </w:rPr>
      </w:pPr>
    </w:p>
    <w:p w14:paraId="5F776D1D" w14:textId="3843F036" w:rsidR="00541BF3" w:rsidRPr="00541BF3" w:rsidRDefault="00085A92" w:rsidP="00541BF3">
      <w:pPr>
        <w:shd w:val="clear" w:color="auto" w:fill="FFFFFF"/>
        <w:ind w:left="720"/>
        <w:rPr>
          <w:rFonts w:ascii="Calibri" w:hAnsi="Calibri"/>
          <w:b/>
          <w:bCs/>
          <w:color w:val="000000"/>
          <w:sz w:val="21"/>
          <w:szCs w:val="21"/>
        </w:rPr>
      </w:pPr>
      <w:r w:rsidRPr="00085A92">
        <w:rPr>
          <w:rFonts w:ascii="Calibri" w:hAnsi="Calibri"/>
          <w:b/>
          <w:bCs/>
          <w:sz w:val="21"/>
          <w:szCs w:val="21"/>
        </w:rPr>
        <w:t>Janssen/J&amp;J</w:t>
      </w:r>
      <w:r w:rsidR="00541BF3" w:rsidRPr="00541BF3">
        <w:rPr>
          <w:rFonts w:ascii="Calibri" w:hAnsi="Calibri"/>
          <w:b/>
          <w:bCs/>
          <w:color w:val="000000"/>
          <w:sz w:val="21"/>
          <w:szCs w:val="21"/>
        </w:rPr>
        <w:t xml:space="preserve"> COVID-19 primary vaccination</w:t>
      </w:r>
    </w:p>
    <w:p w14:paraId="03A1E142" w14:textId="7204A2D0" w:rsid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w:t>
      </w:r>
      <w:r w:rsidRPr="00541BF3">
        <w:rPr>
          <w:rFonts w:ascii="Calibri" w:hAnsi="Calibri"/>
          <w:b/>
          <w:bCs/>
          <w:color w:val="000000"/>
          <w:sz w:val="21"/>
          <w:szCs w:val="21"/>
        </w:rPr>
        <w:t>2 months</w:t>
      </w:r>
      <w:r w:rsidRPr="00541BF3">
        <w:rPr>
          <w:rFonts w:ascii="Calibri" w:hAnsi="Calibri"/>
          <w:color w:val="000000"/>
          <w:sz w:val="21"/>
          <w:szCs w:val="21"/>
        </w:rPr>
        <w:t> after the 2</w:t>
      </w:r>
      <w:r w:rsidRPr="00541BF3">
        <w:rPr>
          <w:rFonts w:ascii="Calibri" w:hAnsi="Calibri"/>
          <w:color w:val="000000"/>
          <w:sz w:val="21"/>
          <w:szCs w:val="21"/>
          <w:vertAlign w:val="superscript"/>
        </w:rPr>
        <w:t>nd</w:t>
      </w:r>
      <w:r w:rsidRPr="00541BF3">
        <w:rPr>
          <w:rFonts w:ascii="Calibri" w:hAnsi="Calibri"/>
          <w:color w:val="000000"/>
          <w:sz w:val="21"/>
          <w:szCs w:val="21"/>
        </w:rPr>
        <w:t> (additional) dose, for a total of </w:t>
      </w:r>
      <w:r w:rsidRPr="00541BF3">
        <w:rPr>
          <w:rFonts w:ascii="Calibri" w:hAnsi="Calibri"/>
          <w:b/>
          <w:bCs/>
          <w:color w:val="000000"/>
          <w:sz w:val="21"/>
          <w:szCs w:val="21"/>
        </w:rPr>
        <w:t>3 doses</w:t>
      </w:r>
      <w:r w:rsidRPr="00541BF3">
        <w:rPr>
          <w:rFonts w:ascii="Calibri" w:hAnsi="Calibri"/>
          <w:color w:val="000000"/>
          <w:sz w:val="21"/>
          <w:szCs w:val="21"/>
        </w:rPr>
        <w:t xml:space="preserve"> (1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vaccine dose followed by 1 additional mRNA vaccine dose, then 1 booster dose). mRNA vaccines are preferred for the booster dose. If the Moderna vaccine is used for the booster dose, a 50 mcg (0.25 ml) dose should be used.</w:t>
      </w:r>
    </w:p>
    <w:p w14:paraId="7BD7AB5A" w14:textId="77777777" w:rsidR="00541BF3" w:rsidRPr="00541BF3" w:rsidRDefault="00541BF3" w:rsidP="00541BF3">
      <w:pPr>
        <w:shd w:val="clear" w:color="auto" w:fill="FFFFFF"/>
        <w:ind w:left="720"/>
        <w:rPr>
          <w:rFonts w:ascii="Calibri" w:hAnsi="Calibri"/>
          <w:color w:val="000000"/>
          <w:sz w:val="21"/>
          <w:szCs w:val="21"/>
        </w:rPr>
      </w:pPr>
    </w:p>
    <w:p w14:paraId="744B4DC8" w14:textId="1608001C"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b/>
          <w:bCs/>
          <w:color w:val="FF0000"/>
          <w:sz w:val="21"/>
          <w:szCs w:val="21"/>
        </w:rPr>
        <w:t>Special situation</w:t>
      </w:r>
      <w:r w:rsidRPr="00541BF3">
        <w:rPr>
          <w:rFonts w:ascii="Calibri" w:hAnsi="Calibri"/>
          <w:color w:val="000000"/>
          <w:sz w:val="21"/>
          <w:szCs w:val="21"/>
        </w:rPr>
        <w:t>: Many recipients of</w:t>
      </w:r>
      <w:r w:rsidR="00085A92">
        <w:rPr>
          <w:rFonts w:ascii="Calibri" w:hAnsi="Calibri"/>
          <w:color w:val="000000"/>
          <w:sz w:val="21"/>
          <w:szCs w:val="21"/>
        </w:rPr>
        <w:t xml:space="preserve"> </w:t>
      </w:r>
      <w:bookmarkStart w:id="6" w:name="_Hlk95895644"/>
      <w:r w:rsidR="00085A92" w:rsidRPr="00085A92">
        <w:rPr>
          <w:rFonts w:ascii="Calibri" w:hAnsi="Calibri"/>
          <w:sz w:val="21"/>
          <w:szCs w:val="21"/>
        </w:rPr>
        <w:t>Janssen/J&amp;J</w:t>
      </w:r>
      <w:r w:rsidRPr="00541BF3">
        <w:rPr>
          <w:rFonts w:ascii="Calibri" w:hAnsi="Calibri"/>
          <w:color w:val="000000"/>
          <w:sz w:val="21"/>
          <w:szCs w:val="21"/>
        </w:rPr>
        <w:t xml:space="preserve"> </w:t>
      </w:r>
      <w:bookmarkEnd w:id="6"/>
      <w:r w:rsidRPr="00541BF3">
        <w:rPr>
          <w:rFonts w:ascii="Calibri" w:hAnsi="Calibri"/>
          <w:color w:val="000000"/>
          <w:sz w:val="21"/>
          <w:szCs w:val="21"/>
        </w:rPr>
        <w:t>COVID-19 Vaccine may have already received a booster dose (Pfizer-BioNTech, Moderna [50 mcg, 0.25 ml], or Janssen vaccine), without having had the 2</w:t>
      </w:r>
      <w:r w:rsidRPr="00541BF3">
        <w:rPr>
          <w:rFonts w:ascii="Calibri" w:hAnsi="Calibri"/>
          <w:color w:val="000000"/>
          <w:sz w:val="21"/>
          <w:szCs w:val="21"/>
          <w:vertAlign w:val="superscript"/>
        </w:rPr>
        <w:t>nd</w:t>
      </w:r>
      <w:r w:rsidRPr="00541BF3">
        <w:rPr>
          <w:rFonts w:ascii="Calibri" w:hAnsi="Calibri"/>
          <w:color w:val="000000"/>
          <w:sz w:val="21"/>
          <w:szCs w:val="21"/>
        </w:rPr>
        <w:t> (additional) mRNA vaccine dose. In this situation, regardless of type and timing of vaccine received as the 2</w:t>
      </w:r>
      <w:r w:rsidRPr="00541BF3">
        <w:rPr>
          <w:rFonts w:ascii="Calibri" w:hAnsi="Calibri"/>
          <w:color w:val="000000"/>
          <w:sz w:val="21"/>
          <w:szCs w:val="21"/>
          <w:vertAlign w:val="superscript"/>
        </w:rPr>
        <w:t>nd</w:t>
      </w:r>
      <w:r w:rsidRPr="00541BF3">
        <w:rPr>
          <w:rFonts w:ascii="Calibri" w:hAnsi="Calibri"/>
          <w:color w:val="000000"/>
          <w:sz w:val="21"/>
          <w:szCs w:val="21"/>
        </w:rPr>
        <w:t> dose, administer a Pfizer-BioNTech vaccine or a Moderna vaccine (100 mcg [0.5 mL]) as the 3</w:t>
      </w:r>
      <w:r w:rsidRPr="00541BF3">
        <w:rPr>
          <w:rFonts w:ascii="Calibri" w:hAnsi="Calibri"/>
          <w:color w:val="000000"/>
          <w:sz w:val="21"/>
          <w:szCs w:val="21"/>
          <w:vertAlign w:val="superscript"/>
        </w:rPr>
        <w:t>rd</w:t>
      </w:r>
      <w:r w:rsidRPr="00541BF3">
        <w:rPr>
          <w:rFonts w:ascii="Calibri" w:hAnsi="Calibri"/>
          <w:color w:val="000000"/>
          <w:sz w:val="21"/>
          <w:szCs w:val="21"/>
        </w:rPr>
        <w:t> dose at least 2 months after dose 2. See </w:t>
      </w:r>
      <w:r>
        <w:rPr>
          <w:rFonts w:ascii="Calibri" w:hAnsi="Calibri"/>
          <w:color w:val="000000"/>
          <w:sz w:val="21"/>
          <w:szCs w:val="21"/>
        </w:rPr>
        <w:t xml:space="preserve">Clinical Considerations </w:t>
      </w:r>
      <w:hyperlink r:id="rId16" w:anchor="appendix-b" w:history="1">
        <w:r w:rsidRPr="00541BF3">
          <w:rPr>
            <w:rStyle w:val="Hyperlink"/>
            <w:rFonts w:ascii="Calibri" w:hAnsi="Calibri"/>
            <w:sz w:val="21"/>
            <w:szCs w:val="21"/>
          </w:rPr>
          <w:t>Appendix B</w:t>
        </w:r>
      </w:hyperlink>
      <w:r w:rsidRPr="00541BF3">
        <w:rPr>
          <w:rFonts w:ascii="Calibri" w:hAnsi="Calibri"/>
          <w:color w:val="000000"/>
          <w:sz w:val="21"/>
          <w:szCs w:val="21"/>
        </w:rPr>
        <w:t xml:space="preserve"> for additional dose information for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COVID-19 Vaccine recipients.</w:t>
      </w:r>
    </w:p>
    <w:p w14:paraId="5BFE382D" w14:textId="77777777" w:rsidR="00541BF3" w:rsidRDefault="00541BF3" w:rsidP="007112F8">
      <w:pPr>
        <w:shd w:val="clear" w:color="auto" w:fill="FFFFFF"/>
        <w:rPr>
          <w:rFonts w:ascii="Calibri" w:hAnsi="Calibri"/>
          <w:color w:val="000000"/>
          <w:sz w:val="21"/>
          <w:szCs w:val="21"/>
        </w:rPr>
      </w:pPr>
    </w:p>
    <w:p w14:paraId="79D38105" w14:textId="44DA9262" w:rsidR="00591E34" w:rsidRPr="00AE0D2A" w:rsidRDefault="003D47A1" w:rsidP="00A63FB6">
      <w:pPr>
        <w:shd w:val="clear" w:color="auto" w:fill="FFFFFF"/>
        <w:rPr>
          <w:rFonts w:ascii="Calibri" w:hAnsi="Calibri"/>
          <w:b/>
          <w:bCs/>
          <w:color w:val="000099"/>
        </w:rPr>
      </w:pPr>
      <w:r>
        <w:rPr>
          <w:noProof/>
        </w:rPr>
        <w:drawing>
          <wp:inline distT="0" distB="0" distL="0" distR="0" wp14:anchorId="74CD9322" wp14:editId="7AC61681">
            <wp:extent cx="6858000" cy="21907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7"/>
                    <a:stretch>
                      <a:fillRect/>
                    </a:stretch>
                  </pic:blipFill>
                  <pic:spPr>
                    <a:xfrm>
                      <a:off x="0" y="0"/>
                      <a:ext cx="6858000" cy="2190750"/>
                    </a:xfrm>
                    <a:prstGeom prst="rect">
                      <a:avLst/>
                    </a:prstGeom>
                  </pic:spPr>
                </pic:pic>
              </a:graphicData>
            </a:graphic>
          </wp:inline>
        </w:drawing>
      </w:r>
    </w:p>
    <w:p w14:paraId="1F5B6965" w14:textId="77777777" w:rsidR="00A37041" w:rsidRDefault="00A37041" w:rsidP="003A46CA">
      <w:pPr>
        <w:shd w:val="clear" w:color="auto" w:fill="FFFFFF"/>
        <w:rPr>
          <w:rFonts w:asciiTheme="minorHAnsi" w:hAnsiTheme="minorHAnsi" w:cstheme="minorHAnsi"/>
          <w:b/>
          <w:bCs/>
          <w:color w:val="FF0000"/>
          <w:sz w:val="21"/>
          <w:szCs w:val="21"/>
        </w:rPr>
      </w:pPr>
    </w:p>
    <w:p w14:paraId="33DBA39A" w14:textId="5F9983A0" w:rsidR="00684BD5" w:rsidRDefault="000D3AD9"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Graphic </w:t>
      </w:r>
      <w:r w:rsidRPr="000D3AD9">
        <w:rPr>
          <w:rFonts w:asciiTheme="minorHAnsi" w:hAnsiTheme="minorHAnsi" w:cstheme="minorHAnsi"/>
          <w:b/>
          <w:bCs/>
          <w:sz w:val="21"/>
          <w:szCs w:val="21"/>
        </w:rPr>
        <w:t>COVID-19 Vaccination Schedule for People Who Are Moderately or Severely Immunocompromised</w:t>
      </w:r>
    </w:p>
    <w:p w14:paraId="545DAEFC" w14:textId="77777777" w:rsidR="000D3AD9" w:rsidRDefault="000D3AD9" w:rsidP="003A46CA">
      <w:pPr>
        <w:shd w:val="clear" w:color="auto" w:fill="FFFFFF"/>
        <w:rPr>
          <w:rFonts w:asciiTheme="minorHAnsi" w:hAnsiTheme="minorHAnsi" w:cstheme="minorHAnsi"/>
          <w:b/>
          <w:bCs/>
          <w:sz w:val="21"/>
          <w:szCs w:val="21"/>
        </w:rPr>
      </w:pPr>
    </w:p>
    <w:p w14:paraId="24DB0ED7" w14:textId="6A36F29D" w:rsidR="000D3AD9" w:rsidRDefault="000D3AD9" w:rsidP="003A46CA">
      <w:pPr>
        <w:shd w:val="clear" w:color="auto" w:fill="FFFFFF"/>
        <w:rPr>
          <w:rFonts w:asciiTheme="minorHAnsi" w:hAnsiTheme="minorHAnsi" w:cstheme="minorHAnsi"/>
          <w:b/>
          <w:bCs/>
          <w:sz w:val="21"/>
          <w:szCs w:val="21"/>
        </w:rPr>
      </w:pPr>
      <w:r>
        <w:rPr>
          <w:noProof/>
        </w:rPr>
        <w:drawing>
          <wp:inline distT="0" distB="0" distL="0" distR="0" wp14:anchorId="6EB844FE" wp14:editId="78EE54C5">
            <wp:extent cx="6858000" cy="2199005"/>
            <wp:effectExtent l="0" t="0" r="0" b="0"/>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a:blip r:embed="rId18"/>
                    <a:stretch>
                      <a:fillRect/>
                    </a:stretch>
                  </pic:blipFill>
                  <pic:spPr>
                    <a:xfrm>
                      <a:off x="0" y="0"/>
                      <a:ext cx="6858000" cy="2199005"/>
                    </a:xfrm>
                    <a:prstGeom prst="rect">
                      <a:avLst/>
                    </a:prstGeom>
                  </pic:spPr>
                </pic:pic>
              </a:graphicData>
            </a:graphic>
          </wp:inline>
        </w:drawing>
      </w:r>
    </w:p>
    <w:p w14:paraId="59066459" w14:textId="70359907" w:rsidR="000D3AD9" w:rsidRDefault="000D3AD9" w:rsidP="003A46CA">
      <w:pPr>
        <w:shd w:val="clear" w:color="auto" w:fill="FFFFFF"/>
        <w:rPr>
          <w:rFonts w:asciiTheme="minorHAnsi" w:hAnsiTheme="minorHAnsi" w:cstheme="minorHAnsi"/>
          <w:b/>
          <w:bCs/>
          <w:sz w:val="21"/>
          <w:szCs w:val="21"/>
        </w:rPr>
      </w:pPr>
    </w:p>
    <w:p w14:paraId="6C6D37B6" w14:textId="77777777" w:rsidR="000D3AD9" w:rsidRPr="000D3AD9" w:rsidRDefault="000D3AD9" w:rsidP="000D3AD9">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lastRenderedPageBreak/>
        <w:t>*An mRNA COVID-19 vaccine is preferred over the Janssen COVID-19 Vaccine for booster vaccination of people ages 18 years and older. For people ages 12–17 years, only Pfizer-BioNTech can be used. People ages 5–11 years should not receive a booster dose.</w:t>
      </w:r>
    </w:p>
    <w:p w14:paraId="13E38260" w14:textId="54F5C012" w:rsidR="00684BD5" w:rsidRPr="00A37041" w:rsidRDefault="000D3AD9" w:rsidP="003A46CA">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†Only Pfizer-BioNTech or Moderna COVID-19 Vaccine should be used. See </w:t>
      </w:r>
      <w:hyperlink r:id="rId19" w:anchor="appendix-b" w:history="1">
        <w:r w:rsidRPr="000D3AD9">
          <w:rPr>
            <w:rStyle w:val="Hyperlink"/>
            <w:rFonts w:asciiTheme="minorHAnsi" w:hAnsiTheme="minorHAnsi" w:cstheme="minorHAnsi"/>
            <w:sz w:val="21"/>
            <w:szCs w:val="21"/>
          </w:rPr>
          <w:t>Appendix B</w:t>
        </w:r>
      </w:hyperlink>
      <w:r w:rsidRPr="000D3AD9">
        <w:rPr>
          <w:rFonts w:asciiTheme="minorHAnsi" w:hAnsiTheme="minorHAnsi" w:cstheme="minorHAnsi"/>
          <w:sz w:val="21"/>
          <w:szCs w:val="21"/>
        </w:rPr>
        <w:t> for more information on vaccinating people who are moderately or severely immunocompromised and who received Janssen COVID-19 Vaccine for the primary series.</w:t>
      </w:r>
    </w:p>
    <w:p w14:paraId="5A80F381" w14:textId="1955E777" w:rsidR="00AE03CF" w:rsidRDefault="00AE03CF" w:rsidP="00CA2224">
      <w:pPr>
        <w:shd w:val="clear" w:color="auto" w:fill="FFFFFF"/>
        <w:rPr>
          <w:rFonts w:asciiTheme="minorHAnsi" w:hAnsiTheme="minorHAnsi" w:cstheme="minorHAnsi"/>
          <w:b/>
          <w:bCs/>
          <w:color w:val="FF0000"/>
          <w:sz w:val="21"/>
          <w:szCs w:val="21"/>
        </w:rPr>
      </w:pPr>
    </w:p>
    <w:p w14:paraId="0F9D83A2" w14:textId="77777777" w:rsidR="00A37041" w:rsidRDefault="00A37041" w:rsidP="00CA2224">
      <w:pPr>
        <w:shd w:val="clear" w:color="auto" w:fill="FFFFFF"/>
        <w:rPr>
          <w:rFonts w:asciiTheme="minorHAnsi" w:hAnsiTheme="minorHAnsi" w:cstheme="minorHAnsi"/>
          <w:b/>
          <w:bCs/>
          <w:color w:val="FF0000"/>
          <w:sz w:val="21"/>
          <w:szCs w:val="21"/>
        </w:rPr>
      </w:pPr>
    </w:p>
    <w:p w14:paraId="16FB710C" w14:textId="7BE34FFF"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E86C8D" w:rsidP="00B10DFE">
      <w:pPr>
        <w:pStyle w:val="ListParagraph"/>
        <w:numPr>
          <w:ilvl w:val="0"/>
          <w:numId w:val="9"/>
        </w:numPr>
        <w:shd w:val="clear" w:color="auto" w:fill="FFFFFF"/>
        <w:rPr>
          <w:rFonts w:asciiTheme="minorHAnsi" w:hAnsiTheme="minorHAnsi" w:cstheme="minorHAnsi"/>
          <w:sz w:val="21"/>
          <w:szCs w:val="21"/>
        </w:rPr>
      </w:pPr>
      <w:hyperlink r:id="rId20"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E86C8D" w:rsidP="00B10DFE">
      <w:pPr>
        <w:pStyle w:val="ListParagraph"/>
        <w:numPr>
          <w:ilvl w:val="0"/>
          <w:numId w:val="9"/>
        </w:numPr>
        <w:shd w:val="clear" w:color="auto" w:fill="FFFFFF"/>
        <w:rPr>
          <w:rFonts w:asciiTheme="minorHAnsi" w:hAnsiTheme="minorHAnsi" w:cstheme="minorHAnsi"/>
          <w:sz w:val="21"/>
          <w:szCs w:val="21"/>
        </w:rPr>
      </w:pPr>
      <w:hyperlink r:id="rId21"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E86C8D" w:rsidP="00B10DFE">
      <w:pPr>
        <w:pStyle w:val="ListParagraph"/>
        <w:numPr>
          <w:ilvl w:val="0"/>
          <w:numId w:val="9"/>
        </w:numPr>
        <w:shd w:val="clear" w:color="auto" w:fill="FFFFFF"/>
        <w:rPr>
          <w:rFonts w:asciiTheme="minorHAnsi" w:hAnsiTheme="minorHAnsi" w:cstheme="minorHAnsi"/>
          <w:sz w:val="21"/>
          <w:szCs w:val="21"/>
        </w:rPr>
      </w:pPr>
      <w:hyperlink r:id="rId22"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E86C8D" w:rsidP="00B10DFE">
      <w:pPr>
        <w:pStyle w:val="ListParagraph"/>
        <w:numPr>
          <w:ilvl w:val="0"/>
          <w:numId w:val="5"/>
        </w:numPr>
        <w:shd w:val="clear" w:color="auto" w:fill="FFFFFF"/>
        <w:rPr>
          <w:rFonts w:ascii="Calibri" w:hAnsi="Calibri"/>
          <w:sz w:val="21"/>
          <w:szCs w:val="21"/>
        </w:rPr>
      </w:pPr>
      <w:hyperlink r:id="rId23" w:history="1">
        <w:r w:rsidR="00701170" w:rsidRPr="00701170">
          <w:rPr>
            <w:rStyle w:val="Hyperlink"/>
            <w:rFonts w:ascii="Calibri" w:hAnsi="Calibri"/>
            <w:sz w:val="21"/>
            <w:szCs w:val="21"/>
          </w:rPr>
          <w:t>Orange Cap Age 5 through 11</w:t>
        </w:r>
      </w:hyperlink>
    </w:p>
    <w:p w14:paraId="6FBE1105" w14:textId="71EE3EE9" w:rsidR="00701170" w:rsidRDefault="00E86C8D" w:rsidP="00B10DFE">
      <w:pPr>
        <w:pStyle w:val="ListParagraph"/>
        <w:numPr>
          <w:ilvl w:val="0"/>
          <w:numId w:val="5"/>
        </w:numPr>
        <w:shd w:val="clear" w:color="auto" w:fill="FFFFFF"/>
        <w:rPr>
          <w:rFonts w:ascii="Calibri" w:hAnsi="Calibri"/>
          <w:sz w:val="21"/>
          <w:szCs w:val="21"/>
        </w:rPr>
      </w:pPr>
      <w:hyperlink r:id="rId24" w:history="1">
        <w:r w:rsidR="00701170" w:rsidRPr="00701170">
          <w:rPr>
            <w:rStyle w:val="Hyperlink"/>
            <w:rFonts w:ascii="Calibri" w:hAnsi="Calibri"/>
            <w:sz w:val="21"/>
            <w:szCs w:val="21"/>
          </w:rPr>
          <w:t>Purple Cap Age 12 and Older</w:t>
        </w:r>
      </w:hyperlink>
    </w:p>
    <w:p w14:paraId="0AE16730" w14:textId="0AE3CC07" w:rsidR="00701170" w:rsidRPr="00DD7CC6" w:rsidRDefault="00E86C8D" w:rsidP="00B10DFE">
      <w:pPr>
        <w:pStyle w:val="ListParagraph"/>
        <w:numPr>
          <w:ilvl w:val="0"/>
          <w:numId w:val="5"/>
        </w:numPr>
        <w:shd w:val="clear" w:color="auto" w:fill="FFFFFF"/>
        <w:rPr>
          <w:rStyle w:val="Hyperlink"/>
          <w:rFonts w:ascii="Calibri" w:hAnsi="Calibri"/>
          <w:color w:val="auto"/>
          <w:sz w:val="21"/>
          <w:szCs w:val="21"/>
          <w:u w:val="none"/>
        </w:rPr>
      </w:pPr>
      <w:hyperlink r:id="rId25" w:history="1">
        <w:r w:rsidR="00701170" w:rsidRPr="00701170">
          <w:rPr>
            <w:rStyle w:val="Hyperlink"/>
            <w:rFonts w:ascii="Calibri" w:hAnsi="Calibri"/>
            <w:sz w:val="21"/>
            <w:szCs w:val="21"/>
          </w:rPr>
          <w:t>Gray Cap Age 12 and Older</w:t>
        </w:r>
      </w:hyperlink>
    </w:p>
    <w:p w14:paraId="503E41B7" w14:textId="77777777" w:rsidR="001C078A" w:rsidRDefault="001C078A" w:rsidP="000D30F5">
      <w:pPr>
        <w:shd w:val="clear" w:color="auto" w:fill="FFFFFF"/>
        <w:rPr>
          <w:rFonts w:asciiTheme="minorHAnsi" w:hAnsiTheme="minorHAnsi" w:cstheme="minorHAnsi"/>
          <w:b/>
          <w:bCs/>
          <w:color w:val="FF0000"/>
          <w:sz w:val="21"/>
          <w:szCs w:val="21"/>
        </w:rPr>
      </w:pPr>
    </w:p>
    <w:p w14:paraId="16FD721E" w14:textId="2C478ECE"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26"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27"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28"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29"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7" w:name="_Hlk89415268"/>
      <w:r>
        <w:rPr>
          <w:rFonts w:asciiTheme="minorHAnsi" w:hAnsiTheme="minorHAnsi" w:cstheme="minorHAnsi"/>
          <w:color w:val="000000"/>
          <w:sz w:val="21"/>
          <w:szCs w:val="21"/>
        </w:rPr>
        <w:t xml:space="preserve">Pfizer, Recipient, 5-11 years: </w:t>
      </w:r>
      <w:hyperlink r:id="rId30"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7"/>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1"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r w:rsidRPr="00752738">
        <w:rPr>
          <w:rFonts w:asciiTheme="minorHAnsi" w:hAnsiTheme="minorHAnsi" w:cstheme="minorHAnsi"/>
          <w:color w:val="000000"/>
          <w:sz w:val="21"/>
          <w:szCs w:val="21"/>
          <w:lang w:val="es-ES"/>
        </w:rPr>
        <w:t xml:space="preserve">Recipient: </w:t>
      </w:r>
      <w:hyperlink r:id="rId32"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33"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34"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35"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36"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37"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r>
        <w:rPr>
          <w:rFonts w:asciiTheme="minorHAnsi" w:hAnsiTheme="minorHAnsi" w:cstheme="minorHAnsi"/>
          <w:color w:val="000000"/>
          <w:sz w:val="21"/>
          <w:szCs w:val="21"/>
          <w:lang w:val="es-ES"/>
        </w:rPr>
        <w:t xml:space="preserve">Recipient: </w:t>
      </w:r>
      <w:hyperlink r:id="rId38"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39" w:history="1">
        <w:r w:rsidRPr="00F5002B">
          <w:rPr>
            <w:rStyle w:val="Hyperlink"/>
            <w:rFonts w:asciiTheme="minorHAnsi" w:hAnsiTheme="minorHAnsi" w:cstheme="minorHAnsi"/>
            <w:sz w:val="21"/>
            <w:szCs w:val="21"/>
            <w:lang w:val="es-ES"/>
          </w:rPr>
          <w:t>FAQs</w:t>
        </w:r>
      </w:hyperlink>
    </w:p>
    <w:p w14:paraId="04A6B8A5" w14:textId="77777777" w:rsidR="00494FC2" w:rsidRDefault="00494FC2"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4788CE7" w14:textId="4720B47C" w:rsidR="00CD65B6" w:rsidRDefault="00CD65B6" w:rsidP="009E683B">
      <w:pPr>
        <w:shd w:val="clear" w:color="auto" w:fill="FFFFFF"/>
        <w:rPr>
          <w:rFonts w:ascii="Calibri" w:hAnsi="Calibri"/>
          <w:sz w:val="21"/>
          <w:szCs w:val="21"/>
        </w:rPr>
      </w:pPr>
      <w:r>
        <w:rPr>
          <w:rFonts w:ascii="Calibri" w:hAnsi="Calibri"/>
          <w:b/>
          <w:bCs/>
          <w:color w:val="FF0000"/>
          <w:sz w:val="21"/>
          <w:szCs w:val="21"/>
        </w:rPr>
        <w:t xml:space="preserve">Save the Date </w:t>
      </w:r>
      <w:r w:rsidRPr="00CD65B6">
        <w:rPr>
          <w:rFonts w:ascii="Calibri" w:hAnsi="Calibri"/>
          <w:sz w:val="21"/>
          <w:szCs w:val="21"/>
        </w:rPr>
        <w:t>for the 27</w:t>
      </w:r>
      <w:r w:rsidRPr="004D2F40">
        <w:rPr>
          <w:rFonts w:ascii="Calibri" w:hAnsi="Calibri"/>
          <w:sz w:val="21"/>
          <w:szCs w:val="21"/>
          <w:vertAlign w:val="superscript"/>
        </w:rPr>
        <w:t>th</w:t>
      </w:r>
      <w:r w:rsidRPr="00CD65B6">
        <w:rPr>
          <w:rFonts w:ascii="Calibri" w:hAnsi="Calibri"/>
          <w:sz w:val="21"/>
          <w:szCs w:val="21"/>
        </w:rPr>
        <w:t xml:space="preserve"> Annual Massachusetts </w:t>
      </w:r>
      <w:hyperlink r:id="rId40" w:history="1">
        <w:r w:rsidRPr="004D2F40">
          <w:rPr>
            <w:rStyle w:val="Hyperlink"/>
            <w:rFonts w:ascii="Calibri" w:hAnsi="Calibri"/>
            <w:sz w:val="21"/>
            <w:szCs w:val="21"/>
          </w:rPr>
          <w:t>Adult Immunization Conference</w:t>
        </w:r>
      </w:hyperlink>
      <w:r w:rsidRPr="00CD65B6">
        <w:rPr>
          <w:rFonts w:ascii="Calibri" w:hAnsi="Calibri"/>
          <w:sz w:val="21"/>
          <w:szCs w:val="21"/>
        </w:rPr>
        <w:t xml:space="preserve">! This all-day event will be held virtually on Tuesday, April 5, 2022.  Registration </w:t>
      </w:r>
      <w:r w:rsidR="00B73850" w:rsidRPr="004D2F40">
        <w:rPr>
          <w:rFonts w:ascii="Calibri" w:hAnsi="Calibri"/>
          <w:sz w:val="21"/>
          <w:szCs w:val="21"/>
        </w:rPr>
        <w:t xml:space="preserve">is now open: </w:t>
      </w:r>
      <w:r w:rsidR="004D2F40" w:rsidRPr="004D2F40">
        <w:rPr>
          <w:rFonts w:asciiTheme="minorHAnsi" w:hAnsiTheme="minorHAnsi" w:cstheme="minorHAnsi"/>
          <w:sz w:val="21"/>
          <w:szCs w:val="21"/>
        </w:rPr>
        <w:t xml:space="preserve">click </w:t>
      </w:r>
      <w:hyperlink r:id="rId41" w:history="1">
        <w:r w:rsidR="004D2F40" w:rsidRPr="004D2F40">
          <w:rPr>
            <w:rStyle w:val="Hyperlink"/>
            <w:rFonts w:asciiTheme="minorHAnsi" w:hAnsiTheme="minorHAnsi" w:cstheme="minorHAnsi"/>
            <w:sz w:val="21"/>
            <w:szCs w:val="21"/>
          </w:rPr>
          <w:t>here</w:t>
        </w:r>
      </w:hyperlink>
      <w:r w:rsidR="004D2F40" w:rsidRPr="004D2F40">
        <w:rPr>
          <w:rFonts w:asciiTheme="minorHAnsi" w:hAnsiTheme="minorHAnsi" w:cstheme="minorHAnsi"/>
          <w:sz w:val="21"/>
          <w:szCs w:val="21"/>
        </w:rPr>
        <w:t xml:space="preserve"> to register</w:t>
      </w:r>
      <w:r w:rsidR="004D2F40">
        <w:rPr>
          <w:rFonts w:asciiTheme="minorHAnsi" w:hAnsiTheme="minorHAnsi" w:cstheme="minorHAnsi"/>
          <w:sz w:val="21"/>
          <w:szCs w:val="21"/>
        </w:rPr>
        <w:t>.</w:t>
      </w:r>
    </w:p>
    <w:p w14:paraId="1D356324" w14:textId="77777777" w:rsidR="00B73850" w:rsidRDefault="00B73850" w:rsidP="009E683B">
      <w:pPr>
        <w:shd w:val="clear" w:color="auto" w:fill="FFFFFF"/>
        <w:rPr>
          <w:rFonts w:ascii="Calibri" w:hAnsi="Calibri"/>
          <w:b/>
          <w:bCs/>
          <w:color w:val="FF0000"/>
          <w:sz w:val="21"/>
          <w:szCs w:val="21"/>
        </w:rPr>
      </w:pP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42"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lastRenderedPageBreak/>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43"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44"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47998175" w14:textId="77777777" w:rsidR="00232A6A" w:rsidRDefault="00232A6A" w:rsidP="00710A98">
      <w:pPr>
        <w:shd w:val="clear" w:color="auto" w:fill="FFFFFF"/>
        <w:rPr>
          <w:rFonts w:ascii="Calibri" w:hAnsi="Calibri"/>
          <w:b/>
          <w:bCs/>
          <w:color w:val="FF0000"/>
          <w:sz w:val="21"/>
          <w:szCs w:val="21"/>
        </w:rPr>
      </w:pPr>
    </w:p>
    <w:p w14:paraId="62DEC15D" w14:textId="6020A323" w:rsidR="00EA3F21" w:rsidRDefault="00EA3F21" w:rsidP="00EA3F21">
      <w:pPr>
        <w:shd w:val="clear" w:color="auto" w:fill="FFFFFF"/>
        <w:rPr>
          <w:rStyle w:val="Hyperlink"/>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45" w:anchor="printable-flyers-" w:history="1">
        <w:r w:rsidRPr="00963C7A">
          <w:rPr>
            <w:rStyle w:val="Hyperlink"/>
            <w:rFonts w:asciiTheme="minorHAnsi" w:hAnsiTheme="minorHAnsi" w:cstheme="minorHAnsi"/>
            <w:sz w:val="21"/>
            <w:szCs w:val="21"/>
          </w:rPr>
          <w:t>now available in 12 languages.</w:t>
        </w:r>
      </w:hyperlink>
    </w:p>
    <w:p w14:paraId="5F1F6488" w14:textId="5260A80C" w:rsidR="00D7479C" w:rsidRDefault="00D7479C" w:rsidP="00EA3F21">
      <w:pPr>
        <w:shd w:val="clear" w:color="auto" w:fill="FFFFFF"/>
        <w:rPr>
          <w:rStyle w:val="Hyperlink"/>
          <w:rFonts w:asciiTheme="minorHAnsi" w:hAnsiTheme="minorHAnsi" w:cstheme="minorHAnsi"/>
          <w:sz w:val="21"/>
          <w:szCs w:val="21"/>
        </w:rPr>
      </w:pPr>
    </w:p>
    <w:p w14:paraId="7D727225" w14:textId="77777777" w:rsidR="00D7479C" w:rsidRDefault="00D7479C" w:rsidP="00D7479C">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F46888">
        <w:rPr>
          <w:rFonts w:asciiTheme="minorHAnsi" w:hAnsiTheme="minorHAnsi" w:cstheme="minorHAnsi"/>
          <w:b/>
          <w:bCs/>
          <w:sz w:val="21"/>
          <w:szCs w:val="21"/>
        </w:rPr>
        <w:t>American College of Obstetricians and Gynecologists</w:t>
      </w:r>
      <w:r>
        <w:rPr>
          <w:rFonts w:asciiTheme="minorHAnsi" w:hAnsiTheme="minorHAnsi" w:cstheme="minorHAnsi"/>
          <w:b/>
          <w:bCs/>
          <w:sz w:val="21"/>
          <w:szCs w:val="21"/>
        </w:rPr>
        <w:t xml:space="preserve"> (ACOG) Resources</w:t>
      </w:r>
    </w:p>
    <w:p w14:paraId="2A91F2F3" w14:textId="77777777" w:rsidR="00D7479C" w:rsidRPr="00C81D84" w:rsidRDefault="00D7479C" w:rsidP="00D7479C">
      <w:pPr>
        <w:shd w:val="clear" w:color="auto" w:fill="FFFFFF"/>
        <w:rPr>
          <w:rFonts w:asciiTheme="minorHAnsi" w:hAnsiTheme="minorHAnsi" w:cstheme="minorHAnsi"/>
          <w:b/>
          <w:bCs/>
          <w:color w:val="FF0000"/>
          <w:sz w:val="21"/>
          <w:szCs w:val="21"/>
        </w:rPr>
      </w:pPr>
      <w:r>
        <w:rPr>
          <w:rFonts w:asciiTheme="minorHAnsi" w:hAnsiTheme="minorHAnsi" w:cstheme="minorHAnsi"/>
          <w:sz w:val="21"/>
          <w:szCs w:val="21"/>
        </w:rPr>
        <w:t xml:space="preserve">Visit the </w:t>
      </w:r>
      <w:r w:rsidRPr="00DE2AA8">
        <w:rPr>
          <w:rFonts w:asciiTheme="minorHAnsi" w:hAnsiTheme="minorHAnsi" w:cstheme="minorHAnsi"/>
          <w:sz w:val="21"/>
          <w:szCs w:val="21"/>
        </w:rPr>
        <w:t>ACOG</w:t>
      </w:r>
      <w:r>
        <w:rPr>
          <w:rFonts w:asciiTheme="minorHAnsi" w:hAnsiTheme="minorHAnsi" w:cstheme="minorHAnsi"/>
          <w:sz w:val="21"/>
          <w:szCs w:val="21"/>
        </w:rPr>
        <w:t xml:space="preserve"> website for</w:t>
      </w:r>
      <w:r w:rsidRPr="00DE2AA8">
        <w:rPr>
          <w:rFonts w:asciiTheme="minorHAnsi" w:hAnsiTheme="minorHAnsi" w:cstheme="minorHAnsi"/>
          <w:sz w:val="21"/>
          <w:szCs w:val="21"/>
        </w:rPr>
        <w:t xml:space="preserve"> COVID-19 resources for individuals, families, and health care professionals</w:t>
      </w:r>
      <w:r>
        <w:rPr>
          <w:rFonts w:asciiTheme="minorHAnsi" w:hAnsiTheme="minorHAnsi" w:cstheme="minorHAnsi"/>
          <w:sz w:val="21"/>
          <w:szCs w:val="21"/>
        </w:rPr>
        <w:t xml:space="preserve">, including these </w:t>
      </w:r>
      <w:r w:rsidRPr="00C81D84">
        <w:rPr>
          <w:rFonts w:asciiTheme="minorHAnsi" w:hAnsiTheme="minorHAnsi" w:cstheme="minorHAnsi"/>
          <w:b/>
          <w:bCs/>
          <w:sz w:val="21"/>
          <w:szCs w:val="21"/>
        </w:rPr>
        <w:t>two new items:</w:t>
      </w:r>
    </w:p>
    <w:p w14:paraId="3C221158" w14:textId="77777777" w:rsidR="00D7479C"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ACOG’s first-ever video PSA encouraging all people who are pregnant, thinking about becoming pregnant, and lactating to get vaccinated against COVID-19. This PSA is designed to work on multiple platforms including TV, radio, social media, and websites. You can find the PSA here: </w:t>
      </w:r>
      <w:hyperlink r:id="rId46" w:history="1">
        <w:r w:rsidRPr="00C81D84">
          <w:rPr>
            <w:rStyle w:val="Hyperlink"/>
            <w:rFonts w:asciiTheme="minorHAnsi" w:hAnsiTheme="minorHAnsi" w:cstheme="minorHAnsi"/>
            <w:sz w:val="21"/>
            <w:szCs w:val="21"/>
          </w:rPr>
          <w:t>www.acog.org/covidvaccine</w:t>
        </w:r>
      </w:hyperlink>
      <w:r w:rsidRPr="00C81D84">
        <w:rPr>
          <w:rFonts w:asciiTheme="minorHAnsi" w:hAnsiTheme="minorHAnsi" w:cstheme="minorHAnsi"/>
          <w:sz w:val="21"/>
          <w:szCs w:val="21"/>
        </w:rPr>
        <w:t> and on ACOG’s Twitter page: </w:t>
      </w:r>
      <w:hyperlink r:id="rId47" w:history="1">
        <w:r w:rsidRPr="00C81D84">
          <w:rPr>
            <w:rStyle w:val="Hyperlink"/>
            <w:rFonts w:asciiTheme="minorHAnsi" w:hAnsiTheme="minorHAnsi" w:cstheme="minorHAnsi"/>
            <w:sz w:val="21"/>
            <w:szCs w:val="21"/>
          </w:rPr>
          <w:t>@ACOG</w:t>
        </w:r>
      </w:hyperlink>
    </w:p>
    <w:p w14:paraId="0200383C" w14:textId="77777777" w:rsidR="00D7479C" w:rsidRPr="00C81D84"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COVID-19 Patient Education Video, which can be shared on clinician websites and via social media. ACOG hopes that this resource helps to support clinicians and partners in counseling their patients to get vaccinated against COVID-19. </w:t>
      </w:r>
      <w:hyperlink r:id="rId48" w:history="1">
        <w:r w:rsidRPr="00C81D84">
          <w:rPr>
            <w:rStyle w:val="Hyperlink"/>
            <w:rFonts w:asciiTheme="minorHAnsi" w:hAnsiTheme="minorHAnsi" w:cstheme="minorHAnsi"/>
            <w:sz w:val="21"/>
            <w:szCs w:val="21"/>
          </w:rPr>
          <w:t>Get Your Recommended COVID-19 Vaccine During Pregnancy | ACOG</w:t>
        </w:r>
      </w:hyperlink>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49"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0"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51"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67C6B19B" w14:textId="7DAD7938" w:rsidR="00A63FB6" w:rsidRDefault="00A63FB6" w:rsidP="003839EF">
      <w:pPr>
        <w:shd w:val="clear" w:color="auto" w:fill="FFFFFF"/>
        <w:rPr>
          <w:rFonts w:ascii="Calibri" w:hAnsi="Calibri"/>
          <w:b/>
          <w:bCs/>
          <w:color w:val="000000" w:themeColor="text1"/>
          <w:sz w:val="21"/>
          <w:szCs w:val="21"/>
        </w:rPr>
      </w:pPr>
    </w:p>
    <w:p w14:paraId="03105E6C" w14:textId="2602F920" w:rsidR="00A37041" w:rsidRDefault="00A37041" w:rsidP="003839EF">
      <w:pPr>
        <w:shd w:val="clear" w:color="auto" w:fill="FFFFFF"/>
        <w:rPr>
          <w:rFonts w:ascii="Calibri" w:hAnsi="Calibri"/>
          <w:b/>
          <w:bCs/>
          <w:color w:val="000000" w:themeColor="text1"/>
          <w:sz w:val="21"/>
          <w:szCs w:val="21"/>
        </w:rPr>
      </w:pPr>
    </w:p>
    <w:p w14:paraId="5B1C1AB1" w14:textId="6038CF84" w:rsidR="00A37041" w:rsidRDefault="00A37041" w:rsidP="003839EF">
      <w:pPr>
        <w:shd w:val="clear" w:color="auto" w:fill="FFFFFF"/>
        <w:rPr>
          <w:rFonts w:ascii="Calibri" w:hAnsi="Calibri"/>
          <w:b/>
          <w:bCs/>
          <w:color w:val="000000" w:themeColor="text1"/>
          <w:sz w:val="21"/>
          <w:szCs w:val="21"/>
        </w:rPr>
      </w:pPr>
    </w:p>
    <w:p w14:paraId="7E7DE546" w14:textId="3ED1A4F7" w:rsidR="00A37041" w:rsidRDefault="00A37041" w:rsidP="003839EF">
      <w:pPr>
        <w:shd w:val="clear" w:color="auto" w:fill="FFFFFF"/>
        <w:rPr>
          <w:rFonts w:ascii="Calibri" w:hAnsi="Calibri"/>
          <w:b/>
          <w:bCs/>
          <w:color w:val="000000" w:themeColor="text1"/>
          <w:sz w:val="21"/>
          <w:szCs w:val="21"/>
        </w:rPr>
      </w:pPr>
    </w:p>
    <w:p w14:paraId="0BB27F5C" w14:textId="59CCA7EA" w:rsidR="00A37041" w:rsidRDefault="00A37041" w:rsidP="003839EF">
      <w:pPr>
        <w:shd w:val="clear" w:color="auto" w:fill="FFFFFF"/>
        <w:rPr>
          <w:rFonts w:ascii="Calibri" w:hAnsi="Calibri"/>
          <w:b/>
          <w:bCs/>
          <w:color w:val="000000" w:themeColor="text1"/>
          <w:sz w:val="21"/>
          <w:szCs w:val="21"/>
        </w:rPr>
      </w:pPr>
    </w:p>
    <w:p w14:paraId="1B529E64" w14:textId="77777777" w:rsidR="00A37041" w:rsidRDefault="00A37041" w:rsidP="003839EF">
      <w:pPr>
        <w:shd w:val="clear" w:color="auto" w:fill="FFFFFF"/>
        <w:rPr>
          <w:rFonts w:ascii="Calibri" w:hAnsi="Calibri"/>
          <w:b/>
          <w:bCs/>
          <w:color w:val="000000" w:themeColor="text1"/>
          <w:sz w:val="21"/>
          <w:szCs w:val="21"/>
        </w:rPr>
      </w:pPr>
    </w:p>
    <w:p w14:paraId="32A88C16" w14:textId="0C662DDA"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lastRenderedPageBreak/>
        <w:t xml:space="preserve">Recent </w:t>
      </w:r>
      <w:r w:rsidR="00D17C3E" w:rsidRPr="004E44FD">
        <w:rPr>
          <w:rFonts w:ascii="Calibri" w:hAnsi="Calibri"/>
          <w:b/>
          <w:bCs/>
          <w:color w:val="000000" w:themeColor="text1"/>
          <w:sz w:val="21"/>
          <w:szCs w:val="21"/>
        </w:rPr>
        <w:t>CDC MMWRs</w:t>
      </w:r>
    </w:p>
    <w:p w14:paraId="41531E36" w14:textId="2CBAD2BD" w:rsidR="00B75D50" w:rsidRDefault="00B75D50" w:rsidP="003839EF">
      <w:pPr>
        <w:shd w:val="clear" w:color="auto" w:fill="FFFFFF"/>
        <w:rPr>
          <w:rFonts w:ascii="Calibri" w:hAnsi="Calibri"/>
          <w:b/>
          <w:bCs/>
          <w:color w:val="000000" w:themeColor="text1"/>
          <w:sz w:val="21"/>
          <w:szCs w:val="21"/>
        </w:rPr>
      </w:pPr>
    </w:p>
    <w:p w14:paraId="75340ACC" w14:textId="77777777" w:rsidR="00632243" w:rsidRDefault="00632243" w:rsidP="00632243">
      <w:pPr>
        <w:shd w:val="clear" w:color="auto" w:fill="FFFFFF"/>
        <w:rPr>
          <w:rFonts w:ascii="Calibri" w:hAnsi="Calibri"/>
          <w:color w:val="000000" w:themeColor="text1"/>
          <w:sz w:val="21"/>
          <w:szCs w:val="21"/>
        </w:rPr>
      </w:pPr>
      <w:r w:rsidRPr="00B75D50">
        <w:rPr>
          <w:rFonts w:ascii="Calibri" w:hAnsi="Calibri"/>
          <w:color w:val="000000" w:themeColor="text1"/>
          <w:sz w:val="21"/>
          <w:szCs w:val="21"/>
        </w:rPr>
        <w:t>March 4, 2022</w:t>
      </w:r>
    </w:p>
    <w:p w14:paraId="688F39EE" w14:textId="77777777" w:rsidR="00632243" w:rsidRPr="00B75D50" w:rsidRDefault="00632243" w:rsidP="00632243">
      <w:pPr>
        <w:shd w:val="clear" w:color="auto" w:fill="FFFFFF"/>
        <w:rPr>
          <w:rFonts w:ascii="Calibri" w:hAnsi="Calibri"/>
          <w:color w:val="000000" w:themeColor="text1"/>
          <w:sz w:val="21"/>
          <w:szCs w:val="21"/>
        </w:rPr>
      </w:pPr>
    </w:p>
    <w:p w14:paraId="59AE492F" w14:textId="77777777" w:rsidR="00632243" w:rsidRDefault="00E86C8D" w:rsidP="00632243">
      <w:pPr>
        <w:numPr>
          <w:ilvl w:val="0"/>
          <w:numId w:val="25"/>
        </w:numPr>
        <w:shd w:val="clear" w:color="auto" w:fill="FFFFFF"/>
        <w:rPr>
          <w:rFonts w:ascii="Calibri" w:hAnsi="Calibri"/>
          <w:color w:val="000000" w:themeColor="text1"/>
          <w:sz w:val="21"/>
          <w:szCs w:val="21"/>
        </w:rPr>
      </w:pPr>
      <w:hyperlink r:id="rId52" w:history="1">
        <w:r w:rsidR="00632243" w:rsidRPr="00B75D50">
          <w:rPr>
            <w:rStyle w:val="Hyperlink"/>
            <w:rFonts w:ascii="Calibri" w:hAnsi="Calibri"/>
            <w:sz w:val="21"/>
            <w:szCs w:val="21"/>
          </w:rPr>
          <w:t>Disparities in COVID-19 Vaccination Coverage Between Urban and Rural Counties — United States, December 14, 2020–January 31, 2022</w:t>
        </w:r>
      </w:hyperlink>
    </w:p>
    <w:p w14:paraId="0E3A753B" w14:textId="77777777" w:rsidR="00632243" w:rsidRPr="00B75D50" w:rsidRDefault="00632243" w:rsidP="00632243">
      <w:pPr>
        <w:shd w:val="clear" w:color="auto" w:fill="FFFFFF"/>
        <w:ind w:left="720"/>
        <w:rPr>
          <w:rFonts w:ascii="Calibri" w:hAnsi="Calibri"/>
          <w:color w:val="000000" w:themeColor="text1"/>
          <w:sz w:val="21"/>
          <w:szCs w:val="21"/>
        </w:rPr>
      </w:pPr>
    </w:p>
    <w:p w14:paraId="73B01426" w14:textId="77777777" w:rsidR="00632243" w:rsidRDefault="00E86C8D" w:rsidP="00632243">
      <w:pPr>
        <w:numPr>
          <w:ilvl w:val="0"/>
          <w:numId w:val="25"/>
        </w:numPr>
        <w:shd w:val="clear" w:color="auto" w:fill="FFFFFF"/>
        <w:rPr>
          <w:rFonts w:ascii="Calibri" w:hAnsi="Calibri"/>
          <w:color w:val="000000" w:themeColor="text1"/>
          <w:sz w:val="21"/>
          <w:szCs w:val="21"/>
        </w:rPr>
      </w:pPr>
      <w:hyperlink r:id="rId53" w:history="1">
        <w:r w:rsidR="00632243" w:rsidRPr="00B75D50">
          <w:rPr>
            <w:rStyle w:val="Hyperlink"/>
            <w:rFonts w:ascii="Calibri" w:hAnsi="Calibri"/>
            <w:sz w:val="21"/>
            <w:szCs w:val="21"/>
          </w:rPr>
          <w:t>SARS-CoV-2 B.1.1.529 (Omicron) Variant Transmission Within Households — Four U.S. Jurisdictions, November 2021–February 2022</w:t>
        </w:r>
      </w:hyperlink>
    </w:p>
    <w:p w14:paraId="4501ED17" w14:textId="77777777" w:rsidR="00632243" w:rsidRPr="00B75D50" w:rsidRDefault="00632243" w:rsidP="00632243">
      <w:pPr>
        <w:shd w:val="clear" w:color="auto" w:fill="FFFFFF"/>
        <w:rPr>
          <w:rFonts w:ascii="Calibri" w:hAnsi="Calibri"/>
          <w:color w:val="000000" w:themeColor="text1"/>
          <w:sz w:val="21"/>
          <w:szCs w:val="21"/>
        </w:rPr>
      </w:pPr>
    </w:p>
    <w:p w14:paraId="75F16BC9" w14:textId="77777777" w:rsidR="00632243" w:rsidRDefault="00E86C8D" w:rsidP="00632243">
      <w:pPr>
        <w:numPr>
          <w:ilvl w:val="0"/>
          <w:numId w:val="25"/>
        </w:numPr>
        <w:shd w:val="clear" w:color="auto" w:fill="FFFFFF"/>
        <w:rPr>
          <w:rFonts w:ascii="Calibri" w:hAnsi="Calibri"/>
          <w:color w:val="000000" w:themeColor="text1"/>
          <w:sz w:val="21"/>
          <w:szCs w:val="21"/>
        </w:rPr>
      </w:pPr>
      <w:hyperlink r:id="rId54" w:history="1">
        <w:r w:rsidR="00632243" w:rsidRPr="00B75D50">
          <w:rPr>
            <w:rStyle w:val="Hyperlink"/>
            <w:rFonts w:ascii="Calibri" w:hAnsi="Calibri"/>
            <w:sz w:val="21"/>
            <w:szCs w:val="21"/>
          </w:rPr>
          <w:t>Safety Monitoring of COVID-19 Vaccine Booster Doses Among Persons Aged 12–17 Years — United States, December 9, 2021–February 20, 2022</w:t>
        </w:r>
      </w:hyperlink>
    </w:p>
    <w:p w14:paraId="49C0F574" w14:textId="77777777" w:rsidR="00632243" w:rsidRPr="00B75D50" w:rsidRDefault="00632243" w:rsidP="00632243">
      <w:pPr>
        <w:shd w:val="clear" w:color="auto" w:fill="FFFFFF"/>
        <w:rPr>
          <w:rFonts w:ascii="Calibri" w:hAnsi="Calibri"/>
          <w:color w:val="000000" w:themeColor="text1"/>
          <w:sz w:val="21"/>
          <w:szCs w:val="21"/>
        </w:rPr>
      </w:pPr>
    </w:p>
    <w:p w14:paraId="39D86FDB" w14:textId="718EE134" w:rsidR="00632243" w:rsidRPr="007651EC" w:rsidRDefault="00E86C8D" w:rsidP="006F2D15">
      <w:pPr>
        <w:numPr>
          <w:ilvl w:val="0"/>
          <w:numId w:val="25"/>
        </w:numPr>
        <w:shd w:val="clear" w:color="auto" w:fill="FFFFFF"/>
        <w:rPr>
          <w:rFonts w:ascii="Calibri" w:hAnsi="Calibri"/>
          <w:color w:val="000000" w:themeColor="text1"/>
          <w:sz w:val="21"/>
          <w:szCs w:val="21"/>
        </w:rPr>
      </w:pPr>
      <w:hyperlink r:id="rId55" w:history="1">
        <w:r w:rsidR="00632243" w:rsidRPr="00B75D50">
          <w:rPr>
            <w:rStyle w:val="Hyperlink"/>
            <w:rFonts w:ascii="Calibri" w:hAnsi="Calibri"/>
            <w:sz w:val="21"/>
            <w:szCs w:val="21"/>
          </w:rPr>
          <w:t>Effectiveness of COVID-19 Pfizer-BioNTech BNT162b2 mRNA Vaccination in Preventing COVID-19–Associated Emergency Department and Urgent Care Encounters and Hospitalizations Among Nonimmunocompromised Children and Adolescents Aged 5–17 Years — VISION Network, 10 States, April 2021–January 2022</w:t>
        </w:r>
      </w:hyperlink>
    </w:p>
    <w:p w14:paraId="49225347" w14:textId="77777777" w:rsidR="00632243" w:rsidRDefault="00632243"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56"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57"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58"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59"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60"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E86C8D" w:rsidP="00FF272B">
      <w:pPr>
        <w:numPr>
          <w:ilvl w:val="0"/>
          <w:numId w:val="2"/>
        </w:numPr>
        <w:shd w:val="clear" w:color="auto" w:fill="FFFFFF"/>
        <w:ind w:left="1080"/>
        <w:rPr>
          <w:rFonts w:ascii="Calibri" w:hAnsi="Calibri"/>
          <w:color w:val="36495F"/>
          <w:sz w:val="21"/>
          <w:szCs w:val="21"/>
        </w:rPr>
      </w:pPr>
      <w:hyperlink r:id="rId61"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Resources related to Coronavirus Disease 2019 (COVID-19) in multiple languages. Includes videos and printables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r w:rsidRPr="00752738">
        <w:rPr>
          <w:rFonts w:ascii="Calibri" w:hAnsi="Calibri"/>
          <w:color w:val="000000"/>
          <w:sz w:val="21"/>
          <w:szCs w:val="21"/>
          <w:lang w:val="fr-FR"/>
        </w:rPr>
        <w:t>Website: </w:t>
      </w:r>
      <w:hyperlink r:id="rId62"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63"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64"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65"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Website:</w:t>
      </w:r>
      <w:r w:rsidRPr="00752738">
        <w:rPr>
          <w:rFonts w:ascii="Calibri" w:hAnsi="Calibri"/>
          <w:color w:val="4278EB"/>
          <w:sz w:val="21"/>
          <w:szCs w:val="21"/>
          <w:lang w:val="fr-FR"/>
        </w:rPr>
        <w:t> </w:t>
      </w:r>
      <w:hyperlink r:id="rId66"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67"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68"/>
      <w:footerReference w:type="default" r:id="rId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5E6E" w14:textId="77777777" w:rsidR="00117F09" w:rsidRDefault="00117F09" w:rsidP="003D3EDE">
      <w:r>
        <w:separator/>
      </w:r>
    </w:p>
  </w:endnote>
  <w:endnote w:type="continuationSeparator" w:id="0">
    <w:p w14:paraId="1EA79557" w14:textId="77777777" w:rsidR="00117F09" w:rsidRDefault="00117F09"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770F" w14:textId="77777777" w:rsidR="00117F09" w:rsidRDefault="00117F09" w:rsidP="003D3EDE">
      <w:r>
        <w:separator/>
      </w:r>
    </w:p>
  </w:footnote>
  <w:footnote w:type="continuationSeparator" w:id="0">
    <w:p w14:paraId="0F7A2406" w14:textId="77777777" w:rsidR="00117F09" w:rsidRDefault="00117F09"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6C4AAC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50951"/>
    <w:multiLevelType w:val="hybridMultilevel"/>
    <w:tmpl w:val="18A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F3A46"/>
    <w:multiLevelType w:val="hybridMultilevel"/>
    <w:tmpl w:val="842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44A8B"/>
    <w:multiLevelType w:val="multilevel"/>
    <w:tmpl w:val="0F0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4"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
  </w:num>
  <w:num w:numId="3">
    <w:abstractNumId w:val="12"/>
  </w:num>
  <w:num w:numId="4">
    <w:abstractNumId w:val="17"/>
  </w:num>
  <w:num w:numId="5">
    <w:abstractNumId w:val="1"/>
  </w:num>
  <w:num w:numId="6">
    <w:abstractNumId w:val="7"/>
  </w:num>
  <w:num w:numId="7">
    <w:abstractNumId w:val="23"/>
  </w:num>
  <w:num w:numId="8">
    <w:abstractNumId w:val="6"/>
  </w:num>
  <w:num w:numId="9">
    <w:abstractNumId w:val="18"/>
  </w:num>
  <w:num w:numId="10">
    <w:abstractNumId w:val="20"/>
  </w:num>
  <w:num w:numId="11">
    <w:abstractNumId w:val="8"/>
  </w:num>
  <w:num w:numId="12">
    <w:abstractNumId w:val="15"/>
  </w:num>
  <w:num w:numId="13">
    <w:abstractNumId w:val="11"/>
  </w:num>
  <w:num w:numId="14">
    <w:abstractNumId w:val="13"/>
  </w:num>
  <w:num w:numId="15">
    <w:abstractNumId w:val="4"/>
  </w:num>
  <w:num w:numId="16">
    <w:abstractNumId w:val="3"/>
  </w:num>
  <w:num w:numId="17">
    <w:abstractNumId w:val="19"/>
  </w:num>
  <w:num w:numId="18">
    <w:abstractNumId w:val="21"/>
  </w:num>
  <w:num w:numId="19">
    <w:abstractNumId w:val="24"/>
  </w:num>
  <w:num w:numId="20">
    <w:abstractNumId w:val="0"/>
  </w:num>
  <w:num w:numId="21">
    <w:abstractNumId w:val="22"/>
  </w:num>
  <w:num w:numId="22">
    <w:abstractNumId w:val="9"/>
  </w:num>
  <w:num w:numId="23">
    <w:abstractNumId w:val="5"/>
  </w:num>
  <w:num w:numId="24">
    <w:abstractNumId w:val="26"/>
  </w:num>
  <w:num w:numId="25">
    <w:abstractNumId w:val="16"/>
  </w:num>
  <w:num w:numId="26">
    <w:abstractNumId w:val="10"/>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3AD9"/>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1EC"/>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B01"/>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8FC"/>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21B"/>
    <w:rsid w:val="00F46888"/>
    <w:rsid w:val="00F46A00"/>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covid-19-vaccines-us.html" TargetMode="External"/><Relationship Id="rId18" Type="http://schemas.openxmlformats.org/officeDocument/2006/relationships/image" Target="media/image6.png"/><Relationship Id="rId26" Type="http://schemas.openxmlformats.org/officeDocument/2006/relationships/hyperlink" Target="https://www.fda.gov/media/153713/download" TargetMode="External"/><Relationship Id="rId39" Type="http://schemas.openxmlformats.org/officeDocument/2006/relationships/hyperlink" Target="https://www.cdc.gov/vaccines/covid-19/eui/downloads/EUI-FAQ.pdf" TargetMode="External"/><Relationship Id="rId21"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34" Type="http://schemas.openxmlformats.org/officeDocument/2006/relationships/hyperlink" Target="https://www.fda.gov/media/146305/download" TargetMode="External"/><Relationship Id="rId42" Type="http://schemas.openxmlformats.org/officeDocument/2006/relationships/hyperlink" Target="https://www2.cdc.gov/vaccines/ed/covid19/" TargetMode="External"/><Relationship Id="rId47" Type="http://schemas.openxmlformats.org/officeDocument/2006/relationships/hyperlink" Target="https://urldefense.com/v3/__https:/izsummitpartners.us5.list-manage.com/track/click?u=63fa859772a808b03f5b61467&amp;id=e4b93dadaa&amp;e=ccdbed0273__;!!CUhgQOZqV7M!1TMkE7eEHjlhl2eBeHYekhsE3oUNFY8hObXgvVv6B_LwtZd00WQT8XWc2Mys6Z0-OQdzbTU$" TargetMode="External"/><Relationship Id="rId50" Type="http://schemas.openxmlformats.org/officeDocument/2006/relationships/hyperlink" Target="https://urldefense.com/v3/__https:/www.pfizermedicalinformation.com/en-us/medical-updates__;!!CUhgQOZqV7M!wnopdixLkKhCVeMjUiwcd-KVQVUN9jXipkisyDlTme9oe3pB9EYR1yJo7AhKgBWejq3FUBI$" TargetMode="External"/><Relationship Id="rId55" Type="http://schemas.openxmlformats.org/officeDocument/2006/relationships/hyperlink" Target="https://www.cdc.gov/mmwr/volumes/71/wr/mm7109e3.htm?s_cid=mm7109e3_w" TargetMode="External"/><Relationship Id="rId63" Type="http://schemas.openxmlformats.org/officeDocument/2006/relationships/hyperlink" Target="mailto:miishelpdesk@mass.gov"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vaccines/covid-19/clinical-considerations/covid-19-vaccines-us.html" TargetMode="External"/><Relationship Id="rId29" Type="http://schemas.openxmlformats.org/officeDocument/2006/relationships/hyperlink" Target="https://www.fda.gov/media/144414/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cdc.gov/vaccines/covid-19/info-by-product/pfizer/bioNTech-purple-cap-12-and-over.html" TargetMode="External"/><Relationship Id="rId32" Type="http://schemas.openxmlformats.org/officeDocument/2006/relationships/hyperlink" Target="https://www.fda.gov/media/144638/download" TargetMode="External"/><Relationship Id="rId37" Type="http://schemas.openxmlformats.org/officeDocument/2006/relationships/hyperlink" Target="https://www.cdc.gov/vaccines/covid-19/eui/downloads/Moderna-HCP.pdf" TargetMode="External"/><Relationship Id="rId40" Type="http://schemas.openxmlformats.org/officeDocument/2006/relationships/hyperlink" Target="https://2qsf1u174j2d3r972h1pj24g-wpengine.netdna-ssl.com/wp-content/uploads/2022/01/MAIC-SavetheDate-2022.pdf" TargetMode="External"/><Relationship Id="rId45" Type="http://schemas.openxmlformats.org/officeDocument/2006/relationships/hyperlink" Target="https://edit.mass.gov/info-details/trust-the-facts-get-the-vax-campaign-materials-for-parents-and-pregnant-people" TargetMode="External"/><Relationship Id="rId53" Type="http://schemas.openxmlformats.org/officeDocument/2006/relationships/hyperlink" Target="https://www.cdc.gov/mmwr/volumes/71/wr/mm7109e1.htm?s_cid=mm7109e1_w" TargetMode="External"/><Relationship Id="rId58" Type="http://schemas.openxmlformats.org/officeDocument/2006/relationships/hyperlink" Target="https://www.mass.gov/info-details/covid-19-booster-frequently-asked-questions" TargetMode="External"/><Relationship Id="rId66" Type="http://schemas.openxmlformats.org/officeDocument/2006/relationships/hyperlink" Target="https://www.mass.gov/service-details/vaccine-management" TargetMode="External"/><Relationship Id="rId5" Type="http://schemas.openxmlformats.org/officeDocument/2006/relationships/webSettings" Target="webSettings.xml"/><Relationship Id="rId15" Type="http://schemas.openxmlformats.org/officeDocument/2006/relationships/hyperlink" Target="https://www.cdc.gov/vaccines/covid-19/clinical-considerations/covid-19-vaccines-us.html" TargetMode="External"/><Relationship Id="rId23" Type="http://schemas.openxmlformats.org/officeDocument/2006/relationships/hyperlink" Target="https://www.cdc.gov/vaccines/covid-19/info-by-product/pfizer/pfizer-bioNTech-children-adolescents.html" TargetMode="External"/><Relationship Id="rId28" Type="http://schemas.openxmlformats.org/officeDocument/2006/relationships/hyperlink" Target="https://www.fda.gov/media/153714/download" TargetMode="External"/><Relationship Id="rId36" Type="http://schemas.openxmlformats.org/officeDocument/2006/relationships/hyperlink" Target="https://www.cdc.gov/vaccines/covid-19/eui/downloads/Pfizer-Caregiver.pdf" TargetMode="External"/><Relationship Id="rId49" Type="http://schemas.openxmlformats.org/officeDocument/2006/relationships/hyperlink" Target="https://www.cdc.gov/vaccines/covid-19/hcp/conversations-module.html" TargetMode="External"/><Relationship Id="rId57" Type="http://schemas.openxmlformats.org/officeDocument/2006/relationships/hyperlink" Target="https://www.mass.gov/info-details/covid-19-booster-frequently-asked-questions" TargetMode="External"/><Relationship Id="rId61" Type="http://schemas.openxmlformats.org/officeDocument/2006/relationships/hyperlink" Target="https://www.mass.gov/resource/multilingual-covid-19-materials" TargetMode="External"/><Relationship Id="rId10" Type="http://schemas.openxmlformats.org/officeDocument/2006/relationships/image" Target="media/image2.png"/><Relationship Id="rId19" Type="http://schemas.openxmlformats.org/officeDocument/2006/relationships/hyperlink" Target="https://www.cdc.gov/vaccines/covid-19/clinical-considerations/covid-19-vaccines-us.html" TargetMode="External"/><Relationship Id="rId31" Type="http://schemas.openxmlformats.org/officeDocument/2006/relationships/hyperlink" Target="https://www.fda.gov/media/144637/download" TargetMode="External"/><Relationship Id="rId44" Type="http://schemas.openxmlformats.org/officeDocument/2006/relationships/hyperlink" Target="https://www.cdc.gov/vaccines/covid-19/downloads/covid19-vaccine-quick-reference-guide-2pages.pdf" TargetMode="External"/><Relationship Id="rId52" Type="http://schemas.openxmlformats.org/officeDocument/2006/relationships/hyperlink" Target="https://www.cdc.gov/mmwr/volumes/71/wr/mm7109a2.htm?s_cid=mm7109a2_w" TargetMode="External"/><Relationship Id="rId60" Type="http://schemas.openxmlformats.org/officeDocument/2006/relationships/hyperlink" Target="https://www.mass.gov/info-details/covid-19-vaccine-training-and-education-resources-for-providers" TargetMode="External"/><Relationship Id="rId65" Type="http://schemas.openxmlformats.org/officeDocument/2006/relationships/hyperlink" Target="mailto:dph-vaccine-management@mass.gov" TargetMode="External"/><Relationship Id="rId4" Type="http://schemas.openxmlformats.org/officeDocument/2006/relationships/settings" Target="settings.xml"/><Relationship Id="rId9" Type="http://schemas.openxmlformats.org/officeDocument/2006/relationships/hyperlink" Target="https://urldefense.com/v3/__https:/vaxcheck.jnj/__;!!CUhgQOZqV7M!zEv28L-df7c0m9sgy5ElIJ6sdQk2L8zdkKTm2I8nHsrznLRILAyYzt6RFSxsgXmKHyKHGXM$" TargetMode="External"/><Relationship Id="rId14" Type="http://schemas.openxmlformats.org/officeDocument/2006/relationships/hyperlink" Target="https://www.cdc.gov/vaccines/covid-19/clinical-considerations/covid-19-vaccines-us.html" TargetMode="External"/><Relationship Id="rId22" Type="http://schemas.openxmlformats.org/officeDocument/2006/relationships/hyperlink" Target="https://urldefense.com/v3/__https:/vaxcheck.jnj/__;!!CUhgQOZqV7M!yGxVYV8BHtqcZ60FKi8HB3uTYxz3dJj1bcC-2OzWyfsACxpCz6nJTr6JC4lms1wWIR4woRQ$" TargetMode="External"/><Relationship Id="rId27" Type="http://schemas.openxmlformats.org/officeDocument/2006/relationships/hyperlink" Target="https://www.fda.gov/media/153715/download" TargetMode="External"/><Relationship Id="rId30" Type="http://schemas.openxmlformats.org/officeDocument/2006/relationships/hyperlink" Target="https://www.fda.gov/media/153717/download" TargetMode="External"/><Relationship Id="rId35" Type="http://schemas.openxmlformats.org/officeDocument/2006/relationships/hyperlink" Target="https://www.cdc.gov/vaccines/covid-19/eui/downloads/pfizer-HCP.pdf" TargetMode="External"/><Relationship Id="rId43" Type="http://schemas.openxmlformats.org/officeDocument/2006/relationships/hyperlink" Target="https://www.cdc.gov/vaccines/covid-19/training-education/webinars.html" TargetMode="External"/><Relationship Id="rId48" Type="http://schemas.openxmlformats.org/officeDocument/2006/relationships/hyperlink" Target="https://urldefense.com/v3/__https:/izsummitpartners.us5.list-manage.com/track/click?u=63fa859772a808b03f5b61467&amp;id=399bdd6782&amp;e=ccdbed0273__;!!CUhgQOZqV7M!1TMkE7eEHjlhl2eBeHYekhsE3oUNFY8hObXgvVv6B_LwtZd00WQT8XWc2Mys6Z0-pbLprUU$" TargetMode="External"/><Relationship Id="rId56" Type="http://schemas.openxmlformats.org/officeDocument/2006/relationships/hyperlink" Target="https://www.mass.gov/covid-19-vaccine" TargetMode="External"/><Relationship Id="rId64" Type="http://schemas.openxmlformats.org/officeDocument/2006/relationships/hyperlink" Target="https://www.mass.gov/service-details/massachusetts-immunization-information-system-miis"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cdc.gov/mmwr/covid19_vaccine_safety.html"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s://www.cdc.gov/vaccines/covid-19/info-by-product/pfizer/bioNTech-gray-cap-12-and-over.html" TargetMode="External"/><Relationship Id="rId33" Type="http://schemas.openxmlformats.org/officeDocument/2006/relationships/hyperlink" Target="https://www.fda.gov/media/146304/download" TargetMode="External"/><Relationship Id="rId38" Type="http://schemas.openxmlformats.org/officeDocument/2006/relationships/hyperlink" Target="https://www.cdc.gov/vaccines/covid-19/eui/downloads/Moderna-Caregiver.pdf" TargetMode="External"/><Relationship Id="rId46" Type="http://schemas.openxmlformats.org/officeDocument/2006/relationships/hyperlink" Target="https://urldefense.com/v3/__https:/izsummitpartners.us5.list-manage.com/track/click?u=63fa859772a808b03f5b61467&amp;id=8456ef33a4&amp;e=ccdbed0273__;!!CUhgQOZqV7M!1TMkE7eEHjlhl2eBeHYekhsE3oUNFY8hObXgvVv6B_LwtZd00WQT8XWc2Mys6Z0-4zVuwgg$" TargetMode="External"/><Relationship Id="rId59" Type="http://schemas.openxmlformats.org/officeDocument/2006/relationships/hyperlink" Target="https://vaxfinder.mass.gov/" TargetMode="External"/><Relationship Id="rId67" Type="http://schemas.openxmlformats.org/officeDocument/2006/relationships/hyperlink" Target="mailto:COVID-19-Vaccine-Plan-MA@mass.gov" TargetMode="External"/><Relationship Id="rId20"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41" Type="http://schemas.openxmlformats.org/officeDocument/2006/relationships/hyperlink" Target="https://cvent.me/Ezxv3y?RefId=DPH" TargetMode="External"/><Relationship Id="rId54" Type="http://schemas.openxmlformats.org/officeDocument/2006/relationships/hyperlink" Target="https://www.cdc.gov/mmwr/volumes/71/wr/mm7109e2.htm?s_cid=mm7109e2_w" TargetMode="External"/><Relationship Id="rId62" Type="http://schemas.openxmlformats.org/officeDocument/2006/relationships/hyperlink" Target="https://www.mass.gov/topics/immunization"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2022-03-08T13:39:00Z</dcterms:created>
  <dcterms:modified xsi:type="dcterms:W3CDTF">2022-03-08T15:07:00Z</dcterms:modified>
</cp:coreProperties>
</file>