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69FF9BD1">
                <wp:simplePos x="0" y="0"/>
                <wp:positionH relativeFrom="column">
                  <wp:posOffset>233680</wp:posOffset>
                </wp:positionH>
                <wp:positionV relativeFrom="paragraph">
                  <wp:posOffset>107950</wp:posOffset>
                </wp:positionV>
                <wp:extent cx="5857875" cy="5029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029200"/>
                        </a:xfrm>
                        <a:prstGeom prst="rect">
                          <a:avLst/>
                        </a:prstGeom>
                        <a:solidFill>
                          <a:srgbClr val="FFFFFF"/>
                        </a:solidFill>
                        <a:ln w="9525">
                          <a:solidFill>
                            <a:srgbClr val="000000"/>
                          </a:solidFill>
                          <a:miter lim="800000"/>
                          <a:headEnd/>
                          <a:tailEnd/>
                        </a:ln>
                      </wps:spPr>
                      <wps:txbx>
                        <w:txbxContent>
                          <w:p w14:paraId="5B1C1319" w14:textId="16907D96"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r w:rsidR="00C42C75">
                              <w:rPr>
                                <w:rFonts w:ascii="Calibri" w:hAnsi="Calibri"/>
                                <w:b/>
                                <w:u w:val="single"/>
                              </w:rPr>
                              <w:br/>
                            </w:r>
                          </w:p>
                          <w:p w14:paraId="5F159ABE" w14:textId="00FC0308"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w:t>
                            </w:r>
                            <w:r w:rsidR="00B35775">
                              <w:rPr>
                                <w:sz w:val="20"/>
                                <w:szCs w:val="20"/>
                              </w:rPr>
                              <w:t>moderate</w:t>
                            </w:r>
                            <w:r w:rsidRPr="00E46038">
                              <w:rPr>
                                <w:sz w:val="20"/>
                                <w:szCs w:val="20"/>
                              </w:rPr>
                              <w:t xml:space="preserve"> this week.</w:t>
                            </w:r>
                          </w:p>
                          <w:p w14:paraId="7992C44B" w14:textId="25C17455"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A3E0D">
                              <w:rPr>
                                <w:sz w:val="20"/>
                                <w:szCs w:val="20"/>
                              </w:rPr>
                              <w:t>2.59</w:t>
                            </w:r>
                            <w:r w:rsidR="00D31ECB" w:rsidRPr="00E46038">
                              <w:rPr>
                                <w:sz w:val="20"/>
                                <w:szCs w:val="20"/>
                              </w:rPr>
                              <w:t xml:space="preserve">%, which is </w:t>
                            </w:r>
                            <w:r w:rsidR="004A3E0D">
                              <w:rPr>
                                <w:sz w:val="20"/>
                                <w:szCs w:val="20"/>
                              </w:rPr>
                              <w:t xml:space="preserve">higher than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49061C0"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4A3E0D">
                              <w:rPr>
                                <w:sz w:val="20"/>
                                <w:szCs w:val="20"/>
                              </w:rPr>
                              <w:t>97</w:t>
                            </w:r>
                            <w:r w:rsidRPr="00306A88">
                              <w:rPr>
                                <w:sz w:val="20"/>
                                <w:szCs w:val="20"/>
                              </w:rPr>
                              <w:t>%, which i</w:t>
                            </w:r>
                            <w:r w:rsidR="001E3A36">
                              <w:rPr>
                                <w:sz w:val="20"/>
                                <w:szCs w:val="20"/>
                              </w:rPr>
                              <w:t>s</w:t>
                            </w:r>
                            <w:r w:rsidR="001E3A36" w:rsidRPr="001E3A36">
                              <w:rPr>
                                <w:color w:val="000000"/>
                                <w:sz w:val="20"/>
                                <w:szCs w:val="20"/>
                              </w:rPr>
                              <w:t xml:space="preserve"> </w:t>
                            </w:r>
                            <w:r w:rsidR="001E3A36">
                              <w:rPr>
                                <w:color w:val="000000"/>
                                <w:sz w:val="20"/>
                                <w:szCs w:val="20"/>
                              </w:rPr>
                              <w:t>higher than last season</w:t>
                            </w:r>
                            <w:r w:rsidR="004A3E0D">
                              <w:rPr>
                                <w:color w:val="000000"/>
                                <w:sz w:val="20"/>
                                <w:szCs w:val="20"/>
                              </w:rPr>
                              <w:t xml:space="preserve"> and the 2019-2020 </w:t>
                            </w:r>
                            <w:r w:rsidR="001E3A36">
                              <w:rPr>
                                <w:color w:val="000000"/>
                                <w:sz w:val="20"/>
                                <w:szCs w:val="20"/>
                              </w:rPr>
                              <w:t xml:space="preserve">season, </w:t>
                            </w:r>
                            <w:r w:rsidR="004A3E0D">
                              <w:rPr>
                                <w:color w:val="000000"/>
                                <w:sz w:val="20"/>
                                <w:szCs w:val="20"/>
                              </w:rPr>
                              <w:t>but</w:t>
                            </w:r>
                            <w:r w:rsidR="001E3A36">
                              <w:rPr>
                                <w:color w:val="000000"/>
                                <w:sz w:val="20"/>
                                <w:szCs w:val="20"/>
                              </w:rPr>
                              <w:t xml:space="preserve"> lower than the 2018-2019 season</w:t>
                            </w:r>
                            <w:r w:rsidR="0019547C" w:rsidRPr="00306A88">
                              <w:rPr>
                                <w:sz w:val="20"/>
                                <w:szCs w:val="20"/>
                              </w:rPr>
                              <w:t>.</w:t>
                            </w:r>
                          </w:p>
                          <w:p w14:paraId="0D2B5ECD" w14:textId="38CD4786"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r w:rsidR="004A3E0D">
                              <w:rPr>
                                <w:sz w:val="20"/>
                                <w:szCs w:val="20"/>
                              </w:rPr>
                              <w:t>moderate</w:t>
                            </w:r>
                            <w:r w:rsidRPr="00306A88">
                              <w:rPr>
                                <w:sz w:val="20"/>
                                <w:szCs w:val="20"/>
                              </w:rPr>
                              <w:t>.</w:t>
                            </w:r>
                            <w:r w:rsidR="0004124A" w:rsidRPr="00306A88">
                              <w:rPr>
                                <w:color w:val="000000"/>
                                <w:sz w:val="20"/>
                                <w:szCs w:val="20"/>
                              </w:rPr>
                              <w:t xml:space="preserve"> </w:t>
                            </w:r>
                            <w:r w:rsidR="004A3E0D">
                              <w:rPr>
                                <w:color w:val="000000"/>
                                <w:sz w:val="20"/>
                                <w:szCs w:val="20"/>
                              </w:rPr>
                              <w:t>The West region is reporting high ILI activity; the Central, Northeast and Southeast regions are reporting moderate ILI activity;</w:t>
                            </w:r>
                            <w:r w:rsidR="004A3E0D" w:rsidRPr="00E46038">
                              <w:rPr>
                                <w:color w:val="000000"/>
                                <w:sz w:val="20"/>
                                <w:szCs w:val="20"/>
                              </w:rPr>
                              <w:t xml:space="preserve"> </w:t>
                            </w:r>
                            <w:r w:rsidR="004A3E0D">
                              <w:rPr>
                                <w:color w:val="000000"/>
                                <w:sz w:val="20"/>
                                <w:szCs w:val="20"/>
                              </w:rPr>
                              <w:t xml:space="preserve">Boston, Inner Metro Boston and Outer Metro Boston regions are reporting low ILI activity.  </w:t>
                            </w:r>
                          </w:p>
                          <w:p w14:paraId="1CAE017C" w14:textId="4BDC4C61"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w:t>
                            </w:r>
                            <w:r w:rsidR="00B35775">
                              <w:rPr>
                                <w:sz w:val="20"/>
                                <w:szCs w:val="20"/>
                              </w:rPr>
                              <w:t>4</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000E2128">
                              <w:rPr>
                                <w:sz w:val="20"/>
                                <w:szCs w:val="20"/>
                              </w:rPr>
                              <w:t xml:space="preserve"> </w:t>
                            </w:r>
                            <w:r w:rsidR="001A2A0C" w:rsidRPr="001A2A0C">
                              <w:rPr>
                                <w:sz w:val="20"/>
                                <w:szCs w:val="20"/>
                              </w:rPr>
                              <w:t>Over 1800 positive labs for influenza were reported this week</w:t>
                            </w:r>
                            <w:r w:rsidR="00C42C75">
                              <w:rPr>
                                <w:sz w:val="20"/>
                                <w:szCs w:val="20"/>
                              </w:rPr>
                              <w:t>,</w:t>
                            </w:r>
                            <w:r w:rsidR="001A2A0C" w:rsidRPr="001A2A0C">
                              <w:rPr>
                                <w:sz w:val="20"/>
                                <w:szCs w:val="20"/>
                              </w:rPr>
                              <w:t xml:space="preserve"> which is the highest weekly number reported all season causing the second peak of influenza A in Massachusetts, see figure 5</w:t>
                            </w:r>
                            <w:r w:rsidR="001A2A0C">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r w:rsidR="000E2128">
                              <w:rPr>
                                <w:sz w:val="20"/>
                                <w:szCs w:val="20"/>
                              </w:rPr>
                              <w:t xml:space="preserve"> </w:t>
                            </w:r>
                          </w:p>
                          <w:p w14:paraId="2F52BD39" w14:textId="701B5BAC"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w:t>
                            </w:r>
                            <w:r w:rsidR="001E3A36">
                              <w:rPr>
                                <w:sz w:val="20"/>
                                <w:szCs w:val="20"/>
                              </w:rPr>
                              <w:t>8</w:t>
                            </w:r>
                            <w:r w:rsidR="00B91A26">
                              <w:rPr>
                                <w:sz w:val="20"/>
                                <w:szCs w:val="20"/>
                              </w:rPr>
                              <w:t>%.</w:t>
                            </w:r>
                            <w:r w:rsidR="00306A88" w:rsidRPr="00306A88">
                              <w:rPr>
                                <w:sz w:val="20"/>
                                <w:szCs w:val="20"/>
                              </w:rPr>
                              <w:t xml:space="preserve"> See figure 6 and 7 for vaccination data.</w:t>
                            </w:r>
                          </w:p>
                          <w:p w14:paraId="53A7F25F" w14:textId="2228644C" w:rsidR="00884456" w:rsidRPr="00C06F11" w:rsidRDefault="00884456" w:rsidP="00292638">
                            <w:pPr>
                              <w:pStyle w:val="ListParagraph"/>
                              <w:numPr>
                                <w:ilvl w:val="0"/>
                                <w:numId w:val="2"/>
                              </w:numPr>
                              <w:contextualSpacing w:val="0"/>
                              <w:rPr>
                                <w:sz w:val="20"/>
                                <w:szCs w:val="20"/>
                              </w:rPr>
                            </w:pPr>
                            <w:r w:rsidRPr="00C06F11">
                              <w:rPr>
                                <w:sz w:val="20"/>
                                <w:szCs w:val="20"/>
                              </w:rPr>
                              <w:t xml:space="preserve">Nationally, </w:t>
                            </w:r>
                            <w:r w:rsidR="00C06F11" w:rsidRPr="00C06F11">
                              <w:rPr>
                                <w:sz w:val="20"/>
                                <w:szCs w:val="20"/>
                              </w:rPr>
                              <w:t>i</w:t>
                            </w:r>
                            <w:r w:rsidR="00C06F11" w:rsidRPr="00C06F11">
                              <w:rPr>
                                <w:sz w:val="20"/>
                                <w:szCs w:val="20"/>
                              </w:rPr>
                              <w:t>nfluenza activity increased this week. Influenza activity is highest in the central and south-central regions of the country and is increasing in most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FluView Weekly Report at </w:t>
                            </w:r>
                            <w:hyperlink r:id="rId8" w:history="1">
                              <w:r w:rsidRPr="00306A88">
                                <w:rPr>
                                  <w:rStyle w:val="Hyperlink"/>
                                  <w:sz w:val="20"/>
                                  <w:szCs w:val="20"/>
                                </w:rPr>
                                <w:t>www.cdc.gov/flu/weekly</w:t>
                              </w:r>
                            </w:hyperlink>
                            <w:r w:rsidRPr="00306A88">
                              <w:rPr>
                                <w:sz w:val="20"/>
                                <w:szCs w:val="20"/>
                              </w:rPr>
                              <w:t xml:space="preserve"> and FluView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3WKgIAAFE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IlJZp1&#10;KNGTGDx5AwPJAju9cQU6PRp08wMeo8qxUmfugX9xRMOuZboRt9ZC3wpWYXbz8DK5ejriuABy6D9A&#10;hWHY0UMEGmrbBeqQDILoqNL5okxIheNhvsqXq2VOCce7PM3WqH2MwYrn58Y6/05AR8KmpBalj/Ds&#10;dO98SIcVzy4hmgMlq71UKhq2OeyUJSeGbbKP34T+k5vSpC/pOs/ykYG/QqTx+xNEJz32u5JdSVcX&#10;J1YE3t7qKnajZ1KNe0xZ6YnIwN3Ioh8OwyTMAaozUmph7GucQ9y0YL9R0mNPl9R9PTIrKFHvNcqy&#10;ni8WYQiisciXGRr2+uZwfcM0R6iSekrG7c6Pg3M0VjYtRhobQcMtSlnLSHLQfMxqyhv7NnI/zVgY&#10;jGs7ev34E2y/AwAA//8DAFBLAwQUAAYACAAAACEAwCFlgd4AAAAJAQAADwAAAGRycy9kb3ducmV2&#10;LnhtbEyPwU7DMAyG70i8Q2QkLoilUOjW0nRCSCC4wUBwzRqvrUickmRdeXvMCY72b33+/no9Oysm&#10;DHHwpOBikYFAar0ZqFPw9np/vgIRkyajrSdU8I0R1s3xUa0r4w/0gtMmdYIhFCutoE9prKSMbY9O&#10;x4UfkTjb+eB04jF00gR9YLiz8jLLCun0QPyh1yPe9dh+bvZOwerqcfqIT/nze1vsbJnOltPDV1Dq&#10;9GS+vQGRcE5/x/Crz+rQsNPW78lEYRXkBZsn3i+5EufldZmD2DI8KzOQTS3/N2h+AAAA//8DAFBL&#10;AQItABQABgAIAAAAIQC2gziS/gAAAOEBAAATAAAAAAAAAAAAAAAAAAAAAABbQ29udGVudF9UeXBl&#10;c10ueG1sUEsBAi0AFAAGAAgAAAAhADj9If/WAAAAlAEAAAsAAAAAAAAAAAAAAAAALwEAAF9yZWxz&#10;Ly5yZWxzUEsBAi0AFAAGAAgAAAAhAAlB7dYqAgAAUQQAAA4AAAAAAAAAAAAAAAAALgIAAGRycy9l&#10;Mm9Eb2MueG1sUEsBAi0AFAAGAAgAAAAhAMAhZYHeAAAACQEAAA8AAAAAAAAAAAAAAAAAhAQAAGRy&#10;cy9kb3ducmV2LnhtbFBLBQYAAAAABAAEAPMAAACPBQAAAAA=&#10;">
                <v:textbox>
                  <w:txbxContent>
                    <w:p w14:paraId="5B1C1319" w14:textId="16907D96"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r w:rsidR="00C42C75">
                        <w:rPr>
                          <w:rFonts w:ascii="Calibri" w:hAnsi="Calibri"/>
                          <w:b/>
                          <w:u w:val="single"/>
                        </w:rPr>
                        <w:br/>
                      </w:r>
                    </w:p>
                    <w:p w14:paraId="5F159ABE" w14:textId="00FC0308"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w:t>
                      </w:r>
                      <w:r w:rsidR="00B35775">
                        <w:rPr>
                          <w:sz w:val="20"/>
                          <w:szCs w:val="20"/>
                        </w:rPr>
                        <w:t>moderate</w:t>
                      </w:r>
                      <w:r w:rsidRPr="00E46038">
                        <w:rPr>
                          <w:sz w:val="20"/>
                          <w:szCs w:val="20"/>
                        </w:rPr>
                        <w:t xml:space="preserve"> this week.</w:t>
                      </w:r>
                    </w:p>
                    <w:p w14:paraId="7992C44B" w14:textId="25C17455"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A3E0D">
                        <w:rPr>
                          <w:sz w:val="20"/>
                          <w:szCs w:val="20"/>
                        </w:rPr>
                        <w:t>2.59</w:t>
                      </w:r>
                      <w:r w:rsidR="00D31ECB" w:rsidRPr="00E46038">
                        <w:rPr>
                          <w:sz w:val="20"/>
                          <w:szCs w:val="20"/>
                        </w:rPr>
                        <w:t xml:space="preserve">%, which is </w:t>
                      </w:r>
                      <w:r w:rsidR="004A3E0D">
                        <w:rPr>
                          <w:sz w:val="20"/>
                          <w:szCs w:val="20"/>
                        </w:rPr>
                        <w:t xml:space="preserve">higher than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49061C0"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4A3E0D">
                        <w:rPr>
                          <w:sz w:val="20"/>
                          <w:szCs w:val="20"/>
                        </w:rPr>
                        <w:t>97</w:t>
                      </w:r>
                      <w:r w:rsidRPr="00306A88">
                        <w:rPr>
                          <w:sz w:val="20"/>
                          <w:szCs w:val="20"/>
                        </w:rPr>
                        <w:t>%, which i</w:t>
                      </w:r>
                      <w:r w:rsidR="001E3A36">
                        <w:rPr>
                          <w:sz w:val="20"/>
                          <w:szCs w:val="20"/>
                        </w:rPr>
                        <w:t>s</w:t>
                      </w:r>
                      <w:r w:rsidR="001E3A36" w:rsidRPr="001E3A36">
                        <w:rPr>
                          <w:color w:val="000000"/>
                          <w:sz w:val="20"/>
                          <w:szCs w:val="20"/>
                        </w:rPr>
                        <w:t xml:space="preserve"> </w:t>
                      </w:r>
                      <w:r w:rsidR="001E3A36">
                        <w:rPr>
                          <w:color w:val="000000"/>
                          <w:sz w:val="20"/>
                          <w:szCs w:val="20"/>
                        </w:rPr>
                        <w:t>higher than last season</w:t>
                      </w:r>
                      <w:r w:rsidR="004A3E0D">
                        <w:rPr>
                          <w:color w:val="000000"/>
                          <w:sz w:val="20"/>
                          <w:szCs w:val="20"/>
                        </w:rPr>
                        <w:t xml:space="preserve"> and the 2019-2020 </w:t>
                      </w:r>
                      <w:r w:rsidR="001E3A36">
                        <w:rPr>
                          <w:color w:val="000000"/>
                          <w:sz w:val="20"/>
                          <w:szCs w:val="20"/>
                        </w:rPr>
                        <w:t xml:space="preserve">season, </w:t>
                      </w:r>
                      <w:r w:rsidR="004A3E0D">
                        <w:rPr>
                          <w:color w:val="000000"/>
                          <w:sz w:val="20"/>
                          <w:szCs w:val="20"/>
                        </w:rPr>
                        <w:t>but</w:t>
                      </w:r>
                      <w:r w:rsidR="001E3A36">
                        <w:rPr>
                          <w:color w:val="000000"/>
                          <w:sz w:val="20"/>
                          <w:szCs w:val="20"/>
                        </w:rPr>
                        <w:t xml:space="preserve"> lower than the 2018-2019 season</w:t>
                      </w:r>
                      <w:r w:rsidR="0019547C" w:rsidRPr="00306A88">
                        <w:rPr>
                          <w:sz w:val="20"/>
                          <w:szCs w:val="20"/>
                        </w:rPr>
                        <w:t>.</w:t>
                      </w:r>
                    </w:p>
                    <w:p w14:paraId="0D2B5ECD" w14:textId="38CD4786"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r w:rsidR="004A3E0D">
                        <w:rPr>
                          <w:sz w:val="20"/>
                          <w:szCs w:val="20"/>
                        </w:rPr>
                        <w:t>moderate</w:t>
                      </w:r>
                      <w:r w:rsidRPr="00306A88">
                        <w:rPr>
                          <w:sz w:val="20"/>
                          <w:szCs w:val="20"/>
                        </w:rPr>
                        <w:t>.</w:t>
                      </w:r>
                      <w:r w:rsidR="0004124A" w:rsidRPr="00306A88">
                        <w:rPr>
                          <w:color w:val="000000"/>
                          <w:sz w:val="20"/>
                          <w:szCs w:val="20"/>
                        </w:rPr>
                        <w:t xml:space="preserve"> </w:t>
                      </w:r>
                      <w:r w:rsidR="004A3E0D">
                        <w:rPr>
                          <w:color w:val="000000"/>
                          <w:sz w:val="20"/>
                          <w:szCs w:val="20"/>
                        </w:rPr>
                        <w:t>The West region is reporting high ILI activity; the Central, Northeast and Southeast regions are reporting moderate ILI activity;</w:t>
                      </w:r>
                      <w:r w:rsidR="004A3E0D" w:rsidRPr="00E46038">
                        <w:rPr>
                          <w:color w:val="000000"/>
                          <w:sz w:val="20"/>
                          <w:szCs w:val="20"/>
                        </w:rPr>
                        <w:t xml:space="preserve"> </w:t>
                      </w:r>
                      <w:r w:rsidR="004A3E0D">
                        <w:rPr>
                          <w:color w:val="000000"/>
                          <w:sz w:val="20"/>
                          <w:szCs w:val="20"/>
                        </w:rPr>
                        <w:t xml:space="preserve">Boston, Inner Metro Boston and Outer Metro Boston regions are reporting low ILI activity.  </w:t>
                      </w:r>
                    </w:p>
                    <w:p w14:paraId="1CAE017C" w14:textId="4BDC4C61"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w:t>
                      </w:r>
                      <w:r w:rsidR="00B35775">
                        <w:rPr>
                          <w:sz w:val="20"/>
                          <w:szCs w:val="20"/>
                        </w:rPr>
                        <w:t>4</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000E2128">
                        <w:rPr>
                          <w:sz w:val="20"/>
                          <w:szCs w:val="20"/>
                        </w:rPr>
                        <w:t xml:space="preserve"> </w:t>
                      </w:r>
                      <w:r w:rsidR="001A2A0C" w:rsidRPr="001A2A0C">
                        <w:rPr>
                          <w:sz w:val="20"/>
                          <w:szCs w:val="20"/>
                        </w:rPr>
                        <w:t>Over 1800 positive labs for influenza were reported this week</w:t>
                      </w:r>
                      <w:r w:rsidR="00C42C75">
                        <w:rPr>
                          <w:sz w:val="20"/>
                          <w:szCs w:val="20"/>
                        </w:rPr>
                        <w:t>,</w:t>
                      </w:r>
                      <w:r w:rsidR="001A2A0C" w:rsidRPr="001A2A0C">
                        <w:rPr>
                          <w:sz w:val="20"/>
                          <w:szCs w:val="20"/>
                        </w:rPr>
                        <w:t xml:space="preserve"> which is the highest weekly number reported all season causing the second peak of influenza A in Massachusetts, see figure 5</w:t>
                      </w:r>
                      <w:r w:rsidR="001A2A0C">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r w:rsidR="000E2128">
                        <w:rPr>
                          <w:sz w:val="20"/>
                          <w:szCs w:val="20"/>
                        </w:rPr>
                        <w:t xml:space="preserve"> </w:t>
                      </w:r>
                    </w:p>
                    <w:p w14:paraId="2F52BD39" w14:textId="701B5BAC"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w:t>
                      </w:r>
                      <w:r w:rsidR="001E3A36">
                        <w:rPr>
                          <w:sz w:val="20"/>
                          <w:szCs w:val="20"/>
                        </w:rPr>
                        <w:t>8</w:t>
                      </w:r>
                      <w:r w:rsidR="00B91A26">
                        <w:rPr>
                          <w:sz w:val="20"/>
                          <w:szCs w:val="20"/>
                        </w:rPr>
                        <w:t>%.</w:t>
                      </w:r>
                      <w:r w:rsidR="00306A88" w:rsidRPr="00306A88">
                        <w:rPr>
                          <w:sz w:val="20"/>
                          <w:szCs w:val="20"/>
                        </w:rPr>
                        <w:t xml:space="preserve"> See figure 6 and 7 for vaccination data.</w:t>
                      </w:r>
                    </w:p>
                    <w:p w14:paraId="53A7F25F" w14:textId="2228644C" w:rsidR="00884456" w:rsidRPr="00C06F11" w:rsidRDefault="00884456" w:rsidP="00292638">
                      <w:pPr>
                        <w:pStyle w:val="ListParagraph"/>
                        <w:numPr>
                          <w:ilvl w:val="0"/>
                          <w:numId w:val="2"/>
                        </w:numPr>
                        <w:contextualSpacing w:val="0"/>
                        <w:rPr>
                          <w:sz w:val="20"/>
                          <w:szCs w:val="20"/>
                        </w:rPr>
                      </w:pPr>
                      <w:r w:rsidRPr="00C06F11">
                        <w:rPr>
                          <w:sz w:val="20"/>
                          <w:szCs w:val="20"/>
                        </w:rPr>
                        <w:t xml:space="preserve">Nationally, </w:t>
                      </w:r>
                      <w:r w:rsidR="00C06F11" w:rsidRPr="00C06F11">
                        <w:rPr>
                          <w:sz w:val="20"/>
                          <w:szCs w:val="20"/>
                        </w:rPr>
                        <w:t>i</w:t>
                      </w:r>
                      <w:r w:rsidR="00C06F11" w:rsidRPr="00C06F11">
                        <w:rPr>
                          <w:sz w:val="20"/>
                          <w:szCs w:val="20"/>
                        </w:rPr>
                        <w:t>nfluenza activity increased this week. Influenza activity is highest in the central and south-central regions of the country and is increasing in most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FluView Weekly Report at </w:t>
                      </w:r>
                      <w:hyperlink r:id="rId12" w:history="1">
                        <w:r w:rsidRPr="00306A88">
                          <w:rPr>
                            <w:rStyle w:val="Hyperlink"/>
                            <w:sz w:val="20"/>
                            <w:szCs w:val="20"/>
                          </w:rPr>
                          <w:t>www.cdc.gov/flu/weekly</w:t>
                        </w:r>
                      </w:hyperlink>
                      <w:r w:rsidRPr="00306A88">
                        <w:rPr>
                          <w:sz w:val="20"/>
                          <w:szCs w:val="20"/>
                        </w:rPr>
                        <w:t xml:space="preserve"> and FluView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47DB3F9" w:rsidR="00E71A5D" w:rsidRDefault="00F04AD2" w:rsidP="00773D8D">
      <w:pPr>
        <w:rPr>
          <w:rFonts w:asciiTheme="minorHAnsi" w:hAnsiTheme="minorHAnsi" w:cstheme="minorHAnsi"/>
          <w:color w:val="000000"/>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4A3E0D">
        <w:rPr>
          <w:rFonts w:asciiTheme="minorHAnsi" w:hAnsiTheme="minorHAnsi" w:cstheme="minorHAnsi"/>
          <w:color w:val="000000"/>
          <w:sz w:val="20"/>
          <w:szCs w:val="20"/>
        </w:rPr>
        <w:t>higher than</w:t>
      </w:r>
      <w:r w:rsidR="00534973">
        <w:rPr>
          <w:rFonts w:asciiTheme="minorHAnsi" w:hAnsiTheme="minorHAnsi" w:cstheme="minorHAnsi"/>
          <w:color w:val="000000"/>
          <w:sz w:val="20"/>
          <w:szCs w:val="20"/>
        </w:rPr>
        <w:t xml:space="preserve"> the regional baseline.</w:t>
      </w:r>
    </w:p>
    <w:p w14:paraId="4F30362B" w14:textId="6EFA8A00" w:rsidR="00745E92" w:rsidRDefault="00745E92" w:rsidP="00773D8D">
      <w:pPr>
        <w:rPr>
          <w:rFonts w:asciiTheme="minorHAnsi" w:hAnsiTheme="minorHAnsi" w:cstheme="minorHAnsi"/>
          <w:color w:val="000000"/>
          <w:sz w:val="20"/>
          <w:szCs w:val="20"/>
        </w:rPr>
      </w:pPr>
    </w:p>
    <w:p w14:paraId="1C8D159E" w14:textId="1D7E2DF2" w:rsidR="00745E92" w:rsidRPr="004776C4" w:rsidRDefault="00745E92" w:rsidP="00773D8D">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CB54E98" wp14:editId="11EDECF4">
            <wp:extent cx="5921490" cy="4159175"/>
            <wp:effectExtent l="0" t="0" r="3175" b="0"/>
            <wp:doc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April 9, 2022, 2.59% of reported visits are due to ILI, which is high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April 9, 2022, 2.59% of reported visits are due to ILI, which is high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1490" cy="4159175"/>
                    </a:xfrm>
                    <a:prstGeom prst="rect">
                      <a:avLst/>
                    </a:prstGeom>
                  </pic:spPr>
                </pic:pic>
              </a:graphicData>
            </a:graphic>
          </wp:inline>
        </w:drawing>
      </w:r>
    </w:p>
    <w:p w14:paraId="1BF430A0" w14:textId="681905FD" w:rsidR="00E71A5D" w:rsidRDefault="00E71A5D" w:rsidP="00773D8D">
      <w:pPr>
        <w:rPr>
          <w:rFonts w:ascii="Calibri" w:hAnsi="Calibri"/>
          <w:color w:val="000000"/>
          <w:sz w:val="20"/>
          <w:szCs w:val="20"/>
        </w:rPr>
      </w:pP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5D0C1289"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higher than last season and the 2019-202</w:t>
      </w:r>
      <w:r w:rsidR="004A3E0D">
        <w:rPr>
          <w:rFonts w:ascii="Calibri" w:hAnsi="Calibri"/>
          <w:color w:val="000000"/>
          <w:sz w:val="20"/>
          <w:szCs w:val="20"/>
        </w:rPr>
        <w:t>0</w:t>
      </w:r>
      <w:r w:rsidR="004A3E0D" w:rsidRPr="004A3E0D">
        <w:rPr>
          <w:rFonts w:ascii="Calibri" w:hAnsi="Calibri"/>
          <w:color w:val="000000"/>
          <w:sz w:val="20"/>
          <w:szCs w:val="20"/>
        </w:rPr>
        <w:t xml:space="preserve"> season, but lower than the 2018-2019 season.</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0A81FBF4" w:rsidR="00CC5E83" w:rsidRPr="005156CF" w:rsidRDefault="00745E92" w:rsidP="00297971">
      <w:pPr>
        <w:jc w:val="center"/>
        <w:rPr>
          <w:rFonts w:ascii="Calibri" w:hAnsi="Calibri"/>
        </w:rPr>
      </w:pPr>
      <w:r>
        <w:rPr>
          <w:rFonts w:ascii="Calibri" w:hAnsi="Calibri"/>
          <w:noProof/>
        </w:rPr>
        <w:drawing>
          <wp:inline distT="0" distB="0" distL="0" distR="0" wp14:anchorId="37AB6A80" wp14:editId="53370230">
            <wp:extent cx="5794027" cy="4037254"/>
            <wp:effectExtent l="0" t="0" r="0" b="1905"/>
            <wp:doc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9, 2022, the percentage of influenza-associated hospitalizations is 0.97%, which is higher than last season and the 2019-2020 season, but lower than the 2018-2019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9, 2022, the percentage of influenza-associated hospitalizations is 0.97%, which is higher than last season and the 2019-2020 season, but lower than the 2018-2019 seaso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4027" cy="403725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1CB0B304" w14:textId="77777777" w:rsidR="00E22B43" w:rsidRDefault="00E22B43" w:rsidP="00837D10">
      <w:pPr>
        <w:adjustRightInd w:val="0"/>
        <w:contextualSpacing/>
        <w:rPr>
          <w:rFonts w:ascii="Calibri" w:hAnsi="Calibri"/>
          <w:b/>
          <w:u w:val="single"/>
        </w:rPr>
      </w:pPr>
    </w:p>
    <w:p w14:paraId="6FC3680B" w14:textId="77777777" w:rsidR="00E22B43" w:rsidRDefault="00E22B43" w:rsidP="00837D10">
      <w:pPr>
        <w:adjustRightInd w:val="0"/>
        <w:contextualSpacing/>
        <w:rPr>
          <w:rFonts w:ascii="Calibri" w:hAnsi="Calibri"/>
          <w:b/>
          <w:u w:val="single"/>
        </w:rPr>
      </w:pPr>
    </w:p>
    <w:p w14:paraId="3FBF6CE1" w14:textId="41D05115"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4FB23F8A" w:rsidR="00C144EA" w:rsidRPr="00E1693B" w:rsidRDefault="00745E92" w:rsidP="00E1693B">
      <w:pPr>
        <w:adjustRightInd w:val="0"/>
        <w:contextualSpacing/>
        <w:jc w:val="center"/>
        <w:rPr>
          <w:rFonts w:ascii="Calibri" w:hAnsi="Calibri"/>
          <w:b/>
        </w:rPr>
      </w:pPr>
      <w:r>
        <w:rPr>
          <w:rFonts w:ascii="Calibri" w:hAnsi="Calibri"/>
          <w:b/>
          <w:noProof/>
        </w:rPr>
        <w:drawing>
          <wp:inline distT="0" distB="0" distL="0" distR="0" wp14:anchorId="043C7FA8" wp14:editId="6BEDCEA1">
            <wp:extent cx="6421682" cy="2190750"/>
            <wp:effectExtent l="0" t="0" r="0" b="0"/>
            <wp:doc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9, 2022, this week's ILI activity is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9, 2022, this week's ILI activity is low."/>
                    <pic:cNvPicPr/>
                  </pic:nvPicPr>
                  <pic:blipFill>
                    <a:blip r:embed="rId19">
                      <a:extLst>
                        <a:ext uri="{28A0092B-C50C-407E-A947-70E740481C1C}">
                          <a14:useLocalDpi xmlns:a14="http://schemas.microsoft.com/office/drawing/2010/main" val="0"/>
                        </a:ext>
                      </a:extLst>
                    </a:blip>
                    <a:stretch>
                      <a:fillRect/>
                    </a:stretch>
                  </pic:blipFill>
                  <pic:spPr>
                    <a:xfrm>
                      <a:off x="0" y="0"/>
                      <a:ext cx="6428363" cy="2193029"/>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39C50FC2"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4A3E0D">
        <w:rPr>
          <w:rFonts w:ascii="Calibri" w:hAnsi="Calibri"/>
          <w:color w:val="000000"/>
          <w:sz w:val="20"/>
          <w:szCs w:val="20"/>
        </w:rPr>
        <w:t xml:space="preserve"> West region is reporting high ILI activity; the</w:t>
      </w:r>
      <w:r w:rsidR="007602FB">
        <w:rPr>
          <w:rFonts w:ascii="Calibri" w:hAnsi="Calibri"/>
          <w:color w:val="000000"/>
          <w:sz w:val="20"/>
          <w:szCs w:val="20"/>
        </w:rPr>
        <w:t xml:space="preserve"> </w:t>
      </w:r>
      <w:r w:rsidR="00E22B43">
        <w:rPr>
          <w:rFonts w:ascii="Calibri" w:hAnsi="Calibri"/>
          <w:color w:val="000000"/>
          <w:sz w:val="20"/>
          <w:szCs w:val="20"/>
        </w:rPr>
        <w:t xml:space="preserve">Central, </w:t>
      </w:r>
      <w:r w:rsidR="001E3A36">
        <w:rPr>
          <w:rFonts w:ascii="Calibri" w:hAnsi="Calibri"/>
          <w:color w:val="000000"/>
          <w:sz w:val="20"/>
          <w:szCs w:val="20"/>
        </w:rPr>
        <w:t>Northeast</w:t>
      </w:r>
      <w:r w:rsidR="004A3E0D">
        <w:rPr>
          <w:rFonts w:ascii="Calibri" w:hAnsi="Calibri"/>
          <w:color w:val="000000"/>
          <w:sz w:val="20"/>
          <w:szCs w:val="20"/>
        </w:rPr>
        <w:t xml:space="preserve"> and </w:t>
      </w:r>
      <w:r w:rsidR="007602FB">
        <w:rPr>
          <w:rFonts w:ascii="Calibri" w:hAnsi="Calibri"/>
          <w:color w:val="000000"/>
          <w:sz w:val="20"/>
          <w:szCs w:val="20"/>
        </w:rPr>
        <w:t>Southeast</w:t>
      </w:r>
      <w:r w:rsidR="001E3A36">
        <w:rPr>
          <w:rFonts w:ascii="Calibri" w:hAnsi="Calibri"/>
          <w:color w:val="000000"/>
          <w:sz w:val="20"/>
          <w:szCs w:val="20"/>
        </w:rPr>
        <w:t xml:space="preserve"> </w:t>
      </w:r>
      <w:r w:rsidR="007602FB">
        <w:rPr>
          <w:rFonts w:ascii="Calibri" w:hAnsi="Calibri"/>
          <w:color w:val="000000"/>
          <w:sz w:val="20"/>
          <w:szCs w:val="20"/>
        </w:rPr>
        <w:t>region</w:t>
      </w:r>
      <w:r w:rsidR="001E3A36">
        <w:rPr>
          <w:rFonts w:ascii="Calibri" w:hAnsi="Calibri"/>
          <w:color w:val="000000"/>
          <w:sz w:val="20"/>
          <w:szCs w:val="20"/>
        </w:rPr>
        <w:t>s</w:t>
      </w:r>
      <w:r w:rsidR="007602FB">
        <w:rPr>
          <w:rFonts w:ascii="Calibri" w:hAnsi="Calibri"/>
          <w:color w:val="000000"/>
          <w:sz w:val="20"/>
          <w:szCs w:val="20"/>
        </w:rPr>
        <w:t xml:space="preserve">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671972" w:rsidRPr="00E46038">
        <w:rPr>
          <w:rFonts w:ascii="Calibri" w:hAnsi="Calibri"/>
          <w:color w:val="000000"/>
          <w:sz w:val="20"/>
          <w:szCs w:val="20"/>
        </w:rPr>
        <w:t xml:space="preserve"> </w:t>
      </w:r>
      <w:r w:rsidR="001E3A36">
        <w:rPr>
          <w:rFonts w:ascii="Calibri" w:hAnsi="Calibri"/>
          <w:color w:val="000000"/>
          <w:sz w:val="20"/>
          <w:szCs w:val="20"/>
        </w:rPr>
        <w:t>Boston, Inner Metro Boston and Outer Metro Boston</w:t>
      </w:r>
      <w:r w:rsidR="004A3E0D">
        <w:rPr>
          <w:rFonts w:ascii="Calibri" w:hAnsi="Calibri"/>
          <w:color w:val="000000"/>
          <w:sz w:val="20"/>
          <w:szCs w:val="20"/>
        </w:rPr>
        <w:t xml:space="preserve"> regions</w:t>
      </w:r>
      <w:r w:rsidR="001E3A36">
        <w:rPr>
          <w:rFonts w:ascii="Calibri" w:hAnsi="Calibri"/>
          <w:color w:val="000000"/>
          <w:sz w:val="20"/>
          <w:szCs w:val="20"/>
        </w:rPr>
        <w:t xml:space="preserve"> </w:t>
      </w:r>
      <w:r w:rsidR="00E36C9F">
        <w:rPr>
          <w:rFonts w:ascii="Calibri" w:hAnsi="Calibri"/>
          <w:color w:val="000000"/>
          <w:sz w:val="20"/>
          <w:szCs w:val="20"/>
        </w:rPr>
        <w:t xml:space="preserve">are reporting </w:t>
      </w:r>
      <w:r w:rsidR="004A3E0D">
        <w:rPr>
          <w:rFonts w:ascii="Calibri" w:hAnsi="Calibri"/>
          <w:color w:val="000000"/>
          <w:sz w:val="20"/>
          <w:szCs w:val="20"/>
        </w:rPr>
        <w:t>low</w:t>
      </w:r>
      <w:r w:rsidR="00E36C9F">
        <w:rPr>
          <w:rFonts w:ascii="Calibri" w:hAnsi="Calibri"/>
          <w:color w:val="000000"/>
          <w:sz w:val="20"/>
          <w:szCs w:val="20"/>
        </w:rPr>
        <w:t xml:space="preserve"> ILI activity</w:t>
      </w:r>
      <w:r w:rsidR="00C144EA">
        <w:rPr>
          <w:rFonts w:ascii="Calibri" w:hAnsi="Calibri"/>
          <w:color w:val="000000"/>
          <w:sz w:val="20"/>
          <w:szCs w:val="20"/>
        </w:rPr>
        <w:t xml:space="preserve">.  </w:t>
      </w:r>
    </w:p>
    <w:p w14:paraId="56A29C65" w14:textId="6E429234" w:rsidR="00E22B43" w:rsidRPr="00745E92" w:rsidRDefault="00745E92" w:rsidP="00745E92">
      <w:pPr>
        <w:jc w:val="center"/>
        <w:rPr>
          <w:rFonts w:ascii="Calibri" w:hAnsi="Calibri"/>
          <w:color w:val="000000"/>
          <w:sz w:val="20"/>
          <w:szCs w:val="20"/>
        </w:rPr>
      </w:pPr>
      <w:r>
        <w:rPr>
          <w:rFonts w:ascii="Calibri" w:hAnsi="Calibri"/>
          <w:noProof/>
          <w:color w:val="000000"/>
          <w:sz w:val="20"/>
          <w:szCs w:val="20"/>
        </w:rPr>
        <w:drawing>
          <wp:inline distT="0" distB="0" distL="0" distR="0" wp14:anchorId="6CF349DE" wp14:editId="14A3A692">
            <wp:extent cx="6309360" cy="4057650"/>
            <wp:effectExtent l="0" t="0" r="0" b="0"/>
            <wp:docPr id="6" name="Picture 6" descr="Figure four is a map of Massachusetts showing regional influenza-like illness (ILI) activity reported by sentinel provider sites. Regions are shaded from light to dark blue indicating minimal(1-3), low(4-5), moderate(6-7), or high(8-10) ILI activity. As of April 9, 2022, the West region is reporting high ILI activity; the Central, Northeast and Southeast regions are reporting moderate ILI activity; Boston, Inner Metro Boston and Outer Metro Boston regions are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our is a map of Massachusetts showing regional influenza-like illness (ILI) activity reported by sentinel provider sites. Regions are shaded from light to dark blue indicating minimal(1-3), low(4-5), moderate(6-7), or high(8-10) ILI activity. As of April 9, 2022, the West region is reporting high ILI activity; the Central, Northeast and Southeast regions are reporting moderate ILI activity; Boston, Inner Metro Boston and Outer Metro Boston regions are reporting low ILI activity.  "/>
                    <pic:cNvPicPr/>
                  </pic:nvPicPr>
                  <pic:blipFill rotWithShape="1">
                    <a:blip r:embed="rId20">
                      <a:extLst>
                        <a:ext uri="{28A0092B-C50C-407E-A947-70E740481C1C}">
                          <a14:useLocalDpi xmlns:a14="http://schemas.microsoft.com/office/drawing/2010/main" val="0"/>
                        </a:ext>
                      </a:extLst>
                    </a:blip>
                    <a:srcRect t="2735" b="14040"/>
                    <a:stretch/>
                  </pic:blipFill>
                  <pic:spPr bwMode="auto">
                    <a:xfrm>
                      <a:off x="0" y="0"/>
                      <a:ext cx="6309360" cy="4057650"/>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16FF2E5E"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0F4D76B1"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Figure 5 illustrates the number of laboratory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w:t>
      </w:r>
      <w:r w:rsidR="00136636">
        <w:rPr>
          <w:rFonts w:asciiTheme="minorHAnsi" w:hAnsiTheme="minorHAnsi" w:cstheme="minorHAnsi"/>
          <w:sz w:val="20"/>
          <w:szCs w:val="20"/>
        </w:rPr>
        <w:t>4</w:t>
      </w:r>
      <w:r w:rsidR="00B35775">
        <w:rPr>
          <w:rFonts w:asciiTheme="minorHAnsi" w:hAnsiTheme="minorHAnsi" w:cstheme="minorHAnsi"/>
          <w:sz w:val="20"/>
          <w:szCs w:val="20"/>
        </w:rPr>
        <w:t>4</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6D92AC75" w:rsidR="00297971" w:rsidRPr="00297971" w:rsidRDefault="00745E92"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2EEF005D" wp14:editId="4A2EB967">
            <wp:extent cx="5777402" cy="4128695"/>
            <wp:effectExtent l="0" t="0" r="0" b="5715"/>
            <wp:docPr id="8" name="Picture 8" descr="Figure five is a bar chart displaying the number of laboratory-confirmed influenza cases reported in Massachusetts by week and influenza type for the 2021-2022 influenza season. As of April 9, 2022, laboratory-confirmed influenza cases increased by 44%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ive is a bar chart displaying the number of laboratory-confirmed influenza cases reported in Massachusetts by week and influenza type for the 2021-2022 influenza season. As of April 9, 2022, laboratory-confirmed influenza cases increased by 44% this week.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7402" cy="4128695"/>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31FAE9A7" w14:textId="77777777" w:rsidR="001E3A36" w:rsidRDefault="001E3A36" w:rsidP="00F84722">
      <w:pPr>
        <w:adjustRightInd w:val="0"/>
        <w:rPr>
          <w:rFonts w:ascii="Calibri" w:hAnsi="Calibri"/>
          <w:b/>
          <w:bCs/>
          <w:color w:val="000000"/>
          <w:u w:val="single"/>
        </w:rPr>
      </w:pPr>
    </w:p>
    <w:p w14:paraId="34194614" w14:textId="259A7804"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44449F2C"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D87B5C">
        <w:rPr>
          <w:color w:val="000000"/>
          <w:sz w:val="20"/>
          <w:szCs w:val="20"/>
        </w:rPr>
        <w:t>22</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1E3A36">
        <w:rPr>
          <w:sz w:val="20"/>
          <w:szCs w:val="20"/>
        </w:rPr>
        <w:t>5</w:t>
      </w:r>
      <w:r w:rsidR="00D87B5C">
        <w:rPr>
          <w:sz w:val="20"/>
          <w:szCs w:val="20"/>
        </w:rPr>
        <w:t>2</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B35775"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72C0F1CC" w:rsidR="00B35775" w:rsidRPr="00B35775" w:rsidRDefault="00B35775" w:rsidP="00B35775">
            <w:pPr>
              <w:rPr>
                <w:rFonts w:asciiTheme="minorHAnsi" w:hAnsiTheme="minorHAnsi" w:cstheme="minorHAnsi"/>
                <w:sz w:val="18"/>
                <w:szCs w:val="18"/>
              </w:rPr>
            </w:pPr>
            <w:r w:rsidRPr="00B35775">
              <w:rPr>
                <w:rFonts w:ascii="Calibri" w:hAnsi="Calibri" w:cs="Arial"/>
                <w:sz w:val="18"/>
                <w:szCs w:val="18"/>
              </w:rPr>
              <w:t xml:space="preserve">11 (03/13 – 03/19/22) </w:t>
            </w:r>
          </w:p>
        </w:tc>
        <w:tc>
          <w:tcPr>
            <w:tcW w:w="720" w:type="dxa"/>
            <w:tcBorders>
              <w:bottom w:val="single" w:sz="4" w:space="0" w:color="000000"/>
            </w:tcBorders>
            <w:shd w:val="clear" w:color="auto" w:fill="auto"/>
            <w:vAlign w:val="bottom"/>
          </w:tcPr>
          <w:p w14:paraId="7696D743" w14:textId="48FAF4BA"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48E0B2E"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223F48E7"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5751D088"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0CD36940"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D9511B1"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68232525"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2</w:t>
            </w:r>
          </w:p>
        </w:tc>
        <w:tc>
          <w:tcPr>
            <w:tcW w:w="810" w:type="dxa"/>
            <w:tcBorders>
              <w:bottom w:val="single" w:sz="4" w:space="0" w:color="000000"/>
            </w:tcBorders>
            <w:shd w:val="clear" w:color="auto" w:fill="auto"/>
            <w:vAlign w:val="bottom"/>
          </w:tcPr>
          <w:p w14:paraId="244B687B" w14:textId="7DB5CDE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781" w:type="dxa"/>
            <w:tcBorders>
              <w:bottom w:val="single" w:sz="4" w:space="0" w:color="000000"/>
            </w:tcBorders>
            <w:shd w:val="clear" w:color="auto" w:fill="auto"/>
            <w:vAlign w:val="bottom"/>
          </w:tcPr>
          <w:p w14:paraId="7BF3FA57" w14:textId="0F027DB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2</w:t>
            </w:r>
          </w:p>
        </w:tc>
      </w:tr>
      <w:tr w:rsidR="00B35775"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7439AAF1" w:rsidR="00B35775" w:rsidRPr="00B35775" w:rsidRDefault="00B35775" w:rsidP="00B35775">
            <w:pPr>
              <w:rPr>
                <w:rFonts w:asciiTheme="minorHAnsi" w:hAnsiTheme="minorHAnsi" w:cstheme="minorHAnsi"/>
                <w:sz w:val="18"/>
                <w:szCs w:val="18"/>
              </w:rPr>
            </w:pPr>
            <w:r w:rsidRPr="00B35775">
              <w:rPr>
                <w:rFonts w:ascii="Calibri" w:hAnsi="Calibri" w:cs="Arial"/>
                <w:sz w:val="18"/>
                <w:szCs w:val="18"/>
              </w:rPr>
              <w:t xml:space="preserve">12 (03/20 – 03/26/22) </w:t>
            </w:r>
          </w:p>
        </w:tc>
        <w:tc>
          <w:tcPr>
            <w:tcW w:w="720" w:type="dxa"/>
            <w:tcBorders>
              <w:bottom w:val="single" w:sz="4" w:space="0" w:color="000000"/>
            </w:tcBorders>
            <w:shd w:val="clear" w:color="auto" w:fill="auto"/>
            <w:vAlign w:val="bottom"/>
          </w:tcPr>
          <w:p w14:paraId="051541F2" w14:textId="6E4BD58D"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0482ABF9"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3</w:t>
            </w:r>
          </w:p>
        </w:tc>
        <w:tc>
          <w:tcPr>
            <w:tcW w:w="810" w:type="dxa"/>
            <w:tcBorders>
              <w:bottom w:val="single" w:sz="4" w:space="0" w:color="000000"/>
            </w:tcBorders>
            <w:shd w:val="clear" w:color="auto" w:fill="auto"/>
            <w:vAlign w:val="bottom"/>
          </w:tcPr>
          <w:p w14:paraId="6BE0ED28" w14:textId="7EE490AB"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0230C2B7"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63A774C1"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18BCBBA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3(100%)</w:t>
            </w:r>
          </w:p>
        </w:tc>
        <w:tc>
          <w:tcPr>
            <w:tcW w:w="720" w:type="dxa"/>
            <w:tcBorders>
              <w:bottom w:val="single" w:sz="4" w:space="0" w:color="000000"/>
            </w:tcBorders>
            <w:shd w:val="clear" w:color="auto" w:fill="auto"/>
            <w:vAlign w:val="bottom"/>
          </w:tcPr>
          <w:p w14:paraId="1C9D4D20" w14:textId="7CF69F9D"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31CD418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3</w:t>
            </w:r>
          </w:p>
        </w:tc>
        <w:tc>
          <w:tcPr>
            <w:tcW w:w="781" w:type="dxa"/>
            <w:tcBorders>
              <w:bottom w:val="single" w:sz="4" w:space="0" w:color="000000"/>
            </w:tcBorders>
            <w:shd w:val="clear" w:color="auto" w:fill="auto"/>
            <w:vAlign w:val="bottom"/>
          </w:tcPr>
          <w:p w14:paraId="15473321" w14:textId="226CDF65"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3</w:t>
            </w:r>
          </w:p>
        </w:tc>
      </w:tr>
      <w:tr w:rsidR="00B35775"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603A2AF9" w:rsidR="00B35775" w:rsidRPr="00B35775" w:rsidRDefault="00B35775" w:rsidP="00B35775">
            <w:pPr>
              <w:rPr>
                <w:rFonts w:asciiTheme="minorHAnsi" w:hAnsiTheme="minorHAnsi" w:cstheme="minorHAnsi"/>
                <w:sz w:val="18"/>
                <w:szCs w:val="18"/>
              </w:rPr>
            </w:pPr>
            <w:r w:rsidRPr="00B35775">
              <w:rPr>
                <w:rFonts w:ascii="Calibri" w:hAnsi="Calibri" w:cs="Arial"/>
                <w:sz w:val="18"/>
                <w:szCs w:val="18"/>
              </w:rPr>
              <w:t xml:space="preserve">13 (03/27 – 04/02/22) </w:t>
            </w:r>
          </w:p>
        </w:tc>
        <w:tc>
          <w:tcPr>
            <w:tcW w:w="720" w:type="dxa"/>
            <w:tcBorders>
              <w:bottom w:val="single" w:sz="4" w:space="0" w:color="000000"/>
            </w:tcBorders>
            <w:shd w:val="clear" w:color="auto" w:fill="auto"/>
            <w:vAlign w:val="bottom"/>
          </w:tcPr>
          <w:p w14:paraId="2EB2BD7D" w14:textId="42CA5653"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199812E"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5FBED603"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4BC2BA4"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5C3B2F3E"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B913AF6"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511B1CEF"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4A3332DF"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34365E1F"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r>
      <w:tr w:rsidR="00B35775"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49877438" w:rsidR="00B35775" w:rsidRPr="00B35775" w:rsidRDefault="00B35775" w:rsidP="00B35775">
            <w:pPr>
              <w:rPr>
                <w:rFonts w:asciiTheme="minorHAnsi" w:hAnsiTheme="minorHAnsi" w:cstheme="minorHAnsi"/>
                <w:sz w:val="18"/>
                <w:szCs w:val="18"/>
              </w:rPr>
            </w:pPr>
            <w:r w:rsidRPr="00B35775">
              <w:rPr>
                <w:rFonts w:ascii="Calibri" w:hAnsi="Calibri" w:cs="Arial"/>
                <w:sz w:val="18"/>
                <w:szCs w:val="18"/>
              </w:rPr>
              <w:t xml:space="preserve">14 (04/03 – 04/09/22) </w:t>
            </w:r>
          </w:p>
        </w:tc>
        <w:tc>
          <w:tcPr>
            <w:tcW w:w="720" w:type="dxa"/>
            <w:tcBorders>
              <w:bottom w:val="single" w:sz="4" w:space="0" w:color="000000"/>
            </w:tcBorders>
            <w:shd w:val="clear" w:color="auto" w:fill="auto"/>
            <w:vAlign w:val="bottom"/>
          </w:tcPr>
          <w:p w14:paraId="5C04D123" w14:textId="5ECCEFF7"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6F0CA6D9"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2</w:t>
            </w:r>
          </w:p>
        </w:tc>
        <w:tc>
          <w:tcPr>
            <w:tcW w:w="810" w:type="dxa"/>
            <w:tcBorders>
              <w:bottom w:val="single" w:sz="4" w:space="0" w:color="000000"/>
            </w:tcBorders>
            <w:shd w:val="clear" w:color="auto" w:fill="auto"/>
            <w:vAlign w:val="bottom"/>
          </w:tcPr>
          <w:p w14:paraId="60C0E312" w14:textId="1A8A77C8"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2BC35176"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78697706"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2C74A6B3"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2(100%)</w:t>
            </w:r>
          </w:p>
        </w:tc>
        <w:tc>
          <w:tcPr>
            <w:tcW w:w="720" w:type="dxa"/>
            <w:tcBorders>
              <w:bottom w:val="single" w:sz="4" w:space="0" w:color="000000"/>
            </w:tcBorders>
            <w:shd w:val="clear" w:color="auto" w:fill="auto"/>
            <w:vAlign w:val="bottom"/>
          </w:tcPr>
          <w:p w14:paraId="21FA9245" w14:textId="3A7528A5" w:rsidR="00B35775" w:rsidRPr="00B35775" w:rsidRDefault="00B35775" w:rsidP="00B35775">
            <w:pPr>
              <w:jc w:val="center"/>
              <w:rPr>
                <w:rFonts w:asciiTheme="minorHAnsi" w:hAnsiTheme="minorHAnsi" w:cstheme="minorHAnsi"/>
                <w:sz w:val="18"/>
                <w:szCs w:val="18"/>
              </w:rPr>
            </w:pPr>
            <w:r w:rsidRPr="00B35775">
              <w:rPr>
                <w:rFonts w:ascii="Calibri" w:hAnsi="Calibri" w:cs="Arial"/>
                <w:sz w:val="18"/>
                <w:szCs w:val="18"/>
              </w:rPr>
              <w:t>1</w:t>
            </w:r>
          </w:p>
        </w:tc>
        <w:tc>
          <w:tcPr>
            <w:tcW w:w="810" w:type="dxa"/>
            <w:tcBorders>
              <w:bottom w:val="single" w:sz="4" w:space="0" w:color="000000"/>
            </w:tcBorders>
            <w:shd w:val="clear" w:color="auto" w:fill="auto"/>
            <w:vAlign w:val="bottom"/>
          </w:tcPr>
          <w:p w14:paraId="24CA21A8" w14:textId="463A9F78"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2</w:t>
            </w:r>
          </w:p>
        </w:tc>
        <w:tc>
          <w:tcPr>
            <w:tcW w:w="781" w:type="dxa"/>
            <w:tcBorders>
              <w:bottom w:val="single" w:sz="4" w:space="0" w:color="000000"/>
            </w:tcBorders>
            <w:shd w:val="clear" w:color="auto" w:fill="auto"/>
            <w:vAlign w:val="bottom"/>
          </w:tcPr>
          <w:p w14:paraId="7979F388" w14:textId="173016CA"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3</w:t>
            </w:r>
          </w:p>
        </w:tc>
      </w:tr>
      <w:tr w:rsidR="00B35775"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7BBB4F05" w:rsidR="00B35775" w:rsidRPr="00B35775" w:rsidRDefault="00B35775" w:rsidP="00B35775">
            <w:pPr>
              <w:jc w:val="right"/>
              <w:rPr>
                <w:rFonts w:asciiTheme="minorHAnsi" w:hAnsiTheme="minorHAnsi" w:cstheme="minorHAnsi"/>
                <w:b/>
                <w:bCs/>
                <w:sz w:val="18"/>
                <w:szCs w:val="18"/>
              </w:rPr>
            </w:pPr>
            <w:r w:rsidRPr="00B35775">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5783747F"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022C20CC"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5</w:t>
            </w:r>
          </w:p>
        </w:tc>
        <w:tc>
          <w:tcPr>
            <w:tcW w:w="810" w:type="dxa"/>
            <w:tcBorders>
              <w:bottom w:val="single" w:sz="4" w:space="0" w:color="000000"/>
            </w:tcBorders>
            <w:shd w:val="clear" w:color="auto" w:fill="D9D9D9"/>
            <w:vAlign w:val="bottom"/>
          </w:tcPr>
          <w:p w14:paraId="07A654DB" w14:textId="0B538038"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B9478E1"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2E0C037A"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55C07AD3"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5(100%)</w:t>
            </w:r>
          </w:p>
        </w:tc>
        <w:tc>
          <w:tcPr>
            <w:tcW w:w="720" w:type="dxa"/>
            <w:tcBorders>
              <w:bottom w:val="single" w:sz="4" w:space="0" w:color="000000"/>
            </w:tcBorders>
            <w:shd w:val="clear" w:color="auto" w:fill="D9D9D9"/>
            <w:vAlign w:val="bottom"/>
          </w:tcPr>
          <w:p w14:paraId="20A780ED" w14:textId="0C1A697A"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3</w:t>
            </w:r>
          </w:p>
        </w:tc>
        <w:tc>
          <w:tcPr>
            <w:tcW w:w="810" w:type="dxa"/>
            <w:tcBorders>
              <w:bottom w:val="single" w:sz="4" w:space="0" w:color="000000"/>
            </w:tcBorders>
            <w:shd w:val="clear" w:color="auto" w:fill="D9D9D9"/>
            <w:vAlign w:val="bottom"/>
          </w:tcPr>
          <w:p w14:paraId="5509C2F6" w14:textId="689C2500"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5</w:t>
            </w:r>
          </w:p>
        </w:tc>
        <w:tc>
          <w:tcPr>
            <w:tcW w:w="781" w:type="dxa"/>
            <w:tcBorders>
              <w:bottom w:val="single" w:sz="4" w:space="0" w:color="000000"/>
            </w:tcBorders>
            <w:shd w:val="clear" w:color="auto" w:fill="D9D9D9"/>
            <w:vAlign w:val="bottom"/>
          </w:tcPr>
          <w:p w14:paraId="7289406A" w14:textId="5E64CFD7"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8</w:t>
            </w:r>
          </w:p>
        </w:tc>
      </w:tr>
      <w:tr w:rsidR="00B35775" w14:paraId="21F1D05E" w14:textId="77777777" w:rsidTr="00C95E73">
        <w:trPr>
          <w:jc w:val="center"/>
        </w:trPr>
        <w:tc>
          <w:tcPr>
            <w:tcW w:w="2705" w:type="dxa"/>
            <w:shd w:val="clear" w:color="auto" w:fill="D9D9D9"/>
            <w:vAlign w:val="bottom"/>
          </w:tcPr>
          <w:p w14:paraId="3E41485E" w14:textId="2A935599" w:rsidR="00B35775" w:rsidRPr="00B35775" w:rsidRDefault="00B35775" w:rsidP="00B35775">
            <w:pPr>
              <w:jc w:val="right"/>
              <w:rPr>
                <w:rFonts w:asciiTheme="minorHAnsi" w:hAnsiTheme="minorHAnsi" w:cstheme="minorHAnsi"/>
                <w:b/>
                <w:bCs/>
                <w:sz w:val="18"/>
                <w:szCs w:val="18"/>
              </w:rPr>
            </w:pPr>
            <w:r w:rsidRPr="00B35775">
              <w:rPr>
                <w:rFonts w:ascii="Calibri" w:hAnsi="Calibri" w:cs="Arial"/>
                <w:b/>
                <w:bCs/>
                <w:sz w:val="18"/>
                <w:szCs w:val="18"/>
              </w:rPr>
              <w:t>Cumulative Season total</w:t>
            </w:r>
          </w:p>
        </w:tc>
        <w:tc>
          <w:tcPr>
            <w:tcW w:w="720" w:type="dxa"/>
            <w:shd w:val="clear" w:color="auto" w:fill="D9D9D9"/>
            <w:vAlign w:val="bottom"/>
          </w:tcPr>
          <w:p w14:paraId="698212AA" w14:textId="63F595D6"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990" w:type="dxa"/>
            <w:shd w:val="clear" w:color="auto" w:fill="D9D9D9"/>
            <w:vAlign w:val="bottom"/>
          </w:tcPr>
          <w:p w14:paraId="3E12FFC4" w14:textId="1F62512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122</w:t>
            </w:r>
          </w:p>
        </w:tc>
        <w:tc>
          <w:tcPr>
            <w:tcW w:w="810" w:type="dxa"/>
            <w:shd w:val="clear" w:color="auto" w:fill="D9D9D9"/>
            <w:vAlign w:val="bottom"/>
          </w:tcPr>
          <w:p w14:paraId="79EACD47" w14:textId="0070AEC1"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810" w:type="dxa"/>
            <w:shd w:val="clear" w:color="auto" w:fill="D9D9D9"/>
            <w:vAlign w:val="bottom"/>
          </w:tcPr>
          <w:p w14:paraId="3FD21D25" w14:textId="02774BC6"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0</w:t>
            </w:r>
          </w:p>
        </w:tc>
        <w:tc>
          <w:tcPr>
            <w:tcW w:w="630" w:type="dxa"/>
            <w:shd w:val="clear" w:color="auto" w:fill="D9D9D9"/>
            <w:vAlign w:val="bottom"/>
          </w:tcPr>
          <w:p w14:paraId="7AB4F41F" w14:textId="39BDD7CD"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w:t>
            </w:r>
          </w:p>
        </w:tc>
        <w:tc>
          <w:tcPr>
            <w:tcW w:w="1170" w:type="dxa"/>
            <w:shd w:val="clear" w:color="auto" w:fill="D9D9D9"/>
            <w:vAlign w:val="bottom"/>
          </w:tcPr>
          <w:p w14:paraId="0B0647BF" w14:textId="596CFBB5"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123(81%)</w:t>
            </w:r>
          </w:p>
        </w:tc>
        <w:tc>
          <w:tcPr>
            <w:tcW w:w="720" w:type="dxa"/>
            <w:shd w:val="clear" w:color="auto" w:fill="D9D9D9"/>
            <w:vAlign w:val="bottom"/>
          </w:tcPr>
          <w:p w14:paraId="0AFB0EE1" w14:textId="587C4105"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13</w:t>
            </w:r>
          </w:p>
        </w:tc>
        <w:tc>
          <w:tcPr>
            <w:tcW w:w="810" w:type="dxa"/>
            <w:shd w:val="clear" w:color="auto" w:fill="D9D9D9"/>
            <w:vAlign w:val="bottom"/>
          </w:tcPr>
          <w:p w14:paraId="5C7692D2" w14:textId="28E5765E"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152</w:t>
            </w:r>
          </w:p>
        </w:tc>
        <w:tc>
          <w:tcPr>
            <w:tcW w:w="781" w:type="dxa"/>
            <w:shd w:val="clear" w:color="auto" w:fill="D9D9D9"/>
            <w:vAlign w:val="bottom"/>
          </w:tcPr>
          <w:p w14:paraId="4BEB6E43" w14:textId="0027E6D2" w:rsidR="00B35775" w:rsidRPr="00B35775" w:rsidRDefault="00B35775" w:rsidP="00B35775">
            <w:pPr>
              <w:jc w:val="center"/>
              <w:rPr>
                <w:rFonts w:asciiTheme="minorHAnsi" w:hAnsiTheme="minorHAnsi" w:cstheme="minorHAnsi"/>
                <w:b/>
                <w:bCs/>
                <w:sz w:val="18"/>
                <w:szCs w:val="18"/>
              </w:rPr>
            </w:pPr>
            <w:r w:rsidRPr="00B35775">
              <w:rPr>
                <w:rFonts w:ascii="Calibri" w:hAnsi="Calibri" w:cs="Arial"/>
                <w:b/>
                <w:bCs/>
                <w:sz w:val="18"/>
                <w:szCs w:val="18"/>
              </w:rPr>
              <w:t>165</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AA1F92B"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D87B5C">
        <w:rPr>
          <w:rFonts w:ascii="Calibri" w:hAnsi="Calibri" w:cs="Calibri"/>
          <w:sz w:val="20"/>
          <w:szCs w:val="20"/>
        </w:rPr>
        <w:t>5</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D87B5C"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10F1EA3B" w:rsidR="00D87B5C" w:rsidRPr="00D87B5C" w:rsidRDefault="00D87B5C" w:rsidP="00D87B5C">
            <w:pPr>
              <w:rPr>
                <w:rFonts w:asciiTheme="minorHAnsi" w:hAnsiTheme="minorHAnsi" w:cstheme="minorHAnsi"/>
                <w:sz w:val="18"/>
                <w:szCs w:val="18"/>
              </w:rPr>
            </w:pPr>
            <w:r w:rsidRPr="00D87B5C">
              <w:rPr>
                <w:rFonts w:ascii="Calibri" w:hAnsi="Calibri" w:cs="Arial"/>
                <w:sz w:val="18"/>
                <w:szCs w:val="18"/>
              </w:rPr>
              <w:t>11 (03/13 – 03/19/22)</w:t>
            </w:r>
          </w:p>
        </w:tc>
        <w:tc>
          <w:tcPr>
            <w:tcW w:w="630" w:type="dxa"/>
            <w:tcBorders>
              <w:bottom w:val="single" w:sz="4" w:space="0" w:color="000000"/>
            </w:tcBorders>
          </w:tcPr>
          <w:p w14:paraId="3C7B9773" w14:textId="254AF4A0"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15167C1E"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2BAEA6E4"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0A8D124D"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672FEDA8"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59F79797"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810" w:type="dxa"/>
            <w:tcBorders>
              <w:bottom w:val="single" w:sz="4" w:space="0" w:color="000000"/>
            </w:tcBorders>
          </w:tcPr>
          <w:p w14:paraId="2554A51B" w14:textId="55FB31D0" w:rsidR="00D87B5C" w:rsidRPr="00D87B5C" w:rsidRDefault="00D87B5C" w:rsidP="00D87B5C">
            <w:pPr>
              <w:jc w:val="center"/>
              <w:rPr>
                <w:rFonts w:asciiTheme="minorHAnsi" w:hAnsiTheme="minorHAnsi" w:cstheme="minorHAnsi"/>
                <w:b/>
                <w:bCs/>
                <w:sz w:val="18"/>
                <w:szCs w:val="18"/>
              </w:rPr>
            </w:pPr>
            <w:r w:rsidRPr="00D87B5C">
              <w:rPr>
                <w:rFonts w:ascii="Calibri" w:hAnsi="Calibri" w:cs="Arial"/>
                <w:sz w:val="18"/>
                <w:szCs w:val="18"/>
              </w:rPr>
              <w:t>0</w:t>
            </w:r>
          </w:p>
        </w:tc>
        <w:tc>
          <w:tcPr>
            <w:tcW w:w="990" w:type="dxa"/>
            <w:tcBorders>
              <w:bottom w:val="single" w:sz="4" w:space="0" w:color="000000"/>
            </w:tcBorders>
          </w:tcPr>
          <w:p w14:paraId="3B4EB5AE" w14:textId="08413F74" w:rsidR="00D87B5C" w:rsidRPr="00D87B5C" w:rsidRDefault="00D87B5C" w:rsidP="00D87B5C">
            <w:pPr>
              <w:jc w:val="center"/>
              <w:rPr>
                <w:rFonts w:asciiTheme="minorHAnsi" w:hAnsiTheme="minorHAnsi" w:cstheme="minorHAnsi"/>
                <w:b/>
                <w:bCs/>
                <w:sz w:val="18"/>
                <w:szCs w:val="18"/>
              </w:rPr>
            </w:pPr>
            <w:r w:rsidRPr="00D87B5C">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15C501DD"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1261E7F1"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4D8C03EF"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344F1BC2"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r>
      <w:tr w:rsidR="00D87B5C"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4D4D87CB" w:rsidR="00D87B5C" w:rsidRPr="00D87B5C" w:rsidRDefault="00D87B5C" w:rsidP="00D87B5C">
            <w:pPr>
              <w:rPr>
                <w:rFonts w:asciiTheme="minorHAnsi" w:hAnsiTheme="minorHAnsi" w:cstheme="minorHAnsi"/>
                <w:sz w:val="18"/>
                <w:szCs w:val="18"/>
              </w:rPr>
            </w:pPr>
            <w:r w:rsidRPr="00D87B5C">
              <w:rPr>
                <w:rFonts w:ascii="Calibri" w:hAnsi="Calibri" w:cs="Arial"/>
                <w:sz w:val="18"/>
                <w:szCs w:val="18"/>
              </w:rPr>
              <w:t>12 (03/20 – 03/26/22)</w:t>
            </w:r>
          </w:p>
        </w:tc>
        <w:tc>
          <w:tcPr>
            <w:tcW w:w="630" w:type="dxa"/>
            <w:tcBorders>
              <w:bottom w:val="single" w:sz="4" w:space="0" w:color="000000"/>
            </w:tcBorders>
          </w:tcPr>
          <w:p w14:paraId="4DD7B00C" w14:textId="0B8CB439"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572EB8D0"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06F1B46"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2D3C7004"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1DC138FF"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57BC3B3D"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810" w:type="dxa"/>
            <w:tcBorders>
              <w:bottom w:val="single" w:sz="4" w:space="0" w:color="000000"/>
            </w:tcBorders>
          </w:tcPr>
          <w:p w14:paraId="63CE0748" w14:textId="1501DB9B"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990" w:type="dxa"/>
            <w:tcBorders>
              <w:bottom w:val="single" w:sz="4" w:space="0" w:color="000000"/>
            </w:tcBorders>
          </w:tcPr>
          <w:p w14:paraId="71FA3822" w14:textId="1294CE23"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41429386"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6C3D09B5"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2DF033C6"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2</w:t>
            </w:r>
          </w:p>
        </w:tc>
        <w:tc>
          <w:tcPr>
            <w:tcW w:w="709" w:type="dxa"/>
            <w:tcBorders>
              <w:bottom w:val="single" w:sz="4" w:space="0" w:color="000000"/>
            </w:tcBorders>
            <w:shd w:val="clear" w:color="auto" w:fill="auto"/>
            <w:vAlign w:val="bottom"/>
          </w:tcPr>
          <w:p w14:paraId="4683E8E6" w14:textId="3989220E"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2</w:t>
            </w:r>
          </w:p>
        </w:tc>
      </w:tr>
      <w:tr w:rsidR="00D87B5C"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6F97FA0B" w:rsidR="00D87B5C" w:rsidRPr="00D87B5C" w:rsidRDefault="00D87B5C" w:rsidP="00D87B5C">
            <w:pPr>
              <w:rPr>
                <w:rFonts w:asciiTheme="minorHAnsi" w:hAnsiTheme="minorHAnsi" w:cstheme="minorHAnsi"/>
                <w:sz w:val="18"/>
                <w:szCs w:val="18"/>
              </w:rPr>
            </w:pPr>
            <w:r w:rsidRPr="00D87B5C">
              <w:rPr>
                <w:rFonts w:ascii="Calibri" w:hAnsi="Calibri" w:cs="Arial"/>
                <w:sz w:val="18"/>
                <w:szCs w:val="18"/>
              </w:rPr>
              <w:t>13 (03/27 – 04/02/22)</w:t>
            </w:r>
          </w:p>
        </w:tc>
        <w:tc>
          <w:tcPr>
            <w:tcW w:w="630" w:type="dxa"/>
            <w:tcBorders>
              <w:bottom w:val="single" w:sz="4" w:space="0" w:color="000000"/>
            </w:tcBorders>
          </w:tcPr>
          <w:p w14:paraId="49875ADA" w14:textId="7326D753"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768E84B"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13453C24"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243D3E21"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7E4B4A18"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AE86885"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810" w:type="dxa"/>
            <w:tcBorders>
              <w:bottom w:val="single" w:sz="4" w:space="0" w:color="000000"/>
            </w:tcBorders>
          </w:tcPr>
          <w:p w14:paraId="11A28564" w14:textId="6054C70E"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990" w:type="dxa"/>
            <w:tcBorders>
              <w:bottom w:val="single" w:sz="4" w:space="0" w:color="000000"/>
            </w:tcBorders>
          </w:tcPr>
          <w:p w14:paraId="22E3F7AA" w14:textId="5DF0B1A2"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00E8F000"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F126BA3"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403E985C"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761FD8D9"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r>
      <w:tr w:rsidR="00D87B5C"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22D4565D" w:rsidR="00D87B5C" w:rsidRPr="00D87B5C" w:rsidRDefault="00D87B5C" w:rsidP="00D87B5C">
            <w:pPr>
              <w:rPr>
                <w:rFonts w:asciiTheme="minorHAnsi" w:hAnsiTheme="minorHAnsi" w:cstheme="minorHAnsi"/>
                <w:sz w:val="18"/>
                <w:szCs w:val="18"/>
              </w:rPr>
            </w:pPr>
            <w:r w:rsidRPr="00D87B5C">
              <w:rPr>
                <w:rFonts w:ascii="Calibri" w:hAnsi="Calibri" w:cs="Arial"/>
                <w:sz w:val="18"/>
                <w:szCs w:val="18"/>
              </w:rPr>
              <w:t>14 (04/03 – 04/09/22)</w:t>
            </w:r>
          </w:p>
        </w:tc>
        <w:tc>
          <w:tcPr>
            <w:tcW w:w="630" w:type="dxa"/>
            <w:tcBorders>
              <w:bottom w:val="single" w:sz="4" w:space="0" w:color="000000"/>
            </w:tcBorders>
          </w:tcPr>
          <w:p w14:paraId="0AAB6A58" w14:textId="32E002D3"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65533EDE"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97035D5"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78C35BAE"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33A9D121"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6FFD9600"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810" w:type="dxa"/>
            <w:tcBorders>
              <w:bottom w:val="single" w:sz="4" w:space="0" w:color="000000"/>
            </w:tcBorders>
          </w:tcPr>
          <w:p w14:paraId="78EAD15C" w14:textId="6A9B3A2C"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990" w:type="dxa"/>
            <w:tcBorders>
              <w:bottom w:val="single" w:sz="4" w:space="0" w:color="000000"/>
            </w:tcBorders>
          </w:tcPr>
          <w:p w14:paraId="636EBDD1" w14:textId="6BDC9779"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44C091D2"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62B9109E" w:rsidR="00D87B5C" w:rsidRPr="00D87B5C" w:rsidRDefault="00D87B5C" w:rsidP="00D87B5C">
            <w:pPr>
              <w:jc w:val="center"/>
              <w:rPr>
                <w:rFonts w:asciiTheme="minorHAnsi" w:hAnsiTheme="minorHAnsi" w:cstheme="minorHAnsi"/>
                <w:sz w:val="18"/>
                <w:szCs w:val="18"/>
              </w:rPr>
            </w:pPr>
            <w:r w:rsidRPr="00D87B5C">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7900DFA1"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000122B6"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r>
      <w:tr w:rsidR="00D87B5C"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9BA0122" w:rsidR="00D87B5C" w:rsidRPr="00D87B5C" w:rsidRDefault="00D87B5C" w:rsidP="00D87B5C">
            <w:pPr>
              <w:jc w:val="right"/>
              <w:rPr>
                <w:rFonts w:asciiTheme="minorHAnsi" w:hAnsiTheme="minorHAnsi" w:cstheme="minorHAnsi"/>
                <w:b/>
                <w:bCs/>
                <w:sz w:val="18"/>
                <w:szCs w:val="18"/>
              </w:rPr>
            </w:pPr>
            <w:r w:rsidRPr="00D87B5C">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14:paraId="4CFEAFE2" w14:textId="594DE188"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6332C347"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4CCDB154"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72C6167C"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B4A91CE"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74D122E6"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02F57616"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668020AB"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2415191B"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7D69F0B8"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3DE16AC3"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3</w:t>
            </w:r>
          </w:p>
        </w:tc>
        <w:tc>
          <w:tcPr>
            <w:tcW w:w="709" w:type="dxa"/>
            <w:tcBorders>
              <w:bottom w:val="single" w:sz="4" w:space="0" w:color="000000"/>
            </w:tcBorders>
            <w:shd w:val="clear" w:color="auto" w:fill="D9D9D9"/>
            <w:vAlign w:val="center"/>
          </w:tcPr>
          <w:p w14:paraId="1CB76AA1" w14:textId="4CE9E4F2"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3</w:t>
            </w:r>
          </w:p>
        </w:tc>
      </w:tr>
      <w:tr w:rsidR="00D87B5C" w:rsidRPr="00A53B6C" w14:paraId="491B716B" w14:textId="77777777" w:rsidTr="00BD46A8">
        <w:trPr>
          <w:trHeight w:val="70"/>
          <w:jc w:val="center"/>
        </w:trPr>
        <w:tc>
          <w:tcPr>
            <w:tcW w:w="2065" w:type="dxa"/>
            <w:shd w:val="clear" w:color="auto" w:fill="D9D9D9"/>
            <w:vAlign w:val="bottom"/>
          </w:tcPr>
          <w:p w14:paraId="7EFCBECA" w14:textId="74FF16FF" w:rsidR="00D87B5C" w:rsidRPr="00D87B5C" w:rsidRDefault="00D87B5C" w:rsidP="00D87B5C">
            <w:pPr>
              <w:jc w:val="right"/>
              <w:rPr>
                <w:rFonts w:asciiTheme="minorHAnsi" w:hAnsiTheme="minorHAnsi" w:cstheme="minorHAnsi"/>
                <w:b/>
                <w:bCs/>
                <w:sz w:val="18"/>
                <w:szCs w:val="18"/>
              </w:rPr>
            </w:pPr>
            <w:r w:rsidRPr="00D87B5C">
              <w:rPr>
                <w:rFonts w:ascii="Calibri" w:hAnsi="Calibri" w:cs="Arial"/>
                <w:b/>
                <w:bCs/>
                <w:sz w:val="18"/>
                <w:szCs w:val="18"/>
              </w:rPr>
              <w:t>Cumulative Season total</w:t>
            </w:r>
          </w:p>
        </w:tc>
        <w:tc>
          <w:tcPr>
            <w:tcW w:w="630" w:type="dxa"/>
            <w:shd w:val="clear" w:color="auto" w:fill="D9D9D9"/>
            <w:vAlign w:val="center"/>
          </w:tcPr>
          <w:p w14:paraId="75196142" w14:textId="2DBFAB8B"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540" w:type="dxa"/>
            <w:shd w:val="clear" w:color="auto" w:fill="D9D9D9"/>
            <w:vAlign w:val="center"/>
          </w:tcPr>
          <w:p w14:paraId="413043CB" w14:textId="77A13104"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630" w:type="dxa"/>
            <w:shd w:val="clear" w:color="auto" w:fill="D9D9D9"/>
            <w:vAlign w:val="center"/>
          </w:tcPr>
          <w:p w14:paraId="73A598B0" w14:textId="6F0AE97C"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540" w:type="dxa"/>
            <w:shd w:val="clear" w:color="auto" w:fill="D9D9D9"/>
            <w:vAlign w:val="center"/>
          </w:tcPr>
          <w:p w14:paraId="32DF7EE4" w14:textId="3A6039B4"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720" w:type="dxa"/>
            <w:shd w:val="clear" w:color="auto" w:fill="D9D9D9"/>
            <w:vAlign w:val="center"/>
          </w:tcPr>
          <w:p w14:paraId="4313BA7C" w14:textId="490DEAC5"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540" w:type="dxa"/>
            <w:shd w:val="clear" w:color="auto" w:fill="D9D9D9"/>
            <w:vAlign w:val="center"/>
          </w:tcPr>
          <w:p w14:paraId="66E5EFBA" w14:textId="79B456AF"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810" w:type="dxa"/>
            <w:shd w:val="clear" w:color="auto" w:fill="D9D9D9"/>
            <w:vAlign w:val="center"/>
          </w:tcPr>
          <w:p w14:paraId="1E2A93C1" w14:textId="27BC360B"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990" w:type="dxa"/>
            <w:shd w:val="clear" w:color="auto" w:fill="D9D9D9"/>
            <w:vAlign w:val="center"/>
          </w:tcPr>
          <w:p w14:paraId="62731D24" w14:textId="047FA87B"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w:t>
            </w:r>
          </w:p>
        </w:tc>
        <w:tc>
          <w:tcPr>
            <w:tcW w:w="769" w:type="dxa"/>
            <w:shd w:val="clear" w:color="auto" w:fill="D9D9D9"/>
            <w:vAlign w:val="center"/>
          </w:tcPr>
          <w:p w14:paraId="7531D999" w14:textId="356BE4A7"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3(3%)</w:t>
            </w:r>
          </w:p>
        </w:tc>
        <w:tc>
          <w:tcPr>
            <w:tcW w:w="720" w:type="dxa"/>
            <w:shd w:val="clear" w:color="auto" w:fill="D9D9D9"/>
            <w:vAlign w:val="center"/>
          </w:tcPr>
          <w:p w14:paraId="1475B586" w14:textId="48FC55A0"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0</w:t>
            </w:r>
          </w:p>
        </w:tc>
        <w:tc>
          <w:tcPr>
            <w:tcW w:w="720" w:type="dxa"/>
            <w:shd w:val="clear" w:color="auto" w:fill="D9D9D9"/>
            <w:vAlign w:val="center"/>
          </w:tcPr>
          <w:p w14:paraId="02C1A1BC" w14:textId="759E588D"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105</w:t>
            </w:r>
          </w:p>
        </w:tc>
        <w:tc>
          <w:tcPr>
            <w:tcW w:w="709" w:type="dxa"/>
            <w:shd w:val="clear" w:color="auto" w:fill="D9D9D9"/>
            <w:vAlign w:val="center"/>
          </w:tcPr>
          <w:p w14:paraId="59666AC8" w14:textId="6DFF5000" w:rsidR="00D87B5C" w:rsidRPr="00D87B5C" w:rsidRDefault="00D87B5C" w:rsidP="00D87B5C">
            <w:pPr>
              <w:jc w:val="center"/>
              <w:rPr>
                <w:rFonts w:asciiTheme="minorHAnsi" w:hAnsiTheme="minorHAnsi" w:cstheme="minorHAnsi"/>
                <w:b/>
                <w:bCs/>
                <w:sz w:val="18"/>
                <w:szCs w:val="18"/>
              </w:rPr>
            </w:pPr>
            <w:r w:rsidRPr="00D87B5C">
              <w:rPr>
                <w:rFonts w:ascii="Calibri" w:hAnsi="Calibri" w:cs="Arial"/>
                <w:b/>
                <w:bCs/>
                <w:sz w:val="18"/>
                <w:szCs w:val="18"/>
              </w:rPr>
              <w:t>105</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patients, and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Eighteen to 49 year-olds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72460EE7" w:rsidR="005E47EE" w:rsidRDefault="00745E92" w:rsidP="00284652">
      <w:pPr>
        <w:jc w:val="center"/>
        <w:rPr>
          <w:rFonts w:ascii="Calibri" w:hAnsi="Calibri"/>
          <w:bCs/>
          <w:iCs/>
          <w:sz w:val="20"/>
          <w:szCs w:val="20"/>
        </w:rPr>
      </w:pPr>
      <w:r>
        <w:rPr>
          <w:rFonts w:ascii="Calibri" w:hAnsi="Calibri"/>
          <w:bCs/>
          <w:iCs/>
          <w:noProof/>
          <w:sz w:val="20"/>
          <w:szCs w:val="20"/>
        </w:rPr>
        <w:drawing>
          <wp:inline distT="0" distB="0" distL="0" distR="0" wp14:anchorId="04B6AB48" wp14:editId="03017F55">
            <wp:extent cx="5807882" cy="4267241"/>
            <wp:effectExtent l="0" t="0" r="2540" b="0"/>
            <wp:docPr id="9" name="Picture 9" descr="Figure six is a line graph showing the percentage of Massachusetts residents who have been vaccinated for influenza by age group. The age groups are 6 months to 4 years, 5 to 12 years, 18 to 49 years, 50-64 years, 65 years and older, and all ages. As of April 9,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six is a line graph showing the percentage of Massachusetts residents who have been vaccinated for influenza by age group. The age groups are 6 months to 4 years, 5 to 12 years, 18 to 49 years, 50-64 years, 65 years and older, and all ages. As of April 9,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07882" cy="4267241"/>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50F693FB" w14:textId="77777777" w:rsidR="00284652" w:rsidRDefault="00284652" w:rsidP="005E47EE">
      <w:pPr>
        <w:rPr>
          <w:rFonts w:ascii="Calibri" w:hAnsi="Calibri"/>
          <w:color w:val="000000"/>
          <w:sz w:val="20"/>
          <w:szCs w:val="20"/>
        </w:rPr>
      </w:pPr>
    </w:p>
    <w:p w14:paraId="7496EB17" w14:textId="77777777" w:rsidR="001E3A36" w:rsidRDefault="001E3A36" w:rsidP="005E47EE">
      <w:pPr>
        <w:rPr>
          <w:rFonts w:ascii="Calibri" w:hAnsi="Calibri"/>
          <w:color w:val="000000"/>
          <w:sz w:val="20"/>
          <w:szCs w:val="20"/>
        </w:rPr>
      </w:pPr>
    </w:p>
    <w:p w14:paraId="63835CF2" w14:textId="01C819EB"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 this season is comparable to last season.</w:t>
      </w:r>
    </w:p>
    <w:p w14:paraId="41919AC3" w14:textId="71CFFEFE" w:rsidR="005E47EE" w:rsidRPr="003D73FB" w:rsidRDefault="00745E92" w:rsidP="00284652">
      <w:pPr>
        <w:jc w:val="center"/>
        <w:rPr>
          <w:rFonts w:ascii="Calibri" w:hAnsi="Calibri"/>
          <w:bCs/>
          <w:iCs/>
          <w:sz w:val="20"/>
          <w:szCs w:val="20"/>
        </w:rPr>
      </w:pPr>
      <w:r>
        <w:rPr>
          <w:rFonts w:ascii="Calibri" w:hAnsi="Calibri"/>
          <w:bCs/>
          <w:iCs/>
          <w:noProof/>
          <w:sz w:val="20"/>
          <w:szCs w:val="20"/>
        </w:rPr>
        <w:drawing>
          <wp:inline distT="0" distB="0" distL="0" distR="0" wp14:anchorId="53765474" wp14:editId="67816847">
            <wp:extent cx="5885468" cy="4336515"/>
            <wp:effectExtent l="0" t="0" r="1270" b="6985"/>
            <wp:docPr id="11" name="Picture 11" descr="Figure seven is a line graph showing the number of influenza vaccine doses administered. Number of doses is plotted for the 2018-2019, 2019-2020, 2020-2021, and 2021-2022 influenza seasons to date. As of April 9,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seven is a line graph showing the number of influenza vaccine doses administered. Number of doses is plotted for the 2018-2019, 2019-2020, 2020-2021, and 2021-2022 influenza seasons to date. As of April 9, 2022, the number of influenza doses administered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85468" cy="4336515"/>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1DA5F0E" w:rsidR="006B7BE3" w:rsidRDefault="003F6322" w:rsidP="00F35DC4">
    <w:pPr>
      <w:pStyle w:val="Header"/>
      <w:jc w:val="center"/>
      <w:rPr>
        <w:rFonts w:ascii="Calibri" w:hAnsi="Calibri"/>
        <w:b/>
        <w:bCs/>
        <w:i/>
        <w:iCs/>
        <w:sz w:val="26"/>
        <w:szCs w:val="26"/>
      </w:rPr>
    </w:pPr>
    <w:r>
      <w:rPr>
        <w:rFonts w:ascii="Calibri" w:hAnsi="Calibri"/>
        <w:b/>
        <w:bCs/>
        <w:i/>
        <w:iCs/>
        <w:sz w:val="26"/>
        <w:szCs w:val="26"/>
      </w:rPr>
      <w:t>April</w:t>
    </w:r>
    <w:r w:rsidR="00C61920">
      <w:rPr>
        <w:rFonts w:ascii="Calibri" w:hAnsi="Calibri"/>
        <w:b/>
        <w:bCs/>
        <w:i/>
        <w:iCs/>
        <w:sz w:val="26"/>
        <w:szCs w:val="26"/>
      </w:rPr>
      <w:t xml:space="preserve"> </w:t>
    </w:r>
    <w:r w:rsidR="00745E92">
      <w:rPr>
        <w:rFonts w:ascii="Calibri" w:hAnsi="Calibri"/>
        <w:b/>
        <w:bCs/>
        <w:i/>
        <w:iCs/>
        <w:sz w:val="26"/>
        <w:szCs w:val="26"/>
      </w:rPr>
      <w:t>15</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E417C46"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745E92">
      <w:rPr>
        <w:rFonts w:ascii="Calibri" w:hAnsi="Calibri"/>
        <w:b/>
        <w:bCs/>
        <w:i/>
        <w:iCs/>
        <w:sz w:val="20"/>
        <w:szCs w:val="20"/>
      </w:rPr>
      <w:t>4</w:t>
    </w:r>
    <w:r w:rsidR="002D0507" w:rsidRPr="002D0507">
      <w:rPr>
        <w:rFonts w:ascii="Calibri" w:hAnsi="Calibri"/>
        <w:b/>
        <w:bCs/>
        <w:i/>
        <w:iCs/>
        <w:sz w:val="20"/>
        <w:szCs w:val="20"/>
      </w:rPr>
      <w:t>/</w:t>
    </w:r>
    <w:r w:rsidR="00745E92">
      <w:rPr>
        <w:rFonts w:ascii="Calibri" w:hAnsi="Calibri"/>
        <w:b/>
        <w:bCs/>
        <w:i/>
        <w:iCs/>
        <w:sz w:val="20"/>
        <w:szCs w:val="20"/>
      </w:rPr>
      <w:t>3</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AE2C3A">
      <w:rPr>
        <w:rFonts w:ascii="Calibri" w:hAnsi="Calibri"/>
        <w:b/>
        <w:bCs/>
        <w:i/>
        <w:iCs/>
        <w:sz w:val="20"/>
        <w:szCs w:val="20"/>
      </w:rPr>
      <w:t>4</w:t>
    </w:r>
    <w:r w:rsidRPr="002D0507">
      <w:rPr>
        <w:rFonts w:ascii="Calibri" w:hAnsi="Calibri"/>
        <w:b/>
        <w:bCs/>
        <w:i/>
        <w:iCs/>
        <w:sz w:val="20"/>
        <w:szCs w:val="20"/>
      </w:rPr>
      <w:t>/</w:t>
    </w:r>
    <w:r w:rsidR="00745E92">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4B631258"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AE2C3A">
      <w:rPr>
        <w:rFonts w:ascii="Calibri" w:hAnsi="Calibri"/>
        <w:sz w:val="18"/>
        <w:szCs w:val="18"/>
      </w:rPr>
      <w:t xml:space="preserve">April </w:t>
    </w:r>
    <w:r w:rsidR="00745E92">
      <w:rPr>
        <w:rFonts w:ascii="Calibri" w:hAnsi="Calibri"/>
        <w:sz w:val="18"/>
        <w:szCs w:val="18"/>
      </w:rPr>
      <w:t>9</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2128"/>
    <w:rsid w:val="000E452E"/>
    <w:rsid w:val="000E6A50"/>
    <w:rsid w:val="000E6FF1"/>
    <w:rsid w:val="000E7DAC"/>
    <w:rsid w:val="000F05F2"/>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D5C"/>
    <w:rsid w:val="001C2C4C"/>
    <w:rsid w:val="001C2D39"/>
    <w:rsid w:val="001C2F4F"/>
    <w:rsid w:val="001D0B8F"/>
    <w:rsid w:val="001D4FF4"/>
    <w:rsid w:val="001D53A3"/>
    <w:rsid w:val="001E1738"/>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3E0D"/>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6C90"/>
    <w:rsid w:val="005B795D"/>
    <w:rsid w:val="005C0877"/>
    <w:rsid w:val="005C1F36"/>
    <w:rsid w:val="005C6861"/>
    <w:rsid w:val="005C7D62"/>
    <w:rsid w:val="005D462E"/>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1266</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9</cp:revision>
  <cp:lastPrinted>2022-04-15T15:11:00Z</cp:lastPrinted>
  <dcterms:created xsi:type="dcterms:W3CDTF">2022-04-14T17:03:00Z</dcterms:created>
  <dcterms:modified xsi:type="dcterms:W3CDTF">2022-04-15T15:15:00Z</dcterms:modified>
</cp:coreProperties>
</file>