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1609E8E">
                <wp:simplePos x="0" y="0"/>
                <wp:positionH relativeFrom="column">
                  <wp:posOffset>233680</wp:posOffset>
                </wp:positionH>
                <wp:positionV relativeFrom="paragraph">
                  <wp:posOffset>107950</wp:posOffset>
                </wp:positionV>
                <wp:extent cx="5857875" cy="4083050"/>
                <wp:effectExtent l="0" t="0" r="2857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0830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7D1A42B6"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5E47EE">
                              <w:rPr>
                                <w:sz w:val="20"/>
                                <w:szCs w:val="20"/>
                              </w:rPr>
                              <w:t>98</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45689BDA"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A40F77" w:rsidRPr="00306A88">
                              <w:rPr>
                                <w:sz w:val="20"/>
                                <w:szCs w:val="20"/>
                              </w:rPr>
                              <w:t>1</w:t>
                            </w:r>
                            <w:r w:rsidR="002A2EC7" w:rsidRPr="00306A88">
                              <w:rPr>
                                <w:sz w:val="20"/>
                                <w:szCs w:val="20"/>
                              </w:rPr>
                              <w:t>8</w:t>
                            </w:r>
                            <w:r w:rsidRPr="00306A88">
                              <w:rPr>
                                <w:sz w:val="20"/>
                                <w:szCs w:val="20"/>
                              </w:rPr>
                              <w:t xml:space="preserve">%, which is </w:t>
                            </w:r>
                            <w:r w:rsidR="001C2F4F" w:rsidRPr="00306A88">
                              <w:rPr>
                                <w:sz w:val="20"/>
                                <w:szCs w:val="20"/>
                              </w:rPr>
                              <w:t xml:space="preserve">lower than </w:t>
                            </w:r>
                            <w:r w:rsidR="00534973" w:rsidRPr="00306A88">
                              <w:rPr>
                                <w:sz w:val="20"/>
                                <w:szCs w:val="20"/>
                              </w:rPr>
                              <w:t>t</w:t>
                            </w:r>
                            <w:r w:rsidR="00261DF1" w:rsidRPr="00306A88">
                              <w:rPr>
                                <w:sz w:val="20"/>
                                <w:szCs w:val="20"/>
                              </w:rPr>
                              <w:t>wo</w:t>
                            </w:r>
                            <w:r w:rsidR="00534973" w:rsidRPr="00306A88">
                              <w:rPr>
                                <w:sz w:val="20"/>
                                <w:szCs w:val="20"/>
                              </w:rPr>
                              <w:t xml:space="preserve"> of the</w:t>
                            </w:r>
                            <w:r w:rsidR="009125A8" w:rsidRPr="00306A88">
                              <w:rPr>
                                <w:sz w:val="20"/>
                                <w:szCs w:val="20"/>
                              </w:rPr>
                              <w:t xml:space="preserve"> previous</w:t>
                            </w:r>
                            <w:r w:rsidR="006E0C4D" w:rsidRPr="00306A88">
                              <w:rPr>
                                <w:sz w:val="20"/>
                                <w:szCs w:val="20"/>
                              </w:rPr>
                              <w:t xml:space="preserve"> </w:t>
                            </w:r>
                            <w:r w:rsidRPr="00306A88">
                              <w:rPr>
                                <w:sz w:val="20"/>
                                <w:szCs w:val="20"/>
                              </w:rPr>
                              <w:t>seasons</w:t>
                            </w:r>
                            <w:r w:rsidR="0019547C" w:rsidRPr="00306A88">
                              <w:rPr>
                                <w:sz w:val="20"/>
                                <w:szCs w:val="20"/>
                              </w:rPr>
                              <w:t xml:space="preserve">, but </w:t>
                            </w:r>
                            <w:r w:rsidR="00A40F77" w:rsidRPr="00306A88">
                              <w:rPr>
                                <w:sz w:val="20"/>
                                <w:szCs w:val="20"/>
                              </w:rPr>
                              <w:t xml:space="preserve">higher than the </w:t>
                            </w:r>
                            <w:r w:rsidR="0019547C" w:rsidRPr="00306A88">
                              <w:rPr>
                                <w:sz w:val="20"/>
                                <w:szCs w:val="20"/>
                              </w:rPr>
                              <w:t>last season in the same week.</w:t>
                            </w:r>
                          </w:p>
                          <w:p w14:paraId="0D2B5ECD" w14:textId="092FDE91"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r w:rsidR="0004124A" w:rsidRPr="00306A88">
                              <w:rPr>
                                <w:sz w:val="20"/>
                                <w:szCs w:val="20"/>
                              </w:rPr>
                              <w:t>minimal</w:t>
                            </w:r>
                            <w:r w:rsidR="00A40F77" w:rsidRPr="00306A88">
                              <w:rPr>
                                <w:sz w:val="20"/>
                                <w:szCs w:val="20"/>
                              </w:rPr>
                              <w:t>, but increasing</w:t>
                            </w:r>
                            <w:r w:rsidRPr="00306A88">
                              <w:rPr>
                                <w:sz w:val="20"/>
                                <w:szCs w:val="20"/>
                              </w:rPr>
                              <w:t>.</w:t>
                            </w:r>
                            <w:r w:rsidR="0004124A" w:rsidRPr="00306A88">
                              <w:rPr>
                                <w:color w:val="000000"/>
                                <w:sz w:val="20"/>
                                <w:szCs w:val="20"/>
                              </w:rPr>
                              <w:t xml:space="preserve"> All regions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29E82915"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96%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p>
                          <w:p w14:paraId="2F52BD39" w14:textId="527FFFB9"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47%.</w:t>
                            </w:r>
                            <w:r w:rsidR="00306A88" w:rsidRPr="00306A88">
                              <w:rPr>
                                <w:sz w:val="20"/>
                                <w:szCs w:val="20"/>
                              </w:rPr>
                              <w:t xml:space="preserve"> See figure 6 and 7 for vaccination data.</w:t>
                            </w:r>
                          </w:p>
                          <w:p w14:paraId="53A7F25F" w14:textId="4D4821D2" w:rsidR="00884456" w:rsidRPr="00B21368" w:rsidRDefault="00884456" w:rsidP="00292638">
                            <w:pPr>
                              <w:pStyle w:val="ListParagraph"/>
                              <w:numPr>
                                <w:ilvl w:val="0"/>
                                <w:numId w:val="2"/>
                              </w:numPr>
                              <w:contextualSpacing w:val="0"/>
                              <w:rPr>
                                <w:sz w:val="20"/>
                                <w:szCs w:val="20"/>
                              </w:rPr>
                            </w:pPr>
                            <w:r w:rsidRPr="00B21368">
                              <w:rPr>
                                <w:sz w:val="20"/>
                                <w:szCs w:val="20"/>
                              </w:rPr>
                              <w:t xml:space="preserve">Nationally, </w:t>
                            </w:r>
                            <w:r w:rsidR="00801D74" w:rsidRPr="00B21368">
                              <w:rPr>
                                <w:sz w:val="20"/>
                                <w:szCs w:val="20"/>
                              </w:rPr>
                              <w:t>influenza activity is increasing</w:t>
                            </w:r>
                            <w:r w:rsidR="005042C1" w:rsidRPr="00B21368">
                              <w:rPr>
                                <w:sz w:val="20"/>
                                <w:szCs w:val="20"/>
                              </w:rPr>
                              <w:t xml:space="preserve"> in most of the country</w:t>
                            </w:r>
                            <w:r w:rsidR="00801D74" w:rsidRPr="00B21368">
                              <w:rPr>
                                <w:sz w:val="20"/>
                                <w:szCs w:val="20"/>
                              </w:rPr>
                              <w:t>.</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FluView Weekly Report at </w:t>
                            </w:r>
                            <w:hyperlink r:id="rId8" w:history="1">
                              <w:r w:rsidRPr="00306A88">
                                <w:rPr>
                                  <w:rStyle w:val="Hyperlink"/>
                                  <w:sz w:val="20"/>
                                  <w:szCs w:val="20"/>
                                </w:rPr>
                                <w:t>www.cdc.gov/flu/weekly</w:t>
                              </w:r>
                            </w:hyperlink>
                            <w:r w:rsidRPr="00306A88">
                              <w:rPr>
                                <w:sz w:val="20"/>
                                <w:szCs w:val="20"/>
                              </w:rPr>
                              <w:t xml:space="preserve"> and FluView Interactive </w:t>
                            </w:r>
                            <w:hyperlink r:id="rId9"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7D1A42B6"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5E47EE">
                        <w:rPr>
                          <w:sz w:val="20"/>
                          <w:szCs w:val="20"/>
                        </w:rPr>
                        <w:t>98</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45689BDA"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A40F77" w:rsidRPr="00306A88">
                        <w:rPr>
                          <w:sz w:val="20"/>
                          <w:szCs w:val="20"/>
                        </w:rPr>
                        <w:t>1</w:t>
                      </w:r>
                      <w:r w:rsidR="002A2EC7" w:rsidRPr="00306A88">
                        <w:rPr>
                          <w:sz w:val="20"/>
                          <w:szCs w:val="20"/>
                        </w:rPr>
                        <w:t>8</w:t>
                      </w:r>
                      <w:r w:rsidRPr="00306A88">
                        <w:rPr>
                          <w:sz w:val="20"/>
                          <w:szCs w:val="20"/>
                        </w:rPr>
                        <w:t xml:space="preserve">%, which is </w:t>
                      </w:r>
                      <w:r w:rsidR="001C2F4F" w:rsidRPr="00306A88">
                        <w:rPr>
                          <w:sz w:val="20"/>
                          <w:szCs w:val="20"/>
                        </w:rPr>
                        <w:t xml:space="preserve">lower than </w:t>
                      </w:r>
                      <w:r w:rsidR="00534973" w:rsidRPr="00306A88">
                        <w:rPr>
                          <w:sz w:val="20"/>
                          <w:szCs w:val="20"/>
                        </w:rPr>
                        <w:t>t</w:t>
                      </w:r>
                      <w:r w:rsidR="00261DF1" w:rsidRPr="00306A88">
                        <w:rPr>
                          <w:sz w:val="20"/>
                          <w:szCs w:val="20"/>
                        </w:rPr>
                        <w:t>wo</w:t>
                      </w:r>
                      <w:r w:rsidR="00534973" w:rsidRPr="00306A88">
                        <w:rPr>
                          <w:sz w:val="20"/>
                          <w:szCs w:val="20"/>
                        </w:rPr>
                        <w:t xml:space="preserve"> of the</w:t>
                      </w:r>
                      <w:r w:rsidR="009125A8" w:rsidRPr="00306A88">
                        <w:rPr>
                          <w:sz w:val="20"/>
                          <w:szCs w:val="20"/>
                        </w:rPr>
                        <w:t xml:space="preserve"> previous</w:t>
                      </w:r>
                      <w:r w:rsidR="006E0C4D" w:rsidRPr="00306A88">
                        <w:rPr>
                          <w:sz w:val="20"/>
                          <w:szCs w:val="20"/>
                        </w:rPr>
                        <w:t xml:space="preserve"> </w:t>
                      </w:r>
                      <w:r w:rsidRPr="00306A88">
                        <w:rPr>
                          <w:sz w:val="20"/>
                          <w:szCs w:val="20"/>
                        </w:rPr>
                        <w:t>seasons</w:t>
                      </w:r>
                      <w:r w:rsidR="0019547C" w:rsidRPr="00306A88">
                        <w:rPr>
                          <w:sz w:val="20"/>
                          <w:szCs w:val="20"/>
                        </w:rPr>
                        <w:t xml:space="preserve">, but </w:t>
                      </w:r>
                      <w:r w:rsidR="00A40F77" w:rsidRPr="00306A88">
                        <w:rPr>
                          <w:sz w:val="20"/>
                          <w:szCs w:val="20"/>
                        </w:rPr>
                        <w:t xml:space="preserve">higher than the </w:t>
                      </w:r>
                      <w:r w:rsidR="0019547C" w:rsidRPr="00306A88">
                        <w:rPr>
                          <w:sz w:val="20"/>
                          <w:szCs w:val="20"/>
                        </w:rPr>
                        <w:t>last season in the same week.</w:t>
                      </w:r>
                    </w:p>
                    <w:p w14:paraId="0D2B5ECD" w14:textId="092FDE91"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r w:rsidR="0004124A" w:rsidRPr="00306A88">
                        <w:rPr>
                          <w:sz w:val="20"/>
                          <w:szCs w:val="20"/>
                        </w:rPr>
                        <w:t>minimal</w:t>
                      </w:r>
                      <w:r w:rsidR="00A40F77" w:rsidRPr="00306A88">
                        <w:rPr>
                          <w:sz w:val="20"/>
                          <w:szCs w:val="20"/>
                        </w:rPr>
                        <w:t>, but increasing</w:t>
                      </w:r>
                      <w:r w:rsidRPr="00306A88">
                        <w:rPr>
                          <w:sz w:val="20"/>
                          <w:szCs w:val="20"/>
                        </w:rPr>
                        <w:t>.</w:t>
                      </w:r>
                      <w:r w:rsidR="0004124A" w:rsidRPr="00306A88">
                        <w:rPr>
                          <w:color w:val="000000"/>
                          <w:sz w:val="20"/>
                          <w:szCs w:val="20"/>
                        </w:rPr>
                        <w:t xml:space="preserve"> All regions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29E82915"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96%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p>
                    <w:p w14:paraId="2F52BD39" w14:textId="527FFFB9"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47%.</w:t>
                      </w:r>
                      <w:r w:rsidR="00306A88" w:rsidRPr="00306A88">
                        <w:rPr>
                          <w:sz w:val="20"/>
                          <w:szCs w:val="20"/>
                        </w:rPr>
                        <w:t xml:space="preserve"> See figure 6 and 7 for vaccination data.</w:t>
                      </w:r>
                    </w:p>
                    <w:p w14:paraId="53A7F25F" w14:textId="4D4821D2" w:rsidR="00884456" w:rsidRPr="00B21368" w:rsidRDefault="00884456" w:rsidP="00292638">
                      <w:pPr>
                        <w:pStyle w:val="ListParagraph"/>
                        <w:numPr>
                          <w:ilvl w:val="0"/>
                          <w:numId w:val="2"/>
                        </w:numPr>
                        <w:contextualSpacing w:val="0"/>
                        <w:rPr>
                          <w:sz w:val="20"/>
                          <w:szCs w:val="20"/>
                        </w:rPr>
                      </w:pPr>
                      <w:r w:rsidRPr="00B21368">
                        <w:rPr>
                          <w:sz w:val="20"/>
                          <w:szCs w:val="20"/>
                        </w:rPr>
                        <w:t xml:space="preserve">Nationally, </w:t>
                      </w:r>
                      <w:r w:rsidR="00801D74" w:rsidRPr="00B21368">
                        <w:rPr>
                          <w:sz w:val="20"/>
                          <w:szCs w:val="20"/>
                        </w:rPr>
                        <w:t>influenza activity is increasing</w:t>
                      </w:r>
                      <w:r w:rsidR="005042C1" w:rsidRPr="00B21368">
                        <w:rPr>
                          <w:sz w:val="20"/>
                          <w:szCs w:val="20"/>
                        </w:rPr>
                        <w:t xml:space="preserve"> in most of the country</w:t>
                      </w:r>
                      <w:r w:rsidR="00801D74" w:rsidRPr="00B21368">
                        <w:rPr>
                          <w:sz w:val="20"/>
                          <w:szCs w:val="20"/>
                        </w:rPr>
                        <w:t>.</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FluView Weekly Report at </w:t>
                      </w:r>
                      <w:hyperlink r:id="rId12" w:history="1">
                        <w:r w:rsidRPr="00306A88">
                          <w:rPr>
                            <w:rStyle w:val="Hyperlink"/>
                            <w:sz w:val="20"/>
                            <w:szCs w:val="20"/>
                          </w:rPr>
                          <w:t>www.cdc.gov/flu/weekly</w:t>
                        </w:r>
                      </w:hyperlink>
                      <w:r w:rsidRPr="00306A88">
                        <w:rPr>
                          <w:sz w:val="20"/>
                          <w:szCs w:val="20"/>
                        </w:rPr>
                        <w:t xml:space="preserve"> and FluView Interactive </w:t>
                      </w:r>
                      <w:hyperlink r:id="rId13"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681905FD" w:rsidR="00E71A5D" w:rsidRDefault="00E71A5D" w:rsidP="00773D8D">
      <w:pPr>
        <w:rPr>
          <w:rFonts w:ascii="Calibri" w:hAnsi="Calibri"/>
          <w:color w:val="000000"/>
          <w:sz w:val="20"/>
          <w:szCs w:val="20"/>
        </w:rPr>
      </w:pPr>
    </w:p>
    <w:p w14:paraId="66953CA4" w14:textId="1BDCCA16" w:rsidR="00773D8D" w:rsidRDefault="005E47EE" w:rsidP="006169B7">
      <w:pPr>
        <w:rPr>
          <w:rFonts w:ascii="Calibri" w:hAnsi="Calibri"/>
          <w:b/>
          <w:bCs/>
          <w:color w:val="000000"/>
          <w:u w:val="single"/>
        </w:rPr>
      </w:pPr>
      <w:r>
        <w:rPr>
          <w:rFonts w:ascii="Calibri" w:hAnsi="Calibri"/>
          <w:noProof/>
          <w:color w:val="000000"/>
          <w:sz w:val="20"/>
          <w:szCs w:val="20"/>
        </w:rPr>
        <w:drawing>
          <wp:inline distT="0" distB="0" distL="0" distR="0" wp14:anchorId="004168F7" wp14:editId="67E5038C">
            <wp:extent cx="5774631" cy="4325431"/>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March 12, 2022, 0.98%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March 12, 2022, 0.98% of reported visits are due to ILI, which is low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74631" cy="4325431"/>
                    </a:xfrm>
                    <a:prstGeom prst="rect">
                      <a:avLst/>
                    </a:prstGeom>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77B00462"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w:t>
      </w:r>
      <w:r w:rsidR="0019547C">
        <w:rPr>
          <w:rFonts w:ascii="Calibri" w:hAnsi="Calibri"/>
          <w:color w:val="000000"/>
          <w:sz w:val="20"/>
          <w:szCs w:val="20"/>
        </w:rPr>
        <w:t xml:space="preserve">, but </w:t>
      </w:r>
      <w:r w:rsidR="005E47EE">
        <w:rPr>
          <w:rFonts w:ascii="Calibri" w:hAnsi="Calibri"/>
          <w:color w:val="000000"/>
          <w:sz w:val="20"/>
          <w:szCs w:val="20"/>
        </w:rPr>
        <w:t xml:space="preserve">higher than the </w:t>
      </w:r>
      <w:r w:rsidR="0019547C">
        <w:rPr>
          <w:rFonts w:ascii="Calibri" w:hAnsi="Calibri"/>
          <w:color w:val="000000"/>
          <w:sz w:val="20"/>
          <w:szCs w:val="20"/>
        </w:rPr>
        <w:t>last season in the same week.</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6EC12E6B" w:rsidR="00CC5E83" w:rsidRPr="005156CF" w:rsidRDefault="005E47EE" w:rsidP="00297971">
      <w:pPr>
        <w:jc w:val="center"/>
        <w:rPr>
          <w:rFonts w:ascii="Calibri" w:hAnsi="Calibri"/>
        </w:rPr>
      </w:pPr>
      <w:r>
        <w:rPr>
          <w:rFonts w:ascii="Calibri" w:hAnsi="Calibri"/>
          <w:noProof/>
        </w:rPr>
        <w:drawing>
          <wp:inline distT="0" distB="0" distL="0" distR="0" wp14:anchorId="041EB304" wp14:editId="7FCBAD54">
            <wp:extent cx="5791256" cy="4303264"/>
            <wp:effectExtent l="0" t="0" r="0" b="254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12, 2022, the percentage of influenza-associated hospitalizations is 0.18%, which is lower than two of the previous seasons, but higher than the last season in the same we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12, 2022, the percentage of influenza-associated hospitalizations is 0.18%, which is lower than two of the previous seasons, but higher than the last season in the same week.&#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91256"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09E04EA2" w14:textId="77777777" w:rsidR="006169B7" w:rsidRDefault="006169B7" w:rsidP="00837D10">
      <w:pPr>
        <w:adjustRightInd w:val="0"/>
        <w:contextualSpacing/>
        <w:rPr>
          <w:rFonts w:ascii="Calibri" w:hAnsi="Calibri"/>
        </w:rPr>
      </w:pPr>
    </w:p>
    <w:p w14:paraId="3FBF6CE1" w14:textId="70E7DB98"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6BD2C01B" w:rsidR="00C144EA" w:rsidRPr="00E1693B" w:rsidRDefault="005E47EE" w:rsidP="00E1693B">
      <w:pPr>
        <w:adjustRightInd w:val="0"/>
        <w:contextualSpacing/>
        <w:jc w:val="center"/>
        <w:rPr>
          <w:rFonts w:ascii="Calibri" w:hAnsi="Calibri"/>
          <w:b/>
        </w:rPr>
      </w:pPr>
      <w:r>
        <w:rPr>
          <w:rFonts w:ascii="Calibri" w:hAnsi="Calibri"/>
          <w:b/>
          <w:noProof/>
        </w:rPr>
        <w:drawing>
          <wp:inline distT="0" distB="0" distL="0" distR="0" wp14:anchorId="0F20A9D9" wp14:editId="72F46712">
            <wp:extent cx="6309360" cy="2314575"/>
            <wp:effectExtent l="0" t="0" r="0" b="9525"/>
            <wp:doc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12,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12, 2022,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09360" cy="2314575"/>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DBE2CF4"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E36C9F">
        <w:rPr>
          <w:rFonts w:ascii="Calibri" w:hAnsi="Calibri"/>
          <w:color w:val="000000"/>
          <w:sz w:val="20"/>
          <w:szCs w:val="20"/>
        </w:rPr>
        <w:t>all regions are reporting minimal ILI activity</w:t>
      </w:r>
      <w:r w:rsidR="00C144EA">
        <w:rPr>
          <w:rFonts w:ascii="Calibri" w:hAnsi="Calibri"/>
          <w:color w:val="000000"/>
          <w:sz w:val="20"/>
          <w:szCs w:val="20"/>
        </w:rPr>
        <w:t xml:space="preserve">.  </w:t>
      </w:r>
    </w:p>
    <w:p w14:paraId="03CF8115" w14:textId="77777777" w:rsidR="00E36C9F" w:rsidRDefault="00E36C9F" w:rsidP="00886C52">
      <w:pPr>
        <w:rPr>
          <w:rFonts w:ascii="Calibri" w:hAnsi="Calibri"/>
          <w:color w:val="000000"/>
          <w:sz w:val="20"/>
          <w:szCs w:val="20"/>
        </w:rPr>
      </w:pPr>
    </w:p>
    <w:p w14:paraId="41018576" w14:textId="2AA6E776" w:rsidR="00DD25B0" w:rsidRDefault="005E47EE" w:rsidP="006169B7">
      <w:pPr>
        <w:jc w:val="center"/>
        <w:rPr>
          <w:rFonts w:ascii="Calibri" w:hAnsi="Calibri"/>
          <w:color w:val="000000"/>
          <w:sz w:val="20"/>
          <w:szCs w:val="20"/>
        </w:rPr>
      </w:pPr>
      <w:r>
        <w:rPr>
          <w:rFonts w:ascii="Calibri" w:hAnsi="Calibri"/>
          <w:noProof/>
          <w:color w:val="000000"/>
          <w:sz w:val="20"/>
          <w:szCs w:val="20"/>
        </w:rPr>
        <w:drawing>
          <wp:inline distT="0" distB="0" distL="0" distR="0" wp14:anchorId="600A6C96" wp14:editId="089FF5F9">
            <wp:extent cx="6309360" cy="4038600"/>
            <wp:effectExtent l="0" t="0" r="0" b="0"/>
            <wp:docPr id="6" name="Picture 6" descr="Figure four is a map of Massachusetts showing regional influenza-like illness (ILI) activity reported by sentinel provider sites. Regions are shaded from light to dark blue indicating minimal(1-3), low(4-5), moderate(6-7), or high(8-10) ILI activity. As of March 12, 2022,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our is a map of Massachusetts showing regional influenza-like illness (ILI) activity reported by sentinel provider sites. Regions are shaded from light to dark blue indicating minimal(1-3), low(4-5), moderate(6-7), or high(8-10) ILI activity. As of March 12, 2022, all seven regions are reporting minimal ILI activity."/>
                    <pic:cNvPicPr/>
                  </pic:nvPicPr>
                  <pic:blipFill rotWithShape="1">
                    <a:blip r:embed="rId20">
                      <a:extLst>
                        <a:ext uri="{28A0092B-C50C-407E-A947-70E740481C1C}">
                          <a14:useLocalDpi xmlns:a14="http://schemas.microsoft.com/office/drawing/2010/main" val="0"/>
                        </a:ext>
                      </a:extLst>
                    </a:blip>
                    <a:srcRect t="3516" b="13649"/>
                    <a:stretch/>
                  </pic:blipFill>
                  <pic:spPr bwMode="auto">
                    <a:xfrm>
                      <a:off x="0" y="0"/>
                      <a:ext cx="6309360" cy="4038600"/>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7B525995"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7C7E3BC9"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Figure 5 illustrates the number of laboratory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increased by 96%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13DFFE39" w:rsidR="00297971" w:rsidRPr="00297971" w:rsidRDefault="005E47EE"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13288708" wp14:editId="32540103">
            <wp:extent cx="5774631" cy="4403017"/>
            <wp:effectExtent l="0" t="0" r="0" b="0"/>
            <wp:docPr id="11" name="Picture 11" descr="Figure five is a bar chart displaying the number of laboratory-confirmed influenza cases reported in Massachusetts by week and influenza type for the 2021-2022 influenza season. As of March 12, 2022, laboratory-confirmed influenza cases increased by 96% this week. More influenza B than influenza A positive specimens have been reported this seas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ive is a bar chart displaying the number of laboratory-confirmed influenza cases reported in Massachusetts by week and influenza type for the 2021-2022 influenza season. As of March 12, 2022, laboratory-confirmed influenza cases increased by 96% this week. More influenza B than influenza A positive specimens have been reported this season.&#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4631"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34194614" w14:textId="7269CD0A"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3625D3C5"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5E47EE">
        <w:rPr>
          <w:color w:val="000000"/>
          <w:sz w:val="20"/>
          <w:szCs w:val="20"/>
        </w:rPr>
        <w:t>7</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w:t>
      </w:r>
      <w:r w:rsidR="005E47EE">
        <w:rPr>
          <w:sz w:val="20"/>
          <w:szCs w:val="20"/>
        </w:rPr>
        <w:t>7</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Unsat</w:t>
            </w:r>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5E47EE"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5E846C82"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 xml:space="preserve">07 (02/13 – 02/19/22) </w:t>
            </w:r>
          </w:p>
        </w:tc>
        <w:tc>
          <w:tcPr>
            <w:tcW w:w="720" w:type="dxa"/>
            <w:tcBorders>
              <w:bottom w:val="single" w:sz="4" w:space="0" w:color="000000"/>
            </w:tcBorders>
            <w:shd w:val="clear" w:color="auto" w:fill="auto"/>
            <w:vAlign w:val="bottom"/>
          </w:tcPr>
          <w:p w14:paraId="7696D743" w14:textId="51491D87"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4E8B9DD1"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40233773" w14:textId="6B2788FA"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3E5A3628"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17D533BE"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4399F9C7"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0(0%)</w:t>
            </w:r>
          </w:p>
        </w:tc>
        <w:tc>
          <w:tcPr>
            <w:tcW w:w="720" w:type="dxa"/>
            <w:tcBorders>
              <w:bottom w:val="single" w:sz="4" w:space="0" w:color="000000"/>
            </w:tcBorders>
            <w:shd w:val="clear" w:color="auto" w:fill="auto"/>
            <w:vAlign w:val="bottom"/>
          </w:tcPr>
          <w:p w14:paraId="6E2F3684" w14:textId="5874B445"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4E9FDEAA"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81" w:type="dxa"/>
            <w:tcBorders>
              <w:bottom w:val="single" w:sz="4" w:space="0" w:color="000000"/>
            </w:tcBorders>
            <w:shd w:val="clear" w:color="auto" w:fill="auto"/>
            <w:vAlign w:val="bottom"/>
          </w:tcPr>
          <w:p w14:paraId="7BF3FA57" w14:textId="0EA77EEB"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r>
      <w:tr w:rsidR="005E47EE"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455D550B"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 xml:space="preserve">08 (02/20 – 02/26/22) </w:t>
            </w:r>
          </w:p>
        </w:tc>
        <w:tc>
          <w:tcPr>
            <w:tcW w:w="720" w:type="dxa"/>
            <w:tcBorders>
              <w:bottom w:val="single" w:sz="4" w:space="0" w:color="000000"/>
            </w:tcBorders>
            <w:shd w:val="clear" w:color="auto" w:fill="auto"/>
            <w:vAlign w:val="bottom"/>
          </w:tcPr>
          <w:p w14:paraId="051541F2" w14:textId="621F8336"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1A565245"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6BE0ED28" w14:textId="78C4B6B1"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2E89AB18"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1F393C58"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58111071"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0(0%)</w:t>
            </w:r>
          </w:p>
        </w:tc>
        <w:tc>
          <w:tcPr>
            <w:tcW w:w="720" w:type="dxa"/>
            <w:tcBorders>
              <w:bottom w:val="single" w:sz="4" w:space="0" w:color="000000"/>
            </w:tcBorders>
            <w:shd w:val="clear" w:color="auto" w:fill="auto"/>
            <w:vAlign w:val="bottom"/>
          </w:tcPr>
          <w:p w14:paraId="1C9D4D20" w14:textId="11309A1F"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4ACE416B"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81" w:type="dxa"/>
            <w:tcBorders>
              <w:bottom w:val="single" w:sz="4" w:space="0" w:color="000000"/>
            </w:tcBorders>
            <w:shd w:val="clear" w:color="auto" w:fill="auto"/>
            <w:vAlign w:val="bottom"/>
          </w:tcPr>
          <w:p w14:paraId="15473321" w14:textId="3E9640FF"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r>
      <w:tr w:rsidR="005E47EE"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6318E06C"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 xml:space="preserve">09 (02/27 – 03/05/22) </w:t>
            </w:r>
          </w:p>
        </w:tc>
        <w:tc>
          <w:tcPr>
            <w:tcW w:w="720" w:type="dxa"/>
            <w:tcBorders>
              <w:bottom w:val="single" w:sz="4" w:space="0" w:color="000000"/>
            </w:tcBorders>
            <w:shd w:val="clear" w:color="auto" w:fill="auto"/>
            <w:vAlign w:val="bottom"/>
          </w:tcPr>
          <w:p w14:paraId="2EB2BD7D" w14:textId="10134CFE"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16E36508"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1</w:t>
            </w:r>
          </w:p>
        </w:tc>
        <w:tc>
          <w:tcPr>
            <w:tcW w:w="810" w:type="dxa"/>
            <w:tcBorders>
              <w:bottom w:val="single" w:sz="4" w:space="0" w:color="000000"/>
            </w:tcBorders>
            <w:shd w:val="clear" w:color="auto" w:fill="auto"/>
            <w:vAlign w:val="bottom"/>
          </w:tcPr>
          <w:p w14:paraId="44769DFF" w14:textId="333C69B9"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2A7D2B6E"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24BFE477"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20089672"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1(100%)</w:t>
            </w:r>
          </w:p>
        </w:tc>
        <w:tc>
          <w:tcPr>
            <w:tcW w:w="720" w:type="dxa"/>
            <w:tcBorders>
              <w:bottom w:val="single" w:sz="4" w:space="0" w:color="000000"/>
            </w:tcBorders>
            <w:shd w:val="clear" w:color="auto" w:fill="auto"/>
            <w:vAlign w:val="bottom"/>
          </w:tcPr>
          <w:p w14:paraId="6551744F" w14:textId="49405E16"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7E9AD18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781" w:type="dxa"/>
            <w:tcBorders>
              <w:bottom w:val="single" w:sz="4" w:space="0" w:color="000000"/>
            </w:tcBorders>
            <w:shd w:val="clear" w:color="auto" w:fill="auto"/>
            <w:vAlign w:val="bottom"/>
          </w:tcPr>
          <w:p w14:paraId="5B2D28A5" w14:textId="757E1D2C"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r>
      <w:tr w:rsidR="005E47EE"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587D9CC4"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 xml:space="preserve">10 (03/06 – 03/12/22) </w:t>
            </w:r>
          </w:p>
        </w:tc>
        <w:tc>
          <w:tcPr>
            <w:tcW w:w="720" w:type="dxa"/>
            <w:tcBorders>
              <w:bottom w:val="single" w:sz="4" w:space="0" w:color="000000"/>
            </w:tcBorders>
            <w:shd w:val="clear" w:color="auto" w:fill="auto"/>
            <w:vAlign w:val="bottom"/>
          </w:tcPr>
          <w:p w14:paraId="5C04D123" w14:textId="5B3EC1CC"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633FA816"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1</w:t>
            </w:r>
          </w:p>
        </w:tc>
        <w:tc>
          <w:tcPr>
            <w:tcW w:w="810" w:type="dxa"/>
            <w:tcBorders>
              <w:bottom w:val="single" w:sz="4" w:space="0" w:color="000000"/>
            </w:tcBorders>
            <w:shd w:val="clear" w:color="auto" w:fill="auto"/>
            <w:vAlign w:val="bottom"/>
          </w:tcPr>
          <w:p w14:paraId="60C0E312" w14:textId="1BFDB9DC"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827D4F7"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6BAF888A"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102A8C99"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1(100%)</w:t>
            </w:r>
          </w:p>
        </w:tc>
        <w:tc>
          <w:tcPr>
            <w:tcW w:w="720" w:type="dxa"/>
            <w:tcBorders>
              <w:bottom w:val="single" w:sz="4" w:space="0" w:color="000000"/>
            </w:tcBorders>
            <w:shd w:val="clear" w:color="auto" w:fill="auto"/>
            <w:vAlign w:val="bottom"/>
          </w:tcPr>
          <w:p w14:paraId="21FA9245" w14:textId="52313D06"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3</w:t>
            </w:r>
          </w:p>
        </w:tc>
        <w:tc>
          <w:tcPr>
            <w:tcW w:w="810" w:type="dxa"/>
            <w:tcBorders>
              <w:bottom w:val="single" w:sz="4" w:space="0" w:color="000000"/>
            </w:tcBorders>
            <w:shd w:val="clear" w:color="auto" w:fill="auto"/>
            <w:vAlign w:val="bottom"/>
          </w:tcPr>
          <w:p w14:paraId="24CA21A8" w14:textId="5E32E28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781" w:type="dxa"/>
            <w:tcBorders>
              <w:bottom w:val="single" w:sz="4" w:space="0" w:color="000000"/>
            </w:tcBorders>
            <w:shd w:val="clear" w:color="auto" w:fill="auto"/>
            <w:vAlign w:val="bottom"/>
          </w:tcPr>
          <w:p w14:paraId="7979F388" w14:textId="72998DD6"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4</w:t>
            </w:r>
          </w:p>
        </w:tc>
      </w:tr>
      <w:tr w:rsidR="005E47EE"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36B90C7C" w:rsidR="005E47EE" w:rsidRPr="005E47EE" w:rsidRDefault="005E47EE" w:rsidP="005E47EE">
            <w:pPr>
              <w:jc w:val="right"/>
              <w:rPr>
                <w:rFonts w:asciiTheme="minorHAnsi" w:hAnsiTheme="minorHAnsi" w:cstheme="minorHAnsi"/>
                <w:b/>
                <w:bCs/>
                <w:sz w:val="18"/>
                <w:szCs w:val="18"/>
              </w:rPr>
            </w:pPr>
            <w:r w:rsidRPr="005E47EE">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14:paraId="5E663AC0" w14:textId="291CD7C0"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20535A8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2</w:t>
            </w:r>
          </w:p>
        </w:tc>
        <w:tc>
          <w:tcPr>
            <w:tcW w:w="810" w:type="dxa"/>
            <w:tcBorders>
              <w:bottom w:val="single" w:sz="4" w:space="0" w:color="000000"/>
            </w:tcBorders>
            <w:shd w:val="clear" w:color="auto" w:fill="D9D9D9"/>
            <w:vAlign w:val="bottom"/>
          </w:tcPr>
          <w:p w14:paraId="07A654DB" w14:textId="5A7F961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755228B3"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7E3C3FF0"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572C996C"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2(100%)</w:t>
            </w:r>
          </w:p>
        </w:tc>
        <w:tc>
          <w:tcPr>
            <w:tcW w:w="720" w:type="dxa"/>
            <w:tcBorders>
              <w:bottom w:val="single" w:sz="4" w:space="0" w:color="000000"/>
            </w:tcBorders>
            <w:shd w:val="clear" w:color="auto" w:fill="D9D9D9"/>
            <w:vAlign w:val="bottom"/>
          </w:tcPr>
          <w:p w14:paraId="20A780ED" w14:textId="4B35A1B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3</w:t>
            </w:r>
          </w:p>
        </w:tc>
        <w:tc>
          <w:tcPr>
            <w:tcW w:w="810" w:type="dxa"/>
            <w:tcBorders>
              <w:bottom w:val="single" w:sz="4" w:space="0" w:color="000000"/>
            </w:tcBorders>
            <w:shd w:val="clear" w:color="auto" w:fill="D9D9D9"/>
            <w:vAlign w:val="bottom"/>
          </w:tcPr>
          <w:p w14:paraId="5509C2F6" w14:textId="23BE314B"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2</w:t>
            </w:r>
          </w:p>
        </w:tc>
        <w:tc>
          <w:tcPr>
            <w:tcW w:w="781" w:type="dxa"/>
            <w:tcBorders>
              <w:bottom w:val="single" w:sz="4" w:space="0" w:color="000000"/>
            </w:tcBorders>
            <w:shd w:val="clear" w:color="auto" w:fill="D9D9D9"/>
            <w:vAlign w:val="bottom"/>
          </w:tcPr>
          <w:p w14:paraId="7289406A" w14:textId="0A6C4ED7"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5</w:t>
            </w:r>
          </w:p>
        </w:tc>
      </w:tr>
      <w:tr w:rsidR="005E47EE" w14:paraId="21F1D05E" w14:textId="77777777" w:rsidTr="00C95E73">
        <w:trPr>
          <w:jc w:val="center"/>
        </w:trPr>
        <w:tc>
          <w:tcPr>
            <w:tcW w:w="2705" w:type="dxa"/>
            <w:shd w:val="clear" w:color="auto" w:fill="D9D9D9"/>
            <w:vAlign w:val="bottom"/>
          </w:tcPr>
          <w:p w14:paraId="3E41485E" w14:textId="7ACDB01E" w:rsidR="005E47EE" w:rsidRPr="005E47EE" w:rsidRDefault="005E47EE" w:rsidP="005E47EE">
            <w:pPr>
              <w:jc w:val="right"/>
              <w:rPr>
                <w:rFonts w:asciiTheme="minorHAnsi" w:hAnsiTheme="minorHAnsi" w:cstheme="minorHAnsi"/>
                <w:b/>
                <w:bCs/>
                <w:sz w:val="18"/>
                <w:szCs w:val="18"/>
              </w:rPr>
            </w:pPr>
            <w:r w:rsidRPr="005E47EE">
              <w:rPr>
                <w:rFonts w:ascii="Calibri" w:hAnsi="Calibri" w:cs="Arial"/>
                <w:b/>
                <w:bCs/>
                <w:sz w:val="18"/>
                <w:szCs w:val="18"/>
              </w:rPr>
              <w:t>Cumulative Season total</w:t>
            </w:r>
          </w:p>
        </w:tc>
        <w:tc>
          <w:tcPr>
            <w:tcW w:w="720" w:type="dxa"/>
            <w:shd w:val="clear" w:color="auto" w:fill="D9D9D9"/>
            <w:vAlign w:val="bottom"/>
          </w:tcPr>
          <w:p w14:paraId="698212AA" w14:textId="20058693"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990" w:type="dxa"/>
            <w:shd w:val="clear" w:color="auto" w:fill="D9D9D9"/>
            <w:vAlign w:val="bottom"/>
          </w:tcPr>
          <w:p w14:paraId="3E12FFC4" w14:textId="519AE6AD"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117</w:t>
            </w:r>
          </w:p>
        </w:tc>
        <w:tc>
          <w:tcPr>
            <w:tcW w:w="810" w:type="dxa"/>
            <w:shd w:val="clear" w:color="auto" w:fill="D9D9D9"/>
            <w:vAlign w:val="bottom"/>
          </w:tcPr>
          <w:p w14:paraId="79EACD47" w14:textId="427810D3"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810" w:type="dxa"/>
            <w:shd w:val="clear" w:color="auto" w:fill="D9D9D9"/>
            <w:vAlign w:val="bottom"/>
          </w:tcPr>
          <w:p w14:paraId="3FD21D25" w14:textId="583FFA8A"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630" w:type="dxa"/>
            <w:shd w:val="clear" w:color="auto" w:fill="D9D9D9"/>
            <w:vAlign w:val="bottom"/>
          </w:tcPr>
          <w:p w14:paraId="7AB4F41F" w14:textId="7D93477A"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1170" w:type="dxa"/>
            <w:shd w:val="clear" w:color="auto" w:fill="D9D9D9"/>
            <w:vAlign w:val="bottom"/>
          </w:tcPr>
          <w:p w14:paraId="0B0647BF" w14:textId="672D6E25"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118(80%)</w:t>
            </w:r>
          </w:p>
        </w:tc>
        <w:tc>
          <w:tcPr>
            <w:tcW w:w="720" w:type="dxa"/>
            <w:shd w:val="clear" w:color="auto" w:fill="D9D9D9"/>
            <w:vAlign w:val="bottom"/>
          </w:tcPr>
          <w:p w14:paraId="0AFB0EE1" w14:textId="4FC18FFC"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10</w:t>
            </w:r>
          </w:p>
        </w:tc>
        <w:tc>
          <w:tcPr>
            <w:tcW w:w="810" w:type="dxa"/>
            <w:shd w:val="clear" w:color="auto" w:fill="D9D9D9"/>
            <w:vAlign w:val="bottom"/>
          </w:tcPr>
          <w:p w14:paraId="5C7692D2" w14:textId="36FCD04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147</w:t>
            </w:r>
          </w:p>
        </w:tc>
        <w:tc>
          <w:tcPr>
            <w:tcW w:w="781" w:type="dxa"/>
            <w:shd w:val="clear" w:color="auto" w:fill="D9D9D9"/>
            <w:vAlign w:val="bottom"/>
          </w:tcPr>
          <w:p w14:paraId="4BEB6E43" w14:textId="5F454117"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157</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3E50F1DB"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w:t>
      </w:r>
      <w:r w:rsidR="004B4792">
        <w:rPr>
          <w:rFonts w:ascii="Calibri" w:hAnsi="Calibri" w:cs="Calibri"/>
          <w:sz w:val="20"/>
          <w:szCs w:val="20"/>
        </w:rPr>
        <w:t>2</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Unsat</w:t>
            </w:r>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5E47EE"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718E040F"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07 (02/13 – 02/19/22)</w:t>
            </w:r>
          </w:p>
        </w:tc>
        <w:tc>
          <w:tcPr>
            <w:tcW w:w="630" w:type="dxa"/>
            <w:tcBorders>
              <w:bottom w:val="single" w:sz="4" w:space="0" w:color="000000"/>
            </w:tcBorders>
          </w:tcPr>
          <w:p w14:paraId="3C7B9773" w14:textId="3092FE96"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5E0C1AEF"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6132BDE5"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4702F0C8"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52A604CE"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6BADD799"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tcPr>
          <w:p w14:paraId="2554A51B" w14:textId="1887D9CE" w:rsidR="005E47EE" w:rsidRPr="005E47EE" w:rsidRDefault="005E47EE" w:rsidP="005E47EE">
            <w:pPr>
              <w:jc w:val="center"/>
              <w:rPr>
                <w:rFonts w:asciiTheme="minorHAnsi" w:hAnsiTheme="minorHAnsi" w:cstheme="minorHAnsi"/>
                <w:b/>
                <w:bCs/>
                <w:sz w:val="18"/>
                <w:szCs w:val="18"/>
              </w:rPr>
            </w:pPr>
            <w:r w:rsidRPr="005E47EE">
              <w:rPr>
                <w:rFonts w:ascii="Calibri" w:hAnsi="Calibri" w:cs="Arial"/>
                <w:sz w:val="18"/>
                <w:szCs w:val="18"/>
              </w:rPr>
              <w:t>0</w:t>
            </w:r>
          </w:p>
        </w:tc>
        <w:tc>
          <w:tcPr>
            <w:tcW w:w="990" w:type="dxa"/>
            <w:tcBorders>
              <w:bottom w:val="single" w:sz="4" w:space="0" w:color="000000"/>
            </w:tcBorders>
          </w:tcPr>
          <w:p w14:paraId="3B4EB5AE" w14:textId="66A257CB" w:rsidR="005E47EE" w:rsidRPr="005E47EE" w:rsidRDefault="005E47EE" w:rsidP="005E47EE">
            <w:pPr>
              <w:jc w:val="center"/>
              <w:rPr>
                <w:rFonts w:asciiTheme="minorHAnsi" w:hAnsiTheme="minorHAnsi" w:cstheme="minorHAnsi"/>
                <w:b/>
                <w:bCs/>
                <w:sz w:val="18"/>
                <w:szCs w:val="18"/>
              </w:rPr>
            </w:pPr>
            <w:r w:rsidRPr="005E47EE">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40F5733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071A258A"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6568C90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09" w:type="dxa"/>
            <w:tcBorders>
              <w:bottom w:val="single" w:sz="4" w:space="0" w:color="000000"/>
            </w:tcBorders>
            <w:shd w:val="clear" w:color="auto" w:fill="auto"/>
            <w:vAlign w:val="bottom"/>
          </w:tcPr>
          <w:p w14:paraId="175C2BDE" w14:textId="63AE84C6"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r>
      <w:tr w:rsidR="005E47EE"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6477A256"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08 (02/20 – 02/26/22)</w:t>
            </w:r>
          </w:p>
        </w:tc>
        <w:tc>
          <w:tcPr>
            <w:tcW w:w="630" w:type="dxa"/>
            <w:tcBorders>
              <w:bottom w:val="single" w:sz="4" w:space="0" w:color="000000"/>
            </w:tcBorders>
          </w:tcPr>
          <w:p w14:paraId="4DD7B00C" w14:textId="590E0625"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6B940A11"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772CD0B9"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5BDAF5CA"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73C87DFC"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33C9E44F"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tcPr>
          <w:p w14:paraId="63CE0748" w14:textId="70DAAAC0"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990" w:type="dxa"/>
            <w:tcBorders>
              <w:bottom w:val="single" w:sz="4" w:space="0" w:color="000000"/>
            </w:tcBorders>
          </w:tcPr>
          <w:p w14:paraId="71FA3822" w14:textId="0ABF9091"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62DCB61A"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4BB6A295"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5721F5B2"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09" w:type="dxa"/>
            <w:tcBorders>
              <w:bottom w:val="single" w:sz="4" w:space="0" w:color="000000"/>
            </w:tcBorders>
            <w:shd w:val="clear" w:color="auto" w:fill="auto"/>
            <w:vAlign w:val="bottom"/>
          </w:tcPr>
          <w:p w14:paraId="4683E8E6" w14:textId="1BD07E36"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r>
      <w:tr w:rsidR="005E47EE"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506FF53F"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09 (02/27 – 03/05/22)</w:t>
            </w:r>
          </w:p>
        </w:tc>
        <w:tc>
          <w:tcPr>
            <w:tcW w:w="630" w:type="dxa"/>
            <w:tcBorders>
              <w:bottom w:val="single" w:sz="4" w:space="0" w:color="000000"/>
            </w:tcBorders>
          </w:tcPr>
          <w:p w14:paraId="49875ADA" w14:textId="5FA38699"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1442E787"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7FEAD012"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3EAC4AFA"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14183958"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7B00A2B4"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tcPr>
          <w:p w14:paraId="11A28564" w14:textId="50B28E9C"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990" w:type="dxa"/>
            <w:tcBorders>
              <w:bottom w:val="single" w:sz="4" w:space="0" w:color="000000"/>
            </w:tcBorders>
          </w:tcPr>
          <w:p w14:paraId="22E3F7AA" w14:textId="7A6B520F"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39223113"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6A6BC5EF"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512FA2A2"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709" w:type="dxa"/>
            <w:tcBorders>
              <w:bottom w:val="single" w:sz="4" w:space="0" w:color="000000"/>
            </w:tcBorders>
            <w:shd w:val="clear" w:color="auto" w:fill="auto"/>
            <w:vAlign w:val="bottom"/>
          </w:tcPr>
          <w:p w14:paraId="00E535DD" w14:textId="42ABDB3B"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r>
      <w:tr w:rsidR="005E47EE"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4761202C" w:rsidR="005E47EE" w:rsidRPr="005E47EE" w:rsidRDefault="005E47EE" w:rsidP="005E47EE">
            <w:pPr>
              <w:rPr>
                <w:rFonts w:asciiTheme="minorHAnsi" w:hAnsiTheme="minorHAnsi" w:cstheme="minorHAnsi"/>
                <w:sz w:val="18"/>
                <w:szCs w:val="18"/>
              </w:rPr>
            </w:pPr>
            <w:r w:rsidRPr="005E47EE">
              <w:rPr>
                <w:rFonts w:ascii="Calibri" w:hAnsi="Calibri" w:cs="Arial"/>
                <w:sz w:val="18"/>
                <w:szCs w:val="18"/>
              </w:rPr>
              <w:t>10 (03/06 – 03/12/22)</w:t>
            </w:r>
          </w:p>
        </w:tc>
        <w:tc>
          <w:tcPr>
            <w:tcW w:w="630" w:type="dxa"/>
            <w:tcBorders>
              <w:bottom w:val="single" w:sz="4" w:space="0" w:color="000000"/>
            </w:tcBorders>
          </w:tcPr>
          <w:p w14:paraId="0AAB6A58" w14:textId="74DBD233"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39325E3C"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697A4D30"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7C22AF78"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2EA4C1E5"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39CD6AB6"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810" w:type="dxa"/>
            <w:tcBorders>
              <w:bottom w:val="single" w:sz="4" w:space="0" w:color="000000"/>
            </w:tcBorders>
          </w:tcPr>
          <w:p w14:paraId="78EAD15C" w14:textId="0D02FB85"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990" w:type="dxa"/>
            <w:tcBorders>
              <w:bottom w:val="single" w:sz="4" w:space="0" w:color="000000"/>
            </w:tcBorders>
          </w:tcPr>
          <w:p w14:paraId="636EBDD1" w14:textId="7C559BA4"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02297157"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5EEFDEFE" w:rsidR="005E47EE" w:rsidRPr="005E47EE" w:rsidRDefault="005E47EE" w:rsidP="005E47EE">
            <w:pPr>
              <w:jc w:val="center"/>
              <w:rPr>
                <w:rFonts w:asciiTheme="minorHAnsi" w:hAnsiTheme="minorHAnsi" w:cstheme="minorHAnsi"/>
                <w:sz w:val="18"/>
                <w:szCs w:val="18"/>
              </w:rPr>
            </w:pPr>
            <w:r w:rsidRPr="005E47EE">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5055E95F"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545A331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r>
      <w:tr w:rsidR="005E47EE"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28B5A6AA" w:rsidR="005E47EE" w:rsidRPr="005E47EE" w:rsidRDefault="005E47EE" w:rsidP="005E47EE">
            <w:pPr>
              <w:jc w:val="right"/>
              <w:rPr>
                <w:rFonts w:asciiTheme="minorHAnsi" w:hAnsiTheme="minorHAnsi" w:cstheme="minorHAnsi"/>
                <w:b/>
                <w:bCs/>
                <w:sz w:val="18"/>
                <w:szCs w:val="18"/>
              </w:rPr>
            </w:pPr>
            <w:r w:rsidRPr="005E47EE">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14:paraId="4CFEAFE2" w14:textId="1258F5BC"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6AB433A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68284EF3"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09EAE450"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6C1FFDA2"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412AD2F6"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51C38DC3"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7F8423F0"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07040816"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439E5AFB"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213AECB0"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709" w:type="dxa"/>
            <w:tcBorders>
              <w:bottom w:val="single" w:sz="4" w:space="0" w:color="000000"/>
            </w:tcBorders>
            <w:shd w:val="clear" w:color="auto" w:fill="D9D9D9"/>
            <w:vAlign w:val="center"/>
          </w:tcPr>
          <w:p w14:paraId="1CB76AA1" w14:textId="73D8E20F"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r>
      <w:tr w:rsidR="005E47EE" w:rsidRPr="00A53B6C" w14:paraId="491B716B" w14:textId="77777777" w:rsidTr="00BD46A8">
        <w:trPr>
          <w:trHeight w:val="70"/>
          <w:jc w:val="center"/>
        </w:trPr>
        <w:tc>
          <w:tcPr>
            <w:tcW w:w="2065" w:type="dxa"/>
            <w:shd w:val="clear" w:color="auto" w:fill="D9D9D9"/>
            <w:vAlign w:val="bottom"/>
          </w:tcPr>
          <w:p w14:paraId="7EFCBECA" w14:textId="6618E2CF" w:rsidR="005E47EE" w:rsidRPr="005E47EE" w:rsidRDefault="005E47EE" w:rsidP="005E47EE">
            <w:pPr>
              <w:jc w:val="right"/>
              <w:rPr>
                <w:rFonts w:asciiTheme="minorHAnsi" w:hAnsiTheme="minorHAnsi" w:cstheme="minorHAnsi"/>
                <w:b/>
                <w:bCs/>
                <w:sz w:val="18"/>
                <w:szCs w:val="18"/>
              </w:rPr>
            </w:pPr>
            <w:r w:rsidRPr="005E47EE">
              <w:rPr>
                <w:rFonts w:ascii="Calibri" w:hAnsi="Calibri" w:cs="Arial"/>
                <w:b/>
                <w:bCs/>
                <w:sz w:val="18"/>
                <w:szCs w:val="18"/>
              </w:rPr>
              <w:t>Cumulative Season total</w:t>
            </w:r>
          </w:p>
        </w:tc>
        <w:tc>
          <w:tcPr>
            <w:tcW w:w="630" w:type="dxa"/>
            <w:shd w:val="clear" w:color="auto" w:fill="D9D9D9"/>
            <w:vAlign w:val="center"/>
          </w:tcPr>
          <w:p w14:paraId="75196142" w14:textId="258F8E62"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540" w:type="dxa"/>
            <w:shd w:val="clear" w:color="auto" w:fill="D9D9D9"/>
            <w:vAlign w:val="center"/>
          </w:tcPr>
          <w:p w14:paraId="413043CB" w14:textId="70EADE4E"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630" w:type="dxa"/>
            <w:shd w:val="clear" w:color="auto" w:fill="D9D9D9"/>
            <w:vAlign w:val="center"/>
          </w:tcPr>
          <w:p w14:paraId="73A598B0" w14:textId="4B8534F4"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540" w:type="dxa"/>
            <w:shd w:val="clear" w:color="auto" w:fill="D9D9D9"/>
            <w:vAlign w:val="center"/>
          </w:tcPr>
          <w:p w14:paraId="32DF7EE4" w14:textId="420A87DF"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720" w:type="dxa"/>
            <w:shd w:val="clear" w:color="auto" w:fill="D9D9D9"/>
            <w:vAlign w:val="center"/>
          </w:tcPr>
          <w:p w14:paraId="4313BA7C" w14:textId="31C3F2B7"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540" w:type="dxa"/>
            <w:shd w:val="clear" w:color="auto" w:fill="D9D9D9"/>
            <w:vAlign w:val="center"/>
          </w:tcPr>
          <w:p w14:paraId="66E5EFBA" w14:textId="39E73666"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810" w:type="dxa"/>
            <w:shd w:val="clear" w:color="auto" w:fill="D9D9D9"/>
            <w:vAlign w:val="center"/>
          </w:tcPr>
          <w:p w14:paraId="1E2A93C1" w14:textId="12DB39E3"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990" w:type="dxa"/>
            <w:shd w:val="clear" w:color="auto" w:fill="D9D9D9"/>
            <w:vAlign w:val="center"/>
          </w:tcPr>
          <w:p w14:paraId="62731D24" w14:textId="192923FC"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w:t>
            </w:r>
          </w:p>
        </w:tc>
        <w:tc>
          <w:tcPr>
            <w:tcW w:w="769" w:type="dxa"/>
            <w:shd w:val="clear" w:color="auto" w:fill="D9D9D9"/>
            <w:vAlign w:val="center"/>
          </w:tcPr>
          <w:p w14:paraId="7531D999" w14:textId="370DEF68"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3(3%)</w:t>
            </w:r>
          </w:p>
        </w:tc>
        <w:tc>
          <w:tcPr>
            <w:tcW w:w="720" w:type="dxa"/>
            <w:shd w:val="clear" w:color="auto" w:fill="D9D9D9"/>
            <w:vAlign w:val="center"/>
          </w:tcPr>
          <w:p w14:paraId="1475B586" w14:textId="7D2F0F48"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0</w:t>
            </w:r>
          </w:p>
        </w:tc>
        <w:tc>
          <w:tcPr>
            <w:tcW w:w="720" w:type="dxa"/>
            <w:shd w:val="clear" w:color="auto" w:fill="D9D9D9"/>
            <w:vAlign w:val="center"/>
          </w:tcPr>
          <w:p w14:paraId="02C1A1BC" w14:textId="3239D5C2"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102</w:t>
            </w:r>
          </w:p>
        </w:tc>
        <w:tc>
          <w:tcPr>
            <w:tcW w:w="709" w:type="dxa"/>
            <w:shd w:val="clear" w:color="auto" w:fill="D9D9D9"/>
            <w:vAlign w:val="center"/>
          </w:tcPr>
          <w:p w14:paraId="59666AC8" w14:textId="3DC01CB6" w:rsidR="005E47EE" w:rsidRPr="005E47EE" w:rsidRDefault="005E47EE" w:rsidP="005E47EE">
            <w:pPr>
              <w:jc w:val="center"/>
              <w:rPr>
                <w:rFonts w:asciiTheme="minorHAnsi" w:hAnsiTheme="minorHAnsi" w:cstheme="minorHAnsi"/>
                <w:b/>
                <w:bCs/>
                <w:sz w:val="18"/>
                <w:szCs w:val="18"/>
              </w:rPr>
            </w:pPr>
            <w:r w:rsidRPr="005E47EE">
              <w:rPr>
                <w:rFonts w:ascii="Calibri" w:hAnsi="Calibri" w:cs="Arial"/>
                <w:b/>
                <w:bCs/>
                <w:sz w:val="18"/>
                <w:szCs w:val="18"/>
              </w:rPr>
              <w:t>102</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7777777"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patients, and assists public health systems in the monitoring and control of vaccine preventable diseases. For more information see the MIIS’ website at </w:t>
      </w:r>
      <w:hyperlink r:id="rId23"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1348DCE9"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 xml:space="preserve">of MA residents vaccinated for influenza by age group. The vaccination rate for all age groups is 47%.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Eighteen to 49 year-olds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21A23725" w:rsidR="005E47EE" w:rsidRDefault="00306A88" w:rsidP="00284652">
      <w:pPr>
        <w:jc w:val="center"/>
        <w:rPr>
          <w:rFonts w:ascii="Calibri" w:hAnsi="Calibri"/>
          <w:bCs/>
          <w:iCs/>
          <w:sz w:val="20"/>
          <w:szCs w:val="20"/>
        </w:rPr>
      </w:pPr>
      <w:r>
        <w:rPr>
          <w:rFonts w:ascii="Calibri" w:hAnsi="Calibri"/>
          <w:bCs/>
          <w:iCs/>
          <w:noProof/>
          <w:sz w:val="20"/>
          <w:szCs w:val="20"/>
        </w:rPr>
        <w:drawing>
          <wp:inline distT="0" distB="0" distL="0" distR="0" wp14:anchorId="672A4528" wp14:editId="56AB1F0E">
            <wp:extent cx="5843904" cy="4364224"/>
            <wp:effectExtent l="0" t="0" r="5080" b="0"/>
            <wp:docPr id="4" name="Picture 4" descr="Figure six is a line graph showing the percentage of Massachusetts residents who have been vaccinated for influenza by age group. The age groups are 6 months to 4 years, 5 to 12 years, 18 to 49 years, 50-64 years, 65 years and older, and all ages. As of March 12, 2022, the vaccination rate for all ages is 47%.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six is a line graph showing the percentage of Massachusetts residents who have been vaccinated for influenza by age group. The age groups are 6 months to 4 years, 5 to 12 years, 18 to 49 years, 50-64 years, 65 years and older, and all ages. As of March 12, 2022, the vaccination rate for all ages is 47%. The highest vaccination rates are among the youngest age group (six months - four years old), and the oldest age group (65 years old and older). Eighteen to 49 year-olds have the lowest vaccination rate.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43904" cy="4364224"/>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50F693FB" w14:textId="77777777" w:rsidR="00284652" w:rsidRDefault="00284652" w:rsidP="005E47EE">
      <w:pPr>
        <w:rPr>
          <w:rFonts w:ascii="Calibri" w:hAnsi="Calibri"/>
          <w:color w:val="000000"/>
          <w:sz w:val="20"/>
          <w:szCs w:val="20"/>
        </w:rPr>
      </w:pPr>
    </w:p>
    <w:p w14:paraId="37EB10CC" w14:textId="77777777" w:rsidR="00FA1700" w:rsidRDefault="00FA1700" w:rsidP="005E47EE">
      <w:pPr>
        <w:rPr>
          <w:rFonts w:ascii="Calibri" w:hAnsi="Calibri"/>
          <w:color w:val="000000"/>
          <w:sz w:val="20"/>
          <w:szCs w:val="20"/>
        </w:rPr>
      </w:pPr>
    </w:p>
    <w:p w14:paraId="63835CF2" w14:textId="69654E72"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 this season is comparable to last season.</w:t>
      </w:r>
    </w:p>
    <w:p w14:paraId="41919AC3" w14:textId="5B59766D" w:rsidR="005E47EE" w:rsidRPr="003D73FB" w:rsidRDefault="00620023" w:rsidP="00284652">
      <w:pPr>
        <w:jc w:val="center"/>
        <w:rPr>
          <w:rFonts w:ascii="Calibri" w:hAnsi="Calibri"/>
          <w:bCs/>
          <w:iCs/>
          <w:sz w:val="20"/>
          <w:szCs w:val="20"/>
        </w:rPr>
      </w:pPr>
      <w:r>
        <w:rPr>
          <w:rFonts w:ascii="Calibri" w:hAnsi="Calibri"/>
          <w:bCs/>
          <w:iCs/>
          <w:noProof/>
          <w:sz w:val="20"/>
          <w:szCs w:val="20"/>
        </w:rPr>
        <w:drawing>
          <wp:inline distT="0" distB="0" distL="0" distR="0" wp14:anchorId="12212951" wp14:editId="330F0D1A">
            <wp:extent cx="5915948" cy="4436269"/>
            <wp:effectExtent l="0" t="0" r="8890" b="2540"/>
            <wp:docPr id="8" name="Picture 8" descr="Figure seven is a line graph showing the number of influenza vaccine doses administered in Massachusetts. Number of doses is plotted for the 2018-2019, 2019-2020, 2020-2021, and 2021-2022 influenza seasons to date. As of March 12, 2022, the number of influenza doses administer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seven is a line graph showing the number of influenza vaccine doses administered in Massachusetts. Number of doses is plotted for the 2018-2019, 2019-2020, 2020-2021, and 2021-2022 influenza seasons to date. As of March 12, 2022, the number of influenza doses administer this season is comparable to last seas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15948" cy="4436269"/>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6"/>
      <w:footerReference w:type="default" r:id="rId27"/>
      <w:headerReference w:type="first" r:id="rId28"/>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579B525F" w:rsidR="006B7BE3" w:rsidRDefault="00C61920" w:rsidP="00F35DC4">
    <w:pPr>
      <w:pStyle w:val="Header"/>
      <w:jc w:val="center"/>
      <w:rPr>
        <w:rFonts w:ascii="Calibri" w:hAnsi="Calibri"/>
        <w:b/>
        <w:bCs/>
        <w:i/>
        <w:iCs/>
        <w:sz w:val="26"/>
        <w:szCs w:val="26"/>
      </w:rPr>
    </w:pPr>
    <w:r>
      <w:rPr>
        <w:rFonts w:ascii="Calibri" w:hAnsi="Calibri"/>
        <w:b/>
        <w:bCs/>
        <w:i/>
        <w:iCs/>
        <w:sz w:val="26"/>
        <w:szCs w:val="26"/>
      </w:rPr>
      <w:t xml:space="preserve">March </w:t>
    </w:r>
    <w:r w:rsidR="00BD4DE1">
      <w:rPr>
        <w:rFonts w:ascii="Calibri" w:hAnsi="Calibri"/>
        <w:b/>
        <w:bCs/>
        <w:i/>
        <w:iCs/>
        <w:sz w:val="26"/>
        <w:szCs w:val="26"/>
      </w:rPr>
      <w:t>1</w:t>
    </w:r>
    <w:r w:rsidR="00316818">
      <w:rPr>
        <w:rFonts w:ascii="Calibri" w:hAnsi="Calibri"/>
        <w:b/>
        <w:bCs/>
        <w:i/>
        <w:iCs/>
        <w:sz w:val="26"/>
        <w:szCs w:val="26"/>
      </w:rPr>
      <w:t>8</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7C2D8305"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316818">
      <w:rPr>
        <w:rFonts w:ascii="Calibri" w:hAnsi="Calibri"/>
        <w:b/>
        <w:bCs/>
        <w:i/>
        <w:iCs/>
        <w:sz w:val="20"/>
        <w:szCs w:val="20"/>
      </w:rPr>
      <w:t>3</w:t>
    </w:r>
    <w:r w:rsidR="002D0507" w:rsidRPr="002D0507">
      <w:rPr>
        <w:rFonts w:ascii="Calibri" w:hAnsi="Calibri"/>
        <w:b/>
        <w:bCs/>
        <w:i/>
        <w:iCs/>
        <w:sz w:val="20"/>
        <w:szCs w:val="20"/>
      </w:rPr>
      <w:t>/</w:t>
    </w:r>
    <w:r w:rsidR="00316818">
      <w:rPr>
        <w:rFonts w:ascii="Calibri" w:hAnsi="Calibri"/>
        <w:b/>
        <w:bCs/>
        <w:i/>
        <w:iCs/>
        <w:sz w:val="20"/>
        <w:szCs w:val="20"/>
      </w:rPr>
      <w:t>6</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D4DE1">
      <w:rPr>
        <w:rFonts w:ascii="Calibri" w:hAnsi="Calibri"/>
        <w:b/>
        <w:bCs/>
        <w:i/>
        <w:iCs/>
        <w:sz w:val="20"/>
        <w:szCs w:val="20"/>
      </w:rPr>
      <w:t>3</w:t>
    </w:r>
    <w:r w:rsidRPr="002D0507">
      <w:rPr>
        <w:rFonts w:ascii="Calibri" w:hAnsi="Calibri"/>
        <w:b/>
        <w:bCs/>
        <w:i/>
        <w:iCs/>
        <w:sz w:val="20"/>
        <w:szCs w:val="20"/>
      </w:rPr>
      <w:t>/</w:t>
    </w:r>
    <w:r w:rsidR="00316818">
      <w:rPr>
        <w:rFonts w:ascii="Calibri" w:hAnsi="Calibri"/>
        <w:b/>
        <w:bCs/>
        <w:i/>
        <w:iCs/>
        <w:sz w:val="20"/>
        <w:szCs w:val="20"/>
      </w:rPr>
      <w:t>12</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7DCEFA15"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D4DE1">
      <w:rPr>
        <w:rFonts w:ascii="Calibri" w:hAnsi="Calibri"/>
        <w:sz w:val="18"/>
        <w:szCs w:val="18"/>
      </w:rPr>
      <w:t xml:space="preserve">March </w:t>
    </w:r>
    <w:r w:rsidR="00316818">
      <w:rPr>
        <w:rFonts w:ascii="Calibri" w:hAnsi="Calibri"/>
        <w:sz w:val="18"/>
        <w:szCs w:val="18"/>
      </w:rPr>
      <w:t>12</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28F0"/>
    <w:rsid w:val="000F6855"/>
    <w:rsid w:val="00103FE9"/>
    <w:rsid w:val="00104181"/>
    <w:rsid w:val="00105583"/>
    <w:rsid w:val="001101F1"/>
    <w:rsid w:val="0011037E"/>
    <w:rsid w:val="00110BC2"/>
    <w:rsid w:val="00111615"/>
    <w:rsid w:val="00113BC6"/>
    <w:rsid w:val="001202A7"/>
    <w:rsid w:val="00122368"/>
    <w:rsid w:val="00126C6C"/>
    <w:rsid w:val="00126E12"/>
    <w:rsid w:val="00127393"/>
    <w:rsid w:val="001307DC"/>
    <w:rsid w:val="0013158D"/>
    <w:rsid w:val="00132F91"/>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05230"/>
    <w:rsid w:val="00306A88"/>
    <w:rsid w:val="00311C0E"/>
    <w:rsid w:val="003128B8"/>
    <w:rsid w:val="00313D83"/>
    <w:rsid w:val="00314040"/>
    <w:rsid w:val="003159FE"/>
    <w:rsid w:val="00316818"/>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747C"/>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B0761"/>
    <w:rsid w:val="005B1CD5"/>
    <w:rsid w:val="005B40D8"/>
    <w:rsid w:val="005B795D"/>
    <w:rsid w:val="005C0877"/>
    <w:rsid w:val="005C1F36"/>
    <w:rsid w:val="005C6861"/>
    <w:rsid w:val="005C7D62"/>
    <w:rsid w:val="005D5495"/>
    <w:rsid w:val="005D5F36"/>
    <w:rsid w:val="005D6312"/>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hyperlink" Target="https://www.mass.gov/service-details/massachusetts-immunization-information-system-miis-overview" TargetMode="External"/><Relationship Id="rId28" Type="http://schemas.openxmlformats.org/officeDocument/2006/relationships/header" Target="head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1243</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6</cp:revision>
  <cp:lastPrinted>2022-03-18T19:49:00Z</cp:lastPrinted>
  <dcterms:created xsi:type="dcterms:W3CDTF">2022-03-18T13:41:00Z</dcterms:created>
  <dcterms:modified xsi:type="dcterms:W3CDTF">2022-03-18T19:56:00Z</dcterms:modified>
</cp:coreProperties>
</file>